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09DBF" w14:textId="2C1C883C" w:rsidR="007C485C" w:rsidRPr="001611DC" w:rsidRDefault="00A6159B" w:rsidP="00F61884">
      <w:pPr>
        <w:pStyle w:val="1-MainHeading"/>
      </w:pPr>
      <w:bookmarkStart w:id="0" w:name="_Toc167277502"/>
      <w:r w:rsidRPr="001611DC">
        <w:t>5.13</w:t>
      </w:r>
      <w:r w:rsidR="00163F66" w:rsidRPr="001611DC">
        <w:tab/>
      </w:r>
      <w:r w:rsidR="00122834" w:rsidRPr="001611DC">
        <w:t>RESPIRATORY SYNCYTIAL VIRUS VACCINE</w:t>
      </w:r>
      <w:r w:rsidR="00163F66" w:rsidRPr="001611DC">
        <w:t>,</w:t>
      </w:r>
      <w:r w:rsidR="00163F66" w:rsidRPr="001611DC">
        <w:br/>
      </w:r>
      <w:r w:rsidR="005936EC" w:rsidRPr="001611DC">
        <w:t>P</w:t>
      </w:r>
      <w:r w:rsidR="00122834" w:rsidRPr="001611DC">
        <w:t>owder and suspension for injection (0.5 mL)</w:t>
      </w:r>
      <w:r w:rsidR="00163F66" w:rsidRPr="001611DC">
        <w:t>,</w:t>
      </w:r>
      <w:r w:rsidR="00163F66" w:rsidRPr="001611DC">
        <w:br/>
      </w:r>
      <w:r w:rsidR="00122834" w:rsidRPr="001611DC">
        <w:t>Arexvy</w:t>
      </w:r>
      <w:r w:rsidR="00B60939" w:rsidRPr="001611DC">
        <w:rPr>
          <w:vertAlign w:val="superscript"/>
        </w:rPr>
        <w:t>®</w:t>
      </w:r>
      <w:r w:rsidR="004A6040" w:rsidRPr="001611DC">
        <w:t>,</w:t>
      </w:r>
      <w:r w:rsidR="004A6040" w:rsidRPr="001611DC">
        <w:br/>
      </w:r>
      <w:r w:rsidR="00122834" w:rsidRPr="001611DC">
        <w:t>G</w:t>
      </w:r>
      <w:r w:rsidRPr="001611DC">
        <w:t>laxoSmithKline Australia Pty Ltd.</w:t>
      </w:r>
      <w:bookmarkStart w:id="1" w:name="_Hlk165467611"/>
      <w:bookmarkEnd w:id="0"/>
    </w:p>
    <w:p w14:paraId="7A5FC442" w14:textId="77777777" w:rsidR="009263AC" w:rsidRPr="001611DC" w:rsidRDefault="009263AC" w:rsidP="009263AC">
      <w:pPr>
        <w:pStyle w:val="2-SectionHeading"/>
        <w:numPr>
          <w:ilvl w:val="0"/>
          <w:numId w:val="1"/>
        </w:numPr>
      </w:pPr>
      <w:bookmarkStart w:id="2" w:name="_Toc165203799"/>
      <w:bookmarkStart w:id="3" w:name="_Toc167277504"/>
      <w:bookmarkStart w:id="4" w:name="_Toc22897650"/>
      <w:bookmarkStart w:id="5" w:name="_Toc107927636"/>
      <w:bookmarkStart w:id="6" w:name="_Toc22897649"/>
      <w:bookmarkStart w:id="7" w:name="_Toc107927635"/>
      <w:bookmarkEnd w:id="1"/>
      <w:r w:rsidRPr="001611DC">
        <w:t>Purpose of submission</w:t>
      </w:r>
      <w:bookmarkEnd w:id="2"/>
      <w:bookmarkEnd w:id="3"/>
    </w:p>
    <w:p w14:paraId="4DD7D334" w14:textId="0F1BD1CB" w:rsidR="00B04DB0" w:rsidRPr="001611DC" w:rsidRDefault="009263AC">
      <w:pPr>
        <w:pStyle w:val="3-BodyText"/>
        <w:rPr>
          <w:bCs/>
        </w:rPr>
      </w:pPr>
      <w:r w:rsidRPr="001611DC">
        <w:t>The Category 1 submission requested National Immunisation Program (NIP) listing of a recombinant respiratory syncytial virus (RSV) pre-fusion F protein 3 older adult (RSVPreF3 OA) vaccine for the prevention of RSV-confirmed lower respiratory tract disease (LRTD)</w:t>
      </w:r>
      <w:r w:rsidR="003F1DA4" w:rsidRPr="001611DC">
        <w:t xml:space="preserve"> according to two alternative NIP schedules</w:t>
      </w:r>
      <w:r w:rsidRPr="001611DC">
        <w:t xml:space="preserve"> </w:t>
      </w:r>
      <w:r w:rsidR="003F1DA4" w:rsidRPr="001611DC">
        <w:t xml:space="preserve">(i) </w:t>
      </w:r>
      <w:r w:rsidRPr="001611DC">
        <w:t xml:space="preserve">among adults aged </w:t>
      </w:r>
      <w:r w:rsidR="00E2719A" w:rsidRPr="001611DC">
        <w:t>≥</w:t>
      </w:r>
      <w:r w:rsidRPr="001611DC">
        <w:t>60</w:t>
      </w:r>
      <w:r w:rsidR="001F4410">
        <w:t> </w:t>
      </w:r>
      <w:r w:rsidRPr="001611DC">
        <w:t xml:space="preserve">years of age (YOA) </w:t>
      </w:r>
      <w:r w:rsidR="009C3627" w:rsidRPr="001611DC">
        <w:t>(</w:t>
      </w:r>
      <w:r w:rsidRPr="001611DC">
        <w:t>corresponding to the TGA indication</w:t>
      </w:r>
      <w:r w:rsidR="009C3627" w:rsidRPr="001611DC">
        <w:t>)</w:t>
      </w:r>
      <w:r w:rsidRPr="001611DC">
        <w:t xml:space="preserve"> or</w:t>
      </w:r>
      <w:r w:rsidR="003F1DA4" w:rsidRPr="001611DC">
        <w:t xml:space="preserve"> (ii)</w:t>
      </w:r>
      <w:r w:rsidRPr="001611DC">
        <w:t xml:space="preserve"> </w:t>
      </w:r>
      <w:r w:rsidR="00E2719A" w:rsidRPr="001611DC">
        <w:t>≥</w:t>
      </w:r>
      <w:r w:rsidRPr="001611DC">
        <w:t>75 YOA (</w:t>
      </w:r>
      <w:r w:rsidR="008255C1" w:rsidRPr="001611DC">
        <w:t xml:space="preserve">corresponding to the </w:t>
      </w:r>
      <w:r w:rsidR="00655022" w:rsidRPr="001611DC">
        <w:t>Australian Technical Advisory Group on Immunisation [</w:t>
      </w:r>
      <w:r w:rsidRPr="001611DC">
        <w:t>ATAGI</w:t>
      </w:r>
      <w:r w:rsidR="00655022" w:rsidRPr="001611DC">
        <w:t>]</w:t>
      </w:r>
      <w:r w:rsidRPr="001611DC">
        <w:t xml:space="preserve"> base case). </w:t>
      </w:r>
    </w:p>
    <w:p w14:paraId="5D5AEBDF" w14:textId="1FC40E97" w:rsidR="009263AC" w:rsidRPr="001611DC" w:rsidRDefault="009263AC" w:rsidP="009263AC">
      <w:pPr>
        <w:pStyle w:val="3-BodyText"/>
      </w:pPr>
      <w:r w:rsidRPr="001611DC">
        <w:t xml:space="preserve">Listing was requested </w:t>
      </w:r>
      <w:proofErr w:type="gramStart"/>
      <w:r w:rsidRPr="001611DC">
        <w:t>on the basis of</w:t>
      </w:r>
      <w:proofErr w:type="gramEnd"/>
      <w:r w:rsidRPr="001611DC">
        <w:t xml:space="preserve"> a cost-utility analysis versus no vaccine. The key components of the clinical issues addressed by the submission are presented in </w:t>
      </w:r>
      <w:r w:rsidRPr="001611DC">
        <w:fldChar w:fldCharType="begin" w:fldLock="1"/>
      </w:r>
      <w:r w:rsidRPr="001611DC">
        <w:instrText xml:space="preserve"> REF _Ref164916643 \h  \* MERGEFORMAT </w:instrText>
      </w:r>
      <w:r w:rsidRPr="001611DC">
        <w:fldChar w:fldCharType="separate"/>
      </w:r>
      <w:r w:rsidR="00927933" w:rsidRPr="001611DC">
        <w:t>Table 1</w:t>
      </w:r>
      <w:r w:rsidRPr="001611DC">
        <w:fldChar w:fldCharType="end"/>
      </w:r>
      <w:r w:rsidRPr="001611DC">
        <w:t>.</w:t>
      </w:r>
      <w:r w:rsidRPr="001611DC">
        <w:rPr>
          <w:color w:val="0066FF"/>
        </w:rPr>
        <w:t xml:space="preserve"> </w:t>
      </w:r>
    </w:p>
    <w:p w14:paraId="0417A4AE" w14:textId="7F435789" w:rsidR="009263AC" w:rsidRPr="001611DC" w:rsidRDefault="009263AC" w:rsidP="009263AC">
      <w:pPr>
        <w:pStyle w:val="TableFigureHeading"/>
        <w:rPr>
          <w:rStyle w:val="CommentReference"/>
          <w:b/>
        </w:rPr>
      </w:pPr>
      <w:bookmarkStart w:id="8" w:name="_Ref164916643"/>
      <w:bookmarkStart w:id="9" w:name="_Hlk166506158"/>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w:t>
      </w:r>
      <w:r w:rsidR="005473CE" w:rsidRPr="001611DC">
        <w:fldChar w:fldCharType="end"/>
      </w:r>
      <w:bookmarkEnd w:id="8"/>
      <w:r w:rsidRPr="001611DC">
        <w:t>:</w:t>
      </w:r>
      <w:r w:rsidRPr="001611DC">
        <w:rPr>
          <w:rStyle w:val="CommentReference"/>
        </w:rPr>
        <w:t xml:space="preserve"> </w:t>
      </w:r>
      <w:r w:rsidRPr="001611DC">
        <w:t>Key components of the clinical issues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9263AC" w:rsidRPr="001611DC" w14:paraId="4B9B3117" w14:textId="77777777" w:rsidTr="00EB145B">
        <w:trPr>
          <w:cantSplit/>
          <w:tblHeader/>
        </w:trPr>
        <w:tc>
          <w:tcPr>
            <w:tcW w:w="924" w:type="pct"/>
            <w:shd w:val="clear" w:color="auto" w:fill="auto"/>
          </w:tcPr>
          <w:bookmarkEnd w:id="9"/>
          <w:p w14:paraId="1A155272" w14:textId="77777777" w:rsidR="009263AC" w:rsidRPr="001611DC" w:rsidRDefault="009263AC" w:rsidP="00EB145B">
            <w:pPr>
              <w:pStyle w:val="In-tableHeading"/>
              <w:rPr>
                <w:szCs w:val="20"/>
                <w:lang w:val="en-AU"/>
              </w:rPr>
            </w:pPr>
            <w:r w:rsidRPr="001611DC">
              <w:rPr>
                <w:lang w:val="en-AU"/>
              </w:rPr>
              <w:t>Component</w:t>
            </w:r>
          </w:p>
        </w:tc>
        <w:tc>
          <w:tcPr>
            <w:tcW w:w="4076" w:type="pct"/>
            <w:shd w:val="clear" w:color="auto" w:fill="auto"/>
          </w:tcPr>
          <w:p w14:paraId="3F08B1D6" w14:textId="77777777" w:rsidR="009263AC" w:rsidRPr="001611DC" w:rsidRDefault="009263AC" w:rsidP="00EB145B">
            <w:pPr>
              <w:pStyle w:val="In-tableHeading"/>
              <w:rPr>
                <w:lang w:val="en-AU"/>
              </w:rPr>
            </w:pPr>
            <w:r w:rsidRPr="001611DC">
              <w:rPr>
                <w:lang w:val="en-AU"/>
              </w:rPr>
              <w:t>Description</w:t>
            </w:r>
          </w:p>
        </w:tc>
      </w:tr>
      <w:tr w:rsidR="009263AC" w:rsidRPr="001611DC" w14:paraId="69696A3B" w14:textId="77777777" w:rsidTr="00EB145B">
        <w:trPr>
          <w:cantSplit/>
        </w:trPr>
        <w:tc>
          <w:tcPr>
            <w:tcW w:w="924" w:type="pct"/>
            <w:shd w:val="clear" w:color="auto" w:fill="auto"/>
          </w:tcPr>
          <w:p w14:paraId="1BB70ABC" w14:textId="77777777" w:rsidR="009263AC" w:rsidRPr="001611DC" w:rsidRDefault="009263AC" w:rsidP="00EB145B">
            <w:pPr>
              <w:pStyle w:val="TableText0"/>
            </w:pPr>
            <w:r w:rsidRPr="001611DC">
              <w:t>Population</w:t>
            </w:r>
          </w:p>
        </w:tc>
        <w:tc>
          <w:tcPr>
            <w:tcW w:w="4076" w:type="pct"/>
            <w:shd w:val="clear" w:color="auto" w:fill="auto"/>
            <w:vAlign w:val="center"/>
          </w:tcPr>
          <w:p w14:paraId="58239DCB" w14:textId="39D7FB0C" w:rsidR="009263AC" w:rsidRPr="001611DC" w:rsidRDefault="009263AC" w:rsidP="00EB145B">
            <w:pPr>
              <w:pStyle w:val="TableText0"/>
              <w:rPr>
                <w:szCs w:val="20"/>
              </w:rPr>
            </w:pPr>
            <w:r w:rsidRPr="001611DC">
              <w:t xml:space="preserve">TGA indication: </w:t>
            </w:r>
            <w:r w:rsidR="00E2719A" w:rsidRPr="001611DC">
              <w:t>≥</w:t>
            </w:r>
            <w:r w:rsidRPr="001611DC">
              <w:t xml:space="preserve">60 YOA; ATAGI base case: </w:t>
            </w:r>
            <w:r w:rsidR="00E2719A" w:rsidRPr="001611DC">
              <w:t>≥</w:t>
            </w:r>
            <w:r w:rsidRPr="001611DC">
              <w:t>75 YOA</w:t>
            </w:r>
          </w:p>
        </w:tc>
      </w:tr>
      <w:tr w:rsidR="009263AC" w:rsidRPr="001611DC" w14:paraId="39428F5A" w14:textId="77777777" w:rsidTr="00EB145B">
        <w:trPr>
          <w:cantSplit/>
        </w:trPr>
        <w:tc>
          <w:tcPr>
            <w:tcW w:w="924" w:type="pct"/>
            <w:shd w:val="clear" w:color="auto" w:fill="auto"/>
          </w:tcPr>
          <w:p w14:paraId="0C1D5272" w14:textId="77777777" w:rsidR="009263AC" w:rsidRPr="001611DC" w:rsidRDefault="009263AC" w:rsidP="00EB145B">
            <w:pPr>
              <w:pStyle w:val="TableText0"/>
            </w:pPr>
            <w:r w:rsidRPr="001611DC">
              <w:t>Intervention</w:t>
            </w:r>
          </w:p>
        </w:tc>
        <w:tc>
          <w:tcPr>
            <w:tcW w:w="4076" w:type="pct"/>
            <w:shd w:val="clear" w:color="auto" w:fill="auto"/>
            <w:vAlign w:val="center"/>
          </w:tcPr>
          <w:p w14:paraId="5BF0A04D" w14:textId="77777777" w:rsidR="009263AC" w:rsidRPr="001611DC" w:rsidRDefault="009263AC" w:rsidP="00EB145B">
            <w:pPr>
              <w:pStyle w:val="TableText0"/>
            </w:pPr>
            <w:r w:rsidRPr="001611DC">
              <w:t>RSVPreF3 OA vaccine, single dose</w:t>
            </w:r>
          </w:p>
        </w:tc>
      </w:tr>
      <w:tr w:rsidR="009263AC" w:rsidRPr="001611DC" w14:paraId="016C2A57" w14:textId="77777777" w:rsidTr="00EB145B">
        <w:trPr>
          <w:cantSplit/>
        </w:trPr>
        <w:tc>
          <w:tcPr>
            <w:tcW w:w="924" w:type="pct"/>
            <w:shd w:val="clear" w:color="auto" w:fill="auto"/>
          </w:tcPr>
          <w:p w14:paraId="49824051" w14:textId="77777777" w:rsidR="009263AC" w:rsidRPr="001611DC" w:rsidRDefault="009263AC" w:rsidP="00EB145B">
            <w:pPr>
              <w:pStyle w:val="TableText0"/>
            </w:pPr>
            <w:r w:rsidRPr="001611DC">
              <w:t>Comparator</w:t>
            </w:r>
          </w:p>
        </w:tc>
        <w:tc>
          <w:tcPr>
            <w:tcW w:w="4076" w:type="pct"/>
            <w:shd w:val="clear" w:color="auto" w:fill="auto"/>
            <w:vAlign w:val="center"/>
          </w:tcPr>
          <w:p w14:paraId="24EA4E5A" w14:textId="77777777" w:rsidR="009263AC" w:rsidRPr="001611DC" w:rsidRDefault="009263AC" w:rsidP="00EB145B">
            <w:pPr>
              <w:pStyle w:val="TableText0"/>
            </w:pPr>
            <w:r w:rsidRPr="001611DC">
              <w:t>Primary comparator: no vaccine</w:t>
            </w:r>
          </w:p>
          <w:p w14:paraId="4BCC8DE3" w14:textId="61CA8310" w:rsidR="009263AC" w:rsidRPr="001611DC" w:rsidRDefault="009263AC" w:rsidP="00EB145B">
            <w:pPr>
              <w:pStyle w:val="TableText0"/>
            </w:pPr>
            <w:r w:rsidRPr="001611DC">
              <w:t>Near market vaccines: Pfizer RSVpreF and Moderna mRNA-1345 RSV</w:t>
            </w:r>
          </w:p>
        </w:tc>
      </w:tr>
      <w:tr w:rsidR="009263AC" w:rsidRPr="001611DC" w14:paraId="3D02A340" w14:textId="77777777" w:rsidTr="00EB145B">
        <w:trPr>
          <w:cantSplit/>
        </w:trPr>
        <w:tc>
          <w:tcPr>
            <w:tcW w:w="924" w:type="pct"/>
            <w:shd w:val="clear" w:color="auto" w:fill="auto"/>
          </w:tcPr>
          <w:p w14:paraId="2DA0FC29" w14:textId="77777777" w:rsidR="009263AC" w:rsidRPr="001611DC" w:rsidRDefault="009263AC" w:rsidP="00EB145B">
            <w:pPr>
              <w:pStyle w:val="TableText0"/>
            </w:pPr>
            <w:r w:rsidRPr="001611DC">
              <w:t>Outcomes</w:t>
            </w:r>
          </w:p>
        </w:tc>
        <w:tc>
          <w:tcPr>
            <w:tcW w:w="4076" w:type="pct"/>
            <w:shd w:val="clear" w:color="auto" w:fill="auto"/>
            <w:vAlign w:val="center"/>
          </w:tcPr>
          <w:p w14:paraId="13F67F59" w14:textId="77777777" w:rsidR="009263AC" w:rsidRPr="001611DC" w:rsidRDefault="009263AC" w:rsidP="00EB145B">
            <w:pPr>
              <w:pStyle w:val="TableText0"/>
            </w:pPr>
            <w:r w:rsidRPr="001611DC">
              <w:t xml:space="preserve">Primary efficacy: Single dose during first season – prevention of RSV-confirmed LRTD </w:t>
            </w:r>
          </w:p>
          <w:p w14:paraId="72803F20" w14:textId="77777777" w:rsidR="009263AC" w:rsidRPr="001611DC" w:rsidRDefault="009263AC" w:rsidP="00EB145B">
            <w:pPr>
              <w:pStyle w:val="TableText0"/>
              <w:rPr>
                <w:rFonts w:eastAsia="Times New Roman" w:cs="Arial"/>
                <w:bCs w:val="0"/>
                <w:snapToGrid w:val="0"/>
                <w:color w:val="0066FF"/>
                <w:szCs w:val="20"/>
              </w:rPr>
            </w:pPr>
            <w:r w:rsidRPr="001611DC">
              <w:t>Secondary safety: Solicited (subset) and unsolicited AEs, all SAEs and pIMDs</w:t>
            </w:r>
          </w:p>
        </w:tc>
      </w:tr>
      <w:tr w:rsidR="009263AC" w:rsidRPr="001611DC" w14:paraId="518D6147" w14:textId="77777777" w:rsidTr="00EB145B">
        <w:trPr>
          <w:cantSplit/>
        </w:trPr>
        <w:tc>
          <w:tcPr>
            <w:tcW w:w="924" w:type="pct"/>
            <w:shd w:val="clear" w:color="auto" w:fill="auto"/>
          </w:tcPr>
          <w:p w14:paraId="293DB0C8" w14:textId="77777777" w:rsidR="009263AC" w:rsidRPr="001611DC" w:rsidRDefault="009263AC" w:rsidP="00EB145B">
            <w:pPr>
              <w:pStyle w:val="TableText0"/>
            </w:pPr>
            <w:r w:rsidRPr="001611DC">
              <w:t>Clinical claim</w:t>
            </w:r>
          </w:p>
        </w:tc>
        <w:tc>
          <w:tcPr>
            <w:tcW w:w="4076" w:type="pct"/>
            <w:shd w:val="clear" w:color="auto" w:fill="auto"/>
            <w:vAlign w:val="center"/>
          </w:tcPr>
          <w:p w14:paraId="3EB3BD07" w14:textId="77777777" w:rsidR="009263AC" w:rsidRPr="001611DC" w:rsidRDefault="009263AC" w:rsidP="00EB145B">
            <w:pPr>
              <w:pStyle w:val="TableText0"/>
            </w:pPr>
            <w:r w:rsidRPr="001611DC">
              <w:t>The clinical claim for the RSVPreF3 OA vaccine relative to no vaccine was:</w:t>
            </w:r>
          </w:p>
          <w:p w14:paraId="10677D41" w14:textId="65A6F39B" w:rsidR="009263AC" w:rsidRPr="001611DC" w:rsidRDefault="009263AC" w:rsidP="00D242A3">
            <w:pPr>
              <w:pStyle w:val="TableText0"/>
              <w:numPr>
                <w:ilvl w:val="0"/>
                <w:numId w:val="8"/>
              </w:numPr>
            </w:pPr>
            <w:r w:rsidRPr="001611DC">
              <w:t xml:space="preserve">superiority in terms of comparative efficacy for the prevention of RT-PCR confirmed RSV-associated LRTD in </w:t>
            </w:r>
            <w:r w:rsidRPr="001611DC">
              <w:rPr>
                <w:rFonts w:cs="Times New Roman"/>
                <w:iCs/>
              </w:rPr>
              <w:t xml:space="preserve">people </w:t>
            </w:r>
            <w:r w:rsidRPr="001611DC">
              <w:rPr>
                <w:rFonts w:cs="Times New Roman"/>
                <w:iCs/>
                <w:u w:val="single"/>
              </w:rPr>
              <w:t>&gt;</w:t>
            </w:r>
            <w:r w:rsidRPr="001611DC">
              <w:rPr>
                <w:rFonts w:cs="Times New Roman"/>
                <w:iCs/>
              </w:rPr>
              <w:t xml:space="preserve">60 YOA, inclusive of those </w:t>
            </w:r>
            <w:r w:rsidR="008255C1" w:rsidRPr="001611DC">
              <w:t>≥</w:t>
            </w:r>
            <w:r w:rsidRPr="001611DC">
              <w:rPr>
                <w:rFonts w:cs="Times New Roman"/>
                <w:iCs/>
              </w:rPr>
              <w:t>75 YOA</w:t>
            </w:r>
            <w:r w:rsidRPr="001611DC">
              <w:t>.</w:t>
            </w:r>
            <w:r w:rsidR="001F4410">
              <w:t xml:space="preserve"> </w:t>
            </w:r>
          </w:p>
          <w:p w14:paraId="6D3CD391" w14:textId="77777777" w:rsidR="009263AC" w:rsidRPr="001611DC" w:rsidRDefault="009263AC" w:rsidP="00D242A3">
            <w:pPr>
              <w:pStyle w:val="TableText0"/>
              <w:numPr>
                <w:ilvl w:val="0"/>
                <w:numId w:val="8"/>
              </w:numPr>
            </w:pPr>
            <w:r w:rsidRPr="001611DC">
              <w:t>an acceptable comparative safety profile despite being slightly more reactogenic than placebo (no vaccine).</w:t>
            </w:r>
          </w:p>
        </w:tc>
      </w:tr>
    </w:tbl>
    <w:p w14:paraId="37D9C785" w14:textId="01E9E0DE" w:rsidR="009263AC" w:rsidRPr="001611DC" w:rsidRDefault="009263AC" w:rsidP="009263AC">
      <w:pPr>
        <w:pStyle w:val="FooterTableFigure"/>
      </w:pPr>
      <w:r w:rsidRPr="001611DC">
        <w:t>Source: Table 1-1 of the submission.</w:t>
      </w:r>
    </w:p>
    <w:p w14:paraId="38C81448" w14:textId="77777777" w:rsidR="009263AC" w:rsidRPr="001611DC" w:rsidRDefault="009263AC" w:rsidP="009263AC">
      <w:pPr>
        <w:pStyle w:val="FooterTableFigure"/>
      </w:pPr>
      <w:r w:rsidRPr="001611DC">
        <w:t>AE = adverse event; ATAGI = Australian Technical Advisory Group on Immunisation; LRTD = lower respiratory tract disease; pIMD = potential immune mediated disorder; RSV = respiratory syncytial virus; RSVPreF3 OA= RSV Pre-fusion protein 3 older adult; RT-PCR = reverse transcriptase polymerase chain reaction; SAE = serious adverse event; YOA = years of age.</w:t>
      </w:r>
    </w:p>
    <w:p w14:paraId="2A0853A4" w14:textId="77777777" w:rsidR="009263AC" w:rsidRPr="001611DC" w:rsidRDefault="009263AC" w:rsidP="009263AC">
      <w:pPr>
        <w:pStyle w:val="2-SectionHeading"/>
        <w:numPr>
          <w:ilvl w:val="0"/>
          <w:numId w:val="1"/>
        </w:numPr>
      </w:pPr>
      <w:bookmarkStart w:id="10" w:name="_Toc165203800"/>
      <w:bookmarkStart w:id="11" w:name="_Toc167277505"/>
      <w:r w:rsidRPr="001611DC">
        <w:t>Background</w:t>
      </w:r>
      <w:bookmarkEnd w:id="10"/>
      <w:bookmarkEnd w:id="11"/>
    </w:p>
    <w:p w14:paraId="1C7D8E6D" w14:textId="77777777" w:rsidR="009263AC" w:rsidRPr="001611DC" w:rsidRDefault="009263AC" w:rsidP="009263AC">
      <w:pPr>
        <w:pStyle w:val="4-SubsectionHeading"/>
      </w:pPr>
      <w:bookmarkStart w:id="12" w:name="_Toc22897638"/>
      <w:bookmarkStart w:id="13" w:name="_Toc165203801"/>
      <w:bookmarkStart w:id="14" w:name="_Toc167277506"/>
      <w:r w:rsidRPr="001611DC">
        <w:t>Registration status</w:t>
      </w:r>
      <w:bookmarkEnd w:id="12"/>
      <w:bookmarkEnd w:id="13"/>
      <w:bookmarkEnd w:id="14"/>
    </w:p>
    <w:p w14:paraId="17CDA8E4" w14:textId="6B21019F" w:rsidR="009263AC" w:rsidRPr="001611DC" w:rsidRDefault="009263AC" w:rsidP="009263AC">
      <w:pPr>
        <w:pStyle w:val="3-BodyText"/>
        <w:rPr>
          <w:color w:val="0066FF"/>
        </w:rPr>
      </w:pPr>
      <w:r w:rsidRPr="001611DC">
        <w:t xml:space="preserve">RSVPreF3 OA was approved for registration by the Therapeutic Goods Administration (TGA) for ‘active immunisation of individuals 60 years and older for the prevention of LRTD caused by RSV’ on 14 January 2024. </w:t>
      </w:r>
    </w:p>
    <w:p w14:paraId="4FBC24A4" w14:textId="05798424" w:rsidR="00345D8B" w:rsidRPr="001611DC" w:rsidRDefault="009C478A" w:rsidP="00345D8B">
      <w:pPr>
        <w:pStyle w:val="ExecSumBodyText"/>
        <w:numPr>
          <w:ilvl w:val="1"/>
          <w:numId w:val="1"/>
        </w:numPr>
      </w:pPr>
      <w:r w:rsidRPr="001611DC">
        <w:lastRenderedPageBreak/>
        <w:t>The submission reported that additional data had been submitted to the TGA for evaluation in April 2024</w:t>
      </w:r>
      <w:r w:rsidRPr="001611DC">
        <w:rPr>
          <w:rStyle w:val="FootnoteReference"/>
        </w:rPr>
        <w:footnoteReference w:id="2"/>
      </w:r>
      <w:r w:rsidRPr="001611DC">
        <w:t>.</w:t>
      </w:r>
    </w:p>
    <w:p w14:paraId="391744B2" w14:textId="77777777" w:rsidR="009263AC" w:rsidRPr="001611DC" w:rsidRDefault="009263AC" w:rsidP="007C643C">
      <w:pPr>
        <w:pStyle w:val="2-SectionHeading"/>
        <w:keepLines/>
        <w:numPr>
          <w:ilvl w:val="0"/>
          <w:numId w:val="1"/>
        </w:numPr>
      </w:pPr>
      <w:bookmarkStart w:id="15" w:name="_Toc107902078"/>
      <w:bookmarkStart w:id="16" w:name="_Toc165203802"/>
      <w:bookmarkStart w:id="17" w:name="_Toc167277507"/>
      <w:bookmarkEnd w:id="15"/>
      <w:r w:rsidRPr="001611DC">
        <w:t>Requested listing</w:t>
      </w:r>
      <w:bookmarkEnd w:id="16"/>
      <w:bookmarkEnd w:id="17"/>
    </w:p>
    <w:tbl>
      <w:tblPr>
        <w:tblStyle w:val="TableGrid"/>
        <w:tblpPr w:leftFromText="180" w:rightFromText="180" w:vertAnchor="text" w:tblpY="1"/>
        <w:tblOverlap w:val="never"/>
        <w:tblW w:w="0" w:type="auto"/>
        <w:tblLook w:val="04A0" w:firstRow="1" w:lastRow="0" w:firstColumn="1" w:lastColumn="0" w:noHBand="0" w:noVBand="1"/>
      </w:tblPr>
      <w:tblGrid>
        <w:gridCol w:w="2999"/>
        <w:gridCol w:w="1567"/>
        <w:gridCol w:w="1248"/>
        <w:gridCol w:w="1233"/>
        <w:gridCol w:w="908"/>
        <w:gridCol w:w="1062"/>
      </w:tblGrid>
      <w:tr w:rsidR="002A0EFA" w:rsidRPr="001611DC" w14:paraId="7EF8BB14" w14:textId="77777777" w:rsidTr="00AA57EF">
        <w:trPr>
          <w:tblHeader/>
        </w:trPr>
        <w:tc>
          <w:tcPr>
            <w:tcW w:w="0" w:type="auto"/>
          </w:tcPr>
          <w:p w14:paraId="4CB33987" w14:textId="77777777" w:rsidR="002A0EFA" w:rsidRPr="001611DC" w:rsidRDefault="002A0EFA" w:rsidP="002A0EFA">
            <w:pPr>
              <w:keepNext/>
              <w:keepLines/>
              <w:rPr>
                <w:rFonts w:ascii="Arial Narrow" w:hAnsi="Arial Narrow"/>
                <w:b/>
                <w:bCs/>
                <w:sz w:val="20"/>
                <w:szCs w:val="20"/>
              </w:rPr>
            </w:pPr>
            <w:r w:rsidRPr="001611DC">
              <w:rPr>
                <w:rFonts w:ascii="Arial Narrow" w:hAnsi="Arial Narrow"/>
                <w:b/>
                <w:bCs/>
                <w:sz w:val="20"/>
                <w:szCs w:val="20"/>
              </w:rPr>
              <w:t>MEDICINAL PRODUCT</w:t>
            </w:r>
          </w:p>
          <w:p w14:paraId="12B2DA38" w14:textId="77777777" w:rsidR="002A0EFA" w:rsidRPr="001611DC" w:rsidRDefault="002A0EFA" w:rsidP="002A0EFA">
            <w:pPr>
              <w:pStyle w:val="In-tableHeading"/>
              <w:keepLines/>
              <w:rPr>
                <w:bCs/>
                <w:lang w:val="en-AU"/>
              </w:rPr>
            </w:pPr>
          </w:p>
        </w:tc>
        <w:tc>
          <w:tcPr>
            <w:tcW w:w="0" w:type="auto"/>
            <w:vAlign w:val="center"/>
          </w:tcPr>
          <w:p w14:paraId="58595A3B" w14:textId="6A0BD765" w:rsidR="002A0EFA" w:rsidRPr="001611DC" w:rsidRDefault="002A0EFA" w:rsidP="002A0EFA">
            <w:pPr>
              <w:pStyle w:val="In-tableHeading"/>
              <w:keepLines/>
              <w:jc w:val="center"/>
              <w:rPr>
                <w:lang w:val="en-AU"/>
              </w:rPr>
            </w:pPr>
            <w:r w:rsidRPr="001611DC">
              <w:rPr>
                <w:snapToGrid w:val="0"/>
                <w:lang w:val="en-AU"/>
              </w:rPr>
              <w:t>Nationally Negotiated Price (requested)</w:t>
            </w:r>
          </w:p>
        </w:tc>
        <w:tc>
          <w:tcPr>
            <w:tcW w:w="0" w:type="auto"/>
          </w:tcPr>
          <w:p w14:paraId="74D5157B" w14:textId="5F5B9B15" w:rsidR="002A0EFA" w:rsidRPr="001611DC" w:rsidRDefault="002A0EFA" w:rsidP="002A0EFA">
            <w:pPr>
              <w:pStyle w:val="In-tableHeading"/>
              <w:keepLines/>
              <w:jc w:val="center"/>
              <w:rPr>
                <w:bCs/>
                <w:lang w:val="en-AU"/>
              </w:rPr>
            </w:pPr>
            <w:r w:rsidRPr="001611DC">
              <w:rPr>
                <w:lang w:val="en-AU"/>
              </w:rPr>
              <w:t>Maximum quantity (packs)</w:t>
            </w:r>
          </w:p>
        </w:tc>
        <w:tc>
          <w:tcPr>
            <w:tcW w:w="0" w:type="auto"/>
          </w:tcPr>
          <w:p w14:paraId="2DA6094B" w14:textId="77777777" w:rsidR="002A0EFA" w:rsidRPr="001611DC" w:rsidRDefault="002A0EFA" w:rsidP="002A0EFA">
            <w:pPr>
              <w:pStyle w:val="In-tableHeading"/>
              <w:keepLines/>
              <w:jc w:val="center"/>
              <w:rPr>
                <w:bCs/>
                <w:lang w:val="en-AU"/>
              </w:rPr>
            </w:pPr>
            <w:r w:rsidRPr="001611DC">
              <w:rPr>
                <w:lang w:val="en-AU"/>
              </w:rPr>
              <w:t>Maximum quantity (units)</w:t>
            </w:r>
          </w:p>
        </w:tc>
        <w:tc>
          <w:tcPr>
            <w:tcW w:w="0" w:type="auto"/>
          </w:tcPr>
          <w:p w14:paraId="55BF5497" w14:textId="77777777" w:rsidR="002A0EFA" w:rsidRPr="001611DC" w:rsidRDefault="002A0EFA" w:rsidP="002A0EFA">
            <w:pPr>
              <w:pStyle w:val="In-tableHeading"/>
              <w:keepLines/>
              <w:jc w:val="center"/>
              <w:rPr>
                <w:bCs/>
                <w:lang w:val="en-AU"/>
              </w:rPr>
            </w:pPr>
            <w:r w:rsidRPr="001611DC">
              <w:rPr>
                <w:lang w:val="en-AU"/>
              </w:rPr>
              <w:t>No. of repeats</w:t>
            </w:r>
          </w:p>
        </w:tc>
        <w:tc>
          <w:tcPr>
            <w:tcW w:w="0" w:type="auto"/>
            <w:vAlign w:val="center"/>
          </w:tcPr>
          <w:p w14:paraId="281D1699" w14:textId="77777777" w:rsidR="002A0EFA" w:rsidRPr="001611DC" w:rsidRDefault="002A0EFA" w:rsidP="002A0EFA">
            <w:pPr>
              <w:pStyle w:val="In-tableHeading"/>
              <w:keepLines/>
              <w:rPr>
                <w:bCs/>
                <w:lang w:val="en-AU"/>
              </w:rPr>
            </w:pPr>
            <w:r w:rsidRPr="001611DC">
              <w:rPr>
                <w:lang w:val="en-AU"/>
              </w:rPr>
              <w:t>Available brands</w:t>
            </w:r>
          </w:p>
        </w:tc>
      </w:tr>
      <w:tr w:rsidR="002A0EFA" w:rsidRPr="001611DC" w14:paraId="14D17BE1" w14:textId="77777777" w:rsidTr="00AA57EF">
        <w:trPr>
          <w:trHeight w:val="357"/>
          <w:tblHeader/>
        </w:trPr>
        <w:tc>
          <w:tcPr>
            <w:tcW w:w="0" w:type="auto"/>
          </w:tcPr>
          <w:p w14:paraId="272DE3C1" w14:textId="32C699C7" w:rsidR="002A0EFA" w:rsidRPr="001611DC" w:rsidRDefault="002A0EFA" w:rsidP="002A0EFA">
            <w:pPr>
              <w:pStyle w:val="Tabletext"/>
              <w:keepNext/>
              <w:keepLines/>
              <w:rPr>
                <w:iCs/>
              </w:rPr>
            </w:pPr>
            <w:r w:rsidRPr="001611DC">
              <w:rPr>
                <w:bCs/>
              </w:rPr>
              <w:t>Recombinant Respiratory Syncytial Virus (RSV) pre-fusion F protein 3 older adult vaccine, 120 mcg powder vial and suspension vial</w:t>
            </w:r>
            <w:r w:rsidR="001F4410">
              <w:rPr>
                <w:bCs/>
              </w:rPr>
              <w:t xml:space="preserve"> </w:t>
            </w:r>
          </w:p>
        </w:tc>
        <w:tc>
          <w:tcPr>
            <w:tcW w:w="0" w:type="auto"/>
            <w:vAlign w:val="center"/>
          </w:tcPr>
          <w:p w14:paraId="2798B1EE" w14:textId="636533A8" w:rsidR="002A0EFA" w:rsidRPr="001611DC" w:rsidRDefault="002A0EFA" w:rsidP="002A0EFA">
            <w:pPr>
              <w:pStyle w:val="Tabletext"/>
              <w:keepNext/>
              <w:keepLines/>
              <w:jc w:val="center"/>
              <w:rPr>
                <w:highlight w:val="lightGray"/>
              </w:rPr>
            </w:pPr>
            <w:r w:rsidRPr="001611DC">
              <w:rPr>
                <w:iCs/>
              </w:rPr>
              <w:t>$</w:t>
            </w:r>
            <w:r w:rsidR="00BD3549" w:rsidRPr="00BD3549">
              <w:rPr>
                <w:iCs/>
                <w:color w:val="000000"/>
                <w:shd w:val="solid" w:color="000000" w:fill="000000"/>
                <w14:textFill>
                  <w14:solidFill>
                    <w14:srgbClr w14:val="000000">
                      <w14:alpha w14:val="100000"/>
                    </w14:srgbClr>
                  </w14:solidFill>
                </w14:textFill>
              </w:rPr>
              <w:t>|</w:t>
            </w:r>
          </w:p>
        </w:tc>
        <w:tc>
          <w:tcPr>
            <w:tcW w:w="0" w:type="auto"/>
            <w:vAlign w:val="center"/>
          </w:tcPr>
          <w:p w14:paraId="2C263ABB" w14:textId="76E76EF5" w:rsidR="002A0EFA" w:rsidRPr="001611DC" w:rsidRDefault="002A0EFA" w:rsidP="002A0EFA">
            <w:pPr>
              <w:pStyle w:val="Tabletext"/>
              <w:keepNext/>
              <w:keepLines/>
              <w:jc w:val="center"/>
              <w:rPr>
                <w:iCs/>
              </w:rPr>
            </w:pPr>
            <w:r w:rsidRPr="001611DC">
              <w:rPr>
                <w:iCs/>
              </w:rPr>
              <w:t>1</w:t>
            </w:r>
          </w:p>
        </w:tc>
        <w:tc>
          <w:tcPr>
            <w:tcW w:w="0" w:type="auto"/>
            <w:vAlign w:val="center"/>
          </w:tcPr>
          <w:p w14:paraId="51A7D6F3" w14:textId="77777777" w:rsidR="002A0EFA" w:rsidRPr="001611DC" w:rsidRDefault="002A0EFA" w:rsidP="002A0EFA">
            <w:pPr>
              <w:pStyle w:val="Tabletext"/>
              <w:keepNext/>
              <w:keepLines/>
              <w:jc w:val="center"/>
              <w:rPr>
                <w:iCs/>
              </w:rPr>
            </w:pPr>
            <w:r w:rsidRPr="001611DC">
              <w:rPr>
                <w:iCs/>
              </w:rPr>
              <w:t>1</w:t>
            </w:r>
          </w:p>
        </w:tc>
        <w:tc>
          <w:tcPr>
            <w:tcW w:w="0" w:type="auto"/>
            <w:vAlign w:val="center"/>
          </w:tcPr>
          <w:p w14:paraId="2EEDF8E7" w14:textId="77777777" w:rsidR="002A0EFA" w:rsidRPr="001611DC" w:rsidRDefault="002A0EFA" w:rsidP="002A0EFA">
            <w:pPr>
              <w:pStyle w:val="Tabletext"/>
              <w:keepNext/>
              <w:keepLines/>
              <w:jc w:val="center"/>
              <w:rPr>
                <w:iCs/>
              </w:rPr>
            </w:pPr>
            <w:r w:rsidRPr="001611DC">
              <w:rPr>
                <w:iCs/>
              </w:rPr>
              <w:t>0</w:t>
            </w:r>
          </w:p>
        </w:tc>
        <w:tc>
          <w:tcPr>
            <w:tcW w:w="0" w:type="auto"/>
            <w:vAlign w:val="center"/>
          </w:tcPr>
          <w:p w14:paraId="7A727A79" w14:textId="77777777" w:rsidR="002A0EFA" w:rsidRPr="001611DC" w:rsidRDefault="002A0EFA" w:rsidP="002A0EFA">
            <w:pPr>
              <w:pStyle w:val="Tabletext"/>
              <w:keepNext/>
              <w:keepLines/>
              <w:rPr>
                <w:iCs/>
              </w:rPr>
            </w:pPr>
            <w:r w:rsidRPr="001611DC">
              <w:rPr>
                <w:iCs/>
              </w:rPr>
              <w:t>Arexvy</w:t>
            </w:r>
          </w:p>
        </w:tc>
      </w:tr>
      <w:tr w:rsidR="002A0EFA" w:rsidRPr="001611DC" w14:paraId="7E1B85F8" w14:textId="77777777" w:rsidTr="00AA57EF">
        <w:trPr>
          <w:trHeight w:val="357"/>
          <w:tblHeader/>
        </w:trPr>
        <w:tc>
          <w:tcPr>
            <w:tcW w:w="0" w:type="auto"/>
          </w:tcPr>
          <w:p w14:paraId="0B797B58" w14:textId="77777777" w:rsidR="002A0EFA" w:rsidRPr="001611DC" w:rsidRDefault="002A0EFA" w:rsidP="002A0EFA">
            <w:pPr>
              <w:pStyle w:val="Tabletext"/>
              <w:keepNext/>
              <w:keepLines/>
              <w:jc w:val="both"/>
            </w:pPr>
          </w:p>
        </w:tc>
        <w:tc>
          <w:tcPr>
            <w:tcW w:w="0" w:type="auto"/>
            <w:gridSpan w:val="5"/>
          </w:tcPr>
          <w:p w14:paraId="438A2D65" w14:textId="27EEB3EE" w:rsidR="002A0EFA" w:rsidRPr="001611DC" w:rsidRDefault="002A0EFA" w:rsidP="002A0EFA">
            <w:pPr>
              <w:pStyle w:val="Tabletext"/>
              <w:keepNext/>
              <w:keepLines/>
              <w:jc w:val="both"/>
            </w:pPr>
            <w:r w:rsidRPr="001611DC">
              <w:t>National Immunisation Program</w:t>
            </w:r>
          </w:p>
          <w:p w14:paraId="26FC608C" w14:textId="3F471EB3" w:rsidR="002A0EFA" w:rsidRPr="001611DC" w:rsidRDefault="002A0EFA" w:rsidP="002A0EFA">
            <w:pPr>
              <w:pStyle w:val="Tabletext"/>
              <w:keepNext/>
              <w:keepLines/>
              <w:numPr>
                <w:ilvl w:val="0"/>
                <w:numId w:val="16"/>
              </w:numPr>
              <w:jc w:val="both"/>
            </w:pPr>
            <w:r w:rsidRPr="001611DC">
              <w:t xml:space="preserve">Adults ≥60 YOA; or </w:t>
            </w:r>
          </w:p>
          <w:p w14:paraId="37566258" w14:textId="6F5E11D5" w:rsidR="002A0EFA" w:rsidRPr="001611DC" w:rsidRDefault="002A0EFA" w:rsidP="002A0EFA">
            <w:pPr>
              <w:pStyle w:val="Tabletext"/>
              <w:keepNext/>
              <w:keepLines/>
              <w:numPr>
                <w:ilvl w:val="0"/>
                <w:numId w:val="16"/>
              </w:numPr>
              <w:jc w:val="both"/>
            </w:pPr>
            <w:r w:rsidRPr="001611DC">
              <w:t>Adults ≥75 YOA.</w:t>
            </w:r>
          </w:p>
          <w:p w14:paraId="7FD7350F" w14:textId="77777777" w:rsidR="002A0EFA" w:rsidRPr="001611DC" w:rsidRDefault="002A0EFA" w:rsidP="002A0EFA">
            <w:pPr>
              <w:pStyle w:val="Tabletext"/>
              <w:keepNext/>
              <w:keepLines/>
              <w:rPr>
                <w:iCs/>
              </w:rPr>
            </w:pPr>
            <w:r w:rsidRPr="001611DC">
              <w:t>Duration of listing: ongoing NIP cohort</w:t>
            </w:r>
          </w:p>
        </w:tc>
      </w:tr>
    </w:tbl>
    <w:p w14:paraId="00EF6F50" w14:textId="77777777" w:rsidR="009263AC" w:rsidRPr="001611DC" w:rsidRDefault="009263AC" w:rsidP="007C643C">
      <w:pPr>
        <w:pStyle w:val="FooterTableFigure"/>
        <w:keepNext/>
        <w:keepLines/>
      </w:pPr>
      <w:r w:rsidRPr="001611DC">
        <w:t>Source: Compiled during the evaluation from Tables 1-4, 1-10 and 3-36 of the submission</w:t>
      </w:r>
    </w:p>
    <w:p w14:paraId="7C8DF90B" w14:textId="77777777" w:rsidR="009263AC" w:rsidRPr="001611DC" w:rsidRDefault="009263AC" w:rsidP="007C643C">
      <w:pPr>
        <w:pStyle w:val="FooterTableFigure"/>
        <w:keepNext/>
        <w:keepLines/>
      </w:pPr>
      <w:r w:rsidRPr="001611DC">
        <w:t>NIP = National Immunisation Program; RSV = respiratory syncytial virus; YOA = years of age.</w:t>
      </w:r>
    </w:p>
    <w:p w14:paraId="6D9828E9" w14:textId="77777777" w:rsidR="009263AC" w:rsidRPr="001611DC" w:rsidRDefault="009263AC" w:rsidP="007C643C">
      <w:pPr>
        <w:pStyle w:val="FooterTableFigure"/>
        <w:keepNext/>
        <w:keepLines/>
        <w:rPr>
          <w:iCs/>
        </w:rPr>
      </w:pPr>
      <w:r w:rsidRPr="001611DC">
        <w:t xml:space="preserve">The submission noted that </w:t>
      </w:r>
      <w:r w:rsidRPr="001611DC">
        <w:rPr>
          <w:iCs/>
        </w:rPr>
        <w:t>RSVPreF3 OA vaccine will be available in a pack size of 1 vial powder plus 1 vial suspension or in a pack size of 10 vials of powder plus 10 vials of suspension.</w:t>
      </w:r>
    </w:p>
    <w:p w14:paraId="490F5AA5" w14:textId="0BF3B780" w:rsidR="004519B3" w:rsidRPr="001611DC" w:rsidRDefault="004519B3" w:rsidP="004519B3">
      <w:pPr>
        <w:pStyle w:val="ExecSumBodyText"/>
        <w:numPr>
          <w:ilvl w:val="1"/>
          <w:numId w:val="1"/>
        </w:numPr>
      </w:pPr>
      <w:r w:rsidRPr="001611DC">
        <w:t>The submission proposed 2 alternative NIP schedules</w:t>
      </w:r>
      <w:r w:rsidR="00955B02" w:rsidRPr="001611DC">
        <w:t>:</w:t>
      </w:r>
      <w:r w:rsidRPr="001611DC">
        <w:t xml:space="preserve"> one dose of RSVpreF3 OA in adults aged </w:t>
      </w:r>
      <w:r w:rsidR="00E2719A" w:rsidRPr="001611DC">
        <w:rPr>
          <w:bCs/>
          <w:iCs/>
        </w:rPr>
        <w:t>≥</w:t>
      </w:r>
      <w:r w:rsidRPr="001611DC">
        <w:t>60 YOA (corresponding to the TGA indication)</w:t>
      </w:r>
      <w:r w:rsidR="00955B02" w:rsidRPr="001611DC">
        <w:t>;</w:t>
      </w:r>
      <w:r w:rsidRPr="001611DC">
        <w:t xml:space="preserve"> or one dose of RSVpreF3 OA in adults aged </w:t>
      </w:r>
      <w:r w:rsidR="00E2719A" w:rsidRPr="001611DC">
        <w:rPr>
          <w:bCs/>
        </w:rPr>
        <w:t>≥</w:t>
      </w:r>
      <w:r w:rsidRPr="001611DC">
        <w:t>75 YOA (</w:t>
      </w:r>
      <w:r w:rsidR="009C478A" w:rsidRPr="001611DC">
        <w:t xml:space="preserve">corresponding to the </w:t>
      </w:r>
      <w:r w:rsidRPr="001611DC">
        <w:t xml:space="preserve">ATAGI base case). An alternative was also described but not explicitly requested (paragraph </w:t>
      </w:r>
      <w:r w:rsidRPr="001611DC">
        <w:fldChar w:fldCharType="begin" w:fldLock="1"/>
      </w:r>
      <w:r w:rsidRPr="001611DC">
        <w:instrText xml:space="preserve"> REF _Ref170125556 \r \h  \* MERGEFORMAT </w:instrText>
      </w:r>
      <w:r w:rsidRPr="001611DC">
        <w:fldChar w:fldCharType="separate"/>
      </w:r>
      <w:r w:rsidR="00927933" w:rsidRPr="001611DC">
        <w:t>3.8</w:t>
      </w:r>
      <w:r w:rsidRPr="001611DC">
        <w:fldChar w:fldCharType="end"/>
      </w:r>
      <w:r w:rsidRPr="001611DC">
        <w:t xml:space="preserve"> below): Adults </w:t>
      </w:r>
      <w:r w:rsidR="00E2719A" w:rsidRPr="001611DC">
        <w:t>≥</w:t>
      </w:r>
      <w:r w:rsidRPr="001611DC">
        <w:t>75 YOA, 60-74 YOA at high risk for severe RSV infection, and 60-74 YOA First Nations people</w:t>
      </w:r>
      <w:r w:rsidR="009C478A" w:rsidRPr="001611DC">
        <w:t xml:space="preserve"> (</w:t>
      </w:r>
      <w:r w:rsidR="005866A9" w:rsidRPr="001611DC">
        <w:t>corresponding to the ATAGI’s statement on the clinical use of RSVPreF3 OA</w:t>
      </w:r>
      <w:r w:rsidR="005866A9" w:rsidRPr="001611DC">
        <w:rPr>
          <w:rStyle w:val="FootnoteReference"/>
        </w:rPr>
        <w:footnoteReference w:id="3"/>
      </w:r>
      <w:r w:rsidR="005866A9" w:rsidRPr="001611DC">
        <w:t>)</w:t>
      </w:r>
      <w:r w:rsidRPr="001611DC">
        <w:t>.</w:t>
      </w:r>
    </w:p>
    <w:p w14:paraId="505A83BC" w14:textId="1C75540A" w:rsidR="009263AC" w:rsidRPr="001611DC" w:rsidRDefault="009263AC" w:rsidP="009263AC">
      <w:pPr>
        <w:pStyle w:val="3-BodyText"/>
      </w:pPr>
      <w:r w:rsidRPr="001611DC">
        <w:t>The price proposed in the submission is shown above.</w:t>
      </w:r>
      <w:r w:rsidR="001F4410">
        <w:t xml:space="preserve"> </w:t>
      </w:r>
      <w:r w:rsidRPr="001611DC">
        <w:rPr>
          <w:iCs/>
        </w:rPr>
        <w:t>The nationally negotiated price will not be known until after the PBAC has determined the cost</w:t>
      </w:r>
      <w:r w:rsidRPr="001611DC">
        <w:rPr>
          <w:iCs/>
        </w:rPr>
        <w:noBreakHyphen/>
        <w:t>effective price.</w:t>
      </w:r>
    </w:p>
    <w:p w14:paraId="6FA9705A" w14:textId="553C2961" w:rsidR="004519B3" w:rsidRPr="001611DC" w:rsidRDefault="004519B3" w:rsidP="004519B3">
      <w:pPr>
        <w:pStyle w:val="ExecSumBodyText"/>
        <w:numPr>
          <w:ilvl w:val="1"/>
          <w:numId w:val="1"/>
        </w:numPr>
      </w:pPr>
      <w:bookmarkStart w:id="18" w:name="_Ref172733622"/>
      <w:bookmarkStart w:id="19" w:name="_Ref170111174"/>
      <w:bookmarkStart w:id="20" w:name="_Ref170061090"/>
      <w:r w:rsidRPr="001611DC">
        <w:t xml:space="preserve">ATAGI’s statement on the clinical use of RSVPreF3 OA, which is currently available on the private market for the prevention of RSV disease in older Australian adults, recommends a single dose for (i) adults aged </w:t>
      </w:r>
      <w:r w:rsidR="00E2719A" w:rsidRPr="001611DC">
        <w:t>≥</w:t>
      </w:r>
      <w:r w:rsidRPr="001611DC">
        <w:t xml:space="preserve">75, (ii) Aboriginal and/or Torres Strait Islander peoples aged 60 to 74 years and (iii) adults aged 60 to 74 years with medical conditions that increase their risk of severe disease due to RSV. Additionally, the ATAGI statement suggested that all other adults aged 60 to 74 years can consider RSV vaccination, while noting that the burden of RSV disease is lower in this age group than in people aged </w:t>
      </w:r>
      <w:r w:rsidR="00E2719A" w:rsidRPr="001611DC">
        <w:t>≥</w:t>
      </w:r>
      <w:r w:rsidRPr="001611DC">
        <w:t>75 years, and therefore the benefits of vaccination may be less.</w:t>
      </w:r>
      <w:bookmarkEnd w:id="18"/>
      <w:r w:rsidRPr="001611DC">
        <w:t xml:space="preserve"> </w:t>
      </w:r>
    </w:p>
    <w:p w14:paraId="3B7CB171" w14:textId="7CDF2426" w:rsidR="009263AC" w:rsidRPr="001611DC" w:rsidRDefault="009263AC" w:rsidP="009263AC">
      <w:pPr>
        <w:pStyle w:val="ExecSumBodyText"/>
        <w:numPr>
          <w:ilvl w:val="1"/>
          <w:numId w:val="1"/>
        </w:numPr>
      </w:pPr>
      <w:bookmarkStart w:id="21" w:name="_Ref174371053"/>
      <w:bookmarkEnd w:id="19"/>
      <w:r w:rsidRPr="001611DC">
        <w:t>ATAGI’s statement</w:t>
      </w:r>
      <w:r w:rsidR="004519B3" w:rsidRPr="001611DC">
        <w:rPr>
          <w:vertAlign w:val="superscript"/>
        </w:rPr>
        <w:t>1</w:t>
      </w:r>
      <w:r w:rsidRPr="001611DC">
        <w:t xml:space="preserve"> notes that Arexvy is administered as a single dose of 0.5 mL by intramuscular injection and may be given at any time of the year. </w:t>
      </w:r>
      <w:r w:rsidRPr="001611DC">
        <w:rPr>
          <w:iCs/>
        </w:rPr>
        <w:t xml:space="preserve">The month of </w:t>
      </w:r>
      <w:r w:rsidRPr="001611DC">
        <w:rPr>
          <w:iCs/>
        </w:rPr>
        <w:lastRenderedPageBreak/>
        <w:t xml:space="preserve">administration may impact the benefits of vaccination due to seasonality of RSV (see </w:t>
      </w:r>
      <w:r w:rsidR="00D95D11" w:rsidRPr="001611DC">
        <w:rPr>
          <w:iCs/>
        </w:rPr>
        <w:t xml:space="preserve">Sensitivity analyses presented in </w:t>
      </w:r>
      <w:r w:rsidRPr="001611DC">
        <w:rPr>
          <w:iCs/>
        </w:rPr>
        <w:fldChar w:fldCharType="begin" w:fldLock="1"/>
      </w:r>
      <w:r w:rsidRPr="001611DC">
        <w:rPr>
          <w:iCs/>
        </w:rPr>
        <w:instrText xml:space="preserve"> REF _Ref104804865 \h  \* MERGEFORMAT </w:instrText>
      </w:r>
      <w:r w:rsidRPr="001611DC">
        <w:rPr>
          <w:iCs/>
        </w:rPr>
      </w:r>
      <w:r w:rsidRPr="001611DC">
        <w:rPr>
          <w:iCs/>
        </w:rPr>
        <w:fldChar w:fldCharType="separate"/>
      </w:r>
      <w:r w:rsidR="00927933" w:rsidRPr="001611DC">
        <w:t>Table 24</w:t>
      </w:r>
      <w:r w:rsidRPr="001611DC">
        <w:rPr>
          <w:iCs/>
        </w:rPr>
        <w:fldChar w:fldCharType="end"/>
      </w:r>
      <w:r w:rsidRPr="001611DC">
        <w:rPr>
          <w:iCs/>
        </w:rPr>
        <w:t>).</w:t>
      </w:r>
      <w:bookmarkEnd w:id="20"/>
      <w:bookmarkEnd w:id="21"/>
    </w:p>
    <w:p w14:paraId="3355DCBA" w14:textId="224293AE" w:rsidR="009263AC" w:rsidRPr="001611DC" w:rsidRDefault="009263AC" w:rsidP="009263AC">
      <w:pPr>
        <w:pStyle w:val="ExecSumBodyText"/>
        <w:numPr>
          <w:ilvl w:val="1"/>
          <w:numId w:val="1"/>
        </w:numPr>
      </w:pPr>
      <w:r w:rsidRPr="001611DC">
        <w:t xml:space="preserve">The ATAGI advice to the PBAC stated that the ATAGI RSV subgroup ‘supported a ‘base case’ program model in which people aged 75+ are vaccinated, and then alternatives where the age group is varied by 5-year intervals (e.g., program for age groups 80+, 75+, 70+, 65+, 60+)’. </w:t>
      </w:r>
    </w:p>
    <w:p w14:paraId="10EA2AEF" w14:textId="6B33D3C1" w:rsidR="00350785" w:rsidRPr="001611DC" w:rsidRDefault="009263AC">
      <w:pPr>
        <w:pStyle w:val="ExecSumBodyText"/>
        <w:numPr>
          <w:ilvl w:val="1"/>
          <w:numId w:val="1"/>
        </w:numPr>
      </w:pPr>
      <w:bookmarkStart w:id="22" w:name="_Ref172733908"/>
      <w:bookmarkStart w:id="23" w:name="_Ref174370562"/>
      <w:r>
        <w:t xml:space="preserve">The ATAGI advice to the PBAC recommended presentation of ‘cost-effectiveness analyses which consider the inclusion of high risk people aged 60+ years with comorbidities or social factors that are likely to increase the risk of severe RSV or hospitalisation, including: chronic respiratory conditions (e.g. chronic obstructive pulmonary disease, asthma); immunocompromising conditions (e.g. solid malignancy, haematological malignancy); diabetes mellitus; chronic kidney disease; chronic neurological conditions which increase the risk of respiratory infection; and Indigenous status’. </w:t>
      </w:r>
      <w:r w:rsidR="00350785" w:rsidRPr="001611DC">
        <w:t xml:space="preserve">The PSCR added, as per clarification received by ATAGI </w:t>
      </w:r>
      <w:proofErr w:type="gramStart"/>
      <w:r w:rsidR="00350785" w:rsidRPr="001611DC">
        <w:t>subsequent to</w:t>
      </w:r>
      <w:proofErr w:type="gramEnd"/>
      <w:r w:rsidR="00350785" w:rsidRPr="001611DC">
        <w:t xml:space="preserve"> the ATAGI </w:t>
      </w:r>
      <w:r w:rsidR="00350785">
        <w:t>pre</w:t>
      </w:r>
      <w:r w:rsidR="00E3503D">
        <w:t>-</w:t>
      </w:r>
      <w:r w:rsidR="00350785">
        <w:t>PBAC</w:t>
      </w:r>
      <w:r w:rsidR="00350785" w:rsidRPr="001611DC">
        <w:t xml:space="preserve"> advice, those at risk also include adults aged 60+</w:t>
      </w:r>
      <w:r w:rsidR="00637FF6" w:rsidRPr="001611DC">
        <w:t xml:space="preserve"> </w:t>
      </w:r>
      <w:r w:rsidR="00350785" w:rsidRPr="001611DC">
        <w:t>YOA with cardiac disease including congenital heart disease, congestive heart failure and coronary heart disease.</w:t>
      </w:r>
      <w:r w:rsidR="001F4410">
        <w:t xml:space="preserve"> </w:t>
      </w:r>
      <w:bookmarkEnd w:id="22"/>
      <w:r w:rsidR="00972ABE" w:rsidRPr="001611DC">
        <w:t>The PBAC noted that ATAGI’s statement on the clinical use of RSVPreF3 OA vaccine provided a table of medical conditions associated with an increased risk of RSV disease complications for which RSV vaccination is recommended in adults ≥60 years (</w:t>
      </w:r>
      <w:r w:rsidR="00972ABE" w:rsidRPr="001611DC">
        <w:fldChar w:fldCharType="begin" w:fldLock="1"/>
      </w:r>
      <w:r w:rsidR="00972ABE" w:rsidRPr="001611DC">
        <w:instrText xml:space="preserve"> REF _Ref174370820 \h </w:instrText>
      </w:r>
      <w:r w:rsidR="007663F8" w:rsidRPr="001611DC">
        <w:instrText xml:space="preserve"> \* MERGEFORMAT </w:instrText>
      </w:r>
      <w:r w:rsidR="00972ABE" w:rsidRPr="001611DC">
        <w:fldChar w:fldCharType="separate"/>
      </w:r>
      <w:r w:rsidR="00927933" w:rsidRPr="001611DC">
        <w:t>Table 2</w:t>
      </w:r>
      <w:r w:rsidR="00972ABE" w:rsidRPr="001611DC">
        <w:fldChar w:fldCharType="end"/>
      </w:r>
      <w:r w:rsidR="00972ABE" w:rsidRPr="001611DC">
        <w:t>).</w:t>
      </w:r>
      <w:bookmarkEnd w:id="23"/>
    </w:p>
    <w:p w14:paraId="6DD9E3AD" w14:textId="16592D7D" w:rsidR="00972ABE" w:rsidRPr="001611DC" w:rsidRDefault="00972ABE" w:rsidP="00972ABE">
      <w:pPr>
        <w:pStyle w:val="TableFigureHeading"/>
        <w:rPr>
          <w:szCs w:val="16"/>
        </w:rPr>
      </w:pPr>
      <w:bookmarkStart w:id="24" w:name="_Ref174370820"/>
      <w:r w:rsidRPr="001611DC">
        <w:t xml:space="preserve">Table </w:t>
      </w:r>
      <w:r w:rsidRPr="001611DC">
        <w:fldChar w:fldCharType="begin" w:fldLock="1"/>
      </w:r>
      <w:r w:rsidRPr="001611DC">
        <w:instrText xml:space="preserve"> SEQ Table \* ARABIC </w:instrText>
      </w:r>
      <w:r w:rsidRPr="001611DC">
        <w:fldChar w:fldCharType="separate"/>
      </w:r>
      <w:r w:rsidR="00927933" w:rsidRPr="001611DC">
        <w:t>2</w:t>
      </w:r>
      <w:r w:rsidRPr="001611DC">
        <w:fldChar w:fldCharType="end"/>
      </w:r>
      <w:bookmarkEnd w:id="24"/>
      <w:r w:rsidRPr="001611DC">
        <w:t>: Medical conditions associated with an increased risk of RSV disease complications for which RSV vaccination is recommended in adults ≥60 years</w:t>
      </w:r>
    </w:p>
    <w:tbl>
      <w:tblPr>
        <w:tblStyle w:val="TableGrid"/>
        <w:tblW w:w="0" w:type="auto"/>
        <w:tblLook w:val="0020" w:firstRow="1" w:lastRow="0" w:firstColumn="0" w:lastColumn="0" w:noHBand="0" w:noVBand="0"/>
        <w:tblCaption w:val="Table 2: Medical conditions associated with an increased risk of RSV disease complications for which RSV vaccination is recommended in adults ≥60 years"/>
      </w:tblPr>
      <w:tblGrid>
        <w:gridCol w:w="2165"/>
        <w:gridCol w:w="6852"/>
      </w:tblGrid>
      <w:tr w:rsidR="00C013B1" w:rsidRPr="001611DC" w14:paraId="690110D1" w14:textId="77777777" w:rsidTr="00E3503D">
        <w:trPr>
          <w:trHeight w:val="20"/>
        </w:trPr>
        <w:tc>
          <w:tcPr>
            <w:tcW w:w="0" w:type="auto"/>
          </w:tcPr>
          <w:p w14:paraId="5B0066D2" w14:textId="77777777" w:rsidR="00972ABE" w:rsidRPr="001611DC" w:rsidRDefault="00972ABE">
            <w:pPr>
              <w:pStyle w:val="TableText0"/>
            </w:pPr>
            <w:r w:rsidRPr="001611DC">
              <w:t xml:space="preserve">Category </w:t>
            </w:r>
          </w:p>
        </w:tc>
        <w:tc>
          <w:tcPr>
            <w:tcW w:w="0" w:type="auto"/>
          </w:tcPr>
          <w:p w14:paraId="3975739C" w14:textId="77777777" w:rsidR="00972ABE" w:rsidRPr="001611DC" w:rsidRDefault="00972ABE">
            <w:pPr>
              <w:pStyle w:val="TableText0"/>
            </w:pPr>
            <w:r w:rsidRPr="001611DC">
              <w:t xml:space="preserve">Example medical conditions </w:t>
            </w:r>
          </w:p>
        </w:tc>
      </w:tr>
      <w:tr w:rsidR="00C013B1" w:rsidRPr="001611DC" w14:paraId="2EFBA345" w14:textId="77777777" w:rsidTr="00E3503D">
        <w:trPr>
          <w:trHeight w:val="20"/>
        </w:trPr>
        <w:tc>
          <w:tcPr>
            <w:tcW w:w="0" w:type="auto"/>
          </w:tcPr>
          <w:p w14:paraId="7817EF5A" w14:textId="77777777" w:rsidR="00972ABE" w:rsidRPr="001611DC" w:rsidRDefault="00972ABE">
            <w:pPr>
              <w:pStyle w:val="TableText0"/>
            </w:pPr>
            <w:r w:rsidRPr="001611DC">
              <w:t xml:space="preserve">Cardiac disease </w:t>
            </w:r>
          </w:p>
        </w:tc>
        <w:tc>
          <w:tcPr>
            <w:tcW w:w="0" w:type="auto"/>
          </w:tcPr>
          <w:p w14:paraId="494658F7" w14:textId="77777777" w:rsidR="00972ABE" w:rsidRPr="001611DC" w:rsidRDefault="00972ABE">
            <w:pPr>
              <w:pStyle w:val="TableText0"/>
            </w:pPr>
            <w:r w:rsidRPr="001611DC">
              <w:t xml:space="preserve">Congenital heart disease, congestive heart failure, coronary artery disease </w:t>
            </w:r>
          </w:p>
        </w:tc>
      </w:tr>
      <w:tr w:rsidR="00C013B1" w:rsidRPr="001611DC" w14:paraId="0D10107B" w14:textId="77777777" w:rsidTr="00E3503D">
        <w:trPr>
          <w:trHeight w:val="20"/>
        </w:trPr>
        <w:tc>
          <w:tcPr>
            <w:tcW w:w="0" w:type="auto"/>
          </w:tcPr>
          <w:p w14:paraId="00E8233C" w14:textId="77777777" w:rsidR="00972ABE" w:rsidRPr="001611DC" w:rsidRDefault="00972ABE">
            <w:pPr>
              <w:pStyle w:val="TableText0"/>
            </w:pPr>
            <w:r w:rsidRPr="001611DC">
              <w:t xml:space="preserve">Chronic respiratory condition </w:t>
            </w:r>
          </w:p>
        </w:tc>
        <w:tc>
          <w:tcPr>
            <w:tcW w:w="0" w:type="auto"/>
          </w:tcPr>
          <w:p w14:paraId="649C63A0" w14:textId="77777777" w:rsidR="00972ABE" w:rsidRPr="001611DC" w:rsidRDefault="00972ABE">
            <w:pPr>
              <w:pStyle w:val="TableText0"/>
            </w:pPr>
            <w:r w:rsidRPr="001611DC">
              <w:t xml:space="preserve">Suppurative lung disease, bronchiectasis, cystic fibrosis, chronic obstructive pulmonary disease, chronic emphysema, severe asthma (requiring frequent medical consultations or the use of multiple medicines) </w:t>
            </w:r>
          </w:p>
        </w:tc>
      </w:tr>
      <w:tr w:rsidR="00C013B1" w:rsidRPr="001611DC" w14:paraId="76BEA747" w14:textId="77777777" w:rsidTr="00E3503D">
        <w:trPr>
          <w:trHeight w:val="20"/>
        </w:trPr>
        <w:tc>
          <w:tcPr>
            <w:tcW w:w="0" w:type="auto"/>
          </w:tcPr>
          <w:p w14:paraId="42CA8014" w14:textId="77777777" w:rsidR="00972ABE" w:rsidRPr="001611DC" w:rsidRDefault="00972ABE">
            <w:pPr>
              <w:pStyle w:val="TableText0"/>
            </w:pPr>
            <w:r w:rsidRPr="001611DC">
              <w:t xml:space="preserve">Immunocompromising condition </w:t>
            </w:r>
          </w:p>
        </w:tc>
        <w:tc>
          <w:tcPr>
            <w:tcW w:w="0" w:type="auto"/>
          </w:tcPr>
          <w:p w14:paraId="6DA0549B" w14:textId="77777777" w:rsidR="00972ABE" w:rsidRPr="001611DC" w:rsidRDefault="00972ABE">
            <w:pPr>
              <w:pStyle w:val="TableText0"/>
            </w:pPr>
            <w:r w:rsidRPr="001611DC">
              <w:t xml:space="preserve">HIV infection, malignancy, immunocompromise due to disease or treatment, asplenia or splenic dysfunction, solid organ transplant, haematopoietic stem cell transplant, CAR-T cell therapy </w:t>
            </w:r>
          </w:p>
        </w:tc>
      </w:tr>
      <w:tr w:rsidR="00C013B1" w:rsidRPr="001611DC" w14:paraId="705CC0E0" w14:textId="77777777" w:rsidTr="00E3503D">
        <w:trPr>
          <w:trHeight w:val="20"/>
        </w:trPr>
        <w:tc>
          <w:tcPr>
            <w:tcW w:w="0" w:type="auto"/>
          </w:tcPr>
          <w:p w14:paraId="7427A0C8" w14:textId="77777777" w:rsidR="00972ABE" w:rsidRPr="001611DC" w:rsidRDefault="00972ABE">
            <w:pPr>
              <w:pStyle w:val="TableText0"/>
            </w:pPr>
            <w:r w:rsidRPr="001611DC">
              <w:t xml:space="preserve">Chronic metabolic disorder </w:t>
            </w:r>
          </w:p>
        </w:tc>
        <w:tc>
          <w:tcPr>
            <w:tcW w:w="0" w:type="auto"/>
          </w:tcPr>
          <w:p w14:paraId="2F5004B4" w14:textId="77777777" w:rsidR="00972ABE" w:rsidRPr="001611DC" w:rsidRDefault="00972ABE">
            <w:pPr>
              <w:pStyle w:val="TableText0"/>
            </w:pPr>
            <w:r w:rsidRPr="001611DC">
              <w:t xml:space="preserve">Type 1 or 2 diabetes, amino acid disorders, carbohydrate disorders, cholesterol biosynthesis disorders, fatty acid oxidation defects, mitochondrial disorders, organic acid disorders, urea cycle disorders, vitamin/cofactor disorders, porphyria </w:t>
            </w:r>
          </w:p>
        </w:tc>
      </w:tr>
      <w:tr w:rsidR="00C013B1" w:rsidRPr="001611DC" w14:paraId="785BF829" w14:textId="77777777" w:rsidTr="00E3503D">
        <w:trPr>
          <w:trHeight w:val="20"/>
        </w:trPr>
        <w:tc>
          <w:tcPr>
            <w:tcW w:w="0" w:type="auto"/>
          </w:tcPr>
          <w:p w14:paraId="163EF8C4" w14:textId="77777777" w:rsidR="00972ABE" w:rsidRPr="001611DC" w:rsidRDefault="00972ABE">
            <w:pPr>
              <w:pStyle w:val="TableText0"/>
            </w:pPr>
            <w:r w:rsidRPr="001611DC">
              <w:t>Chronic kidney disease Stage 4 or 5</w:t>
            </w:r>
          </w:p>
        </w:tc>
        <w:tc>
          <w:tcPr>
            <w:tcW w:w="0" w:type="auto"/>
          </w:tcPr>
          <w:p w14:paraId="08DA2523" w14:textId="77777777" w:rsidR="00972ABE" w:rsidRPr="001611DC" w:rsidRDefault="00972ABE">
            <w:pPr>
              <w:pStyle w:val="TableText0"/>
            </w:pPr>
          </w:p>
        </w:tc>
      </w:tr>
      <w:tr w:rsidR="00C013B1" w:rsidRPr="001611DC" w14:paraId="18BDE880" w14:textId="77777777" w:rsidTr="00E3503D">
        <w:trPr>
          <w:trHeight w:val="20"/>
        </w:trPr>
        <w:tc>
          <w:tcPr>
            <w:tcW w:w="0" w:type="auto"/>
          </w:tcPr>
          <w:p w14:paraId="3819E995" w14:textId="77777777" w:rsidR="00972ABE" w:rsidRPr="001611DC" w:rsidRDefault="00972ABE">
            <w:pPr>
              <w:pStyle w:val="TableText0"/>
            </w:pPr>
            <w:r w:rsidRPr="001611DC">
              <w:t xml:space="preserve">Chronic neurological condition </w:t>
            </w:r>
          </w:p>
        </w:tc>
        <w:tc>
          <w:tcPr>
            <w:tcW w:w="0" w:type="auto"/>
          </w:tcPr>
          <w:p w14:paraId="5522D1FE" w14:textId="77777777" w:rsidR="00972ABE" w:rsidRPr="001611DC" w:rsidRDefault="00972ABE">
            <w:pPr>
              <w:pStyle w:val="TableText0"/>
            </w:pPr>
            <w:r w:rsidRPr="001611DC">
              <w:t xml:space="preserve">Hereditary and degenerative central nervous system diseases, seizure disorders, spinal cord injuries, neuromuscular disorders, conditions that increase respiratory infection risk </w:t>
            </w:r>
          </w:p>
        </w:tc>
      </w:tr>
    </w:tbl>
    <w:p w14:paraId="2C132C45" w14:textId="113DCD23" w:rsidR="00972ABE" w:rsidRPr="001611DC" w:rsidRDefault="00972ABE" w:rsidP="00972ABE">
      <w:pPr>
        <w:pStyle w:val="FooterTableFigure"/>
        <w:keepNext/>
      </w:pPr>
      <w:r w:rsidRPr="001611DC">
        <w:t>Source: . ATAGI statement on the clinical use of Arexvy (RSV PRE-F3) vaccine for RSV (Version 1.0 Issue date: March 2024).</w:t>
      </w:r>
    </w:p>
    <w:p w14:paraId="566DAA45" w14:textId="46A7B233" w:rsidR="009263AC" w:rsidRPr="001611DC" w:rsidRDefault="009263AC" w:rsidP="009263AC">
      <w:pPr>
        <w:pStyle w:val="ExecSumBodyText"/>
        <w:numPr>
          <w:ilvl w:val="1"/>
          <w:numId w:val="1"/>
        </w:numPr>
      </w:pPr>
      <w:r w:rsidRPr="001611DC">
        <w:rPr>
          <w:bCs/>
        </w:rPr>
        <w:t xml:space="preserve">The submission did not present cost-effectiveness analyses in these </w:t>
      </w:r>
      <w:r w:rsidR="003E77C8" w:rsidRPr="001611DC">
        <w:rPr>
          <w:bCs/>
        </w:rPr>
        <w:t xml:space="preserve">high-risk </w:t>
      </w:r>
      <w:r w:rsidRPr="001611DC">
        <w:rPr>
          <w:bCs/>
        </w:rPr>
        <w:t>subgroups</w:t>
      </w:r>
      <w:r w:rsidRPr="001611DC">
        <w:rPr>
          <w:bCs/>
          <w:iCs/>
        </w:rPr>
        <w:t xml:space="preserve">; however, scenario analyses of the financial impact of listing </w:t>
      </w:r>
      <w:r w:rsidRPr="001611DC">
        <w:t xml:space="preserve">RSVPreF3 OA </w:t>
      </w:r>
      <w:r w:rsidRPr="001611DC">
        <w:rPr>
          <w:bCs/>
          <w:iCs/>
        </w:rPr>
        <w:t xml:space="preserve">for </w:t>
      </w:r>
      <w:r w:rsidRPr="001611DC">
        <w:rPr>
          <w:bCs/>
        </w:rPr>
        <w:t>First Nations people</w:t>
      </w:r>
      <w:r w:rsidRPr="001611DC">
        <w:rPr>
          <w:bCs/>
          <w:iCs/>
        </w:rPr>
        <w:t xml:space="preserve"> 60-74 YOA and high risk persons 60-74 YOA</w:t>
      </w:r>
      <w:r w:rsidR="003E77C8" w:rsidRPr="001611DC">
        <w:rPr>
          <w:bCs/>
          <w:iCs/>
        </w:rPr>
        <w:t xml:space="preserve"> were presented</w:t>
      </w:r>
      <w:r w:rsidRPr="001611DC">
        <w:rPr>
          <w:bCs/>
          <w:iCs/>
        </w:rPr>
        <w:t>.</w:t>
      </w:r>
    </w:p>
    <w:p w14:paraId="3171130F" w14:textId="67C88742" w:rsidR="00D95D11" w:rsidRPr="001611DC" w:rsidRDefault="009263AC">
      <w:pPr>
        <w:pStyle w:val="3-BodyText"/>
      </w:pPr>
      <w:bookmarkStart w:id="25" w:name="_Hlk174392337"/>
      <w:bookmarkStart w:id="26" w:name="_Ref170125556"/>
      <w:r w:rsidRPr="001611DC">
        <w:rPr>
          <w:bCs/>
        </w:rPr>
        <w:t xml:space="preserve">The submission </w:t>
      </w:r>
      <w:r w:rsidR="003E77C8" w:rsidRPr="001611DC">
        <w:rPr>
          <w:bCs/>
        </w:rPr>
        <w:t xml:space="preserve">stated </w:t>
      </w:r>
      <w:r w:rsidRPr="001611DC">
        <w:rPr>
          <w:bCs/>
        </w:rPr>
        <w:t xml:space="preserve">that there were evidentiary challenges in presenting cost-effectiveness data for the ATAGI proposed populations, and </w:t>
      </w:r>
      <w:r w:rsidR="003E77C8" w:rsidRPr="001611DC">
        <w:rPr>
          <w:bCs/>
        </w:rPr>
        <w:t xml:space="preserve">suggested </w:t>
      </w:r>
      <w:r w:rsidRPr="001611DC">
        <w:rPr>
          <w:bCs/>
        </w:rPr>
        <w:t>that ‘a pragmatic decision could be made to extend access to at-risk (</w:t>
      </w:r>
      <w:r w:rsidRPr="001611DC">
        <w:rPr>
          <w:bCs/>
          <w:iCs/>
        </w:rPr>
        <w:t>high risk)</w:t>
      </w:r>
      <w:r w:rsidRPr="001611DC">
        <w:rPr>
          <w:bCs/>
        </w:rPr>
        <w:t xml:space="preserve"> populations (60-74 YOA at high risk) and 60-74 YOA indigenous, based on an assumption that </w:t>
      </w:r>
      <w:r w:rsidRPr="001611DC">
        <w:rPr>
          <w:bCs/>
          <w:iCs/>
        </w:rPr>
        <w:lastRenderedPageBreak/>
        <w:t>RSVPreF3 OA</w:t>
      </w:r>
      <w:r w:rsidRPr="001611DC">
        <w:rPr>
          <w:bCs/>
        </w:rPr>
        <w:t xml:space="preserve"> cost-effectiveness demonstrated in the ATAGI base case (</w:t>
      </w:r>
      <w:r w:rsidR="00E2719A" w:rsidRPr="001611DC">
        <w:rPr>
          <w:bCs/>
        </w:rPr>
        <w:t>≥</w:t>
      </w:r>
      <w:r w:rsidRPr="001611DC">
        <w:rPr>
          <w:bCs/>
        </w:rPr>
        <w:t xml:space="preserve">75 YOA) would be applicable, given the pre-submission advice has considered these populations are of priority for the NIP’. </w:t>
      </w:r>
      <w:bookmarkEnd w:id="25"/>
      <w:r w:rsidRPr="001611DC">
        <w:rPr>
          <w:iCs/>
        </w:rPr>
        <w:t>Th</w:t>
      </w:r>
      <w:r w:rsidR="00FA4583" w:rsidRPr="001611DC">
        <w:rPr>
          <w:iCs/>
        </w:rPr>
        <w:t xml:space="preserve">e evaluation </w:t>
      </w:r>
      <w:r w:rsidR="003E77C8" w:rsidRPr="001611DC">
        <w:rPr>
          <w:iCs/>
        </w:rPr>
        <w:t xml:space="preserve">and ESC </w:t>
      </w:r>
      <w:r w:rsidR="00FA4583" w:rsidRPr="001611DC">
        <w:rPr>
          <w:iCs/>
        </w:rPr>
        <w:t>considered this</w:t>
      </w:r>
      <w:r w:rsidRPr="001611DC">
        <w:rPr>
          <w:iCs/>
        </w:rPr>
        <w:t xml:space="preserve"> may not be reasonable </w:t>
      </w:r>
      <w:r w:rsidR="00D95D11" w:rsidRPr="001611DC">
        <w:rPr>
          <w:iCs/>
        </w:rPr>
        <w:t xml:space="preserve">noting the submission did not </w:t>
      </w:r>
      <w:r w:rsidR="00D95D11" w:rsidRPr="001611DC">
        <w:rPr>
          <w:bCs/>
          <w:iCs/>
        </w:rPr>
        <w:t>provide cost-effectiveness analyses for these groups.</w:t>
      </w:r>
      <w:bookmarkEnd w:id="26"/>
    </w:p>
    <w:p w14:paraId="7D9297B1" w14:textId="29E8733D" w:rsidR="0052754A" w:rsidRPr="001611DC" w:rsidRDefault="0052754A" w:rsidP="0052754A">
      <w:pPr>
        <w:pStyle w:val="3-BodyText"/>
      </w:pPr>
      <w:r w:rsidRPr="001611DC">
        <w:t>The Pre-Sub-Committee Response</w:t>
      </w:r>
      <w:r w:rsidRPr="001611DC" w:rsidDel="00707E16">
        <w:rPr>
          <w:bCs/>
        </w:rPr>
        <w:t xml:space="preserve"> </w:t>
      </w:r>
      <w:r w:rsidRPr="001611DC">
        <w:rPr>
          <w:bCs/>
        </w:rPr>
        <w:t>(</w:t>
      </w:r>
      <w:r w:rsidRPr="001611DC" w:rsidDel="00707E16">
        <w:rPr>
          <w:bCs/>
        </w:rPr>
        <w:t>PSCR</w:t>
      </w:r>
      <w:r w:rsidRPr="001611DC">
        <w:rPr>
          <w:bCs/>
        </w:rPr>
        <w:t>) and pre-PBAC response</w:t>
      </w:r>
      <w:r w:rsidRPr="001611DC" w:rsidDel="00707E16">
        <w:rPr>
          <w:bCs/>
        </w:rPr>
        <w:t xml:space="preserve"> proposed that at a minimum, protection of adults ≥75 YOA and First Nations Persons 60-74 YOA </w:t>
      </w:r>
      <w:r w:rsidRPr="001611DC">
        <w:rPr>
          <w:bCs/>
        </w:rPr>
        <w:t>c</w:t>
      </w:r>
      <w:r w:rsidRPr="001611DC" w:rsidDel="00707E16">
        <w:rPr>
          <w:bCs/>
        </w:rPr>
        <w:t>ould be prioritised with a program to commence in time for the 2025 RSV season. The</w:t>
      </w:r>
      <w:r w:rsidRPr="001611DC">
        <w:rPr>
          <w:bCs/>
        </w:rPr>
        <w:t xml:space="preserve"> PBAC agreed with the</w:t>
      </w:r>
      <w:r w:rsidRPr="001611DC" w:rsidDel="00707E16">
        <w:rPr>
          <w:bCs/>
        </w:rPr>
        <w:t xml:space="preserve"> ESC </w:t>
      </w:r>
      <w:r w:rsidRPr="001611DC">
        <w:rPr>
          <w:bCs/>
        </w:rPr>
        <w:t>that</w:t>
      </w:r>
      <w:r w:rsidRPr="001611DC" w:rsidDel="00707E16">
        <w:rPr>
          <w:bCs/>
        </w:rPr>
        <w:t xml:space="preserve"> this may not be appropriate for a national vaccination program, given that it would exclude </w:t>
      </w:r>
      <w:r w:rsidRPr="001611DC">
        <w:rPr>
          <w:bCs/>
        </w:rPr>
        <w:t xml:space="preserve">high risk </w:t>
      </w:r>
      <w:r w:rsidR="007B6A18" w:rsidRPr="001611DC">
        <w:rPr>
          <w:bCs/>
        </w:rPr>
        <w:t>people</w:t>
      </w:r>
      <w:r w:rsidR="007B6A18" w:rsidRPr="001611DC" w:rsidDel="00707E16">
        <w:rPr>
          <w:bCs/>
        </w:rPr>
        <w:t xml:space="preserve"> </w:t>
      </w:r>
      <w:r w:rsidRPr="001611DC" w:rsidDel="00707E16">
        <w:rPr>
          <w:bCs/>
        </w:rPr>
        <w:t>aged ≥60 with a clinical need.</w:t>
      </w:r>
    </w:p>
    <w:p w14:paraId="0CD14863" w14:textId="311EDA1E" w:rsidR="009263AC" w:rsidRPr="001611DC" w:rsidRDefault="009263AC" w:rsidP="009263AC">
      <w:pPr>
        <w:pStyle w:val="ExecSumBodyText"/>
        <w:numPr>
          <w:ilvl w:val="1"/>
          <w:numId w:val="1"/>
        </w:numPr>
      </w:pPr>
      <w:r w:rsidRPr="001611DC">
        <w:t xml:space="preserve">The requested NIP listing </w:t>
      </w:r>
      <w:r w:rsidR="003E77C8" w:rsidRPr="001611DC">
        <w:t xml:space="preserve">was </w:t>
      </w:r>
      <w:proofErr w:type="gramStart"/>
      <w:r w:rsidRPr="001611DC">
        <w:t>on the basis of</w:t>
      </w:r>
      <w:proofErr w:type="gramEnd"/>
      <w:r w:rsidRPr="001611DC">
        <w:t xml:space="preserve"> a single dose of RSVPreF3 OA. The submission noted that the need for revaccination with RSVPreF3 OA </w:t>
      </w:r>
      <w:r w:rsidR="003E77C8" w:rsidRPr="001611DC">
        <w:t xml:space="preserve">had </w:t>
      </w:r>
      <w:r w:rsidRPr="001611DC">
        <w:t xml:space="preserve">not been established, and there </w:t>
      </w:r>
      <w:r w:rsidR="003E77C8" w:rsidRPr="001611DC">
        <w:t xml:space="preserve">were </w:t>
      </w:r>
      <w:r w:rsidRPr="001611DC">
        <w:t>currently no data to inform sequential treatment.</w:t>
      </w:r>
      <w:r w:rsidRPr="001611DC">
        <w:rPr>
          <w:iCs/>
        </w:rPr>
        <w:t xml:space="preserve"> </w:t>
      </w:r>
      <w:r w:rsidR="00B821B7" w:rsidRPr="001611DC">
        <w:t>The TGA Clinical Evaluation Report indicated that the sponsor should be required to submit data to the TGA as soon as available from studies AreSVi-006 and AreSVi-004 regarding persistence of efficacy and potential need for revaccination.</w:t>
      </w:r>
      <w:r w:rsidR="001F4410">
        <w:t xml:space="preserve"> </w:t>
      </w:r>
      <w:r w:rsidRPr="001611DC">
        <w:t xml:space="preserve">The </w:t>
      </w:r>
      <w:r w:rsidR="003E77C8" w:rsidRPr="001611DC">
        <w:t xml:space="preserve">ESC </w:t>
      </w:r>
      <w:r w:rsidR="00B821B7" w:rsidRPr="001611DC">
        <w:t>considered</w:t>
      </w:r>
      <w:r w:rsidR="003E77C8" w:rsidRPr="001611DC">
        <w:t xml:space="preserve"> that </w:t>
      </w:r>
      <w:r w:rsidRPr="001611DC">
        <w:t>cost-effectiveness may need reconsideration if revaccination is required.</w:t>
      </w:r>
      <w:r w:rsidR="006574EF" w:rsidRPr="001611DC">
        <w:t xml:space="preserve"> </w:t>
      </w:r>
      <w:r w:rsidR="006574EF" w:rsidRPr="001611DC">
        <w:rPr>
          <w:iCs/>
        </w:rPr>
        <w:t>The ESC noted that if revaccination is requested in the future, this would impact cost-effectiveness and financial impact.</w:t>
      </w:r>
    </w:p>
    <w:p w14:paraId="47C7092F" w14:textId="343D88AA" w:rsidR="00424F01" w:rsidRPr="001611DC" w:rsidRDefault="00EC0CDF" w:rsidP="00424F01">
      <w:pPr>
        <w:pStyle w:val="3-BodyText"/>
      </w:pPr>
      <w:bookmarkStart w:id="27" w:name="_Ref166620204"/>
      <w:bookmarkStart w:id="28" w:name="_Hlk174098817"/>
      <w:r w:rsidRPr="001611DC">
        <w:rPr>
          <w:iCs/>
        </w:rPr>
        <w:t>T</w:t>
      </w:r>
      <w:r w:rsidR="009263AC" w:rsidRPr="001611DC">
        <w:rPr>
          <w:iCs/>
        </w:rPr>
        <w:t>he submission</w:t>
      </w:r>
      <w:r w:rsidRPr="001611DC">
        <w:rPr>
          <w:iCs/>
        </w:rPr>
        <w:t xml:space="preserve"> </w:t>
      </w:r>
      <w:r w:rsidR="00424F01" w:rsidRPr="001611DC">
        <w:t>proposed NIP listing of a single dose for vaccination with RSVPreF3 OA. The submission stated that the need for and timing of revaccination will be informed by further follow-up data from the pivotal trial AReSVi-006 and immunogenicity trial AReSVi-004. As such, there is the possibility of a future request for NIP listing of a subsequent dose of RSVPreF3 OA as revaccination.</w:t>
      </w:r>
    </w:p>
    <w:p w14:paraId="53D2B483" w14:textId="12A5EC34" w:rsidR="009263AC" w:rsidRPr="001611DC" w:rsidRDefault="00F55A02">
      <w:pPr>
        <w:pStyle w:val="ExecSumBodyText"/>
        <w:numPr>
          <w:ilvl w:val="1"/>
          <w:numId w:val="1"/>
        </w:numPr>
        <w:rPr>
          <w:iCs/>
        </w:rPr>
      </w:pPr>
      <w:bookmarkStart w:id="29" w:name="_Ref174399459"/>
      <w:bookmarkEnd w:id="27"/>
      <w:bookmarkEnd w:id="28"/>
      <w:r w:rsidRPr="001611DC">
        <w:rPr>
          <w:iCs/>
        </w:rPr>
        <w:t>The PSCR stated that results from studies A</w:t>
      </w:r>
      <w:r w:rsidR="0083552E" w:rsidRPr="001611DC">
        <w:rPr>
          <w:iCs/>
        </w:rPr>
        <w:t>r</w:t>
      </w:r>
      <w:r w:rsidRPr="001611DC">
        <w:rPr>
          <w:iCs/>
        </w:rPr>
        <w:t>eSVi-006 and A</w:t>
      </w:r>
      <w:r w:rsidR="0083552E" w:rsidRPr="001611DC">
        <w:rPr>
          <w:iCs/>
        </w:rPr>
        <w:t>r</w:t>
      </w:r>
      <w:r w:rsidRPr="001611DC">
        <w:rPr>
          <w:iCs/>
        </w:rPr>
        <w:t xml:space="preserve">eSVi-004 with 36 months follow-up are expected in September 2024 and will provide further information regarding the appropriate timing of revaccination. </w:t>
      </w:r>
      <w:r w:rsidR="00DD0EA0" w:rsidRPr="001611DC">
        <w:rPr>
          <w:iCs/>
        </w:rPr>
        <w:t>The PSCR presented new immunogenicity results from A</w:t>
      </w:r>
      <w:r w:rsidR="0083552E" w:rsidRPr="001611DC">
        <w:rPr>
          <w:iCs/>
        </w:rPr>
        <w:t>r</w:t>
      </w:r>
      <w:r w:rsidR="00DD0EA0" w:rsidRPr="001611DC">
        <w:rPr>
          <w:iCs/>
        </w:rPr>
        <w:t xml:space="preserve">eSVi-004 (see paragraph </w:t>
      </w:r>
      <w:r w:rsidR="00DD0EA0" w:rsidRPr="001611DC">
        <w:rPr>
          <w:iCs/>
        </w:rPr>
        <w:fldChar w:fldCharType="begin" w:fldLock="1"/>
      </w:r>
      <w:r w:rsidR="00DD0EA0" w:rsidRPr="001611DC">
        <w:rPr>
          <w:iCs/>
        </w:rPr>
        <w:instrText xml:space="preserve"> REF _Ref170075246 \r \h </w:instrText>
      </w:r>
      <w:r w:rsidR="0050118E" w:rsidRPr="001611DC">
        <w:rPr>
          <w:iCs/>
        </w:rPr>
        <w:instrText xml:space="preserve"> \* MERGEFORMAT </w:instrText>
      </w:r>
      <w:r w:rsidR="00DD0EA0" w:rsidRPr="001611DC">
        <w:rPr>
          <w:iCs/>
        </w:rPr>
      </w:r>
      <w:r w:rsidR="00DD0EA0" w:rsidRPr="001611DC">
        <w:rPr>
          <w:iCs/>
        </w:rPr>
        <w:fldChar w:fldCharType="separate"/>
      </w:r>
      <w:r w:rsidR="00927933" w:rsidRPr="001611DC">
        <w:rPr>
          <w:iCs/>
        </w:rPr>
        <w:t>6.22</w:t>
      </w:r>
      <w:r w:rsidR="00DD0EA0" w:rsidRPr="001611DC">
        <w:rPr>
          <w:iCs/>
        </w:rPr>
        <w:fldChar w:fldCharType="end"/>
      </w:r>
      <w:r w:rsidR="00DD0EA0" w:rsidRPr="001611DC">
        <w:rPr>
          <w:iCs/>
        </w:rPr>
        <w:t>).</w:t>
      </w:r>
      <w:r w:rsidR="001F4410">
        <w:rPr>
          <w:iCs/>
        </w:rPr>
        <w:t xml:space="preserve"> </w:t>
      </w:r>
      <w:r w:rsidRPr="001611DC">
        <w:rPr>
          <w:iCs/>
        </w:rPr>
        <w:t>The ESC noted that end of study results</w:t>
      </w:r>
      <w:r w:rsidR="00CC2C7D" w:rsidRPr="001611DC">
        <w:rPr>
          <w:iCs/>
        </w:rPr>
        <w:t xml:space="preserve"> for A</w:t>
      </w:r>
      <w:r w:rsidR="0083552E" w:rsidRPr="001611DC">
        <w:rPr>
          <w:iCs/>
        </w:rPr>
        <w:t>r</w:t>
      </w:r>
      <w:r w:rsidR="00CC2C7D" w:rsidRPr="001611DC">
        <w:rPr>
          <w:iCs/>
        </w:rPr>
        <w:t xml:space="preserve">eSVi-004 </w:t>
      </w:r>
      <w:r w:rsidRPr="001611DC">
        <w:rPr>
          <w:iCs/>
        </w:rPr>
        <w:t xml:space="preserve">are due in </w:t>
      </w:r>
      <w:r w:rsidR="00721CDA" w:rsidRPr="001611DC">
        <w:rPr>
          <w:iCs/>
        </w:rPr>
        <w:t>mid-2025</w:t>
      </w:r>
      <w:r w:rsidRPr="001611DC">
        <w:rPr>
          <w:iCs/>
        </w:rPr>
        <w:t>.</w:t>
      </w:r>
      <w:r w:rsidR="001F4410">
        <w:rPr>
          <w:iCs/>
        </w:rPr>
        <w:t xml:space="preserve"> </w:t>
      </w:r>
      <w:r w:rsidR="004037C2" w:rsidRPr="001611DC">
        <w:t>The pre-PBAC response stated that r</w:t>
      </w:r>
      <w:r w:rsidR="004037C2" w:rsidRPr="001611DC">
        <w:rPr>
          <w:iCs/>
        </w:rPr>
        <w:t>esults from studies AReSVi-006 (season 3) and AReSVi-004 (36/37 months follow-up) are expected in September 2024 and will provide further information regarding the appropriate timing of revaccination.</w:t>
      </w:r>
      <w:bookmarkEnd w:id="29"/>
    </w:p>
    <w:p w14:paraId="631E2127" w14:textId="4A36F6A0" w:rsidR="009263AC" w:rsidRPr="001611DC" w:rsidRDefault="009263AC" w:rsidP="009263AC">
      <w:pPr>
        <w:pStyle w:val="3-BodyText"/>
      </w:pPr>
      <w:r w:rsidRPr="001611DC">
        <w:t>The Product Information states that Arexvy is not recommended during pregnancy, and notes that an increase in preterm births was observed compared to placebo after administration of an investigational unadjuvanted RSVPreF3 vaccine to 3,557 pregnant women based on the results of the RSV MAT-009 trial.</w:t>
      </w:r>
      <w:r w:rsidR="001F4410">
        <w:t xml:space="preserve"> </w:t>
      </w:r>
      <w:r w:rsidRPr="001611DC">
        <w:t xml:space="preserve">The TGA Clinical Evaluation Report </w:t>
      </w:r>
      <w:r w:rsidR="00B821B7" w:rsidRPr="001611DC">
        <w:t xml:space="preserve">noted </w:t>
      </w:r>
      <w:r w:rsidRPr="001611DC">
        <w:t>that the vaccine in the maternal program had a different composition with 120 ug RSVPreF3 antigen not being adjuvanted.</w:t>
      </w:r>
    </w:p>
    <w:p w14:paraId="6042AEBB" w14:textId="0606CFE7" w:rsidR="000168BA" w:rsidRPr="001611DC" w:rsidRDefault="000168BA" w:rsidP="000168BA">
      <w:pPr>
        <w:pStyle w:val="3-BodyText"/>
        <w:numPr>
          <w:ilvl w:val="0"/>
          <w:numId w:val="0"/>
        </w:numPr>
        <w:ind w:left="720"/>
      </w:pPr>
      <w:r w:rsidRPr="001611DC">
        <w:rPr>
          <w:i/>
        </w:rPr>
        <w:t>For more detail on PBAC’s view, see section 7 PBAC outcome.</w:t>
      </w:r>
    </w:p>
    <w:p w14:paraId="15EACDA8" w14:textId="77777777" w:rsidR="009263AC" w:rsidRPr="001611DC" w:rsidDel="00195452" w:rsidRDefault="009263AC" w:rsidP="009263AC">
      <w:pPr>
        <w:pStyle w:val="2-SectionHeading"/>
        <w:numPr>
          <w:ilvl w:val="0"/>
          <w:numId w:val="1"/>
        </w:numPr>
      </w:pPr>
      <w:bookmarkStart w:id="30" w:name="_Toc165203803"/>
      <w:bookmarkStart w:id="31" w:name="_Toc167277508"/>
      <w:r w:rsidRPr="001611DC" w:rsidDel="00195452">
        <w:lastRenderedPageBreak/>
        <w:t>Population and disease</w:t>
      </w:r>
      <w:bookmarkEnd w:id="30"/>
      <w:bookmarkEnd w:id="31"/>
    </w:p>
    <w:p w14:paraId="6BE05C80" w14:textId="77777777" w:rsidR="009263AC" w:rsidRPr="001611DC" w:rsidRDefault="009263AC" w:rsidP="009263AC">
      <w:pPr>
        <w:pStyle w:val="3-BodyText"/>
      </w:pPr>
      <w:r w:rsidRPr="001611DC">
        <w:t>RSV is highly infectious and spreads via respiratory droplets, generated from coughing or sneezing, coming into direct contact with the mouth, nose, or eyes. Indirect contact may also spread RSV as it remains viable on a hard surface for up to 6 hours.</w:t>
      </w:r>
    </w:p>
    <w:p w14:paraId="19499CBA" w14:textId="77777777" w:rsidR="009263AC" w:rsidRPr="001611DC" w:rsidRDefault="009263AC" w:rsidP="009263AC">
      <w:pPr>
        <w:pStyle w:val="3-BodyText"/>
      </w:pPr>
      <w:r w:rsidRPr="001611DC">
        <w:t>The rate of RSV infection varies by season and regional climate. The seasonality of RSV in temperate regions of Australia is predominantly consistent with that observed globally, with a peak coinciding with late autumn or early winter (May/June) and limited activity during summer in most regions</w:t>
      </w:r>
      <w:r w:rsidRPr="001611DC">
        <w:rPr>
          <w:rStyle w:val="FootnoteReference"/>
        </w:rPr>
        <w:footnoteReference w:id="4"/>
      </w:r>
      <w:r w:rsidRPr="001611DC">
        <w:t>.</w:t>
      </w:r>
    </w:p>
    <w:p w14:paraId="380E59B9" w14:textId="2AD01B88" w:rsidR="009263AC" w:rsidRPr="001611DC" w:rsidRDefault="009263AC" w:rsidP="009263AC">
      <w:pPr>
        <w:pStyle w:val="3-BodyText"/>
      </w:pPr>
      <w:r w:rsidRPr="001611DC">
        <w:t xml:space="preserve">The clinical presentation of RSV varies from asymptomatic carriage to cold-like symptoms to acute respiratory distress. Most patients develop signs of upper respiratory tract disease (URTD) such as nasal congestion and </w:t>
      </w:r>
      <w:r w:rsidR="004D38C1" w:rsidRPr="001611DC">
        <w:t>rhinorrhoea</w:t>
      </w:r>
      <w:r w:rsidRPr="001611DC">
        <w:t xml:space="preserve"> or a sore throat 3-5 days after exposure. Other non-specific symptoms such as asthenia (physical weakness or lack of energy), anorexia, and fever can also occur with varying severity. </w:t>
      </w:r>
    </w:p>
    <w:p w14:paraId="1994D2FE" w14:textId="77777777" w:rsidR="009263AC" w:rsidRPr="001611DC" w:rsidRDefault="009263AC" w:rsidP="009263AC">
      <w:pPr>
        <w:pStyle w:val="3-BodyText"/>
      </w:pPr>
      <w:bookmarkStart w:id="32" w:name="_Hlk174095768"/>
      <w:r w:rsidRPr="001611DC">
        <w:t>Progression of the virus to the lower respiratory tract leads to development of symptoms such as cough, wheezing, and dyspnoea. Severe RSV in the lower respiratory tract can lead to the development of acute bronchitis, pneumonia, or exacerbation of pre-existing conditions including asthma, chronic obstructive pulmonary disease and congestive heart failure</w:t>
      </w:r>
      <w:r w:rsidRPr="001611DC">
        <w:rPr>
          <w:rStyle w:val="FootnoteReference"/>
        </w:rPr>
        <w:footnoteReference w:id="5"/>
      </w:r>
      <w:r w:rsidRPr="001611DC">
        <w:rPr>
          <w:vertAlign w:val="superscript"/>
        </w:rPr>
        <w:t xml:space="preserve">, </w:t>
      </w:r>
      <w:r w:rsidRPr="001611DC">
        <w:rPr>
          <w:rStyle w:val="FootnoteReference"/>
        </w:rPr>
        <w:footnoteReference w:id="6"/>
      </w:r>
      <w:r w:rsidRPr="001611DC">
        <w:t xml:space="preserve"> . </w:t>
      </w:r>
    </w:p>
    <w:p w14:paraId="7D6F2A5E" w14:textId="515C57F6" w:rsidR="009263AC" w:rsidRPr="001611DC" w:rsidRDefault="009263AC" w:rsidP="009263AC">
      <w:pPr>
        <w:pStyle w:val="3-BodyText"/>
      </w:pPr>
      <w:r w:rsidRPr="001611DC">
        <w:t xml:space="preserve">The submission used overseas data to estimate the incidence of RSV disease as 5.72 per 100 person years. </w:t>
      </w:r>
      <w:r w:rsidRPr="001611DC">
        <w:rPr>
          <w:iCs/>
        </w:rPr>
        <w:t>There are uncertainties associated with the methodological approach used in estimating the incidence rate (</w:t>
      </w:r>
      <w:r w:rsidR="00705405" w:rsidRPr="001611DC">
        <w:rPr>
          <w:iCs/>
        </w:rPr>
        <w:t>see</w:t>
      </w:r>
      <w:r w:rsidR="00AB3588" w:rsidRPr="001611DC">
        <w:rPr>
          <w:iCs/>
        </w:rPr>
        <w:t xml:space="preserve"> paragraph </w:t>
      </w:r>
      <w:r w:rsidR="00A31225" w:rsidRPr="001611DC">
        <w:rPr>
          <w:iCs/>
        </w:rPr>
        <w:fldChar w:fldCharType="begin" w:fldLock="1"/>
      </w:r>
      <w:r w:rsidR="00A31225" w:rsidRPr="001611DC">
        <w:rPr>
          <w:iCs/>
        </w:rPr>
        <w:instrText xml:space="preserve"> REF _Ref172734454 \r \h  \* MERGEFORMAT </w:instrText>
      </w:r>
      <w:r w:rsidR="00A31225" w:rsidRPr="001611DC">
        <w:rPr>
          <w:iCs/>
        </w:rPr>
      </w:r>
      <w:r w:rsidR="00A31225" w:rsidRPr="001611DC">
        <w:rPr>
          <w:iCs/>
        </w:rPr>
        <w:fldChar w:fldCharType="separate"/>
      </w:r>
      <w:r w:rsidR="00927933" w:rsidRPr="001611DC">
        <w:rPr>
          <w:iCs/>
        </w:rPr>
        <w:t>6.54</w:t>
      </w:r>
      <w:r w:rsidR="00A31225" w:rsidRPr="001611DC">
        <w:rPr>
          <w:iCs/>
        </w:rPr>
        <w:fldChar w:fldCharType="end"/>
      </w:r>
      <w:r w:rsidR="00AB3588" w:rsidRPr="001611DC">
        <w:rPr>
          <w:iCs/>
        </w:rPr>
        <w:t xml:space="preserve">). </w:t>
      </w:r>
    </w:p>
    <w:p w14:paraId="2CB95F05" w14:textId="77777777" w:rsidR="009263AC" w:rsidRPr="001611DC" w:rsidRDefault="009263AC" w:rsidP="009263AC">
      <w:pPr>
        <w:pStyle w:val="3-BodyText"/>
      </w:pPr>
      <w:r w:rsidRPr="001611DC">
        <w:t>Sequelae of RSV infection are associated with significant morbidity and mortality, particularly in older or vulnerable adults</w:t>
      </w:r>
      <w:r w:rsidRPr="001611DC">
        <w:rPr>
          <w:rStyle w:val="FootnoteReference"/>
        </w:rPr>
        <w:footnoteReference w:id="7"/>
      </w:r>
      <w:r w:rsidRPr="001611DC">
        <w:t xml:space="preserve">. Severe RSV cases may require hospitalisation, including admission into intensive care units (ICU), and/or mechanical ventilation. RSV can also lead to the development of pneumonia in older adults. </w:t>
      </w:r>
    </w:p>
    <w:bookmarkEnd w:id="32"/>
    <w:p w14:paraId="5E7F1ADB" w14:textId="3C7CE930" w:rsidR="009263AC" w:rsidRPr="001611DC" w:rsidRDefault="009263AC" w:rsidP="009263AC">
      <w:pPr>
        <w:pStyle w:val="3-BodyText"/>
      </w:pPr>
      <w:r w:rsidRPr="001611DC">
        <w:lastRenderedPageBreak/>
        <w:t>First Nations people have a greater risk of RSV hospitalisation compared with non-Indigenous Australians</w:t>
      </w:r>
      <w:r w:rsidRPr="001611DC">
        <w:rPr>
          <w:rStyle w:val="FootnoteReference"/>
        </w:rPr>
        <w:footnoteReference w:id="8"/>
      </w:r>
      <w:r w:rsidRPr="001611DC">
        <w:t>, with an overall incidence rate ratio for RSV-related hospitalisation of 3.3 (95% CI: 3.2, 3.5) times higher among First Nations people</w:t>
      </w:r>
      <w:r w:rsidRPr="001611DC">
        <w:rPr>
          <w:rStyle w:val="FootnoteReference"/>
        </w:rPr>
        <w:footnoteReference w:id="9"/>
      </w:r>
      <w:r w:rsidRPr="001611DC">
        <w:t xml:space="preserve">. </w:t>
      </w:r>
    </w:p>
    <w:p w14:paraId="4D362DCE" w14:textId="508BB3F9" w:rsidR="009263AC" w:rsidRPr="001611DC" w:rsidRDefault="009263AC" w:rsidP="009263AC">
      <w:pPr>
        <w:pStyle w:val="3-BodyText"/>
      </w:pPr>
      <w:r w:rsidRPr="001611DC">
        <w:t>RSVPreF3 OA is a combination of the RSVPreF3 antigen and the AS01</w:t>
      </w:r>
      <w:r w:rsidRPr="001611DC">
        <w:rPr>
          <w:vertAlign w:val="subscript"/>
        </w:rPr>
        <w:t>E</w:t>
      </w:r>
      <w:r w:rsidRPr="001611DC">
        <w:t xml:space="preserve"> adjuvant system. RSVPreF3 antigen is derived from the laboratory-adapted RSV-A A2 strain, stabilised in the pre-fusion conformation of the naturally occurring F protein for which both RSV-A and B subtypes share high amino acid sequence homology. RSVPreF3 OA is designed to induce a functional humoral immune response against the RSV-A and RSV-B subtypes and the antigen-specific cellular immune responses which contribute to protection against RSV-associated LRTD (RSVPreF3 P</w:t>
      </w:r>
      <w:r w:rsidR="00543AD2" w:rsidRPr="001611DC">
        <w:t xml:space="preserve">roduct </w:t>
      </w:r>
      <w:r w:rsidRPr="001611DC">
        <w:t>I</w:t>
      </w:r>
      <w:r w:rsidR="00543AD2" w:rsidRPr="001611DC">
        <w:t>nformation</w:t>
      </w:r>
      <w:r w:rsidRPr="001611DC">
        <w:t xml:space="preserve">). </w:t>
      </w:r>
    </w:p>
    <w:p w14:paraId="339D0DAE" w14:textId="33A63B1D" w:rsidR="000B66F7" w:rsidRPr="001611DC" w:rsidRDefault="000B66F7">
      <w:pPr>
        <w:pStyle w:val="3-BodyText"/>
      </w:pPr>
      <w:bookmarkStart w:id="33" w:name="_Ref172751041"/>
      <w:bookmarkStart w:id="34" w:name="_Hlk167212748"/>
      <w:r w:rsidRPr="001611DC">
        <w:t>The RSV chapter of the Australian Immunisation Handbook (AIH) was recently updated, and includes recommendations for use of vaccines and monoclonal antibodies for prophylaxis of RSV disease</w:t>
      </w:r>
      <w:r w:rsidRPr="001611DC">
        <w:rPr>
          <w:vertAlign w:val="superscript"/>
        </w:rPr>
        <w:footnoteReference w:id="10"/>
      </w:r>
      <w:r w:rsidRPr="001611DC">
        <w:t>.</w:t>
      </w:r>
      <w:bookmarkEnd w:id="33"/>
      <w:r w:rsidR="001F4410">
        <w:t xml:space="preserve"> </w:t>
      </w:r>
    </w:p>
    <w:p w14:paraId="22B661DC" w14:textId="55CC8752" w:rsidR="000168BA" w:rsidRPr="001611DC" w:rsidRDefault="000168BA" w:rsidP="000168BA">
      <w:pPr>
        <w:pStyle w:val="3-BodyText"/>
        <w:numPr>
          <w:ilvl w:val="0"/>
          <w:numId w:val="0"/>
        </w:numPr>
        <w:ind w:left="720"/>
      </w:pPr>
      <w:r w:rsidRPr="001611DC">
        <w:rPr>
          <w:i/>
        </w:rPr>
        <w:t>For more detail on PBAC’s view, see section 7 PBAC outcome.</w:t>
      </w:r>
    </w:p>
    <w:p w14:paraId="2C5C8604" w14:textId="77777777" w:rsidR="009263AC" w:rsidRPr="001611DC" w:rsidRDefault="009263AC" w:rsidP="009263AC">
      <w:pPr>
        <w:pStyle w:val="2-SectionHeading"/>
        <w:numPr>
          <w:ilvl w:val="0"/>
          <w:numId w:val="1"/>
        </w:numPr>
      </w:pPr>
      <w:bookmarkStart w:id="35" w:name="_Toc165203804"/>
      <w:bookmarkStart w:id="36" w:name="_Toc167277509"/>
      <w:bookmarkEnd w:id="34"/>
      <w:r w:rsidRPr="001611DC">
        <w:t>Comparator</w:t>
      </w:r>
      <w:bookmarkEnd w:id="35"/>
      <w:bookmarkEnd w:id="36"/>
    </w:p>
    <w:p w14:paraId="748E1AFF" w14:textId="31C19D87" w:rsidR="009263AC" w:rsidRPr="001611DC" w:rsidRDefault="009263AC" w:rsidP="009263AC">
      <w:pPr>
        <w:pStyle w:val="3-BodyText"/>
        <w:rPr>
          <w:snapToGrid/>
        </w:rPr>
      </w:pPr>
      <w:r w:rsidRPr="001611DC">
        <w:t xml:space="preserve">The submission nominated ‘no vaccine’ as the main comparator. The main arguments provided in support of this nomination were that there are no other RSV vaccines currently TGA registered or available on the NIP for older adults. </w:t>
      </w:r>
      <w:r w:rsidRPr="001611DC">
        <w:rPr>
          <w:iCs/>
        </w:rPr>
        <w:t>Th</w:t>
      </w:r>
      <w:r w:rsidR="00685077" w:rsidRPr="001611DC">
        <w:rPr>
          <w:iCs/>
        </w:rPr>
        <w:t xml:space="preserve">e evaluation considered this </w:t>
      </w:r>
      <w:r w:rsidRPr="001611DC">
        <w:rPr>
          <w:iCs/>
        </w:rPr>
        <w:t xml:space="preserve">was reasonable and </w:t>
      </w:r>
      <w:r w:rsidR="00685077" w:rsidRPr="001611DC">
        <w:rPr>
          <w:iCs/>
        </w:rPr>
        <w:t xml:space="preserve">consistent </w:t>
      </w:r>
      <w:r w:rsidRPr="001611DC">
        <w:rPr>
          <w:iCs/>
        </w:rPr>
        <w:t>with the ATAGI advice to the PBAC.</w:t>
      </w:r>
      <w:r w:rsidRPr="001611DC">
        <w:t xml:space="preserve"> </w:t>
      </w:r>
    </w:p>
    <w:p w14:paraId="0AAE96C9" w14:textId="7882F6AC" w:rsidR="009263AC" w:rsidRPr="00844F2C" w:rsidRDefault="009263AC" w:rsidP="00844F2C">
      <w:pPr>
        <w:pStyle w:val="3-BodyText"/>
      </w:pPr>
      <w:r w:rsidRPr="00844F2C">
        <w:t>The submission noted that there were two other RSV vaccines in advanced clinical development or registered overseas which are expected to be TGA-registered in similar timelines to RSVPreF3 OA. Based on this, the submission considered RSVpreF vaccine (Pfizer) and mRNA-1345 RSV vaccine (Moderna) as near market comparators. The</w:t>
      </w:r>
      <w:r w:rsidR="0058620A" w:rsidRPr="00844F2C">
        <w:t xml:space="preserve"> evaluation considered that the</w:t>
      </w:r>
      <w:r w:rsidRPr="00844F2C">
        <w:t xml:space="preserve"> proposed near market comparators were appropriate. </w:t>
      </w:r>
    </w:p>
    <w:p w14:paraId="66DB5118" w14:textId="4FA0E0A5" w:rsidR="009263AC" w:rsidRPr="001611DC" w:rsidRDefault="009263AC" w:rsidP="0058620A">
      <w:pPr>
        <w:pStyle w:val="3-BodyText"/>
        <w:rPr>
          <w:snapToGrid/>
        </w:rPr>
      </w:pPr>
      <w:bookmarkStart w:id="37" w:name="_Ref166616695"/>
      <w:r w:rsidRPr="001611DC">
        <w:rPr>
          <w:iCs/>
          <w:snapToGrid/>
        </w:rPr>
        <w:t>The submission presented a comparative analysis of the general characteristics of trials A</w:t>
      </w:r>
      <w:r w:rsidR="0083552E" w:rsidRPr="001611DC">
        <w:rPr>
          <w:iCs/>
          <w:snapToGrid/>
        </w:rPr>
        <w:t>r</w:t>
      </w:r>
      <w:r w:rsidRPr="001611DC">
        <w:rPr>
          <w:iCs/>
          <w:snapToGrid/>
        </w:rPr>
        <w:t>eSvi-006, RENOIR (RSVpreF vaccine) and ConquerRSV (mRNA-1345 RSV vaccine). The submission concluded that there was a high degree of heterogeneity amongst the trials, with insufficient exchangeability of the trial populations, outcome measurements/statistical analyses and follow-up time</w:t>
      </w:r>
      <w:r w:rsidR="001611DC">
        <w:rPr>
          <w:iCs/>
          <w:snapToGrid/>
        </w:rPr>
        <w:t xml:space="preserve"> </w:t>
      </w:r>
      <w:r w:rsidRPr="001611DC">
        <w:rPr>
          <w:iCs/>
          <w:snapToGrid/>
        </w:rPr>
        <w:t xml:space="preserve">and therefore did not conduct </w:t>
      </w:r>
      <w:r w:rsidRPr="001611DC">
        <w:rPr>
          <w:iCs/>
          <w:snapToGrid/>
        </w:rPr>
        <w:lastRenderedPageBreak/>
        <w:t xml:space="preserve">an indirect comparison of the trials and their results. The submission presented a naïve comparison of results of the 3 trials. </w:t>
      </w:r>
      <w:bookmarkEnd w:id="37"/>
      <w:r w:rsidR="0058620A" w:rsidRPr="001611DC">
        <w:rPr>
          <w:iCs/>
          <w:snapToGrid/>
        </w:rPr>
        <w:t>The results from these comparisons are not discussed further.</w:t>
      </w:r>
    </w:p>
    <w:p w14:paraId="1B3B48FA" w14:textId="0BDD6BBE" w:rsidR="000168BA" w:rsidRPr="001611DC" w:rsidRDefault="000168BA" w:rsidP="000168BA">
      <w:pPr>
        <w:pStyle w:val="3-BodyText"/>
        <w:numPr>
          <w:ilvl w:val="0"/>
          <w:numId w:val="0"/>
        </w:numPr>
        <w:ind w:left="720"/>
        <w:rPr>
          <w:snapToGrid/>
        </w:rPr>
      </w:pPr>
      <w:r w:rsidRPr="001611DC">
        <w:rPr>
          <w:i/>
        </w:rPr>
        <w:t>For more detail on PBAC’s view, see section 7 PBAC outcome.</w:t>
      </w:r>
    </w:p>
    <w:p w14:paraId="7E68D2B6" w14:textId="77777777" w:rsidR="009263AC" w:rsidRPr="001611DC" w:rsidRDefault="009263AC" w:rsidP="009263AC">
      <w:pPr>
        <w:pStyle w:val="2-SectionHeading"/>
        <w:numPr>
          <w:ilvl w:val="0"/>
          <w:numId w:val="1"/>
        </w:numPr>
      </w:pPr>
      <w:bookmarkStart w:id="38" w:name="_Toc165203805"/>
      <w:bookmarkStart w:id="39" w:name="_Toc167277510"/>
      <w:bookmarkStart w:id="40" w:name="_Toc22897640"/>
      <w:r w:rsidRPr="001611DC">
        <w:t>Consideration of the evidence</w:t>
      </w:r>
      <w:bookmarkEnd w:id="38"/>
      <w:bookmarkEnd w:id="39"/>
    </w:p>
    <w:p w14:paraId="2AF886DF" w14:textId="77777777" w:rsidR="00BB2641" w:rsidRPr="001611DC" w:rsidRDefault="00BB2641" w:rsidP="00BB2641">
      <w:pPr>
        <w:pStyle w:val="4-SubsectionHeading"/>
      </w:pPr>
      <w:bookmarkStart w:id="41" w:name="_Hlk76375935"/>
      <w:bookmarkStart w:id="42" w:name="_Hlk76382618"/>
      <w:bookmarkStart w:id="43" w:name="_Toc165203806"/>
      <w:bookmarkStart w:id="44" w:name="_Toc167277511"/>
      <w:r w:rsidRPr="001611DC">
        <w:t>Sponsor hearing</w:t>
      </w:r>
    </w:p>
    <w:p w14:paraId="4D76BC55" w14:textId="15616C81" w:rsidR="00094C0D" w:rsidRPr="001611DC" w:rsidRDefault="00482AE5">
      <w:pPr>
        <w:widowControl w:val="0"/>
        <w:numPr>
          <w:ilvl w:val="1"/>
          <w:numId w:val="1"/>
        </w:numPr>
        <w:spacing w:after="120"/>
        <w:rPr>
          <w:rFonts w:asciiTheme="minorHAnsi" w:hAnsiTheme="minorHAnsi"/>
          <w:bCs/>
          <w:snapToGrid w:val="0"/>
        </w:rPr>
      </w:pPr>
      <w:r w:rsidRPr="001611DC">
        <w:rPr>
          <w:rFonts w:asciiTheme="minorHAnsi" w:hAnsiTheme="minorHAnsi"/>
          <w:bCs/>
          <w:snapToGrid w:val="0"/>
        </w:rPr>
        <w:t>A</w:t>
      </w:r>
      <w:r w:rsidR="00094C0D" w:rsidRPr="001611DC">
        <w:rPr>
          <w:rFonts w:asciiTheme="minorHAnsi" w:hAnsiTheme="minorHAnsi"/>
          <w:bCs/>
          <w:snapToGrid w:val="0"/>
        </w:rPr>
        <w:t xml:space="preserve"> written clinician statement </w:t>
      </w:r>
      <w:r w:rsidRPr="001611DC">
        <w:rPr>
          <w:rFonts w:asciiTheme="minorHAnsi" w:hAnsiTheme="minorHAnsi"/>
          <w:bCs/>
          <w:snapToGrid w:val="0"/>
        </w:rPr>
        <w:t xml:space="preserve">was provided </w:t>
      </w:r>
      <w:r w:rsidR="00094C0D" w:rsidRPr="001611DC">
        <w:rPr>
          <w:rFonts w:asciiTheme="minorHAnsi" w:hAnsiTheme="minorHAnsi"/>
          <w:bCs/>
          <w:snapToGrid w:val="0"/>
        </w:rPr>
        <w:t>for this item.</w:t>
      </w:r>
      <w:r w:rsidR="001F4410">
        <w:rPr>
          <w:rFonts w:asciiTheme="minorHAnsi" w:hAnsiTheme="minorHAnsi"/>
          <w:bCs/>
          <w:snapToGrid w:val="0"/>
        </w:rPr>
        <w:t xml:space="preserve"> </w:t>
      </w:r>
      <w:r w:rsidRPr="001611DC">
        <w:rPr>
          <w:rFonts w:asciiTheme="minorHAnsi" w:hAnsiTheme="minorHAnsi"/>
          <w:bCs/>
          <w:snapToGrid w:val="0"/>
        </w:rPr>
        <w:t xml:space="preserve">The statement </w:t>
      </w:r>
      <w:r w:rsidR="000C7B3A" w:rsidRPr="001611DC">
        <w:rPr>
          <w:rFonts w:asciiTheme="minorHAnsi" w:hAnsiTheme="minorHAnsi"/>
          <w:bCs/>
          <w:snapToGrid w:val="0"/>
        </w:rPr>
        <w:t xml:space="preserve">which was co-authored </w:t>
      </w:r>
      <w:r w:rsidR="007B309C" w:rsidRPr="001611DC">
        <w:rPr>
          <w:rFonts w:asciiTheme="minorHAnsi" w:hAnsiTheme="minorHAnsi"/>
          <w:bCs/>
          <w:snapToGrid w:val="0"/>
        </w:rPr>
        <w:t>by</w:t>
      </w:r>
      <w:r w:rsidR="000C7B3A" w:rsidRPr="001611DC">
        <w:rPr>
          <w:rFonts w:asciiTheme="minorHAnsi" w:hAnsiTheme="minorHAnsi"/>
          <w:bCs/>
          <w:snapToGrid w:val="0"/>
        </w:rPr>
        <w:t xml:space="preserve"> two Australian clinicians </w:t>
      </w:r>
      <w:r w:rsidR="007B309C" w:rsidRPr="001611DC">
        <w:rPr>
          <w:rFonts w:asciiTheme="minorHAnsi" w:hAnsiTheme="minorHAnsi"/>
          <w:bCs/>
          <w:snapToGrid w:val="0"/>
        </w:rPr>
        <w:t xml:space="preserve">with expertise in areas of immunisation, public health and geriatric medicine </w:t>
      </w:r>
      <w:r w:rsidRPr="001611DC">
        <w:rPr>
          <w:rFonts w:asciiTheme="minorHAnsi" w:hAnsiTheme="minorHAnsi"/>
          <w:bCs/>
          <w:snapToGrid w:val="0"/>
        </w:rPr>
        <w:t>supported the NIP listing for RSVPreF3 OA for all persons aged 65 years and above, noting the high incidence of risk factors for more severe RSV infection above 65 years.</w:t>
      </w:r>
      <w:r w:rsidR="001F4410">
        <w:rPr>
          <w:rFonts w:asciiTheme="minorHAnsi" w:hAnsiTheme="minorHAnsi"/>
          <w:bCs/>
          <w:snapToGrid w:val="0"/>
        </w:rPr>
        <w:t xml:space="preserve"> </w:t>
      </w:r>
      <w:r w:rsidRPr="001611DC">
        <w:rPr>
          <w:rFonts w:asciiTheme="minorHAnsi" w:hAnsiTheme="minorHAnsi"/>
          <w:bCs/>
          <w:snapToGrid w:val="0"/>
        </w:rPr>
        <w:t>The statement discussed the incidence of RSV in Australia, the burden of disease for older adults, and key results for the two RSV vaccines that are currently registered for older adults in Australia based on the pivotal trial publications.</w:t>
      </w:r>
      <w:r w:rsidR="001F4410">
        <w:rPr>
          <w:rFonts w:asciiTheme="minorHAnsi" w:hAnsiTheme="minorHAnsi"/>
          <w:bCs/>
          <w:snapToGrid w:val="0"/>
        </w:rPr>
        <w:t xml:space="preserve"> </w:t>
      </w:r>
      <w:r w:rsidR="00094C0D" w:rsidRPr="001611DC">
        <w:rPr>
          <w:rFonts w:asciiTheme="minorHAnsi" w:hAnsiTheme="minorHAnsi"/>
          <w:bCs/>
          <w:snapToGrid w:val="0"/>
        </w:rPr>
        <w:t xml:space="preserve">The PBAC considered that the </w:t>
      </w:r>
      <w:r w:rsidRPr="001611DC">
        <w:rPr>
          <w:rFonts w:asciiTheme="minorHAnsi" w:hAnsiTheme="minorHAnsi"/>
          <w:bCs/>
          <w:snapToGrid w:val="0"/>
        </w:rPr>
        <w:t>statement</w:t>
      </w:r>
      <w:r w:rsidR="00094C0D" w:rsidRPr="001611DC">
        <w:rPr>
          <w:rFonts w:asciiTheme="minorHAnsi" w:hAnsiTheme="minorHAnsi"/>
          <w:bCs/>
          <w:snapToGrid w:val="0"/>
        </w:rPr>
        <w:t xml:space="preserve"> was informative as it provided a clinical perspective on </w:t>
      </w:r>
      <w:r w:rsidRPr="001611DC">
        <w:rPr>
          <w:rFonts w:asciiTheme="minorHAnsi" w:hAnsiTheme="minorHAnsi"/>
          <w:bCs/>
          <w:snapToGrid w:val="0"/>
        </w:rPr>
        <w:t>RSV</w:t>
      </w:r>
      <w:r w:rsidR="00094C0D" w:rsidRPr="001611DC">
        <w:rPr>
          <w:rFonts w:asciiTheme="minorHAnsi" w:hAnsiTheme="minorHAnsi"/>
          <w:bCs/>
          <w:snapToGrid w:val="0"/>
        </w:rPr>
        <w:t xml:space="preserve"> disease</w:t>
      </w:r>
      <w:r w:rsidRPr="001611DC">
        <w:rPr>
          <w:rFonts w:asciiTheme="minorHAnsi" w:hAnsiTheme="minorHAnsi"/>
          <w:bCs/>
          <w:snapToGrid w:val="0"/>
        </w:rPr>
        <w:t xml:space="preserve"> and </w:t>
      </w:r>
      <w:r w:rsidR="001F2D52" w:rsidRPr="001611DC">
        <w:rPr>
          <w:rFonts w:asciiTheme="minorHAnsi" w:hAnsiTheme="minorHAnsi"/>
          <w:bCs/>
          <w:snapToGrid w:val="0"/>
        </w:rPr>
        <w:t xml:space="preserve">public health </w:t>
      </w:r>
      <w:r w:rsidRPr="001611DC">
        <w:rPr>
          <w:rFonts w:asciiTheme="minorHAnsi" w:hAnsiTheme="minorHAnsi"/>
          <w:bCs/>
          <w:snapToGrid w:val="0"/>
        </w:rPr>
        <w:t xml:space="preserve">rationale </w:t>
      </w:r>
      <w:r w:rsidR="008E7BFA" w:rsidRPr="001611DC">
        <w:rPr>
          <w:rFonts w:asciiTheme="minorHAnsi" w:hAnsiTheme="minorHAnsi"/>
          <w:bCs/>
          <w:snapToGrid w:val="0"/>
        </w:rPr>
        <w:t xml:space="preserve">for </w:t>
      </w:r>
      <w:r w:rsidRPr="001611DC">
        <w:rPr>
          <w:rFonts w:asciiTheme="minorHAnsi" w:hAnsiTheme="minorHAnsi"/>
          <w:bCs/>
          <w:snapToGrid w:val="0"/>
        </w:rPr>
        <w:t>supporting the listing</w:t>
      </w:r>
      <w:r w:rsidR="00094C0D" w:rsidRPr="001611DC">
        <w:rPr>
          <w:rFonts w:asciiTheme="minorHAnsi" w:hAnsiTheme="minorHAnsi"/>
          <w:bCs/>
          <w:snapToGrid w:val="0"/>
        </w:rPr>
        <w:t>.</w:t>
      </w:r>
      <w:r w:rsidR="001F4410">
        <w:rPr>
          <w:rFonts w:asciiTheme="minorHAnsi" w:hAnsiTheme="minorHAnsi"/>
          <w:bCs/>
          <w:snapToGrid w:val="0"/>
        </w:rPr>
        <w:t xml:space="preserve"> </w:t>
      </w:r>
      <w:r w:rsidR="001F2D52" w:rsidRPr="001611DC">
        <w:rPr>
          <w:rFonts w:asciiTheme="minorHAnsi" w:hAnsiTheme="minorHAnsi"/>
          <w:bCs/>
          <w:snapToGrid w:val="0"/>
        </w:rPr>
        <w:t>The PBAC noted that the statement supported an age threshold of 65 years for the NIP listing for RSVPreF3 OA, which differed from the submission.</w:t>
      </w:r>
    </w:p>
    <w:p w14:paraId="081B49CA" w14:textId="77777777" w:rsidR="00BB2641" w:rsidRPr="001611DC" w:rsidRDefault="00BB2641" w:rsidP="00BB2641">
      <w:pPr>
        <w:pStyle w:val="4-SubsectionHeading"/>
      </w:pPr>
      <w:r w:rsidRPr="001611DC">
        <w:t>Consumer comments</w:t>
      </w:r>
    </w:p>
    <w:bookmarkEnd w:id="41"/>
    <w:bookmarkEnd w:id="42"/>
    <w:p w14:paraId="1C0C5EE3" w14:textId="77777777" w:rsidR="00C64BF7" w:rsidRPr="001611DC" w:rsidRDefault="00C64BF7" w:rsidP="00C64BF7">
      <w:pPr>
        <w:widowControl w:val="0"/>
        <w:numPr>
          <w:ilvl w:val="1"/>
          <w:numId w:val="1"/>
        </w:numPr>
        <w:spacing w:after="120"/>
        <w:rPr>
          <w:rFonts w:asciiTheme="minorHAnsi" w:hAnsiTheme="minorHAnsi"/>
          <w:bCs/>
          <w:snapToGrid w:val="0"/>
        </w:rPr>
      </w:pPr>
      <w:r w:rsidRPr="001611DC">
        <w:rPr>
          <w:rFonts w:asciiTheme="minorHAnsi" w:hAnsiTheme="minorHAnsi"/>
          <w:bCs/>
          <w:snapToGrid w:val="0"/>
        </w:rPr>
        <w:t>The PBAC noted and welcomed the input from individuals (9), health care professionals (13) and organisations (6) via the Consumer Comments facility on the PBS website.</w:t>
      </w:r>
    </w:p>
    <w:p w14:paraId="21A0E789" w14:textId="384814A1" w:rsidR="00C64BF7" w:rsidRPr="001611DC" w:rsidRDefault="00C64BF7" w:rsidP="00C64BF7">
      <w:pPr>
        <w:widowControl w:val="0"/>
        <w:numPr>
          <w:ilvl w:val="1"/>
          <w:numId w:val="1"/>
        </w:numPr>
        <w:spacing w:after="120"/>
        <w:rPr>
          <w:rFonts w:asciiTheme="minorHAnsi" w:hAnsiTheme="minorHAnsi"/>
          <w:bCs/>
          <w:snapToGrid w:val="0"/>
        </w:rPr>
      </w:pPr>
      <w:r w:rsidRPr="001611DC">
        <w:rPr>
          <w:rFonts w:asciiTheme="minorHAnsi" w:hAnsiTheme="minorHAnsi"/>
          <w:bCs/>
          <w:snapToGrid w:val="0"/>
        </w:rPr>
        <w:t>The comments from individuals described concerns</w:t>
      </w:r>
      <w:r w:rsidR="00CC4815" w:rsidRPr="001611DC">
        <w:rPr>
          <w:rFonts w:asciiTheme="minorHAnsi" w:hAnsiTheme="minorHAnsi"/>
          <w:bCs/>
          <w:snapToGrid w:val="0"/>
        </w:rPr>
        <w:t xml:space="preserve"> </w:t>
      </w:r>
      <w:r w:rsidRPr="001611DC">
        <w:rPr>
          <w:rFonts w:asciiTheme="minorHAnsi" w:hAnsiTheme="minorHAnsi"/>
          <w:bCs/>
          <w:snapToGrid w:val="0"/>
        </w:rPr>
        <w:t>associated with contracting RSV,</w:t>
      </w:r>
      <w:r w:rsidR="00CC4815" w:rsidRPr="001611DC">
        <w:rPr>
          <w:rFonts w:asciiTheme="minorHAnsi" w:hAnsiTheme="minorHAnsi"/>
          <w:bCs/>
          <w:snapToGrid w:val="0"/>
        </w:rPr>
        <w:t xml:space="preserve"> especially in those people living with pre-existing </w:t>
      </w:r>
      <w:r w:rsidR="00516883" w:rsidRPr="001611DC">
        <w:rPr>
          <w:rFonts w:asciiTheme="minorHAnsi" w:hAnsiTheme="minorHAnsi"/>
          <w:bCs/>
          <w:snapToGrid w:val="0"/>
        </w:rPr>
        <w:t xml:space="preserve">medical </w:t>
      </w:r>
      <w:r w:rsidR="00CC4815" w:rsidRPr="001611DC">
        <w:rPr>
          <w:rFonts w:asciiTheme="minorHAnsi" w:hAnsiTheme="minorHAnsi"/>
          <w:bCs/>
          <w:snapToGrid w:val="0"/>
        </w:rPr>
        <w:t>conditions,</w:t>
      </w:r>
      <w:r w:rsidRPr="001611DC">
        <w:rPr>
          <w:rFonts w:asciiTheme="minorHAnsi" w:hAnsiTheme="minorHAnsi"/>
          <w:bCs/>
          <w:snapToGrid w:val="0"/>
        </w:rPr>
        <w:t xml:space="preserve"> and note</w:t>
      </w:r>
      <w:r w:rsidR="00CC4815" w:rsidRPr="001611DC">
        <w:rPr>
          <w:rFonts w:asciiTheme="minorHAnsi" w:hAnsiTheme="minorHAnsi"/>
          <w:bCs/>
          <w:snapToGrid w:val="0"/>
        </w:rPr>
        <w:t>d</w:t>
      </w:r>
      <w:r w:rsidRPr="001611DC">
        <w:rPr>
          <w:rFonts w:asciiTheme="minorHAnsi" w:hAnsiTheme="minorHAnsi"/>
          <w:bCs/>
          <w:snapToGrid w:val="0"/>
        </w:rPr>
        <w:t xml:space="preserve"> the need for access to an effective RSV vaccine</w:t>
      </w:r>
      <w:r w:rsidR="00CC4815" w:rsidRPr="001611DC">
        <w:rPr>
          <w:rFonts w:asciiTheme="minorHAnsi" w:hAnsiTheme="minorHAnsi"/>
          <w:bCs/>
          <w:snapToGrid w:val="0"/>
        </w:rPr>
        <w:t xml:space="preserve"> for themselves and other family members</w:t>
      </w:r>
      <w:r w:rsidRPr="001611DC">
        <w:rPr>
          <w:rFonts w:asciiTheme="minorHAnsi" w:hAnsiTheme="minorHAnsi"/>
          <w:bCs/>
          <w:snapToGrid w:val="0"/>
        </w:rPr>
        <w:t>.</w:t>
      </w:r>
      <w:r w:rsidR="00CC4815" w:rsidRPr="001611DC">
        <w:rPr>
          <w:rFonts w:asciiTheme="minorHAnsi" w:hAnsiTheme="minorHAnsi"/>
          <w:bCs/>
          <w:snapToGrid w:val="0"/>
        </w:rPr>
        <w:t xml:space="preserve"> Several comments referred to the </w:t>
      </w:r>
      <w:r w:rsidR="00516883" w:rsidRPr="001611DC">
        <w:rPr>
          <w:rFonts w:asciiTheme="minorHAnsi" w:hAnsiTheme="minorHAnsi"/>
          <w:bCs/>
          <w:snapToGrid w:val="0"/>
        </w:rPr>
        <w:t>high</w:t>
      </w:r>
      <w:r w:rsidR="00CC4815" w:rsidRPr="001611DC">
        <w:rPr>
          <w:rFonts w:asciiTheme="minorHAnsi" w:hAnsiTheme="minorHAnsi"/>
          <w:bCs/>
          <w:snapToGrid w:val="0"/>
        </w:rPr>
        <w:t xml:space="preserve"> cost of the RSV vaccine without a listing on the NIP.</w:t>
      </w:r>
    </w:p>
    <w:p w14:paraId="34A2EB96" w14:textId="631C57C8" w:rsidR="00CC4815" w:rsidRPr="001611DC" w:rsidRDefault="00C64BF7" w:rsidP="00CC4815">
      <w:pPr>
        <w:widowControl w:val="0"/>
        <w:numPr>
          <w:ilvl w:val="1"/>
          <w:numId w:val="1"/>
        </w:numPr>
        <w:spacing w:after="120"/>
        <w:rPr>
          <w:rFonts w:asciiTheme="minorHAnsi" w:hAnsiTheme="minorHAnsi"/>
          <w:bCs/>
          <w:snapToGrid w:val="0"/>
        </w:rPr>
      </w:pPr>
      <w:r w:rsidRPr="001611DC">
        <w:rPr>
          <w:rFonts w:asciiTheme="minorHAnsi" w:hAnsiTheme="minorHAnsi"/>
          <w:bCs/>
          <w:snapToGrid w:val="0"/>
        </w:rPr>
        <w:t xml:space="preserve">In addition to the comments from individuals, health care professionals described </w:t>
      </w:r>
      <w:r w:rsidR="00CC4815" w:rsidRPr="001611DC">
        <w:rPr>
          <w:rFonts w:asciiTheme="minorHAnsi" w:hAnsiTheme="minorHAnsi"/>
          <w:bCs/>
          <w:snapToGrid w:val="0"/>
        </w:rPr>
        <w:t xml:space="preserve">the RSV vaccine as effective in preventing RSV infection, reducing rates of morbidity and mortality, as well as reducing exacerbations </w:t>
      </w:r>
      <w:r w:rsidR="00516883" w:rsidRPr="001611DC">
        <w:rPr>
          <w:rFonts w:asciiTheme="minorHAnsi" w:hAnsiTheme="minorHAnsi"/>
          <w:bCs/>
          <w:snapToGrid w:val="0"/>
        </w:rPr>
        <w:t>of underlying medical</w:t>
      </w:r>
      <w:r w:rsidR="00CC4815" w:rsidRPr="001611DC">
        <w:rPr>
          <w:rFonts w:asciiTheme="minorHAnsi" w:hAnsiTheme="minorHAnsi"/>
          <w:bCs/>
          <w:snapToGrid w:val="0"/>
        </w:rPr>
        <w:t xml:space="preserve"> conditions. </w:t>
      </w:r>
      <w:r w:rsidR="00FE3B95" w:rsidRPr="001611DC">
        <w:rPr>
          <w:rFonts w:asciiTheme="minorHAnsi" w:hAnsiTheme="minorHAnsi"/>
          <w:bCs/>
          <w:snapToGrid w:val="0"/>
        </w:rPr>
        <w:t>The comments</w:t>
      </w:r>
      <w:r w:rsidR="00CC4815" w:rsidRPr="001611DC">
        <w:rPr>
          <w:rFonts w:asciiTheme="minorHAnsi" w:hAnsiTheme="minorHAnsi"/>
          <w:bCs/>
          <w:snapToGrid w:val="0"/>
        </w:rPr>
        <w:t xml:space="preserve"> outline</w:t>
      </w:r>
      <w:r w:rsidR="00FE3B95" w:rsidRPr="001611DC">
        <w:rPr>
          <w:rFonts w:asciiTheme="minorHAnsi" w:hAnsiTheme="minorHAnsi"/>
          <w:bCs/>
          <w:snapToGrid w:val="0"/>
        </w:rPr>
        <w:t>d</w:t>
      </w:r>
      <w:r w:rsidR="00CC4815" w:rsidRPr="001611DC">
        <w:rPr>
          <w:rFonts w:asciiTheme="minorHAnsi" w:hAnsiTheme="minorHAnsi"/>
          <w:bCs/>
          <w:snapToGrid w:val="0"/>
        </w:rPr>
        <w:t xml:space="preserve"> the </w:t>
      </w:r>
      <w:r w:rsidR="00FE3B95" w:rsidRPr="001611DC">
        <w:rPr>
          <w:rFonts w:asciiTheme="minorHAnsi" w:hAnsiTheme="minorHAnsi"/>
          <w:bCs/>
          <w:snapToGrid w:val="0"/>
        </w:rPr>
        <w:t>limited</w:t>
      </w:r>
      <w:r w:rsidR="00CC4815" w:rsidRPr="001611DC">
        <w:rPr>
          <w:rFonts w:asciiTheme="minorHAnsi" w:hAnsiTheme="minorHAnsi"/>
          <w:bCs/>
          <w:snapToGrid w:val="0"/>
        </w:rPr>
        <w:t xml:space="preserve"> effective treatment options for RSV</w:t>
      </w:r>
      <w:r w:rsidR="00FE3B95" w:rsidRPr="001611DC">
        <w:rPr>
          <w:rFonts w:asciiTheme="minorHAnsi" w:hAnsiTheme="minorHAnsi"/>
          <w:bCs/>
          <w:snapToGrid w:val="0"/>
        </w:rPr>
        <w:t xml:space="preserve"> infection</w:t>
      </w:r>
      <w:r w:rsidR="00CC4815" w:rsidRPr="001611DC">
        <w:rPr>
          <w:rFonts w:asciiTheme="minorHAnsi" w:hAnsiTheme="minorHAnsi"/>
          <w:bCs/>
          <w:snapToGrid w:val="0"/>
        </w:rPr>
        <w:t>, and note</w:t>
      </w:r>
      <w:r w:rsidR="00FE3B95" w:rsidRPr="001611DC">
        <w:rPr>
          <w:rFonts w:asciiTheme="minorHAnsi" w:hAnsiTheme="minorHAnsi"/>
          <w:bCs/>
          <w:snapToGrid w:val="0"/>
        </w:rPr>
        <w:t>d</w:t>
      </w:r>
      <w:r w:rsidR="00CC4815" w:rsidRPr="001611DC">
        <w:rPr>
          <w:rFonts w:asciiTheme="minorHAnsi" w:hAnsiTheme="minorHAnsi"/>
          <w:bCs/>
          <w:snapToGrid w:val="0"/>
        </w:rPr>
        <w:t xml:space="preserve"> the importance prevention plays in disease control</w:t>
      </w:r>
      <w:r w:rsidR="00EF56C8" w:rsidRPr="001611DC">
        <w:rPr>
          <w:rFonts w:asciiTheme="minorHAnsi" w:hAnsiTheme="minorHAnsi"/>
          <w:bCs/>
          <w:snapToGrid w:val="0"/>
        </w:rPr>
        <w:t xml:space="preserve"> for older Australians,</w:t>
      </w:r>
      <w:r w:rsidR="00FE3B95" w:rsidRPr="001611DC">
        <w:rPr>
          <w:rFonts w:asciiTheme="minorHAnsi" w:hAnsiTheme="minorHAnsi"/>
          <w:bCs/>
          <w:snapToGrid w:val="0"/>
        </w:rPr>
        <w:t xml:space="preserve"> </w:t>
      </w:r>
      <w:r w:rsidR="00FE3B95" w:rsidRPr="001611DC">
        <w:t>including a reduction in hospital admissions</w:t>
      </w:r>
      <w:r w:rsidR="00CC4815" w:rsidRPr="001611DC">
        <w:rPr>
          <w:rFonts w:asciiTheme="minorHAnsi" w:hAnsiTheme="minorHAnsi"/>
          <w:bCs/>
          <w:snapToGrid w:val="0"/>
        </w:rPr>
        <w:t>.</w:t>
      </w:r>
    </w:p>
    <w:p w14:paraId="7001AE19" w14:textId="60B173B7" w:rsidR="00C64BF7" w:rsidRPr="001611DC" w:rsidRDefault="00C64BF7" w:rsidP="00C64BF7">
      <w:pPr>
        <w:widowControl w:val="0"/>
        <w:numPr>
          <w:ilvl w:val="1"/>
          <w:numId w:val="1"/>
        </w:numPr>
        <w:spacing w:after="120"/>
        <w:rPr>
          <w:rFonts w:asciiTheme="minorHAnsi" w:hAnsiTheme="minorHAnsi"/>
          <w:bCs/>
          <w:snapToGrid w:val="0"/>
        </w:rPr>
      </w:pPr>
      <w:r w:rsidRPr="001611DC">
        <w:rPr>
          <w:bCs/>
        </w:rPr>
        <w:t>The organisations that provided comments are listed below</w:t>
      </w:r>
      <w:r w:rsidR="00281774" w:rsidRPr="001611DC">
        <w:rPr>
          <w:bCs/>
        </w:rPr>
        <w:t>,</w:t>
      </w:r>
      <w:r w:rsidRPr="001611DC">
        <w:rPr>
          <w:bCs/>
        </w:rPr>
        <w:t xml:space="preserve"> along with comments not covered above:</w:t>
      </w:r>
      <w:r w:rsidRPr="001611DC">
        <w:rPr>
          <w:rFonts w:asciiTheme="minorHAnsi" w:hAnsiTheme="minorHAnsi"/>
          <w:bCs/>
          <w:snapToGrid w:val="0"/>
        </w:rPr>
        <w:t xml:space="preserve"> </w:t>
      </w:r>
    </w:p>
    <w:p w14:paraId="0B80F344" w14:textId="08E050FF" w:rsidR="00C64BF7" w:rsidRPr="001611DC" w:rsidRDefault="00C64BF7" w:rsidP="00844F2C">
      <w:pPr>
        <w:pStyle w:val="ListParagraph"/>
        <w:widowControl w:val="0"/>
        <w:numPr>
          <w:ilvl w:val="0"/>
          <w:numId w:val="24"/>
        </w:numPr>
        <w:ind w:left="1134"/>
        <w:rPr>
          <w:bCs/>
        </w:rPr>
      </w:pPr>
      <w:r w:rsidRPr="001611DC">
        <w:rPr>
          <w:bCs/>
        </w:rPr>
        <w:t>Immunisation Foundation of Australia</w:t>
      </w:r>
      <w:r w:rsidR="00E96859" w:rsidRPr="001611DC">
        <w:rPr>
          <w:bCs/>
        </w:rPr>
        <w:t xml:space="preserve"> – </w:t>
      </w:r>
      <w:r w:rsidR="00CD21C4" w:rsidRPr="001611DC">
        <w:rPr>
          <w:bCs/>
        </w:rPr>
        <w:t>noted</w:t>
      </w:r>
      <w:r w:rsidR="00E96859" w:rsidRPr="001611DC">
        <w:rPr>
          <w:bCs/>
        </w:rPr>
        <w:t xml:space="preserve"> the</w:t>
      </w:r>
      <w:r w:rsidR="00FF45F1" w:rsidRPr="001611DC">
        <w:rPr>
          <w:bCs/>
        </w:rPr>
        <w:t xml:space="preserve"> </w:t>
      </w:r>
      <w:r w:rsidR="00B72044" w:rsidRPr="001611DC">
        <w:rPr>
          <w:bCs/>
        </w:rPr>
        <w:t>extensive</w:t>
      </w:r>
      <w:r w:rsidR="00E96859" w:rsidRPr="001611DC">
        <w:rPr>
          <w:bCs/>
        </w:rPr>
        <w:t xml:space="preserve"> </w:t>
      </w:r>
      <w:r w:rsidR="00FF45F1" w:rsidRPr="001611DC">
        <w:rPr>
          <w:bCs/>
        </w:rPr>
        <w:t>health, work, financial, family/social, and mental/emotional impacts of contracting RSV, focusing on the burden of severe infection;</w:t>
      </w:r>
    </w:p>
    <w:p w14:paraId="6D0126AE" w14:textId="248FB8AE" w:rsidR="00C64BF7" w:rsidRPr="001611DC" w:rsidRDefault="00C64BF7" w:rsidP="00844F2C">
      <w:pPr>
        <w:pStyle w:val="ListParagraph"/>
        <w:widowControl w:val="0"/>
        <w:numPr>
          <w:ilvl w:val="0"/>
          <w:numId w:val="24"/>
        </w:numPr>
        <w:ind w:left="1134"/>
        <w:rPr>
          <w:bCs/>
        </w:rPr>
      </w:pPr>
      <w:r w:rsidRPr="001611DC">
        <w:rPr>
          <w:bCs/>
        </w:rPr>
        <w:lastRenderedPageBreak/>
        <w:t>Lung Foundation Australia</w:t>
      </w:r>
      <w:r w:rsidR="00E96859" w:rsidRPr="001611DC">
        <w:rPr>
          <w:bCs/>
        </w:rPr>
        <w:t xml:space="preserve"> – </w:t>
      </w:r>
      <w:r w:rsidR="00EF56C8" w:rsidRPr="001611DC">
        <w:rPr>
          <w:bCs/>
        </w:rPr>
        <w:t>quoted substantial RSV infection rates from the Department of Health and Aged Care, National Communicable Disease Surveillance Dashboard (2024);</w:t>
      </w:r>
    </w:p>
    <w:p w14:paraId="6035DD24" w14:textId="186E1DE5" w:rsidR="00C64BF7" w:rsidRPr="001611DC" w:rsidRDefault="00C64BF7" w:rsidP="00844F2C">
      <w:pPr>
        <w:pStyle w:val="ListParagraph"/>
        <w:widowControl w:val="0"/>
        <w:numPr>
          <w:ilvl w:val="0"/>
          <w:numId w:val="24"/>
        </w:numPr>
        <w:ind w:left="1134"/>
        <w:rPr>
          <w:bCs/>
        </w:rPr>
      </w:pPr>
      <w:r w:rsidRPr="001611DC">
        <w:rPr>
          <w:bCs/>
        </w:rPr>
        <w:t>Asthma Australia</w:t>
      </w:r>
      <w:r w:rsidR="00E96859" w:rsidRPr="001611DC">
        <w:rPr>
          <w:bCs/>
        </w:rPr>
        <w:t xml:space="preserve"> – </w:t>
      </w:r>
      <w:r w:rsidR="00CD21C4" w:rsidRPr="001611DC">
        <w:rPr>
          <w:bCs/>
        </w:rPr>
        <w:t>stated that preventing complications from RSV in susceptible populations should be included in good asthma management practice;</w:t>
      </w:r>
    </w:p>
    <w:p w14:paraId="0D7198B4" w14:textId="797716E4" w:rsidR="00C64BF7" w:rsidRPr="001611DC" w:rsidRDefault="00C64BF7" w:rsidP="00844F2C">
      <w:pPr>
        <w:pStyle w:val="ListParagraph"/>
        <w:widowControl w:val="0"/>
        <w:numPr>
          <w:ilvl w:val="0"/>
          <w:numId w:val="24"/>
        </w:numPr>
        <w:ind w:left="1134"/>
        <w:rPr>
          <w:bCs/>
        </w:rPr>
      </w:pPr>
      <w:r w:rsidRPr="001611DC">
        <w:rPr>
          <w:bCs/>
        </w:rPr>
        <w:t>National Asthma Council Australia</w:t>
      </w:r>
      <w:r w:rsidR="00E96859" w:rsidRPr="001611DC">
        <w:rPr>
          <w:bCs/>
        </w:rPr>
        <w:t xml:space="preserve"> –</w:t>
      </w:r>
      <w:r w:rsidR="00021884" w:rsidRPr="001611DC">
        <w:rPr>
          <w:bCs/>
        </w:rPr>
        <w:t xml:space="preserve"> discussed that</w:t>
      </w:r>
      <w:r w:rsidR="00E96859" w:rsidRPr="001611DC">
        <w:rPr>
          <w:bCs/>
        </w:rPr>
        <w:t xml:space="preserve"> </w:t>
      </w:r>
      <w:r w:rsidR="00021884" w:rsidRPr="001611DC">
        <w:rPr>
          <w:bCs/>
        </w:rPr>
        <w:t>in addition to the specific complications of RSV infection, older adults experience wider societal and physical effects of RSV infection such as decline in socialisation, feelings of loneliness and isolation, inadequate nutrition, higher incidence of depression, sleep difficulties and loss of involvement in the community, leading to cognitive decline and further illnesses;</w:t>
      </w:r>
    </w:p>
    <w:p w14:paraId="4F690116" w14:textId="3D860F6A" w:rsidR="000539E7" w:rsidRPr="001611DC" w:rsidRDefault="00C64BF7" w:rsidP="00844F2C">
      <w:pPr>
        <w:pStyle w:val="ListParagraph"/>
        <w:widowControl w:val="0"/>
        <w:numPr>
          <w:ilvl w:val="0"/>
          <w:numId w:val="24"/>
        </w:numPr>
        <w:ind w:left="1134"/>
        <w:rPr>
          <w:bCs/>
        </w:rPr>
      </w:pPr>
      <w:r w:rsidRPr="001611DC">
        <w:rPr>
          <w:bCs/>
        </w:rPr>
        <w:t>National Aboriginal Community Controlled Health Organisation (NACCHO)</w:t>
      </w:r>
      <w:r w:rsidR="00E96859" w:rsidRPr="001611DC">
        <w:rPr>
          <w:bCs/>
        </w:rPr>
        <w:t xml:space="preserve"> –</w:t>
      </w:r>
      <w:r w:rsidR="000539E7" w:rsidRPr="001611DC">
        <w:rPr>
          <w:bCs/>
        </w:rPr>
        <w:t>s</w:t>
      </w:r>
      <w:r w:rsidR="000539E7" w:rsidRPr="001611DC">
        <w:rPr>
          <w:rFonts w:cstheme="minorHAnsi"/>
        </w:rPr>
        <w:t>tated that risk factors for severe RSV in First Nations adults include chronic respiratory cardiovascular and kidney disease, contributing to a disproportionate burden of RSV disease in this population.</w:t>
      </w:r>
    </w:p>
    <w:p w14:paraId="32426AE5" w14:textId="4E31C313" w:rsidR="00C64BF7" w:rsidRPr="001611DC" w:rsidRDefault="00C64BF7" w:rsidP="00844F2C">
      <w:pPr>
        <w:pStyle w:val="ListParagraph"/>
        <w:widowControl w:val="0"/>
        <w:numPr>
          <w:ilvl w:val="0"/>
          <w:numId w:val="24"/>
        </w:numPr>
        <w:ind w:left="1134"/>
        <w:rPr>
          <w:bCs/>
        </w:rPr>
      </w:pPr>
      <w:r w:rsidRPr="001611DC">
        <w:rPr>
          <w:bCs/>
        </w:rPr>
        <w:t>Australasian Society of Clinical Immunology and Allergy (ASCIA)</w:t>
      </w:r>
      <w:r w:rsidR="00E96859" w:rsidRPr="001611DC">
        <w:rPr>
          <w:bCs/>
        </w:rPr>
        <w:t xml:space="preserve"> – </w:t>
      </w:r>
      <w:r w:rsidR="005C7FEF" w:rsidRPr="001611DC">
        <w:rPr>
          <w:bCs/>
        </w:rPr>
        <w:t xml:space="preserve">stated that older adults who are immunocompromised and/or have chronic medical conditions such as asthma, diabetes, chronic obstructive pulmonary disease and congestive heart failure have a greater risk of being hospitalised from RSV compared </w:t>
      </w:r>
      <w:r w:rsidR="00B72044" w:rsidRPr="001611DC">
        <w:rPr>
          <w:bCs/>
        </w:rPr>
        <w:t>to</w:t>
      </w:r>
      <w:r w:rsidR="005C7FEF" w:rsidRPr="001611DC">
        <w:rPr>
          <w:bCs/>
        </w:rPr>
        <w:t xml:space="preserve"> those without these conditions.</w:t>
      </w:r>
    </w:p>
    <w:p w14:paraId="799B0C92" w14:textId="33D8341E" w:rsidR="00C64BF7" w:rsidRPr="001611DC" w:rsidRDefault="00C64BF7" w:rsidP="00FF45F1">
      <w:pPr>
        <w:widowControl w:val="0"/>
        <w:numPr>
          <w:ilvl w:val="1"/>
          <w:numId w:val="1"/>
        </w:numPr>
        <w:spacing w:after="120"/>
        <w:rPr>
          <w:rFonts w:asciiTheme="minorHAnsi" w:hAnsiTheme="minorHAnsi"/>
          <w:bCs/>
          <w:snapToGrid w:val="0"/>
        </w:rPr>
      </w:pPr>
      <w:r w:rsidRPr="001611DC">
        <w:rPr>
          <w:rFonts w:asciiTheme="minorHAnsi" w:hAnsiTheme="minorHAnsi"/>
          <w:bCs/>
          <w:snapToGrid w:val="0"/>
        </w:rPr>
        <w:t>The PBAC noted that this advice was supportive of the evidence provided in the</w:t>
      </w:r>
      <w:r w:rsidR="00E96859" w:rsidRPr="001611DC">
        <w:rPr>
          <w:rFonts w:asciiTheme="minorHAnsi" w:hAnsiTheme="minorHAnsi"/>
          <w:bCs/>
          <w:snapToGrid w:val="0"/>
        </w:rPr>
        <w:t xml:space="preserve"> </w:t>
      </w:r>
      <w:r w:rsidRPr="001611DC">
        <w:rPr>
          <w:rFonts w:asciiTheme="minorHAnsi" w:hAnsiTheme="minorHAnsi"/>
          <w:bCs/>
          <w:snapToGrid w:val="0"/>
        </w:rPr>
        <w:t>submission.</w:t>
      </w:r>
    </w:p>
    <w:p w14:paraId="166887B5" w14:textId="796E4C26" w:rsidR="009263AC" w:rsidRPr="001611DC" w:rsidRDefault="009263AC" w:rsidP="009263AC">
      <w:pPr>
        <w:pStyle w:val="4-SubsectionHeading"/>
      </w:pPr>
      <w:r w:rsidRPr="001611DC">
        <w:t>Clinical trials</w:t>
      </w:r>
      <w:bookmarkEnd w:id="40"/>
      <w:bookmarkEnd w:id="43"/>
      <w:bookmarkEnd w:id="44"/>
    </w:p>
    <w:p w14:paraId="432ADA55" w14:textId="5B0A24DB" w:rsidR="009263AC" w:rsidRPr="001611DC" w:rsidRDefault="009263AC" w:rsidP="009263AC">
      <w:pPr>
        <w:pStyle w:val="3-BodyText"/>
        <w:rPr>
          <w:color w:val="0066FF"/>
        </w:rPr>
      </w:pPr>
      <w:r w:rsidRPr="001611DC">
        <w:rPr>
          <w:snapToGrid/>
        </w:rPr>
        <w:t>The submission was based on one randomised, placebo-controlled head-to-head trial (A</w:t>
      </w:r>
      <w:r w:rsidR="0083552E" w:rsidRPr="001611DC">
        <w:rPr>
          <w:snapToGrid/>
        </w:rPr>
        <w:t>r</w:t>
      </w:r>
      <w:r w:rsidRPr="001611DC">
        <w:rPr>
          <w:snapToGrid/>
        </w:rPr>
        <w:t>eSVi-006) comparing the efficacy and safety of RSVPreF3 OA to placebo vaccine (saline solution) in adults</w:t>
      </w:r>
      <w:r w:rsidRPr="001611DC">
        <w:rPr>
          <w:iCs/>
          <w:snapToGrid/>
        </w:rPr>
        <w:t xml:space="preserve"> </w:t>
      </w:r>
      <w:r w:rsidR="00E2719A" w:rsidRPr="001611DC">
        <w:rPr>
          <w:rFonts w:cstheme="minorHAnsi"/>
          <w:iCs/>
          <w:snapToGrid/>
        </w:rPr>
        <w:t>≥</w:t>
      </w:r>
      <w:r w:rsidRPr="001611DC">
        <w:rPr>
          <w:iCs/>
          <w:snapToGrid/>
        </w:rPr>
        <w:t>60 YOA</w:t>
      </w:r>
      <w:r w:rsidRPr="001611DC">
        <w:rPr>
          <w:snapToGrid/>
        </w:rPr>
        <w:t xml:space="preserve">. </w:t>
      </w:r>
    </w:p>
    <w:p w14:paraId="5E06D5D4" w14:textId="77777777" w:rsidR="009263AC" w:rsidRPr="001611DC" w:rsidRDefault="009263AC" w:rsidP="009263AC">
      <w:pPr>
        <w:pStyle w:val="3-BodyText"/>
      </w:pPr>
      <w:r w:rsidRPr="001611DC">
        <w:t xml:space="preserve">Given the difference in reconstitution and visual appearance of the RSVPreF3 OA investigational vaccine and the saline solution used as placebo, double blinding was not possible, and the study was conducted in an observer-blind manner. The participants, study site and sponsor personnel involved in clinical evaluation of participants were blinded while other study personnel were not required to be blinded with respect to the intervention assignment. </w:t>
      </w:r>
    </w:p>
    <w:p w14:paraId="66C26035" w14:textId="17AD8610" w:rsidR="009263AC" w:rsidRPr="001611DC" w:rsidRDefault="009263AC" w:rsidP="009263AC">
      <w:pPr>
        <w:pStyle w:val="3-BodyText"/>
        <w:rPr>
          <w:color w:val="0066FF"/>
        </w:rPr>
      </w:pPr>
      <w:r w:rsidRPr="001611DC">
        <w:rPr>
          <w:snapToGrid/>
        </w:rPr>
        <w:t xml:space="preserve">A claim of superiority was made with respect to VE in terms of prevention of </w:t>
      </w:r>
      <w:r w:rsidRPr="001611DC">
        <w:rPr>
          <w:iCs/>
          <w:snapToGrid/>
        </w:rPr>
        <w:t>RT-PCR confirmed RSV-associated LRTD</w:t>
      </w:r>
      <w:r w:rsidRPr="001611DC">
        <w:rPr>
          <w:snapToGrid/>
        </w:rPr>
        <w:t xml:space="preserve"> in adults </w:t>
      </w:r>
      <w:r w:rsidR="00E2719A" w:rsidRPr="001611DC">
        <w:rPr>
          <w:rFonts w:cstheme="minorHAnsi"/>
          <w:iCs/>
          <w:snapToGrid/>
        </w:rPr>
        <w:t>≥</w:t>
      </w:r>
      <w:r w:rsidRPr="001611DC">
        <w:rPr>
          <w:iCs/>
          <w:snapToGrid/>
        </w:rPr>
        <w:t xml:space="preserve">60 YOA, inclusive of those </w:t>
      </w:r>
      <w:r w:rsidR="00E2719A" w:rsidRPr="001611DC">
        <w:rPr>
          <w:rFonts w:cstheme="minorHAnsi"/>
          <w:iCs/>
          <w:snapToGrid/>
        </w:rPr>
        <w:t>≥</w:t>
      </w:r>
      <w:r w:rsidRPr="001611DC">
        <w:rPr>
          <w:iCs/>
          <w:snapToGrid/>
        </w:rPr>
        <w:t>75 YOA, with an acceptable safety profile relative to placebo</w:t>
      </w:r>
      <w:r w:rsidRPr="001611DC">
        <w:rPr>
          <w:snapToGrid/>
        </w:rPr>
        <w:t xml:space="preserve">. </w:t>
      </w:r>
      <w:r w:rsidRPr="001611DC">
        <w:rPr>
          <w:iCs/>
          <w:snapToGrid/>
        </w:rPr>
        <w:t xml:space="preserve">The submission presented </w:t>
      </w:r>
      <w:r w:rsidR="005E1B5D" w:rsidRPr="001611DC">
        <w:rPr>
          <w:iCs/>
          <w:snapToGrid/>
        </w:rPr>
        <w:t>post hoc</w:t>
      </w:r>
      <w:r w:rsidRPr="001611DC">
        <w:rPr>
          <w:iCs/>
          <w:snapToGrid/>
        </w:rPr>
        <w:t xml:space="preserve"> subgroup analyses to support the efficacy claim in adults </w:t>
      </w:r>
      <w:r w:rsidR="00E2719A" w:rsidRPr="001611DC">
        <w:rPr>
          <w:rFonts w:cstheme="minorHAnsi"/>
          <w:iCs/>
          <w:snapToGrid/>
        </w:rPr>
        <w:t>≥</w:t>
      </w:r>
      <w:r w:rsidRPr="001611DC">
        <w:rPr>
          <w:iCs/>
          <w:snapToGrid/>
        </w:rPr>
        <w:t>75 YOA.</w:t>
      </w:r>
    </w:p>
    <w:p w14:paraId="49F1BAAD" w14:textId="110A0C84" w:rsidR="009263AC" w:rsidRPr="001611DC" w:rsidRDefault="009263AC" w:rsidP="009263AC">
      <w:pPr>
        <w:pStyle w:val="3-BodyText"/>
      </w:pPr>
      <w:r w:rsidRPr="001611DC">
        <w:rPr>
          <w:iCs/>
          <w:snapToGrid/>
        </w:rPr>
        <w:t>The submission presented one supportive trial, the pivotal immunogenicity randomised controlled trial (RCT), A</w:t>
      </w:r>
      <w:r w:rsidR="0083552E" w:rsidRPr="001611DC">
        <w:rPr>
          <w:iCs/>
          <w:snapToGrid/>
        </w:rPr>
        <w:t>r</w:t>
      </w:r>
      <w:r w:rsidRPr="001611DC">
        <w:rPr>
          <w:iCs/>
          <w:snapToGrid/>
        </w:rPr>
        <w:t xml:space="preserve">eSVi-004, as supportive evidence for the efficacy claim of RSVPreF3 OA in adults </w:t>
      </w:r>
      <w:r w:rsidR="00E2719A" w:rsidRPr="001611DC">
        <w:rPr>
          <w:rFonts w:cstheme="minorHAnsi"/>
          <w:iCs/>
          <w:snapToGrid/>
        </w:rPr>
        <w:t>≥</w:t>
      </w:r>
      <w:r w:rsidRPr="001611DC">
        <w:rPr>
          <w:iCs/>
          <w:snapToGrid/>
        </w:rPr>
        <w:t xml:space="preserve">75 YOA. </w:t>
      </w:r>
    </w:p>
    <w:p w14:paraId="59936E7D" w14:textId="5C99E5F8" w:rsidR="009263AC" w:rsidRPr="001611DC" w:rsidRDefault="009263AC" w:rsidP="009263AC">
      <w:pPr>
        <w:pStyle w:val="3-BodyText"/>
      </w:pPr>
      <w:r w:rsidRPr="001611DC">
        <w:rPr>
          <w:snapToGrid/>
        </w:rPr>
        <w:lastRenderedPageBreak/>
        <w:t xml:space="preserve">Details of the trials presented in the submission are provided in </w:t>
      </w:r>
      <w:r w:rsidRPr="001611DC">
        <w:rPr>
          <w:snapToGrid/>
        </w:rPr>
        <w:fldChar w:fldCharType="begin" w:fldLock="1"/>
      </w:r>
      <w:r w:rsidRPr="001611DC">
        <w:rPr>
          <w:snapToGrid/>
        </w:rPr>
        <w:instrText xml:space="preserve"> REF _Ref104803956 \h  \* MERGEFORMAT </w:instrText>
      </w:r>
      <w:r w:rsidRPr="001611DC">
        <w:rPr>
          <w:snapToGrid/>
        </w:rPr>
      </w:r>
      <w:r w:rsidRPr="001611DC">
        <w:rPr>
          <w:snapToGrid/>
        </w:rPr>
        <w:fldChar w:fldCharType="separate"/>
      </w:r>
      <w:r w:rsidR="00927933" w:rsidRPr="001611DC">
        <w:t>Table 3</w:t>
      </w:r>
      <w:r w:rsidRPr="001611DC">
        <w:rPr>
          <w:snapToGrid/>
        </w:rPr>
        <w:fldChar w:fldCharType="end"/>
      </w:r>
      <w:r w:rsidRPr="001611DC">
        <w:rPr>
          <w:snapToGrid/>
        </w:rPr>
        <w:t xml:space="preserve">. </w:t>
      </w:r>
    </w:p>
    <w:p w14:paraId="0802A3FB" w14:textId="307F9F10" w:rsidR="009263AC" w:rsidRPr="001611DC" w:rsidRDefault="009263AC" w:rsidP="009263AC">
      <w:pPr>
        <w:pStyle w:val="TableFigureHeading"/>
        <w:rPr>
          <w:rStyle w:val="CommentReference"/>
          <w:b/>
        </w:rPr>
      </w:pPr>
      <w:bookmarkStart w:id="45" w:name="_Ref104803956"/>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w:t>
      </w:r>
      <w:r w:rsidR="005473CE" w:rsidRPr="001611DC">
        <w:fldChar w:fldCharType="end"/>
      </w:r>
      <w:bookmarkEnd w:id="45"/>
      <w:r w:rsidRPr="001611DC">
        <w:t>: Trials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4"/>
        <w:gridCol w:w="5055"/>
        <w:gridCol w:w="2528"/>
      </w:tblGrid>
      <w:tr w:rsidR="009263AC" w:rsidRPr="001611DC" w14:paraId="43C45DB7" w14:textId="77777777" w:rsidTr="00EB145B">
        <w:trPr>
          <w:cantSplit/>
          <w:tblHeader/>
        </w:trPr>
        <w:tc>
          <w:tcPr>
            <w:tcW w:w="795" w:type="pct"/>
            <w:vAlign w:val="center"/>
          </w:tcPr>
          <w:p w14:paraId="68597D3E" w14:textId="77777777" w:rsidR="009263AC" w:rsidRPr="001611DC" w:rsidRDefault="009263AC" w:rsidP="00EB145B">
            <w:pPr>
              <w:pStyle w:val="In-tableHeading"/>
              <w:rPr>
                <w:lang w:val="en-AU"/>
              </w:rPr>
            </w:pPr>
            <w:r w:rsidRPr="001611DC">
              <w:rPr>
                <w:lang w:val="en-AU"/>
              </w:rPr>
              <w:t>Trial ID</w:t>
            </w:r>
          </w:p>
        </w:tc>
        <w:tc>
          <w:tcPr>
            <w:tcW w:w="2803" w:type="pct"/>
            <w:vAlign w:val="center"/>
          </w:tcPr>
          <w:p w14:paraId="4C26A20B" w14:textId="77777777" w:rsidR="009263AC" w:rsidRPr="001611DC" w:rsidRDefault="009263AC" w:rsidP="00EB145B">
            <w:pPr>
              <w:pStyle w:val="In-tableHeading"/>
              <w:rPr>
                <w:lang w:val="en-AU"/>
              </w:rPr>
            </w:pPr>
            <w:r w:rsidRPr="001611DC">
              <w:rPr>
                <w:lang w:val="en-AU"/>
              </w:rPr>
              <w:t>Protocol title/ Publication title</w:t>
            </w:r>
          </w:p>
        </w:tc>
        <w:tc>
          <w:tcPr>
            <w:tcW w:w="1402" w:type="pct"/>
            <w:vAlign w:val="center"/>
          </w:tcPr>
          <w:p w14:paraId="012356C4" w14:textId="77777777" w:rsidR="009263AC" w:rsidRPr="001611DC" w:rsidRDefault="009263AC" w:rsidP="00EB145B">
            <w:pPr>
              <w:pStyle w:val="In-tableHeading"/>
              <w:rPr>
                <w:lang w:val="en-AU"/>
              </w:rPr>
            </w:pPr>
            <w:r w:rsidRPr="001611DC">
              <w:rPr>
                <w:lang w:val="en-AU"/>
              </w:rPr>
              <w:t>Publication citation</w:t>
            </w:r>
          </w:p>
        </w:tc>
      </w:tr>
      <w:tr w:rsidR="009263AC" w:rsidRPr="001611DC" w14:paraId="06365FEF" w14:textId="77777777" w:rsidTr="00EB145B">
        <w:trPr>
          <w:cantSplit/>
          <w:tblHeader/>
        </w:trPr>
        <w:tc>
          <w:tcPr>
            <w:tcW w:w="5000" w:type="pct"/>
            <w:gridSpan w:val="3"/>
            <w:vAlign w:val="center"/>
          </w:tcPr>
          <w:p w14:paraId="5F4C1E61" w14:textId="77777777" w:rsidR="009263AC" w:rsidRPr="001611DC" w:rsidRDefault="009263AC" w:rsidP="00EB145B">
            <w:pPr>
              <w:pStyle w:val="TableText0"/>
              <w:rPr>
                <w:rFonts w:ascii="Times" w:hAnsi="Times"/>
                <w:b/>
                <w:bCs w:val="0"/>
              </w:rPr>
            </w:pPr>
            <w:r w:rsidRPr="001611DC">
              <w:rPr>
                <w:b/>
                <w:bCs w:val="0"/>
              </w:rPr>
              <w:t>Pivotal efficacy trial</w:t>
            </w:r>
          </w:p>
        </w:tc>
      </w:tr>
      <w:tr w:rsidR="009263AC" w:rsidRPr="001611DC" w14:paraId="7C335B4F" w14:textId="77777777" w:rsidTr="00EB145B">
        <w:trPr>
          <w:cantSplit/>
          <w:tblHeader/>
        </w:trPr>
        <w:tc>
          <w:tcPr>
            <w:tcW w:w="795" w:type="pct"/>
            <w:vMerge w:val="restart"/>
            <w:vAlign w:val="center"/>
          </w:tcPr>
          <w:p w14:paraId="6F0B0E7E" w14:textId="34951563" w:rsidR="009263AC" w:rsidRPr="001611DC" w:rsidRDefault="009263AC" w:rsidP="00EB145B">
            <w:pPr>
              <w:pStyle w:val="TableText0"/>
              <w:jc w:val="center"/>
            </w:pPr>
            <w:r w:rsidRPr="001611DC">
              <w:t>A</w:t>
            </w:r>
            <w:r w:rsidR="0083552E" w:rsidRPr="001611DC">
              <w:t>r</w:t>
            </w:r>
            <w:r w:rsidRPr="001611DC">
              <w:t>eSVi-006 (NCT04886596)</w:t>
            </w:r>
          </w:p>
        </w:tc>
        <w:tc>
          <w:tcPr>
            <w:tcW w:w="2803" w:type="pct"/>
            <w:tcBorders>
              <w:top w:val="nil"/>
              <w:bottom w:val="nil"/>
            </w:tcBorders>
            <w:vAlign w:val="center"/>
          </w:tcPr>
          <w:p w14:paraId="1637DA3B" w14:textId="77777777" w:rsidR="009263AC" w:rsidRPr="001611DC" w:rsidRDefault="009263AC" w:rsidP="00B72044">
            <w:pPr>
              <w:pStyle w:val="TableText0"/>
              <w:spacing w:after="120"/>
            </w:pPr>
            <w:r w:rsidRPr="001611DC">
              <w:rPr>
                <w:szCs w:val="18"/>
              </w:rPr>
              <w:t>A phase 3, randomized, placebo-controlled, observer-blind, multi-country study to demonstrate the efficacy of a single dose and annual revaccination doses of GSK’s RSVPreF3 OA investigational vaccine in adults aged 60 years and above. VE Analysis 1 (Interim Season 1 Analysis)</w:t>
            </w:r>
          </w:p>
        </w:tc>
        <w:tc>
          <w:tcPr>
            <w:tcW w:w="1402" w:type="pct"/>
            <w:tcBorders>
              <w:top w:val="nil"/>
              <w:bottom w:val="nil"/>
            </w:tcBorders>
          </w:tcPr>
          <w:p w14:paraId="77BBD6FB" w14:textId="77777777" w:rsidR="009263AC" w:rsidRPr="001611DC" w:rsidRDefault="009263AC" w:rsidP="00EB145B">
            <w:pPr>
              <w:pStyle w:val="TableText0"/>
            </w:pPr>
            <w:r w:rsidRPr="001611DC">
              <w:t>Clinical Study Report</w:t>
            </w:r>
          </w:p>
        </w:tc>
      </w:tr>
      <w:tr w:rsidR="009263AC" w:rsidRPr="001611DC" w14:paraId="0424F29A" w14:textId="77777777" w:rsidTr="00EB145B">
        <w:trPr>
          <w:cantSplit/>
          <w:tblHeader/>
        </w:trPr>
        <w:tc>
          <w:tcPr>
            <w:tcW w:w="795" w:type="pct"/>
            <w:vMerge/>
          </w:tcPr>
          <w:p w14:paraId="5942D6EA" w14:textId="77777777" w:rsidR="009263AC" w:rsidRPr="001611DC" w:rsidRDefault="009263AC" w:rsidP="00EB145B">
            <w:pPr>
              <w:pStyle w:val="TableText0"/>
              <w:jc w:val="center"/>
            </w:pPr>
          </w:p>
        </w:tc>
        <w:tc>
          <w:tcPr>
            <w:tcW w:w="2803" w:type="pct"/>
            <w:tcBorders>
              <w:top w:val="nil"/>
              <w:bottom w:val="nil"/>
            </w:tcBorders>
            <w:vAlign w:val="center"/>
          </w:tcPr>
          <w:p w14:paraId="743BBA87" w14:textId="77777777" w:rsidR="009263AC" w:rsidRPr="001611DC" w:rsidRDefault="009263AC" w:rsidP="00B72044">
            <w:pPr>
              <w:pStyle w:val="TableText0"/>
              <w:spacing w:after="120"/>
            </w:pPr>
            <w:r w:rsidRPr="001611DC">
              <w:rPr>
                <w:szCs w:val="18"/>
              </w:rPr>
              <w:t>Papi A, Ison, MG, Langley, JM et al. Respiratory Syncytial Virus Prefusion F Protein Vaccine in Older Adults</w:t>
            </w:r>
          </w:p>
        </w:tc>
        <w:tc>
          <w:tcPr>
            <w:tcW w:w="1402" w:type="pct"/>
            <w:tcBorders>
              <w:top w:val="nil"/>
              <w:bottom w:val="nil"/>
            </w:tcBorders>
          </w:tcPr>
          <w:p w14:paraId="326FBFFC" w14:textId="77777777" w:rsidR="009263AC" w:rsidRPr="001611DC" w:rsidRDefault="009263AC" w:rsidP="00EB145B">
            <w:pPr>
              <w:pStyle w:val="TableText0"/>
            </w:pPr>
            <w:r w:rsidRPr="001611DC">
              <w:rPr>
                <w:iCs/>
                <w:szCs w:val="18"/>
              </w:rPr>
              <w:t>NEJM</w:t>
            </w:r>
            <w:r w:rsidRPr="001611DC">
              <w:rPr>
                <w:szCs w:val="18"/>
              </w:rPr>
              <w:t xml:space="preserve"> 2023, 388: 595-608. DOI: 10.1056/NEJMoa2209604</w:t>
            </w:r>
          </w:p>
        </w:tc>
      </w:tr>
      <w:tr w:rsidR="009263AC" w:rsidRPr="001611DC" w14:paraId="27F6A8A1" w14:textId="77777777" w:rsidTr="00EB145B">
        <w:trPr>
          <w:cantSplit/>
          <w:tblHeader/>
        </w:trPr>
        <w:tc>
          <w:tcPr>
            <w:tcW w:w="795" w:type="pct"/>
            <w:vMerge/>
            <w:vAlign w:val="center"/>
          </w:tcPr>
          <w:p w14:paraId="187BBF6F" w14:textId="77777777" w:rsidR="009263AC" w:rsidRPr="001611DC" w:rsidRDefault="009263AC" w:rsidP="00EB145B">
            <w:pPr>
              <w:pStyle w:val="TableText0"/>
              <w:jc w:val="center"/>
              <w:rPr>
                <w:rFonts w:ascii="Times" w:hAnsi="Times"/>
              </w:rPr>
            </w:pPr>
          </w:p>
        </w:tc>
        <w:tc>
          <w:tcPr>
            <w:tcW w:w="2803" w:type="pct"/>
            <w:tcBorders>
              <w:top w:val="nil"/>
              <w:bottom w:val="nil"/>
            </w:tcBorders>
            <w:vAlign w:val="center"/>
          </w:tcPr>
          <w:p w14:paraId="5E6BD5B9" w14:textId="793233FA" w:rsidR="009263AC" w:rsidRPr="001611DC" w:rsidRDefault="009263AC" w:rsidP="00B72044">
            <w:pPr>
              <w:pStyle w:val="TableText0"/>
              <w:spacing w:after="120"/>
              <w:rPr>
                <w:rFonts w:ascii="Times" w:hAnsi="Times"/>
              </w:rPr>
            </w:pPr>
            <w:r w:rsidRPr="001611DC">
              <w:rPr>
                <w:szCs w:val="18"/>
              </w:rPr>
              <w:t>A phase 3, randomized, placebo-controlled, observer-blind, multi-country study to demonstrate the efficacy of a single dose and annual revaccination doses of GSK’s RSVPreF3 OA investigational vaccine in adults aged 60 years and above: VE Analysis 3 (End of Season Analysis</w:t>
            </w:r>
            <w:r w:rsidR="00B72044" w:rsidRPr="001611DC">
              <w:rPr>
                <w:szCs w:val="18"/>
              </w:rPr>
              <w:t>)</w:t>
            </w:r>
          </w:p>
        </w:tc>
        <w:tc>
          <w:tcPr>
            <w:tcW w:w="1402" w:type="pct"/>
            <w:tcBorders>
              <w:top w:val="nil"/>
              <w:bottom w:val="nil"/>
            </w:tcBorders>
          </w:tcPr>
          <w:p w14:paraId="69F2F039" w14:textId="77777777" w:rsidR="009263AC" w:rsidRPr="001611DC" w:rsidRDefault="009263AC" w:rsidP="00EB145B">
            <w:pPr>
              <w:pStyle w:val="TableText0"/>
            </w:pPr>
            <w:r w:rsidRPr="001611DC">
              <w:t>Clinical Study Report</w:t>
            </w:r>
          </w:p>
        </w:tc>
      </w:tr>
      <w:tr w:rsidR="009263AC" w:rsidRPr="001611DC" w14:paraId="5E495FE2" w14:textId="77777777" w:rsidTr="00EB145B">
        <w:trPr>
          <w:cantSplit/>
          <w:tblHeader/>
        </w:trPr>
        <w:tc>
          <w:tcPr>
            <w:tcW w:w="795" w:type="pct"/>
            <w:vMerge/>
            <w:vAlign w:val="center"/>
          </w:tcPr>
          <w:p w14:paraId="3CAFEDDF" w14:textId="77777777" w:rsidR="009263AC" w:rsidRPr="001611DC" w:rsidRDefault="009263AC" w:rsidP="00EB145B">
            <w:pPr>
              <w:pStyle w:val="TableText0"/>
              <w:jc w:val="center"/>
            </w:pPr>
          </w:p>
        </w:tc>
        <w:tc>
          <w:tcPr>
            <w:tcW w:w="2803" w:type="pct"/>
            <w:tcBorders>
              <w:top w:val="nil"/>
              <w:bottom w:val="nil"/>
            </w:tcBorders>
            <w:vAlign w:val="center"/>
          </w:tcPr>
          <w:p w14:paraId="4445657E" w14:textId="77777777" w:rsidR="009263AC" w:rsidRPr="001611DC" w:rsidRDefault="009263AC" w:rsidP="00B72044">
            <w:pPr>
              <w:pStyle w:val="TableText0"/>
              <w:spacing w:after="120"/>
            </w:pPr>
            <w:r w:rsidRPr="001611DC">
              <w:rPr>
                <w:szCs w:val="18"/>
              </w:rPr>
              <w:t>Ison MG, Papi A, Athan, E et al. Efficacy and safety of respiratory syncytial virus prefusion F protein vaccine (REVPreF3 OA) in older adults over 2 RSV seasons.</w:t>
            </w:r>
          </w:p>
        </w:tc>
        <w:tc>
          <w:tcPr>
            <w:tcW w:w="1402" w:type="pct"/>
            <w:tcBorders>
              <w:top w:val="nil"/>
              <w:bottom w:val="nil"/>
            </w:tcBorders>
          </w:tcPr>
          <w:p w14:paraId="355378AD" w14:textId="10F16C7B" w:rsidR="009263AC" w:rsidRPr="001611DC" w:rsidRDefault="009263AC" w:rsidP="00EB145B">
            <w:pPr>
              <w:pStyle w:val="TableText0"/>
              <w:rPr>
                <w:i/>
              </w:rPr>
            </w:pPr>
            <w:r w:rsidRPr="001611DC">
              <w:rPr>
                <w:szCs w:val="18"/>
              </w:rPr>
              <w:t xml:space="preserve">Clinical Infectious Diseases 2024, ciae010. </w:t>
            </w:r>
            <w:r w:rsidR="0083552E" w:rsidRPr="001611DC">
              <w:rPr>
                <w:szCs w:val="18"/>
              </w:rPr>
              <w:t>D</w:t>
            </w:r>
            <w:r w:rsidRPr="001611DC">
              <w:rPr>
                <w:szCs w:val="18"/>
              </w:rPr>
              <w:t>oi: 10.1093/cid/ciae010.</w:t>
            </w:r>
          </w:p>
        </w:tc>
      </w:tr>
      <w:tr w:rsidR="009263AC" w:rsidRPr="001611DC" w14:paraId="3760E24B" w14:textId="77777777" w:rsidTr="00EB145B">
        <w:trPr>
          <w:cantSplit/>
          <w:tblHeader/>
        </w:trPr>
        <w:tc>
          <w:tcPr>
            <w:tcW w:w="795" w:type="pct"/>
            <w:vMerge/>
            <w:vAlign w:val="center"/>
          </w:tcPr>
          <w:p w14:paraId="3FF0558A" w14:textId="77777777" w:rsidR="009263AC" w:rsidRPr="001611DC" w:rsidRDefault="009263AC" w:rsidP="00EB145B">
            <w:pPr>
              <w:pStyle w:val="TableText0"/>
              <w:jc w:val="center"/>
            </w:pPr>
          </w:p>
        </w:tc>
        <w:tc>
          <w:tcPr>
            <w:tcW w:w="2803" w:type="pct"/>
            <w:tcBorders>
              <w:top w:val="nil"/>
              <w:bottom w:val="nil"/>
            </w:tcBorders>
            <w:vAlign w:val="center"/>
          </w:tcPr>
          <w:p w14:paraId="020E7351" w14:textId="77777777" w:rsidR="009263AC" w:rsidRPr="001611DC" w:rsidRDefault="009263AC" w:rsidP="00B72044">
            <w:pPr>
              <w:pStyle w:val="TableText0"/>
              <w:spacing w:after="120"/>
            </w:pPr>
            <w:r w:rsidRPr="001611DC">
              <w:rPr>
                <w:szCs w:val="18"/>
              </w:rPr>
              <w:t>Feldman, RG, Antonelli-Incalzi, R, Steenackers, K. et al. Respiratory syncytial virus prefusion F protein vaccine is efficacious in older adults with underlying medical conditions.</w:t>
            </w:r>
          </w:p>
        </w:tc>
        <w:tc>
          <w:tcPr>
            <w:tcW w:w="1402" w:type="pct"/>
            <w:tcBorders>
              <w:top w:val="nil"/>
              <w:bottom w:val="nil"/>
            </w:tcBorders>
          </w:tcPr>
          <w:p w14:paraId="7F6A9847" w14:textId="77777777" w:rsidR="009263AC" w:rsidRPr="001611DC" w:rsidRDefault="009263AC" w:rsidP="00EB145B">
            <w:pPr>
              <w:pStyle w:val="TableText0"/>
              <w:rPr>
                <w:rFonts w:ascii="Times" w:hAnsi="Times"/>
              </w:rPr>
            </w:pPr>
            <w:r w:rsidRPr="001611DC">
              <w:rPr>
                <w:iCs/>
                <w:szCs w:val="18"/>
              </w:rPr>
              <w:t>Clinical Infectious Disease</w:t>
            </w:r>
            <w:r w:rsidRPr="001611DC">
              <w:rPr>
                <w:szCs w:val="18"/>
              </w:rPr>
              <w:t xml:space="preserve"> 2023; ciad471. DOI: 10.1093/cid/ciad471</w:t>
            </w:r>
          </w:p>
        </w:tc>
      </w:tr>
      <w:tr w:rsidR="009263AC" w:rsidRPr="001611DC" w14:paraId="57965C20" w14:textId="77777777" w:rsidTr="00EB145B">
        <w:trPr>
          <w:cantSplit/>
          <w:tblHeader/>
        </w:trPr>
        <w:tc>
          <w:tcPr>
            <w:tcW w:w="795" w:type="pct"/>
            <w:vMerge/>
            <w:vAlign w:val="center"/>
          </w:tcPr>
          <w:p w14:paraId="1AD62373" w14:textId="77777777" w:rsidR="009263AC" w:rsidRPr="001611DC" w:rsidRDefault="009263AC" w:rsidP="00EB145B">
            <w:pPr>
              <w:pStyle w:val="TableText0"/>
              <w:jc w:val="center"/>
            </w:pPr>
          </w:p>
        </w:tc>
        <w:tc>
          <w:tcPr>
            <w:tcW w:w="2803" w:type="pct"/>
            <w:tcBorders>
              <w:top w:val="nil"/>
              <w:bottom w:val="nil"/>
            </w:tcBorders>
          </w:tcPr>
          <w:p w14:paraId="241AC234" w14:textId="06253D12" w:rsidR="009263AC" w:rsidRPr="001611DC" w:rsidRDefault="009263AC" w:rsidP="00EB145B">
            <w:pPr>
              <w:pStyle w:val="TableText0"/>
              <w:rPr>
                <w:rFonts w:ascii="Times" w:hAnsi="Times"/>
              </w:rPr>
            </w:pPr>
            <w:r w:rsidRPr="001611DC">
              <w:rPr>
                <w:szCs w:val="18"/>
              </w:rPr>
              <w:t xml:space="preserve">Curran D., Matthews S., Cabrera E.S. et al. The respiratory syncytial virus prefusion F protein vaccine attenuates the severity of respiratory syncytial virus-associated disease in breakthrough infections in adults </w:t>
            </w:r>
            <w:r w:rsidR="00E2719A" w:rsidRPr="001611DC">
              <w:rPr>
                <w:szCs w:val="18"/>
              </w:rPr>
              <w:t>≥</w:t>
            </w:r>
            <w:r w:rsidRPr="001611DC">
              <w:rPr>
                <w:szCs w:val="18"/>
              </w:rPr>
              <w:t>60 years of age.</w:t>
            </w:r>
          </w:p>
        </w:tc>
        <w:tc>
          <w:tcPr>
            <w:tcW w:w="1402" w:type="pct"/>
            <w:tcBorders>
              <w:top w:val="nil"/>
              <w:bottom w:val="nil"/>
            </w:tcBorders>
          </w:tcPr>
          <w:p w14:paraId="31990D0C" w14:textId="77777777" w:rsidR="009263AC" w:rsidRPr="001611DC" w:rsidRDefault="009263AC" w:rsidP="00EB145B">
            <w:pPr>
              <w:pStyle w:val="TableText0"/>
              <w:rPr>
                <w:rFonts w:ascii="Times" w:hAnsi="Times"/>
              </w:rPr>
            </w:pPr>
            <w:r w:rsidRPr="001611DC">
              <w:rPr>
                <w:iCs/>
                <w:szCs w:val="18"/>
              </w:rPr>
              <w:t>Influenza and Other Respiratory Viruses</w:t>
            </w:r>
            <w:r w:rsidRPr="001611DC">
              <w:rPr>
                <w:szCs w:val="18"/>
              </w:rPr>
              <w:t xml:space="preserve"> 18.2 (2024): e13236. DOI: 10.1111/irv.13236</w:t>
            </w:r>
          </w:p>
        </w:tc>
      </w:tr>
      <w:tr w:rsidR="009263AC" w:rsidRPr="001611DC" w14:paraId="7BF3FD65" w14:textId="77777777" w:rsidTr="00EB145B">
        <w:trPr>
          <w:cantSplit/>
          <w:tblHeader/>
        </w:trPr>
        <w:tc>
          <w:tcPr>
            <w:tcW w:w="5000" w:type="pct"/>
            <w:gridSpan w:val="3"/>
            <w:tcBorders>
              <w:bottom w:val="single" w:sz="4" w:space="0" w:color="auto"/>
            </w:tcBorders>
            <w:vAlign w:val="center"/>
          </w:tcPr>
          <w:p w14:paraId="3E591E81" w14:textId="77777777" w:rsidR="009263AC" w:rsidRPr="001611DC" w:rsidRDefault="009263AC" w:rsidP="00EB145B">
            <w:pPr>
              <w:pStyle w:val="TableText0"/>
              <w:rPr>
                <w:szCs w:val="18"/>
              </w:rPr>
            </w:pPr>
            <w:r w:rsidRPr="001611DC">
              <w:rPr>
                <w:b/>
                <w:bCs w:val="0"/>
              </w:rPr>
              <w:t>Immunogenicity trial</w:t>
            </w:r>
          </w:p>
        </w:tc>
      </w:tr>
      <w:tr w:rsidR="009263AC" w:rsidRPr="001611DC" w14:paraId="384E67C9" w14:textId="77777777" w:rsidTr="00B72044">
        <w:trPr>
          <w:cantSplit/>
          <w:tblHeader/>
        </w:trPr>
        <w:tc>
          <w:tcPr>
            <w:tcW w:w="795" w:type="pct"/>
            <w:vMerge w:val="restart"/>
            <w:vAlign w:val="center"/>
          </w:tcPr>
          <w:p w14:paraId="5A4D1748" w14:textId="35A93AAF" w:rsidR="009263AC" w:rsidRPr="001611DC" w:rsidRDefault="009263AC" w:rsidP="00EB145B">
            <w:pPr>
              <w:pStyle w:val="Tabletext"/>
              <w:keepNext/>
              <w:keepLines/>
            </w:pPr>
            <w:r w:rsidRPr="001611DC">
              <w:t>A</w:t>
            </w:r>
            <w:r w:rsidR="0083552E" w:rsidRPr="001611DC">
              <w:t>r</w:t>
            </w:r>
            <w:r w:rsidRPr="001611DC">
              <w:t>eSVi-004 (NCT04732871)</w:t>
            </w:r>
          </w:p>
        </w:tc>
        <w:tc>
          <w:tcPr>
            <w:tcW w:w="2803" w:type="pct"/>
            <w:tcBorders>
              <w:top w:val="nil"/>
              <w:bottom w:val="nil"/>
            </w:tcBorders>
            <w:vAlign w:val="center"/>
          </w:tcPr>
          <w:p w14:paraId="5A830E48" w14:textId="77777777" w:rsidR="009263AC" w:rsidRPr="001611DC" w:rsidRDefault="009263AC" w:rsidP="00B72044">
            <w:pPr>
              <w:pStyle w:val="TableText0"/>
              <w:spacing w:after="120"/>
              <w:rPr>
                <w:b/>
                <w:bCs w:val="0"/>
              </w:rPr>
            </w:pPr>
            <w:r w:rsidRPr="001611DC">
              <w:t>A phase 3, randomized, open-label, multi-country study to evaluate the immunogenicity, safety, reactogenicity and persistence of a single dose of the RSVPreF3 OA investigational vaccine and different revaccination schedules in adults aged 60 years and above. Month 13 analysis (1 month post first revaccination).</w:t>
            </w:r>
          </w:p>
        </w:tc>
        <w:tc>
          <w:tcPr>
            <w:tcW w:w="1402" w:type="pct"/>
            <w:tcBorders>
              <w:top w:val="nil"/>
              <w:bottom w:val="nil"/>
            </w:tcBorders>
          </w:tcPr>
          <w:p w14:paraId="70C7B3EC" w14:textId="77777777" w:rsidR="009263AC" w:rsidRPr="001611DC" w:rsidRDefault="009263AC" w:rsidP="00EB145B">
            <w:pPr>
              <w:pStyle w:val="TableText0"/>
            </w:pPr>
            <w:r w:rsidRPr="001611DC">
              <w:rPr>
                <w:szCs w:val="18"/>
              </w:rPr>
              <w:t>Clinical Study Report</w:t>
            </w:r>
          </w:p>
        </w:tc>
      </w:tr>
      <w:tr w:rsidR="009263AC" w:rsidRPr="001611DC" w14:paraId="381D8EDC" w14:textId="77777777" w:rsidTr="00B72044">
        <w:trPr>
          <w:cantSplit/>
          <w:tblHeader/>
        </w:trPr>
        <w:tc>
          <w:tcPr>
            <w:tcW w:w="795" w:type="pct"/>
            <w:vMerge/>
            <w:vAlign w:val="center"/>
          </w:tcPr>
          <w:p w14:paraId="32F05805" w14:textId="77777777" w:rsidR="009263AC" w:rsidRPr="001611DC" w:rsidRDefault="009263AC" w:rsidP="00EB145B">
            <w:pPr>
              <w:pStyle w:val="Tabletext"/>
              <w:keepNext/>
              <w:keepLines/>
            </w:pPr>
          </w:p>
        </w:tc>
        <w:tc>
          <w:tcPr>
            <w:tcW w:w="2803" w:type="pct"/>
            <w:tcBorders>
              <w:top w:val="nil"/>
              <w:bottom w:val="nil"/>
            </w:tcBorders>
            <w:vAlign w:val="center"/>
          </w:tcPr>
          <w:p w14:paraId="496D9507" w14:textId="77777777" w:rsidR="009263AC" w:rsidRPr="001611DC" w:rsidRDefault="009263AC" w:rsidP="00B72044">
            <w:pPr>
              <w:pStyle w:val="TableText0"/>
              <w:spacing w:after="120"/>
            </w:pPr>
            <w:r w:rsidRPr="001611DC">
              <w:rPr>
                <w:szCs w:val="18"/>
              </w:rPr>
              <w:t>Schwarz, TF, Hwang, SJ, Ylisastigui, P. et al. Immunogenicity and safety following one dose of AS01</w:t>
            </w:r>
            <w:r w:rsidRPr="001611DC">
              <w:rPr>
                <w:szCs w:val="18"/>
                <w:vertAlign w:val="subscript"/>
              </w:rPr>
              <w:t>E</w:t>
            </w:r>
            <w:r w:rsidRPr="001611DC">
              <w:rPr>
                <w:szCs w:val="18"/>
              </w:rPr>
              <w:t>-adjuvanted respiratory syncytial virus prefusion F protein vaccine in older adults: a phase 3 trial.</w:t>
            </w:r>
          </w:p>
        </w:tc>
        <w:tc>
          <w:tcPr>
            <w:tcW w:w="1402" w:type="pct"/>
            <w:tcBorders>
              <w:top w:val="nil"/>
              <w:bottom w:val="nil"/>
            </w:tcBorders>
          </w:tcPr>
          <w:p w14:paraId="0BFB05E3" w14:textId="77777777" w:rsidR="009263AC" w:rsidRPr="001611DC" w:rsidRDefault="009263AC" w:rsidP="00EB145B">
            <w:pPr>
              <w:pStyle w:val="TableText0"/>
              <w:rPr>
                <w:szCs w:val="18"/>
              </w:rPr>
            </w:pPr>
            <w:r w:rsidRPr="001611DC">
              <w:rPr>
                <w:iCs/>
                <w:szCs w:val="18"/>
              </w:rPr>
              <w:t>JID</w:t>
            </w:r>
            <w:r w:rsidRPr="001611DC">
              <w:rPr>
                <w:szCs w:val="18"/>
              </w:rPr>
              <w:t xml:space="preserve"> 2023; jiad546. DOI: 10.1093/infdis/jiad546</w:t>
            </w:r>
          </w:p>
        </w:tc>
      </w:tr>
      <w:tr w:rsidR="009263AC" w:rsidRPr="001611DC" w14:paraId="0CCC889B" w14:textId="77777777" w:rsidTr="00B72044">
        <w:trPr>
          <w:cantSplit/>
          <w:tblHeader/>
        </w:trPr>
        <w:tc>
          <w:tcPr>
            <w:tcW w:w="795" w:type="pct"/>
            <w:vMerge/>
            <w:tcBorders>
              <w:bottom w:val="single" w:sz="4" w:space="0" w:color="auto"/>
            </w:tcBorders>
            <w:vAlign w:val="center"/>
          </w:tcPr>
          <w:p w14:paraId="60FE6D01" w14:textId="77777777" w:rsidR="009263AC" w:rsidRPr="001611DC" w:rsidRDefault="009263AC" w:rsidP="00EB145B">
            <w:pPr>
              <w:pStyle w:val="Tabletext"/>
              <w:keepNext/>
              <w:keepLines/>
            </w:pPr>
          </w:p>
        </w:tc>
        <w:tc>
          <w:tcPr>
            <w:tcW w:w="2803" w:type="pct"/>
            <w:tcBorders>
              <w:top w:val="nil"/>
              <w:bottom w:val="single" w:sz="4" w:space="0" w:color="auto"/>
            </w:tcBorders>
            <w:vAlign w:val="center"/>
          </w:tcPr>
          <w:p w14:paraId="1BA8AC76" w14:textId="0CD5E0B7" w:rsidR="009263AC" w:rsidRPr="001611DC" w:rsidRDefault="009263AC" w:rsidP="00EB145B">
            <w:pPr>
              <w:pStyle w:val="TableText0"/>
              <w:rPr>
                <w:szCs w:val="18"/>
              </w:rPr>
            </w:pPr>
            <w:r w:rsidRPr="001611DC">
              <w:rPr>
                <w:szCs w:val="18"/>
              </w:rPr>
              <w:t xml:space="preserve">Schwarz, TF, Hwang, SJ, Ylisastigui, P. et al. Immunogenicity and safety of a second dose of the respiratory syncytial virus (RSV) prefusion F protein vaccine (RSVPreF3 OA), 12 months after the first dose in adults </w:t>
            </w:r>
            <w:r w:rsidR="00E2719A" w:rsidRPr="001611DC">
              <w:rPr>
                <w:szCs w:val="18"/>
              </w:rPr>
              <w:t>≥</w:t>
            </w:r>
            <w:r w:rsidRPr="001611DC">
              <w:rPr>
                <w:szCs w:val="18"/>
              </w:rPr>
              <w:t>60 years.</w:t>
            </w:r>
          </w:p>
        </w:tc>
        <w:tc>
          <w:tcPr>
            <w:tcW w:w="1402" w:type="pct"/>
            <w:tcBorders>
              <w:top w:val="nil"/>
              <w:bottom w:val="single" w:sz="4" w:space="0" w:color="auto"/>
            </w:tcBorders>
          </w:tcPr>
          <w:p w14:paraId="30ECF054" w14:textId="77777777" w:rsidR="009263AC" w:rsidRPr="001611DC" w:rsidRDefault="009263AC" w:rsidP="00EB145B">
            <w:pPr>
              <w:pStyle w:val="TableText0"/>
              <w:rPr>
                <w:iCs/>
                <w:szCs w:val="18"/>
              </w:rPr>
            </w:pPr>
            <w:r w:rsidRPr="001611DC">
              <w:rPr>
                <w:iCs/>
                <w:szCs w:val="18"/>
              </w:rPr>
              <w:t>The Ninth ESWI Influenza Conference Valencia</w:t>
            </w:r>
            <w:r w:rsidRPr="001611DC">
              <w:rPr>
                <w:szCs w:val="18"/>
              </w:rPr>
              <w:t>. Page 285-286.</w:t>
            </w:r>
          </w:p>
        </w:tc>
      </w:tr>
    </w:tbl>
    <w:p w14:paraId="1DA15DBB" w14:textId="04645641" w:rsidR="009263AC" w:rsidRPr="001611DC" w:rsidRDefault="009263AC" w:rsidP="009263AC">
      <w:pPr>
        <w:pStyle w:val="FooterTableFigure"/>
        <w:keepNext/>
      </w:pPr>
      <w:r w:rsidRPr="001611DC">
        <w:t>Source: Table 2-5of the submission.</w:t>
      </w:r>
    </w:p>
    <w:p w14:paraId="529583FB" w14:textId="77777777" w:rsidR="009263AC" w:rsidRPr="001611DC" w:rsidRDefault="009263AC" w:rsidP="00844F2C">
      <w:pPr>
        <w:pStyle w:val="FooterTableFigure"/>
      </w:pPr>
      <w:r w:rsidRPr="001611DC">
        <w:t>RSVPreF3 OA = Recombinant Respiratory Syncytial Virus (RSV) pre-fusion F protein 3 older adult.</w:t>
      </w:r>
    </w:p>
    <w:p w14:paraId="4CF5251A" w14:textId="374B7712" w:rsidR="009263AC" w:rsidRPr="001611DC" w:rsidRDefault="009263AC" w:rsidP="009263AC">
      <w:pPr>
        <w:pStyle w:val="3-BodyText"/>
        <w:rPr>
          <w:color w:val="0066FF"/>
        </w:rPr>
      </w:pPr>
      <w:r w:rsidRPr="001611DC">
        <w:rPr>
          <w:iCs/>
        </w:rPr>
        <w:t>T</w:t>
      </w:r>
      <w:r w:rsidRPr="001611DC">
        <w:t xml:space="preserve">he key features of the included evidence are summarised in </w:t>
      </w:r>
      <w:r w:rsidRPr="001611DC">
        <w:fldChar w:fldCharType="begin" w:fldLock="1"/>
      </w:r>
      <w:r w:rsidRPr="001611DC">
        <w:instrText xml:space="preserve"> REF _Ref104804098 \h  \* MERGEFORMAT </w:instrText>
      </w:r>
      <w:r w:rsidRPr="001611DC">
        <w:fldChar w:fldCharType="separate"/>
      </w:r>
      <w:r w:rsidR="00927933" w:rsidRPr="001611DC">
        <w:t>Table 4</w:t>
      </w:r>
      <w:r w:rsidRPr="001611DC">
        <w:fldChar w:fldCharType="end"/>
      </w:r>
      <w:r w:rsidRPr="001611DC">
        <w:t>.</w:t>
      </w:r>
    </w:p>
    <w:p w14:paraId="739D2604" w14:textId="759AD66A" w:rsidR="009263AC" w:rsidRPr="001611DC" w:rsidRDefault="009263AC">
      <w:pPr>
        <w:pStyle w:val="3-BodyText"/>
      </w:pPr>
      <w:bookmarkStart w:id="46" w:name="_Ref166618456"/>
      <w:r w:rsidRPr="001611DC">
        <w:t>A</w:t>
      </w:r>
      <w:r w:rsidR="0083552E" w:rsidRPr="001611DC">
        <w:t>r</w:t>
      </w:r>
      <w:r w:rsidRPr="001611DC">
        <w:t xml:space="preserve">eSVi-006 was initially designed to assess the efficacy of RSVPreF3 OA against </w:t>
      </w:r>
      <w:r>
        <w:t>RSV</w:t>
      </w:r>
      <w:r w:rsidR="00E3503D">
        <w:t xml:space="preserve"> </w:t>
      </w:r>
      <w:r>
        <w:t>related</w:t>
      </w:r>
      <w:r w:rsidRPr="001611DC">
        <w:t xml:space="preserve"> LRTD according to two dosing schedules; a single dose of vaccine up to the end of Season 3 in the NH, or following an annual revaccination schedule at 12- and 24-months post Dose 1 administration. The trial protocol was amended on 31</w:t>
      </w:r>
      <w:r w:rsidR="009C1C28">
        <w:t> </w:t>
      </w:r>
      <w:r w:rsidRPr="001611DC">
        <w:t>October</w:t>
      </w:r>
      <w:r w:rsidR="009C1C28">
        <w:t> </w:t>
      </w:r>
      <w:r w:rsidRPr="001611DC">
        <w:t xml:space="preserve">2023 to remove the Month 24 revaccination because initial analysis of </w:t>
      </w:r>
      <w:r w:rsidRPr="001611DC">
        <w:lastRenderedPageBreak/>
        <w:t xml:space="preserve">efficacy for the 12-month revaccination demonstrated no additional efficacy benefit for the trial population. </w:t>
      </w:r>
      <w:r w:rsidR="00350785" w:rsidRPr="001611DC">
        <w:t xml:space="preserve">The PSCR </w:t>
      </w:r>
      <w:r w:rsidR="0042649C" w:rsidRPr="001611DC">
        <w:t xml:space="preserve">acknowledged </w:t>
      </w:r>
      <w:r w:rsidR="00350785" w:rsidRPr="001611DC">
        <w:t xml:space="preserve">that the analysis of re-vaccination at Month 12 showed no additional benefit of vaccination with a 12-month interval (therefore no benefit to administer second re-vaccination dose at Month 24, an interval 12 months after the Month 12 re-vaccination dose). </w:t>
      </w:r>
      <w:r w:rsidR="0078018A" w:rsidRPr="001611DC">
        <w:t xml:space="preserve">It was noted that </w:t>
      </w:r>
      <w:r w:rsidRPr="001611DC">
        <w:t>A</w:t>
      </w:r>
      <w:r w:rsidR="0083552E" w:rsidRPr="001611DC">
        <w:t>r</w:t>
      </w:r>
      <w:r w:rsidRPr="001611DC">
        <w:t xml:space="preserve">eSVi-006 </w:t>
      </w:r>
      <w:r w:rsidR="0078018A" w:rsidRPr="001611DC">
        <w:t xml:space="preserve">was </w:t>
      </w:r>
      <w:r w:rsidRPr="001611DC">
        <w:t xml:space="preserve">ongoing and </w:t>
      </w:r>
      <w:r w:rsidR="0078018A" w:rsidRPr="001611DC">
        <w:t xml:space="preserve">would continue to </w:t>
      </w:r>
      <w:r w:rsidRPr="001611DC">
        <w:t>follow-up participants over 2.5 Southern Hemisphere (SH)</w:t>
      </w:r>
      <w:r w:rsidR="0042649C" w:rsidRPr="001611DC">
        <w:t xml:space="preserve"> seasons </w:t>
      </w:r>
      <w:r w:rsidR="0078018A" w:rsidRPr="001611DC">
        <w:t>and</w:t>
      </w:r>
      <w:r w:rsidRPr="001611DC">
        <w:t xml:space="preserve"> 3 NH RSV seasons. The submission presented results from 3 data analysis points:</w:t>
      </w:r>
      <w:bookmarkEnd w:id="46"/>
    </w:p>
    <w:p w14:paraId="6EC863E8" w14:textId="0C98C662" w:rsidR="009263AC" w:rsidRPr="001611DC" w:rsidRDefault="009263AC" w:rsidP="00844F2C">
      <w:pPr>
        <w:pStyle w:val="ListParagraph"/>
        <w:numPr>
          <w:ilvl w:val="0"/>
          <w:numId w:val="9"/>
        </w:numPr>
        <w:ind w:left="1134"/>
      </w:pPr>
      <w:r w:rsidRPr="001611DC">
        <w:t>VE analysis 1 (Season 1): interim results from RSV Season 1 NH (median follow-up of 6.7 months). Based on the trial protocol</w:t>
      </w:r>
      <w:r w:rsidR="0042649C" w:rsidRPr="001611DC">
        <w:t>,</w:t>
      </w:r>
      <w:r w:rsidRPr="001611DC">
        <w:t xml:space="preserve"> this was the primary analysis.</w:t>
      </w:r>
    </w:p>
    <w:p w14:paraId="18ADB03F" w14:textId="101B0915" w:rsidR="009263AC" w:rsidRPr="001611DC" w:rsidRDefault="009263AC" w:rsidP="00844F2C">
      <w:pPr>
        <w:pStyle w:val="ListParagraph"/>
        <w:numPr>
          <w:ilvl w:val="0"/>
          <w:numId w:val="9"/>
        </w:numPr>
        <w:ind w:left="1134"/>
      </w:pPr>
      <w:r w:rsidRPr="001611DC">
        <w:t>VE analysis 2 (Season 1): end of S</w:t>
      </w:r>
      <w:r w:rsidR="005E4D91" w:rsidRPr="001611DC">
        <w:t xml:space="preserve">eason </w:t>
      </w:r>
      <w:r w:rsidRPr="001611DC">
        <w:t>1 NH &amp; SH (median follow-up of 11.5 months).</w:t>
      </w:r>
    </w:p>
    <w:p w14:paraId="5A4F2931" w14:textId="77777777" w:rsidR="009263AC" w:rsidRPr="001611DC" w:rsidRDefault="009263AC" w:rsidP="00844F2C">
      <w:pPr>
        <w:pStyle w:val="ListParagraph"/>
        <w:numPr>
          <w:ilvl w:val="0"/>
          <w:numId w:val="9"/>
        </w:numPr>
        <w:ind w:left="1134"/>
      </w:pPr>
      <w:r w:rsidRPr="001611DC">
        <w:t>VE analysis 3 (Season 2): Seasons 1 and 2 (to the end of Season 2 NH) (median follow-up of 17.8 months).</w:t>
      </w:r>
    </w:p>
    <w:p w14:paraId="29EC2182" w14:textId="1D084D4E" w:rsidR="009263AC" w:rsidRPr="001611DC" w:rsidRDefault="009263AC" w:rsidP="009263AC">
      <w:pPr>
        <w:pStyle w:val="TableFigureHeading"/>
        <w:rPr>
          <w:rStyle w:val="CommentReference"/>
          <w:b/>
          <w:szCs w:val="24"/>
        </w:rPr>
      </w:pPr>
      <w:bookmarkStart w:id="47" w:name="_Ref104804098"/>
      <w:r w:rsidRPr="001611DC">
        <w:rPr>
          <w:rStyle w:val="CommentReference"/>
          <w:b/>
          <w:szCs w:val="24"/>
        </w:rPr>
        <w:t xml:space="preserve">Table </w:t>
      </w:r>
      <w:r w:rsidRPr="001611DC">
        <w:rPr>
          <w:rStyle w:val="CommentReference"/>
          <w:b/>
          <w:szCs w:val="24"/>
        </w:rPr>
        <w:fldChar w:fldCharType="begin" w:fldLock="1"/>
      </w:r>
      <w:r w:rsidRPr="001611DC">
        <w:rPr>
          <w:rStyle w:val="CommentReference"/>
          <w:b/>
          <w:szCs w:val="24"/>
        </w:rPr>
        <w:instrText xml:space="preserve"> SEQ Table \* ARABIC </w:instrText>
      </w:r>
      <w:r w:rsidRPr="001611DC">
        <w:rPr>
          <w:rStyle w:val="CommentReference"/>
          <w:b/>
          <w:szCs w:val="24"/>
        </w:rPr>
        <w:fldChar w:fldCharType="separate"/>
      </w:r>
      <w:r w:rsidR="00927933" w:rsidRPr="001611DC">
        <w:rPr>
          <w:rStyle w:val="CommentReference"/>
          <w:b/>
          <w:szCs w:val="24"/>
        </w:rPr>
        <w:t>4</w:t>
      </w:r>
      <w:r w:rsidRPr="001611DC">
        <w:rPr>
          <w:rStyle w:val="CommentReference"/>
          <w:b/>
          <w:szCs w:val="24"/>
        </w:rPr>
        <w:fldChar w:fldCharType="end"/>
      </w:r>
      <w:bookmarkEnd w:id="47"/>
      <w:r w:rsidRPr="001611DC">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8"/>
        <w:gridCol w:w="709"/>
        <w:gridCol w:w="1275"/>
        <w:gridCol w:w="851"/>
        <w:gridCol w:w="1273"/>
        <w:gridCol w:w="2128"/>
        <w:gridCol w:w="1793"/>
      </w:tblGrid>
      <w:tr w:rsidR="009263AC" w:rsidRPr="001611DC" w14:paraId="06418A41" w14:textId="77777777" w:rsidTr="00EB145B">
        <w:trPr>
          <w:cantSplit/>
          <w:tblHeader/>
        </w:trPr>
        <w:tc>
          <w:tcPr>
            <w:tcW w:w="548" w:type="pct"/>
            <w:shd w:val="clear" w:color="auto" w:fill="auto"/>
            <w:vAlign w:val="center"/>
          </w:tcPr>
          <w:p w14:paraId="62CE307F" w14:textId="77777777" w:rsidR="009263AC" w:rsidRPr="001611DC" w:rsidRDefault="009263AC" w:rsidP="00EB145B">
            <w:pPr>
              <w:pStyle w:val="In-tableHeading"/>
              <w:rPr>
                <w:lang w:val="en-AU"/>
              </w:rPr>
            </w:pPr>
            <w:r w:rsidRPr="001611DC">
              <w:rPr>
                <w:lang w:val="en-AU"/>
              </w:rPr>
              <w:t>Trial</w:t>
            </w:r>
          </w:p>
        </w:tc>
        <w:tc>
          <w:tcPr>
            <w:tcW w:w="393" w:type="pct"/>
            <w:shd w:val="clear" w:color="auto" w:fill="auto"/>
            <w:vAlign w:val="center"/>
          </w:tcPr>
          <w:p w14:paraId="1B2761CA" w14:textId="77777777" w:rsidR="009263AC" w:rsidRPr="001611DC" w:rsidRDefault="009263AC" w:rsidP="00EB145B">
            <w:pPr>
              <w:pStyle w:val="In-tableHeading"/>
              <w:jc w:val="center"/>
              <w:rPr>
                <w:lang w:val="en-AU"/>
              </w:rPr>
            </w:pPr>
            <w:r w:rsidRPr="001611DC">
              <w:rPr>
                <w:lang w:val="en-AU"/>
              </w:rPr>
              <w:t>N</w:t>
            </w:r>
          </w:p>
        </w:tc>
        <w:tc>
          <w:tcPr>
            <w:tcW w:w="707" w:type="pct"/>
            <w:shd w:val="clear" w:color="auto" w:fill="auto"/>
            <w:vAlign w:val="center"/>
          </w:tcPr>
          <w:p w14:paraId="50DF3A34" w14:textId="77777777" w:rsidR="009263AC" w:rsidRPr="001611DC" w:rsidRDefault="009263AC" w:rsidP="00EB145B">
            <w:pPr>
              <w:pStyle w:val="In-tableHeading"/>
              <w:jc w:val="center"/>
              <w:rPr>
                <w:lang w:val="en-AU"/>
              </w:rPr>
            </w:pPr>
            <w:r w:rsidRPr="001611DC">
              <w:rPr>
                <w:lang w:val="en-AU"/>
              </w:rPr>
              <w:t>Design/ duration</w:t>
            </w:r>
          </w:p>
        </w:tc>
        <w:tc>
          <w:tcPr>
            <w:tcW w:w="472" w:type="pct"/>
            <w:shd w:val="clear" w:color="auto" w:fill="auto"/>
            <w:vAlign w:val="center"/>
          </w:tcPr>
          <w:p w14:paraId="1EC8C318" w14:textId="77777777" w:rsidR="009263AC" w:rsidRPr="001611DC" w:rsidRDefault="009263AC" w:rsidP="00EB145B">
            <w:pPr>
              <w:pStyle w:val="In-tableHeading"/>
              <w:jc w:val="center"/>
              <w:rPr>
                <w:lang w:val="en-AU"/>
              </w:rPr>
            </w:pPr>
            <w:r w:rsidRPr="001611DC">
              <w:rPr>
                <w:lang w:val="en-AU"/>
              </w:rPr>
              <w:t>Risk of bias</w:t>
            </w:r>
          </w:p>
        </w:tc>
        <w:tc>
          <w:tcPr>
            <w:tcW w:w="706" w:type="pct"/>
            <w:shd w:val="clear" w:color="auto" w:fill="auto"/>
            <w:vAlign w:val="center"/>
          </w:tcPr>
          <w:p w14:paraId="16F14045" w14:textId="06796F79" w:rsidR="009263AC" w:rsidRPr="001611DC" w:rsidRDefault="007B6A18" w:rsidP="00EB145B">
            <w:pPr>
              <w:pStyle w:val="In-tableHeading"/>
              <w:jc w:val="center"/>
              <w:rPr>
                <w:lang w:val="en-AU"/>
              </w:rPr>
            </w:pPr>
            <w:r w:rsidRPr="001611DC">
              <w:rPr>
                <w:lang w:val="en-AU"/>
              </w:rPr>
              <w:t>Population</w:t>
            </w:r>
          </w:p>
        </w:tc>
        <w:tc>
          <w:tcPr>
            <w:tcW w:w="1180" w:type="pct"/>
            <w:shd w:val="clear" w:color="auto" w:fill="auto"/>
            <w:vAlign w:val="center"/>
          </w:tcPr>
          <w:p w14:paraId="403B54A8" w14:textId="77777777" w:rsidR="009263AC" w:rsidRPr="001611DC" w:rsidRDefault="009263AC" w:rsidP="00EB145B">
            <w:pPr>
              <w:pStyle w:val="In-tableHeading"/>
              <w:jc w:val="center"/>
              <w:rPr>
                <w:lang w:val="en-AU"/>
              </w:rPr>
            </w:pPr>
            <w:r w:rsidRPr="001611DC">
              <w:rPr>
                <w:lang w:val="en-AU"/>
              </w:rPr>
              <w:t>Outcomes</w:t>
            </w:r>
          </w:p>
        </w:tc>
        <w:tc>
          <w:tcPr>
            <w:tcW w:w="994" w:type="pct"/>
            <w:shd w:val="clear" w:color="auto" w:fill="auto"/>
            <w:vAlign w:val="center"/>
          </w:tcPr>
          <w:p w14:paraId="3F2B96B6" w14:textId="77777777" w:rsidR="009263AC" w:rsidRPr="001611DC" w:rsidRDefault="009263AC" w:rsidP="00EB145B">
            <w:pPr>
              <w:pStyle w:val="In-tableHeading"/>
              <w:jc w:val="center"/>
              <w:rPr>
                <w:lang w:val="en-AU"/>
              </w:rPr>
            </w:pPr>
            <w:r w:rsidRPr="001611DC">
              <w:rPr>
                <w:lang w:val="en-AU"/>
              </w:rPr>
              <w:t>Use in modelled evaluation</w:t>
            </w:r>
          </w:p>
        </w:tc>
      </w:tr>
      <w:tr w:rsidR="009263AC" w:rsidRPr="001611DC" w14:paraId="096BA9FF" w14:textId="77777777" w:rsidTr="00EB145B">
        <w:trPr>
          <w:cantSplit/>
        </w:trPr>
        <w:tc>
          <w:tcPr>
            <w:tcW w:w="5000" w:type="pct"/>
            <w:gridSpan w:val="7"/>
            <w:shd w:val="clear" w:color="auto" w:fill="auto"/>
            <w:vAlign w:val="center"/>
          </w:tcPr>
          <w:p w14:paraId="1B6193B1" w14:textId="77777777" w:rsidR="009263AC" w:rsidRPr="001611DC" w:rsidRDefault="009263AC" w:rsidP="00EB145B">
            <w:pPr>
              <w:pStyle w:val="In-tableHeading"/>
              <w:rPr>
                <w:lang w:val="en-AU"/>
              </w:rPr>
            </w:pPr>
            <w:r w:rsidRPr="001611DC">
              <w:rPr>
                <w:lang w:val="en-AU"/>
              </w:rPr>
              <w:t>RSVPreF3 OA versus placebo</w:t>
            </w:r>
          </w:p>
        </w:tc>
      </w:tr>
      <w:tr w:rsidR="009263AC" w:rsidRPr="001611DC" w14:paraId="7EBA82D4" w14:textId="77777777" w:rsidTr="00EB145B">
        <w:trPr>
          <w:cantSplit/>
        </w:trPr>
        <w:tc>
          <w:tcPr>
            <w:tcW w:w="548" w:type="pct"/>
            <w:shd w:val="clear" w:color="auto" w:fill="auto"/>
            <w:vAlign w:val="center"/>
          </w:tcPr>
          <w:p w14:paraId="02655410" w14:textId="0D8887B3" w:rsidR="009263AC" w:rsidRPr="001611DC" w:rsidRDefault="009263AC" w:rsidP="00EB145B">
            <w:pPr>
              <w:pStyle w:val="TableText0"/>
            </w:pPr>
            <w:r w:rsidRPr="001611DC">
              <w:t>A</w:t>
            </w:r>
            <w:r w:rsidR="0083552E" w:rsidRPr="001611DC">
              <w:t>r</w:t>
            </w:r>
            <w:r w:rsidRPr="001611DC">
              <w:t>eSVi-006</w:t>
            </w:r>
          </w:p>
        </w:tc>
        <w:tc>
          <w:tcPr>
            <w:tcW w:w="393" w:type="pct"/>
            <w:shd w:val="clear" w:color="auto" w:fill="auto"/>
            <w:vAlign w:val="center"/>
          </w:tcPr>
          <w:p w14:paraId="045694AD" w14:textId="77777777" w:rsidR="009263AC" w:rsidRPr="001611DC" w:rsidRDefault="009263AC" w:rsidP="00EB145B">
            <w:pPr>
              <w:pStyle w:val="TableText0"/>
              <w:jc w:val="center"/>
            </w:pPr>
            <w:r w:rsidRPr="001611DC">
              <w:t>24,966</w:t>
            </w:r>
          </w:p>
        </w:tc>
        <w:tc>
          <w:tcPr>
            <w:tcW w:w="707" w:type="pct"/>
            <w:shd w:val="clear" w:color="auto" w:fill="auto"/>
            <w:vAlign w:val="center"/>
          </w:tcPr>
          <w:p w14:paraId="0892606F" w14:textId="77777777" w:rsidR="009263AC" w:rsidRPr="001611DC" w:rsidRDefault="009263AC" w:rsidP="00EB145B">
            <w:pPr>
              <w:pStyle w:val="TableText0"/>
              <w:jc w:val="center"/>
            </w:pPr>
            <w:r w:rsidRPr="001611DC">
              <w:t>Phase 3 R, OB, PC, MC</w:t>
            </w:r>
          </w:p>
          <w:p w14:paraId="728A338A" w14:textId="77777777" w:rsidR="009263AC" w:rsidRPr="001611DC" w:rsidRDefault="009263AC" w:rsidP="00EB145B">
            <w:pPr>
              <w:pStyle w:val="TableText0"/>
              <w:jc w:val="center"/>
            </w:pPr>
            <w:r w:rsidRPr="001611DC">
              <w:t>Ongoing</w:t>
            </w:r>
          </w:p>
        </w:tc>
        <w:tc>
          <w:tcPr>
            <w:tcW w:w="472" w:type="pct"/>
            <w:shd w:val="clear" w:color="auto" w:fill="auto"/>
            <w:vAlign w:val="center"/>
          </w:tcPr>
          <w:p w14:paraId="3AE8330B" w14:textId="77777777" w:rsidR="009263AC" w:rsidRPr="001611DC" w:rsidRDefault="009263AC" w:rsidP="00EB145B">
            <w:pPr>
              <w:pStyle w:val="TableText0"/>
              <w:jc w:val="center"/>
            </w:pPr>
            <w:r w:rsidRPr="001611DC">
              <w:t>Low</w:t>
            </w:r>
          </w:p>
        </w:tc>
        <w:tc>
          <w:tcPr>
            <w:tcW w:w="706" w:type="pct"/>
            <w:shd w:val="clear" w:color="auto" w:fill="auto"/>
            <w:vAlign w:val="center"/>
          </w:tcPr>
          <w:p w14:paraId="78FAEDF5" w14:textId="0874E2A0" w:rsidR="009263AC" w:rsidRPr="001611DC" w:rsidRDefault="009263AC" w:rsidP="00EB145B">
            <w:pPr>
              <w:pStyle w:val="TableText0"/>
              <w:jc w:val="center"/>
            </w:pPr>
            <w:r w:rsidRPr="001611DC">
              <w:t xml:space="preserve">Adults </w:t>
            </w:r>
            <w:r w:rsidR="00E2719A" w:rsidRPr="001611DC">
              <w:t>≥</w:t>
            </w:r>
            <w:r w:rsidRPr="001611DC">
              <w:t>60 YOA</w:t>
            </w:r>
          </w:p>
        </w:tc>
        <w:tc>
          <w:tcPr>
            <w:tcW w:w="1180" w:type="pct"/>
            <w:shd w:val="clear" w:color="auto" w:fill="auto"/>
            <w:vAlign w:val="center"/>
          </w:tcPr>
          <w:p w14:paraId="4D87BC5A" w14:textId="77777777" w:rsidR="009263AC" w:rsidRPr="001611DC" w:rsidRDefault="009263AC" w:rsidP="00EB145B">
            <w:pPr>
              <w:pStyle w:val="TableText0"/>
            </w:pPr>
            <w:r w:rsidRPr="001611DC">
              <w:t>Primary outcome: Risk of the first occurrence of RT-PCR confirmed RSV-LRTD</w:t>
            </w:r>
          </w:p>
          <w:p w14:paraId="6B519558" w14:textId="77777777" w:rsidR="009263AC" w:rsidRPr="001611DC" w:rsidRDefault="009263AC" w:rsidP="00EB145B">
            <w:pPr>
              <w:pStyle w:val="TableText0"/>
            </w:pPr>
            <w:r w:rsidRPr="001611DC">
              <w:t>Key secondary outcomes: safety, PROs</w:t>
            </w:r>
          </w:p>
        </w:tc>
        <w:tc>
          <w:tcPr>
            <w:tcW w:w="994" w:type="pct"/>
            <w:shd w:val="clear" w:color="auto" w:fill="auto"/>
            <w:vAlign w:val="center"/>
          </w:tcPr>
          <w:p w14:paraId="33DB4A34" w14:textId="77777777" w:rsidR="009263AC" w:rsidRPr="001611DC" w:rsidRDefault="009263AC" w:rsidP="00EB145B">
            <w:pPr>
              <w:pStyle w:val="TableText0"/>
              <w:jc w:val="center"/>
            </w:pPr>
            <w:r w:rsidRPr="001611DC">
              <w:t>Reduction of the risk of the first occurrence of RT-PCR confirmed RSV-LRTD, safety</w:t>
            </w:r>
          </w:p>
        </w:tc>
      </w:tr>
    </w:tbl>
    <w:p w14:paraId="543A0C54" w14:textId="78AD1DB9" w:rsidR="009263AC" w:rsidRPr="001611DC" w:rsidRDefault="009263AC" w:rsidP="009263AC">
      <w:pPr>
        <w:pStyle w:val="FooterTableFigure"/>
      </w:pPr>
      <w:r w:rsidRPr="001611DC">
        <w:t>Source: compiled during the evaluation from Table 2-7, and Table 2-10 of the submission.</w:t>
      </w:r>
    </w:p>
    <w:p w14:paraId="51F7E288" w14:textId="77777777" w:rsidR="009263AC" w:rsidRPr="001611DC" w:rsidRDefault="009263AC" w:rsidP="009263AC">
      <w:pPr>
        <w:pStyle w:val="FooterTableFigure"/>
      </w:pPr>
      <w:r w:rsidRPr="001611DC">
        <w:t>MC = multi-centre; OB = observer blinded; PC = placebo-controlled; PRO = patient reported outcome; R = randomised; RSV-LRTD = lower respiratory tract disease respiratory syncytial virus; RT-PCR = reverse transcription-polymerase chain reaction; YOA = years of age.</w:t>
      </w:r>
    </w:p>
    <w:p w14:paraId="2DBA6A74" w14:textId="77777777" w:rsidR="009263AC" w:rsidRPr="001611DC" w:rsidRDefault="009263AC" w:rsidP="009263AC">
      <w:pPr>
        <w:pStyle w:val="4-SubsectionHeading"/>
      </w:pPr>
      <w:bookmarkStart w:id="48" w:name="_Toc22897641"/>
      <w:bookmarkStart w:id="49" w:name="_Toc165203807"/>
      <w:bookmarkStart w:id="50" w:name="_Toc167277512"/>
      <w:r w:rsidRPr="001611DC">
        <w:t>Comparative effectiveness</w:t>
      </w:r>
      <w:bookmarkEnd w:id="48"/>
      <w:bookmarkEnd w:id="49"/>
      <w:bookmarkEnd w:id="50"/>
    </w:p>
    <w:p w14:paraId="63929EF5" w14:textId="2387D107" w:rsidR="009263AC" w:rsidRPr="001611DC" w:rsidRDefault="009263AC" w:rsidP="009263AC">
      <w:pPr>
        <w:pStyle w:val="3-BodyText"/>
      </w:pPr>
      <w:r w:rsidRPr="001611DC">
        <w:rPr>
          <w:snapToGrid/>
        </w:rPr>
        <w:t>The primary outcome for A</w:t>
      </w:r>
      <w:r w:rsidR="0083552E" w:rsidRPr="001611DC">
        <w:rPr>
          <w:snapToGrid/>
        </w:rPr>
        <w:t>r</w:t>
      </w:r>
      <w:r w:rsidRPr="001611DC">
        <w:rPr>
          <w:snapToGrid/>
        </w:rPr>
        <w:t>eSVi-006 was VE against first occurrence of RSV</w:t>
      </w:r>
      <w:r w:rsidRPr="001611DC">
        <w:rPr>
          <w:snapToGrid/>
        </w:rPr>
        <w:noBreakHyphen/>
        <w:t>confirmed LRTD during the first season after a single dose vaccination and was analysed based on the modified exposed set (mES). The mES included all participants who received at least the first dose of the study intervention and did not report an RSV-confirmed acute respiratory infection (ARI) prior to Day 15 after</w:t>
      </w:r>
      <w:r w:rsidR="001F4410">
        <w:rPr>
          <w:snapToGrid/>
        </w:rPr>
        <w:t xml:space="preserve"> </w:t>
      </w:r>
      <w:r w:rsidRPr="001611DC">
        <w:rPr>
          <w:snapToGrid/>
        </w:rPr>
        <w:t>vaccination (n</w:t>
      </w:r>
      <w:r w:rsidR="003D46A4" w:rsidRPr="001611DC">
        <w:rPr>
          <w:snapToGrid/>
        </w:rPr>
        <w:t> </w:t>
      </w:r>
      <w:r w:rsidRPr="001611DC">
        <w:rPr>
          <w:snapToGrid/>
        </w:rPr>
        <w:t>=</w:t>
      </w:r>
      <w:r w:rsidR="003D46A4" w:rsidRPr="001611DC">
        <w:rPr>
          <w:snapToGrid/>
        </w:rPr>
        <w:t> </w:t>
      </w:r>
      <w:r w:rsidRPr="001611DC">
        <w:rPr>
          <w:snapToGrid/>
        </w:rPr>
        <w:t xml:space="preserve">24,960 </w:t>
      </w:r>
      <w:r w:rsidRPr="001611DC">
        <w:t>in VE analysis 1</w:t>
      </w:r>
      <w:r w:rsidRPr="001611DC">
        <w:rPr>
          <w:snapToGrid/>
        </w:rPr>
        <w:t>).</w:t>
      </w:r>
      <w:r w:rsidR="001F4410">
        <w:rPr>
          <w:snapToGrid/>
        </w:rPr>
        <w:t xml:space="preserve"> </w:t>
      </w:r>
      <w:r w:rsidRPr="001611DC">
        <w:t xml:space="preserve">A total of six </w:t>
      </w:r>
      <w:r w:rsidR="00F57280" w:rsidRPr="001611DC">
        <w:t xml:space="preserve">participants </w:t>
      </w:r>
      <w:r w:rsidRPr="001611DC">
        <w:rPr>
          <w:rFonts w:eastAsia="OTNEJMScalaSansLF"/>
        </w:rPr>
        <w:t>were</w:t>
      </w:r>
      <w:r w:rsidRPr="001611DC">
        <w:t xml:space="preserve"> excluded from the mES due to having a confirmed RSV</w:t>
      </w:r>
      <w:r w:rsidRPr="001611DC">
        <w:noBreakHyphen/>
        <w:t xml:space="preserve">related ARI prior to Day 15 after the first dose (one </w:t>
      </w:r>
      <w:r w:rsidR="00F57280" w:rsidRPr="001611DC">
        <w:t>participant</w:t>
      </w:r>
      <w:r w:rsidRPr="001611DC">
        <w:t xml:space="preserve"> in the </w:t>
      </w:r>
      <w:r w:rsidRPr="001611DC">
        <w:rPr>
          <w:rFonts w:eastAsia="OTNEJMScalaSansLF"/>
        </w:rPr>
        <w:t xml:space="preserve">RSVPreF3 OA vaccine group and five </w:t>
      </w:r>
      <w:r w:rsidR="00F57280" w:rsidRPr="001611DC">
        <w:t>participants</w:t>
      </w:r>
      <w:r w:rsidRPr="001611DC">
        <w:rPr>
          <w:rFonts w:eastAsia="OTNEJMScalaSansLF"/>
        </w:rPr>
        <w:t xml:space="preserve"> in the placebo group)</w:t>
      </w:r>
      <w:r w:rsidRPr="001611DC">
        <w:t>.</w:t>
      </w:r>
      <w:r w:rsidR="001F4410">
        <w:t xml:space="preserve"> </w:t>
      </w:r>
      <w:r w:rsidRPr="001611DC">
        <w:t xml:space="preserve">Two </w:t>
      </w:r>
      <w:r w:rsidR="00F57280" w:rsidRPr="001611DC">
        <w:t>participants</w:t>
      </w:r>
      <w:r w:rsidRPr="001611DC">
        <w:t xml:space="preserve"> </w:t>
      </w:r>
      <w:r w:rsidRPr="001611DC">
        <w:rPr>
          <w:rFonts w:eastAsia="OTNEJMScalaSansLF"/>
        </w:rPr>
        <w:t>were</w:t>
      </w:r>
      <w:r w:rsidR="001F4410">
        <w:rPr>
          <w:rFonts w:eastAsia="OTNEJMScalaSansLF"/>
        </w:rPr>
        <w:t xml:space="preserve"> </w:t>
      </w:r>
      <w:r w:rsidRPr="001611DC">
        <w:t xml:space="preserve">excluded from the Dose 2-mES (both in the placebo group). </w:t>
      </w:r>
    </w:p>
    <w:p w14:paraId="0AE90D66" w14:textId="3D3E7868" w:rsidR="009263AC" w:rsidRPr="001611DC" w:rsidRDefault="009263AC" w:rsidP="009263AC">
      <w:pPr>
        <w:pStyle w:val="3-BodyText"/>
      </w:pPr>
      <w:r w:rsidRPr="001611DC">
        <w:t>In evaluating the efficacy of RSVPreF3 OA, the submission stated that the VE against RSV-LRTD was to be considered demonstrated if the lower limit (LL) of the two</w:t>
      </w:r>
      <w:r w:rsidR="00371AA0" w:rsidRPr="001611DC">
        <w:noBreakHyphen/>
      </w:r>
      <w:r w:rsidRPr="001611DC">
        <w:t>sided confidence interval (CI) of VE was above the pre-defined threshold of 20%. The final analysis of the primary outcome was to be performed when at least 56 cases of RSV</w:t>
      </w:r>
      <w:r w:rsidRPr="001611DC">
        <w:noBreakHyphen/>
        <w:t xml:space="preserve">LRTD had accrued in the mES. </w:t>
      </w:r>
      <w:proofErr w:type="gramStart"/>
      <w:r w:rsidRPr="001611DC">
        <w:t>In the event that</w:t>
      </w:r>
      <w:proofErr w:type="gramEnd"/>
      <w:r w:rsidRPr="001611DC">
        <w:t xml:space="preserve"> 56 cases had not accrued at the end of the season, an interim analysis was planned if </w:t>
      </w:r>
      <w:r w:rsidR="00E2719A" w:rsidRPr="001611DC">
        <w:t>≥</w:t>
      </w:r>
      <w:r w:rsidRPr="001611DC">
        <w:t>35 cases had accrued. VE analysis 1 was performed when 47 cases (</w:t>
      </w:r>
      <w:r w:rsidR="00E2719A" w:rsidRPr="001611DC">
        <w:t>≥</w:t>
      </w:r>
      <w:r w:rsidRPr="001611DC">
        <w:t xml:space="preserve">35 and &lt;56 pre-specified cases) of </w:t>
      </w:r>
      <w:r w:rsidRPr="001611DC">
        <w:lastRenderedPageBreak/>
        <w:t>RSV</w:t>
      </w:r>
      <w:r w:rsidRPr="001611DC">
        <w:noBreakHyphen/>
        <w:t xml:space="preserve">LRTD had accrued in the mES. As the number of RSV-LRTD cases accrued was </w:t>
      </w:r>
      <w:r w:rsidR="00E2719A" w:rsidRPr="001611DC">
        <w:t>≥</w:t>
      </w:r>
      <w:r w:rsidRPr="001611DC">
        <w:t>35, and the pre-specified efficacy requirement was demonstrated (LL of the two-sided CI of VE was above the pre-defined threshold of 20%), VE analysis 1 was the final analysis for the primary endpoint. Subsequent analyses, VE analysis 2 and VE analysis 3</w:t>
      </w:r>
      <w:r w:rsidR="005E4D91" w:rsidRPr="001611DC">
        <w:t>, which were</w:t>
      </w:r>
      <w:r w:rsidRPr="001611DC">
        <w:t xml:space="preserve"> conducted at different timepoints when 57 and 169 RSV-LRTD cases accrued</w:t>
      </w:r>
      <w:r w:rsidR="005E4D91" w:rsidRPr="001611DC">
        <w:t>,</w:t>
      </w:r>
      <w:r w:rsidRPr="001611DC">
        <w:t xml:space="preserve"> respectively, were presented by the submission as supportive evidence. </w:t>
      </w:r>
    </w:p>
    <w:p w14:paraId="29B3C737" w14:textId="0845975F" w:rsidR="009263AC" w:rsidRPr="001611DC" w:rsidRDefault="009263AC" w:rsidP="009263AC">
      <w:pPr>
        <w:pStyle w:val="3-BodyText"/>
      </w:pPr>
      <w:r w:rsidRPr="001611DC">
        <w:t xml:space="preserve">A summary of the primary efficacy outcome from VE analysis 1 is presented in </w:t>
      </w:r>
      <w:r w:rsidRPr="001611DC">
        <w:fldChar w:fldCharType="begin" w:fldLock="1"/>
      </w:r>
      <w:r w:rsidRPr="001611DC">
        <w:instrText xml:space="preserve"> REF _Ref164929417 \h  \* MERGEFORMAT </w:instrText>
      </w:r>
      <w:r w:rsidRPr="001611DC">
        <w:fldChar w:fldCharType="separate"/>
      </w:r>
      <w:r w:rsidR="00927933" w:rsidRPr="001611DC">
        <w:t>Table 5</w:t>
      </w:r>
      <w:r w:rsidRPr="001611DC">
        <w:fldChar w:fldCharType="end"/>
      </w:r>
      <w:r w:rsidRPr="001611DC">
        <w:t>. The lower confidence limit of VE was greater than the pre-defined threshold of 20%, thereby demonstrating efficacy of a single dose of RSVPreF3 OA vaccine against first occurrence of RT-PCR-confirmed RSV-LRTD compared to placebo; VE = 82.58% (96.95% CI: 57.89, 94.08).</w:t>
      </w:r>
    </w:p>
    <w:p w14:paraId="70EE558E" w14:textId="04DC3649" w:rsidR="009263AC" w:rsidRPr="001611DC" w:rsidRDefault="009263AC" w:rsidP="009263AC">
      <w:pPr>
        <w:pStyle w:val="TableFigureHeading"/>
        <w:rPr>
          <w:rStyle w:val="CommentReference"/>
          <w:b/>
        </w:rPr>
      </w:pPr>
      <w:bookmarkStart w:id="51" w:name="_Ref164929417"/>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5</w:t>
      </w:r>
      <w:r w:rsidR="005473CE" w:rsidRPr="001611DC">
        <w:fldChar w:fldCharType="end"/>
      </w:r>
      <w:bookmarkEnd w:id="51"/>
      <w:r w:rsidRPr="001611DC">
        <w:t>:</w:t>
      </w:r>
      <w:r w:rsidRPr="001611DC">
        <w:rPr>
          <w:rStyle w:val="CommentReference"/>
        </w:rPr>
        <w:t xml:space="preserve"> </w:t>
      </w:r>
      <w:r w:rsidRPr="001611DC">
        <w:t>VE of a single dose of RSVPreF3 OA against first occurrence of RSV-confirmed LRTD, VE analysis 1, mES</w:t>
      </w:r>
    </w:p>
    <w:tbl>
      <w:tblPr>
        <w:tblStyle w:val="TableGrid"/>
        <w:tblW w:w="5000" w:type="pct"/>
        <w:tblLook w:val="04A0" w:firstRow="1" w:lastRow="0" w:firstColumn="1" w:lastColumn="0" w:noHBand="0" w:noVBand="1"/>
        <w:tblCaption w:val="Table 5: VE of a single dose of RSVPreF3 OA against first occurrence of RSV-confirmed LRTD, VE analysis 1, mES"/>
      </w:tblPr>
      <w:tblGrid>
        <w:gridCol w:w="1565"/>
        <w:gridCol w:w="844"/>
        <w:gridCol w:w="373"/>
        <w:gridCol w:w="898"/>
        <w:gridCol w:w="750"/>
        <w:gridCol w:w="844"/>
        <w:gridCol w:w="469"/>
        <w:gridCol w:w="902"/>
        <w:gridCol w:w="772"/>
        <w:gridCol w:w="1600"/>
      </w:tblGrid>
      <w:tr w:rsidR="009263AC" w:rsidRPr="001611DC" w14:paraId="6F662F7A" w14:textId="77777777" w:rsidTr="00EB145B">
        <w:tc>
          <w:tcPr>
            <w:tcW w:w="868" w:type="pct"/>
            <w:vMerge w:val="restart"/>
          </w:tcPr>
          <w:p w14:paraId="02551ADB" w14:textId="77777777" w:rsidR="009263AC" w:rsidRPr="001611DC" w:rsidRDefault="009263AC" w:rsidP="00EB145B">
            <w:pPr>
              <w:pStyle w:val="In-tableHeading"/>
              <w:rPr>
                <w:lang w:val="en-AU"/>
              </w:rPr>
            </w:pPr>
            <w:r w:rsidRPr="001611DC">
              <w:rPr>
                <w:lang w:val="en-AU"/>
              </w:rPr>
              <w:t xml:space="preserve">Endpoint </w:t>
            </w:r>
          </w:p>
        </w:tc>
        <w:tc>
          <w:tcPr>
            <w:tcW w:w="1589" w:type="pct"/>
            <w:gridSpan w:val="4"/>
            <w:vAlign w:val="center"/>
          </w:tcPr>
          <w:p w14:paraId="15F3F730" w14:textId="77777777" w:rsidR="009263AC" w:rsidRPr="001611DC" w:rsidRDefault="009263AC" w:rsidP="00EB145B">
            <w:pPr>
              <w:pStyle w:val="In-tableHeading"/>
              <w:jc w:val="center"/>
              <w:rPr>
                <w:lang w:val="en-AU"/>
              </w:rPr>
            </w:pPr>
            <w:r w:rsidRPr="001611DC">
              <w:rPr>
                <w:lang w:val="en-AU"/>
              </w:rPr>
              <w:t>RSVPreF3 OA</w:t>
            </w:r>
          </w:p>
        </w:tc>
        <w:tc>
          <w:tcPr>
            <w:tcW w:w="1656" w:type="pct"/>
            <w:gridSpan w:val="4"/>
            <w:vAlign w:val="center"/>
          </w:tcPr>
          <w:p w14:paraId="4B5EA5AF" w14:textId="77777777" w:rsidR="009263AC" w:rsidRPr="001611DC" w:rsidRDefault="009263AC" w:rsidP="00EB145B">
            <w:pPr>
              <w:pStyle w:val="In-tableHeading"/>
              <w:jc w:val="center"/>
              <w:rPr>
                <w:lang w:val="en-AU"/>
              </w:rPr>
            </w:pPr>
            <w:r w:rsidRPr="001611DC">
              <w:rPr>
                <w:lang w:val="en-AU"/>
              </w:rPr>
              <w:t>Placebo</w:t>
            </w:r>
          </w:p>
        </w:tc>
        <w:tc>
          <w:tcPr>
            <w:tcW w:w="887" w:type="pct"/>
            <w:vMerge w:val="restart"/>
            <w:vAlign w:val="center"/>
          </w:tcPr>
          <w:p w14:paraId="090712BA" w14:textId="77777777" w:rsidR="009263AC" w:rsidRPr="001611DC" w:rsidRDefault="009263AC" w:rsidP="00EB145B">
            <w:pPr>
              <w:pStyle w:val="In-tableHeading"/>
              <w:jc w:val="center"/>
              <w:rPr>
                <w:lang w:val="en-AU"/>
              </w:rPr>
            </w:pPr>
            <w:r w:rsidRPr="001611DC">
              <w:rPr>
                <w:lang w:val="en-AU"/>
              </w:rPr>
              <w:t xml:space="preserve">VE% (CI </w:t>
            </w:r>
            <w:r w:rsidRPr="001611DC">
              <w:rPr>
                <w:vertAlign w:val="superscript"/>
                <w:lang w:val="en-AU"/>
              </w:rPr>
              <w:t>a</w:t>
            </w:r>
            <w:r w:rsidRPr="001611DC">
              <w:rPr>
                <w:lang w:val="en-AU"/>
              </w:rPr>
              <w:t>) P-value</w:t>
            </w:r>
          </w:p>
        </w:tc>
      </w:tr>
      <w:tr w:rsidR="009263AC" w:rsidRPr="001611DC" w14:paraId="02F01AAE" w14:textId="77777777" w:rsidTr="00EB145B">
        <w:tc>
          <w:tcPr>
            <w:tcW w:w="868" w:type="pct"/>
            <w:vMerge/>
          </w:tcPr>
          <w:p w14:paraId="3E384738" w14:textId="77777777" w:rsidR="009263AC" w:rsidRPr="001611DC" w:rsidRDefault="009263AC" w:rsidP="00EB145B">
            <w:pPr>
              <w:pStyle w:val="In-tableHeading"/>
              <w:rPr>
                <w:lang w:val="en-AU"/>
              </w:rPr>
            </w:pPr>
          </w:p>
        </w:tc>
        <w:tc>
          <w:tcPr>
            <w:tcW w:w="468" w:type="pct"/>
            <w:vAlign w:val="center"/>
          </w:tcPr>
          <w:p w14:paraId="1010F867" w14:textId="77777777" w:rsidR="009263AC" w:rsidRPr="001611DC" w:rsidRDefault="009263AC" w:rsidP="00EB145B">
            <w:pPr>
              <w:pStyle w:val="In-tableHeading"/>
              <w:jc w:val="center"/>
              <w:rPr>
                <w:lang w:val="en-AU"/>
              </w:rPr>
            </w:pPr>
            <w:r w:rsidRPr="001611DC">
              <w:rPr>
                <w:lang w:val="en-AU"/>
              </w:rPr>
              <w:t>N</w:t>
            </w:r>
          </w:p>
        </w:tc>
        <w:tc>
          <w:tcPr>
            <w:tcW w:w="207" w:type="pct"/>
            <w:vAlign w:val="center"/>
          </w:tcPr>
          <w:p w14:paraId="76163EB6" w14:textId="77777777" w:rsidR="009263AC" w:rsidRPr="001611DC" w:rsidRDefault="009263AC" w:rsidP="00EB145B">
            <w:pPr>
              <w:pStyle w:val="In-tableHeading"/>
              <w:jc w:val="center"/>
              <w:rPr>
                <w:lang w:val="en-AU"/>
              </w:rPr>
            </w:pPr>
            <w:r w:rsidRPr="001611DC">
              <w:rPr>
                <w:lang w:val="en-AU"/>
              </w:rPr>
              <w:t>n</w:t>
            </w:r>
          </w:p>
        </w:tc>
        <w:tc>
          <w:tcPr>
            <w:tcW w:w="498" w:type="pct"/>
            <w:vAlign w:val="center"/>
          </w:tcPr>
          <w:p w14:paraId="4E70CE44" w14:textId="77777777" w:rsidR="009263AC" w:rsidRPr="001611DC" w:rsidRDefault="009263AC" w:rsidP="00EB145B">
            <w:pPr>
              <w:pStyle w:val="In-tableHeading"/>
              <w:jc w:val="center"/>
              <w:rPr>
                <w:lang w:val="en-AU"/>
              </w:rPr>
            </w:pPr>
            <w:r w:rsidRPr="001611DC">
              <w:rPr>
                <w:lang w:val="en-AU"/>
              </w:rPr>
              <w:t>T (year)</w:t>
            </w:r>
          </w:p>
        </w:tc>
        <w:tc>
          <w:tcPr>
            <w:tcW w:w="415" w:type="pct"/>
            <w:vAlign w:val="center"/>
          </w:tcPr>
          <w:p w14:paraId="58A5F42C" w14:textId="77777777" w:rsidR="009263AC" w:rsidRPr="001611DC" w:rsidRDefault="009263AC" w:rsidP="00EB145B">
            <w:pPr>
              <w:pStyle w:val="In-tableHeading"/>
              <w:jc w:val="center"/>
              <w:rPr>
                <w:lang w:val="en-AU"/>
              </w:rPr>
            </w:pPr>
            <w:r w:rsidRPr="001611DC">
              <w:rPr>
                <w:lang w:val="en-AU"/>
              </w:rPr>
              <w:t>n/T (per 1000)</w:t>
            </w:r>
          </w:p>
        </w:tc>
        <w:tc>
          <w:tcPr>
            <w:tcW w:w="468" w:type="pct"/>
            <w:vAlign w:val="center"/>
          </w:tcPr>
          <w:p w14:paraId="71952448" w14:textId="77777777" w:rsidR="009263AC" w:rsidRPr="001611DC" w:rsidRDefault="009263AC" w:rsidP="00EB145B">
            <w:pPr>
              <w:pStyle w:val="In-tableHeading"/>
              <w:jc w:val="center"/>
              <w:rPr>
                <w:lang w:val="en-AU"/>
              </w:rPr>
            </w:pPr>
            <w:r w:rsidRPr="001611DC">
              <w:rPr>
                <w:lang w:val="en-AU"/>
              </w:rPr>
              <w:t>N</w:t>
            </w:r>
          </w:p>
        </w:tc>
        <w:tc>
          <w:tcPr>
            <w:tcW w:w="260" w:type="pct"/>
            <w:vAlign w:val="center"/>
          </w:tcPr>
          <w:p w14:paraId="019DD85E" w14:textId="77777777" w:rsidR="009263AC" w:rsidRPr="001611DC" w:rsidRDefault="009263AC" w:rsidP="00EB145B">
            <w:pPr>
              <w:pStyle w:val="In-tableHeading"/>
              <w:jc w:val="center"/>
              <w:rPr>
                <w:lang w:val="en-AU"/>
              </w:rPr>
            </w:pPr>
            <w:r w:rsidRPr="001611DC">
              <w:rPr>
                <w:lang w:val="en-AU"/>
              </w:rPr>
              <w:t>n</w:t>
            </w:r>
          </w:p>
        </w:tc>
        <w:tc>
          <w:tcPr>
            <w:tcW w:w="500" w:type="pct"/>
            <w:vAlign w:val="center"/>
          </w:tcPr>
          <w:p w14:paraId="1F824B84" w14:textId="77777777" w:rsidR="009263AC" w:rsidRPr="001611DC" w:rsidRDefault="009263AC" w:rsidP="00EB145B">
            <w:pPr>
              <w:pStyle w:val="In-tableHeading"/>
              <w:jc w:val="center"/>
              <w:rPr>
                <w:lang w:val="en-AU"/>
              </w:rPr>
            </w:pPr>
            <w:r w:rsidRPr="001611DC">
              <w:rPr>
                <w:lang w:val="en-AU"/>
              </w:rPr>
              <w:t>T (year)</w:t>
            </w:r>
          </w:p>
        </w:tc>
        <w:tc>
          <w:tcPr>
            <w:tcW w:w="427" w:type="pct"/>
            <w:vAlign w:val="center"/>
          </w:tcPr>
          <w:p w14:paraId="6497D7BA" w14:textId="77777777" w:rsidR="009263AC" w:rsidRPr="001611DC" w:rsidRDefault="009263AC" w:rsidP="00EB145B">
            <w:pPr>
              <w:pStyle w:val="In-tableHeading"/>
              <w:jc w:val="center"/>
              <w:rPr>
                <w:lang w:val="en-AU"/>
              </w:rPr>
            </w:pPr>
            <w:r w:rsidRPr="001611DC">
              <w:rPr>
                <w:lang w:val="en-AU"/>
              </w:rPr>
              <w:t>n/T (per 1000)</w:t>
            </w:r>
          </w:p>
        </w:tc>
        <w:tc>
          <w:tcPr>
            <w:tcW w:w="887" w:type="pct"/>
            <w:vMerge/>
            <w:vAlign w:val="center"/>
          </w:tcPr>
          <w:p w14:paraId="303BD892" w14:textId="77777777" w:rsidR="009263AC" w:rsidRPr="001611DC" w:rsidRDefault="009263AC" w:rsidP="00EB145B">
            <w:pPr>
              <w:pStyle w:val="TableText0"/>
              <w:jc w:val="center"/>
            </w:pPr>
          </w:p>
        </w:tc>
      </w:tr>
      <w:tr w:rsidR="009263AC" w:rsidRPr="001611DC" w14:paraId="320401DA" w14:textId="77777777" w:rsidTr="00EB145B">
        <w:tc>
          <w:tcPr>
            <w:tcW w:w="5000" w:type="pct"/>
            <w:gridSpan w:val="10"/>
          </w:tcPr>
          <w:p w14:paraId="503C3D2F" w14:textId="77777777" w:rsidR="009263AC" w:rsidRPr="001611DC" w:rsidRDefault="009263AC" w:rsidP="00EB145B">
            <w:pPr>
              <w:pStyle w:val="TableText0"/>
              <w:rPr>
                <w:b/>
              </w:rPr>
            </w:pPr>
            <w:r w:rsidRPr="001611DC">
              <w:rPr>
                <w:b/>
              </w:rPr>
              <w:t>VE analysis 1 – Season 1 NH: median follow-up time in the mES = 6.7 months</w:t>
            </w:r>
          </w:p>
        </w:tc>
      </w:tr>
      <w:tr w:rsidR="009263AC" w:rsidRPr="001611DC" w14:paraId="40588376" w14:textId="77777777" w:rsidTr="00EB145B">
        <w:tc>
          <w:tcPr>
            <w:tcW w:w="868" w:type="pct"/>
          </w:tcPr>
          <w:p w14:paraId="5EC7E781" w14:textId="77777777" w:rsidR="009263AC" w:rsidRPr="001611DC" w:rsidRDefault="009263AC" w:rsidP="00EB145B">
            <w:pPr>
              <w:pStyle w:val="TableText0"/>
            </w:pPr>
            <w:r w:rsidRPr="001611DC">
              <w:t>RT-PCR-confirmed RSV-LRTD</w:t>
            </w:r>
          </w:p>
        </w:tc>
        <w:tc>
          <w:tcPr>
            <w:tcW w:w="468" w:type="pct"/>
            <w:vAlign w:val="center"/>
          </w:tcPr>
          <w:p w14:paraId="36091B80" w14:textId="77777777" w:rsidR="009263AC" w:rsidRPr="001611DC" w:rsidRDefault="009263AC" w:rsidP="00EB145B">
            <w:pPr>
              <w:pStyle w:val="TableText0"/>
              <w:jc w:val="center"/>
            </w:pPr>
            <w:r w:rsidRPr="001611DC">
              <w:rPr>
                <w:rFonts w:eastAsia="Times New Roman" w:cs="Calibri"/>
                <w:color w:val="000000"/>
                <w:szCs w:val="20"/>
              </w:rPr>
              <w:t>12,466</w:t>
            </w:r>
          </w:p>
        </w:tc>
        <w:tc>
          <w:tcPr>
            <w:tcW w:w="207" w:type="pct"/>
            <w:vAlign w:val="center"/>
          </w:tcPr>
          <w:p w14:paraId="1670DCF6" w14:textId="77777777" w:rsidR="009263AC" w:rsidRPr="001611DC" w:rsidRDefault="009263AC" w:rsidP="00EB145B">
            <w:pPr>
              <w:pStyle w:val="TableText0"/>
              <w:jc w:val="center"/>
            </w:pPr>
            <w:r w:rsidRPr="001611DC">
              <w:rPr>
                <w:rFonts w:eastAsia="Times New Roman" w:cs="Calibri"/>
                <w:color w:val="000000"/>
                <w:szCs w:val="20"/>
              </w:rPr>
              <w:t>7</w:t>
            </w:r>
          </w:p>
        </w:tc>
        <w:tc>
          <w:tcPr>
            <w:tcW w:w="498" w:type="pct"/>
            <w:vAlign w:val="center"/>
          </w:tcPr>
          <w:p w14:paraId="02D98C95" w14:textId="77777777" w:rsidR="009263AC" w:rsidRPr="001611DC" w:rsidRDefault="009263AC" w:rsidP="00EB145B">
            <w:pPr>
              <w:pStyle w:val="TableText0"/>
              <w:jc w:val="center"/>
            </w:pPr>
            <w:r w:rsidRPr="001611DC">
              <w:rPr>
                <w:rFonts w:eastAsia="Times New Roman" w:cs="Calibri"/>
                <w:color w:val="000000"/>
                <w:szCs w:val="20"/>
              </w:rPr>
              <w:t>6,865.9</w:t>
            </w:r>
          </w:p>
        </w:tc>
        <w:tc>
          <w:tcPr>
            <w:tcW w:w="415" w:type="pct"/>
            <w:vAlign w:val="center"/>
          </w:tcPr>
          <w:p w14:paraId="6EF2E0FB" w14:textId="77777777" w:rsidR="009263AC" w:rsidRPr="001611DC" w:rsidRDefault="009263AC" w:rsidP="00EB145B">
            <w:pPr>
              <w:pStyle w:val="TableText0"/>
              <w:jc w:val="center"/>
            </w:pPr>
            <w:r w:rsidRPr="001611DC">
              <w:rPr>
                <w:rFonts w:eastAsia="Times New Roman" w:cs="Calibri"/>
                <w:color w:val="000000"/>
                <w:szCs w:val="20"/>
              </w:rPr>
              <w:t>1.0</w:t>
            </w:r>
          </w:p>
        </w:tc>
        <w:tc>
          <w:tcPr>
            <w:tcW w:w="468" w:type="pct"/>
            <w:vAlign w:val="center"/>
          </w:tcPr>
          <w:p w14:paraId="76ADE782" w14:textId="77777777" w:rsidR="009263AC" w:rsidRPr="001611DC" w:rsidRDefault="009263AC" w:rsidP="00EB145B">
            <w:pPr>
              <w:pStyle w:val="TableText0"/>
              <w:jc w:val="center"/>
            </w:pPr>
            <w:r w:rsidRPr="001611DC">
              <w:rPr>
                <w:rFonts w:eastAsia="Times New Roman" w:cs="Calibri"/>
                <w:color w:val="000000"/>
                <w:szCs w:val="20"/>
              </w:rPr>
              <w:t>12,494</w:t>
            </w:r>
          </w:p>
        </w:tc>
        <w:tc>
          <w:tcPr>
            <w:tcW w:w="260" w:type="pct"/>
            <w:vAlign w:val="center"/>
          </w:tcPr>
          <w:p w14:paraId="08974D68" w14:textId="77777777" w:rsidR="009263AC" w:rsidRPr="001611DC" w:rsidRDefault="009263AC" w:rsidP="00EB145B">
            <w:pPr>
              <w:pStyle w:val="TableText0"/>
              <w:jc w:val="center"/>
            </w:pPr>
            <w:r w:rsidRPr="001611DC">
              <w:rPr>
                <w:rFonts w:eastAsia="Times New Roman" w:cs="Calibri"/>
                <w:color w:val="000000"/>
                <w:szCs w:val="20"/>
              </w:rPr>
              <w:t>40</w:t>
            </w:r>
          </w:p>
        </w:tc>
        <w:tc>
          <w:tcPr>
            <w:tcW w:w="500" w:type="pct"/>
            <w:vAlign w:val="center"/>
          </w:tcPr>
          <w:p w14:paraId="2F8146E7" w14:textId="77777777" w:rsidR="009263AC" w:rsidRPr="001611DC" w:rsidRDefault="009263AC" w:rsidP="00EB145B">
            <w:pPr>
              <w:pStyle w:val="TableText0"/>
              <w:jc w:val="center"/>
            </w:pPr>
            <w:r w:rsidRPr="001611DC">
              <w:rPr>
                <w:rFonts w:eastAsia="Times New Roman" w:cs="Calibri"/>
                <w:color w:val="000000"/>
                <w:szCs w:val="20"/>
              </w:rPr>
              <w:t>6,857.3</w:t>
            </w:r>
          </w:p>
        </w:tc>
        <w:tc>
          <w:tcPr>
            <w:tcW w:w="427" w:type="pct"/>
            <w:vAlign w:val="center"/>
          </w:tcPr>
          <w:p w14:paraId="0D89E7A2" w14:textId="77777777" w:rsidR="009263AC" w:rsidRPr="001611DC" w:rsidRDefault="009263AC" w:rsidP="00EB145B">
            <w:pPr>
              <w:pStyle w:val="TableText0"/>
              <w:jc w:val="center"/>
            </w:pPr>
            <w:r w:rsidRPr="001611DC">
              <w:rPr>
                <w:rFonts w:eastAsia="Times New Roman" w:cs="Calibri"/>
                <w:color w:val="000000"/>
                <w:szCs w:val="20"/>
              </w:rPr>
              <w:t>5.8</w:t>
            </w:r>
          </w:p>
        </w:tc>
        <w:tc>
          <w:tcPr>
            <w:tcW w:w="887" w:type="pct"/>
            <w:vAlign w:val="center"/>
          </w:tcPr>
          <w:p w14:paraId="6BBE875A" w14:textId="77777777" w:rsidR="005A45B7" w:rsidRPr="001611DC" w:rsidRDefault="009263AC" w:rsidP="00EB145B">
            <w:pPr>
              <w:pStyle w:val="TableText0"/>
              <w:jc w:val="center"/>
              <w:rPr>
                <w:rFonts w:eastAsia="Times New Roman" w:cs="Calibri"/>
                <w:b/>
                <w:bCs w:val="0"/>
                <w:color w:val="000000"/>
                <w:szCs w:val="20"/>
              </w:rPr>
            </w:pPr>
            <w:r w:rsidRPr="001611DC">
              <w:rPr>
                <w:rFonts w:eastAsia="Times New Roman" w:cs="Calibri"/>
                <w:b/>
                <w:bCs w:val="0"/>
                <w:color w:val="000000"/>
                <w:szCs w:val="20"/>
              </w:rPr>
              <w:t xml:space="preserve">82.58 (57.89, 94.08) </w:t>
            </w:r>
          </w:p>
          <w:p w14:paraId="7E87F1E9" w14:textId="72BA9918" w:rsidR="009263AC" w:rsidRPr="001611DC" w:rsidRDefault="005A45B7" w:rsidP="00EB145B">
            <w:pPr>
              <w:pStyle w:val="TableText0"/>
              <w:jc w:val="center"/>
              <w:rPr>
                <w:b/>
                <w:bCs w:val="0"/>
              </w:rPr>
            </w:pPr>
            <w:r w:rsidRPr="001611DC">
              <w:rPr>
                <w:rFonts w:eastAsia="Times New Roman" w:cs="Calibri"/>
                <w:b/>
                <w:bCs w:val="0"/>
                <w:color w:val="000000"/>
                <w:szCs w:val="20"/>
              </w:rPr>
              <w:t xml:space="preserve">P </w:t>
            </w:r>
            <w:r w:rsidR="009263AC" w:rsidRPr="001611DC">
              <w:rPr>
                <w:rFonts w:eastAsia="Times New Roman" w:cs="Calibri"/>
                <w:b/>
                <w:bCs w:val="0"/>
                <w:color w:val="000000"/>
                <w:szCs w:val="20"/>
              </w:rPr>
              <w:t>&lt;0.0001</w:t>
            </w:r>
          </w:p>
        </w:tc>
      </w:tr>
    </w:tbl>
    <w:p w14:paraId="1EB81D9C" w14:textId="245A3B7B" w:rsidR="009263AC" w:rsidRPr="001611DC" w:rsidRDefault="009263AC" w:rsidP="009263AC">
      <w:pPr>
        <w:pStyle w:val="FooterTableFigure"/>
        <w:rPr>
          <w:rFonts w:eastAsia="Calibri"/>
        </w:rPr>
      </w:pPr>
      <w:r w:rsidRPr="001611DC">
        <w:rPr>
          <w:rFonts w:eastAsia="Calibri"/>
        </w:rPr>
        <w:t>Source: Table 2-19of the submission.</w:t>
      </w:r>
    </w:p>
    <w:p w14:paraId="1854B80D" w14:textId="77777777" w:rsidR="009263AC" w:rsidRPr="001611DC" w:rsidRDefault="009263AC" w:rsidP="009263AC">
      <w:pPr>
        <w:pStyle w:val="FooterTableFigure"/>
        <w:rPr>
          <w:rFonts w:eastAsia="Calibri"/>
        </w:rPr>
      </w:pPr>
      <w:r w:rsidRPr="001611DC">
        <w:rPr>
          <w:rFonts w:eastAsia="Calibri"/>
        </w:rPr>
        <w:t xml:space="preserve">CI = confidence interval; LRTD = lower respiratory tract disease; mES = modified exposed set; N = number of participants; n = number of participants with at least one RT-PCR confirmed RSV-LRTD; NH = Northern Hemisphere; </w:t>
      </w:r>
      <w:bookmarkStart w:id="52" w:name="_Hlk166934132"/>
      <w:r w:rsidRPr="001611DC">
        <w:rPr>
          <w:rFonts w:eastAsia="Calibri"/>
        </w:rPr>
        <w:t xml:space="preserve">n/T (per 1000) = incidence rate of participants reporting at least one event; </w:t>
      </w:r>
      <w:bookmarkEnd w:id="52"/>
      <w:r w:rsidRPr="001611DC">
        <w:rPr>
          <w:rFonts w:eastAsia="Calibri"/>
        </w:rPr>
        <w:t xml:space="preserve">RSV = respiratory syncytial virus; RSVPreF3 OA= RSV pre-fusion protein 3 older adult; RT-PCR = reverse transcription-polymerase chain reaction; </w:t>
      </w:r>
      <w:bookmarkStart w:id="53" w:name="_Hlk166934158"/>
      <w:r w:rsidRPr="001611DC">
        <w:rPr>
          <w:rFonts w:eastAsia="Calibri"/>
        </w:rPr>
        <w:t>T (year) = sum of follow-up time (from Day 15 post-vaccination until first occurrence of the event or until the efficacy data lock point or until drop-out date) expressed in years</w:t>
      </w:r>
      <w:bookmarkEnd w:id="53"/>
      <w:r w:rsidRPr="001611DC">
        <w:rPr>
          <w:rFonts w:eastAsia="Calibri"/>
        </w:rPr>
        <w:t xml:space="preserve">; VE = vaccine efficacy. </w:t>
      </w:r>
    </w:p>
    <w:p w14:paraId="05257E0D" w14:textId="2A3B8761" w:rsidR="009263AC" w:rsidRPr="001611DC" w:rsidRDefault="003A6EA8" w:rsidP="009263AC">
      <w:pPr>
        <w:pStyle w:val="FooterTableFigure"/>
        <w:rPr>
          <w:rFonts w:eastAsia="Calibri"/>
          <w:szCs w:val="18"/>
        </w:rPr>
      </w:pPr>
      <w:r w:rsidRPr="001611DC">
        <w:rPr>
          <w:rFonts w:eastAsia="Calibri"/>
          <w:szCs w:val="18"/>
        </w:rPr>
        <w:t xml:space="preserve">a </w:t>
      </w:r>
      <w:r w:rsidR="009263AC" w:rsidRPr="001611DC">
        <w:rPr>
          <w:rFonts w:eastAsia="Calibri"/>
          <w:szCs w:val="18"/>
        </w:rPr>
        <w:t xml:space="preserve">VE analysis CI = 96.95% . 96.95% CI – adjustment of alpha level at interim obtained using Wang-Tsiatis method. </w:t>
      </w:r>
    </w:p>
    <w:p w14:paraId="0A617C76" w14:textId="77777777" w:rsidR="009263AC" w:rsidRPr="001611DC" w:rsidRDefault="009263AC" w:rsidP="009263AC">
      <w:pPr>
        <w:pStyle w:val="FooterTableFigure"/>
        <w:rPr>
          <w:rFonts w:eastAsia="Calibri"/>
        </w:rPr>
      </w:pPr>
      <w:r w:rsidRPr="001611DC">
        <w:rPr>
          <w:rFonts w:eastAsia="Calibri"/>
          <w:b/>
          <w:bCs/>
          <w:szCs w:val="18"/>
        </w:rPr>
        <w:t>Bold</w:t>
      </w:r>
      <w:r w:rsidRPr="001611DC">
        <w:rPr>
          <w:rFonts w:eastAsia="Calibri"/>
          <w:szCs w:val="18"/>
        </w:rPr>
        <w:t xml:space="preserve"> indicates statistically significant.</w:t>
      </w:r>
    </w:p>
    <w:p w14:paraId="5CC7303C" w14:textId="16AFA5A2" w:rsidR="00067361" w:rsidRPr="001611DC" w:rsidRDefault="009263AC" w:rsidP="00650847">
      <w:pPr>
        <w:pStyle w:val="3-BodyText"/>
        <w:rPr>
          <w:color w:val="0066FF"/>
        </w:rPr>
      </w:pPr>
      <w:r w:rsidRPr="001611DC">
        <w:t>The submission presented results from subsequent efficacy analyses</w:t>
      </w:r>
      <w:r w:rsidR="005E4D91" w:rsidRPr="001611DC">
        <w:t>:</w:t>
      </w:r>
      <w:r w:rsidRPr="001611DC">
        <w:t xml:space="preserve"> VE analysis 2, VE analysis 3 (single dose)</w:t>
      </w:r>
      <w:r w:rsidR="005E4D91" w:rsidRPr="001611DC">
        <w:t>,</w:t>
      </w:r>
      <w:r w:rsidRPr="001611DC">
        <w:t xml:space="preserve"> and VE analysis 3 (revaccination group) (</w:t>
      </w:r>
      <w:r w:rsidRPr="001611DC">
        <w:fldChar w:fldCharType="begin" w:fldLock="1"/>
      </w:r>
      <w:r w:rsidRPr="001611DC">
        <w:instrText xml:space="preserve"> REF _Ref165793726 \h  \* MERGEFORMAT </w:instrText>
      </w:r>
      <w:r w:rsidRPr="001611DC">
        <w:fldChar w:fldCharType="separate"/>
      </w:r>
      <w:r w:rsidR="00927933" w:rsidRPr="001611DC">
        <w:t>Table 6</w:t>
      </w:r>
      <w:r w:rsidRPr="001611DC">
        <w:fldChar w:fldCharType="end"/>
      </w:r>
      <w:r w:rsidRPr="001611DC">
        <w:t xml:space="preserve">). Overall, VE of RSVPreF3 OA reduced (waned) as the median follow-up increased. Revaccination with a second dose of RSVPreF3 OA did not provide additional VE from RT-PCR confirmed LRTD. The VE of one dose of RSVPreF3 OA given </w:t>
      </w:r>
      <w:r>
        <w:t>preseason</w:t>
      </w:r>
      <w:r w:rsidRPr="001611DC">
        <w:t xml:space="preserve"> 1 in preventing RT-PCR-confirmed RSV-LRTD over 2 full seasons was 67.18% (97.5% CI: 48.19, 80.00), which was very similar to the result for the group that received a second dose (VE: 67.12% (97.5% CI: 48.09, 80.00)). </w:t>
      </w:r>
      <w:r w:rsidR="004455EE" w:rsidRPr="001611DC">
        <w:t>The ESC noted that re-vaccination did not improve VE</w:t>
      </w:r>
      <w:r w:rsidR="00EB57C1" w:rsidRPr="001611DC">
        <w:t xml:space="preserve"> </w:t>
      </w:r>
      <w:r w:rsidR="006A3AF6" w:rsidRPr="001611DC">
        <w:t xml:space="preserve">in the analysis at </w:t>
      </w:r>
      <w:r w:rsidR="00EB57C1" w:rsidRPr="001611DC">
        <w:t>median follow-up time of 17.8 months</w:t>
      </w:r>
      <w:r w:rsidR="006A3AF6" w:rsidRPr="001611DC">
        <w:t xml:space="preserve"> </w:t>
      </w:r>
      <w:r w:rsidR="005E4D91" w:rsidRPr="001611DC">
        <w:t>(</w:t>
      </w:r>
      <w:r w:rsidR="006A3AF6" w:rsidRPr="001611DC">
        <w:t>VE analysis 3</w:t>
      </w:r>
      <w:r w:rsidR="005E4D91" w:rsidRPr="001611DC">
        <w:t>)</w:t>
      </w:r>
      <w:r w:rsidR="006A3AF6" w:rsidRPr="001611DC">
        <w:t xml:space="preserve"> </w:t>
      </w:r>
      <w:r w:rsidR="00300D16" w:rsidRPr="001611DC">
        <w:t>(</w:t>
      </w:r>
      <w:r w:rsidR="00300D16" w:rsidRPr="001611DC">
        <w:fldChar w:fldCharType="begin" w:fldLock="1"/>
      </w:r>
      <w:r w:rsidR="00300D16" w:rsidRPr="001611DC">
        <w:instrText xml:space="preserve"> REF _Ref165793726 \h  \* MERGEFORMAT </w:instrText>
      </w:r>
      <w:r w:rsidR="00300D16" w:rsidRPr="001611DC">
        <w:fldChar w:fldCharType="separate"/>
      </w:r>
      <w:r w:rsidR="00927933" w:rsidRPr="001611DC">
        <w:t>Table 6</w:t>
      </w:r>
      <w:r w:rsidR="00300D16" w:rsidRPr="001611DC">
        <w:fldChar w:fldCharType="end"/>
      </w:r>
      <w:r w:rsidR="00300D16" w:rsidRPr="001611DC">
        <w:t>).</w:t>
      </w:r>
      <w:r w:rsidR="001F4410">
        <w:t xml:space="preserve"> </w:t>
      </w:r>
      <w:r w:rsidR="00EB57C1" w:rsidRPr="001611DC">
        <w:t>The ESC</w:t>
      </w:r>
      <w:r w:rsidR="005E4D91" w:rsidRPr="001611DC">
        <w:t xml:space="preserve"> and the PBAC</w:t>
      </w:r>
      <w:r w:rsidR="00EB57C1" w:rsidRPr="001611DC">
        <w:t xml:space="preserve"> considered it was uncertain whether revaccination impacted the duration of protection, and whether boosting would be required at a later stage.</w:t>
      </w:r>
    </w:p>
    <w:p w14:paraId="5E7DB5CF" w14:textId="21F49C73" w:rsidR="00DD3FC0" w:rsidRPr="001611DC" w:rsidRDefault="002E52FD" w:rsidP="00650847">
      <w:pPr>
        <w:pStyle w:val="3-BodyText"/>
      </w:pPr>
      <w:r w:rsidRPr="001611DC">
        <w:t xml:space="preserve">The PSCR presented new longer-term VE data </w:t>
      </w:r>
      <w:r w:rsidR="005E4D91" w:rsidRPr="001611DC">
        <w:t>(</w:t>
      </w:r>
      <w:r w:rsidRPr="001611DC">
        <w:t>VE analysis 4</w:t>
      </w:r>
      <w:r w:rsidR="005E4D91" w:rsidRPr="001611DC">
        <w:t>)</w:t>
      </w:r>
      <w:r w:rsidRPr="001611DC">
        <w:t xml:space="preserve">, </w:t>
      </w:r>
      <w:r w:rsidR="00DF7D48" w:rsidRPr="001611DC">
        <w:t>based on</w:t>
      </w:r>
      <w:r w:rsidRPr="001611DC">
        <w:t xml:space="preserve"> 23.3 months follow-up. VE against first occurrence of RT-PCR-confirmed RSV-LRTD in the overall trial population was </w:t>
      </w:r>
      <w:proofErr w:type="gramStart"/>
      <w:r w:rsidRPr="001611DC">
        <w:t>similar to</w:t>
      </w:r>
      <w:proofErr w:type="gramEnd"/>
      <w:r w:rsidRPr="001611DC">
        <w:t xml:space="preserve"> that presented in the submission; 67.7% (CI: 52.3, 78.7) in VE analysis 4 vs 67.2% (CI: 48.2, 80.0) in VE analysis 3 (</w:t>
      </w:r>
      <w:r w:rsidRPr="001611DC">
        <w:fldChar w:fldCharType="begin" w:fldLock="1"/>
      </w:r>
      <w:r w:rsidRPr="001611DC">
        <w:instrText xml:space="preserve"> REF _Ref165793726 \h </w:instrText>
      </w:r>
      <w:r w:rsidR="00EB7C45" w:rsidRPr="001611DC">
        <w:instrText xml:space="preserve"> \* MERGEFORMAT </w:instrText>
      </w:r>
      <w:r w:rsidRPr="001611DC">
        <w:fldChar w:fldCharType="separate"/>
      </w:r>
      <w:r w:rsidR="00927933" w:rsidRPr="001611DC">
        <w:t>Table 6</w:t>
      </w:r>
      <w:r w:rsidRPr="001611DC">
        <w:fldChar w:fldCharType="end"/>
      </w:r>
      <w:r w:rsidRPr="001611DC">
        <w:t xml:space="preserve">). </w:t>
      </w:r>
      <w:r w:rsidR="00DF7D48" w:rsidRPr="001611DC">
        <w:t xml:space="preserve">The new evidence </w:t>
      </w:r>
      <w:r w:rsidR="00ED6760" w:rsidRPr="001611DC">
        <w:t xml:space="preserve">in the PSCR </w:t>
      </w:r>
      <w:r w:rsidR="00DF7D48" w:rsidRPr="001611DC">
        <w:t xml:space="preserve">could not be verified as the sponsor did not provide source </w:t>
      </w:r>
      <w:r w:rsidR="00ED6760" w:rsidRPr="001611DC">
        <w:t xml:space="preserve">data </w:t>
      </w:r>
      <w:r w:rsidR="00DF7D48" w:rsidRPr="001611DC">
        <w:t xml:space="preserve">for VE analysis 4. The </w:t>
      </w:r>
      <w:r w:rsidR="00ED6760" w:rsidRPr="001611DC">
        <w:t xml:space="preserve">ESC considered that </w:t>
      </w:r>
      <w:r w:rsidR="00DF7D48" w:rsidRPr="001611DC">
        <w:t xml:space="preserve">longer-term VE of RSVPreF3 OA beyond 23.3 months </w:t>
      </w:r>
      <w:r w:rsidR="00ED6760" w:rsidRPr="001611DC">
        <w:t xml:space="preserve">remained </w:t>
      </w:r>
      <w:r w:rsidR="00DF7D48" w:rsidRPr="001611DC">
        <w:t>unknown.</w:t>
      </w:r>
    </w:p>
    <w:p w14:paraId="1BF0EA31" w14:textId="5D89B558" w:rsidR="009263AC" w:rsidRPr="001611DC" w:rsidRDefault="009263AC" w:rsidP="009263AC">
      <w:pPr>
        <w:pStyle w:val="Caption"/>
        <w:rPr>
          <w:rStyle w:val="CommentReference"/>
          <w:rFonts w:eastAsiaTheme="majorEastAsia" w:cstheme="majorBidi"/>
          <w:b/>
          <w:szCs w:val="24"/>
        </w:rPr>
      </w:pPr>
      <w:bookmarkStart w:id="54" w:name="_Ref165793726"/>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6</w:t>
      </w:r>
      <w:r w:rsidR="005473CE" w:rsidRPr="001611DC">
        <w:fldChar w:fldCharType="end"/>
      </w:r>
      <w:bookmarkEnd w:id="54"/>
      <w:r w:rsidRPr="001611DC">
        <w:t>: VE of RSVPreF3 OA against first occurrence of RSV-confirmed LRTD</w:t>
      </w:r>
      <w:r w:rsidRPr="001611DC">
        <w:rPr>
          <w:vertAlign w:val="superscript"/>
        </w:rPr>
        <w:t>a</w:t>
      </w:r>
      <w:r w:rsidRPr="001611DC">
        <w:t xml:space="preserve">, </w:t>
      </w:r>
      <w:r w:rsidR="00ED6760" w:rsidRPr="001611DC">
        <w:t xml:space="preserve">VE analysis 1 compared with </w:t>
      </w:r>
      <w:r w:rsidRPr="001611DC">
        <w:t xml:space="preserve">VE analysis 2 and VE analysis 3 (single dose and revaccination), </w:t>
      </w:r>
      <w:r w:rsidR="00DD3FC0" w:rsidRPr="001611DC">
        <w:t>and VE analysis 4</w:t>
      </w:r>
      <w:r w:rsidR="00F43AE1" w:rsidRPr="001611DC">
        <w:t xml:space="preserve"> (as reported in the PSCR)</w:t>
      </w:r>
      <w:r w:rsidR="00DD3FC0" w:rsidRPr="001611DC">
        <w:t xml:space="preserve">, </w:t>
      </w:r>
      <w:r w:rsidRPr="001611DC">
        <w:t>mES</w:t>
      </w:r>
    </w:p>
    <w:tbl>
      <w:tblPr>
        <w:tblStyle w:val="TableGrid"/>
        <w:tblpPr w:leftFromText="180" w:rightFromText="180" w:vertAnchor="text" w:tblpY="1"/>
        <w:tblOverlap w:val="never"/>
        <w:tblW w:w="0" w:type="auto"/>
        <w:tblLayout w:type="fixed"/>
        <w:tblLook w:val="04A0" w:firstRow="1" w:lastRow="0" w:firstColumn="1" w:lastColumn="0" w:noHBand="0" w:noVBand="1"/>
        <w:tblCaption w:val="Table 6: VE of RSVPreF3 OA against first occurrence of RSV-confirmed LRTDa, VE analysis 1 compared with VE analysis 2 and VE analysis 3 (single dose and revaccination), and VE analysis 4 (as reported in the PSCR), mES"/>
      </w:tblPr>
      <w:tblGrid>
        <w:gridCol w:w="1363"/>
        <w:gridCol w:w="878"/>
        <w:gridCol w:w="589"/>
        <w:gridCol w:w="1058"/>
        <w:gridCol w:w="750"/>
        <w:gridCol w:w="718"/>
        <w:gridCol w:w="490"/>
        <w:gridCol w:w="912"/>
        <w:gridCol w:w="772"/>
        <w:gridCol w:w="1487"/>
      </w:tblGrid>
      <w:tr w:rsidR="009263AC" w:rsidRPr="001611DC" w14:paraId="1A14A2A1" w14:textId="77777777" w:rsidTr="00EB145B">
        <w:trPr>
          <w:tblHeader/>
        </w:trPr>
        <w:tc>
          <w:tcPr>
            <w:tcW w:w="1363" w:type="dxa"/>
            <w:vMerge w:val="restart"/>
          </w:tcPr>
          <w:p w14:paraId="04552C9A" w14:textId="77777777" w:rsidR="009263AC" w:rsidRPr="001611DC" w:rsidRDefault="009263AC" w:rsidP="00EB145B">
            <w:pPr>
              <w:pStyle w:val="In-tableHeading"/>
              <w:rPr>
                <w:lang w:val="en-AU"/>
              </w:rPr>
            </w:pPr>
            <w:r w:rsidRPr="001611DC">
              <w:rPr>
                <w:lang w:val="en-AU"/>
              </w:rPr>
              <w:t>Endpoint</w:t>
            </w:r>
          </w:p>
        </w:tc>
        <w:tc>
          <w:tcPr>
            <w:tcW w:w="3275" w:type="dxa"/>
            <w:gridSpan w:val="4"/>
          </w:tcPr>
          <w:p w14:paraId="529CB868" w14:textId="77777777" w:rsidR="009263AC" w:rsidRPr="001611DC" w:rsidRDefault="009263AC" w:rsidP="00EB145B">
            <w:pPr>
              <w:pStyle w:val="In-tableHeading"/>
              <w:jc w:val="center"/>
              <w:rPr>
                <w:lang w:val="en-AU"/>
              </w:rPr>
            </w:pPr>
            <w:r w:rsidRPr="001611DC">
              <w:rPr>
                <w:lang w:val="en-AU"/>
              </w:rPr>
              <w:t>RSVPreF3 OA</w:t>
            </w:r>
          </w:p>
        </w:tc>
        <w:tc>
          <w:tcPr>
            <w:tcW w:w="2892" w:type="dxa"/>
            <w:gridSpan w:val="4"/>
          </w:tcPr>
          <w:p w14:paraId="615B4AEA" w14:textId="77777777" w:rsidR="009263AC" w:rsidRPr="001611DC" w:rsidRDefault="009263AC" w:rsidP="00EB145B">
            <w:pPr>
              <w:pStyle w:val="In-tableHeading"/>
              <w:jc w:val="center"/>
              <w:rPr>
                <w:lang w:val="en-AU"/>
              </w:rPr>
            </w:pPr>
            <w:r w:rsidRPr="001611DC">
              <w:rPr>
                <w:lang w:val="en-AU"/>
              </w:rPr>
              <w:t>No vaccine</w:t>
            </w:r>
          </w:p>
        </w:tc>
        <w:tc>
          <w:tcPr>
            <w:tcW w:w="1487" w:type="dxa"/>
            <w:vMerge w:val="restart"/>
          </w:tcPr>
          <w:p w14:paraId="0655EABF" w14:textId="0EDB0911" w:rsidR="009263AC" w:rsidRPr="001611DC" w:rsidRDefault="009263AC" w:rsidP="00EB145B">
            <w:pPr>
              <w:pStyle w:val="In-tableHeading"/>
              <w:jc w:val="center"/>
              <w:rPr>
                <w:lang w:val="en-AU"/>
              </w:rPr>
            </w:pPr>
            <w:r w:rsidRPr="001611DC">
              <w:rPr>
                <w:lang w:val="en-AU"/>
              </w:rPr>
              <w:t>VE% (CI</w:t>
            </w:r>
            <w:r w:rsidRPr="001611DC">
              <w:rPr>
                <w:vertAlign w:val="superscript"/>
                <w:lang w:val="en-AU"/>
              </w:rPr>
              <w:t>b</w:t>
            </w:r>
            <w:r w:rsidRPr="001611DC">
              <w:rPr>
                <w:lang w:val="en-AU"/>
              </w:rPr>
              <w:t>)</w:t>
            </w:r>
          </w:p>
          <w:p w14:paraId="291B5EE8" w14:textId="77777777" w:rsidR="009263AC" w:rsidRPr="001611DC" w:rsidRDefault="009263AC" w:rsidP="00EB145B">
            <w:pPr>
              <w:pStyle w:val="In-tableHeading"/>
              <w:jc w:val="center"/>
              <w:rPr>
                <w:lang w:val="en-AU"/>
              </w:rPr>
            </w:pPr>
            <w:r w:rsidRPr="001611DC">
              <w:rPr>
                <w:lang w:val="en-AU"/>
              </w:rPr>
              <w:t>P-value</w:t>
            </w:r>
          </w:p>
        </w:tc>
      </w:tr>
      <w:tr w:rsidR="009263AC" w:rsidRPr="001611DC" w14:paraId="1374CC04" w14:textId="77777777" w:rsidTr="005E4D91">
        <w:trPr>
          <w:tblHeader/>
        </w:trPr>
        <w:tc>
          <w:tcPr>
            <w:tcW w:w="1363" w:type="dxa"/>
            <w:vMerge/>
          </w:tcPr>
          <w:p w14:paraId="24AFC4BF" w14:textId="77777777" w:rsidR="009263AC" w:rsidRPr="001611DC" w:rsidRDefault="009263AC" w:rsidP="00EB145B">
            <w:pPr>
              <w:pStyle w:val="In-tableHeading"/>
              <w:rPr>
                <w:lang w:val="en-AU"/>
              </w:rPr>
            </w:pPr>
          </w:p>
        </w:tc>
        <w:tc>
          <w:tcPr>
            <w:tcW w:w="878" w:type="dxa"/>
          </w:tcPr>
          <w:p w14:paraId="061B8717" w14:textId="77777777" w:rsidR="009263AC" w:rsidRPr="001611DC" w:rsidRDefault="009263AC" w:rsidP="00EB145B">
            <w:pPr>
              <w:pStyle w:val="In-tableHeading"/>
              <w:jc w:val="center"/>
              <w:rPr>
                <w:lang w:val="en-AU"/>
              </w:rPr>
            </w:pPr>
            <w:r w:rsidRPr="001611DC">
              <w:rPr>
                <w:lang w:val="en-AU"/>
              </w:rPr>
              <w:t>N</w:t>
            </w:r>
          </w:p>
        </w:tc>
        <w:tc>
          <w:tcPr>
            <w:tcW w:w="589" w:type="dxa"/>
          </w:tcPr>
          <w:p w14:paraId="691A3D91" w14:textId="77777777" w:rsidR="009263AC" w:rsidRPr="001611DC" w:rsidRDefault="009263AC" w:rsidP="00EB145B">
            <w:pPr>
              <w:pStyle w:val="In-tableHeading"/>
              <w:jc w:val="center"/>
              <w:rPr>
                <w:lang w:val="en-AU"/>
              </w:rPr>
            </w:pPr>
            <w:r w:rsidRPr="001611DC">
              <w:rPr>
                <w:lang w:val="en-AU"/>
              </w:rPr>
              <w:t>n</w:t>
            </w:r>
          </w:p>
        </w:tc>
        <w:tc>
          <w:tcPr>
            <w:tcW w:w="1058" w:type="dxa"/>
          </w:tcPr>
          <w:p w14:paraId="2EB8D711" w14:textId="77777777" w:rsidR="009263AC" w:rsidRPr="001611DC" w:rsidRDefault="009263AC" w:rsidP="00EB145B">
            <w:pPr>
              <w:pStyle w:val="In-tableHeading"/>
              <w:jc w:val="center"/>
              <w:rPr>
                <w:lang w:val="en-AU"/>
              </w:rPr>
            </w:pPr>
            <w:r w:rsidRPr="001611DC">
              <w:rPr>
                <w:lang w:val="en-AU"/>
              </w:rPr>
              <w:t>T (year)</w:t>
            </w:r>
          </w:p>
        </w:tc>
        <w:tc>
          <w:tcPr>
            <w:tcW w:w="750" w:type="dxa"/>
          </w:tcPr>
          <w:p w14:paraId="041F7687" w14:textId="77777777" w:rsidR="009263AC" w:rsidRPr="001611DC" w:rsidRDefault="009263AC" w:rsidP="00EB145B">
            <w:pPr>
              <w:pStyle w:val="In-tableHeading"/>
              <w:jc w:val="center"/>
              <w:rPr>
                <w:lang w:val="en-AU"/>
              </w:rPr>
            </w:pPr>
            <w:r w:rsidRPr="001611DC">
              <w:rPr>
                <w:lang w:val="en-AU"/>
              </w:rPr>
              <w:t>n/T (per 1000)</w:t>
            </w:r>
          </w:p>
        </w:tc>
        <w:tc>
          <w:tcPr>
            <w:tcW w:w="718" w:type="dxa"/>
          </w:tcPr>
          <w:p w14:paraId="4612DA3B" w14:textId="77777777" w:rsidR="009263AC" w:rsidRPr="001611DC" w:rsidRDefault="009263AC" w:rsidP="00EB145B">
            <w:pPr>
              <w:pStyle w:val="In-tableHeading"/>
              <w:jc w:val="center"/>
              <w:rPr>
                <w:lang w:val="en-AU"/>
              </w:rPr>
            </w:pPr>
            <w:r w:rsidRPr="001611DC">
              <w:rPr>
                <w:lang w:val="en-AU"/>
              </w:rPr>
              <w:t>N</w:t>
            </w:r>
          </w:p>
        </w:tc>
        <w:tc>
          <w:tcPr>
            <w:tcW w:w="490" w:type="dxa"/>
          </w:tcPr>
          <w:p w14:paraId="5C4AE452" w14:textId="77777777" w:rsidR="009263AC" w:rsidRPr="001611DC" w:rsidRDefault="009263AC" w:rsidP="00EB145B">
            <w:pPr>
              <w:pStyle w:val="In-tableHeading"/>
              <w:jc w:val="center"/>
              <w:rPr>
                <w:lang w:val="en-AU"/>
              </w:rPr>
            </w:pPr>
            <w:r w:rsidRPr="001611DC">
              <w:rPr>
                <w:lang w:val="en-AU"/>
              </w:rPr>
              <w:t>n</w:t>
            </w:r>
          </w:p>
        </w:tc>
        <w:tc>
          <w:tcPr>
            <w:tcW w:w="912" w:type="dxa"/>
          </w:tcPr>
          <w:p w14:paraId="4026044B" w14:textId="77777777" w:rsidR="009263AC" w:rsidRPr="001611DC" w:rsidRDefault="009263AC" w:rsidP="00EB145B">
            <w:pPr>
              <w:pStyle w:val="In-tableHeading"/>
              <w:jc w:val="center"/>
              <w:rPr>
                <w:lang w:val="en-AU"/>
              </w:rPr>
            </w:pPr>
            <w:r w:rsidRPr="001611DC">
              <w:rPr>
                <w:lang w:val="en-AU"/>
              </w:rPr>
              <w:t>T (year)</w:t>
            </w:r>
          </w:p>
        </w:tc>
        <w:tc>
          <w:tcPr>
            <w:tcW w:w="772" w:type="dxa"/>
          </w:tcPr>
          <w:p w14:paraId="0D7F774F" w14:textId="77777777" w:rsidR="009263AC" w:rsidRPr="001611DC" w:rsidRDefault="009263AC" w:rsidP="00EB145B">
            <w:pPr>
              <w:pStyle w:val="In-tableHeading"/>
              <w:jc w:val="center"/>
              <w:rPr>
                <w:lang w:val="en-AU"/>
              </w:rPr>
            </w:pPr>
            <w:r w:rsidRPr="001611DC">
              <w:rPr>
                <w:lang w:val="en-AU"/>
              </w:rPr>
              <w:t>n/T (per 1000)</w:t>
            </w:r>
          </w:p>
        </w:tc>
        <w:tc>
          <w:tcPr>
            <w:tcW w:w="1487" w:type="dxa"/>
            <w:vMerge/>
          </w:tcPr>
          <w:p w14:paraId="6E10BECE" w14:textId="77777777" w:rsidR="009263AC" w:rsidRPr="001611DC" w:rsidRDefault="009263AC" w:rsidP="00EB145B">
            <w:pPr>
              <w:pStyle w:val="TableText0"/>
              <w:jc w:val="center"/>
            </w:pPr>
          </w:p>
        </w:tc>
      </w:tr>
      <w:tr w:rsidR="002B6324" w:rsidRPr="001611DC" w14:paraId="640FB6D8" w14:textId="77777777">
        <w:trPr>
          <w:tblHeader/>
        </w:trPr>
        <w:tc>
          <w:tcPr>
            <w:tcW w:w="9017" w:type="dxa"/>
            <w:gridSpan w:val="10"/>
          </w:tcPr>
          <w:p w14:paraId="4CEE1104" w14:textId="7CE95AE9" w:rsidR="002B6324" w:rsidRPr="001611DC" w:rsidRDefault="002B6324" w:rsidP="002B6324">
            <w:pPr>
              <w:pStyle w:val="TableText0"/>
              <w:rPr>
                <w:b/>
                <w:bCs w:val="0"/>
              </w:rPr>
            </w:pPr>
            <w:r w:rsidRPr="001611DC">
              <w:rPr>
                <w:b/>
                <w:bCs w:val="0"/>
              </w:rPr>
              <w:t>VE analysis 1 – Season 1 NH: median follow-up time in the mES = 6.7 months</w:t>
            </w:r>
          </w:p>
        </w:tc>
      </w:tr>
      <w:tr w:rsidR="002B6324" w:rsidRPr="001611DC" w14:paraId="45BC9982" w14:textId="77777777" w:rsidTr="002B6324">
        <w:trPr>
          <w:tblHeader/>
        </w:trPr>
        <w:tc>
          <w:tcPr>
            <w:tcW w:w="1363" w:type="dxa"/>
            <w:vAlign w:val="center"/>
          </w:tcPr>
          <w:p w14:paraId="7DE9F7F6" w14:textId="1F51A2EB" w:rsidR="002B6324" w:rsidRPr="001611DC" w:rsidRDefault="002B6324" w:rsidP="002B6324">
            <w:pPr>
              <w:pStyle w:val="In-tableHeading"/>
              <w:rPr>
                <w:b w:val="0"/>
                <w:bCs/>
                <w:lang w:val="en-AU"/>
              </w:rPr>
            </w:pPr>
            <w:bookmarkStart w:id="55" w:name="_Hlk174422718"/>
            <w:r w:rsidRPr="001611DC">
              <w:rPr>
                <w:b w:val="0"/>
                <w:bCs/>
                <w:lang w:val="en-AU"/>
              </w:rPr>
              <w:t>RT-PCR-confirmed RSV-LRTD</w:t>
            </w:r>
          </w:p>
        </w:tc>
        <w:tc>
          <w:tcPr>
            <w:tcW w:w="878" w:type="dxa"/>
            <w:vAlign w:val="center"/>
          </w:tcPr>
          <w:p w14:paraId="13DAA011" w14:textId="19E3D808" w:rsidR="002B6324" w:rsidRPr="001611DC" w:rsidRDefault="002B6324" w:rsidP="002B6324">
            <w:pPr>
              <w:pStyle w:val="In-tableHeading"/>
              <w:jc w:val="center"/>
              <w:rPr>
                <w:b w:val="0"/>
                <w:bCs/>
                <w:lang w:val="en-AU"/>
              </w:rPr>
            </w:pPr>
            <w:r w:rsidRPr="001611DC">
              <w:rPr>
                <w:b w:val="0"/>
                <w:bCs/>
                <w:lang w:val="en-AU"/>
              </w:rPr>
              <w:t>12,466</w:t>
            </w:r>
          </w:p>
        </w:tc>
        <w:tc>
          <w:tcPr>
            <w:tcW w:w="589" w:type="dxa"/>
            <w:vAlign w:val="center"/>
          </w:tcPr>
          <w:p w14:paraId="453B5DDA" w14:textId="54E36965" w:rsidR="002B6324" w:rsidRPr="001611DC" w:rsidRDefault="002B6324" w:rsidP="002B6324">
            <w:pPr>
              <w:pStyle w:val="In-tableHeading"/>
              <w:jc w:val="center"/>
              <w:rPr>
                <w:b w:val="0"/>
                <w:bCs/>
                <w:lang w:val="en-AU"/>
              </w:rPr>
            </w:pPr>
            <w:r w:rsidRPr="001611DC">
              <w:rPr>
                <w:b w:val="0"/>
                <w:bCs/>
                <w:lang w:val="en-AU"/>
              </w:rPr>
              <w:t>7</w:t>
            </w:r>
          </w:p>
        </w:tc>
        <w:tc>
          <w:tcPr>
            <w:tcW w:w="1058" w:type="dxa"/>
            <w:vAlign w:val="center"/>
          </w:tcPr>
          <w:p w14:paraId="118C5E72" w14:textId="334F3443" w:rsidR="002B6324" w:rsidRPr="001611DC" w:rsidRDefault="002B6324" w:rsidP="002B6324">
            <w:pPr>
              <w:pStyle w:val="In-tableHeading"/>
              <w:jc w:val="center"/>
              <w:rPr>
                <w:b w:val="0"/>
                <w:bCs/>
                <w:lang w:val="en-AU"/>
              </w:rPr>
            </w:pPr>
            <w:r w:rsidRPr="001611DC">
              <w:rPr>
                <w:b w:val="0"/>
                <w:bCs/>
                <w:lang w:val="en-AU"/>
              </w:rPr>
              <w:t>6,865.9</w:t>
            </w:r>
          </w:p>
        </w:tc>
        <w:tc>
          <w:tcPr>
            <w:tcW w:w="750" w:type="dxa"/>
            <w:vAlign w:val="center"/>
          </w:tcPr>
          <w:p w14:paraId="5110049E" w14:textId="0094CFC0" w:rsidR="002B6324" w:rsidRPr="001611DC" w:rsidRDefault="002B6324" w:rsidP="002B6324">
            <w:pPr>
              <w:pStyle w:val="In-tableHeading"/>
              <w:jc w:val="center"/>
              <w:rPr>
                <w:b w:val="0"/>
                <w:bCs/>
                <w:lang w:val="en-AU"/>
              </w:rPr>
            </w:pPr>
            <w:r w:rsidRPr="001611DC">
              <w:rPr>
                <w:b w:val="0"/>
                <w:bCs/>
                <w:lang w:val="en-AU"/>
              </w:rPr>
              <w:t>1.0</w:t>
            </w:r>
          </w:p>
        </w:tc>
        <w:tc>
          <w:tcPr>
            <w:tcW w:w="718" w:type="dxa"/>
            <w:vAlign w:val="center"/>
          </w:tcPr>
          <w:p w14:paraId="6E8E0CFE" w14:textId="67F2B152" w:rsidR="002B6324" w:rsidRPr="001611DC" w:rsidRDefault="002B6324" w:rsidP="002B6324">
            <w:pPr>
              <w:pStyle w:val="In-tableHeading"/>
              <w:jc w:val="center"/>
              <w:rPr>
                <w:b w:val="0"/>
                <w:bCs/>
                <w:lang w:val="en-AU"/>
              </w:rPr>
            </w:pPr>
            <w:r w:rsidRPr="001611DC">
              <w:rPr>
                <w:b w:val="0"/>
                <w:bCs/>
                <w:lang w:val="en-AU"/>
              </w:rPr>
              <w:t>12,494</w:t>
            </w:r>
          </w:p>
        </w:tc>
        <w:tc>
          <w:tcPr>
            <w:tcW w:w="490" w:type="dxa"/>
            <w:vAlign w:val="center"/>
          </w:tcPr>
          <w:p w14:paraId="5A95662E" w14:textId="648975F2" w:rsidR="002B6324" w:rsidRPr="001611DC" w:rsidRDefault="002B6324" w:rsidP="002B6324">
            <w:pPr>
              <w:pStyle w:val="In-tableHeading"/>
              <w:jc w:val="center"/>
              <w:rPr>
                <w:b w:val="0"/>
                <w:bCs/>
                <w:lang w:val="en-AU"/>
              </w:rPr>
            </w:pPr>
            <w:r w:rsidRPr="001611DC">
              <w:rPr>
                <w:b w:val="0"/>
                <w:bCs/>
                <w:lang w:val="en-AU"/>
              </w:rPr>
              <w:t>40</w:t>
            </w:r>
          </w:p>
        </w:tc>
        <w:tc>
          <w:tcPr>
            <w:tcW w:w="912" w:type="dxa"/>
            <w:vAlign w:val="center"/>
          </w:tcPr>
          <w:p w14:paraId="307DE0EF" w14:textId="087EC472" w:rsidR="002B6324" w:rsidRPr="001611DC" w:rsidRDefault="002B6324" w:rsidP="002B6324">
            <w:pPr>
              <w:pStyle w:val="In-tableHeading"/>
              <w:jc w:val="center"/>
              <w:rPr>
                <w:b w:val="0"/>
                <w:bCs/>
                <w:lang w:val="en-AU"/>
              </w:rPr>
            </w:pPr>
            <w:r w:rsidRPr="001611DC">
              <w:rPr>
                <w:b w:val="0"/>
                <w:bCs/>
                <w:lang w:val="en-AU"/>
              </w:rPr>
              <w:t>6,857.3</w:t>
            </w:r>
          </w:p>
        </w:tc>
        <w:tc>
          <w:tcPr>
            <w:tcW w:w="772" w:type="dxa"/>
            <w:vAlign w:val="center"/>
          </w:tcPr>
          <w:p w14:paraId="682AEBB7" w14:textId="024302BD" w:rsidR="002B6324" w:rsidRPr="001611DC" w:rsidRDefault="002B6324" w:rsidP="002B6324">
            <w:pPr>
              <w:pStyle w:val="In-tableHeading"/>
              <w:jc w:val="center"/>
              <w:rPr>
                <w:b w:val="0"/>
                <w:bCs/>
                <w:lang w:val="en-AU"/>
              </w:rPr>
            </w:pPr>
            <w:r w:rsidRPr="001611DC">
              <w:rPr>
                <w:b w:val="0"/>
                <w:bCs/>
                <w:lang w:val="en-AU"/>
              </w:rPr>
              <w:t>5.8</w:t>
            </w:r>
          </w:p>
        </w:tc>
        <w:tc>
          <w:tcPr>
            <w:tcW w:w="1487" w:type="dxa"/>
            <w:vAlign w:val="center"/>
          </w:tcPr>
          <w:p w14:paraId="5D4DCF7D" w14:textId="77777777" w:rsidR="005A45B7" w:rsidRPr="001611DC" w:rsidRDefault="002B6324" w:rsidP="002B6324">
            <w:pPr>
              <w:pStyle w:val="TableText0"/>
              <w:jc w:val="center"/>
              <w:rPr>
                <w:b/>
                <w:bCs w:val="0"/>
              </w:rPr>
            </w:pPr>
            <w:r w:rsidRPr="001611DC">
              <w:rPr>
                <w:b/>
                <w:bCs w:val="0"/>
              </w:rPr>
              <w:t xml:space="preserve">82.58 (57.89, 94.08) </w:t>
            </w:r>
          </w:p>
          <w:p w14:paraId="51A1C2D7" w14:textId="28FDCBCD" w:rsidR="002B6324" w:rsidRPr="001611DC" w:rsidRDefault="005A45B7" w:rsidP="002B6324">
            <w:pPr>
              <w:pStyle w:val="TableText0"/>
              <w:jc w:val="center"/>
              <w:rPr>
                <w:b/>
                <w:bCs w:val="0"/>
              </w:rPr>
            </w:pPr>
            <w:r w:rsidRPr="001611DC">
              <w:rPr>
                <w:b/>
                <w:bCs w:val="0"/>
              </w:rPr>
              <w:t xml:space="preserve">P </w:t>
            </w:r>
            <w:r w:rsidR="002B6324" w:rsidRPr="001611DC">
              <w:rPr>
                <w:b/>
                <w:bCs w:val="0"/>
              </w:rPr>
              <w:t>&lt;0.0001</w:t>
            </w:r>
          </w:p>
        </w:tc>
      </w:tr>
      <w:bookmarkEnd w:id="55"/>
      <w:tr w:rsidR="002B6324" w:rsidRPr="001611DC" w14:paraId="1E4F7C1E" w14:textId="77777777" w:rsidTr="00EB145B">
        <w:trPr>
          <w:tblHeader/>
        </w:trPr>
        <w:tc>
          <w:tcPr>
            <w:tcW w:w="9017" w:type="dxa"/>
            <w:gridSpan w:val="10"/>
          </w:tcPr>
          <w:p w14:paraId="02C36D94" w14:textId="64D3CAC9" w:rsidR="002B6324" w:rsidRPr="001611DC" w:rsidRDefault="002B6324" w:rsidP="002B6324">
            <w:pPr>
              <w:pStyle w:val="TableText0"/>
              <w:rPr>
                <w:rFonts w:eastAsia="Times New Roman" w:cs="Calibri"/>
                <w:b/>
                <w:color w:val="000000"/>
              </w:rPr>
            </w:pPr>
            <w:r w:rsidRPr="570FF98A">
              <w:rPr>
                <w:rFonts w:eastAsia="Times New Roman" w:cs="Calibri"/>
                <w:b/>
                <w:color w:val="000000" w:themeColor="text1"/>
              </w:rPr>
              <w:t>VE analysis 2 – Season 1 NH and SH – median follow-up time in the mES = 11.5 months</w:t>
            </w:r>
          </w:p>
        </w:tc>
      </w:tr>
      <w:tr w:rsidR="002B6324" w:rsidRPr="001611DC" w14:paraId="25882516" w14:textId="77777777" w:rsidTr="005E4D91">
        <w:trPr>
          <w:tblHeader/>
        </w:trPr>
        <w:tc>
          <w:tcPr>
            <w:tcW w:w="1363" w:type="dxa"/>
          </w:tcPr>
          <w:p w14:paraId="6A594AF6" w14:textId="77777777" w:rsidR="002B6324" w:rsidRPr="001611DC" w:rsidRDefault="002B6324" w:rsidP="002B6324">
            <w:pPr>
              <w:pStyle w:val="TableText0"/>
            </w:pPr>
            <w:r w:rsidRPr="001611DC">
              <w:rPr>
                <w:rFonts w:eastAsia="Times New Roman" w:cs="Calibri"/>
                <w:color w:val="000000"/>
                <w:szCs w:val="20"/>
              </w:rPr>
              <w:t>RT-PCR-confirmed RSV-LRTD</w:t>
            </w:r>
          </w:p>
        </w:tc>
        <w:tc>
          <w:tcPr>
            <w:tcW w:w="878" w:type="dxa"/>
            <w:vAlign w:val="center"/>
          </w:tcPr>
          <w:p w14:paraId="7E9DBBD2"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2,469</w:t>
            </w:r>
          </w:p>
        </w:tc>
        <w:tc>
          <w:tcPr>
            <w:tcW w:w="589" w:type="dxa"/>
            <w:vAlign w:val="center"/>
          </w:tcPr>
          <w:p w14:paraId="043B5C2E"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0</w:t>
            </w:r>
          </w:p>
        </w:tc>
        <w:tc>
          <w:tcPr>
            <w:tcW w:w="1058" w:type="dxa"/>
            <w:vAlign w:val="center"/>
          </w:tcPr>
          <w:p w14:paraId="744C11F8"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1,719.0</w:t>
            </w:r>
          </w:p>
        </w:tc>
        <w:tc>
          <w:tcPr>
            <w:tcW w:w="750" w:type="dxa"/>
            <w:vAlign w:val="center"/>
          </w:tcPr>
          <w:p w14:paraId="255A5F51"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0</w:t>
            </w:r>
            <w:r w:rsidRPr="001611DC">
              <w:rPr>
                <w:rFonts w:eastAsia="Times New Roman"/>
                <w:szCs w:val="20"/>
              </w:rPr>
              <w:t>.9</w:t>
            </w:r>
          </w:p>
        </w:tc>
        <w:tc>
          <w:tcPr>
            <w:tcW w:w="718" w:type="dxa"/>
            <w:vAlign w:val="center"/>
          </w:tcPr>
          <w:p w14:paraId="17076299"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2,498</w:t>
            </w:r>
          </w:p>
        </w:tc>
        <w:tc>
          <w:tcPr>
            <w:tcW w:w="490" w:type="dxa"/>
            <w:vAlign w:val="center"/>
          </w:tcPr>
          <w:p w14:paraId="115E3597"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4</w:t>
            </w:r>
            <w:r w:rsidRPr="001611DC">
              <w:rPr>
                <w:rFonts w:eastAsia="Times New Roman"/>
                <w:szCs w:val="20"/>
              </w:rPr>
              <w:t>7</w:t>
            </w:r>
          </w:p>
        </w:tc>
        <w:tc>
          <w:tcPr>
            <w:tcW w:w="912" w:type="dxa"/>
            <w:vAlign w:val="center"/>
          </w:tcPr>
          <w:p w14:paraId="663AA98F"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1,687.4</w:t>
            </w:r>
          </w:p>
        </w:tc>
        <w:tc>
          <w:tcPr>
            <w:tcW w:w="772" w:type="dxa"/>
            <w:vAlign w:val="center"/>
          </w:tcPr>
          <w:p w14:paraId="7387CCA1"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4</w:t>
            </w:r>
            <w:r w:rsidRPr="001611DC">
              <w:rPr>
                <w:rFonts w:eastAsia="Times New Roman"/>
                <w:szCs w:val="20"/>
              </w:rPr>
              <w:t>.0</w:t>
            </w:r>
          </w:p>
        </w:tc>
        <w:tc>
          <w:tcPr>
            <w:tcW w:w="1487" w:type="dxa"/>
            <w:vAlign w:val="center"/>
          </w:tcPr>
          <w:p w14:paraId="1C1DD639" w14:textId="77777777" w:rsidR="005A45B7" w:rsidRPr="001611DC" w:rsidRDefault="002B6324" w:rsidP="002B6324">
            <w:pPr>
              <w:pStyle w:val="TableText0"/>
              <w:jc w:val="center"/>
              <w:rPr>
                <w:rFonts w:eastAsia="Times New Roman"/>
                <w:b/>
                <w:bCs w:val="0"/>
                <w:szCs w:val="20"/>
              </w:rPr>
            </w:pPr>
            <w:r w:rsidRPr="001611DC">
              <w:rPr>
                <w:rFonts w:eastAsia="Times New Roman" w:cs="Calibri"/>
                <w:b/>
                <w:bCs w:val="0"/>
                <w:color w:val="000000"/>
                <w:szCs w:val="20"/>
              </w:rPr>
              <w:t>7</w:t>
            </w:r>
            <w:r w:rsidRPr="001611DC">
              <w:rPr>
                <w:rFonts w:eastAsia="Times New Roman"/>
                <w:b/>
                <w:bCs w:val="0"/>
                <w:szCs w:val="20"/>
              </w:rPr>
              <w:t xml:space="preserve">8.86 (57.60, 90.47) </w:t>
            </w:r>
          </w:p>
          <w:p w14:paraId="3BC23C17" w14:textId="6DEC363D" w:rsidR="002B6324" w:rsidRPr="001611DC" w:rsidRDefault="005A45B7" w:rsidP="002B6324">
            <w:pPr>
              <w:pStyle w:val="TableText0"/>
              <w:jc w:val="center"/>
              <w:rPr>
                <w:rFonts w:eastAsia="Times New Roman" w:cs="Calibri"/>
                <w:b/>
                <w:bCs w:val="0"/>
                <w:color w:val="000000"/>
                <w:szCs w:val="20"/>
              </w:rPr>
            </w:pPr>
            <w:r w:rsidRPr="001611DC">
              <w:rPr>
                <w:rFonts w:eastAsia="Times New Roman"/>
                <w:b/>
                <w:bCs w:val="0"/>
                <w:szCs w:val="20"/>
              </w:rPr>
              <w:t xml:space="preserve">P </w:t>
            </w:r>
            <w:r w:rsidR="002B6324" w:rsidRPr="001611DC">
              <w:rPr>
                <w:rFonts w:eastAsia="Times New Roman"/>
                <w:b/>
                <w:bCs w:val="0"/>
                <w:szCs w:val="20"/>
              </w:rPr>
              <w:t>&lt;0.0001</w:t>
            </w:r>
          </w:p>
        </w:tc>
      </w:tr>
      <w:tr w:rsidR="002B6324" w:rsidRPr="001611DC" w14:paraId="66299B53" w14:textId="77777777" w:rsidTr="00EB145B">
        <w:trPr>
          <w:tblHeader/>
        </w:trPr>
        <w:tc>
          <w:tcPr>
            <w:tcW w:w="9017" w:type="dxa"/>
            <w:gridSpan w:val="10"/>
          </w:tcPr>
          <w:p w14:paraId="73037197" w14:textId="1783F5E8" w:rsidR="002B6324" w:rsidRPr="001611DC" w:rsidRDefault="002B6324" w:rsidP="002B6324">
            <w:pPr>
              <w:pStyle w:val="TableText0"/>
              <w:rPr>
                <w:rFonts w:eastAsia="Times New Roman" w:cs="Calibri"/>
                <w:b/>
                <w:bCs w:val="0"/>
                <w:color w:val="000000"/>
                <w:szCs w:val="20"/>
              </w:rPr>
            </w:pPr>
            <w:r w:rsidRPr="001611DC">
              <w:rPr>
                <w:rFonts w:eastAsia="Times New Roman" w:cs="Calibri"/>
                <w:b/>
                <w:bCs w:val="0"/>
                <w:color w:val="000000"/>
                <w:szCs w:val="20"/>
              </w:rPr>
              <w:t>VE analysis 3 (single dose) – up to end of Season 2 NH – median follow-up time in mES = 17.8 months</w:t>
            </w:r>
          </w:p>
        </w:tc>
      </w:tr>
      <w:tr w:rsidR="002B6324" w:rsidRPr="001611DC" w14:paraId="3B18E869" w14:textId="77777777" w:rsidTr="005E4D91">
        <w:trPr>
          <w:tblHeader/>
        </w:trPr>
        <w:tc>
          <w:tcPr>
            <w:tcW w:w="1363" w:type="dxa"/>
          </w:tcPr>
          <w:p w14:paraId="6538A787" w14:textId="77777777" w:rsidR="002B6324" w:rsidRPr="001611DC" w:rsidRDefault="002B6324" w:rsidP="002B6324">
            <w:pPr>
              <w:pStyle w:val="TableText0"/>
            </w:pPr>
            <w:r w:rsidRPr="001611DC">
              <w:rPr>
                <w:rFonts w:eastAsia="Times New Roman" w:cs="Calibri"/>
                <w:color w:val="000000"/>
                <w:szCs w:val="20"/>
              </w:rPr>
              <w:t>RT-PCR-confirmed RSV-LRTD</w:t>
            </w:r>
          </w:p>
        </w:tc>
        <w:tc>
          <w:tcPr>
            <w:tcW w:w="878" w:type="dxa"/>
            <w:vAlign w:val="center"/>
          </w:tcPr>
          <w:p w14:paraId="497FC0DB" w14:textId="24442652"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2,469</w:t>
            </w:r>
            <w:r w:rsidRPr="001611DC">
              <w:rPr>
                <w:rFonts w:eastAsia="Times New Roman"/>
                <w:color w:val="000000"/>
                <w:szCs w:val="20"/>
                <w:vertAlign w:val="superscript"/>
              </w:rPr>
              <w:t>c</w:t>
            </w:r>
          </w:p>
        </w:tc>
        <w:tc>
          <w:tcPr>
            <w:tcW w:w="589" w:type="dxa"/>
            <w:vAlign w:val="center"/>
          </w:tcPr>
          <w:p w14:paraId="45167118"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3</w:t>
            </w:r>
            <w:r w:rsidRPr="001611DC">
              <w:rPr>
                <w:rFonts w:eastAsia="Times New Roman"/>
                <w:color w:val="000000"/>
                <w:szCs w:val="20"/>
              </w:rPr>
              <w:t>0</w:t>
            </w:r>
          </w:p>
        </w:tc>
        <w:tc>
          <w:tcPr>
            <w:tcW w:w="1058" w:type="dxa"/>
            <w:vAlign w:val="center"/>
          </w:tcPr>
          <w:p w14:paraId="08FD6FE7" w14:textId="77777777" w:rsidR="002B6324" w:rsidRPr="001611DC" w:rsidRDefault="002B6324" w:rsidP="002B6324">
            <w:pPr>
              <w:pStyle w:val="TableText0"/>
              <w:jc w:val="center"/>
              <w:rPr>
                <w:rFonts w:eastAsia="Times New Roman" w:cs="Calibri"/>
                <w:color w:val="000000"/>
                <w:szCs w:val="20"/>
              </w:rPr>
            </w:pPr>
            <w:r w:rsidRPr="001611DC">
              <w:rPr>
                <w:szCs w:val="20"/>
              </w:rPr>
              <w:t>14,662.6</w:t>
            </w:r>
          </w:p>
        </w:tc>
        <w:tc>
          <w:tcPr>
            <w:tcW w:w="750" w:type="dxa"/>
            <w:vAlign w:val="center"/>
          </w:tcPr>
          <w:p w14:paraId="7DBA9DA6"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2</w:t>
            </w:r>
            <w:r w:rsidRPr="001611DC">
              <w:rPr>
                <w:rFonts w:eastAsia="Times New Roman"/>
                <w:color w:val="000000"/>
                <w:szCs w:val="20"/>
              </w:rPr>
              <w:t>.0</w:t>
            </w:r>
          </w:p>
        </w:tc>
        <w:tc>
          <w:tcPr>
            <w:tcW w:w="718" w:type="dxa"/>
            <w:vAlign w:val="center"/>
          </w:tcPr>
          <w:p w14:paraId="7B3ED400"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2,498</w:t>
            </w:r>
          </w:p>
        </w:tc>
        <w:tc>
          <w:tcPr>
            <w:tcW w:w="490" w:type="dxa"/>
            <w:vAlign w:val="center"/>
          </w:tcPr>
          <w:p w14:paraId="3457F704"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39</w:t>
            </w:r>
          </w:p>
        </w:tc>
        <w:tc>
          <w:tcPr>
            <w:tcW w:w="912" w:type="dxa"/>
            <w:vAlign w:val="center"/>
          </w:tcPr>
          <w:p w14:paraId="2DAC2766"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7,269.0</w:t>
            </w:r>
          </w:p>
        </w:tc>
        <w:tc>
          <w:tcPr>
            <w:tcW w:w="772" w:type="dxa"/>
            <w:vAlign w:val="center"/>
          </w:tcPr>
          <w:p w14:paraId="407050D1"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8</w:t>
            </w:r>
            <w:r w:rsidRPr="001611DC">
              <w:rPr>
                <w:rFonts w:eastAsia="Times New Roman"/>
                <w:color w:val="000000"/>
                <w:szCs w:val="20"/>
              </w:rPr>
              <w:t>.0</w:t>
            </w:r>
          </w:p>
        </w:tc>
        <w:tc>
          <w:tcPr>
            <w:tcW w:w="1487" w:type="dxa"/>
            <w:vAlign w:val="center"/>
          </w:tcPr>
          <w:p w14:paraId="104A667B" w14:textId="66D3A16C" w:rsidR="005A45B7" w:rsidRPr="001611DC" w:rsidRDefault="002B6324" w:rsidP="002B6324">
            <w:pPr>
              <w:keepNext/>
              <w:jc w:val="center"/>
              <w:rPr>
                <w:rFonts w:ascii="Arial Narrow" w:hAnsi="Arial Narrow"/>
                <w:b/>
                <w:bCs/>
                <w:color w:val="000000"/>
                <w:sz w:val="20"/>
                <w:szCs w:val="20"/>
              </w:rPr>
            </w:pPr>
            <w:r w:rsidRPr="001611DC">
              <w:rPr>
                <w:rFonts w:ascii="Arial Narrow" w:hAnsi="Arial Narrow" w:cs="Calibri"/>
                <w:b/>
                <w:bCs/>
                <w:color w:val="000000"/>
                <w:sz w:val="20"/>
                <w:szCs w:val="20"/>
              </w:rPr>
              <w:t>67.18 (48.19, 80.04)</w:t>
            </w:r>
            <w:r w:rsidRPr="001611DC">
              <w:rPr>
                <w:rFonts w:ascii="Arial Narrow" w:hAnsi="Arial Narrow"/>
                <w:b/>
                <w:bCs/>
                <w:color w:val="000000"/>
                <w:sz w:val="20"/>
                <w:szCs w:val="20"/>
              </w:rPr>
              <w:t xml:space="preserve"> </w:t>
            </w:r>
          </w:p>
          <w:p w14:paraId="2FD936D2" w14:textId="277160C2" w:rsidR="002B6324" w:rsidRPr="001611DC" w:rsidRDefault="005A45B7" w:rsidP="002B6324">
            <w:pPr>
              <w:keepNext/>
              <w:jc w:val="center"/>
              <w:rPr>
                <w:rFonts w:ascii="Arial Narrow" w:hAnsi="Arial Narrow"/>
                <w:b/>
                <w:bCs/>
                <w:color w:val="000000"/>
                <w:sz w:val="20"/>
                <w:szCs w:val="20"/>
              </w:rPr>
            </w:pPr>
            <w:r w:rsidRPr="001611DC">
              <w:rPr>
                <w:rFonts w:ascii="Arial Narrow" w:hAnsi="Arial Narrow"/>
                <w:b/>
                <w:bCs/>
                <w:color w:val="000000"/>
                <w:sz w:val="20"/>
                <w:szCs w:val="20"/>
              </w:rPr>
              <w:t xml:space="preserve">P </w:t>
            </w:r>
            <w:r w:rsidR="002B6324" w:rsidRPr="001611DC">
              <w:rPr>
                <w:rFonts w:ascii="Arial Narrow" w:hAnsi="Arial Narrow"/>
                <w:b/>
                <w:bCs/>
                <w:color w:val="000000"/>
                <w:sz w:val="20"/>
                <w:szCs w:val="20"/>
              </w:rPr>
              <w:t>&lt;0.0001</w:t>
            </w:r>
          </w:p>
        </w:tc>
      </w:tr>
      <w:tr w:rsidR="002B6324" w:rsidRPr="001611DC" w14:paraId="14FBD90C" w14:textId="77777777" w:rsidTr="00EB145B">
        <w:trPr>
          <w:tblHeader/>
        </w:trPr>
        <w:tc>
          <w:tcPr>
            <w:tcW w:w="9017" w:type="dxa"/>
            <w:gridSpan w:val="10"/>
          </w:tcPr>
          <w:p w14:paraId="4598E0FB" w14:textId="360FAAD2" w:rsidR="002B6324" w:rsidRPr="001611DC" w:rsidRDefault="002B6324" w:rsidP="002B6324">
            <w:pPr>
              <w:pStyle w:val="TableText0"/>
              <w:rPr>
                <w:b/>
              </w:rPr>
            </w:pPr>
            <w:r w:rsidRPr="001611DC">
              <w:rPr>
                <w:b/>
              </w:rPr>
              <w:t>VE analysis 3 (revaccination group) – up to end of Season 2 NH – median follow-up time in mES = 17.8 months</w:t>
            </w:r>
          </w:p>
        </w:tc>
      </w:tr>
      <w:tr w:rsidR="002B6324" w:rsidRPr="001611DC" w14:paraId="2CF04CC9" w14:textId="77777777" w:rsidTr="005E4D91">
        <w:trPr>
          <w:tblHeader/>
        </w:trPr>
        <w:tc>
          <w:tcPr>
            <w:tcW w:w="1363" w:type="dxa"/>
          </w:tcPr>
          <w:p w14:paraId="1CC26F5D" w14:textId="77777777" w:rsidR="002B6324" w:rsidRPr="001611DC" w:rsidRDefault="002B6324" w:rsidP="002B6324">
            <w:pPr>
              <w:pStyle w:val="TableText0"/>
              <w:rPr>
                <w:rFonts w:eastAsia="Times New Roman" w:cs="Calibri"/>
                <w:color w:val="000000"/>
                <w:szCs w:val="20"/>
              </w:rPr>
            </w:pPr>
            <w:r w:rsidRPr="001611DC">
              <w:rPr>
                <w:rFonts w:eastAsia="Times New Roman" w:cs="Calibri"/>
                <w:color w:val="000000"/>
                <w:szCs w:val="20"/>
              </w:rPr>
              <w:t>RT-PCR-confirmed RSV-LRTD</w:t>
            </w:r>
          </w:p>
        </w:tc>
        <w:tc>
          <w:tcPr>
            <w:tcW w:w="878" w:type="dxa"/>
            <w:vAlign w:val="center"/>
          </w:tcPr>
          <w:p w14:paraId="6A36F9A1" w14:textId="657EE779"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2,469</w:t>
            </w:r>
            <w:r w:rsidRPr="001611DC">
              <w:rPr>
                <w:rFonts w:eastAsia="Times New Roman"/>
                <w:color w:val="000000"/>
                <w:szCs w:val="20"/>
                <w:vertAlign w:val="superscript"/>
              </w:rPr>
              <w:t>d</w:t>
            </w:r>
          </w:p>
        </w:tc>
        <w:tc>
          <w:tcPr>
            <w:tcW w:w="589" w:type="dxa"/>
            <w:vAlign w:val="center"/>
          </w:tcPr>
          <w:p w14:paraId="5A139431"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3</w:t>
            </w:r>
            <w:r w:rsidRPr="001611DC">
              <w:rPr>
                <w:rFonts w:eastAsia="Times New Roman"/>
                <w:color w:val="000000"/>
                <w:szCs w:val="20"/>
              </w:rPr>
              <w:t>0</w:t>
            </w:r>
          </w:p>
        </w:tc>
        <w:tc>
          <w:tcPr>
            <w:tcW w:w="1058" w:type="dxa"/>
            <w:vAlign w:val="center"/>
          </w:tcPr>
          <w:p w14:paraId="3C28FB8F"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4,660.5</w:t>
            </w:r>
          </w:p>
        </w:tc>
        <w:tc>
          <w:tcPr>
            <w:tcW w:w="750" w:type="dxa"/>
            <w:vAlign w:val="center"/>
          </w:tcPr>
          <w:p w14:paraId="0B477C09"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2</w:t>
            </w:r>
            <w:r w:rsidRPr="001611DC">
              <w:rPr>
                <w:rFonts w:eastAsia="Times New Roman"/>
                <w:color w:val="000000"/>
                <w:szCs w:val="20"/>
              </w:rPr>
              <w:t>.0</w:t>
            </w:r>
          </w:p>
        </w:tc>
        <w:tc>
          <w:tcPr>
            <w:tcW w:w="718" w:type="dxa"/>
            <w:vAlign w:val="center"/>
          </w:tcPr>
          <w:p w14:paraId="506E2C00"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2,498</w:t>
            </w:r>
          </w:p>
        </w:tc>
        <w:tc>
          <w:tcPr>
            <w:tcW w:w="490" w:type="dxa"/>
            <w:vAlign w:val="center"/>
          </w:tcPr>
          <w:p w14:paraId="2D9AE7D3"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39</w:t>
            </w:r>
          </w:p>
        </w:tc>
        <w:tc>
          <w:tcPr>
            <w:tcW w:w="912" w:type="dxa"/>
            <w:vAlign w:val="center"/>
          </w:tcPr>
          <w:p w14:paraId="2ABC4BBE"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7,269.0</w:t>
            </w:r>
          </w:p>
        </w:tc>
        <w:tc>
          <w:tcPr>
            <w:tcW w:w="772" w:type="dxa"/>
            <w:vAlign w:val="center"/>
          </w:tcPr>
          <w:p w14:paraId="14B27372" w14:textId="77777777"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8</w:t>
            </w:r>
            <w:r w:rsidRPr="001611DC">
              <w:rPr>
                <w:rFonts w:eastAsia="Times New Roman"/>
                <w:color w:val="000000"/>
                <w:szCs w:val="20"/>
              </w:rPr>
              <w:t>.0</w:t>
            </w:r>
          </w:p>
        </w:tc>
        <w:tc>
          <w:tcPr>
            <w:tcW w:w="1487" w:type="dxa"/>
            <w:vAlign w:val="center"/>
          </w:tcPr>
          <w:p w14:paraId="5D46F032" w14:textId="77777777" w:rsidR="005A45B7" w:rsidRPr="001611DC" w:rsidRDefault="002B6324" w:rsidP="002B6324">
            <w:pPr>
              <w:keepNext/>
              <w:jc w:val="center"/>
              <w:rPr>
                <w:rFonts w:ascii="Arial Narrow" w:hAnsi="Arial Narrow"/>
                <w:b/>
                <w:bCs/>
                <w:color w:val="000000"/>
                <w:sz w:val="20"/>
                <w:szCs w:val="20"/>
              </w:rPr>
            </w:pPr>
            <w:r w:rsidRPr="001611DC">
              <w:rPr>
                <w:rFonts w:ascii="Arial Narrow" w:hAnsi="Arial Narrow" w:cs="Calibri"/>
                <w:b/>
                <w:bCs/>
                <w:color w:val="000000"/>
                <w:sz w:val="20"/>
                <w:szCs w:val="20"/>
              </w:rPr>
              <w:t>6</w:t>
            </w:r>
            <w:r w:rsidRPr="001611DC">
              <w:rPr>
                <w:rFonts w:ascii="Arial Narrow" w:hAnsi="Arial Narrow"/>
                <w:b/>
                <w:bCs/>
                <w:color w:val="000000"/>
                <w:sz w:val="20"/>
                <w:szCs w:val="20"/>
              </w:rPr>
              <w:t xml:space="preserve">7.12 (48.09, 80.00) </w:t>
            </w:r>
          </w:p>
          <w:p w14:paraId="1D039177" w14:textId="4A1B4518" w:rsidR="002B6324" w:rsidRPr="001611DC" w:rsidRDefault="005A45B7" w:rsidP="002B6324">
            <w:pPr>
              <w:keepNext/>
              <w:jc w:val="center"/>
              <w:rPr>
                <w:rFonts w:ascii="Arial Narrow" w:hAnsi="Arial Narrow" w:cs="Calibri"/>
                <w:color w:val="000000"/>
                <w:sz w:val="20"/>
                <w:szCs w:val="20"/>
              </w:rPr>
            </w:pPr>
            <w:r w:rsidRPr="001611DC">
              <w:rPr>
                <w:rFonts w:ascii="Arial Narrow" w:hAnsi="Arial Narrow"/>
                <w:b/>
                <w:bCs/>
                <w:color w:val="000000"/>
                <w:sz w:val="20"/>
                <w:szCs w:val="20"/>
              </w:rPr>
              <w:t xml:space="preserve">P </w:t>
            </w:r>
            <w:r w:rsidR="002B6324" w:rsidRPr="001611DC">
              <w:rPr>
                <w:rFonts w:ascii="Arial Narrow" w:hAnsi="Arial Narrow"/>
                <w:b/>
                <w:bCs/>
                <w:color w:val="000000"/>
                <w:sz w:val="20"/>
                <w:szCs w:val="20"/>
              </w:rPr>
              <w:t>&lt;0.0001</w:t>
            </w:r>
          </w:p>
        </w:tc>
      </w:tr>
      <w:tr w:rsidR="002B6324" w:rsidRPr="001611DC" w14:paraId="64372DE6" w14:textId="77777777">
        <w:trPr>
          <w:tblHeader/>
        </w:trPr>
        <w:tc>
          <w:tcPr>
            <w:tcW w:w="9017" w:type="dxa"/>
            <w:gridSpan w:val="10"/>
          </w:tcPr>
          <w:p w14:paraId="333A7214" w14:textId="68C772FC" w:rsidR="002B6324" w:rsidRPr="001611DC" w:rsidRDefault="002B6324" w:rsidP="002B6324">
            <w:pPr>
              <w:keepNext/>
              <w:jc w:val="left"/>
              <w:rPr>
                <w:rFonts w:ascii="Arial Narrow" w:hAnsi="Arial Narrow" w:cs="Calibri"/>
                <w:b/>
                <w:color w:val="000000"/>
                <w:sz w:val="20"/>
                <w:szCs w:val="20"/>
              </w:rPr>
            </w:pPr>
            <w:r w:rsidRPr="001611DC">
              <w:rPr>
                <w:rFonts w:ascii="Arial Narrow" w:hAnsi="Arial Narrow" w:cs="Calibri"/>
                <w:b/>
                <w:color w:val="000000"/>
                <w:sz w:val="20"/>
                <w:szCs w:val="20"/>
              </w:rPr>
              <w:t>VE analysis 4 (single dose) – up to the end of Season 2 NH and SH, median follow-up time in mES = 23.3 months</w:t>
            </w:r>
          </w:p>
        </w:tc>
      </w:tr>
      <w:tr w:rsidR="002B6324" w:rsidRPr="001611DC" w14:paraId="5DC87E43" w14:textId="77777777" w:rsidTr="005E4D91">
        <w:trPr>
          <w:tblHeader/>
        </w:trPr>
        <w:tc>
          <w:tcPr>
            <w:tcW w:w="1363" w:type="dxa"/>
          </w:tcPr>
          <w:p w14:paraId="07C35EFC" w14:textId="26449946" w:rsidR="002B6324" w:rsidRPr="001611DC" w:rsidRDefault="002B6324" w:rsidP="002B6324">
            <w:pPr>
              <w:pStyle w:val="TableText0"/>
              <w:rPr>
                <w:rFonts w:eastAsia="Times New Roman" w:cs="Calibri"/>
                <w:color w:val="000000"/>
                <w:szCs w:val="20"/>
              </w:rPr>
            </w:pPr>
            <w:r w:rsidRPr="001611DC">
              <w:rPr>
                <w:rFonts w:eastAsia="Times New Roman" w:cs="Calibri"/>
                <w:color w:val="000000"/>
                <w:szCs w:val="20"/>
              </w:rPr>
              <w:t>RT-PCR-confirmed RSV-LRTD</w:t>
            </w:r>
          </w:p>
        </w:tc>
        <w:tc>
          <w:tcPr>
            <w:tcW w:w="878" w:type="dxa"/>
            <w:vAlign w:val="center"/>
          </w:tcPr>
          <w:p w14:paraId="6D1FA051" w14:textId="7DCEB631" w:rsidR="002B6324" w:rsidRPr="001611DC" w:rsidRDefault="002B6324" w:rsidP="002B6324">
            <w:pPr>
              <w:pStyle w:val="TableText0"/>
              <w:jc w:val="center"/>
              <w:rPr>
                <w:rFonts w:eastAsia="Times New Roman" w:cs="Calibri"/>
                <w:color w:val="000000"/>
                <w:szCs w:val="20"/>
              </w:rPr>
            </w:pPr>
            <w:r w:rsidRPr="001611DC">
              <w:t>12,468</w:t>
            </w:r>
          </w:p>
        </w:tc>
        <w:tc>
          <w:tcPr>
            <w:tcW w:w="589" w:type="dxa"/>
            <w:vAlign w:val="center"/>
          </w:tcPr>
          <w:p w14:paraId="71563B29" w14:textId="3DDA56BC" w:rsidR="002B6324" w:rsidRPr="001611DC" w:rsidRDefault="002B6324" w:rsidP="002B6324">
            <w:pPr>
              <w:pStyle w:val="TableText0"/>
              <w:jc w:val="center"/>
              <w:rPr>
                <w:rFonts w:eastAsia="Times New Roman" w:cs="Calibri"/>
                <w:color w:val="000000"/>
                <w:szCs w:val="20"/>
              </w:rPr>
            </w:pPr>
            <w:r w:rsidRPr="001611DC">
              <w:t>32</w:t>
            </w:r>
          </w:p>
        </w:tc>
        <w:tc>
          <w:tcPr>
            <w:tcW w:w="1058" w:type="dxa"/>
            <w:vAlign w:val="center"/>
          </w:tcPr>
          <w:p w14:paraId="142877ED" w14:textId="5BB22F5B"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n.r.</w:t>
            </w:r>
          </w:p>
        </w:tc>
        <w:tc>
          <w:tcPr>
            <w:tcW w:w="750" w:type="dxa"/>
            <w:vAlign w:val="center"/>
          </w:tcPr>
          <w:p w14:paraId="6F8D8574" w14:textId="48AE7F5D"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n.r.</w:t>
            </w:r>
          </w:p>
        </w:tc>
        <w:tc>
          <w:tcPr>
            <w:tcW w:w="718" w:type="dxa"/>
            <w:vAlign w:val="center"/>
          </w:tcPr>
          <w:p w14:paraId="2345A27C" w14:textId="4BD0619A" w:rsidR="002B6324" w:rsidRPr="001611DC" w:rsidRDefault="002B6324" w:rsidP="002B6324">
            <w:pPr>
              <w:pStyle w:val="TableText0"/>
              <w:jc w:val="center"/>
              <w:rPr>
                <w:rFonts w:eastAsia="Times New Roman" w:cs="Calibri"/>
                <w:color w:val="000000"/>
                <w:szCs w:val="20"/>
              </w:rPr>
            </w:pPr>
            <w:r w:rsidRPr="001611DC">
              <w:t>12,498</w:t>
            </w:r>
          </w:p>
        </w:tc>
        <w:tc>
          <w:tcPr>
            <w:tcW w:w="490" w:type="dxa"/>
            <w:vAlign w:val="center"/>
          </w:tcPr>
          <w:p w14:paraId="417745E4" w14:textId="3C57D5D3" w:rsidR="002B6324" w:rsidRPr="001611DC" w:rsidRDefault="002B6324" w:rsidP="002B6324">
            <w:pPr>
              <w:pStyle w:val="TableText0"/>
              <w:jc w:val="center"/>
              <w:rPr>
                <w:rFonts w:eastAsia="Times New Roman" w:cs="Calibri"/>
                <w:color w:val="000000"/>
                <w:szCs w:val="20"/>
              </w:rPr>
            </w:pPr>
            <w:r w:rsidRPr="001611DC">
              <w:t>154</w:t>
            </w:r>
          </w:p>
        </w:tc>
        <w:tc>
          <w:tcPr>
            <w:tcW w:w="912" w:type="dxa"/>
            <w:vAlign w:val="center"/>
          </w:tcPr>
          <w:p w14:paraId="17C10350" w14:textId="1703AB83"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n.r.</w:t>
            </w:r>
          </w:p>
        </w:tc>
        <w:tc>
          <w:tcPr>
            <w:tcW w:w="772" w:type="dxa"/>
            <w:vAlign w:val="center"/>
          </w:tcPr>
          <w:p w14:paraId="62A8D27A" w14:textId="02D781C8" w:rsidR="002B6324" w:rsidRPr="001611DC" w:rsidRDefault="002B6324" w:rsidP="002B6324">
            <w:pPr>
              <w:pStyle w:val="TableText0"/>
              <w:jc w:val="center"/>
              <w:rPr>
                <w:rFonts w:eastAsia="Times New Roman" w:cs="Calibri"/>
                <w:color w:val="000000"/>
                <w:szCs w:val="20"/>
              </w:rPr>
            </w:pPr>
            <w:r w:rsidRPr="001611DC">
              <w:rPr>
                <w:rFonts w:eastAsia="Times New Roman" w:cs="Calibri"/>
                <w:color w:val="000000"/>
                <w:szCs w:val="20"/>
              </w:rPr>
              <w:t>n.r.</w:t>
            </w:r>
          </w:p>
        </w:tc>
        <w:tc>
          <w:tcPr>
            <w:tcW w:w="1487" w:type="dxa"/>
            <w:vAlign w:val="center"/>
          </w:tcPr>
          <w:p w14:paraId="29F016AC" w14:textId="77777777" w:rsidR="002B6324" w:rsidRPr="001611DC" w:rsidRDefault="002B6324" w:rsidP="002B6324">
            <w:pPr>
              <w:keepNext/>
              <w:jc w:val="center"/>
              <w:rPr>
                <w:rFonts w:ascii="Arial Narrow" w:hAnsi="Arial Narrow"/>
                <w:b/>
                <w:bCs/>
                <w:sz w:val="20"/>
              </w:rPr>
            </w:pPr>
            <w:r w:rsidRPr="001611DC">
              <w:rPr>
                <w:rFonts w:ascii="Arial Narrow" w:hAnsi="Arial Narrow"/>
                <w:b/>
                <w:bCs/>
                <w:sz w:val="20"/>
              </w:rPr>
              <w:t>67.7 (52.3, 78.7)</w:t>
            </w:r>
          </w:p>
          <w:p w14:paraId="019F77ED" w14:textId="04682935" w:rsidR="002B6324" w:rsidRPr="001611DC" w:rsidRDefault="003A6EA8" w:rsidP="002B6324">
            <w:pPr>
              <w:keepNext/>
              <w:jc w:val="center"/>
              <w:rPr>
                <w:rFonts w:ascii="Arial Narrow" w:hAnsi="Arial Narrow" w:cs="Calibri"/>
                <w:b/>
                <w:bCs/>
                <w:color w:val="000000"/>
                <w:sz w:val="20"/>
                <w:szCs w:val="20"/>
              </w:rPr>
            </w:pPr>
            <w:r w:rsidRPr="001611DC">
              <w:rPr>
                <w:rFonts w:ascii="Arial Narrow" w:hAnsi="Arial Narrow"/>
                <w:sz w:val="20"/>
              </w:rPr>
              <w:t xml:space="preserve">P </w:t>
            </w:r>
            <w:r w:rsidR="002B6324" w:rsidRPr="001611DC">
              <w:rPr>
                <w:rFonts w:ascii="Arial Narrow" w:hAnsi="Arial Narrow"/>
                <w:sz w:val="20"/>
              </w:rPr>
              <w:t>n.r.</w:t>
            </w:r>
          </w:p>
        </w:tc>
      </w:tr>
    </w:tbl>
    <w:p w14:paraId="19BE8A99" w14:textId="6CB433BB" w:rsidR="009263AC" w:rsidRPr="001611DC" w:rsidRDefault="009263AC" w:rsidP="009263AC">
      <w:pPr>
        <w:pStyle w:val="FooterTableFigure"/>
        <w:keepNext/>
      </w:pPr>
      <w:r w:rsidRPr="001611DC">
        <w:t>Source: Table 2-20,; Table 2-21, 3 of the submission</w:t>
      </w:r>
      <w:r w:rsidR="00F43AE1" w:rsidRPr="001611DC">
        <w:t>, PSCR Table 2 and text,</w:t>
      </w:r>
      <w:r w:rsidRPr="001611DC">
        <w:t>.</w:t>
      </w:r>
    </w:p>
    <w:p w14:paraId="3DD7BF50" w14:textId="2172FC08" w:rsidR="009263AC" w:rsidRPr="001611DC" w:rsidRDefault="009263AC" w:rsidP="009263AC">
      <w:pPr>
        <w:pStyle w:val="FooterTableFigure"/>
        <w:keepNext/>
      </w:pPr>
      <w:r w:rsidRPr="001611DC">
        <w:t xml:space="preserve">CI = confidence interval; LRTD = lower respiratory tract disease; mES = modified exposed set; N = number of participants; n = number of participants with at least one RT-PCR confirmed RSV-LRTD; NH = Northern Hemisphere; </w:t>
      </w:r>
      <w:r w:rsidR="00F43AE1" w:rsidRPr="001611DC">
        <w:t xml:space="preserve">n.r. not reported; </w:t>
      </w:r>
      <w:r w:rsidRPr="001611DC">
        <w:t xml:space="preserve">n/T (per 1000) = incidence rate of participants reporting at least one event; RSV = respiratory syncytial virus; RSVPreF3 OA = RSV pre-fusion protein 3 older adult; RT-PCR = reverse transcription-polymerase chain reaction; SH = southern hemisphere; T (year) = sum of follow-up time (from Day 15 post-vaccination until first occurrence of the event or until the efficacy data lock point or until drop-out date) expressed in years; VE = vaccine efficacy. </w:t>
      </w:r>
    </w:p>
    <w:p w14:paraId="78AF3323" w14:textId="56A95840" w:rsidR="0066228C" w:rsidRPr="001611DC" w:rsidRDefault="007724C1" w:rsidP="009263AC">
      <w:pPr>
        <w:pStyle w:val="FooterTableFigure"/>
        <w:rPr>
          <w:rFonts w:eastAsia="Calibri"/>
          <w:szCs w:val="18"/>
        </w:rPr>
      </w:pPr>
      <w:bookmarkStart w:id="56" w:name="_Hlk165639689"/>
      <w:r w:rsidRPr="001611DC">
        <w:rPr>
          <w:rFonts w:eastAsia="Calibri"/>
          <w:szCs w:val="18"/>
        </w:rPr>
        <w:t xml:space="preserve">a </w:t>
      </w:r>
      <w:r w:rsidR="0066228C" w:rsidRPr="001611DC">
        <w:rPr>
          <w:rFonts w:cs="Calibri"/>
          <w:color w:val="000000"/>
          <w:szCs w:val="24"/>
          <w:shd w:val="clear" w:color="auto" w:fill="FFFFFF"/>
        </w:rPr>
        <w:t xml:space="preserve">In efficacy analysis over 2 RSV seasons, </w:t>
      </w:r>
      <w:r w:rsidR="0066228C" w:rsidRPr="001611DC">
        <w:rPr>
          <w:rFonts w:eastAsia="Calibri"/>
          <w:szCs w:val="18"/>
        </w:rPr>
        <w:t>p</w:t>
      </w:r>
      <w:r w:rsidR="009263AC" w:rsidRPr="001611DC">
        <w:rPr>
          <w:rFonts w:eastAsia="Calibri"/>
          <w:szCs w:val="18"/>
        </w:rPr>
        <w:t>respecified secondary efficacy analyses included season as a covariate</w:t>
      </w:r>
      <w:r w:rsidR="0066228C" w:rsidRPr="001611DC">
        <w:rPr>
          <w:rFonts w:eastAsia="Calibri"/>
          <w:szCs w:val="18"/>
        </w:rPr>
        <w:t xml:space="preserve"> </w:t>
      </w:r>
      <w:r w:rsidR="0066228C" w:rsidRPr="001611DC">
        <w:rPr>
          <w:rFonts w:cs="Calibri"/>
          <w:color w:val="000000"/>
          <w:szCs w:val="24"/>
          <w:shd w:val="clear" w:color="auto" w:fill="FFFFFF"/>
        </w:rPr>
        <w:t>to account for differences between seasons.</w:t>
      </w:r>
    </w:p>
    <w:p w14:paraId="78AF181D" w14:textId="6C738551" w:rsidR="009263AC" w:rsidRPr="001611DC" w:rsidRDefault="007724C1" w:rsidP="009263AC">
      <w:pPr>
        <w:pStyle w:val="FooterTableFigure"/>
        <w:keepNext/>
        <w:rPr>
          <w:iCs/>
        </w:rPr>
      </w:pPr>
      <w:r w:rsidRPr="001611DC">
        <w:t xml:space="preserve">b </w:t>
      </w:r>
      <w:r w:rsidR="00C741EA" w:rsidRPr="001611DC">
        <w:rPr>
          <w:rFonts w:eastAsia="Calibri"/>
          <w:szCs w:val="18"/>
        </w:rPr>
        <w:t xml:space="preserve">VE analysis 1 = 96.95%, </w:t>
      </w:r>
      <w:r w:rsidR="009263AC" w:rsidRPr="001611DC">
        <w:t xml:space="preserve">VE analysis </w:t>
      </w:r>
      <w:bookmarkEnd w:id="56"/>
      <w:r w:rsidR="009263AC" w:rsidRPr="001611DC">
        <w:t>2 = 95% CI and VE analysis 3 = 97.5% CI</w:t>
      </w:r>
      <w:r w:rsidR="002E52FD" w:rsidRPr="001611DC">
        <w:t>; VE analysis 4 = 95% CI</w:t>
      </w:r>
      <w:r w:rsidR="009263AC" w:rsidRPr="001611DC">
        <w:t>.</w:t>
      </w:r>
    </w:p>
    <w:p w14:paraId="703D18C1" w14:textId="7F6C4C94" w:rsidR="009263AC" w:rsidRPr="001611DC" w:rsidRDefault="007724C1" w:rsidP="009263AC">
      <w:pPr>
        <w:pStyle w:val="FooterTableFigure"/>
        <w:keepNext/>
      </w:pPr>
      <w:r w:rsidRPr="001611DC">
        <w:t xml:space="preserve">c </w:t>
      </w:r>
      <w:r w:rsidR="009263AC" w:rsidRPr="001611DC">
        <w:t xml:space="preserve">For single dose evaluation participants who received RSVPreF3 OA investigational vaccine at Dose 2 (revaccination group) were censored at Dose 2. </w:t>
      </w:r>
    </w:p>
    <w:p w14:paraId="72EB86A4" w14:textId="67DD1F7E" w:rsidR="009263AC" w:rsidRPr="001611DC" w:rsidRDefault="007724C1" w:rsidP="009263AC">
      <w:pPr>
        <w:pStyle w:val="FooterTableFigure"/>
        <w:keepNext/>
      </w:pPr>
      <w:r w:rsidRPr="001611DC">
        <w:t xml:space="preserve">d </w:t>
      </w:r>
      <w:r w:rsidR="009263AC" w:rsidRPr="001611DC">
        <w:t>For revaccination dose evaluation participants who received placebo at Dose 2 (single dose group) were censored at Dose 2.</w:t>
      </w:r>
    </w:p>
    <w:p w14:paraId="50993C63" w14:textId="77777777" w:rsidR="009263AC" w:rsidRPr="001611DC" w:rsidRDefault="009263AC" w:rsidP="009263AC">
      <w:pPr>
        <w:pStyle w:val="FooterTableFigure"/>
        <w:keepNext/>
      </w:pPr>
      <w:r w:rsidRPr="001611DC">
        <w:t xml:space="preserve">At the time of VE analysis 2, a valid informed consent form had been obtained for 7 out of the 15 participants excluded at VE analysis 1, and therefore the number of participants in the exposed set is higher than VE analysis 1. </w:t>
      </w:r>
    </w:p>
    <w:p w14:paraId="21AE70B7" w14:textId="77777777" w:rsidR="009263AC" w:rsidRPr="001611DC" w:rsidRDefault="009263AC" w:rsidP="00844F2C">
      <w:pPr>
        <w:pStyle w:val="FooterTableFigure"/>
      </w:pPr>
      <w:r w:rsidRPr="001611DC">
        <w:rPr>
          <w:b/>
          <w:bCs/>
        </w:rPr>
        <w:t>Bold</w:t>
      </w:r>
      <w:r w:rsidRPr="001611DC">
        <w:t xml:space="preserve"> indicates statistically significant.</w:t>
      </w:r>
    </w:p>
    <w:p w14:paraId="1C60B90A" w14:textId="02C9981C" w:rsidR="00067361" w:rsidRPr="001611DC" w:rsidRDefault="009263AC" w:rsidP="004379A9">
      <w:pPr>
        <w:pStyle w:val="3-BodyText"/>
        <w:keepNext/>
      </w:pPr>
      <w:r w:rsidRPr="001611DC">
        <w:rPr>
          <w:bCs/>
        </w:rPr>
        <w:t xml:space="preserve">The submission presented </w:t>
      </w:r>
      <w:r w:rsidR="005E1B5D" w:rsidRPr="001611DC">
        <w:rPr>
          <w:bCs/>
        </w:rPr>
        <w:t>post</w:t>
      </w:r>
      <w:r w:rsidR="00026775" w:rsidRPr="001611DC">
        <w:rPr>
          <w:bCs/>
        </w:rPr>
        <w:noBreakHyphen/>
      </w:r>
      <w:r w:rsidR="005E1B5D" w:rsidRPr="001611DC">
        <w:rPr>
          <w:bCs/>
        </w:rPr>
        <w:t>hoc</w:t>
      </w:r>
      <w:r w:rsidRPr="001611DC">
        <w:rPr>
          <w:bCs/>
        </w:rPr>
        <w:t xml:space="preserve"> VE analyses without season as covariate (prespecified analysis included season as covariate). The VE of a single dose of RSVPreF3 OA against first occurrence of RT-PCR confirmed RSV-LRTD from VE analysis</w:t>
      </w:r>
      <w:r w:rsidR="002B6324" w:rsidRPr="001611DC">
        <w:rPr>
          <w:bCs/>
        </w:rPr>
        <w:t> </w:t>
      </w:r>
      <w:r w:rsidRPr="001611DC">
        <w:rPr>
          <w:bCs/>
        </w:rPr>
        <w:t xml:space="preserve">3 was higher compared to the pre-specified analysis: 74.5% (95% CI: 60.0%, 84.5%) versus 67.2% (95% CI: 48.2%, 80.0%). The submission stated that the efficacy of RSVPreF3 OA was driven by the season with the largest person-years of follow-up (Season 1) and therefore efficacy estimates were higher in the </w:t>
      </w:r>
      <w:r w:rsidR="005E1B5D" w:rsidRPr="001611DC">
        <w:rPr>
          <w:bCs/>
        </w:rPr>
        <w:t>post hoc</w:t>
      </w:r>
      <w:r w:rsidRPr="001611DC">
        <w:rPr>
          <w:bCs/>
        </w:rPr>
        <w:t xml:space="preserve"> analysis than the prespecified analysis.</w:t>
      </w:r>
    </w:p>
    <w:p w14:paraId="22B069E7" w14:textId="36B338B9" w:rsidR="00053F46" w:rsidRPr="001611DC" w:rsidRDefault="009263AC" w:rsidP="004379A9">
      <w:pPr>
        <w:pStyle w:val="3-BodyText"/>
        <w:keepNext/>
      </w:pPr>
      <w:r w:rsidRPr="001611DC">
        <w:rPr>
          <w:snapToGrid/>
        </w:rPr>
        <w:t>At VE analysis 3</w:t>
      </w:r>
      <w:r w:rsidR="002B6324" w:rsidRPr="001611DC">
        <w:rPr>
          <w:snapToGrid/>
        </w:rPr>
        <w:t xml:space="preserve"> (single dose)</w:t>
      </w:r>
      <w:r w:rsidRPr="001611DC">
        <w:rPr>
          <w:snapToGrid/>
        </w:rPr>
        <w:t>, RSVPreF3 OA demonstrated a lower efficacy in protecting participants from RT-PCR confirmed RSV-ARI (</w:t>
      </w:r>
      <w:r w:rsidRPr="001611DC">
        <w:rPr>
          <w:snapToGrid/>
        </w:rPr>
        <w:fldChar w:fldCharType="begin" w:fldLock="1"/>
      </w:r>
      <w:r w:rsidRPr="001611DC">
        <w:rPr>
          <w:snapToGrid/>
        </w:rPr>
        <w:instrText xml:space="preserve"> REF _Ref166753498 \h </w:instrText>
      </w:r>
      <w:r w:rsidRPr="001611DC">
        <w:rPr>
          <w:snapToGrid/>
        </w:rPr>
      </w:r>
      <w:r w:rsidRPr="001611DC">
        <w:rPr>
          <w:snapToGrid/>
        </w:rPr>
        <w:fldChar w:fldCharType="separate"/>
      </w:r>
      <w:r w:rsidR="00927933" w:rsidRPr="001611DC">
        <w:t>Table 7</w:t>
      </w:r>
      <w:r w:rsidRPr="001611DC">
        <w:rPr>
          <w:snapToGrid/>
        </w:rPr>
        <w:fldChar w:fldCharType="end"/>
      </w:r>
      <w:r w:rsidRPr="001611DC">
        <w:rPr>
          <w:snapToGrid/>
        </w:rPr>
        <w:t xml:space="preserve">) compared to RT-PCR </w:t>
      </w:r>
      <w:r w:rsidRPr="001611DC">
        <w:rPr>
          <w:snapToGrid/>
        </w:rPr>
        <w:lastRenderedPageBreak/>
        <w:t>confirmed RSV</w:t>
      </w:r>
      <w:r w:rsidRPr="001611DC">
        <w:rPr>
          <w:snapToGrid/>
        </w:rPr>
        <w:noBreakHyphen/>
        <w:t>LRTD (52.74% vs 67.18% for VE analysis 3). RSVPreF3 OA was also more efficacious in protecting participants against severe RSV-confirmed LRTD (</w:t>
      </w:r>
      <w:r w:rsidRPr="001611DC">
        <w:rPr>
          <w:snapToGrid/>
        </w:rPr>
        <w:fldChar w:fldCharType="begin" w:fldLock="1"/>
      </w:r>
      <w:r w:rsidRPr="001611DC">
        <w:rPr>
          <w:snapToGrid/>
        </w:rPr>
        <w:instrText xml:space="preserve"> REF _Ref166753498 \h </w:instrText>
      </w:r>
      <w:r w:rsidRPr="001611DC">
        <w:rPr>
          <w:snapToGrid/>
        </w:rPr>
      </w:r>
      <w:r w:rsidRPr="001611DC">
        <w:rPr>
          <w:snapToGrid/>
        </w:rPr>
        <w:fldChar w:fldCharType="separate"/>
      </w:r>
      <w:r w:rsidR="00927933" w:rsidRPr="001611DC">
        <w:t>Table 7</w:t>
      </w:r>
      <w:r w:rsidRPr="001611DC">
        <w:rPr>
          <w:snapToGrid/>
        </w:rPr>
        <w:fldChar w:fldCharType="end"/>
      </w:r>
      <w:r w:rsidRPr="001611DC">
        <w:rPr>
          <w:snapToGrid/>
        </w:rPr>
        <w:t>) than all RT-PCR-confirmed RSV-LRTD (78.83% vs 67.18% for VE analysis 3). RSVPreF3 OA demonstrated similar efficacy in protecting participants from complications related to RT-PCR confirmed RSV-ARI (</w:t>
      </w:r>
      <w:r w:rsidRPr="001611DC">
        <w:rPr>
          <w:snapToGrid/>
        </w:rPr>
        <w:fldChar w:fldCharType="begin" w:fldLock="1"/>
      </w:r>
      <w:r w:rsidRPr="001611DC">
        <w:rPr>
          <w:snapToGrid/>
        </w:rPr>
        <w:instrText xml:space="preserve"> REF _Ref166753498 \h </w:instrText>
      </w:r>
      <w:r w:rsidRPr="001611DC">
        <w:rPr>
          <w:snapToGrid/>
        </w:rPr>
      </w:r>
      <w:r w:rsidRPr="001611DC">
        <w:rPr>
          <w:snapToGrid/>
        </w:rPr>
        <w:fldChar w:fldCharType="separate"/>
      </w:r>
      <w:r w:rsidR="00927933" w:rsidRPr="001611DC">
        <w:t>Table 7</w:t>
      </w:r>
      <w:r w:rsidRPr="001611DC">
        <w:rPr>
          <w:snapToGrid/>
        </w:rPr>
        <w:fldChar w:fldCharType="end"/>
      </w:r>
      <w:r w:rsidRPr="001611DC">
        <w:rPr>
          <w:snapToGrid/>
        </w:rPr>
        <w:t>) compared to RT-PCR confirmed RSV</w:t>
      </w:r>
      <w:r w:rsidRPr="001611DC">
        <w:rPr>
          <w:snapToGrid/>
        </w:rPr>
        <w:noBreakHyphen/>
        <w:t xml:space="preserve">LRTD (67.37% vs 67.18% for VE analysis 3). </w:t>
      </w:r>
      <w:r w:rsidRPr="001611DC">
        <w:t>The submission concluded that the VE against hospitalisation due to RT-PCR confirmed RSV could not be concluded due to the low number of cases reported (1 in the RSVPReF3 OA arm and 5 in the placebo arm in VE analysis 3).</w:t>
      </w:r>
    </w:p>
    <w:p w14:paraId="19FA389E" w14:textId="1C69320C" w:rsidR="009263AC" w:rsidRPr="001611DC" w:rsidRDefault="009263AC" w:rsidP="009263AC">
      <w:pPr>
        <w:pStyle w:val="Caption"/>
      </w:pPr>
      <w:bookmarkStart w:id="57" w:name="_Ref166753498"/>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7</w:t>
      </w:r>
      <w:r w:rsidR="005473CE" w:rsidRPr="001611DC">
        <w:fldChar w:fldCharType="end"/>
      </w:r>
      <w:bookmarkEnd w:id="57"/>
      <w:r w:rsidRPr="001611DC">
        <w:t xml:space="preserve">: VE of RSVPreF3 OA against first occurrence of RSV-ARI, severe RT-PCR confirmed LRTD, complications related to RT-PCR confirmed ARI and hospitalisations due to RT-PR confirmed RSV </w:t>
      </w:r>
      <w:r w:rsidRPr="001611DC">
        <w:rPr>
          <w:vertAlign w:val="superscript"/>
        </w:rPr>
        <w:t>a</w:t>
      </w:r>
      <w:r w:rsidRPr="001611DC">
        <w:t xml:space="preserve">, VE analysis 3, </w:t>
      </w:r>
      <w:r w:rsidR="00AF1DB4" w:rsidRPr="001611DC">
        <w:t>and VE analysis 4 (as reported in the PSCR</w:t>
      </w:r>
      <w:r w:rsidR="00D91288" w:rsidRPr="001611DC">
        <w:t>)</w:t>
      </w:r>
      <w:r w:rsidR="00AF1DB4" w:rsidRPr="001611DC">
        <w:t xml:space="preserve">, </w:t>
      </w:r>
      <w:r w:rsidRPr="001611DC">
        <w:t>mES</w:t>
      </w:r>
    </w:p>
    <w:tbl>
      <w:tblPr>
        <w:tblStyle w:val="TableGrid"/>
        <w:tblW w:w="5000" w:type="pct"/>
        <w:tblLook w:val="04A0" w:firstRow="1" w:lastRow="0" w:firstColumn="1" w:lastColumn="0" w:noHBand="0" w:noVBand="1"/>
        <w:tblCaption w:val="Table 7: VE of RSVPreF3 OA against first occurrence of RSV-ARI, severe RT-PCR confirmed LRTD, complications related to RT-PCR confirmed ARI and hospitalisations due to RT-PR confirmed RSV a, VE analysis 3, and VE analysis 4 (as reported in the PSCR), mES"/>
      </w:tblPr>
      <w:tblGrid>
        <w:gridCol w:w="1453"/>
        <w:gridCol w:w="790"/>
        <w:gridCol w:w="498"/>
        <w:gridCol w:w="1041"/>
        <w:gridCol w:w="788"/>
        <w:gridCol w:w="790"/>
        <w:gridCol w:w="564"/>
        <w:gridCol w:w="1041"/>
        <w:gridCol w:w="790"/>
        <w:gridCol w:w="1262"/>
      </w:tblGrid>
      <w:tr w:rsidR="009263AC" w:rsidRPr="001611DC" w14:paraId="091AE1FB" w14:textId="77777777" w:rsidTr="00053F46">
        <w:trPr>
          <w:tblHeader/>
        </w:trPr>
        <w:tc>
          <w:tcPr>
            <w:tcW w:w="806" w:type="pct"/>
            <w:vMerge w:val="restart"/>
          </w:tcPr>
          <w:p w14:paraId="2F5AC144" w14:textId="77777777" w:rsidR="009263AC" w:rsidRPr="001611DC" w:rsidRDefault="009263AC" w:rsidP="00EB145B">
            <w:pPr>
              <w:pStyle w:val="In-tableHeading"/>
              <w:rPr>
                <w:szCs w:val="20"/>
                <w:lang w:val="en-AU"/>
              </w:rPr>
            </w:pPr>
            <w:r w:rsidRPr="001611DC">
              <w:rPr>
                <w:szCs w:val="20"/>
                <w:lang w:val="en-AU"/>
              </w:rPr>
              <w:t>Endpoints</w:t>
            </w:r>
          </w:p>
        </w:tc>
        <w:tc>
          <w:tcPr>
            <w:tcW w:w="1728" w:type="pct"/>
            <w:gridSpan w:val="4"/>
            <w:vAlign w:val="center"/>
          </w:tcPr>
          <w:p w14:paraId="47B52C90" w14:textId="77777777" w:rsidR="009263AC" w:rsidRPr="001611DC" w:rsidRDefault="009263AC" w:rsidP="00EB145B">
            <w:pPr>
              <w:pStyle w:val="In-tableHeading"/>
              <w:jc w:val="center"/>
              <w:rPr>
                <w:szCs w:val="20"/>
                <w:lang w:val="en-AU"/>
              </w:rPr>
            </w:pPr>
            <w:r w:rsidRPr="001611DC">
              <w:rPr>
                <w:szCs w:val="20"/>
                <w:lang w:val="en-AU"/>
              </w:rPr>
              <w:t>RSVPreF3 OA</w:t>
            </w:r>
          </w:p>
        </w:tc>
        <w:tc>
          <w:tcPr>
            <w:tcW w:w="1766" w:type="pct"/>
            <w:gridSpan w:val="4"/>
            <w:vAlign w:val="center"/>
          </w:tcPr>
          <w:p w14:paraId="0C7B6882" w14:textId="77777777" w:rsidR="009263AC" w:rsidRPr="001611DC" w:rsidRDefault="009263AC" w:rsidP="00EB145B">
            <w:pPr>
              <w:pStyle w:val="In-tableHeading"/>
              <w:jc w:val="center"/>
              <w:rPr>
                <w:szCs w:val="20"/>
                <w:lang w:val="en-AU"/>
              </w:rPr>
            </w:pPr>
            <w:r w:rsidRPr="001611DC">
              <w:rPr>
                <w:szCs w:val="20"/>
                <w:lang w:val="en-AU"/>
              </w:rPr>
              <w:t>No vaccine</w:t>
            </w:r>
          </w:p>
        </w:tc>
        <w:tc>
          <w:tcPr>
            <w:tcW w:w="700" w:type="pct"/>
            <w:vMerge w:val="restart"/>
            <w:vAlign w:val="center"/>
          </w:tcPr>
          <w:p w14:paraId="7564EEAF" w14:textId="77777777" w:rsidR="009263AC" w:rsidRPr="001611DC" w:rsidRDefault="009263AC" w:rsidP="00EB145B">
            <w:pPr>
              <w:pStyle w:val="In-tableHeading"/>
              <w:jc w:val="center"/>
              <w:rPr>
                <w:szCs w:val="20"/>
                <w:lang w:val="en-AU"/>
              </w:rPr>
            </w:pPr>
            <w:r w:rsidRPr="001611DC">
              <w:rPr>
                <w:szCs w:val="20"/>
                <w:lang w:val="en-AU"/>
              </w:rPr>
              <w:t xml:space="preserve">VE % ( CI </w:t>
            </w:r>
            <w:r w:rsidRPr="001611DC">
              <w:rPr>
                <w:szCs w:val="20"/>
                <w:vertAlign w:val="superscript"/>
                <w:lang w:val="en-AU"/>
              </w:rPr>
              <w:t>b</w:t>
            </w:r>
            <w:r w:rsidRPr="001611DC">
              <w:rPr>
                <w:szCs w:val="20"/>
                <w:lang w:val="en-AU"/>
              </w:rPr>
              <w:t>)</w:t>
            </w:r>
          </w:p>
          <w:p w14:paraId="3C2596E7" w14:textId="77777777" w:rsidR="009263AC" w:rsidRPr="001611DC" w:rsidRDefault="009263AC" w:rsidP="00EB145B">
            <w:pPr>
              <w:pStyle w:val="In-tableHeading"/>
              <w:jc w:val="center"/>
              <w:rPr>
                <w:szCs w:val="20"/>
                <w:lang w:val="en-AU"/>
              </w:rPr>
            </w:pPr>
            <w:r w:rsidRPr="001611DC">
              <w:rPr>
                <w:szCs w:val="20"/>
                <w:lang w:val="en-AU"/>
              </w:rPr>
              <w:t>P-value</w:t>
            </w:r>
          </w:p>
        </w:tc>
      </w:tr>
      <w:tr w:rsidR="009263AC" w:rsidRPr="001611DC" w14:paraId="77EE2C85" w14:textId="77777777" w:rsidTr="00053F46">
        <w:tc>
          <w:tcPr>
            <w:tcW w:w="806" w:type="pct"/>
            <w:vMerge/>
          </w:tcPr>
          <w:p w14:paraId="675C074A" w14:textId="77777777" w:rsidR="009263AC" w:rsidRPr="001611DC" w:rsidRDefault="009263AC" w:rsidP="00EB145B">
            <w:pPr>
              <w:pStyle w:val="In-tableHeading"/>
              <w:rPr>
                <w:szCs w:val="20"/>
                <w:lang w:val="en-AU"/>
              </w:rPr>
            </w:pPr>
          </w:p>
        </w:tc>
        <w:tc>
          <w:tcPr>
            <w:tcW w:w="438" w:type="pct"/>
            <w:vAlign w:val="center"/>
          </w:tcPr>
          <w:p w14:paraId="5090890F" w14:textId="77777777" w:rsidR="009263AC" w:rsidRPr="001611DC" w:rsidRDefault="009263AC" w:rsidP="00EB145B">
            <w:pPr>
              <w:pStyle w:val="In-tableHeading"/>
              <w:jc w:val="center"/>
              <w:rPr>
                <w:szCs w:val="20"/>
                <w:lang w:val="en-AU"/>
              </w:rPr>
            </w:pPr>
            <w:r w:rsidRPr="001611DC">
              <w:rPr>
                <w:szCs w:val="20"/>
                <w:lang w:val="en-AU"/>
              </w:rPr>
              <w:t>N</w:t>
            </w:r>
          </w:p>
        </w:tc>
        <w:tc>
          <w:tcPr>
            <w:tcW w:w="276" w:type="pct"/>
            <w:vAlign w:val="center"/>
          </w:tcPr>
          <w:p w14:paraId="53E6E2DC" w14:textId="77777777" w:rsidR="009263AC" w:rsidRPr="001611DC" w:rsidRDefault="009263AC" w:rsidP="00EB145B">
            <w:pPr>
              <w:pStyle w:val="In-tableHeading"/>
              <w:jc w:val="center"/>
              <w:rPr>
                <w:szCs w:val="20"/>
                <w:lang w:val="en-AU"/>
              </w:rPr>
            </w:pPr>
            <w:r w:rsidRPr="001611DC">
              <w:rPr>
                <w:szCs w:val="20"/>
                <w:lang w:val="en-AU"/>
              </w:rPr>
              <w:t>n</w:t>
            </w:r>
          </w:p>
        </w:tc>
        <w:tc>
          <w:tcPr>
            <w:tcW w:w="577" w:type="pct"/>
            <w:vAlign w:val="center"/>
          </w:tcPr>
          <w:p w14:paraId="5B99E6AA" w14:textId="77777777" w:rsidR="009263AC" w:rsidRPr="001611DC" w:rsidRDefault="009263AC" w:rsidP="00EB145B">
            <w:pPr>
              <w:pStyle w:val="In-tableHeading"/>
              <w:jc w:val="center"/>
              <w:rPr>
                <w:szCs w:val="20"/>
                <w:lang w:val="en-AU"/>
              </w:rPr>
            </w:pPr>
            <w:r w:rsidRPr="001611DC">
              <w:rPr>
                <w:szCs w:val="20"/>
                <w:lang w:val="en-AU"/>
              </w:rPr>
              <w:t>T (year)</w:t>
            </w:r>
          </w:p>
        </w:tc>
        <w:tc>
          <w:tcPr>
            <w:tcW w:w="437" w:type="pct"/>
            <w:vAlign w:val="center"/>
          </w:tcPr>
          <w:p w14:paraId="3A32F24E" w14:textId="77777777" w:rsidR="009263AC" w:rsidRPr="001611DC" w:rsidRDefault="009263AC" w:rsidP="00EB145B">
            <w:pPr>
              <w:pStyle w:val="In-tableHeading"/>
              <w:jc w:val="center"/>
              <w:rPr>
                <w:szCs w:val="20"/>
                <w:lang w:val="en-AU"/>
              </w:rPr>
            </w:pPr>
            <w:r w:rsidRPr="001611DC">
              <w:rPr>
                <w:szCs w:val="20"/>
                <w:lang w:val="en-AU"/>
              </w:rPr>
              <w:t>n/T (per 1000)</w:t>
            </w:r>
          </w:p>
        </w:tc>
        <w:tc>
          <w:tcPr>
            <w:tcW w:w="438" w:type="pct"/>
            <w:vAlign w:val="center"/>
          </w:tcPr>
          <w:p w14:paraId="4F867F6A" w14:textId="77777777" w:rsidR="009263AC" w:rsidRPr="001611DC" w:rsidRDefault="009263AC" w:rsidP="00EB145B">
            <w:pPr>
              <w:pStyle w:val="In-tableHeading"/>
              <w:jc w:val="center"/>
              <w:rPr>
                <w:szCs w:val="20"/>
                <w:lang w:val="en-AU"/>
              </w:rPr>
            </w:pPr>
            <w:r w:rsidRPr="001611DC">
              <w:rPr>
                <w:szCs w:val="20"/>
                <w:lang w:val="en-AU"/>
              </w:rPr>
              <w:t>N</w:t>
            </w:r>
          </w:p>
        </w:tc>
        <w:tc>
          <w:tcPr>
            <w:tcW w:w="313" w:type="pct"/>
            <w:vAlign w:val="center"/>
          </w:tcPr>
          <w:p w14:paraId="75D2E09E" w14:textId="77777777" w:rsidR="009263AC" w:rsidRPr="001611DC" w:rsidRDefault="009263AC" w:rsidP="00EB145B">
            <w:pPr>
              <w:pStyle w:val="In-tableHeading"/>
              <w:jc w:val="center"/>
              <w:rPr>
                <w:szCs w:val="20"/>
                <w:lang w:val="en-AU"/>
              </w:rPr>
            </w:pPr>
            <w:r w:rsidRPr="001611DC">
              <w:rPr>
                <w:szCs w:val="20"/>
                <w:lang w:val="en-AU"/>
              </w:rPr>
              <w:t>n</w:t>
            </w:r>
          </w:p>
        </w:tc>
        <w:tc>
          <w:tcPr>
            <w:tcW w:w="577" w:type="pct"/>
            <w:vAlign w:val="center"/>
          </w:tcPr>
          <w:p w14:paraId="360008CE" w14:textId="77777777" w:rsidR="009263AC" w:rsidRPr="001611DC" w:rsidRDefault="009263AC" w:rsidP="00EB145B">
            <w:pPr>
              <w:pStyle w:val="In-tableHeading"/>
              <w:jc w:val="center"/>
              <w:rPr>
                <w:szCs w:val="20"/>
                <w:lang w:val="en-AU"/>
              </w:rPr>
            </w:pPr>
            <w:r w:rsidRPr="001611DC">
              <w:rPr>
                <w:szCs w:val="20"/>
                <w:lang w:val="en-AU"/>
              </w:rPr>
              <w:t>T (year)</w:t>
            </w:r>
          </w:p>
        </w:tc>
        <w:tc>
          <w:tcPr>
            <w:tcW w:w="438" w:type="pct"/>
            <w:vAlign w:val="center"/>
          </w:tcPr>
          <w:p w14:paraId="3A5EA6F8" w14:textId="77777777" w:rsidR="009263AC" w:rsidRPr="001611DC" w:rsidRDefault="009263AC" w:rsidP="00EB145B">
            <w:pPr>
              <w:pStyle w:val="In-tableHeading"/>
              <w:jc w:val="center"/>
              <w:rPr>
                <w:szCs w:val="20"/>
                <w:lang w:val="en-AU"/>
              </w:rPr>
            </w:pPr>
            <w:r w:rsidRPr="001611DC">
              <w:rPr>
                <w:szCs w:val="20"/>
                <w:lang w:val="en-AU"/>
              </w:rPr>
              <w:t>n/T (per 1000)</w:t>
            </w:r>
          </w:p>
        </w:tc>
        <w:tc>
          <w:tcPr>
            <w:tcW w:w="700" w:type="pct"/>
            <w:vMerge/>
            <w:vAlign w:val="center"/>
          </w:tcPr>
          <w:p w14:paraId="5C3853A8" w14:textId="77777777" w:rsidR="009263AC" w:rsidRPr="001611DC" w:rsidRDefault="009263AC" w:rsidP="00EB145B">
            <w:pPr>
              <w:pStyle w:val="TableText0"/>
              <w:jc w:val="center"/>
              <w:rPr>
                <w:szCs w:val="20"/>
              </w:rPr>
            </w:pPr>
          </w:p>
        </w:tc>
      </w:tr>
      <w:tr w:rsidR="009263AC" w:rsidRPr="001611DC" w14:paraId="2B21C1EF" w14:textId="77777777" w:rsidTr="00EB145B">
        <w:tc>
          <w:tcPr>
            <w:tcW w:w="5000" w:type="pct"/>
            <w:gridSpan w:val="10"/>
          </w:tcPr>
          <w:p w14:paraId="072ED804" w14:textId="70DF057C" w:rsidR="009263AC" w:rsidRPr="001611DC" w:rsidRDefault="009263AC" w:rsidP="00EB145B">
            <w:pPr>
              <w:pStyle w:val="TableText0"/>
              <w:rPr>
                <w:rFonts w:eastAsia="Times New Roman" w:cs="Calibri"/>
                <w:b/>
                <w:color w:val="000000"/>
                <w:szCs w:val="20"/>
              </w:rPr>
            </w:pPr>
            <w:r w:rsidRPr="001611DC">
              <w:rPr>
                <w:rFonts w:eastAsia="Times New Roman" w:cs="Calibri"/>
                <w:b/>
                <w:bCs w:val="0"/>
                <w:color w:val="000000"/>
                <w:szCs w:val="20"/>
              </w:rPr>
              <w:t xml:space="preserve">VE analysis 3 (single dose) </w:t>
            </w:r>
            <w:r w:rsidR="0083552E" w:rsidRPr="001611DC">
              <w:rPr>
                <w:rFonts w:eastAsia="Times New Roman" w:cs="Calibri"/>
                <w:b/>
                <w:bCs w:val="0"/>
                <w:color w:val="000000"/>
                <w:szCs w:val="20"/>
              </w:rPr>
              <w:t>–</w:t>
            </w:r>
            <w:r w:rsidRPr="001611DC">
              <w:rPr>
                <w:rFonts w:eastAsia="Times New Roman" w:cs="Calibri"/>
                <w:b/>
                <w:bCs w:val="0"/>
                <w:color w:val="000000"/>
                <w:szCs w:val="20"/>
              </w:rPr>
              <w:t xml:space="preserve"> up to end of Season 2 NH </w:t>
            </w:r>
            <w:r w:rsidR="0083552E" w:rsidRPr="001611DC">
              <w:rPr>
                <w:rFonts w:eastAsia="Times New Roman" w:cs="Calibri"/>
                <w:b/>
                <w:bCs w:val="0"/>
                <w:color w:val="000000"/>
                <w:szCs w:val="20"/>
              </w:rPr>
              <w:t>–</w:t>
            </w:r>
            <w:r w:rsidRPr="001611DC">
              <w:rPr>
                <w:rFonts w:eastAsia="Times New Roman" w:cs="Calibri"/>
                <w:b/>
                <w:bCs w:val="0"/>
                <w:color w:val="000000"/>
                <w:szCs w:val="20"/>
              </w:rPr>
              <w:t xml:space="preserve"> median follow-up time in mES = 17.8 months</w:t>
            </w:r>
          </w:p>
        </w:tc>
      </w:tr>
      <w:tr w:rsidR="00C013B1" w:rsidRPr="001611DC" w14:paraId="46843E6A" w14:textId="77777777" w:rsidTr="003A6EA8">
        <w:tc>
          <w:tcPr>
            <w:tcW w:w="806" w:type="pct"/>
          </w:tcPr>
          <w:p w14:paraId="242544CB" w14:textId="0D72872A" w:rsidR="003A6EA8" w:rsidRPr="001611DC" w:rsidRDefault="003A6EA8" w:rsidP="003A6EA8">
            <w:pPr>
              <w:pStyle w:val="TableText0"/>
              <w:rPr>
                <w:color w:val="000000"/>
                <w:szCs w:val="20"/>
              </w:rPr>
            </w:pPr>
            <w:r w:rsidRPr="001611DC">
              <w:rPr>
                <w:rFonts w:eastAsia="Times New Roman" w:cs="Calibri"/>
                <w:color w:val="000000"/>
                <w:szCs w:val="20"/>
              </w:rPr>
              <w:t>RT-PCR-confirmed RSV-LRTD</w:t>
            </w:r>
          </w:p>
        </w:tc>
        <w:tc>
          <w:tcPr>
            <w:tcW w:w="438" w:type="pct"/>
            <w:vAlign w:val="center"/>
          </w:tcPr>
          <w:p w14:paraId="44CCE6AA" w14:textId="7DB82142"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2,469</w:t>
            </w:r>
            <w:r w:rsidRPr="001611DC">
              <w:rPr>
                <w:rFonts w:eastAsia="Times New Roman"/>
                <w:color w:val="000000"/>
                <w:szCs w:val="20"/>
                <w:vertAlign w:val="superscript"/>
              </w:rPr>
              <w:t>c</w:t>
            </w:r>
          </w:p>
        </w:tc>
        <w:tc>
          <w:tcPr>
            <w:tcW w:w="276" w:type="pct"/>
            <w:vAlign w:val="center"/>
          </w:tcPr>
          <w:p w14:paraId="03B9F1D3" w14:textId="1BE0DA5D"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3</w:t>
            </w:r>
            <w:r w:rsidRPr="001611DC">
              <w:rPr>
                <w:rFonts w:eastAsia="Times New Roman"/>
                <w:color w:val="000000"/>
                <w:szCs w:val="20"/>
              </w:rPr>
              <w:t>0</w:t>
            </w:r>
          </w:p>
        </w:tc>
        <w:tc>
          <w:tcPr>
            <w:tcW w:w="577" w:type="pct"/>
            <w:vAlign w:val="center"/>
          </w:tcPr>
          <w:p w14:paraId="0F7ED038" w14:textId="1C25DF27" w:rsidR="003A6EA8" w:rsidRPr="001611DC" w:rsidRDefault="003A6EA8" w:rsidP="003A6EA8">
            <w:pPr>
              <w:pStyle w:val="TableText0"/>
              <w:jc w:val="center"/>
              <w:rPr>
                <w:rFonts w:eastAsia="Times New Roman" w:cs="Calibri"/>
                <w:color w:val="000000"/>
                <w:szCs w:val="20"/>
              </w:rPr>
            </w:pPr>
            <w:r w:rsidRPr="001611DC">
              <w:rPr>
                <w:szCs w:val="20"/>
              </w:rPr>
              <w:t>14,662.6</w:t>
            </w:r>
          </w:p>
        </w:tc>
        <w:tc>
          <w:tcPr>
            <w:tcW w:w="437" w:type="pct"/>
            <w:vAlign w:val="center"/>
          </w:tcPr>
          <w:p w14:paraId="0F06C066" w14:textId="73EEABF0"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2</w:t>
            </w:r>
            <w:r w:rsidRPr="001611DC">
              <w:rPr>
                <w:rFonts w:eastAsia="Times New Roman"/>
                <w:color w:val="000000"/>
                <w:szCs w:val="20"/>
              </w:rPr>
              <w:t>.0</w:t>
            </w:r>
          </w:p>
        </w:tc>
        <w:tc>
          <w:tcPr>
            <w:tcW w:w="438" w:type="pct"/>
            <w:vAlign w:val="center"/>
          </w:tcPr>
          <w:p w14:paraId="110FCA8C" w14:textId="26470F0C"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2,498</w:t>
            </w:r>
          </w:p>
        </w:tc>
        <w:tc>
          <w:tcPr>
            <w:tcW w:w="313" w:type="pct"/>
            <w:vAlign w:val="center"/>
          </w:tcPr>
          <w:p w14:paraId="25DA06E5" w14:textId="0F1918C1"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39</w:t>
            </w:r>
          </w:p>
        </w:tc>
        <w:tc>
          <w:tcPr>
            <w:tcW w:w="577" w:type="pct"/>
            <w:vAlign w:val="center"/>
          </w:tcPr>
          <w:p w14:paraId="38475536" w14:textId="50D74BF9"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7,269.0</w:t>
            </w:r>
          </w:p>
        </w:tc>
        <w:tc>
          <w:tcPr>
            <w:tcW w:w="438" w:type="pct"/>
            <w:vAlign w:val="center"/>
          </w:tcPr>
          <w:p w14:paraId="239CC02D" w14:textId="6E8A8192" w:rsidR="003A6EA8" w:rsidRPr="001611DC" w:rsidRDefault="003A6EA8" w:rsidP="003A6EA8">
            <w:pPr>
              <w:pStyle w:val="TableText0"/>
              <w:jc w:val="center"/>
              <w:rPr>
                <w:rFonts w:eastAsia="Times New Roman" w:cs="Calibri"/>
                <w:color w:val="000000"/>
                <w:szCs w:val="20"/>
              </w:rPr>
            </w:pPr>
            <w:r w:rsidRPr="001611DC">
              <w:rPr>
                <w:rFonts w:eastAsia="Times New Roman" w:cs="Calibri"/>
                <w:color w:val="000000"/>
                <w:szCs w:val="20"/>
              </w:rPr>
              <w:t>8</w:t>
            </w:r>
            <w:r w:rsidRPr="001611DC">
              <w:rPr>
                <w:rFonts w:eastAsia="Times New Roman"/>
                <w:color w:val="000000"/>
                <w:szCs w:val="20"/>
              </w:rPr>
              <w:t>.0</w:t>
            </w:r>
          </w:p>
        </w:tc>
        <w:tc>
          <w:tcPr>
            <w:tcW w:w="700" w:type="pct"/>
            <w:vAlign w:val="center"/>
          </w:tcPr>
          <w:p w14:paraId="5299B061" w14:textId="77777777" w:rsidR="003A6EA8" w:rsidRPr="001611DC" w:rsidRDefault="003A6EA8" w:rsidP="003A6EA8">
            <w:pPr>
              <w:keepNext/>
              <w:jc w:val="center"/>
              <w:rPr>
                <w:rFonts w:ascii="Arial Narrow" w:hAnsi="Arial Narrow"/>
                <w:b/>
                <w:bCs/>
                <w:color w:val="000000"/>
                <w:sz w:val="20"/>
                <w:szCs w:val="20"/>
              </w:rPr>
            </w:pPr>
            <w:r w:rsidRPr="001611DC">
              <w:rPr>
                <w:rFonts w:ascii="Arial Narrow" w:hAnsi="Arial Narrow" w:cs="Calibri"/>
                <w:b/>
                <w:bCs/>
                <w:color w:val="000000"/>
                <w:sz w:val="20"/>
                <w:szCs w:val="20"/>
              </w:rPr>
              <w:t>67.18 (48.19, 80.04)</w:t>
            </w:r>
            <w:r w:rsidRPr="001611DC">
              <w:rPr>
                <w:rFonts w:ascii="Arial Narrow" w:hAnsi="Arial Narrow"/>
                <w:b/>
                <w:bCs/>
                <w:color w:val="000000"/>
                <w:sz w:val="20"/>
                <w:szCs w:val="20"/>
              </w:rPr>
              <w:t xml:space="preserve"> </w:t>
            </w:r>
          </w:p>
          <w:p w14:paraId="4F8543BB" w14:textId="6D105A45" w:rsidR="003A6EA8" w:rsidRPr="001611DC" w:rsidRDefault="003A6EA8" w:rsidP="003A6EA8">
            <w:pPr>
              <w:jc w:val="center"/>
              <w:rPr>
                <w:rFonts w:ascii="Arial Narrow" w:hAnsi="Arial Narrow" w:cs="Calibri"/>
                <w:b/>
                <w:bCs/>
                <w:color w:val="000000"/>
                <w:sz w:val="20"/>
                <w:szCs w:val="20"/>
              </w:rPr>
            </w:pPr>
            <w:r w:rsidRPr="001611DC">
              <w:rPr>
                <w:rFonts w:ascii="Arial Narrow" w:hAnsi="Arial Narrow"/>
                <w:b/>
                <w:bCs/>
                <w:color w:val="000000"/>
                <w:sz w:val="20"/>
                <w:szCs w:val="20"/>
              </w:rPr>
              <w:t>P &lt;0.0001</w:t>
            </w:r>
          </w:p>
        </w:tc>
      </w:tr>
      <w:tr w:rsidR="009263AC" w:rsidRPr="001611DC" w14:paraId="0DB39A32" w14:textId="77777777" w:rsidTr="00053F46">
        <w:tc>
          <w:tcPr>
            <w:tcW w:w="806" w:type="pct"/>
            <w:vAlign w:val="center"/>
          </w:tcPr>
          <w:p w14:paraId="4919B54E" w14:textId="77777777" w:rsidR="009263AC" w:rsidRPr="001611DC" w:rsidRDefault="009263AC" w:rsidP="00EB145B">
            <w:pPr>
              <w:pStyle w:val="TableText0"/>
              <w:rPr>
                <w:szCs w:val="20"/>
              </w:rPr>
            </w:pPr>
            <w:r w:rsidRPr="001611DC">
              <w:rPr>
                <w:color w:val="000000"/>
                <w:szCs w:val="20"/>
              </w:rPr>
              <w:t>RSV-confirmed ARI</w:t>
            </w:r>
          </w:p>
        </w:tc>
        <w:tc>
          <w:tcPr>
            <w:tcW w:w="438" w:type="pct"/>
            <w:vAlign w:val="center"/>
          </w:tcPr>
          <w:p w14:paraId="7A4D561C"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szCs w:val="20"/>
              </w:rPr>
              <w:t>2,469</w:t>
            </w:r>
          </w:p>
        </w:tc>
        <w:tc>
          <w:tcPr>
            <w:tcW w:w="276" w:type="pct"/>
            <w:vAlign w:val="center"/>
          </w:tcPr>
          <w:p w14:paraId="03ED7C2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94</w:t>
            </w:r>
          </w:p>
        </w:tc>
        <w:tc>
          <w:tcPr>
            <w:tcW w:w="577" w:type="pct"/>
            <w:vAlign w:val="center"/>
          </w:tcPr>
          <w:p w14:paraId="48C0303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14,626.4</w:t>
            </w:r>
          </w:p>
        </w:tc>
        <w:tc>
          <w:tcPr>
            <w:tcW w:w="437" w:type="pct"/>
            <w:vAlign w:val="center"/>
          </w:tcPr>
          <w:p w14:paraId="10079916"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6.4</w:t>
            </w:r>
          </w:p>
        </w:tc>
        <w:tc>
          <w:tcPr>
            <w:tcW w:w="438" w:type="pct"/>
            <w:vAlign w:val="center"/>
          </w:tcPr>
          <w:p w14:paraId="0E889D50"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12,498</w:t>
            </w:r>
          </w:p>
        </w:tc>
        <w:tc>
          <w:tcPr>
            <w:tcW w:w="313" w:type="pct"/>
            <w:vAlign w:val="center"/>
          </w:tcPr>
          <w:p w14:paraId="2A07C202"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292</w:t>
            </w:r>
          </w:p>
        </w:tc>
        <w:tc>
          <w:tcPr>
            <w:tcW w:w="577" w:type="pct"/>
            <w:vAlign w:val="center"/>
          </w:tcPr>
          <w:p w14:paraId="06AA8632"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17,167.0</w:t>
            </w:r>
          </w:p>
        </w:tc>
        <w:tc>
          <w:tcPr>
            <w:tcW w:w="438" w:type="pct"/>
            <w:vAlign w:val="center"/>
          </w:tcPr>
          <w:p w14:paraId="56EAD9DF"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17.0</w:t>
            </w:r>
          </w:p>
        </w:tc>
        <w:tc>
          <w:tcPr>
            <w:tcW w:w="700" w:type="pct"/>
            <w:vAlign w:val="center"/>
          </w:tcPr>
          <w:p w14:paraId="0AB51236" w14:textId="77777777" w:rsidR="009263AC" w:rsidRPr="001611DC" w:rsidRDefault="009263AC" w:rsidP="00EB145B">
            <w:pPr>
              <w:jc w:val="center"/>
              <w:rPr>
                <w:rFonts w:ascii="Arial Narrow" w:hAnsi="Arial Narrow" w:cs="Calibri"/>
                <w:b/>
                <w:bCs/>
                <w:color w:val="000000"/>
                <w:sz w:val="20"/>
                <w:szCs w:val="20"/>
              </w:rPr>
            </w:pPr>
            <w:r w:rsidRPr="001611DC">
              <w:rPr>
                <w:rFonts w:ascii="Arial Narrow" w:hAnsi="Arial Narrow" w:cs="Calibri"/>
                <w:b/>
                <w:bCs/>
                <w:color w:val="000000"/>
                <w:sz w:val="20"/>
                <w:szCs w:val="20"/>
              </w:rPr>
              <w:t>52.74 (40.01, 63.04)</w:t>
            </w:r>
          </w:p>
          <w:p w14:paraId="5F885F0F" w14:textId="29E6AEAB" w:rsidR="009263AC" w:rsidRPr="001611DC" w:rsidRDefault="003A6EA8" w:rsidP="00EB145B">
            <w:pPr>
              <w:jc w:val="center"/>
              <w:rPr>
                <w:rFonts w:ascii="Arial Narrow" w:hAnsi="Arial Narrow"/>
                <w:sz w:val="20"/>
                <w:szCs w:val="20"/>
              </w:rPr>
            </w:pPr>
            <w:r w:rsidRPr="001611DC">
              <w:rPr>
                <w:rFonts w:ascii="Arial Narrow" w:hAnsi="Arial Narrow" w:cs="Calibri"/>
                <w:b/>
                <w:bCs/>
                <w:color w:val="000000"/>
                <w:sz w:val="20"/>
                <w:szCs w:val="20"/>
              </w:rPr>
              <w:t xml:space="preserve">P </w:t>
            </w:r>
            <w:r w:rsidR="009263AC" w:rsidRPr="001611DC">
              <w:rPr>
                <w:rFonts w:ascii="Arial Narrow" w:hAnsi="Arial Narrow" w:cs="Calibri"/>
                <w:b/>
                <w:bCs/>
                <w:color w:val="000000"/>
                <w:sz w:val="20"/>
                <w:szCs w:val="20"/>
              </w:rPr>
              <w:t>&lt;0.0001</w:t>
            </w:r>
          </w:p>
        </w:tc>
      </w:tr>
      <w:tr w:rsidR="009263AC" w:rsidRPr="001611DC" w14:paraId="2549E8FA" w14:textId="77777777" w:rsidTr="00053F46">
        <w:tc>
          <w:tcPr>
            <w:tcW w:w="806" w:type="pct"/>
            <w:vAlign w:val="center"/>
          </w:tcPr>
          <w:p w14:paraId="3E2F182D" w14:textId="77777777" w:rsidR="009263AC" w:rsidRPr="001611DC" w:rsidRDefault="009263AC" w:rsidP="00EB145B">
            <w:pPr>
              <w:pStyle w:val="TableText0"/>
              <w:rPr>
                <w:szCs w:val="20"/>
              </w:rPr>
            </w:pPr>
            <w:r w:rsidRPr="001611DC">
              <w:rPr>
                <w:rFonts w:eastAsia="Times New Roman" w:cs="Calibri"/>
                <w:color w:val="000000"/>
                <w:szCs w:val="20"/>
              </w:rPr>
              <w:t>Severe RSV-confirmed LRTD</w:t>
            </w:r>
          </w:p>
        </w:tc>
        <w:tc>
          <w:tcPr>
            <w:tcW w:w="438" w:type="pct"/>
            <w:vAlign w:val="center"/>
          </w:tcPr>
          <w:p w14:paraId="2FBF500A"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12,469</w:t>
            </w:r>
          </w:p>
        </w:tc>
        <w:tc>
          <w:tcPr>
            <w:tcW w:w="276" w:type="pct"/>
            <w:vAlign w:val="center"/>
          </w:tcPr>
          <w:p w14:paraId="596E535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7</w:t>
            </w:r>
          </w:p>
        </w:tc>
        <w:tc>
          <w:tcPr>
            <w:tcW w:w="577" w:type="pct"/>
            <w:vAlign w:val="center"/>
          </w:tcPr>
          <w:p w14:paraId="78811EC7"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14,672.6</w:t>
            </w:r>
          </w:p>
        </w:tc>
        <w:tc>
          <w:tcPr>
            <w:tcW w:w="437" w:type="pct"/>
            <w:vAlign w:val="center"/>
          </w:tcPr>
          <w:p w14:paraId="0C86AC23"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0.5</w:t>
            </w:r>
          </w:p>
        </w:tc>
        <w:tc>
          <w:tcPr>
            <w:tcW w:w="438" w:type="pct"/>
            <w:vAlign w:val="center"/>
          </w:tcPr>
          <w:p w14:paraId="2586674D"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12,498</w:t>
            </w:r>
          </w:p>
        </w:tc>
        <w:tc>
          <w:tcPr>
            <w:tcW w:w="313" w:type="pct"/>
            <w:vAlign w:val="center"/>
          </w:tcPr>
          <w:p w14:paraId="3035AB5F"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48</w:t>
            </w:r>
          </w:p>
        </w:tc>
        <w:tc>
          <w:tcPr>
            <w:tcW w:w="577" w:type="pct"/>
            <w:vAlign w:val="center"/>
          </w:tcPr>
          <w:p w14:paraId="15FC3069"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17,320.6</w:t>
            </w:r>
          </w:p>
        </w:tc>
        <w:tc>
          <w:tcPr>
            <w:tcW w:w="438" w:type="pct"/>
            <w:vAlign w:val="center"/>
          </w:tcPr>
          <w:p w14:paraId="06D9D7E8"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2.8</w:t>
            </w:r>
          </w:p>
        </w:tc>
        <w:tc>
          <w:tcPr>
            <w:tcW w:w="700" w:type="pct"/>
            <w:vAlign w:val="center"/>
          </w:tcPr>
          <w:p w14:paraId="67E9CB34" w14:textId="77777777" w:rsidR="003A6EA8" w:rsidRPr="001611DC" w:rsidRDefault="009263AC" w:rsidP="00EB145B">
            <w:pPr>
              <w:jc w:val="center"/>
              <w:rPr>
                <w:rFonts w:ascii="Arial Narrow" w:hAnsi="Arial Narrow" w:cs="Calibri"/>
                <w:b/>
                <w:bCs/>
                <w:sz w:val="20"/>
                <w:szCs w:val="20"/>
              </w:rPr>
            </w:pPr>
            <w:r w:rsidRPr="001611DC">
              <w:rPr>
                <w:rFonts w:ascii="Arial Narrow" w:hAnsi="Arial Narrow" w:cs="Calibri"/>
                <w:b/>
                <w:bCs/>
                <w:sz w:val="20"/>
                <w:szCs w:val="20"/>
              </w:rPr>
              <w:t xml:space="preserve">78.83 (52.59, 91.96) </w:t>
            </w:r>
          </w:p>
          <w:p w14:paraId="6E3C95C0" w14:textId="3135617D" w:rsidR="009263AC" w:rsidRPr="001611DC" w:rsidRDefault="003A6EA8" w:rsidP="00EB145B">
            <w:pPr>
              <w:jc w:val="center"/>
              <w:rPr>
                <w:rFonts w:ascii="Arial Narrow" w:hAnsi="Arial Narrow" w:cs="Calibri"/>
                <w:b/>
                <w:bCs/>
                <w:sz w:val="20"/>
                <w:szCs w:val="20"/>
              </w:rPr>
            </w:pPr>
            <w:r w:rsidRPr="001611DC">
              <w:rPr>
                <w:rFonts w:ascii="Arial Narrow" w:hAnsi="Arial Narrow" w:cs="Calibri"/>
                <w:b/>
                <w:bCs/>
                <w:sz w:val="20"/>
                <w:szCs w:val="20"/>
              </w:rPr>
              <w:t xml:space="preserve">P </w:t>
            </w:r>
            <w:r w:rsidR="009263AC" w:rsidRPr="001611DC">
              <w:rPr>
                <w:rFonts w:ascii="Arial Narrow" w:hAnsi="Arial Narrow" w:cs="Calibri"/>
                <w:b/>
                <w:bCs/>
                <w:sz w:val="20"/>
                <w:szCs w:val="20"/>
              </w:rPr>
              <w:t>&lt;0.0001</w:t>
            </w:r>
          </w:p>
        </w:tc>
      </w:tr>
      <w:tr w:rsidR="009263AC" w:rsidRPr="001611DC" w14:paraId="284B1632" w14:textId="77777777" w:rsidTr="00053F46">
        <w:tc>
          <w:tcPr>
            <w:tcW w:w="806" w:type="pct"/>
          </w:tcPr>
          <w:p w14:paraId="1F7B8CF9" w14:textId="77777777" w:rsidR="009263AC" w:rsidRPr="001611DC" w:rsidRDefault="009263AC" w:rsidP="00EB145B">
            <w:pPr>
              <w:pStyle w:val="TableText0"/>
              <w:rPr>
                <w:szCs w:val="20"/>
              </w:rPr>
            </w:pPr>
            <w:r w:rsidRPr="001611DC">
              <w:rPr>
                <w:szCs w:val="20"/>
              </w:rPr>
              <w:t>Complications related to RT-PCR confirmed RSV-ARI</w:t>
            </w:r>
          </w:p>
        </w:tc>
        <w:tc>
          <w:tcPr>
            <w:tcW w:w="438" w:type="pct"/>
          </w:tcPr>
          <w:p w14:paraId="61DBF13D"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12,469</w:t>
            </w:r>
          </w:p>
        </w:tc>
        <w:tc>
          <w:tcPr>
            <w:tcW w:w="276" w:type="pct"/>
          </w:tcPr>
          <w:p w14:paraId="4DC2A79F"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8</w:t>
            </w:r>
          </w:p>
        </w:tc>
        <w:tc>
          <w:tcPr>
            <w:tcW w:w="577" w:type="pct"/>
          </w:tcPr>
          <w:p w14:paraId="3FA55F45"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14,672.50</w:t>
            </w:r>
          </w:p>
        </w:tc>
        <w:tc>
          <w:tcPr>
            <w:tcW w:w="437" w:type="pct"/>
          </w:tcPr>
          <w:p w14:paraId="4644B21B"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0.5</w:t>
            </w:r>
          </w:p>
        </w:tc>
        <w:tc>
          <w:tcPr>
            <w:tcW w:w="438" w:type="pct"/>
          </w:tcPr>
          <w:p w14:paraId="5471A00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12,498</w:t>
            </w:r>
          </w:p>
        </w:tc>
        <w:tc>
          <w:tcPr>
            <w:tcW w:w="313" w:type="pct"/>
          </w:tcPr>
          <w:p w14:paraId="261628A8"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34</w:t>
            </w:r>
          </w:p>
        </w:tc>
        <w:tc>
          <w:tcPr>
            <w:tcW w:w="577" w:type="pct"/>
          </w:tcPr>
          <w:p w14:paraId="3B227A4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17,328.10</w:t>
            </w:r>
          </w:p>
        </w:tc>
        <w:tc>
          <w:tcPr>
            <w:tcW w:w="438" w:type="pct"/>
          </w:tcPr>
          <w:p w14:paraId="34B95640"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szCs w:val="20"/>
              </w:rPr>
              <w:t>2</w:t>
            </w:r>
          </w:p>
        </w:tc>
        <w:tc>
          <w:tcPr>
            <w:tcW w:w="700" w:type="pct"/>
          </w:tcPr>
          <w:p w14:paraId="3916D3BA" w14:textId="77777777" w:rsidR="003A6EA8" w:rsidRPr="001611DC" w:rsidRDefault="009263AC" w:rsidP="00EB145B">
            <w:pPr>
              <w:pStyle w:val="TableText0"/>
              <w:jc w:val="center"/>
              <w:rPr>
                <w:rFonts w:cs="Calibri"/>
                <w:b/>
                <w:bCs w:val="0"/>
                <w:szCs w:val="20"/>
              </w:rPr>
            </w:pPr>
            <w:r w:rsidRPr="001611DC">
              <w:rPr>
                <w:rFonts w:cs="Calibri"/>
                <w:b/>
                <w:bCs w:val="0"/>
                <w:szCs w:val="20"/>
              </w:rPr>
              <w:t xml:space="preserve">67.37 (27,51, 87.05) </w:t>
            </w:r>
          </w:p>
          <w:p w14:paraId="452E9D08" w14:textId="5BBC2543" w:rsidR="009263AC" w:rsidRPr="001611DC" w:rsidRDefault="003A6EA8" w:rsidP="00EB145B">
            <w:pPr>
              <w:pStyle w:val="TableText0"/>
              <w:jc w:val="center"/>
              <w:rPr>
                <w:rFonts w:eastAsia="Times New Roman" w:cs="Calibri"/>
                <w:color w:val="000000"/>
                <w:szCs w:val="20"/>
              </w:rPr>
            </w:pPr>
            <w:r w:rsidRPr="001611DC">
              <w:rPr>
                <w:rFonts w:cs="Calibri"/>
                <w:b/>
                <w:bCs w:val="0"/>
                <w:szCs w:val="20"/>
              </w:rPr>
              <w:t xml:space="preserve">P = </w:t>
            </w:r>
            <w:r w:rsidR="009263AC" w:rsidRPr="001611DC">
              <w:rPr>
                <w:rFonts w:cs="Calibri"/>
                <w:b/>
                <w:bCs w:val="0"/>
                <w:szCs w:val="20"/>
              </w:rPr>
              <w:t>0.0035</w:t>
            </w:r>
          </w:p>
        </w:tc>
      </w:tr>
      <w:tr w:rsidR="009263AC" w:rsidRPr="001611DC" w14:paraId="2FBAB673" w14:textId="77777777" w:rsidTr="00053F46">
        <w:tc>
          <w:tcPr>
            <w:tcW w:w="806" w:type="pct"/>
          </w:tcPr>
          <w:p w14:paraId="639F5148" w14:textId="77777777" w:rsidR="009263AC" w:rsidRPr="001611DC" w:rsidRDefault="009263AC" w:rsidP="00EB145B">
            <w:pPr>
              <w:pStyle w:val="TableText0"/>
              <w:rPr>
                <w:szCs w:val="20"/>
              </w:rPr>
            </w:pPr>
            <w:r w:rsidRPr="001611DC">
              <w:rPr>
                <w:szCs w:val="20"/>
              </w:rPr>
              <w:t>Hospitalisations due to RT-PCR confirmed RSV</w:t>
            </w:r>
          </w:p>
        </w:tc>
        <w:tc>
          <w:tcPr>
            <w:tcW w:w="438" w:type="pct"/>
          </w:tcPr>
          <w:p w14:paraId="71FE1E2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12,469</w:t>
            </w:r>
          </w:p>
        </w:tc>
        <w:tc>
          <w:tcPr>
            <w:tcW w:w="276" w:type="pct"/>
          </w:tcPr>
          <w:p w14:paraId="3CD8C18C"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p>
        </w:tc>
        <w:tc>
          <w:tcPr>
            <w:tcW w:w="577" w:type="pct"/>
          </w:tcPr>
          <w:p w14:paraId="6285F4F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14,676.5</w:t>
            </w:r>
          </w:p>
        </w:tc>
        <w:tc>
          <w:tcPr>
            <w:tcW w:w="437" w:type="pct"/>
          </w:tcPr>
          <w:p w14:paraId="4814AC02"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0.1</w:t>
            </w:r>
          </w:p>
        </w:tc>
        <w:tc>
          <w:tcPr>
            <w:tcW w:w="438" w:type="pct"/>
          </w:tcPr>
          <w:p w14:paraId="5C17AC9B"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12,498</w:t>
            </w:r>
          </w:p>
        </w:tc>
        <w:tc>
          <w:tcPr>
            <w:tcW w:w="313" w:type="pct"/>
          </w:tcPr>
          <w:p w14:paraId="13459505"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5</w:t>
            </w:r>
          </w:p>
        </w:tc>
        <w:tc>
          <w:tcPr>
            <w:tcW w:w="577" w:type="pct"/>
          </w:tcPr>
          <w:p w14:paraId="6F72AB11"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17,346.0</w:t>
            </w:r>
          </w:p>
        </w:tc>
        <w:tc>
          <w:tcPr>
            <w:tcW w:w="438" w:type="pct"/>
          </w:tcPr>
          <w:p w14:paraId="1D19AB9B"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0.3</w:t>
            </w:r>
          </w:p>
        </w:tc>
        <w:tc>
          <w:tcPr>
            <w:tcW w:w="700" w:type="pct"/>
          </w:tcPr>
          <w:p w14:paraId="5A5A9BC0" w14:textId="77777777" w:rsidR="003A6EA8"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72.82 (</w:t>
            </w:r>
            <w:r w:rsidR="0066228C" w:rsidRPr="001611DC">
              <w:rPr>
                <w:rFonts w:eastAsia="Times New Roman" w:cs="Calibri"/>
                <w:color w:val="000000"/>
                <w:szCs w:val="20"/>
              </w:rPr>
              <w:noBreakHyphen/>
            </w:r>
            <w:r w:rsidRPr="001611DC">
              <w:rPr>
                <w:rFonts w:eastAsia="Times New Roman" w:cs="Calibri"/>
                <w:color w:val="000000"/>
                <w:szCs w:val="20"/>
              </w:rPr>
              <w:t xml:space="preserve">150.30, 99.44) </w:t>
            </w:r>
          </w:p>
          <w:p w14:paraId="7CD919AB" w14:textId="02400AD3" w:rsidR="009263AC" w:rsidRPr="001611DC" w:rsidRDefault="003A6EA8" w:rsidP="00EB145B">
            <w:pPr>
              <w:pStyle w:val="TableText0"/>
              <w:jc w:val="center"/>
              <w:rPr>
                <w:rFonts w:eastAsia="Times New Roman" w:cs="Calibri"/>
                <w:color w:val="000000"/>
                <w:szCs w:val="20"/>
              </w:rPr>
            </w:pPr>
            <w:r w:rsidRPr="001611DC">
              <w:rPr>
                <w:rFonts w:eastAsia="Times New Roman" w:cs="Calibri"/>
                <w:color w:val="000000"/>
                <w:szCs w:val="20"/>
              </w:rPr>
              <w:t xml:space="preserve">P = </w:t>
            </w:r>
            <w:r w:rsidR="009263AC" w:rsidRPr="001611DC">
              <w:rPr>
                <w:rFonts w:eastAsia="Times New Roman" w:cs="Calibri"/>
                <w:color w:val="000000"/>
                <w:szCs w:val="20"/>
              </w:rPr>
              <w:t>0.4075</w:t>
            </w:r>
          </w:p>
        </w:tc>
      </w:tr>
      <w:tr w:rsidR="00053F46" w:rsidRPr="001611DC" w14:paraId="6BFBEC79" w14:textId="77777777" w:rsidTr="00053F46">
        <w:tc>
          <w:tcPr>
            <w:tcW w:w="5000" w:type="pct"/>
            <w:gridSpan w:val="10"/>
          </w:tcPr>
          <w:p w14:paraId="381DD833" w14:textId="69A6670B" w:rsidR="00053F46" w:rsidRPr="001611DC" w:rsidRDefault="00053F46" w:rsidP="00EB145B">
            <w:pPr>
              <w:pStyle w:val="TableText0"/>
              <w:jc w:val="center"/>
              <w:rPr>
                <w:rFonts w:eastAsia="Times New Roman" w:cs="Calibri"/>
                <w:color w:val="000000"/>
                <w:szCs w:val="20"/>
              </w:rPr>
            </w:pPr>
            <w:r w:rsidRPr="001611DC">
              <w:rPr>
                <w:rFonts w:cs="Calibri"/>
                <w:b/>
                <w:color w:val="000000"/>
                <w:szCs w:val="20"/>
              </w:rPr>
              <w:t>VE analysis 4 (single dose) – up to the end of Season 2 NH and SH, median follow-up time in mES = 23.3 months</w:t>
            </w:r>
          </w:p>
        </w:tc>
      </w:tr>
      <w:tr w:rsidR="00053F46" w:rsidRPr="001611DC" w14:paraId="1A272F32" w14:textId="77777777" w:rsidTr="00053F46">
        <w:tc>
          <w:tcPr>
            <w:tcW w:w="806" w:type="pct"/>
          </w:tcPr>
          <w:p w14:paraId="4183FC13" w14:textId="183F32B3" w:rsidR="00053F46" w:rsidRPr="001611DC" w:rsidRDefault="00053F46" w:rsidP="00EB145B">
            <w:pPr>
              <w:pStyle w:val="TableText0"/>
              <w:rPr>
                <w:szCs w:val="20"/>
              </w:rPr>
            </w:pPr>
            <w:r w:rsidRPr="001611DC">
              <w:t>Severe RSV-LRTD</w:t>
            </w:r>
          </w:p>
        </w:tc>
        <w:tc>
          <w:tcPr>
            <w:tcW w:w="438" w:type="pct"/>
          </w:tcPr>
          <w:p w14:paraId="7F6A4794" w14:textId="7A022361" w:rsidR="00053F46" w:rsidRPr="001611DC" w:rsidRDefault="00053F46" w:rsidP="00EB145B">
            <w:pPr>
              <w:pStyle w:val="TableText0"/>
              <w:jc w:val="center"/>
              <w:rPr>
                <w:rFonts w:eastAsia="Times New Roman" w:cs="Calibri"/>
                <w:color w:val="000000"/>
                <w:szCs w:val="20"/>
              </w:rPr>
            </w:pPr>
            <w:r w:rsidRPr="001611DC">
              <w:rPr>
                <w:rFonts w:eastAsia="Times New Roman" w:cs="Times New Roman"/>
                <w:szCs w:val="20"/>
              </w:rPr>
              <w:t>12,468</w:t>
            </w:r>
          </w:p>
        </w:tc>
        <w:tc>
          <w:tcPr>
            <w:tcW w:w="276" w:type="pct"/>
          </w:tcPr>
          <w:p w14:paraId="2B490170" w14:textId="01DB04D4" w:rsidR="00053F46" w:rsidRPr="001611DC" w:rsidRDefault="00053F46" w:rsidP="00EB145B">
            <w:pPr>
              <w:pStyle w:val="TableText0"/>
              <w:jc w:val="center"/>
              <w:rPr>
                <w:rFonts w:eastAsia="Times New Roman" w:cs="Calibri"/>
                <w:color w:val="000000"/>
                <w:szCs w:val="20"/>
              </w:rPr>
            </w:pPr>
            <w:r w:rsidRPr="001611DC">
              <w:rPr>
                <w:rFonts w:eastAsia="Times New Roman" w:cs="Times New Roman"/>
                <w:szCs w:val="20"/>
              </w:rPr>
              <w:t>9</w:t>
            </w:r>
          </w:p>
        </w:tc>
        <w:tc>
          <w:tcPr>
            <w:tcW w:w="577" w:type="pct"/>
          </w:tcPr>
          <w:p w14:paraId="2AC8E527" w14:textId="148DB313" w:rsidR="00053F46" w:rsidRPr="001611DC" w:rsidRDefault="00053F46" w:rsidP="00EB145B">
            <w:pPr>
              <w:pStyle w:val="TableText0"/>
              <w:jc w:val="center"/>
              <w:rPr>
                <w:rFonts w:eastAsia="Times New Roman" w:cs="Calibri"/>
                <w:color w:val="000000"/>
                <w:szCs w:val="20"/>
              </w:rPr>
            </w:pPr>
            <w:r w:rsidRPr="001611DC">
              <w:rPr>
                <w:rFonts w:eastAsia="Times New Roman" w:cs="Calibri"/>
                <w:szCs w:val="20"/>
              </w:rPr>
              <w:t>n.r.</w:t>
            </w:r>
          </w:p>
        </w:tc>
        <w:tc>
          <w:tcPr>
            <w:tcW w:w="437" w:type="pct"/>
          </w:tcPr>
          <w:p w14:paraId="780BDD3C" w14:textId="259AD065" w:rsidR="00053F46" w:rsidRPr="001611DC" w:rsidRDefault="00053F46" w:rsidP="00EB145B">
            <w:pPr>
              <w:pStyle w:val="TableText0"/>
              <w:jc w:val="center"/>
              <w:rPr>
                <w:rFonts w:eastAsia="Times New Roman" w:cs="Calibri"/>
                <w:color w:val="000000"/>
                <w:szCs w:val="20"/>
              </w:rPr>
            </w:pPr>
            <w:r w:rsidRPr="001611DC">
              <w:rPr>
                <w:rFonts w:eastAsia="Times New Roman" w:cs="Calibri"/>
                <w:szCs w:val="20"/>
              </w:rPr>
              <w:t>n.r.</w:t>
            </w:r>
          </w:p>
        </w:tc>
        <w:tc>
          <w:tcPr>
            <w:tcW w:w="438" w:type="pct"/>
          </w:tcPr>
          <w:p w14:paraId="7A333F5A" w14:textId="3F849CD2" w:rsidR="00053F46" w:rsidRPr="001611DC" w:rsidRDefault="00053F46" w:rsidP="00EB145B">
            <w:pPr>
              <w:pStyle w:val="TableText0"/>
              <w:jc w:val="center"/>
              <w:rPr>
                <w:rFonts w:eastAsia="Times New Roman" w:cs="Calibri"/>
                <w:color w:val="000000"/>
                <w:szCs w:val="20"/>
              </w:rPr>
            </w:pPr>
            <w:r w:rsidRPr="001611DC">
              <w:rPr>
                <w:rFonts w:eastAsia="Times New Roman" w:cs="Times New Roman"/>
                <w:szCs w:val="20"/>
              </w:rPr>
              <w:t>12,498</w:t>
            </w:r>
          </w:p>
        </w:tc>
        <w:tc>
          <w:tcPr>
            <w:tcW w:w="313" w:type="pct"/>
          </w:tcPr>
          <w:p w14:paraId="1B1269F1" w14:textId="7BF7C97A" w:rsidR="00053F46" w:rsidRPr="001611DC" w:rsidRDefault="00053F46" w:rsidP="00EB145B">
            <w:pPr>
              <w:pStyle w:val="TableText0"/>
              <w:jc w:val="center"/>
              <w:rPr>
                <w:rFonts w:eastAsia="Times New Roman" w:cs="Calibri"/>
                <w:color w:val="000000"/>
                <w:szCs w:val="20"/>
              </w:rPr>
            </w:pPr>
            <w:r w:rsidRPr="001611DC">
              <w:rPr>
                <w:rFonts w:eastAsia="Times New Roman" w:cs="Times New Roman"/>
                <w:szCs w:val="20"/>
              </w:rPr>
              <w:t>54</w:t>
            </w:r>
          </w:p>
        </w:tc>
        <w:tc>
          <w:tcPr>
            <w:tcW w:w="577" w:type="pct"/>
          </w:tcPr>
          <w:p w14:paraId="2C76FAF9" w14:textId="0D80369B" w:rsidR="00053F46" w:rsidRPr="001611DC" w:rsidRDefault="00053F46" w:rsidP="00EB145B">
            <w:pPr>
              <w:pStyle w:val="TableText0"/>
              <w:jc w:val="center"/>
              <w:rPr>
                <w:rFonts w:eastAsia="Times New Roman" w:cs="Calibri"/>
                <w:color w:val="000000"/>
                <w:szCs w:val="20"/>
              </w:rPr>
            </w:pPr>
            <w:r w:rsidRPr="001611DC">
              <w:rPr>
                <w:rFonts w:eastAsia="Times New Roman" w:cs="Calibri"/>
                <w:szCs w:val="20"/>
              </w:rPr>
              <w:t>n.r.</w:t>
            </w:r>
          </w:p>
        </w:tc>
        <w:tc>
          <w:tcPr>
            <w:tcW w:w="438" w:type="pct"/>
          </w:tcPr>
          <w:p w14:paraId="6B86F3AD" w14:textId="4FF341B8" w:rsidR="00053F46" w:rsidRPr="001611DC" w:rsidRDefault="00053F46" w:rsidP="00EB145B">
            <w:pPr>
              <w:pStyle w:val="TableText0"/>
              <w:jc w:val="center"/>
              <w:rPr>
                <w:rFonts w:eastAsia="Times New Roman" w:cs="Calibri"/>
                <w:color w:val="000000"/>
                <w:szCs w:val="20"/>
              </w:rPr>
            </w:pPr>
            <w:r w:rsidRPr="001611DC">
              <w:rPr>
                <w:rFonts w:eastAsia="Times New Roman" w:cs="Calibri"/>
                <w:szCs w:val="20"/>
              </w:rPr>
              <w:t>n.r.</w:t>
            </w:r>
          </w:p>
        </w:tc>
        <w:tc>
          <w:tcPr>
            <w:tcW w:w="700" w:type="pct"/>
          </w:tcPr>
          <w:p w14:paraId="30FEA7E9" w14:textId="77777777" w:rsidR="00053F46" w:rsidRPr="001611DC" w:rsidRDefault="00053F46" w:rsidP="00EB145B">
            <w:pPr>
              <w:pStyle w:val="TableText0"/>
              <w:jc w:val="center"/>
              <w:rPr>
                <w:rFonts w:eastAsia="Times New Roman" w:cs="Times New Roman"/>
                <w:szCs w:val="20"/>
              </w:rPr>
            </w:pPr>
            <w:r w:rsidRPr="001611DC">
              <w:rPr>
                <w:rFonts w:eastAsia="Times New Roman" w:cs="Times New Roman"/>
                <w:szCs w:val="20"/>
              </w:rPr>
              <w:t>74.9 (48.4, 89.2)</w:t>
            </w:r>
          </w:p>
          <w:p w14:paraId="333F3028" w14:textId="7B050D43" w:rsidR="00053F46" w:rsidRPr="001611DC" w:rsidRDefault="003A6EA8" w:rsidP="00EB145B">
            <w:pPr>
              <w:pStyle w:val="TableText0"/>
              <w:jc w:val="center"/>
              <w:rPr>
                <w:rFonts w:eastAsia="Times New Roman" w:cs="Calibri"/>
                <w:color w:val="000000"/>
                <w:szCs w:val="20"/>
              </w:rPr>
            </w:pPr>
            <w:r w:rsidRPr="001611DC">
              <w:rPr>
                <w:rFonts w:eastAsia="Times New Roman" w:cs="Calibri"/>
                <w:szCs w:val="20"/>
              </w:rPr>
              <w:t xml:space="preserve">P </w:t>
            </w:r>
            <w:r w:rsidR="00053F46" w:rsidRPr="001611DC">
              <w:rPr>
                <w:rFonts w:eastAsia="Times New Roman" w:cs="Calibri"/>
                <w:szCs w:val="20"/>
              </w:rPr>
              <w:t>n.r.</w:t>
            </w:r>
          </w:p>
        </w:tc>
      </w:tr>
    </w:tbl>
    <w:p w14:paraId="28F62109" w14:textId="6B57FFCB" w:rsidR="009263AC" w:rsidRPr="001611DC" w:rsidRDefault="009263AC" w:rsidP="00053F46">
      <w:pPr>
        <w:pStyle w:val="FooterTableFigure"/>
        <w:keepNext/>
      </w:pPr>
      <w:r w:rsidRPr="001611DC">
        <w:t>Source: Table 2-24, Table 2-25,; Table 2-29, of the submission, Table 14.2.1.155 of the VE analysis 3 CSR</w:t>
      </w:r>
      <w:r w:rsidR="00053F46" w:rsidRPr="001611DC">
        <w:t>,</w:t>
      </w:r>
      <w:r w:rsidR="00053F46" w:rsidRPr="001611DC">
        <w:rPr>
          <w:iCs/>
        </w:rPr>
        <w:t xml:space="preserve"> PSCR Table 2 and text,.</w:t>
      </w:r>
      <w:r w:rsidRPr="001611DC">
        <w:t>.</w:t>
      </w:r>
    </w:p>
    <w:p w14:paraId="055E2626" w14:textId="77777777" w:rsidR="009263AC" w:rsidRPr="001611DC" w:rsidRDefault="009263AC" w:rsidP="009263AC">
      <w:pPr>
        <w:pStyle w:val="FooterTableFigure"/>
        <w:spacing w:after="0"/>
        <w:rPr>
          <w:szCs w:val="18"/>
        </w:rPr>
      </w:pPr>
      <w:r w:rsidRPr="001611DC">
        <w:t xml:space="preserve">ARI = acute respiratory infection; CI = confidence interval; LRTD = lower respiratory tract disease; mES = modified exposed set; N = number of participants; n = number of participants with at least one RT-PCR confirmed RSV-LRTD; NH = Northern Hemisphere; n/T (per 1000) = incidence rate of participants reporting at least one event; RSVPreF3 OA= RSV pre-fusion protein 3 older adult; RSV = respiratory syncytial virus; RT-PCR = reverse transcription-polymerase chain reaction; T (year) = sum of follow-up time (from Day 15 post-vaccination till first occurrence of the event or till the efficacy data lock point or till drop-out date) </w:t>
      </w:r>
      <w:r w:rsidRPr="001611DC">
        <w:rPr>
          <w:szCs w:val="18"/>
        </w:rPr>
        <w:t>expressed in years; VE = vaccine efficacy.</w:t>
      </w:r>
    </w:p>
    <w:p w14:paraId="07EA250C" w14:textId="6CF973BD" w:rsidR="009263AC" w:rsidRPr="001611DC" w:rsidRDefault="004C31D0" w:rsidP="009263AC">
      <w:pPr>
        <w:pStyle w:val="FooterTableFigure"/>
        <w:spacing w:after="0"/>
        <w:rPr>
          <w:rFonts w:eastAsia="Calibri"/>
          <w:szCs w:val="18"/>
        </w:rPr>
      </w:pPr>
      <w:r w:rsidRPr="001611DC">
        <w:rPr>
          <w:rFonts w:eastAsia="Calibri"/>
          <w:szCs w:val="18"/>
        </w:rPr>
        <w:t>a</w:t>
      </w:r>
      <w:r w:rsidR="009263AC" w:rsidRPr="001611DC">
        <w:rPr>
          <w:rFonts w:eastAsia="Calibri"/>
          <w:szCs w:val="18"/>
        </w:rPr>
        <w:t xml:space="preserve"> Prespecified secondary efficacy analyses included season as a covariate. </w:t>
      </w:r>
    </w:p>
    <w:p w14:paraId="3C9BFB67" w14:textId="77777777" w:rsidR="009263AC" w:rsidRPr="001611DC" w:rsidRDefault="009263AC" w:rsidP="00137401">
      <w:pPr>
        <w:pStyle w:val="TableNotes"/>
        <w:spacing w:after="0"/>
        <w:contextualSpacing w:val="0"/>
      </w:pPr>
      <w:r w:rsidRPr="001611DC">
        <w:t xml:space="preserve">b VE analysis CI = 95%. </w:t>
      </w:r>
    </w:p>
    <w:p w14:paraId="1E102F1B" w14:textId="443AA563" w:rsidR="00137401" w:rsidRPr="001611DC" w:rsidRDefault="00137401" w:rsidP="00844F2C">
      <w:pPr>
        <w:pStyle w:val="FooterTableFigure"/>
      </w:pPr>
      <w:r w:rsidRPr="001611DC">
        <w:rPr>
          <w:b/>
          <w:bCs/>
        </w:rPr>
        <w:t>Bold</w:t>
      </w:r>
      <w:r w:rsidRPr="001611DC">
        <w:t xml:space="preserve"> indicates statistically significant.</w:t>
      </w:r>
    </w:p>
    <w:p w14:paraId="2784F57C" w14:textId="3C7F4346" w:rsidR="009263AC" w:rsidRPr="001611DC" w:rsidRDefault="009263AC" w:rsidP="009263AC">
      <w:pPr>
        <w:pStyle w:val="3-BodyText"/>
        <w:rPr>
          <w:iCs/>
        </w:rPr>
      </w:pPr>
      <w:r w:rsidRPr="001611DC">
        <w:rPr>
          <w:snapToGrid/>
        </w:rPr>
        <w:t xml:space="preserve">A </w:t>
      </w:r>
      <w:r w:rsidR="005E1B5D" w:rsidRPr="001611DC">
        <w:rPr>
          <w:snapToGrid/>
        </w:rPr>
        <w:t>post</w:t>
      </w:r>
      <w:r w:rsidR="001D55F5" w:rsidRPr="001611DC">
        <w:rPr>
          <w:snapToGrid/>
        </w:rPr>
        <w:noBreakHyphen/>
      </w:r>
      <w:r w:rsidR="005E1B5D" w:rsidRPr="001611DC">
        <w:rPr>
          <w:snapToGrid/>
        </w:rPr>
        <w:t>hoc</w:t>
      </w:r>
      <w:r w:rsidRPr="001611DC">
        <w:rPr>
          <w:snapToGrid/>
        </w:rPr>
        <w:t xml:space="preserve"> subgroup analysis in adults </w:t>
      </w:r>
      <w:r w:rsidR="00E2719A" w:rsidRPr="001611DC">
        <w:rPr>
          <w:rFonts w:cs="Calibri"/>
        </w:rPr>
        <w:t>≥</w:t>
      </w:r>
      <w:r w:rsidRPr="001611DC">
        <w:t xml:space="preserve">75 YOA showed that compared to adults </w:t>
      </w:r>
      <w:r w:rsidR="00E2719A" w:rsidRPr="001611DC">
        <w:t>≥</w:t>
      </w:r>
      <w:r w:rsidRPr="001611DC">
        <w:t xml:space="preserve">60 YOA (overall trial population), RSVPreF3 OA was less </w:t>
      </w:r>
      <w:r w:rsidRPr="001611DC">
        <w:rPr>
          <w:snapToGrid/>
        </w:rPr>
        <w:t>efficacious in preventing RT-PCR confirmed RSV-LRTD based on VE analysis 1 and 3</w:t>
      </w:r>
      <w:r w:rsidR="00137401" w:rsidRPr="001611DC">
        <w:rPr>
          <w:snapToGrid/>
        </w:rPr>
        <w:t xml:space="preserve"> (single dose)</w:t>
      </w:r>
      <w:r w:rsidRPr="001611DC">
        <w:rPr>
          <w:snapToGrid/>
        </w:rPr>
        <w:t xml:space="preserve"> (</w:t>
      </w:r>
      <w:r w:rsidRPr="001611DC">
        <w:rPr>
          <w:snapToGrid/>
        </w:rPr>
        <w:fldChar w:fldCharType="begin" w:fldLock="1"/>
      </w:r>
      <w:r w:rsidRPr="001611DC">
        <w:rPr>
          <w:snapToGrid/>
        </w:rPr>
        <w:instrText xml:space="preserve"> REF _Ref165026457 \h  \* MERGEFORMAT </w:instrText>
      </w:r>
      <w:r w:rsidRPr="001611DC">
        <w:rPr>
          <w:snapToGrid/>
        </w:rPr>
      </w:r>
      <w:r w:rsidRPr="001611DC">
        <w:rPr>
          <w:snapToGrid/>
        </w:rPr>
        <w:fldChar w:fldCharType="separate"/>
      </w:r>
      <w:r w:rsidR="00927933" w:rsidRPr="001611DC">
        <w:rPr>
          <w:snapToGrid/>
        </w:rPr>
        <w:t>Table 8</w:t>
      </w:r>
      <w:r w:rsidRPr="001611DC">
        <w:rPr>
          <w:snapToGrid/>
        </w:rPr>
        <w:fldChar w:fldCharType="end"/>
      </w:r>
      <w:r w:rsidRPr="001611DC">
        <w:t xml:space="preserve">). The submission claimed that conclusions could not be made for the efficacy of RSVPreF3 </w:t>
      </w:r>
      <w:r w:rsidRPr="001611DC">
        <w:lastRenderedPageBreak/>
        <w:t xml:space="preserve">OA against RT-PCR confirmed RSV-LRTD in adults </w:t>
      </w:r>
      <w:r w:rsidR="00E2719A" w:rsidRPr="001611DC">
        <w:t>≥</w:t>
      </w:r>
      <w:r w:rsidRPr="001611DC">
        <w:t xml:space="preserve">75 YOA due to an insufficient number of accrued RSV-LRTD cases (n=32) and small sample size in this age group. The ability to draw efficacy conclusions based on this analysis are limited by the </w:t>
      </w:r>
      <w:r w:rsidR="005E1B5D" w:rsidRPr="001611DC">
        <w:t>post hoc</w:t>
      </w:r>
      <w:r w:rsidRPr="001611DC">
        <w:t xml:space="preserve"> nature of the analysis with small numbers of participants.</w:t>
      </w:r>
      <w:r w:rsidR="001B266F" w:rsidRPr="001611DC">
        <w:rPr>
          <w:bCs/>
        </w:rPr>
        <w:t xml:space="preserve"> </w:t>
      </w:r>
      <w:r w:rsidR="007D2BFB" w:rsidRPr="001611DC">
        <w:rPr>
          <w:bCs/>
          <w:iCs/>
        </w:rPr>
        <w:t xml:space="preserve">The ESC </w:t>
      </w:r>
      <w:r w:rsidR="007D2BFB" w:rsidRPr="001611DC">
        <w:rPr>
          <w:iCs/>
        </w:rPr>
        <w:t xml:space="preserve">noted that ATAGI had considered it was reasonable to </w:t>
      </w:r>
      <w:proofErr w:type="gramStart"/>
      <w:r w:rsidR="007D2BFB" w:rsidRPr="001611DC">
        <w:rPr>
          <w:iCs/>
        </w:rPr>
        <w:t>make an assumption</w:t>
      </w:r>
      <w:proofErr w:type="gramEnd"/>
      <w:r w:rsidR="007D2BFB" w:rsidRPr="001611DC">
        <w:rPr>
          <w:iCs/>
        </w:rPr>
        <w:t xml:space="preserve"> of similar VE for the </w:t>
      </w:r>
      <w:r w:rsidR="00E2719A" w:rsidRPr="001611DC">
        <w:rPr>
          <w:iCs/>
        </w:rPr>
        <w:t>≥</w:t>
      </w:r>
      <w:r w:rsidR="007D2BFB" w:rsidRPr="001611DC">
        <w:rPr>
          <w:iCs/>
        </w:rPr>
        <w:t xml:space="preserve">60 YOA and </w:t>
      </w:r>
      <w:r w:rsidR="00E2719A" w:rsidRPr="001611DC">
        <w:rPr>
          <w:iCs/>
        </w:rPr>
        <w:t>≥</w:t>
      </w:r>
      <w:r w:rsidR="007D2BFB" w:rsidRPr="001611DC">
        <w:rPr>
          <w:iCs/>
        </w:rPr>
        <w:t xml:space="preserve">75 YOA age strata, and </w:t>
      </w:r>
      <w:r w:rsidR="007D2BFB" w:rsidRPr="001611DC">
        <w:rPr>
          <w:bCs/>
          <w:iCs/>
        </w:rPr>
        <w:t xml:space="preserve">agreed with the commentary that this was uncertain due to the </w:t>
      </w:r>
      <w:r w:rsidR="005E1B5D" w:rsidRPr="001611DC">
        <w:rPr>
          <w:bCs/>
          <w:iCs/>
        </w:rPr>
        <w:t>post hoc</w:t>
      </w:r>
      <w:r w:rsidR="007D2BFB" w:rsidRPr="001611DC">
        <w:rPr>
          <w:bCs/>
          <w:iCs/>
        </w:rPr>
        <w:t xml:space="preserve"> nature of the analysis and the small number of infections observed.</w:t>
      </w:r>
    </w:p>
    <w:p w14:paraId="093FAB05" w14:textId="56044BBB" w:rsidR="00C9444A" w:rsidRPr="001611DC" w:rsidRDefault="009263AC">
      <w:pPr>
        <w:pStyle w:val="3-BodyText"/>
      </w:pPr>
      <w:bookmarkStart w:id="58" w:name="_Ref174472796"/>
      <w:bookmarkStart w:id="59" w:name="_Ref170075246"/>
      <w:proofErr w:type="gramStart"/>
      <w:r w:rsidRPr="001611DC">
        <w:rPr>
          <w:snapToGrid/>
        </w:rPr>
        <w:t>On the basis of</w:t>
      </w:r>
      <w:proofErr w:type="gramEnd"/>
      <w:r w:rsidRPr="001611DC">
        <w:rPr>
          <w:snapToGrid/>
        </w:rPr>
        <w:t xml:space="preserve"> the findings of the immunogenicity study A</w:t>
      </w:r>
      <w:r w:rsidR="0083552E" w:rsidRPr="001611DC">
        <w:rPr>
          <w:snapToGrid/>
        </w:rPr>
        <w:t>r</w:t>
      </w:r>
      <w:r w:rsidRPr="001611DC">
        <w:rPr>
          <w:snapToGrid/>
        </w:rPr>
        <w:t xml:space="preserve">eSVi-004, </w:t>
      </w:r>
      <w:r w:rsidRPr="001611DC">
        <w:t xml:space="preserve">the submission claimed that vaccine protection and immune persistence are expected in all adults </w:t>
      </w:r>
      <w:r w:rsidR="00E2719A" w:rsidRPr="001611DC">
        <w:t>≥</w:t>
      </w:r>
      <w:r w:rsidRPr="001611DC">
        <w:t xml:space="preserve">60 YOA, </w:t>
      </w:r>
      <w:r w:rsidR="006B2311" w:rsidRPr="001611DC">
        <w:t xml:space="preserve">i.e. </w:t>
      </w:r>
      <w:r w:rsidRPr="001611DC">
        <w:t>regardless of age</w:t>
      </w:r>
      <w:r w:rsidR="0015455D" w:rsidRPr="001611DC">
        <w:t xml:space="preserve"> bracket</w:t>
      </w:r>
      <w:r w:rsidRPr="001611DC">
        <w:t>. The submission supported this claim with evidence from A</w:t>
      </w:r>
      <w:r w:rsidR="0083552E" w:rsidRPr="001611DC">
        <w:t>r</w:t>
      </w:r>
      <w:r w:rsidRPr="001611DC">
        <w:t>esVi-004 in which</w:t>
      </w:r>
      <w:r w:rsidRPr="001611DC">
        <w:rPr>
          <w:snapToGrid/>
        </w:rPr>
        <w:t xml:space="preserve"> </w:t>
      </w:r>
      <w:r w:rsidR="00F57280" w:rsidRPr="001611DC">
        <w:t>participants</w:t>
      </w:r>
      <w:r w:rsidRPr="001611DC">
        <w:rPr>
          <w:snapToGrid/>
        </w:rPr>
        <w:t xml:space="preserve"> who received the vaccine produced measurably higher levels of immunogenic response, irrespective of the</w:t>
      </w:r>
      <w:r w:rsidR="00B07E75" w:rsidRPr="001611DC">
        <w:rPr>
          <w:snapToGrid/>
        </w:rPr>
        <w:t>ir</w:t>
      </w:r>
      <w:r w:rsidRPr="001611DC">
        <w:rPr>
          <w:snapToGrid/>
        </w:rPr>
        <w:t xml:space="preserve"> age</w:t>
      </w:r>
      <w:r w:rsidRPr="001611DC">
        <w:t xml:space="preserve">. </w:t>
      </w:r>
      <w:r w:rsidRPr="001611DC">
        <w:rPr>
          <w:iCs/>
        </w:rPr>
        <w:t xml:space="preserve">The immunogenicity results per age subgroup analysis included 60-69 YOA, 70-79 YOA and </w:t>
      </w:r>
      <w:r w:rsidR="00E2719A" w:rsidRPr="001611DC">
        <w:rPr>
          <w:iCs/>
        </w:rPr>
        <w:t>≥</w:t>
      </w:r>
      <w:r w:rsidRPr="001611DC">
        <w:rPr>
          <w:iCs/>
        </w:rPr>
        <w:t xml:space="preserve">80 YOA, and did not include adults </w:t>
      </w:r>
      <w:r w:rsidR="00E2719A" w:rsidRPr="001611DC">
        <w:rPr>
          <w:iCs/>
        </w:rPr>
        <w:t>≥</w:t>
      </w:r>
      <w:r w:rsidRPr="001611DC">
        <w:rPr>
          <w:iCs/>
        </w:rPr>
        <w:t>75 YOA subgroup. That said, the humoral and cellular responses were generally high and consistent across age groups provided. The ATAGI Post-submission Advice to PBAC</w:t>
      </w:r>
      <w:r w:rsidRPr="001611DC" w:rsidDel="00F80065">
        <w:rPr>
          <w:iCs/>
        </w:rPr>
        <w:t xml:space="preserve"> </w:t>
      </w:r>
      <w:r w:rsidRPr="001611DC">
        <w:rPr>
          <w:iCs/>
        </w:rPr>
        <w:t xml:space="preserve">noted that given the immune response is consistent in older groups it is fair to assume that VE would be maintained, noting that even though VE of many vaccines drops with advancing age, the adjuvant </w:t>
      </w:r>
      <w:r w:rsidR="006F3B09" w:rsidRPr="001611DC">
        <w:rPr>
          <w:iCs/>
        </w:rPr>
        <w:t xml:space="preserve">component </w:t>
      </w:r>
      <w:r w:rsidRPr="001611DC">
        <w:rPr>
          <w:iCs/>
        </w:rPr>
        <w:t xml:space="preserve">of RSVPreF3 OA vaccine would help maintain its efficacy in older people. </w:t>
      </w:r>
      <w:r w:rsidR="00C9444A" w:rsidRPr="001611DC">
        <w:t>The PSCR presented new immunogenicity results from A</w:t>
      </w:r>
      <w:r w:rsidR="0083552E" w:rsidRPr="001611DC">
        <w:t>r</w:t>
      </w:r>
      <w:r w:rsidR="00C9444A" w:rsidRPr="001611DC">
        <w:t>eSVi-004 to support the claim of a stronger immune response from revaccination with RSVPreF3 OA at 24 months (compared with revaccination at 12 months and further revaccination at 24 months), and similar reactogenicity and safety profiles (compared to first dose).</w:t>
      </w:r>
      <w:bookmarkEnd w:id="58"/>
      <w:r w:rsidR="00C9444A" w:rsidRPr="001611DC">
        <w:t xml:space="preserve"> </w:t>
      </w:r>
      <w:bookmarkEnd w:id="59"/>
    </w:p>
    <w:p w14:paraId="178FF55A" w14:textId="026047D4" w:rsidR="004168E7" w:rsidRPr="001611DC" w:rsidRDefault="009263AC" w:rsidP="004168E7">
      <w:pPr>
        <w:pStyle w:val="3-BodyText"/>
      </w:pPr>
      <w:r w:rsidRPr="001611DC">
        <w:rPr>
          <w:iCs/>
        </w:rPr>
        <w:t>No decline in VE was observed with increasing age when analysed per 10-year strata (60-69 YOA versus 70-79 YOA) (</w:t>
      </w:r>
      <w:r w:rsidRPr="001611DC">
        <w:rPr>
          <w:iCs/>
        </w:rPr>
        <w:fldChar w:fldCharType="begin" w:fldLock="1"/>
      </w:r>
      <w:r w:rsidRPr="001611DC">
        <w:rPr>
          <w:iCs/>
        </w:rPr>
        <w:instrText xml:space="preserve"> REF _Ref165461176 \h  \* MERGEFORMAT </w:instrText>
      </w:r>
      <w:r w:rsidRPr="001611DC">
        <w:rPr>
          <w:iCs/>
        </w:rPr>
      </w:r>
      <w:r w:rsidRPr="001611DC">
        <w:rPr>
          <w:iCs/>
        </w:rPr>
        <w:fldChar w:fldCharType="separate"/>
      </w:r>
      <w:r w:rsidR="00927933" w:rsidRPr="001611DC">
        <w:t>Figure 1</w:t>
      </w:r>
      <w:r w:rsidRPr="001611DC">
        <w:rPr>
          <w:iCs/>
        </w:rPr>
        <w:fldChar w:fldCharType="end"/>
      </w:r>
      <w:r w:rsidRPr="001611DC">
        <w:rPr>
          <w:iCs/>
        </w:rPr>
        <w:t xml:space="preserve">). VE was not demonstrated in the </w:t>
      </w:r>
      <w:r w:rsidRPr="001611DC">
        <w:rPr>
          <w:rFonts w:cs="Calibri"/>
          <w:szCs w:val="20"/>
          <w:u w:val="single"/>
        </w:rPr>
        <w:t>&gt;</w:t>
      </w:r>
      <w:r w:rsidRPr="001611DC">
        <w:rPr>
          <w:szCs w:val="20"/>
        </w:rPr>
        <w:t>80 YOA subgroup (at any time-point), however these results were subject to low numbers of participants and RSV cases in this group.</w:t>
      </w:r>
      <w:r w:rsidR="004168E7" w:rsidRPr="001611DC">
        <w:rPr>
          <w:szCs w:val="20"/>
        </w:rPr>
        <w:t xml:space="preserve"> </w:t>
      </w:r>
      <w:r w:rsidR="007F0FCD" w:rsidRPr="001611DC">
        <w:t xml:space="preserve">Compared to the overall trial population, RSVPreF3 OA remained efficacious for all the predefined subgroups, except for ≥80 YOA and frail subgroups that showed a low VE compared to the overall trial population (see </w:t>
      </w:r>
      <w:r w:rsidR="007F0FCD" w:rsidRPr="001611DC">
        <w:rPr>
          <w:highlight w:val="yellow"/>
        </w:rPr>
        <w:fldChar w:fldCharType="begin" w:fldLock="1"/>
      </w:r>
      <w:r w:rsidR="007F0FCD" w:rsidRPr="001611DC">
        <w:instrText xml:space="preserve"> REF _Ref165461176 \h </w:instrText>
      </w:r>
      <w:r w:rsidR="007F0FCD" w:rsidRPr="001611DC">
        <w:rPr>
          <w:highlight w:val="yellow"/>
        </w:rPr>
      </w:r>
      <w:r w:rsidR="007F0FCD" w:rsidRPr="001611DC">
        <w:rPr>
          <w:highlight w:val="yellow"/>
        </w:rPr>
        <w:fldChar w:fldCharType="separate"/>
      </w:r>
      <w:r w:rsidR="00927933" w:rsidRPr="001611DC">
        <w:t>Figure 1</w:t>
      </w:r>
      <w:r w:rsidR="007F0FCD" w:rsidRPr="001611DC">
        <w:rPr>
          <w:highlight w:val="yellow"/>
        </w:rPr>
        <w:fldChar w:fldCharType="end"/>
      </w:r>
      <w:r w:rsidR="007F0FCD" w:rsidRPr="001611DC">
        <w:t xml:space="preserve">). The submission claimed that the evidence on the efficacy of RSVPreF3 OA in these subgroups was inconclusive due to the low number of RSV confirmed LRTD cases. </w:t>
      </w:r>
      <w:r w:rsidR="007F0FCD" w:rsidRPr="001611DC">
        <w:rPr>
          <w:iCs/>
        </w:rPr>
        <w:t>Given the low number of cases reporting RSV-LRTD in these subgroups this claim was reasonable.</w:t>
      </w:r>
    </w:p>
    <w:p w14:paraId="15E0A671" w14:textId="252F78C7" w:rsidR="009263AC" w:rsidRPr="001611DC" w:rsidRDefault="004168E7">
      <w:pPr>
        <w:pStyle w:val="3-BodyText"/>
        <w:rPr>
          <w:iCs/>
        </w:rPr>
      </w:pPr>
      <w:r w:rsidRPr="001611DC">
        <w:rPr>
          <w:bCs/>
          <w:iCs/>
        </w:rPr>
        <w:t xml:space="preserve">The ATAGI advice to the PBAC suggested consideration should be given to higher risk individuals aged 60-74 YOA. </w:t>
      </w:r>
      <w:r w:rsidRPr="001611DC">
        <w:t xml:space="preserve">RSVPreF3 OA demonstrated similar VE in those with </w:t>
      </w:r>
      <w:r w:rsidRPr="001611DC">
        <w:rPr>
          <w:rFonts w:cs="Calibri"/>
        </w:rPr>
        <w:t>≥</w:t>
      </w:r>
      <w:r w:rsidRPr="001611DC">
        <w:t>1 comorbidity compared to those with no comorbidities</w:t>
      </w:r>
      <w:r w:rsidRPr="001611DC">
        <w:rPr>
          <w:iCs/>
        </w:rPr>
        <w:t>(</w:t>
      </w:r>
      <w:r w:rsidRPr="001611DC">
        <w:rPr>
          <w:iCs/>
        </w:rPr>
        <w:fldChar w:fldCharType="begin" w:fldLock="1"/>
      </w:r>
      <w:r w:rsidRPr="001611DC">
        <w:rPr>
          <w:iCs/>
        </w:rPr>
        <w:instrText xml:space="preserve"> REF _Ref165461176 \h  \* MERGEFORMAT </w:instrText>
      </w:r>
      <w:r w:rsidRPr="001611DC">
        <w:rPr>
          <w:iCs/>
        </w:rPr>
      </w:r>
      <w:r w:rsidRPr="001611DC">
        <w:rPr>
          <w:iCs/>
        </w:rPr>
        <w:fldChar w:fldCharType="separate"/>
      </w:r>
      <w:r w:rsidR="00927933" w:rsidRPr="001611DC">
        <w:t>Figure 1</w:t>
      </w:r>
      <w:r w:rsidRPr="001611DC">
        <w:rPr>
          <w:iCs/>
        </w:rPr>
        <w:fldChar w:fldCharType="end"/>
      </w:r>
      <w:r w:rsidRPr="001611DC">
        <w:rPr>
          <w:iCs/>
        </w:rPr>
        <w:t>)</w:t>
      </w:r>
      <w:r w:rsidRPr="001611DC">
        <w:t xml:space="preserve">. Comorbidities defined by the trial protocol did not include some factors identified by the ATAGI as risk factors for RSV, including </w:t>
      </w:r>
      <w:r w:rsidRPr="001611DC">
        <w:rPr>
          <w:iCs/>
        </w:rPr>
        <w:t xml:space="preserve">immunocompromising conditions (e.g. solid malignancy, haematological malignancy) and chronic neurological conditions which increase respiratory infection risk. </w:t>
      </w:r>
    </w:p>
    <w:p w14:paraId="71141ABF" w14:textId="7EF13738" w:rsidR="008548CC" w:rsidRPr="001611DC" w:rsidRDefault="008548CC" w:rsidP="003E5AC2">
      <w:pPr>
        <w:pStyle w:val="TableFigureHeading"/>
      </w:pPr>
      <w:bookmarkStart w:id="60" w:name="_Ref165461176"/>
      <w:r w:rsidRPr="001611DC">
        <w:lastRenderedPageBreak/>
        <w:t xml:space="preserve">Figure </w:t>
      </w:r>
      <w:r w:rsidRPr="001611DC">
        <w:fldChar w:fldCharType="begin" w:fldLock="1"/>
      </w:r>
      <w:r w:rsidRPr="001611DC">
        <w:instrText xml:space="preserve"> SEQ Figure \* ARABIC </w:instrText>
      </w:r>
      <w:r w:rsidRPr="001611DC">
        <w:fldChar w:fldCharType="separate"/>
      </w:r>
      <w:r w:rsidR="00927933" w:rsidRPr="001611DC">
        <w:t>1</w:t>
      </w:r>
      <w:r w:rsidRPr="001611DC">
        <w:fldChar w:fldCharType="end"/>
      </w:r>
      <w:bookmarkEnd w:id="60"/>
      <w:r w:rsidRPr="001611DC">
        <w:t>: Forest plot summary of vaccine efficacy against first occurrence of RT-PCR-confirmed RSV-LRTD or RSV</w:t>
      </w:r>
      <w:r w:rsidR="00D274F6" w:rsidRPr="001611DC">
        <w:noBreakHyphen/>
      </w:r>
      <w:r w:rsidRPr="001611DC">
        <w:t>ARI up to end of Season 2 in NH, using Poisson method, mES</w:t>
      </w:r>
    </w:p>
    <w:p w14:paraId="2B52F844" w14:textId="77777777" w:rsidR="008548CC" w:rsidRPr="001611DC" w:rsidRDefault="008548CC" w:rsidP="008F5D30">
      <w:pPr>
        <w:rPr>
          <w:rFonts w:eastAsia="Calibri"/>
        </w:rPr>
      </w:pPr>
      <w:r w:rsidRPr="001611DC">
        <w:rPr>
          <w:rStyle w:val="normaltextrun"/>
          <w:rFonts w:cs="Calibri"/>
          <w:noProof/>
          <w:color w:val="000000"/>
          <w:shd w:val="clear" w:color="auto" w:fill="FFFFFF"/>
        </w:rPr>
        <w:drawing>
          <wp:inline distT="0" distB="0" distL="0" distR="0" wp14:anchorId="54896175" wp14:editId="0E07AC8F">
            <wp:extent cx="5382883" cy="3154825"/>
            <wp:effectExtent l="0" t="0" r="8890" b="7620"/>
            <wp:docPr id="1" name="Picture 1" descr="Figure 1: Forest plot summary of vaccine efficacy against first occurrence of RT-PCR-confirmed RSV-LRTD or RSV ARI up to end of Season 2 in NH, using Poisson method, 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Forest plot summary of vaccine efficacy against first occurrence of RT-PCR-confirmed RSV-LRTD or RSV ARI up to end of Season 2 in NH, using Poisson method, m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222" cy="3173192"/>
                    </a:xfrm>
                    <a:prstGeom prst="rect">
                      <a:avLst/>
                    </a:prstGeom>
                    <a:noFill/>
                    <a:ln>
                      <a:noFill/>
                    </a:ln>
                  </pic:spPr>
                </pic:pic>
              </a:graphicData>
            </a:graphic>
          </wp:inline>
        </w:drawing>
      </w:r>
    </w:p>
    <w:p w14:paraId="290B0B51" w14:textId="69509355" w:rsidR="008548CC" w:rsidRPr="001611DC" w:rsidRDefault="008548CC" w:rsidP="003E5AC2">
      <w:pPr>
        <w:pStyle w:val="FooterTableFigure"/>
      </w:pPr>
      <w:r w:rsidRPr="001611DC">
        <w:t>Source: Figure 2-8of the submission.</w:t>
      </w:r>
    </w:p>
    <w:p w14:paraId="27BDE843" w14:textId="77777777" w:rsidR="008548CC" w:rsidRPr="001611DC" w:rsidRDefault="008548CC" w:rsidP="003E5AC2">
      <w:pPr>
        <w:pStyle w:val="FooterTableFigure"/>
      </w:pPr>
      <w:r w:rsidRPr="001611DC">
        <w:t>ARI = acute respiratory infection; CI = confidence interval; LRTD = lower respiratory tract disease; mES = modified exposed set; N = number of participants; n = number of participants with at least one RT-PCR confirmed RSV LRTD or RSV ARI; NH = Northern Hemisphere; RSV = respiratory syncytial virus; RSVPreF3 = participants receiving RSVPreF3 OA investigational vaccine (pooled lots); RT-PCR = reverse transcription-polymerase chain reaction; VE = vaccine efficacy.</w:t>
      </w:r>
    </w:p>
    <w:p w14:paraId="30E605C6" w14:textId="0609A6F0" w:rsidR="008548CC" w:rsidRPr="00844F2C" w:rsidRDefault="008548CC" w:rsidP="003E5AC2">
      <w:pPr>
        <w:pStyle w:val="FooterTableFigure"/>
      </w:pPr>
      <w:r w:rsidRPr="001611DC">
        <w:t xml:space="preserve">For single dose evaluation, participants who received RSVPreF3 OA investigational vaccine at Dose 2 (revaccination group) were censored at Dose 2. </w:t>
      </w:r>
    </w:p>
    <w:p w14:paraId="665DECEE" w14:textId="6BF0A18F" w:rsidR="009263AC" w:rsidRPr="001611DC" w:rsidRDefault="009263AC" w:rsidP="009263AC">
      <w:pPr>
        <w:pStyle w:val="3-BodyText"/>
        <w:rPr>
          <w:iCs/>
        </w:rPr>
      </w:pPr>
      <w:r w:rsidRPr="001611DC">
        <w:t xml:space="preserve">The ATAGI Pre-submission advice to the PBAC stated that ‘the ATAGI RSV subgroup has expressed interest in data for VE in First Nations people, and of any clinical trials underway in adults aged &lt;60 years which may support a lower age of registration for RSV vaccines (and therefore potentially younger age eligibility for First Nations peoples)’. In response, the submission presented a </w:t>
      </w:r>
      <w:r w:rsidR="005E1B5D" w:rsidRPr="001611DC">
        <w:t>post hoc</w:t>
      </w:r>
      <w:r w:rsidRPr="001611DC">
        <w:t xml:space="preserve"> VE analysis for all adults 60-64 YOA in Season 2 as supportive evidence. The</w:t>
      </w:r>
      <w:r w:rsidRPr="26FD689E">
        <w:rPr>
          <w:rFonts w:cstheme="minorBidi"/>
          <w:b/>
        </w:rPr>
        <w:t xml:space="preserve"> </w:t>
      </w:r>
      <w:r w:rsidRPr="26FD689E">
        <w:rPr>
          <w:rFonts w:cstheme="minorBidi"/>
        </w:rPr>
        <w:t>findings</w:t>
      </w:r>
      <w:r w:rsidRPr="26FD689E">
        <w:rPr>
          <w:rFonts w:cstheme="minorBidi"/>
          <w:b/>
        </w:rPr>
        <w:t xml:space="preserve"> </w:t>
      </w:r>
      <w:r w:rsidRPr="26FD689E">
        <w:rPr>
          <w:rFonts w:cstheme="minorBidi"/>
        </w:rPr>
        <w:t>(</w:t>
      </w:r>
      <w:r w:rsidRPr="26FD689E">
        <w:rPr>
          <w:rFonts w:cstheme="minorBidi"/>
          <w:b/>
        </w:rPr>
        <w:fldChar w:fldCharType="begin" w:fldLock="1"/>
      </w:r>
      <w:r w:rsidRPr="26FD689E">
        <w:rPr>
          <w:rFonts w:cstheme="minorBidi"/>
          <w:b/>
        </w:rPr>
        <w:instrText xml:space="preserve"> REF _Ref165026457 \h  \* MERGEFORMAT </w:instrText>
      </w:r>
      <w:r w:rsidRPr="26FD689E">
        <w:rPr>
          <w:rFonts w:cstheme="minorBidi"/>
          <w:b/>
        </w:rPr>
      </w:r>
      <w:r w:rsidRPr="26FD689E">
        <w:rPr>
          <w:rFonts w:cstheme="minorBidi"/>
          <w:b/>
        </w:rPr>
        <w:fldChar w:fldCharType="separate"/>
      </w:r>
      <w:r w:rsidR="00927933" w:rsidRPr="26FD689E">
        <w:rPr>
          <w:rStyle w:val="CommentReference"/>
          <w:rFonts w:asciiTheme="minorHAnsi" w:hAnsiTheme="minorHAnsi" w:cstheme="minorBidi"/>
          <w:b w:val="0"/>
          <w:sz w:val="24"/>
          <w:szCs w:val="24"/>
        </w:rPr>
        <w:t>Table 8</w:t>
      </w:r>
      <w:r w:rsidRPr="26FD689E">
        <w:rPr>
          <w:rFonts w:cstheme="minorBidi"/>
          <w:b/>
        </w:rPr>
        <w:fldChar w:fldCharType="end"/>
      </w:r>
      <w:r w:rsidRPr="26FD689E">
        <w:rPr>
          <w:rFonts w:cstheme="minorBidi"/>
        </w:rPr>
        <w:t>)</w:t>
      </w:r>
      <w:r w:rsidRPr="001611DC">
        <w:rPr>
          <w:bCs/>
        </w:rPr>
        <w:t xml:space="preserve"> </w:t>
      </w:r>
      <w:r w:rsidRPr="001611DC">
        <w:t xml:space="preserve">demonstrated that VE of RSVPreF3 OA against RT-PCR confirmed RSV-LRTD was higher in adults 60-64 YOA compared to the overall trial population </w:t>
      </w:r>
      <w:r w:rsidR="00E2719A" w:rsidRPr="001611DC">
        <w:t>≥</w:t>
      </w:r>
      <w:r w:rsidRPr="001611DC">
        <w:t xml:space="preserve">60 YOA in Season 2. </w:t>
      </w:r>
      <w:r w:rsidRPr="001611DC">
        <w:rPr>
          <w:bCs/>
          <w:iCs/>
        </w:rPr>
        <w:t xml:space="preserve">VE in the </w:t>
      </w:r>
      <w:r w:rsidR="005E1B5D" w:rsidRPr="001611DC">
        <w:rPr>
          <w:bCs/>
          <w:iCs/>
        </w:rPr>
        <w:t>post hoc</w:t>
      </w:r>
      <w:r w:rsidRPr="001611DC">
        <w:rPr>
          <w:bCs/>
          <w:iCs/>
        </w:rPr>
        <w:t xml:space="preserve"> subgroup 60-64 YOA cannot necessarily be translated to younger First Nations people</w:t>
      </w:r>
      <w:r w:rsidR="00D051B8" w:rsidRPr="001611DC">
        <w:rPr>
          <w:bCs/>
          <w:iCs/>
        </w:rPr>
        <w:t>,</w:t>
      </w:r>
      <w:r w:rsidRPr="001611DC">
        <w:rPr>
          <w:bCs/>
          <w:iCs/>
        </w:rPr>
        <w:t xml:space="preserve"> given that the subgroup was not pre-specified/stratified. Moreover, data on baseline characteristics for this subgroup, such as co-morbidities and social factors, which are likely to affect the incidence of RSV acquisition and the severity of resulting sequalae, were not provided which means it was not possible to assess the applicability of these results to First Nations people.</w:t>
      </w:r>
      <w:r w:rsidR="00350785" w:rsidRPr="001611DC">
        <w:rPr>
          <w:bCs/>
        </w:rPr>
        <w:t xml:space="preserve"> </w:t>
      </w:r>
      <w:r w:rsidR="00350785" w:rsidRPr="001611DC">
        <w:rPr>
          <w:bCs/>
          <w:iCs/>
        </w:rPr>
        <w:t>The PSCR stated that analysis of the 60-69 YOA subgroup was pre-specified, and suggested this age group would be a reasonable proxy for the 60</w:t>
      </w:r>
      <w:r w:rsidR="007F00D9" w:rsidRPr="001611DC">
        <w:rPr>
          <w:bCs/>
          <w:iCs/>
        </w:rPr>
        <w:t>-</w:t>
      </w:r>
      <w:r w:rsidR="00350785" w:rsidRPr="001611DC">
        <w:rPr>
          <w:bCs/>
          <w:iCs/>
        </w:rPr>
        <w:t>64 YOA group.</w:t>
      </w:r>
    </w:p>
    <w:p w14:paraId="3C5742EC" w14:textId="1F517ABB" w:rsidR="009263AC" w:rsidRPr="001611DC" w:rsidRDefault="009263AC" w:rsidP="009263AC">
      <w:pPr>
        <w:keepNext/>
        <w:keepLines/>
        <w:rPr>
          <w:rStyle w:val="CommentReference"/>
          <w:b w:val="0"/>
        </w:rPr>
      </w:pPr>
      <w:bookmarkStart w:id="61" w:name="_Ref165026457"/>
      <w:r w:rsidRPr="001611DC">
        <w:rPr>
          <w:rStyle w:val="CommentReference"/>
        </w:rPr>
        <w:lastRenderedPageBreak/>
        <w:t xml:space="preserve">Table </w:t>
      </w:r>
      <w:r w:rsidRPr="001611DC">
        <w:rPr>
          <w:rStyle w:val="CommentReference"/>
          <w:b w:val="0"/>
        </w:rPr>
        <w:fldChar w:fldCharType="begin" w:fldLock="1"/>
      </w:r>
      <w:r w:rsidRPr="001611DC">
        <w:rPr>
          <w:rStyle w:val="CommentReference"/>
        </w:rPr>
        <w:instrText xml:space="preserve"> SEQ Table \* ARABIC </w:instrText>
      </w:r>
      <w:r w:rsidRPr="001611DC">
        <w:rPr>
          <w:rStyle w:val="CommentReference"/>
          <w:b w:val="0"/>
        </w:rPr>
        <w:fldChar w:fldCharType="separate"/>
      </w:r>
      <w:r w:rsidR="00927933" w:rsidRPr="001611DC">
        <w:rPr>
          <w:rStyle w:val="CommentReference"/>
        </w:rPr>
        <w:t>8</w:t>
      </w:r>
      <w:r w:rsidRPr="001611DC">
        <w:rPr>
          <w:rStyle w:val="CommentReference"/>
          <w:b w:val="0"/>
        </w:rPr>
        <w:fldChar w:fldCharType="end"/>
      </w:r>
      <w:bookmarkEnd w:id="61"/>
      <w:r w:rsidRPr="001611DC">
        <w:rPr>
          <w:rStyle w:val="CommentReference"/>
        </w:rPr>
        <w:t xml:space="preserve">: </w:t>
      </w:r>
      <w:r w:rsidRPr="001611DC">
        <w:rPr>
          <w:rFonts w:ascii="Arial Narrow" w:hAnsi="Arial Narrow"/>
          <w:b/>
          <w:sz w:val="20"/>
        </w:rPr>
        <w:t xml:space="preserve">VE against first occurrence of RSV-confirmed LRTD in adults </w:t>
      </w:r>
      <w:r w:rsidR="00E2719A" w:rsidRPr="001611DC">
        <w:rPr>
          <w:rFonts w:ascii="Arial Narrow" w:hAnsi="Arial Narrow"/>
          <w:b/>
          <w:sz w:val="20"/>
        </w:rPr>
        <w:t>≥</w:t>
      </w:r>
      <w:r w:rsidRPr="001611DC">
        <w:rPr>
          <w:rFonts w:ascii="Arial Narrow" w:hAnsi="Arial Narrow"/>
          <w:b/>
          <w:sz w:val="20"/>
        </w:rPr>
        <w:t xml:space="preserve">75 YOA and 60-64 YOA, </w:t>
      </w:r>
      <w:r w:rsidR="005E1B5D" w:rsidRPr="001611DC">
        <w:rPr>
          <w:rFonts w:ascii="Arial Narrow" w:hAnsi="Arial Narrow"/>
          <w:b/>
          <w:sz w:val="20"/>
        </w:rPr>
        <w:t>post hoc</w:t>
      </w:r>
      <w:r w:rsidRPr="001611DC">
        <w:rPr>
          <w:rFonts w:ascii="Arial Narrow" w:hAnsi="Arial Narrow"/>
          <w:b/>
          <w:sz w:val="20"/>
        </w:rPr>
        <w:t xml:space="preserve"> subgroup analysis</w:t>
      </w:r>
    </w:p>
    <w:tbl>
      <w:tblPr>
        <w:tblStyle w:val="TableGrid"/>
        <w:tblW w:w="0" w:type="auto"/>
        <w:tblLayout w:type="fixed"/>
        <w:tblLook w:val="04A0" w:firstRow="1" w:lastRow="0" w:firstColumn="1" w:lastColumn="0" w:noHBand="0" w:noVBand="1"/>
        <w:tblCaption w:val="Table 8: VE against first occurrence of RSV-confirmed LRTD in adults ≥75 YOA and 60-64 YOA, post hoc subgroup analysis"/>
      </w:tblPr>
      <w:tblGrid>
        <w:gridCol w:w="1413"/>
        <w:gridCol w:w="850"/>
        <w:gridCol w:w="426"/>
        <w:gridCol w:w="887"/>
        <w:gridCol w:w="811"/>
        <w:gridCol w:w="718"/>
        <w:gridCol w:w="490"/>
        <w:gridCol w:w="943"/>
        <w:gridCol w:w="846"/>
        <w:gridCol w:w="1633"/>
      </w:tblGrid>
      <w:tr w:rsidR="009263AC" w:rsidRPr="001611DC" w14:paraId="0C6E252D" w14:textId="77777777" w:rsidTr="00137401">
        <w:tc>
          <w:tcPr>
            <w:tcW w:w="1413" w:type="dxa"/>
            <w:vMerge w:val="restart"/>
          </w:tcPr>
          <w:p w14:paraId="7AAF371D" w14:textId="77777777" w:rsidR="009263AC" w:rsidRPr="001611DC" w:rsidRDefault="009263AC" w:rsidP="00EB145B">
            <w:pPr>
              <w:pStyle w:val="In-tableHeading"/>
              <w:rPr>
                <w:lang w:val="en-AU"/>
              </w:rPr>
            </w:pPr>
            <w:r w:rsidRPr="001611DC">
              <w:rPr>
                <w:lang w:val="en-AU"/>
              </w:rPr>
              <w:t xml:space="preserve">Endpoint </w:t>
            </w:r>
          </w:p>
        </w:tc>
        <w:tc>
          <w:tcPr>
            <w:tcW w:w="2974" w:type="dxa"/>
            <w:gridSpan w:val="4"/>
          </w:tcPr>
          <w:p w14:paraId="2EE25C81" w14:textId="77777777" w:rsidR="009263AC" w:rsidRPr="001611DC" w:rsidRDefault="009263AC" w:rsidP="00EB145B">
            <w:pPr>
              <w:pStyle w:val="In-tableHeading"/>
              <w:jc w:val="center"/>
              <w:rPr>
                <w:lang w:val="en-AU"/>
              </w:rPr>
            </w:pPr>
            <w:r w:rsidRPr="001611DC">
              <w:rPr>
                <w:lang w:val="en-AU"/>
              </w:rPr>
              <w:t>RSVPreF3 OA</w:t>
            </w:r>
          </w:p>
        </w:tc>
        <w:tc>
          <w:tcPr>
            <w:tcW w:w="2997" w:type="dxa"/>
            <w:gridSpan w:val="4"/>
          </w:tcPr>
          <w:p w14:paraId="3D039C34" w14:textId="77777777" w:rsidR="009263AC" w:rsidRPr="001611DC" w:rsidRDefault="009263AC" w:rsidP="00EB145B">
            <w:pPr>
              <w:pStyle w:val="In-tableHeading"/>
              <w:jc w:val="center"/>
              <w:rPr>
                <w:lang w:val="en-AU"/>
              </w:rPr>
            </w:pPr>
            <w:r w:rsidRPr="001611DC">
              <w:rPr>
                <w:lang w:val="en-AU"/>
              </w:rPr>
              <w:t>Placebo</w:t>
            </w:r>
          </w:p>
        </w:tc>
        <w:tc>
          <w:tcPr>
            <w:tcW w:w="1633" w:type="dxa"/>
            <w:vMerge w:val="restart"/>
          </w:tcPr>
          <w:p w14:paraId="4E8C3A7A" w14:textId="77777777" w:rsidR="009263AC" w:rsidRPr="001611DC" w:rsidRDefault="009263AC" w:rsidP="00EB145B">
            <w:pPr>
              <w:pStyle w:val="In-tableHeading"/>
              <w:jc w:val="center"/>
              <w:rPr>
                <w:lang w:val="en-AU"/>
              </w:rPr>
            </w:pPr>
            <w:r w:rsidRPr="001611DC">
              <w:rPr>
                <w:lang w:val="en-AU"/>
              </w:rPr>
              <w:t xml:space="preserve">VE % (CI </w:t>
            </w:r>
            <w:r w:rsidRPr="001611DC">
              <w:rPr>
                <w:vertAlign w:val="superscript"/>
                <w:lang w:val="en-AU"/>
              </w:rPr>
              <w:t>a</w:t>
            </w:r>
            <w:r w:rsidRPr="001611DC">
              <w:rPr>
                <w:lang w:val="en-AU"/>
              </w:rPr>
              <w:t>)</w:t>
            </w:r>
          </w:p>
          <w:p w14:paraId="74AC2E03" w14:textId="77777777" w:rsidR="009263AC" w:rsidRPr="001611DC" w:rsidRDefault="009263AC" w:rsidP="00EB145B">
            <w:pPr>
              <w:pStyle w:val="In-tableHeading"/>
              <w:jc w:val="center"/>
              <w:rPr>
                <w:lang w:val="en-AU"/>
              </w:rPr>
            </w:pPr>
            <w:r w:rsidRPr="001611DC">
              <w:rPr>
                <w:lang w:val="en-AU"/>
              </w:rPr>
              <w:t>P-value</w:t>
            </w:r>
          </w:p>
        </w:tc>
      </w:tr>
      <w:tr w:rsidR="009263AC" w:rsidRPr="001611DC" w14:paraId="688BDD25" w14:textId="77777777" w:rsidTr="00137401">
        <w:tc>
          <w:tcPr>
            <w:tcW w:w="1413" w:type="dxa"/>
            <w:vMerge/>
          </w:tcPr>
          <w:p w14:paraId="7894DB07" w14:textId="77777777" w:rsidR="009263AC" w:rsidRPr="001611DC" w:rsidRDefault="009263AC" w:rsidP="00EB145B">
            <w:pPr>
              <w:pStyle w:val="In-tableHeading"/>
              <w:rPr>
                <w:lang w:val="en-AU"/>
              </w:rPr>
            </w:pPr>
          </w:p>
        </w:tc>
        <w:tc>
          <w:tcPr>
            <w:tcW w:w="850" w:type="dxa"/>
          </w:tcPr>
          <w:p w14:paraId="01A397C7" w14:textId="77777777" w:rsidR="009263AC" w:rsidRPr="001611DC" w:rsidRDefault="009263AC" w:rsidP="00EB145B">
            <w:pPr>
              <w:pStyle w:val="In-tableHeading"/>
              <w:jc w:val="center"/>
              <w:rPr>
                <w:lang w:val="en-AU"/>
              </w:rPr>
            </w:pPr>
            <w:r w:rsidRPr="001611DC">
              <w:rPr>
                <w:lang w:val="en-AU"/>
              </w:rPr>
              <w:t>N</w:t>
            </w:r>
          </w:p>
        </w:tc>
        <w:tc>
          <w:tcPr>
            <w:tcW w:w="426" w:type="dxa"/>
          </w:tcPr>
          <w:p w14:paraId="7C02670F" w14:textId="77777777" w:rsidR="009263AC" w:rsidRPr="001611DC" w:rsidRDefault="009263AC" w:rsidP="00EB145B">
            <w:pPr>
              <w:pStyle w:val="In-tableHeading"/>
              <w:jc w:val="center"/>
              <w:rPr>
                <w:lang w:val="en-AU"/>
              </w:rPr>
            </w:pPr>
            <w:r w:rsidRPr="001611DC">
              <w:rPr>
                <w:lang w:val="en-AU"/>
              </w:rPr>
              <w:t>n</w:t>
            </w:r>
          </w:p>
        </w:tc>
        <w:tc>
          <w:tcPr>
            <w:tcW w:w="887" w:type="dxa"/>
          </w:tcPr>
          <w:p w14:paraId="0338AC61" w14:textId="77777777" w:rsidR="009263AC" w:rsidRPr="001611DC" w:rsidRDefault="009263AC" w:rsidP="00EB145B">
            <w:pPr>
              <w:pStyle w:val="In-tableHeading"/>
              <w:jc w:val="center"/>
              <w:rPr>
                <w:lang w:val="en-AU"/>
              </w:rPr>
            </w:pPr>
            <w:r w:rsidRPr="001611DC">
              <w:rPr>
                <w:lang w:val="en-AU"/>
              </w:rPr>
              <w:t>T (year)</w:t>
            </w:r>
          </w:p>
        </w:tc>
        <w:tc>
          <w:tcPr>
            <w:tcW w:w="811" w:type="dxa"/>
          </w:tcPr>
          <w:p w14:paraId="3039C2E8" w14:textId="77777777" w:rsidR="009263AC" w:rsidRPr="001611DC" w:rsidRDefault="009263AC" w:rsidP="00EB145B">
            <w:pPr>
              <w:pStyle w:val="In-tableHeading"/>
              <w:jc w:val="center"/>
              <w:rPr>
                <w:lang w:val="en-AU"/>
              </w:rPr>
            </w:pPr>
            <w:r w:rsidRPr="001611DC">
              <w:rPr>
                <w:lang w:val="en-AU"/>
              </w:rPr>
              <w:t>n/T (per 1000)</w:t>
            </w:r>
          </w:p>
        </w:tc>
        <w:tc>
          <w:tcPr>
            <w:tcW w:w="718" w:type="dxa"/>
          </w:tcPr>
          <w:p w14:paraId="32F70491" w14:textId="77777777" w:rsidR="009263AC" w:rsidRPr="001611DC" w:rsidRDefault="009263AC" w:rsidP="00EB145B">
            <w:pPr>
              <w:pStyle w:val="In-tableHeading"/>
              <w:jc w:val="center"/>
              <w:rPr>
                <w:lang w:val="en-AU"/>
              </w:rPr>
            </w:pPr>
            <w:r w:rsidRPr="001611DC">
              <w:rPr>
                <w:lang w:val="en-AU"/>
              </w:rPr>
              <w:t>N</w:t>
            </w:r>
          </w:p>
        </w:tc>
        <w:tc>
          <w:tcPr>
            <w:tcW w:w="490" w:type="dxa"/>
          </w:tcPr>
          <w:p w14:paraId="497707B1" w14:textId="77777777" w:rsidR="009263AC" w:rsidRPr="001611DC" w:rsidRDefault="009263AC" w:rsidP="00EB145B">
            <w:pPr>
              <w:pStyle w:val="In-tableHeading"/>
              <w:jc w:val="center"/>
              <w:rPr>
                <w:lang w:val="en-AU"/>
              </w:rPr>
            </w:pPr>
            <w:r w:rsidRPr="001611DC">
              <w:rPr>
                <w:lang w:val="en-AU"/>
              </w:rPr>
              <w:t>n</w:t>
            </w:r>
          </w:p>
        </w:tc>
        <w:tc>
          <w:tcPr>
            <w:tcW w:w="943" w:type="dxa"/>
          </w:tcPr>
          <w:p w14:paraId="766EE30B" w14:textId="77777777" w:rsidR="009263AC" w:rsidRPr="001611DC" w:rsidRDefault="009263AC" w:rsidP="00EB145B">
            <w:pPr>
              <w:pStyle w:val="In-tableHeading"/>
              <w:jc w:val="center"/>
              <w:rPr>
                <w:lang w:val="en-AU"/>
              </w:rPr>
            </w:pPr>
            <w:r w:rsidRPr="001611DC">
              <w:rPr>
                <w:lang w:val="en-AU"/>
              </w:rPr>
              <w:t>T (year)</w:t>
            </w:r>
          </w:p>
        </w:tc>
        <w:tc>
          <w:tcPr>
            <w:tcW w:w="846" w:type="dxa"/>
          </w:tcPr>
          <w:p w14:paraId="170923B8" w14:textId="77777777" w:rsidR="009263AC" w:rsidRPr="001611DC" w:rsidRDefault="009263AC" w:rsidP="00EB145B">
            <w:pPr>
              <w:pStyle w:val="In-tableHeading"/>
              <w:jc w:val="center"/>
              <w:rPr>
                <w:lang w:val="en-AU"/>
              </w:rPr>
            </w:pPr>
            <w:r w:rsidRPr="001611DC">
              <w:rPr>
                <w:lang w:val="en-AU"/>
              </w:rPr>
              <w:t>n/T (per 1000)</w:t>
            </w:r>
          </w:p>
        </w:tc>
        <w:tc>
          <w:tcPr>
            <w:tcW w:w="1633" w:type="dxa"/>
            <w:vMerge/>
          </w:tcPr>
          <w:p w14:paraId="54AC1419" w14:textId="77777777" w:rsidR="009263AC" w:rsidRPr="001611DC" w:rsidRDefault="009263AC" w:rsidP="00EB145B">
            <w:pPr>
              <w:pStyle w:val="TableText0"/>
              <w:jc w:val="center"/>
            </w:pPr>
          </w:p>
        </w:tc>
      </w:tr>
      <w:tr w:rsidR="009263AC" w:rsidRPr="001611DC" w14:paraId="68A67BD7" w14:textId="77777777" w:rsidTr="00137401">
        <w:tc>
          <w:tcPr>
            <w:tcW w:w="9017" w:type="dxa"/>
            <w:gridSpan w:val="10"/>
          </w:tcPr>
          <w:p w14:paraId="58AFBB04" w14:textId="77777777" w:rsidR="009263AC" w:rsidRPr="001611DC" w:rsidRDefault="009263AC" w:rsidP="00EB145B">
            <w:pPr>
              <w:pStyle w:val="TableText0"/>
            </w:pPr>
            <w:r w:rsidRPr="001611DC">
              <w:rPr>
                <w:b/>
                <w:szCs w:val="20"/>
              </w:rPr>
              <w:t>VE analysis 1 – Season 1 NH: median follow-up time in the mES = 6.7 months</w:t>
            </w:r>
          </w:p>
        </w:tc>
      </w:tr>
      <w:tr w:rsidR="009263AC" w:rsidRPr="001611DC" w14:paraId="7FF67A86" w14:textId="77777777" w:rsidTr="00137401">
        <w:tc>
          <w:tcPr>
            <w:tcW w:w="1413" w:type="dxa"/>
          </w:tcPr>
          <w:p w14:paraId="55E9DCD1" w14:textId="3738C67C" w:rsidR="009263AC" w:rsidRPr="001611DC" w:rsidRDefault="00E2719A" w:rsidP="00EB145B">
            <w:pPr>
              <w:pStyle w:val="TableText0"/>
            </w:pPr>
            <w:r w:rsidRPr="001611DC">
              <w:t>≥</w:t>
            </w:r>
            <w:r w:rsidR="009263AC" w:rsidRPr="001611DC">
              <w:t>60 YOA (overall trial population)</w:t>
            </w:r>
          </w:p>
        </w:tc>
        <w:tc>
          <w:tcPr>
            <w:tcW w:w="850" w:type="dxa"/>
            <w:vAlign w:val="center"/>
          </w:tcPr>
          <w:p w14:paraId="07C9257B" w14:textId="77777777" w:rsidR="009263AC" w:rsidRPr="001611DC" w:rsidRDefault="009263AC" w:rsidP="00EB145B">
            <w:pPr>
              <w:pStyle w:val="TableText0"/>
              <w:jc w:val="center"/>
            </w:pPr>
            <w:r w:rsidRPr="001611DC">
              <w:rPr>
                <w:rFonts w:eastAsia="Times New Roman" w:cs="Calibri"/>
                <w:color w:val="000000"/>
                <w:szCs w:val="20"/>
              </w:rPr>
              <w:t>12,466</w:t>
            </w:r>
          </w:p>
        </w:tc>
        <w:tc>
          <w:tcPr>
            <w:tcW w:w="426" w:type="dxa"/>
            <w:vAlign w:val="center"/>
          </w:tcPr>
          <w:p w14:paraId="4AAF9435" w14:textId="77777777" w:rsidR="009263AC" w:rsidRPr="001611DC" w:rsidRDefault="009263AC" w:rsidP="00EB145B">
            <w:pPr>
              <w:pStyle w:val="TableText0"/>
              <w:jc w:val="center"/>
            </w:pPr>
            <w:r w:rsidRPr="001611DC">
              <w:rPr>
                <w:rFonts w:eastAsia="Times New Roman" w:cs="Calibri"/>
                <w:color w:val="000000"/>
                <w:szCs w:val="20"/>
              </w:rPr>
              <w:t>7</w:t>
            </w:r>
          </w:p>
        </w:tc>
        <w:tc>
          <w:tcPr>
            <w:tcW w:w="887" w:type="dxa"/>
            <w:vAlign w:val="center"/>
          </w:tcPr>
          <w:p w14:paraId="4CD59BC1" w14:textId="77777777" w:rsidR="009263AC" w:rsidRPr="001611DC" w:rsidRDefault="009263AC" w:rsidP="00EB145B">
            <w:pPr>
              <w:pStyle w:val="TableText0"/>
              <w:jc w:val="center"/>
            </w:pPr>
            <w:r w:rsidRPr="001611DC">
              <w:rPr>
                <w:rFonts w:eastAsia="Times New Roman" w:cs="Calibri"/>
                <w:color w:val="000000"/>
                <w:szCs w:val="20"/>
              </w:rPr>
              <w:t>6,865.9</w:t>
            </w:r>
          </w:p>
        </w:tc>
        <w:tc>
          <w:tcPr>
            <w:tcW w:w="811" w:type="dxa"/>
            <w:vAlign w:val="center"/>
          </w:tcPr>
          <w:p w14:paraId="39C52789" w14:textId="77777777" w:rsidR="009263AC" w:rsidRPr="001611DC" w:rsidRDefault="009263AC" w:rsidP="00EB145B">
            <w:pPr>
              <w:pStyle w:val="TableText0"/>
              <w:jc w:val="center"/>
            </w:pPr>
            <w:r w:rsidRPr="001611DC">
              <w:rPr>
                <w:rFonts w:eastAsia="Times New Roman" w:cs="Calibri"/>
                <w:color w:val="000000"/>
                <w:szCs w:val="20"/>
              </w:rPr>
              <w:t>1.0</w:t>
            </w:r>
          </w:p>
        </w:tc>
        <w:tc>
          <w:tcPr>
            <w:tcW w:w="718" w:type="dxa"/>
            <w:vAlign w:val="center"/>
          </w:tcPr>
          <w:p w14:paraId="5B8A863D" w14:textId="77777777" w:rsidR="009263AC" w:rsidRPr="001611DC" w:rsidRDefault="009263AC" w:rsidP="00EB145B">
            <w:pPr>
              <w:pStyle w:val="TableText0"/>
              <w:jc w:val="center"/>
            </w:pPr>
            <w:r w:rsidRPr="001611DC">
              <w:rPr>
                <w:rFonts w:eastAsia="Times New Roman" w:cs="Calibri"/>
                <w:color w:val="000000"/>
                <w:szCs w:val="20"/>
              </w:rPr>
              <w:t>12,494</w:t>
            </w:r>
          </w:p>
        </w:tc>
        <w:tc>
          <w:tcPr>
            <w:tcW w:w="490" w:type="dxa"/>
            <w:vAlign w:val="center"/>
          </w:tcPr>
          <w:p w14:paraId="6C4CB956" w14:textId="77777777" w:rsidR="009263AC" w:rsidRPr="001611DC" w:rsidRDefault="009263AC" w:rsidP="00EB145B">
            <w:pPr>
              <w:pStyle w:val="TableText0"/>
              <w:jc w:val="center"/>
            </w:pPr>
            <w:r w:rsidRPr="001611DC">
              <w:rPr>
                <w:rFonts w:eastAsia="Times New Roman" w:cs="Calibri"/>
                <w:color w:val="000000"/>
                <w:szCs w:val="20"/>
              </w:rPr>
              <w:t>40</w:t>
            </w:r>
          </w:p>
        </w:tc>
        <w:tc>
          <w:tcPr>
            <w:tcW w:w="943" w:type="dxa"/>
            <w:vAlign w:val="center"/>
          </w:tcPr>
          <w:p w14:paraId="566EF6A7" w14:textId="77777777" w:rsidR="009263AC" w:rsidRPr="001611DC" w:rsidRDefault="009263AC" w:rsidP="00EB145B">
            <w:pPr>
              <w:pStyle w:val="TableText0"/>
              <w:jc w:val="center"/>
            </w:pPr>
            <w:r w:rsidRPr="001611DC">
              <w:rPr>
                <w:rFonts w:eastAsia="Times New Roman" w:cs="Calibri"/>
                <w:color w:val="000000"/>
                <w:szCs w:val="20"/>
              </w:rPr>
              <w:t>6,857.3</w:t>
            </w:r>
          </w:p>
        </w:tc>
        <w:tc>
          <w:tcPr>
            <w:tcW w:w="846" w:type="dxa"/>
            <w:vAlign w:val="center"/>
          </w:tcPr>
          <w:p w14:paraId="79F93969" w14:textId="77777777" w:rsidR="009263AC" w:rsidRPr="001611DC" w:rsidRDefault="009263AC" w:rsidP="00EB145B">
            <w:pPr>
              <w:pStyle w:val="TableText0"/>
              <w:jc w:val="center"/>
            </w:pPr>
            <w:r w:rsidRPr="001611DC">
              <w:rPr>
                <w:rFonts w:eastAsia="Times New Roman" w:cs="Calibri"/>
                <w:color w:val="000000"/>
                <w:szCs w:val="20"/>
              </w:rPr>
              <w:t>5.8</w:t>
            </w:r>
          </w:p>
        </w:tc>
        <w:tc>
          <w:tcPr>
            <w:tcW w:w="1633" w:type="dxa"/>
            <w:vAlign w:val="center"/>
          </w:tcPr>
          <w:p w14:paraId="3B9363BE" w14:textId="77777777" w:rsidR="00137401" w:rsidRPr="001611DC" w:rsidRDefault="009263AC" w:rsidP="00EB145B">
            <w:pPr>
              <w:pStyle w:val="TableText0"/>
              <w:jc w:val="center"/>
              <w:rPr>
                <w:rFonts w:eastAsia="Times New Roman" w:cs="Calibri"/>
                <w:b/>
                <w:color w:val="000000"/>
                <w:szCs w:val="20"/>
              </w:rPr>
            </w:pPr>
            <w:r w:rsidRPr="001611DC">
              <w:rPr>
                <w:rFonts w:eastAsia="Times New Roman" w:cs="Calibri"/>
                <w:b/>
                <w:color w:val="000000"/>
                <w:szCs w:val="20"/>
              </w:rPr>
              <w:t xml:space="preserve">82.58 (57.89, 94.08) </w:t>
            </w:r>
          </w:p>
          <w:p w14:paraId="691C5BB1" w14:textId="3267BDF9" w:rsidR="009263AC" w:rsidRPr="001611DC" w:rsidRDefault="00137401" w:rsidP="00EB145B">
            <w:pPr>
              <w:pStyle w:val="TableText0"/>
              <w:jc w:val="center"/>
              <w:rPr>
                <w:bCs w:val="0"/>
              </w:rPr>
            </w:pPr>
            <w:r w:rsidRPr="001611DC">
              <w:rPr>
                <w:rFonts w:eastAsia="Times New Roman" w:cs="Calibri"/>
                <w:b/>
                <w:color w:val="000000"/>
                <w:szCs w:val="20"/>
              </w:rPr>
              <w:t xml:space="preserve">P </w:t>
            </w:r>
            <w:r w:rsidR="009263AC" w:rsidRPr="001611DC">
              <w:rPr>
                <w:rFonts w:eastAsia="Times New Roman" w:cs="Calibri"/>
                <w:b/>
                <w:color w:val="000000"/>
                <w:szCs w:val="20"/>
              </w:rPr>
              <w:t>&lt;0.0001</w:t>
            </w:r>
          </w:p>
        </w:tc>
      </w:tr>
      <w:tr w:rsidR="009263AC" w:rsidRPr="001611DC" w14:paraId="75A15860" w14:textId="77777777" w:rsidTr="00137401">
        <w:tc>
          <w:tcPr>
            <w:tcW w:w="1413" w:type="dxa"/>
          </w:tcPr>
          <w:p w14:paraId="2DC77618" w14:textId="1F98432C" w:rsidR="009263AC" w:rsidRPr="001611DC" w:rsidRDefault="00E2719A" w:rsidP="00EB145B">
            <w:pPr>
              <w:pStyle w:val="TableText0"/>
            </w:pPr>
            <w:r w:rsidRPr="001611DC">
              <w:t>≥</w:t>
            </w:r>
            <w:r w:rsidR="009263AC" w:rsidRPr="001611DC">
              <w:t>75 YOA</w:t>
            </w:r>
          </w:p>
        </w:tc>
        <w:tc>
          <w:tcPr>
            <w:tcW w:w="850" w:type="dxa"/>
            <w:vAlign w:val="center"/>
          </w:tcPr>
          <w:p w14:paraId="580A43AB"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2,671</w:t>
            </w:r>
          </w:p>
        </w:tc>
        <w:tc>
          <w:tcPr>
            <w:tcW w:w="426" w:type="dxa"/>
            <w:vAlign w:val="center"/>
          </w:tcPr>
          <w:p w14:paraId="1CD2E5D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3</w:t>
            </w:r>
          </w:p>
        </w:tc>
        <w:tc>
          <w:tcPr>
            <w:tcW w:w="887" w:type="dxa"/>
            <w:vAlign w:val="center"/>
          </w:tcPr>
          <w:p w14:paraId="61C93AF5"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1,473.5</w:t>
            </w:r>
          </w:p>
        </w:tc>
        <w:tc>
          <w:tcPr>
            <w:tcW w:w="811" w:type="dxa"/>
            <w:vAlign w:val="center"/>
          </w:tcPr>
          <w:p w14:paraId="7FE7A38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2.0</w:t>
            </w:r>
          </w:p>
        </w:tc>
        <w:tc>
          <w:tcPr>
            <w:tcW w:w="718" w:type="dxa"/>
            <w:vAlign w:val="center"/>
          </w:tcPr>
          <w:p w14:paraId="7478E8F9"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2,646</w:t>
            </w:r>
          </w:p>
        </w:tc>
        <w:tc>
          <w:tcPr>
            <w:tcW w:w="490" w:type="dxa"/>
            <w:vAlign w:val="center"/>
          </w:tcPr>
          <w:p w14:paraId="5D8E998F"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6</w:t>
            </w:r>
          </w:p>
        </w:tc>
        <w:tc>
          <w:tcPr>
            <w:tcW w:w="943" w:type="dxa"/>
            <w:vAlign w:val="center"/>
          </w:tcPr>
          <w:p w14:paraId="42A5DB97"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1,451.1</w:t>
            </w:r>
          </w:p>
        </w:tc>
        <w:tc>
          <w:tcPr>
            <w:tcW w:w="846" w:type="dxa"/>
            <w:vAlign w:val="center"/>
          </w:tcPr>
          <w:p w14:paraId="6FE6051F"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4.1</w:t>
            </w:r>
          </w:p>
        </w:tc>
        <w:tc>
          <w:tcPr>
            <w:tcW w:w="1633" w:type="dxa"/>
          </w:tcPr>
          <w:p w14:paraId="7DAFD948" w14:textId="77777777" w:rsidR="00137401" w:rsidRPr="001611DC" w:rsidRDefault="009263AC" w:rsidP="00EB145B">
            <w:pPr>
              <w:pStyle w:val="TableText0"/>
              <w:jc w:val="center"/>
              <w:rPr>
                <w:rFonts w:eastAsia="Times New Roman" w:cs="Times New Roman"/>
                <w:bCs w:val="0"/>
                <w:szCs w:val="20"/>
              </w:rPr>
            </w:pPr>
            <w:r w:rsidRPr="001611DC">
              <w:rPr>
                <w:rFonts w:eastAsia="Times New Roman" w:cs="Times New Roman"/>
                <w:bCs w:val="0"/>
                <w:szCs w:val="20"/>
              </w:rPr>
              <w:t xml:space="preserve">52.48 (-122.52, 92.31) </w:t>
            </w:r>
          </w:p>
          <w:p w14:paraId="665F6B39" w14:textId="6F98BFB2" w:rsidR="009263AC" w:rsidRPr="001611DC" w:rsidRDefault="00137401" w:rsidP="00EB145B">
            <w:pPr>
              <w:pStyle w:val="TableText0"/>
              <w:jc w:val="center"/>
              <w:rPr>
                <w:rFonts w:eastAsia="Times New Roman" w:cs="Calibri"/>
                <w:bCs w:val="0"/>
                <w:color w:val="000000"/>
                <w:szCs w:val="20"/>
              </w:rPr>
            </w:pPr>
            <w:r w:rsidRPr="001611DC">
              <w:rPr>
                <w:rFonts w:eastAsia="Times New Roman" w:cs="Times New Roman"/>
                <w:bCs w:val="0"/>
                <w:szCs w:val="20"/>
              </w:rPr>
              <w:t xml:space="preserve">P = </w:t>
            </w:r>
            <w:r w:rsidR="009263AC" w:rsidRPr="001611DC">
              <w:rPr>
                <w:rFonts w:eastAsia="Times New Roman" w:cs="Times New Roman"/>
                <w:bCs w:val="0"/>
                <w:szCs w:val="20"/>
              </w:rPr>
              <w:t>0.4591</w:t>
            </w:r>
          </w:p>
        </w:tc>
      </w:tr>
      <w:tr w:rsidR="009263AC" w:rsidRPr="001611DC" w14:paraId="223BEF67" w14:textId="77777777" w:rsidTr="00137401">
        <w:tc>
          <w:tcPr>
            <w:tcW w:w="9017" w:type="dxa"/>
            <w:gridSpan w:val="10"/>
          </w:tcPr>
          <w:p w14:paraId="49C83F94" w14:textId="113E2C7A" w:rsidR="009263AC" w:rsidRPr="001611DC" w:rsidRDefault="009263AC" w:rsidP="00EB145B">
            <w:pPr>
              <w:pStyle w:val="TableText0"/>
              <w:rPr>
                <w:rFonts w:eastAsia="Times New Roman" w:cs="Calibri"/>
                <w:color w:val="000000"/>
                <w:szCs w:val="20"/>
              </w:rPr>
            </w:pPr>
            <w:r w:rsidRPr="001611DC">
              <w:rPr>
                <w:rFonts w:eastAsia="Times New Roman" w:cs="Calibri"/>
                <w:b/>
                <w:bCs w:val="0"/>
                <w:color w:val="000000"/>
                <w:szCs w:val="20"/>
              </w:rPr>
              <w:t xml:space="preserve">VE analysis 3 (single dose) </w:t>
            </w:r>
            <w:r w:rsidR="0083552E" w:rsidRPr="001611DC">
              <w:rPr>
                <w:rFonts w:eastAsia="Times New Roman" w:cs="Calibri"/>
                <w:b/>
                <w:bCs w:val="0"/>
                <w:color w:val="000000"/>
                <w:szCs w:val="20"/>
              </w:rPr>
              <w:t>–</w:t>
            </w:r>
            <w:r w:rsidRPr="001611DC">
              <w:rPr>
                <w:rFonts w:eastAsia="Times New Roman" w:cs="Calibri"/>
                <w:b/>
                <w:bCs w:val="0"/>
                <w:color w:val="000000"/>
                <w:szCs w:val="20"/>
              </w:rPr>
              <w:t xml:space="preserve"> up to end of Season 2 NH </w:t>
            </w:r>
            <w:r w:rsidR="0083552E" w:rsidRPr="001611DC">
              <w:rPr>
                <w:rFonts w:eastAsia="Times New Roman" w:cs="Calibri"/>
                <w:b/>
                <w:bCs w:val="0"/>
                <w:color w:val="000000"/>
                <w:szCs w:val="20"/>
              </w:rPr>
              <w:t>–</w:t>
            </w:r>
            <w:r w:rsidRPr="001611DC">
              <w:rPr>
                <w:rFonts w:eastAsia="Times New Roman" w:cs="Calibri"/>
                <w:b/>
                <w:bCs w:val="0"/>
                <w:color w:val="000000"/>
                <w:szCs w:val="20"/>
              </w:rPr>
              <w:t xml:space="preserve"> median follow-up time in mES = 17.8 months</w:t>
            </w:r>
          </w:p>
        </w:tc>
      </w:tr>
      <w:tr w:rsidR="009263AC" w:rsidRPr="001611DC" w14:paraId="1FD109D7" w14:textId="77777777" w:rsidTr="00137401">
        <w:tc>
          <w:tcPr>
            <w:tcW w:w="1413" w:type="dxa"/>
          </w:tcPr>
          <w:p w14:paraId="705C05B3" w14:textId="0825E26A" w:rsidR="009263AC" w:rsidRPr="001611DC" w:rsidRDefault="00E2719A" w:rsidP="00EB145B">
            <w:pPr>
              <w:pStyle w:val="TableText0"/>
            </w:pPr>
            <w:r w:rsidRPr="001611DC">
              <w:t>≥</w:t>
            </w:r>
            <w:r w:rsidR="009263AC" w:rsidRPr="001611DC">
              <w:t>60 YOA (overall trial population)</w:t>
            </w:r>
          </w:p>
        </w:tc>
        <w:tc>
          <w:tcPr>
            <w:tcW w:w="850" w:type="dxa"/>
            <w:vAlign w:val="center"/>
          </w:tcPr>
          <w:p w14:paraId="1553A89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 xml:space="preserve">2,469 </w:t>
            </w:r>
            <w:r w:rsidRPr="001611DC">
              <w:rPr>
                <w:rFonts w:eastAsia="Times New Roman"/>
                <w:color w:val="000000"/>
                <w:szCs w:val="20"/>
                <w:vertAlign w:val="superscript"/>
              </w:rPr>
              <w:t>b</w:t>
            </w:r>
          </w:p>
        </w:tc>
        <w:tc>
          <w:tcPr>
            <w:tcW w:w="426" w:type="dxa"/>
            <w:vAlign w:val="center"/>
          </w:tcPr>
          <w:p w14:paraId="4576F5A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3</w:t>
            </w:r>
            <w:r w:rsidRPr="001611DC">
              <w:rPr>
                <w:rFonts w:eastAsia="Times New Roman"/>
                <w:color w:val="000000"/>
                <w:szCs w:val="20"/>
              </w:rPr>
              <w:t>0</w:t>
            </w:r>
          </w:p>
        </w:tc>
        <w:tc>
          <w:tcPr>
            <w:tcW w:w="887" w:type="dxa"/>
            <w:vAlign w:val="center"/>
          </w:tcPr>
          <w:p w14:paraId="7FBBEBB9"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4,660.5</w:t>
            </w:r>
          </w:p>
        </w:tc>
        <w:tc>
          <w:tcPr>
            <w:tcW w:w="811" w:type="dxa"/>
            <w:vAlign w:val="center"/>
          </w:tcPr>
          <w:p w14:paraId="674F1E67"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2</w:t>
            </w:r>
            <w:r w:rsidRPr="001611DC">
              <w:rPr>
                <w:rFonts w:eastAsia="Times New Roman"/>
                <w:color w:val="000000"/>
                <w:szCs w:val="20"/>
              </w:rPr>
              <w:t>.0</w:t>
            </w:r>
          </w:p>
        </w:tc>
        <w:tc>
          <w:tcPr>
            <w:tcW w:w="718" w:type="dxa"/>
            <w:vAlign w:val="center"/>
          </w:tcPr>
          <w:p w14:paraId="614E3B8B"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2,498</w:t>
            </w:r>
          </w:p>
        </w:tc>
        <w:tc>
          <w:tcPr>
            <w:tcW w:w="490" w:type="dxa"/>
            <w:vAlign w:val="center"/>
          </w:tcPr>
          <w:p w14:paraId="114F3371"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39</w:t>
            </w:r>
          </w:p>
        </w:tc>
        <w:tc>
          <w:tcPr>
            <w:tcW w:w="943" w:type="dxa"/>
            <w:vAlign w:val="center"/>
          </w:tcPr>
          <w:p w14:paraId="267537C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1</w:t>
            </w:r>
            <w:r w:rsidRPr="001611DC">
              <w:rPr>
                <w:rFonts w:eastAsia="Times New Roman"/>
                <w:color w:val="000000"/>
                <w:szCs w:val="20"/>
              </w:rPr>
              <w:t>7,269.0</w:t>
            </w:r>
          </w:p>
        </w:tc>
        <w:tc>
          <w:tcPr>
            <w:tcW w:w="846" w:type="dxa"/>
            <w:vAlign w:val="center"/>
          </w:tcPr>
          <w:p w14:paraId="79E9192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Calibri"/>
                <w:color w:val="000000"/>
                <w:szCs w:val="20"/>
              </w:rPr>
              <w:t>8</w:t>
            </w:r>
            <w:r w:rsidRPr="001611DC">
              <w:rPr>
                <w:rFonts w:eastAsia="Times New Roman"/>
                <w:color w:val="000000"/>
                <w:szCs w:val="20"/>
              </w:rPr>
              <w:t>.0</w:t>
            </w:r>
          </w:p>
        </w:tc>
        <w:tc>
          <w:tcPr>
            <w:tcW w:w="1633" w:type="dxa"/>
            <w:vAlign w:val="center"/>
          </w:tcPr>
          <w:p w14:paraId="6E9E60C0" w14:textId="77777777" w:rsidR="00137401" w:rsidRPr="001611DC" w:rsidRDefault="009263AC" w:rsidP="00EB145B">
            <w:pPr>
              <w:pStyle w:val="TableText0"/>
              <w:jc w:val="center"/>
              <w:rPr>
                <w:b/>
                <w:color w:val="000000"/>
                <w:szCs w:val="20"/>
              </w:rPr>
            </w:pPr>
            <w:r w:rsidRPr="001611DC">
              <w:rPr>
                <w:rFonts w:eastAsia="Times New Roman" w:cs="Calibri"/>
                <w:b/>
                <w:color w:val="000000"/>
                <w:szCs w:val="20"/>
              </w:rPr>
              <w:t>6</w:t>
            </w:r>
            <w:r w:rsidRPr="001611DC">
              <w:rPr>
                <w:rFonts w:eastAsia="Times New Roman"/>
                <w:b/>
                <w:color w:val="000000"/>
                <w:szCs w:val="20"/>
              </w:rPr>
              <w:t>7.12</w:t>
            </w:r>
            <w:r w:rsidRPr="001611DC">
              <w:rPr>
                <w:b/>
                <w:color w:val="000000"/>
                <w:szCs w:val="20"/>
              </w:rPr>
              <w:t xml:space="preserve"> </w:t>
            </w:r>
            <w:r w:rsidRPr="001611DC">
              <w:rPr>
                <w:rFonts w:eastAsia="Times New Roman"/>
                <w:b/>
                <w:color w:val="000000"/>
                <w:szCs w:val="20"/>
              </w:rPr>
              <w:t>(48.09, 80.00)</w:t>
            </w:r>
            <w:r w:rsidRPr="001611DC">
              <w:rPr>
                <w:b/>
                <w:color w:val="000000"/>
                <w:szCs w:val="20"/>
              </w:rPr>
              <w:t xml:space="preserve"> </w:t>
            </w:r>
          </w:p>
          <w:p w14:paraId="7E766A18" w14:textId="40B301A1" w:rsidR="009263AC" w:rsidRPr="001611DC" w:rsidRDefault="00137401" w:rsidP="00EB145B">
            <w:pPr>
              <w:pStyle w:val="TableText0"/>
              <w:jc w:val="center"/>
              <w:rPr>
                <w:rFonts w:eastAsia="Times New Roman" w:cs="Calibri"/>
                <w:bCs w:val="0"/>
                <w:color w:val="000000"/>
                <w:szCs w:val="20"/>
              </w:rPr>
            </w:pPr>
            <w:r w:rsidRPr="001611DC">
              <w:rPr>
                <w:b/>
                <w:color w:val="000000"/>
                <w:szCs w:val="20"/>
              </w:rPr>
              <w:t xml:space="preserve">P </w:t>
            </w:r>
            <w:r w:rsidR="009263AC" w:rsidRPr="001611DC">
              <w:rPr>
                <w:rFonts w:eastAsia="Times New Roman"/>
                <w:b/>
                <w:color w:val="000000"/>
                <w:szCs w:val="20"/>
              </w:rPr>
              <w:t>&lt;0.0001</w:t>
            </w:r>
          </w:p>
        </w:tc>
      </w:tr>
      <w:tr w:rsidR="009263AC" w:rsidRPr="001611DC" w14:paraId="3DFA6848" w14:textId="77777777" w:rsidTr="00137401">
        <w:tc>
          <w:tcPr>
            <w:tcW w:w="1413" w:type="dxa"/>
          </w:tcPr>
          <w:p w14:paraId="31733EF8" w14:textId="77777777" w:rsidR="009263AC" w:rsidRPr="001611DC" w:rsidRDefault="009263AC" w:rsidP="00EB145B">
            <w:pPr>
              <w:pStyle w:val="TableText0"/>
            </w:pPr>
            <w:r w:rsidRPr="001611DC">
              <w:t>60-64 YOA</w:t>
            </w:r>
          </w:p>
        </w:tc>
        <w:tc>
          <w:tcPr>
            <w:tcW w:w="850" w:type="dxa"/>
            <w:vAlign w:val="center"/>
          </w:tcPr>
          <w:p w14:paraId="2D437CF9"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3,208</w:t>
            </w:r>
          </w:p>
        </w:tc>
        <w:tc>
          <w:tcPr>
            <w:tcW w:w="426" w:type="dxa"/>
            <w:vAlign w:val="center"/>
          </w:tcPr>
          <w:p w14:paraId="111E1DDF"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5</w:t>
            </w:r>
          </w:p>
        </w:tc>
        <w:tc>
          <w:tcPr>
            <w:tcW w:w="887" w:type="dxa"/>
            <w:vAlign w:val="center"/>
          </w:tcPr>
          <w:p w14:paraId="4B6CBD71"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3,800.3</w:t>
            </w:r>
          </w:p>
        </w:tc>
        <w:tc>
          <w:tcPr>
            <w:tcW w:w="811" w:type="dxa"/>
            <w:vAlign w:val="center"/>
          </w:tcPr>
          <w:p w14:paraId="25AC7231"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1.3</w:t>
            </w:r>
          </w:p>
        </w:tc>
        <w:tc>
          <w:tcPr>
            <w:tcW w:w="718" w:type="dxa"/>
            <w:vAlign w:val="center"/>
          </w:tcPr>
          <w:p w14:paraId="63A588FB"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3,170</w:t>
            </w:r>
          </w:p>
        </w:tc>
        <w:tc>
          <w:tcPr>
            <w:tcW w:w="490" w:type="dxa"/>
            <w:vAlign w:val="center"/>
          </w:tcPr>
          <w:p w14:paraId="6084F473"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39</w:t>
            </w:r>
          </w:p>
        </w:tc>
        <w:tc>
          <w:tcPr>
            <w:tcW w:w="943" w:type="dxa"/>
            <w:vAlign w:val="center"/>
          </w:tcPr>
          <w:p w14:paraId="67A2D5DD"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4,351.4</w:t>
            </w:r>
          </w:p>
        </w:tc>
        <w:tc>
          <w:tcPr>
            <w:tcW w:w="846" w:type="dxa"/>
            <w:vAlign w:val="center"/>
          </w:tcPr>
          <w:p w14:paraId="6CF36350" w14:textId="77777777" w:rsidR="009263AC" w:rsidRPr="001611DC" w:rsidRDefault="009263AC" w:rsidP="00EB145B">
            <w:pPr>
              <w:pStyle w:val="TableText0"/>
              <w:jc w:val="center"/>
              <w:rPr>
                <w:rFonts w:eastAsia="Times New Roman" w:cs="Times New Roman"/>
                <w:szCs w:val="20"/>
              </w:rPr>
            </w:pPr>
            <w:r w:rsidRPr="001611DC">
              <w:rPr>
                <w:rFonts w:eastAsia="Times New Roman" w:cs="Times New Roman"/>
                <w:color w:val="000000"/>
                <w:szCs w:val="20"/>
              </w:rPr>
              <w:t>9.0</w:t>
            </w:r>
          </w:p>
        </w:tc>
        <w:tc>
          <w:tcPr>
            <w:tcW w:w="1633" w:type="dxa"/>
            <w:vAlign w:val="center"/>
          </w:tcPr>
          <w:p w14:paraId="6BDAFA64" w14:textId="77777777" w:rsidR="00137401" w:rsidRPr="001611DC" w:rsidRDefault="009263AC" w:rsidP="00EB145B">
            <w:pPr>
              <w:pStyle w:val="TableText0"/>
              <w:jc w:val="center"/>
              <w:rPr>
                <w:rFonts w:eastAsia="Times New Roman" w:cs="Times New Roman"/>
                <w:b/>
                <w:color w:val="000000"/>
                <w:szCs w:val="20"/>
              </w:rPr>
            </w:pPr>
            <w:r w:rsidRPr="001611DC">
              <w:rPr>
                <w:rFonts w:eastAsia="Times New Roman" w:cs="Times New Roman"/>
                <w:b/>
                <w:color w:val="000000"/>
                <w:szCs w:val="20"/>
              </w:rPr>
              <w:t xml:space="preserve">81.49 (52.62, 94.34) </w:t>
            </w:r>
          </w:p>
          <w:p w14:paraId="5035E0B5" w14:textId="24A1C151" w:rsidR="009263AC" w:rsidRPr="001611DC" w:rsidRDefault="00137401" w:rsidP="00EB145B">
            <w:pPr>
              <w:pStyle w:val="TableText0"/>
              <w:jc w:val="center"/>
              <w:rPr>
                <w:rFonts w:eastAsia="Times New Roman" w:cs="Times New Roman"/>
                <w:bCs w:val="0"/>
                <w:szCs w:val="20"/>
              </w:rPr>
            </w:pPr>
            <w:r w:rsidRPr="001611DC">
              <w:rPr>
                <w:rFonts w:eastAsia="Times New Roman" w:cs="Times New Roman"/>
                <w:b/>
                <w:color w:val="000000"/>
                <w:szCs w:val="20"/>
              </w:rPr>
              <w:t xml:space="preserve">P </w:t>
            </w:r>
            <w:r w:rsidR="009263AC" w:rsidRPr="001611DC">
              <w:rPr>
                <w:rFonts w:eastAsia="Times New Roman" w:cs="Times New Roman"/>
                <w:b/>
                <w:color w:val="000000"/>
                <w:szCs w:val="20"/>
              </w:rPr>
              <w:t>&lt;0.0001</w:t>
            </w:r>
          </w:p>
        </w:tc>
      </w:tr>
      <w:tr w:rsidR="009263AC" w:rsidRPr="001611DC" w14:paraId="5909D094" w14:textId="77777777" w:rsidTr="00137401">
        <w:tc>
          <w:tcPr>
            <w:tcW w:w="1413" w:type="dxa"/>
          </w:tcPr>
          <w:p w14:paraId="4A7F548B" w14:textId="30678FE8" w:rsidR="009263AC" w:rsidRPr="001611DC" w:rsidRDefault="00E2719A" w:rsidP="00EB145B">
            <w:pPr>
              <w:pStyle w:val="TableText0"/>
            </w:pPr>
            <w:r w:rsidRPr="001611DC">
              <w:t>≥</w:t>
            </w:r>
            <w:r w:rsidR="009263AC" w:rsidRPr="001611DC">
              <w:t>75 YOA</w:t>
            </w:r>
          </w:p>
        </w:tc>
        <w:tc>
          <w:tcPr>
            <w:tcW w:w="850" w:type="dxa"/>
            <w:vAlign w:val="center"/>
          </w:tcPr>
          <w:p w14:paraId="11DB2FCA"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2,672</w:t>
            </w:r>
          </w:p>
        </w:tc>
        <w:tc>
          <w:tcPr>
            <w:tcW w:w="426" w:type="dxa"/>
            <w:vAlign w:val="center"/>
          </w:tcPr>
          <w:p w14:paraId="20C52350"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8</w:t>
            </w:r>
          </w:p>
        </w:tc>
        <w:tc>
          <w:tcPr>
            <w:tcW w:w="887" w:type="dxa"/>
            <w:vAlign w:val="center"/>
          </w:tcPr>
          <w:p w14:paraId="45E8801D"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3,079.0</w:t>
            </w:r>
          </w:p>
        </w:tc>
        <w:tc>
          <w:tcPr>
            <w:tcW w:w="811" w:type="dxa"/>
            <w:vAlign w:val="center"/>
          </w:tcPr>
          <w:p w14:paraId="0387C06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2.6</w:t>
            </w:r>
          </w:p>
        </w:tc>
        <w:tc>
          <w:tcPr>
            <w:tcW w:w="718" w:type="dxa"/>
            <w:vAlign w:val="center"/>
          </w:tcPr>
          <w:p w14:paraId="09EC665E"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2,647</w:t>
            </w:r>
          </w:p>
        </w:tc>
        <w:tc>
          <w:tcPr>
            <w:tcW w:w="490" w:type="dxa"/>
            <w:vAlign w:val="center"/>
          </w:tcPr>
          <w:p w14:paraId="4D1FD3CD"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24</w:t>
            </w:r>
          </w:p>
        </w:tc>
        <w:tc>
          <w:tcPr>
            <w:tcW w:w="943" w:type="dxa"/>
            <w:vAlign w:val="center"/>
          </w:tcPr>
          <w:p w14:paraId="590D4D64"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3,624.6</w:t>
            </w:r>
          </w:p>
        </w:tc>
        <w:tc>
          <w:tcPr>
            <w:tcW w:w="846" w:type="dxa"/>
            <w:vAlign w:val="center"/>
          </w:tcPr>
          <w:p w14:paraId="6E5EE113" w14:textId="77777777" w:rsidR="009263AC" w:rsidRPr="001611DC" w:rsidRDefault="009263AC" w:rsidP="00EB145B">
            <w:pPr>
              <w:pStyle w:val="TableText0"/>
              <w:jc w:val="center"/>
              <w:rPr>
                <w:rFonts w:eastAsia="Times New Roman" w:cs="Calibri"/>
                <w:color w:val="000000"/>
                <w:szCs w:val="20"/>
              </w:rPr>
            </w:pPr>
            <w:r w:rsidRPr="001611DC">
              <w:rPr>
                <w:rFonts w:eastAsia="Times New Roman" w:cs="Times New Roman"/>
                <w:szCs w:val="20"/>
              </w:rPr>
              <w:t>6.6</w:t>
            </w:r>
          </w:p>
        </w:tc>
        <w:tc>
          <w:tcPr>
            <w:tcW w:w="1633" w:type="dxa"/>
          </w:tcPr>
          <w:p w14:paraId="207BF059" w14:textId="77777777" w:rsidR="00137401" w:rsidRPr="001611DC" w:rsidRDefault="009263AC" w:rsidP="00EB145B">
            <w:pPr>
              <w:pStyle w:val="TableText0"/>
              <w:jc w:val="center"/>
              <w:rPr>
                <w:rFonts w:eastAsia="Times New Roman" w:cs="Times New Roman"/>
                <w:szCs w:val="20"/>
              </w:rPr>
            </w:pPr>
            <w:r w:rsidRPr="001611DC">
              <w:rPr>
                <w:rFonts w:eastAsia="Times New Roman" w:cs="Times New Roman"/>
                <w:szCs w:val="20"/>
              </w:rPr>
              <w:t xml:space="preserve">49.33 (-18.24, 80.56) </w:t>
            </w:r>
          </w:p>
          <w:p w14:paraId="48ED7762" w14:textId="196F6765" w:rsidR="009263AC" w:rsidRPr="001611DC" w:rsidRDefault="00137401" w:rsidP="00EB145B">
            <w:pPr>
              <w:pStyle w:val="TableText0"/>
              <w:jc w:val="center"/>
              <w:rPr>
                <w:rFonts w:eastAsia="Times New Roman" w:cs="Calibri"/>
                <w:color w:val="000000"/>
                <w:szCs w:val="20"/>
              </w:rPr>
            </w:pPr>
            <w:r w:rsidRPr="001611DC">
              <w:rPr>
                <w:rFonts w:eastAsia="Times New Roman" w:cs="Times New Roman"/>
                <w:szCs w:val="20"/>
              </w:rPr>
              <w:t xml:space="preserve">P = </w:t>
            </w:r>
            <w:r w:rsidR="009263AC" w:rsidRPr="001611DC">
              <w:rPr>
                <w:rFonts w:eastAsia="Times New Roman" w:cs="Times New Roman"/>
                <w:szCs w:val="20"/>
              </w:rPr>
              <w:t>0.1312</w:t>
            </w:r>
          </w:p>
        </w:tc>
      </w:tr>
    </w:tbl>
    <w:p w14:paraId="68939FC5" w14:textId="1F05AE05" w:rsidR="009263AC" w:rsidRPr="001611DC" w:rsidRDefault="009263AC" w:rsidP="009263AC">
      <w:pPr>
        <w:pStyle w:val="FooterTableFigure"/>
        <w:keepNext/>
        <w:rPr>
          <w:rFonts w:eastAsia="Calibri"/>
        </w:rPr>
      </w:pPr>
      <w:r w:rsidRPr="001611DC">
        <w:rPr>
          <w:rFonts w:eastAsia="Calibri"/>
        </w:rPr>
        <w:t>Source: Table 2-36 and Table 2-38 of the submission.</w:t>
      </w:r>
    </w:p>
    <w:p w14:paraId="026538E3" w14:textId="77777777" w:rsidR="009263AC" w:rsidRPr="001611DC" w:rsidRDefault="009263AC" w:rsidP="009263AC">
      <w:pPr>
        <w:pStyle w:val="FooterTableFigure"/>
        <w:keepNext/>
        <w:rPr>
          <w:rFonts w:eastAsia="Calibri"/>
        </w:rPr>
      </w:pPr>
      <w:r w:rsidRPr="001611DC">
        <w:rPr>
          <w:rFonts w:eastAsia="Calibri"/>
        </w:rPr>
        <w:t xml:space="preserve">CI = confidence interval; LRTD = lower respiratory tract disease; mES = modified exposed set; N = number of participants; n = number of participants with at least one RT-PCR confirmed RSV-LRTD; n/T (per 1000) = incidence rate of participants reporting at least one event; RSVPreF3 OA= RSV pre-fusion protein 3 older adult; NH = Northern Hemisphere; RSV = respiratory syncytial virus; RT-PCR = reverse transcription-polymerase chain reaction; T (year) = sum of follow-up time (from Day 15 post-vaccination until first occurrence of the event or until the efficacy data lock point or until drop-out date) expressed in years; VE = vaccine efficacy; YOA = years of age. </w:t>
      </w:r>
    </w:p>
    <w:p w14:paraId="00441AA9" w14:textId="42758D05" w:rsidR="009263AC" w:rsidRPr="001611DC" w:rsidRDefault="006B2311" w:rsidP="009263AC">
      <w:pPr>
        <w:pStyle w:val="FooterTableFigure"/>
        <w:keepNext/>
        <w:rPr>
          <w:rFonts w:eastAsia="Calibri"/>
        </w:rPr>
      </w:pPr>
      <w:r w:rsidRPr="001611DC">
        <w:rPr>
          <w:rFonts w:eastAsia="Calibri"/>
        </w:rPr>
        <w:t>a</w:t>
      </w:r>
      <w:r w:rsidR="009263AC" w:rsidRPr="001611DC">
        <w:rPr>
          <w:rFonts w:eastAsia="Calibri"/>
        </w:rPr>
        <w:t xml:space="preserve"> for base case, VE analysis 1 = 96.95% CI and VE analysis 3 = 97.5% CI; for </w:t>
      </w:r>
      <w:r w:rsidR="005E1B5D" w:rsidRPr="001611DC">
        <w:rPr>
          <w:rFonts w:eastAsia="Calibri"/>
        </w:rPr>
        <w:t>post hoc</w:t>
      </w:r>
      <w:r w:rsidR="009263AC" w:rsidRPr="001611DC">
        <w:rPr>
          <w:rFonts w:eastAsia="Calibri"/>
        </w:rPr>
        <w:t xml:space="preserve"> analysis CI for all VE analysis was 95%.</w:t>
      </w:r>
    </w:p>
    <w:p w14:paraId="4FBF6FBB" w14:textId="284E7A7C" w:rsidR="009263AC" w:rsidRPr="001611DC" w:rsidRDefault="006B2311" w:rsidP="009263AC">
      <w:pPr>
        <w:pStyle w:val="FooterTableFigure"/>
        <w:keepNext/>
      </w:pPr>
      <w:r w:rsidRPr="001611DC">
        <w:rPr>
          <w:rFonts w:eastAsia="Calibri"/>
        </w:rPr>
        <w:t>b</w:t>
      </w:r>
      <w:r w:rsidR="009263AC" w:rsidRPr="001611DC">
        <w:rPr>
          <w:rFonts w:eastAsia="Calibri"/>
        </w:rPr>
        <w:t xml:space="preserve"> </w:t>
      </w:r>
      <w:r w:rsidR="009263AC" w:rsidRPr="001611DC">
        <w:t>for single dose evaluation participants who received RSVPreF3 OA investigational vaccine at Dose 2 (revaccination group) were censored at Dose 2.</w:t>
      </w:r>
    </w:p>
    <w:p w14:paraId="257C75B9" w14:textId="22B9176A" w:rsidR="00137401" w:rsidRPr="001611DC" w:rsidRDefault="00137401" w:rsidP="00844F2C">
      <w:pPr>
        <w:pStyle w:val="FooterTableFigure"/>
        <w:rPr>
          <w:rFonts w:eastAsia="Calibri"/>
          <w:b/>
          <w:bCs/>
        </w:rPr>
      </w:pPr>
      <w:r w:rsidRPr="001611DC">
        <w:rPr>
          <w:b/>
          <w:bCs/>
        </w:rPr>
        <w:t>Bold</w:t>
      </w:r>
      <w:r w:rsidRPr="001611DC">
        <w:t xml:space="preserve"> indicates statistically significant.</w:t>
      </w:r>
    </w:p>
    <w:p w14:paraId="77A58E23" w14:textId="4B6F2AD7" w:rsidR="00CE6AF6" w:rsidRPr="001611DC" w:rsidRDefault="00F9000A">
      <w:pPr>
        <w:pStyle w:val="3-BodyText"/>
      </w:pPr>
      <w:r>
        <w:t>The PSCR presented results for VE analysis 4</w:t>
      </w:r>
      <w:r w:rsidR="003B66C9">
        <w:t xml:space="preserve"> (</w:t>
      </w:r>
      <w:r>
        <w:fldChar w:fldCharType="begin" w:fldLock="1"/>
      </w:r>
      <w:r>
        <w:instrText xml:space="preserve"> REF _Ref172888554 \h </w:instrText>
      </w:r>
      <w:r>
        <w:fldChar w:fldCharType="separate"/>
      </w:r>
      <w:r w:rsidR="00927933">
        <w:t>Table 9</w:t>
      </w:r>
      <w:r>
        <w:fldChar w:fldCharType="end"/>
      </w:r>
      <w:r w:rsidR="003B66C9">
        <w:t>)</w:t>
      </w:r>
      <w:r w:rsidR="001F4410">
        <w:t xml:space="preserve"> </w:t>
      </w:r>
      <w:r w:rsidR="00F32ED4">
        <w:t xml:space="preserve">by age group and comorbidity status </w:t>
      </w:r>
      <w:r>
        <w:t>subgroups</w:t>
      </w:r>
      <w:r w:rsidR="00004194">
        <w:t>.</w:t>
      </w:r>
      <w:r w:rsidR="005E0F7B">
        <w:t xml:space="preserve"> </w:t>
      </w:r>
      <w:r w:rsidR="00D0563D">
        <w:t>T</w:t>
      </w:r>
      <w:r w:rsidR="005E0F7B">
        <w:t>he PSCR did not provide updated results for the &gt;80 YOA subgroup</w:t>
      </w:r>
      <w:r w:rsidR="00D0563D">
        <w:t>.</w:t>
      </w:r>
      <w:r w:rsidR="001F4410">
        <w:t xml:space="preserve"> </w:t>
      </w:r>
      <w:r w:rsidR="00D0563D">
        <w:t>The pre-PBAC response stated there were too few cases observed in adults &gt;80 YOA, and therefore VE could not be concluded.</w:t>
      </w:r>
      <w:r w:rsidR="005E0F7B">
        <w:t xml:space="preserve"> </w:t>
      </w:r>
      <w:r w:rsidR="00650847">
        <w:t xml:space="preserve">The new evidence provided could not be verified as the sponsor did not provide source </w:t>
      </w:r>
      <w:r w:rsidR="004037C2">
        <w:t>data</w:t>
      </w:r>
      <w:r w:rsidR="00650847">
        <w:t xml:space="preserve"> for VE analysis 4. </w:t>
      </w:r>
      <w:r w:rsidR="005D43EE">
        <w:t>The ESC noted the results provided in the PSCR</w:t>
      </w:r>
      <w:r w:rsidR="00CE6AF6">
        <w:t xml:space="preserve">, and considered it was reasonable to make assumptions of VE over the period of follow-up data, however, there </w:t>
      </w:r>
      <w:r w:rsidR="004037C2">
        <w:t xml:space="preserve">was </w:t>
      </w:r>
      <w:r w:rsidR="00CE6AF6">
        <w:t>uncertainty regarding the pattern of waning immunity over time, and the need for a booster dose.</w:t>
      </w:r>
      <w:r w:rsidR="003B66C9">
        <w:t xml:space="preserve"> </w:t>
      </w:r>
    </w:p>
    <w:p w14:paraId="6F56A07C" w14:textId="42998791" w:rsidR="00004194" w:rsidRPr="001611DC" w:rsidRDefault="00AB4698" w:rsidP="00844F2C">
      <w:pPr>
        <w:pStyle w:val="Caption"/>
      </w:pPr>
      <w:bookmarkStart w:id="62" w:name="_Ref172888554"/>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9</w:t>
      </w:r>
      <w:r w:rsidR="005473CE" w:rsidRPr="001611DC">
        <w:fldChar w:fldCharType="end"/>
      </w:r>
      <w:bookmarkEnd w:id="62"/>
      <w:r w:rsidRPr="001611DC">
        <w:t>:</w:t>
      </w:r>
      <w:r w:rsidR="00F9000A" w:rsidRPr="001611DC">
        <w:t xml:space="preserve"> Summary of VE against first occurrence of RT-PCR confirmed RSV-LRTD, subgroup analyses</w:t>
      </w:r>
      <w:r w:rsidR="00F9000A" w:rsidRPr="001611DC">
        <w:rPr>
          <w:vertAlign w:val="superscript"/>
        </w:rPr>
        <w:t>a</w:t>
      </w:r>
      <w:r w:rsidR="00F9000A" w:rsidRPr="001611DC">
        <w:t>; – VE analysis 3 (single dose)</w:t>
      </w:r>
      <w:r w:rsidR="00004194" w:rsidRPr="001611DC">
        <w:t>, and VE analysis 4 (as reported in the PSCR), mES</w:t>
      </w:r>
    </w:p>
    <w:tbl>
      <w:tblPr>
        <w:tblStyle w:val="TableGrid"/>
        <w:tblW w:w="9493" w:type="dxa"/>
        <w:tblLook w:val="04A0" w:firstRow="1" w:lastRow="0" w:firstColumn="1" w:lastColumn="0" w:noHBand="0" w:noVBand="1"/>
        <w:tblCaption w:val="Table 9: Summary of VE against first occurrence of RT-PCR confirmed RSV-LRTD, subgroup analysesa; – VE analysis 3 (single dose), and VE analysis 4 (as reported in the PSCR), mES"/>
      </w:tblPr>
      <w:tblGrid>
        <w:gridCol w:w="2190"/>
        <w:gridCol w:w="627"/>
        <w:gridCol w:w="454"/>
        <w:gridCol w:w="855"/>
        <w:gridCol w:w="824"/>
        <w:gridCol w:w="627"/>
        <w:gridCol w:w="490"/>
        <w:gridCol w:w="855"/>
        <w:gridCol w:w="824"/>
        <w:gridCol w:w="1747"/>
      </w:tblGrid>
      <w:tr w:rsidR="00F9000A" w:rsidRPr="001611DC" w14:paraId="3C51B0DA" w14:textId="77777777" w:rsidTr="00540689">
        <w:trPr>
          <w:tblHeader/>
        </w:trPr>
        <w:tc>
          <w:tcPr>
            <w:tcW w:w="0" w:type="auto"/>
            <w:vMerge w:val="restart"/>
          </w:tcPr>
          <w:p w14:paraId="0452082D" w14:textId="77777777" w:rsidR="00F9000A" w:rsidRPr="001611DC" w:rsidRDefault="00F9000A" w:rsidP="00844F2C">
            <w:pPr>
              <w:pStyle w:val="In-tableHeading"/>
              <w:rPr>
                <w:lang w:val="en-AU"/>
              </w:rPr>
            </w:pPr>
            <w:r w:rsidRPr="001611DC">
              <w:rPr>
                <w:lang w:val="en-AU"/>
              </w:rPr>
              <w:t>Subgroups</w:t>
            </w:r>
          </w:p>
        </w:tc>
        <w:tc>
          <w:tcPr>
            <w:tcW w:w="0" w:type="auto"/>
            <w:gridSpan w:val="4"/>
          </w:tcPr>
          <w:p w14:paraId="5A104B96" w14:textId="77777777" w:rsidR="00F9000A" w:rsidRPr="001611DC" w:rsidRDefault="00F9000A" w:rsidP="00844F2C">
            <w:pPr>
              <w:pStyle w:val="In-tableHeading"/>
              <w:jc w:val="center"/>
              <w:rPr>
                <w:lang w:val="en-AU"/>
              </w:rPr>
            </w:pPr>
            <w:r w:rsidRPr="001611DC">
              <w:rPr>
                <w:lang w:val="en-AU"/>
              </w:rPr>
              <w:t>RSVPreF3 OA</w:t>
            </w:r>
          </w:p>
        </w:tc>
        <w:tc>
          <w:tcPr>
            <w:tcW w:w="0" w:type="auto"/>
            <w:gridSpan w:val="4"/>
          </w:tcPr>
          <w:p w14:paraId="3E309DE6" w14:textId="77777777" w:rsidR="00F9000A" w:rsidRPr="001611DC" w:rsidRDefault="00F9000A" w:rsidP="00844F2C">
            <w:pPr>
              <w:pStyle w:val="In-tableHeading"/>
              <w:jc w:val="center"/>
              <w:rPr>
                <w:lang w:val="en-AU"/>
              </w:rPr>
            </w:pPr>
            <w:r w:rsidRPr="001611DC">
              <w:rPr>
                <w:lang w:val="en-AU"/>
              </w:rPr>
              <w:t>No vaccine</w:t>
            </w:r>
          </w:p>
        </w:tc>
        <w:tc>
          <w:tcPr>
            <w:tcW w:w="1747" w:type="dxa"/>
            <w:vMerge w:val="restart"/>
          </w:tcPr>
          <w:p w14:paraId="6A264350" w14:textId="77777777" w:rsidR="00F9000A" w:rsidRPr="001611DC" w:rsidRDefault="00F9000A" w:rsidP="00844F2C">
            <w:pPr>
              <w:pStyle w:val="In-tableHeading"/>
              <w:jc w:val="center"/>
              <w:rPr>
                <w:lang w:val="en-AU"/>
              </w:rPr>
            </w:pPr>
            <w:r w:rsidRPr="001611DC">
              <w:rPr>
                <w:lang w:val="en-AU"/>
              </w:rPr>
              <w:t xml:space="preserve">VE % (CI </w:t>
            </w:r>
            <w:r w:rsidRPr="001611DC">
              <w:rPr>
                <w:vertAlign w:val="superscript"/>
                <w:lang w:val="en-AU"/>
              </w:rPr>
              <w:t>b</w:t>
            </w:r>
            <w:r w:rsidRPr="001611DC">
              <w:rPr>
                <w:lang w:val="en-AU"/>
              </w:rPr>
              <w:t>)</w:t>
            </w:r>
          </w:p>
          <w:p w14:paraId="58F14E32" w14:textId="77777777" w:rsidR="00F9000A" w:rsidRPr="001611DC" w:rsidRDefault="00F9000A" w:rsidP="00844F2C">
            <w:pPr>
              <w:pStyle w:val="In-tableHeading"/>
              <w:jc w:val="center"/>
              <w:rPr>
                <w:lang w:val="en-AU"/>
              </w:rPr>
            </w:pPr>
            <w:r w:rsidRPr="001611DC">
              <w:rPr>
                <w:lang w:val="en-AU"/>
              </w:rPr>
              <w:t>P-value</w:t>
            </w:r>
          </w:p>
        </w:tc>
      </w:tr>
      <w:tr w:rsidR="00540689" w:rsidRPr="001611DC" w14:paraId="5E8965EB" w14:textId="77777777" w:rsidTr="00540689">
        <w:tc>
          <w:tcPr>
            <w:tcW w:w="0" w:type="auto"/>
            <w:vMerge/>
          </w:tcPr>
          <w:p w14:paraId="24FA691F" w14:textId="77777777" w:rsidR="00F9000A" w:rsidRPr="001611DC" w:rsidRDefault="00F9000A" w:rsidP="00844F2C">
            <w:pPr>
              <w:pStyle w:val="In-tableHeading"/>
              <w:rPr>
                <w:lang w:val="en-AU"/>
              </w:rPr>
            </w:pPr>
            <w:bookmarkStart w:id="63" w:name="_Hlk170054870"/>
          </w:p>
        </w:tc>
        <w:tc>
          <w:tcPr>
            <w:tcW w:w="0" w:type="auto"/>
          </w:tcPr>
          <w:p w14:paraId="359FA081" w14:textId="77777777" w:rsidR="00F9000A" w:rsidRPr="001611DC" w:rsidRDefault="00F9000A" w:rsidP="00844F2C">
            <w:pPr>
              <w:pStyle w:val="In-tableHeading"/>
              <w:jc w:val="center"/>
              <w:rPr>
                <w:lang w:val="en-AU"/>
              </w:rPr>
            </w:pPr>
            <w:r w:rsidRPr="001611DC">
              <w:rPr>
                <w:lang w:val="en-AU"/>
              </w:rPr>
              <w:t>N</w:t>
            </w:r>
          </w:p>
        </w:tc>
        <w:tc>
          <w:tcPr>
            <w:tcW w:w="0" w:type="auto"/>
          </w:tcPr>
          <w:p w14:paraId="47DD5153" w14:textId="77777777" w:rsidR="00F9000A" w:rsidRPr="001611DC" w:rsidRDefault="00F9000A" w:rsidP="00844F2C">
            <w:pPr>
              <w:pStyle w:val="In-tableHeading"/>
              <w:jc w:val="center"/>
              <w:rPr>
                <w:lang w:val="en-AU"/>
              </w:rPr>
            </w:pPr>
            <w:r w:rsidRPr="001611DC">
              <w:rPr>
                <w:lang w:val="en-AU"/>
              </w:rPr>
              <w:t>n</w:t>
            </w:r>
          </w:p>
        </w:tc>
        <w:tc>
          <w:tcPr>
            <w:tcW w:w="0" w:type="auto"/>
          </w:tcPr>
          <w:p w14:paraId="1085BC8A" w14:textId="77777777" w:rsidR="00F9000A" w:rsidRPr="001611DC" w:rsidRDefault="00F9000A" w:rsidP="00844F2C">
            <w:pPr>
              <w:pStyle w:val="In-tableHeading"/>
              <w:jc w:val="center"/>
              <w:rPr>
                <w:lang w:val="en-AU"/>
              </w:rPr>
            </w:pPr>
            <w:r w:rsidRPr="001611DC">
              <w:rPr>
                <w:lang w:val="en-AU"/>
              </w:rPr>
              <w:t>T (year)</w:t>
            </w:r>
          </w:p>
        </w:tc>
        <w:tc>
          <w:tcPr>
            <w:tcW w:w="0" w:type="auto"/>
          </w:tcPr>
          <w:p w14:paraId="759EB65F" w14:textId="77777777" w:rsidR="00F9000A" w:rsidRPr="001611DC" w:rsidRDefault="00F9000A" w:rsidP="00844F2C">
            <w:pPr>
              <w:pStyle w:val="In-tableHeading"/>
              <w:jc w:val="center"/>
              <w:rPr>
                <w:lang w:val="en-AU"/>
              </w:rPr>
            </w:pPr>
            <w:r w:rsidRPr="001611DC">
              <w:rPr>
                <w:lang w:val="en-AU"/>
              </w:rPr>
              <w:t>n/T (per 1000)</w:t>
            </w:r>
          </w:p>
        </w:tc>
        <w:tc>
          <w:tcPr>
            <w:tcW w:w="0" w:type="auto"/>
          </w:tcPr>
          <w:p w14:paraId="64C75C36" w14:textId="77777777" w:rsidR="00F9000A" w:rsidRPr="001611DC" w:rsidRDefault="00F9000A" w:rsidP="00844F2C">
            <w:pPr>
              <w:pStyle w:val="In-tableHeading"/>
              <w:jc w:val="center"/>
              <w:rPr>
                <w:lang w:val="en-AU"/>
              </w:rPr>
            </w:pPr>
            <w:r w:rsidRPr="001611DC">
              <w:rPr>
                <w:lang w:val="en-AU"/>
              </w:rPr>
              <w:t>N</w:t>
            </w:r>
          </w:p>
        </w:tc>
        <w:tc>
          <w:tcPr>
            <w:tcW w:w="0" w:type="auto"/>
          </w:tcPr>
          <w:p w14:paraId="4F296DA4" w14:textId="77777777" w:rsidR="00F9000A" w:rsidRPr="001611DC" w:rsidRDefault="00F9000A" w:rsidP="00844F2C">
            <w:pPr>
              <w:pStyle w:val="In-tableHeading"/>
              <w:jc w:val="center"/>
              <w:rPr>
                <w:lang w:val="en-AU"/>
              </w:rPr>
            </w:pPr>
            <w:r w:rsidRPr="001611DC">
              <w:rPr>
                <w:lang w:val="en-AU"/>
              </w:rPr>
              <w:t>n</w:t>
            </w:r>
          </w:p>
        </w:tc>
        <w:tc>
          <w:tcPr>
            <w:tcW w:w="0" w:type="auto"/>
          </w:tcPr>
          <w:p w14:paraId="0360073F" w14:textId="77777777" w:rsidR="00F9000A" w:rsidRPr="001611DC" w:rsidRDefault="00F9000A" w:rsidP="00844F2C">
            <w:pPr>
              <w:pStyle w:val="In-tableHeading"/>
              <w:jc w:val="center"/>
              <w:rPr>
                <w:lang w:val="en-AU"/>
              </w:rPr>
            </w:pPr>
            <w:r w:rsidRPr="001611DC">
              <w:rPr>
                <w:lang w:val="en-AU"/>
              </w:rPr>
              <w:t>T (year)</w:t>
            </w:r>
          </w:p>
        </w:tc>
        <w:tc>
          <w:tcPr>
            <w:tcW w:w="0" w:type="auto"/>
          </w:tcPr>
          <w:p w14:paraId="1602A720" w14:textId="77777777" w:rsidR="00F9000A" w:rsidRPr="001611DC" w:rsidRDefault="00F9000A" w:rsidP="00844F2C">
            <w:pPr>
              <w:pStyle w:val="In-tableHeading"/>
              <w:jc w:val="center"/>
              <w:rPr>
                <w:lang w:val="en-AU"/>
              </w:rPr>
            </w:pPr>
            <w:r w:rsidRPr="001611DC">
              <w:rPr>
                <w:lang w:val="en-AU"/>
              </w:rPr>
              <w:t>n/T (per 1000)</w:t>
            </w:r>
          </w:p>
        </w:tc>
        <w:tc>
          <w:tcPr>
            <w:tcW w:w="1747" w:type="dxa"/>
            <w:vMerge/>
          </w:tcPr>
          <w:p w14:paraId="7ED222AE" w14:textId="77777777" w:rsidR="00F9000A" w:rsidRPr="001611DC" w:rsidRDefault="00F9000A" w:rsidP="00844F2C">
            <w:pPr>
              <w:pStyle w:val="TableText0"/>
              <w:jc w:val="center"/>
            </w:pPr>
          </w:p>
        </w:tc>
      </w:tr>
      <w:bookmarkEnd w:id="63"/>
      <w:tr w:rsidR="00004194" w:rsidRPr="001611DC" w14:paraId="261A39E8" w14:textId="77777777" w:rsidTr="00540689">
        <w:tc>
          <w:tcPr>
            <w:tcW w:w="9493" w:type="dxa"/>
            <w:gridSpan w:val="10"/>
          </w:tcPr>
          <w:p w14:paraId="5817DA30" w14:textId="397AF1F8" w:rsidR="00004194" w:rsidRPr="001611DC" w:rsidRDefault="00004194" w:rsidP="00844F2C">
            <w:pPr>
              <w:keepNext/>
              <w:rPr>
                <w:rFonts w:ascii="Arial Narrow" w:hAnsi="Arial Narrow"/>
                <w:b/>
                <w:bCs/>
                <w:color w:val="000000"/>
                <w:sz w:val="20"/>
                <w:szCs w:val="20"/>
              </w:rPr>
            </w:pPr>
            <w:r w:rsidRPr="001611DC">
              <w:rPr>
                <w:rFonts w:ascii="Arial Narrow" w:hAnsi="Arial Narrow"/>
                <w:b/>
                <w:bCs/>
                <w:color w:val="000000"/>
                <w:sz w:val="20"/>
                <w:szCs w:val="20"/>
              </w:rPr>
              <w:t xml:space="preserve">VE analysis 3 (single dose) </w:t>
            </w:r>
            <w:r w:rsidR="0083552E" w:rsidRPr="001611DC">
              <w:rPr>
                <w:rFonts w:ascii="Arial Narrow" w:hAnsi="Arial Narrow"/>
                <w:b/>
                <w:bCs/>
                <w:color w:val="000000"/>
                <w:sz w:val="20"/>
                <w:szCs w:val="20"/>
              </w:rPr>
              <w:t>–</w:t>
            </w:r>
            <w:r w:rsidRPr="001611DC">
              <w:rPr>
                <w:rFonts w:ascii="Arial Narrow" w:hAnsi="Arial Narrow"/>
                <w:b/>
                <w:bCs/>
                <w:color w:val="000000"/>
                <w:sz w:val="20"/>
                <w:szCs w:val="20"/>
              </w:rPr>
              <w:t xml:space="preserve"> up to end of Season 2 NH </w:t>
            </w:r>
            <w:r w:rsidR="0083552E" w:rsidRPr="001611DC">
              <w:rPr>
                <w:rFonts w:ascii="Arial Narrow" w:hAnsi="Arial Narrow"/>
                <w:b/>
                <w:bCs/>
                <w:color w:val="000000"/>
                <w:sz w:val="20"/>
                <w:szCs w:val="20"/>
              </w:rPr>
              <w:t>–</w:t>
            </w:r>
            <w:r w:rsidRPr="001611DC">
              <w:rPr>
                <w:rFonts w:ascii="Arial Narrow" w:hAnsi="Arial Narrow"/>
                <w:b/>
                <w:bCs/>
                <w:color w:val="000000"/>
                <w:sz w:val="20"/>
                <w:szCs w:val="20"/>
              </w:rPr>
              <w:t xml:space="preserve"> median follow-up time in mES = 17.8 months</w:t>
            </w:r>
          </w:p>
        </w:tc>
      </w:tr>
      <w:tr w:rsidR="00004194" w:rsidRPr="001611DC" w14:paraId="262FA83D" w14:textId="77777777" w:rsidTr="00540689">
        <w:tc>
          <w:tcPr>
            <w:tcW w:w="9493" w:type="dxa"/>
            <w:gridSpan w:val="10"/>
          </w:tcPr>
          <w:p w14:paraId="4094C3FD" w14:textId="0F00E81C" w:rsidR="00004194" w:rsidRPr="001611DC" w:rsidRDefault="00004194" w:rsidP="00844F2C">
            <w:pPr>
              <w:keepNext/>
              <w:rPr>
                <w:rFonts w:ascii="Arial Narrow" w:hAnsi="Arial Narrow"/>
                <w:color w:val="000000"/>
                <w:sz w:val="20"/>
                <w:szCs w:val="20"/>
              </w:rPr>
            </w:pPr>
            <w:r w:rsidRPr="001611DC">
              <w:rPr>
                <w:rFonts w:ascii="Arial Narrow" w:hAnsi="Arial Narrow"/>
                <w:color w:val="000000"/>
                <w:sz w:val="20"/>
                <w:szCs w:val="20"/>
              </w:rPr>
              <w:t>Age category</w:t>
            </w:r>
          </w:p>
        </w:tc>
      </w:tr>
      <w:tr w:rsidR="00540689" w:rsidRPr="001611DC" w14:paraId="147F2278" w14:textId="77777777" w:rsidTr="00540689">
        <w:tc>
          <w:tcPr>
            <w:tcW w:w="0" w:type="auto"/>
            <w:vAlign w:val="center"/>
          </w:tcPr>
          <w:p w14:paraId="572C4449" w14:textId="77777777" w:rsidR="00004194" w:rsidRPr="001611DC" w:rsidRDefault="00004194" w:rsidP="00844F2C">
            <w:pPr>
              <w:pStyle w:val="TableText0"/>
            </w:pPr>
            <w:r w:rsidRPr="001611DC">
              <w:rPr>
                <w:rFonts w:eastAsia="Times New Roman" w:cs="Calibri"/>
                <w:szCs w:val="20"/>
                <w:u w:val="single"/>
              </w:rPr>
              <w:t>&gt;</w:t>
            </w:r>
            <w:r w:rsidRPr="001611DC">
              <w:rPr>
                <w:rFonts w:eastAsia="Times New Roman"/>
                <w:szCs w:val="20"/>
              </w:rPr>
              <w:t>65 YOA</w:t>
            </w:r>
          </w:p>
        </w:tc>
        <w:tc>
          <w:tcPr>
            <w:tcW w:w="0" w:type="auto"/>
            <w:vAlign w:val="center"/>
          </w:tcPr>
          <w:p w14:paraId="5844778A"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9,261</w:t>
            </w:r>
          </w:p>
        </w:tc>
        <w:tc>
          <w:tcPr>
            <w:tcW w:w="0" w:type="auto"/>
            <w:vAlign w:val="center"/>
          </w:tcPr>
          <w:p w14:paraId="55AACCD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25</w:t>
            </w:r>
          </w:p>
        </w:tc>
        <w:tc>
          <w:tcPr>
            <w:tcW w:w="0" w:type="auto"/>
            <w:vAlign w:val="center"/>
          </w:tcPr>
          <w:p w14:paraId="14820B1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10,862.3</w:t>
            </w:r>
          </w:p>
        </w:tc>
        <w:tc>
          <w:tcPr>
            <w:tcW w:w="0" w:type="auto"/>
            <w:vAlign w:val="center"/>
          </w:tcPr>
          <w:p w14:paraId="5BEF10F2"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2.3</w:t>
            </w:r>
          </w:p>
        </w:tc>
        <w:tc>
          <w:tcPr>
            <w:tcW w:w="0" w:type="auto"/>
            <w:vAlign w:val="center"/>
          </w:tcPr>
          <w:p w14:paraId="7D69ED3A"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9,328</w:t>
            </w:r>
          </w:p>
        </w:tc>
        <w:tc>
          <w:tcPr>
            <w:tcW w:w="0" w:type="auto"/>
            <w:vAlign w:val="center"/>
          </w:tcPr>
          <w:p w14:paraId="63BEB7B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100</w:t>
            </w:r>
          </w:p>
        </w:tc>
        <w:tc>
          <w:tcPr>
            <w:tcW w:w="0" w:type="auto"/>
            <w:vAlign w:val="center"/>
          </w:tcPr>
          <w:p w14:paraId="2699D14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12,917.6</w:t>
            </w:r>
          </w:p>
        </w:tc>
        <w:tc>
          <w:tcPr>
            <w:tcW w:w="0" w:type="auto"/>
            <w:vAlign w:val="center"/>
          </w:tcPr>
          <w:p w14:paraId="75FD56D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7.7</w:t>
            </w:r>
          </w:p>
        </w:tc>
        <w:tc>
          <w:tcPr>
            <w:tcW w:w="1747" w:type="dxa"/>
            <w:vAlign w:val="center"/>
          </w:tcPr>
          <w:p w14:paraId="12F89693"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61.17 (39.01, 76.11) &lt;0.0001</w:t>
            </w:r>
          </w:p>
        </w:tc>
      </w:tr>
      <w:tr w:rsidR="00540689" w:rsidRPr="001611DC" w14:paraId="5383035A" w14:textId="77777777" w:rsidTr="00540689">
        <w:tc>
          <w:tcPr>
            <w:tcW w:w="0" w:type="auto"/>
            <w:vAlign w:val="center"/>
          </w:tcPr>
          <w:p w14:paraId="76AF8640" w14:textId="77777777" w:rsidR="00004194" w:rsidRPr="001611DC" w:rsidRDefault="00004194" w:rsidP="00844F2C">
            <w:pPr>
              <w:pStyle w:val="TableText0"/>
            </w:pPr>
            <w:r w:rsidRPr="001611DC">
              <w:rPr>
                <w:rFonts w:eastAsia="Times New Roman" w:cs="Calibri"/>
                <w:szCs w:val="20"/>
                <w:u w:val="single"/>
              </w:rPr>
              <w:t>&gt;</w:t>
            </w:r>
            <w:r w:rsidRPr="001611DC">
              <w:rPr>
                <w:rFonts w:eastAsia="Times New Roman"/>
                <w:szCs w:val="20"/>
              </w:rPr>
              <w:t>70 YOA</w:t>
            </w:r>
          </w:p>
        </w:tc>
        <w:tc>
          <w:tcPr>
            <w:tcW w:w="0" w:type="auto"/>
            <w:vAlign w:val="center"/>
          </w:tcPr>
          <w:p w14:paraId="46BE2F9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5,506</w:t>
            </w:r>
          </w:p>
        </w:tc>
        <w:tc>
          <w:tcPr>
            <w:tcW w:w="0" w:type="auto"/>
            <w:vAlign w:val="center"/>
          </w:tcPr>
          <w:p w14:paraId="0933EAA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13</w:t>
            </w:r>
          </w:p>
        </w:tc>
        <w:tc>
          <w:tcPr>
            <w:tcW w:w="0" w:type="auto"/>
            <w:vAlign w:val="center"/>
          </w:tcPr>
          <w:p w14:paraId="27BDD0C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6,419.5</w:t>
            </w:r>
          </w:p>
        </w:tc>
        <w:tc>
          <w:tcPr>
            <w:tcW w:w="0" w:type="auto"/>
            <w:vAlign w:val="center"/>
          </w:tcPr>
          <w:p w14:paraId="37FE258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2.0</w:t>
            </w:r>
          </w:p>
        </w:tc>
        <w:tc>
          <w:tcPr>
            <w:tcW w:w="0" w:type="auto"/>
            <w:vAlign w:val="center"/>
          </w:tcPr>
          <w:p w14:paraId="2BF356D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5,517</w:t>
            </w:r>
          </w:p>
        </w:tc>
        <w:tc>
          <w:tcPr>
            <w:tcW w:w="0" w:type="auto"/>
            <w:vAlign w:val="center"/>
          </w:tcPr>
          <w:p w14:paraId="3157F81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65</w:t>
            </w:r>
          </w:p>
        </w:tc>
        <w:tc>
          <w:tcPr>
            <w:tcW w:w="0" w:type="auto"/>
            <w:vAlign w:val="center"/>
          </w:tcPr>
          <w:p w14:paraId="16D52662"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7,614.9</w:t>
            </w:r>
          </w:p>
        </w:tc>
        <w:tc>
          <w:tcPr>
            <w:tcW w:w="0" w:type="auto"/>
            <w:vAlign w:val="center"/>
          </w:tcPr>
          <w:p w14:paraId="0A2E2E8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8.5</w:t>
            </w:r>
          </w:p>
        </w:tc>
        <w:tc>
          <w:tcPr>
            <w:tcW w:w="1747" w:type="dxa"/>
            <w:vAlign w:val="center"/>
          </w:tcPr>
          <w:p w14:paraId="28BBE256"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69.30 (43.38, 84.56) &lt;0.0001</w:t>
            </w:r>
          </w:p>
        </w:tc>
      </w:tr>
      <w:tr w:rsidR="00540689" w:rsidRPr="001611DC" w14:paraId="28D01C08" w14:textId="77777777" w:rsidTr="00540689">
        <w:tc>
          <w:tcPr>
            <w:tcW w:w="0" w:type="auto"/>
            <w:vAlign w:val="center"/>
          </w:tcPr>
          <w:p w14:paraId="12C52A1A" w14:textId="77777777" w:rsidR="00004194" w:rsidRPr="001611DC" w:rsidRDefault="00004194" w:rsidP="00844F2C">
            <w:pPr>
              <w:pStyle w:val="TableText0"/>
            </w:pPr>
            <w:r w:rsidRPr="001611DC">
              <w:rPr>
                <w:rFonts w:eastAsia="Times New Roman" w:cs="Calibri"/>
                <w:szCs w:val="20"/>
                <w:u w:val="single"/>
              </w:rPr>
              <w:t>&gt;</w:t>
            </w:r>
            <w:r w:rsidRPr="001611DC">
              <w:rPr>
                <w:rFonts w:eastAsia="Times New Roman"/>
                <w:szCs w:val="20"/>
              </w:rPr>
              <w:t>80 YOA</w:t>
            </w:r>
          </w:p>
        </w:tc>
        <w:tc>
          <w:tcPr>
            <w:tcW w:w="0" w:type="auto"/>
            <w:vAlign w:val="center"/>
          </w:tcPr>
          <w:p w14:paraId="30ECD17B"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1,017</w:t>
            </w:r>
          </w:p>
        </w:tc>
        <w:tc>
          <w:tcPr>
            <w:tcW w:w="0" w:type="auto"/>
            <w:vAlign w:val="center"/>
          </w:tcPr>
          <w:p w14:paraId="082D31B4"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w:t>
            </w:r>
          </w:p>
        </w:tc>
        <w:tc>
          <w:tcPr>
            <w:tcW w:w="0" w:type="auto"/>
            <w:vAlign w:val="center"/>
          </w:tcPr>
          <w:p w14:paraId="48D88DF2"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1,151.2</w:t>
            </w:r>
          </w:p>
        </w:tc>
        <w:tc>
          <w:tcPr>
            <w:tcW w:w="0" w:type="auto"/>
            <w:vAlign w:val="center"/>
          </w:tcPr>
          <w:p w14:paraId="36CA68A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3.5</w:t>
            </w:r>
          </w:p>
        </w:tc>
        <w:tc>
          <w:tcPr>
            <w:tcW w:w="0" w:type="auto"/>
            <w:vAlign w:val="center"/>
          </w:tcPr>
          <w:p w14:paraId="0E1DFCE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1,028</w:t>
            </w:r>
          </w:p>
        </w:tc>
        <w:tc>
          <w:tcPr>
            <w:tcW w:w="0" w:type="auto"/>
            <w:vAlign w:val="center"/>
          </w:tcPr>
          <w:p w14:paraId="2F7B034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w:t>
            </w:r>
          </w:p>
        </w:tc>
        <w:tc>
          <w:tcPr>
            <w:tcW w:w="0" w:type="auto"/>
            <w:vAlign w:val="center"/>
          </w:tcPr>
          <w:p w14:paraId="1D3995D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1,384.4</w:t>
            </w:r>
          </w:p>
        </w:tc>
        <w:tc>
          <w:tcPr>
            <w:tcW w:w="0" w:type="auto"/>
            <w:vAlign w:val="center"/>
          </w:tcPr>
          <w:p w14:paraId="4535DA74"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7.2</w:t>
            </w:r>
          </w:p>
        </w:tc>
        <w:tc>
          <w:tcPr>
            <w:tcW w:w="1747" w:type="dxa"/>
            <w:vAlign w:val="center"/>
          </w:tcPr>
          <w:p w14:paraId="3E0A7852"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38.37 (-118.17, 86.14) 0.6032</w:t>
            </w:r>
          </w:p>
        </w:tc>
      </w:tr>
      <w:tr w:rsidR="00540689" w:rsidRPr="001611DC" w14:paraId="3AEA9D02" w14:textId="77777777" w:rsidTr="00540689">
        <w:tc>
          <w:tcPr>
            <w:tcW w:w="0" w:type="auto"/>
            <w:vAlign w:val="center"/>
          </w:tcPr>
          <w:p w14:paraId="26714ADD" w14:textId="77777777" w:rsidR="00004194" w:rsidRPr="001611DC" w:rsidRDefault="00004194" w:rsidP="00844F2C">
            <w:pPr>
              <w:pStyle w:val="TableText0"/>
            </w:pPr>
            <w:r w:rsidRPr="001611DC">
              <w:rPr>
                <w:rFonts w:eastAsia="Times New Roman"/>
                <w:szCs w:val="20"/>
              </w:rPr>
              <w:t>60-69 YOA</w:t>
            </w:r>
          </w:p>
        </w:tc>
        <w:tc>
          <w:tcPr>
            <w:tcW w:w="0" w:type="auto"/>
            <w:vAlign w:val="center"/>
          </w:tcPr>
          <w:p w14:paraId="6351B57B"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6,963</w:t>
            </w:r>
          </w:p>
        </w:tc>
        <w:tc>
          <w:tcPr>
            <w:tcW w:w="0" w:type="auto"/>
            <w:vAlign w:val="center"/>
          </w:tcPr>
          <w:p w14:paraId="50AC2E8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17</w:t>
            </w:r>
          </w:p>
        </w:tc>
        <w:tc>
          <w:tcPr>
            <w:tcW w:w="0" w:type="auto"/>
            <w:vAlign w:val="center"/>
          </w:tcPr>
          <w:p w14:paraId="78822B7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8,243.0</w:t>
            </w:r>
          </w:p>
        </w:tc>
        <w:tc>
          <w:tcPr>
            <w:tcW w:w="0" w:type="auto"/>
            <w:vAlign w:val="center"/>
          </w:tcPr>
          <w:p w14:paraId="34CA4B1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2.1</w:t>
            </w:r>
          </w:p>
        </w:tc>
        <w:tc>
          <w:tcPr>
            <w:tcW w:w="0" w:type="auto"/>
            <w:vAlign w:val="center"/>
          </w:tcPr>
          <w:p w14:paraId="4FAEDF7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6,981</w:t>
            </w:r>
          </w:p>
        </w:tc>
        <w:tc>
          <w:tcPr>
            <w:tcW w:w="0" w:type="auto"/>
            <w:vAlign w:val="center"/>
          </w:tcPr>
          <w:p w14:paraId="02BF774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74</w:t>
            </w:r>
          </w:p>
        </w:tc>
        <w:tc>
          <w:tcPr>
            <w:tcW w:w="0" w:type="auto"/>
            <w:vAlign w:val="center"/>
          </w:tcPr>
          <w:p w14:paraId="064EB3B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9,654.1</w:t>
            </w:r>
          </w:p>
        </w:tc>
        <w:tc>
          <w:tcPr>
            <w:tcW w:w="0" w:type="auto"/>
            <w:vAlign w:val="center"/>
          </w:tcPr>
          <w:p w14:paraId="1451F2D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7.7</w:t>
            </w:r>
          </w:p>
        </w:tc>
        <w:tc>
          <w:tcPr>
            <w:tcW w:w="1747" w:type="dxa"/>
            <w:vAlign w:val="center"/>
          </w:tcPr>
          <w:p w14:paraId="26DDEDC7"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65.36 (40.40, 80.93) &lt;0.0001</w:t>
            </w:r>
          </w:p>
        </w:tc>
      </w:tr>
      <w:tr w:rsidR="00540689" w:rsidRPr="001611DC" w14:paraId="7346C884" w14:textId="77777777" w:rsidTr="00540689">
        <w:tc>
          <w:tcPr>
            <w:tcW w:w="0" w:type="auto"/>
            <w:vAlign w:val="center"/>
          </w:tcPr>
          <w:p w14:paraId="78EA694A" w14:textId="77777777" w:rsidR="00004194" w:rsidRPr="001611DC" w:rsidRDefault="00004194" w:rsidP="00844F2C">
            <w:pPr>
              <w:pStyle w:val="TableText0"/>
            </w:pPr>
            <w:r w:rsidRPr="001611DC">
              <w:rPr>
                <w:rFonts w:eastAsia="Times New Roman"/>
                <w:szCs w:val="20"/>
              </w:rPr>
              <w:t>70-79 YOA</w:t>
            </w:r>
          </w:p>
        </w:tc>
        <w:tc>
          <w:tcPr>
            <w:tcW w:w="0" w:type="auto"/>
            <w:vAlign w:val="center"/>
          </w:tcPr>
          <w:p w14:paraId="53D6443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4,489</w:t>
            </w:r>
          </w:p>
        </w:tc>
        <w:tc>
          <w:tcPr>
            <w:tcW w:w="0" w:type="auto"/>
            <w:vAlign w:val="center"/>
          </w:tcPr>
          <w:p w14:paraId="5E03CBAB"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9</w:t>
            </w:r>
          </w:p>
        </w:tc>
        <w:tc>
          <w:tcPr>
            <w:tcW w:w="0" w:type="auto"/>
            <w:vAlign w:val="center"/>
          </w:tcPr>
          <w:p w14:paraId="52A94938"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5,268.3</w:t>
            </w:r>
          </w:p>
        </w:tc>
        <w:tc>
          <w:tcPr>
            <w:tcW w:w="0" w:type="auto"/>
            <w:vAlign w:val="center"/>
          </w:tcPr>
          <w:p w14:paraId="436ACAFA"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1.7</w:t>
            </w:r>
          </w:p>
        </w:tc>
        <w:tc>
          <w:tcPr>
            <w:tcW w:w="0" w:type="auto"/>
            <w:vAlign w:val="center"/>
          </w:tcPr>
          <w:p w14:paraId="72F9A64B"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4,489</w:t>
            </w:r>
          </w:p>
        </w:tc>
        <w:tc>
          <w:tcPr>
            <w:tcW w:w="0" w:type="auto"/>
            <w:vAlign w:val="center"/>
          </w:tcPr>
          <w:p w14:paraId="6E6D846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55</w:t>
            </w:r>
          </w:p>
        </w:tc>
        <w:tc>
          <w:tcPr>
            <w:tcW w:w="0" w:type="auto"/>
            <w:vAlign w:val="center"/>
          </w:tcPr>
          <w:p w14:paraId="7A7D58A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6,230.4</w:t>
            </w:r>
          </w:p>
        </w:tc>
        <w:tc>
          <w:tcPr>
            <w:tcW w:w="0" w:type="auto"/>
            <w:vAlign w:val="center"/>
          </w:tcPr>
          <w:p w14:paraId="35BFEF64"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8.8</w:t>
            </w:r>
          </w:p>
        </w:tc>
        <w:tc>
          <w:tcPr>
            <w:tcW w:w="1747" w:type="dxa"/>
            <w:vAlign w:val="center"/>
          </w:tcPr>
          <w:p w14:paraId="1F4FA3A0"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74.89 (48.42, 89.15) &lt;0.0001</w:t>
            </w:r>
          </w:p>
        </w:tc>
      </w:tr>
      <w:tr w:rsidR="00004194" w:rsidRPr="001611DC" w14:paraId="2D46F270" w14:textId="77777777" w:rsidTr="00540689">
        <w:tc>
          <w:tcPr>
            <w:tcW w:w="9493" w:type="dxa"/>
            <w:gridSpan w:val="10"/>
            <w:vAlign w:val="center"/>
          </w:tcPr>
          <w:p w14:paraId="68FF82B9" w14:textId="77777777" w:rsidR="00004194" w:rsidRPr="001611DC" w:rsidRDefault="00004194" w:rsidP="00844F2C">
            <w:pPr>
              <w:keepNext/>
              <w:rPr>
                <w:rFonts w:ascii="Arial Narrow" w:hAnsi="Arial Narrow"/>
                <w:color w:val="000000"/>
                <w:sz w:val="20"/>
                <w:szCs w:val="20"/>
              </w:rPr>
            </w:pPr>
            <w:r w:rsidRPr="001611DC">
              <w:rPr>
                <w:rFonts w:ascii="Arial Narrow" w:hAnsi="Arial Narrow" w:cs="Calibri"/>
                <w:sz w:val="20"/>
                <w:szCs w:val="20"/>
              </w:rPr>
              <w:t>Baseline comorbidity</w:t>
            </w:r>
          </w:p>
        </w:tc>
      </w:tr>
      <w:tr w:rsidR="00540689" w:rsidRPr="001611DC" w14:paraId="5C61C30E" w14:textId="77777777" w:rsidTr="00540689">
        <w:tc>
          <w:tcPr>
            <w:tcW w:w="0" w:type="auto"/>
            <w:vAlign w:val="center"/>
          </w:tcPr>
          <w:p w14:paraId="15CF7680" w14:textId="77777777" w:rsidR="00004194" w:rsidRPr="001611DC" w:rsidRDefault="00004194" w:rsidP="00844F2C">
            <w:pPr>
              <w:pStyle w:val="TableText0"/>
            </w:pPr>
            <w:r w:rsidRPr="001611DC">
              <w:rPr>
                <w:rFonts w:eastAsia="Times New Roman" w:cs="Calibri"/>
                <w:szCs w:val="20"/>
                <w:u w:val="single"/>
              </w:rPr>
              <w:t>&gt;</w:t>
            </w:r>
            <w:r w:rsidRPr="001611DC">
              <w:rPr>
                <w:rFonts w:eastAsia="Times New Roman" w:cs="Calibri"/>
                <w:szCs w:val="20"/>
              </w:rPr>
              <w:t xml:space="preserve">1 condition </w:t>
            </w:r>
          </w:p>
        </w:tc>
        <w:tc>
          <w:tcPr>
            <w:tcW w:w="0" w:type="auto"/>
            <w:vAlign w:val="center"/>
          </w:tcPr>
          <w:p w14:paraId="5301CEB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4,983</w:t>
            </w:r>
          </w:p>
        </w:tc>
        <w:tc>
          <w:tcPr>
            <w:tcW w:w="0" w:type="auto"/>
            <w:vAlign w:val="center"/>
          </w:tcPr>
          <w:p w14:paraId="0764F20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16</w:t>
            </w:r>
          </w:p>
        </w:tc>
        <w:tc>
          <w:tcPr>
            <w:tcW w:w="0" w:type="auto"/>
            <w:vAlign w:val="center"/>
          </w:tcPr>
          <w:p w14:paraId="46A556A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5,882.9</w:t>
            </w:r>
          </w:p>
        </w:tc>
        <w:tc>
          <w:tcPr>
            <w:tcW w:w="0" w:type="auto"/>
            <w:vAlign w:val="center"/>
          </w:tcPr>
          <w:p w14:paraId="4FF9036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2.7</w:t>
            </w:r>
          </w:p>
        </w:tc>
        <w:tc>
          <w:tcPr>
            <w:tcW w:w="0" w:type="auto"/>
            <w:vAlign w:val="center"/>
          </w:tcPr>
          <w:p w14:paraId="1F055B7E"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4,919</w:t>
            </w:r>
          </w:p>
        </w:tc>
        <w:tc>
          <w:tcPr>
            <w:tcW w:w="0" w:type="auto"/>
            <w:vAlign w:val="center"/>
          </w:tcPr>
          <w:p w14:paraId="2B93C40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72</w:t>
            </w:r>
          </w:p>
        </w:tc>
        <w:tc>
          <w:tcPr>
            <w:tcW w:w="0" w:type="auto"/>
            <w:vAlign w:val="center"/>
          </w:tcPr>
          <w:p w14:paraId="5ED3C61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6,790.9</w:t>
            </w:r>
          </w:p>
        </w:tc>
        <w:tc>
          <w:tcPr>
            <w:tcW w:w="0" w:type="auto"/>
            <w:vAlign w:val="center"/>
          </w:tcPr>
          <w:p w14:paraId="7D6324C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10.6</w:t>
            </w:r>
          </w:p>
        </w:tc>
        <w:tc>
          <w:tcPr>
            <w:tcW w:w="1747" w:type="dxa"/>
            <w:vAlign w:val="center"/>
          </w:tcPr>
          <w:p w14:paraId="5F8646D2"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66.70 (41.8, 82.0)</w:t>
            </w:r>
          </w:p>
        </w:tc>
      </w:tr>
      <w:tr w:rsidR="00540689" w:rsidRPr="001611DC" w14:paraId="5A2F44C5" w14:textId="77777777" w:rsidTr="00540689">
        <w:tc>
          <w:tcPr>
            <w:tcW w:w="0" w:type="auto"/>
            <w:vAlign w:val="center"/>
          </w:tcPr>
          <w:p w14:paraId="6E88D495" w14:textId="77777777" w:rsidR="00004194" w:rsidRPr="001611DC" w:rsidRDefault="00004194" w:rsidP="00844F2C">
            <w:pPr>
              <w:pStyle w:val="TableText0"/>
            </w:pPr>
            <w:r w:rsidRPr="001611DC">
              <w:rPr>
                <w:rFonts w:eastAsia="Times New Roman" w:cs="Calibri"/>
                <w:szCs w:val="20"/>
                <w:u w:val="single"/>
              </w:rPr>
              <w:t>&gt;</w:t>
            </w:r>
            <w:r w:rsidRPr="001611DC">
              <w:rPr>
                <w:rFonts w:eastAsia="Times New Roman" w:cs="Calibri"/>
                <w:szCs w:val="20"/>
              </w:rPr>
              <w:t xml:space="preserve">1 cardiorespiratory condition </w:t>
            </w:r>
          </w:p>
        </w:tc>
        <w:tc>
          <w:tcPr>
            <w:tcW w:w="0" w:type="auto"/>
            <w:vAlign w:val="center"/>
          </w:tcPr>
          <w:p w14:paraId="125053F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2,546</w:t>
            </w:r>
          </w:p>
        </w:tc>
        <w:tc>
          <w:tcPr>
            <w:tcW w:w="0" w:type="auto"/>
            <w:vAlign w:val="center"/>
          </w:tcPr>
          <w:p w14:paraId="2EB2CE2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w:t>
            </w:r>
          </w:p>
        </w:tc>
        <w:tc>
          <w:tcPr>
            <w:tcW w:w="0" w:type="auto"/>
            <w:vAlign w:val="center"/>
          </w:tcPr>
          <w:p w14:paraId="1C9A8AD4"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2,997.5</w:t>
            </w:r>
          </w:p>
        </w:tc>
        <w:tc>
          <w:tcPr>
            <w:tcW w:w="0" w:type="auto"/>
            <w:vAlign w:val="center"/>
          </w:tcPr>
          <w:p w14:paraId="6FCC9B6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3.3</w:t>
            </w:r>
          </w:p>
        </w:tc>
        <w:tc>
          <w:tcPr>
            <w:tcW w:w="0" w:type="auto"/>
            <w:vAlign w:val="center"/>
          </w:tcPr>
          <w:p w14:paraId="177223E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2,479</w:t>
            </w:r>
          </w:p>
        </w:tc>
        <w:tc>
          <w:tcPr>
            <w:tcW w:w="0" w:type="auto"/>
            <w:vAlign w:val="center"/>
          </w:tcPr>
          <w:p w14:paraId="10D7D6A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56</w:t>
            </w:r>
          </w:p>
        </w:tc>
        <w:tc>
          <w:tcPr>
            <w:tcW w:w="0" w:type="auto"/>
            <w:vAlign w:val="center"/>
          </w:tcPr>
          <w:p w14:paraId="4352323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3,411.6</w:t>
            </w:r>
          </w:p>
        </w:tc>
        <w:tc>
          <w:tcPr>
            <w:tcW w:w="0" w:type="auto"/>
            <w:vAlign w:val="center"/>
          </w:tcPr>
          <w:p w14:paraId="435E0DC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16.4</w:t>
            </w:r>
          </w:p>
        </w:tc>
        <w:tc>
          <w:tcPr>
            <w:tcW w:w="1747" w:type="dxa"/>
            <w:vAlign w:val="center"/>
          </w:tcPr>
          <w:p w14:paraId="0A4346F1"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73.80 (47.9, 88.2)</w:t>
            </w:r>
          </w:p>
        </w:tc>
      </w:tr>
      <w:tr w:rsidR="00540689" w:rsidRPr="001611DC" w14:paraId="2BAC8CBE" w14:textId="77777777" w:rsidTr="00540689">
        <w:tc>
          <w:tcPr>
            <w:tcW w:w="0" w:type="auto"/>
            <w:vAlign w:val="center"/>
          </w:tcPr>
          <w:p w14:paraId="2BEE5CA2" w14:textId="77777777" w:rsidR="00004194" w:rsidRPr="001611DC" w:rsidRDefault="00004194" w:rsidP="00844F2C">
            <w:pPr>
              <w:pStyle w:val="TableText0"/>
            </w:pPr>
            <w:bookmarkStart w:id="64" w:name="_Hlk165524674"/>
            <w:r w:rsidRPr="001611DC">
              <w:rPr>
                <w:rFonts w:eastAsia="Times New Roman" w:cs="Calibri"/>
                <w:szCs w:val="20"/>
                <w:u w:val="single"/>
              </w:rPr>
              <w:t>&gt;</w:t>
            </w:r>
            <w:r w:rsidRPr="001611DC">
              <w:rPr>
                <w:rFonts w:eastAsia="Times New Roman" w:cs="Calibri"/>
                <w:szCs w:val="20"/>
              </w:rPr>
              <w:t xml:space="preserve">1 endocrine or metabolic condition </w:t>
            </w:r>
            <w:bookmarkEnd w:id="64"/>
          </w:p>
        </w:tc>
        <w:tc>
          <w:tcPr>
            <w:tcW w:w="0" w:type="auto"/>
            <w:vAlign w:val="center"/>
          </w:tcPr>
          <w:p w14:paraId="7264838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3,229</w:t>
            </w:r>
          </w:p>
        </w:tc>
        <w:tc>
          <w:tcPr>
            <w:tcW w:w="0" w:type="auto"/>
            <w:vAlign w:val="center"/>
          </w:tcPr>
          <w:p w14:paraId="151783C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w:t>
            </w:r>
          </w:p>
        </w:tc>
        <w:tc>
          <w:tcPr>
            <w:tcW w:w="0" w:type="auto"/>
            <w:vAlign w:val="center"/>
          </w:tcPr>
          <w:p w14:paraId="42263A3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3,822.6</w:t>
            </w:r>
          </w:p>
        </w:tc>
        <w:tc>
          <w:tcPr>
            <w:tcW w:w="0" w:type="auto"/>
            <w:vAlign w:val="center"/>
          </w:tcPr>
          <w:p w14:paraId="4F930A52"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2.1</w:t>
            </w:r>
          </w:p>
        </w:tc>
        <w:tc>
          <w:tcPr>
            <w:tcW w:w="0" w:type="auto"/>
            <w:vAlign w:val="center"/>
          </w:tcPr>
          <w:p w14:paraId="56FFBF2F"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3,255</w:t>
            </w:r>
          </w:p>
        </w:tc>
        <w:tc>
          <w:tcPr>
            <w:tcW w:w="0" w:type="auto"/>
            <w:vAlign w:val="center"/>
          </w:tcPr>
          <w:p w14:paraId="2C564E4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32</w:t>
            </w:r>
          </w:p>
        </w:tc>
        <w:tc>
          <w:tcPr>
            <w:tcW w:w="0" w:type="auto"/>
            <w:vAlign w:val="center"/>
          </w:tcPr>
          <w:p w14:paraId="060602B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4,509.4</w:t>
            </w:r>
          </w:p>
        </w:tc>
        <w:tc>
          <w:tcPr>
            <w:tcW w:w="0" w:type="auto"/>
            <w:vAlign w:val="center"/>
          </w:tcPr>
          <w:p w14:paraId="2FA1EE4F"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7.1</w:t>
            </w:r>
          </w:p>
        </w:tc>
        <w:tc>
          <w:tcPr>
            <w:tcW w:w="1747" w:type="dxa"/>
            <w:vAlign w:val="center"/>
          </w:tcPr>
          <w:p w14:paraId="72401467"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63.10 (17.4, 85.4)</w:t>
            </w:r>
          </w:p>
        </w:tc>
      </w:tr>
      <w:tr w:rsidR="00540689" w:rsidRPr="001611DC" w14:paraId="4C3D4C58" w14:textId="77777777" w:rsidTr="00540689">
        <w:tc>
          <w:tcPr>
            <w:tcW w:w="0" w:type="auto"/>
          </w:tcPr>
          <w:p w14:paraId="1B0C97B0" w14:textId="77777777" w:rsidR="00004194" w:rsidRPr="001611DC" w:rsidRDefault="00004194" w:rsidP="00844F2C">
            <w:pPr>
              <w:pStyle w:val="TableText0"/>
            </w:pPr>
            <w:r w:rsidRPr="001611DC">
              <w:t>Low or medium risk of morbidity or mortality (CCI≤3)</w:t>
            </w:r>
          </w:p>
        </w:tc>
        <w:tc>
          <w:tcPr>
            <w:tcW w:w="0" w:type="auto"/>
            <w:vAlign w:val="center"/>
          </w:tcPr>
          <w:p w14:paraId="4D23FB3A"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8,16</w:t>
            </w:r>
            <w:r w:rsidRPr="001611DC">
              <w:rPr>
                <w:rFonts w:eastAsia="Times New Roman"/>
                <w:szCs w:val="20"/>
              </w:rPr>
              <w:t>6</w:t>
            </w:r>
          </w:p>
        </w:tc>
        <w:tc>
          <w:tcPr>
            <w:tcW w:w="0" w:type="auto"/>
            <w:vAlign w:val="center"/>
          </w:tcPr>
          <w:p w14:paraId="7869B410"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15</w:t>
            </w:r>
          </w:p>
        </w:tc>
        <w:tc>
          <w:tcPr>
            <w:tcW w:w="0" w:type="auto"/>
            <w:vAlign w:val="center"/>
          </w:tcPr>
          <w:p w14:paraId="0A2DBB68"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9,630.7</w:t>
            </w:r>
          </w:p>
        </w:tc>
        <w:tc>
          <w:tcPr>
            <w:tcW w:w="0" w:type="auto"/>
            <w:vAlign w:val="center"/>
          </w:tcPr>
          <w:p w14:paraId="177B465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1.6</w:t>
            </w:r>
          </w:p>
        </w:tc>
        <w:tc>
          <w:tcPr>
            <w:tcW w:w="0" w:type="auto"/>
            <w:vAlign w:val="center"/>
          </w:tcPr>
          <w:p w14:paraId="6F46755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8,310</w:t>
            </w:r>
          </w:p>
        </w:tc>
        <w:tc>
          <w:tcPr>
            <w:tcW w:w="0" w:type="auto"/>
            <w:vAlign w:val="center"/>
          </w:tcPr>
          <w:p w14:paraId="7D10362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77</w:t>
            </w:r>
          </w:p>
        </w:tc>
        <w:tc>
          <w:tcPr>
            <w:tcW w:w="0" w:type="auto"/>
            <w:vAlign w:val="center"/>
          </w:tcPr>
          <w:p w14:paraId="71F9CB15"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11,485.9</w:t>
            </w:r>
          </w:p>
        </w:tc>
        <w:tc>
          <w:tcPr>
            <w:tcW w:w="0" w:type="auto"/>
            <w:vAlign w:val="center"/>
          </w:tcPr>
          <w:p w14:paraId="16F0D3E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6.7</w:t>
            </w:r>
          </w:p>
        </w:tc>
        <w:tc>
          <w:tcPr>
            <w:tcW w:w="1747" w:type="dxa"/>
            <w:vAlign w:val="center"/>
          </w:tcPr>
          <w:p w14:paraId="2FFDEE5B"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70.31 (47.68, 84.22) &lt;0.0001</w:t>
            </w:r>
          </w:p>
        </w:tc>
      </w:tr>
      <w:tr w:rsidR="00540689" w:rsidRPr="001611DC" w14:paraId="2915BEA9" w14:textId="77777777" w:rsidTr="00540689">
        <w:tc>
          <w:tcPr>
            <w:tcW w:w="0" w:type="auto"/>
          </w:tcPr>
          <w:p w14:paraId="181EB7D4" w14:textId="77777777" w:rsidR="00004194" w:rsidRPr="001611DC" w:rsidRDefault="00004194" w:rsidP="00844F2C">
            <w:pPr>
              <w:pStyle w:val="TableText0"/>
            </w:pPr>
            <w:r w:rsidRPr="001611DC">
              <w:t>High risk of morbidity or mortality (CCI&gt;3)</w:t>
            </w:r>
          </w:p>
        </w:tc>
        <w:tc>
          <w:tcPr>
            <w:tcW w:w="0" w:type="auto"/>
            <w:vAlign w:val="center"/>
          </w:tcPr>
          <w:p w14:paraId="6D7F026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4,3</w:t>
            </w:r>
            <w:r w:rsidRPr="001611DC">
              <w:rPr>
                <w:rFonts w:eastAsia="Times New Roman"/>
                <w:szCs w:val="20"/>
              </w:rPr>
              <w:t>03</w:t>
            </w:r>
          </w:p>
        </w:tc>
        <w:tc>
          <w:tcPr>
            <w:tcW w:w="0" w:type="auto"/>
            <w:vAlign w:val="center"/>
          </w:tcPr>
          <w:p w14:paraId="3C8C00B6"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15</w:t>
            </w:r>
          </w:p>
        </w:tc>
        <w:tc>
          <w:tcPr>
            <w:tcW w:w="0" w:type="auto"/>
            <w:vAlign w:val="center"/>
          </w:tcPr>
          <w:p w14:paraId="6204111E"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5,031.9</w:t>
            </w:r>
          </w:p>
        </w:tc>
        <w:tc>
          <w:tcPr>
            <w:tcW w:w="0" w:type="auto"/>
            <w:vAlign w:val="center"/>
          </w:tcPr>
          <w:p w14:paraId="5111A548"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3.0</w:t>
            </w:r>
          </w:p>
        </w:tc>
        <w:tc>
          <w:tcPr>
            <w:tcW w:w="0" w:type="auto"/>
            <w:vAlign w:val="center"/>
          </w:tcPr>
          <w:p w14:paraId="2CFE9EE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4,188</w:t>
            </w:r>
          </w:p>
        </w:tc>
        <w:tc>
          <w:tcPr>
            <w:tcW w:w="0" w:type="auto"/>
            <w:vAlign w:val="center"/>
          </w:tcPr>
          <w:p w14:paraId="3F223B3D"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62</w:t>
            </w:r>
          </w:p>
        </w:tc>
        <w:tc>
          <w:tcPr>
            <w:tcW w:w="0" w:type="auto"/>
            <w:vAlign w:val="center"/>
          </w:tcPr>
          <w:p w14:paraId="1F4765A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5,783.0</w:t>
            </w:r>
          </w:p>
        </w:tc>
        <w:tc>
          <w:tcPr>
            <w:tcW w:w="0" w:type="auto"/>
            <w:vAlign w:val="center"/>
          </w:tcPr>
          <w:p w14:paraId="1113B759"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10.7</w:t>
            </w:r>
          </w:p>
        </w:tc>
        <w:tc>
          <w:tcPr>
            <w:tcW w:w="1747" w:type="dxa"/>
            <w:vAlign w:val="center"/>
          </w:tcPr>
          <w:p w14:paraId="3C6D9897"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64.08 (35.59, 81.16) 0.0002</w:t>
            </w:r>
          </w:p>
        </w:tc>
      </w:tr>
      <w:tr w:rsidR="00004194" w:rsidRPr="001611DC" w14:paraId="2562412D" w14:textId="77777777" w:rsidTr="00540689">
        <w:tc>
          <w:tcPr>
            <w:tcW w:w="9493" w:type="dxa"/>
            <w:gridSpan w:val="10"/>
          </w:tcPr>
          <w:p w14:paraId="7CECD988" w14:textId="77777777" w:rsidR="00004194" w:rsidRPr="001611DC" w:rsidRDefault="00004194" w:rsidP="00844F2C">
            <w:pPr>
              <w:keepNext/>
              <w:rPr>
                <w:rFonts w:ascii="Arial Narrow" w:hAnsi="Arial Narrow"/>
                <w:color w:val="000000"/>
                <w:sz w:val="20"/>
                <w:szCs w:val="20"/>
              </w:rPr>
            </w:pPr>
            <w:r w:rsidRPr="001611DC">
              <w:rPr>
                <w:rFonts w:ascii="Arial Narrow" w:hAnsi="Arial Narrow"/>
                <w:color w:val="000000"/>
                <w:sz w:val="20"/>
                <w:szCs w:val="20"/>
              </w:rPr>
              <w:t>Baseline frailty status</w:t>
            </w:r>
          </w:p>
        </w:tc>
      </w:tr>
      <w:tr w:rsidR="00540689" w:rsidRPr="001611DC" w14:paraId="162E1298" w14:textId="77777777" w:rsidTr="00540689">
        <w:tc>
          <w:tcPr>
            <w:tcW w:w="0" w:type="auto"/>
            <w:vAlign w:val="center"/>
          </w:tcPr>
          <w:p w14:paraId="456B1E1C" w14:textId="77777777" w:rsidR="00004194" w:rsidRPr="001611DC" w:rsidRDefault="00004194" w:rsidP="00844F2C">
            <w:pPr>
              <w:pStyle w:val="TableText0"/>
            </w:pPr>
            <w:r w:rsidRPr="001611DC">
              <w:rPr>
                <w:rFonts w:eastAsia="Times New Roman" w:cs="Calibri"/>
                <w:color w:val="000000"/>
                <w:szCs w:val="20"/>
              </w:rPr>
              <w:t>Pre-Frail</w:t>
            </w:r>
          </w:p>
        </w:tc>
        <w:tc>
          <w:tcPr>
            <w:tcW w:w="0" w:type="auto"/>
            <w:vAlign w:val="center"/>
          </w:tcPr>
          <w:p w14:paraId="396EEBF1"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color w:val="000000"/>
                <w:szCs w:val="20"/>
              </w:rPr>
              <w:t>4,794</w:t>
            </w:r>
          </w:p>
        </w:tc>
        <w:tc>
          <w:tcPr>
            <w:tcW w:w="0" w:type="auto"/>
            <w:vAlign w:val="center"/>
          </w:tcPr>
          <w:p w14:paraId="6F5E593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8</w:t>
            </w:r>
          </w:p>
        </w:tc>
        <w:tc>
          <w:tcPr>
            <w:tcW w:w="0" w:type="auto"/>
            <w:vAlign w:val="center"/>
          </w:tcPr>
          <w:p w14:paraId="11924717"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5,537.3</w:t>
            </w:r>
          </w:p>
        </w:tc>
        <w:tc>
          <w:tcPr>
            <w:tcW w:w="0" w:type="auto"/>
            <w:vAlign w:val="center"/>
          </w:tcPr>
          <w:p w14:paraId="33BDED3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1.4</w:t>
            </w:r>
          </w:p>
        </w:tc>
        <w:tc>
          <w:tcPr>
            <w:tcW w:w="0" w:type="auto"/>
            <w:vAlign w:val="center"/>
          </w:tcPr>
          <w:p w14:paraId="1842F343"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4,779</w:t>
            </w:r>
          </w:p>
        </w:tc>
        <w:tc>
          <w:tcPr>
            <w:tcW w:w="0" w:type="auto"/>
            <w:vAlign w:val="center"/>
          </w:tcPr>
          <w:p w14:paraId="5B7B0A5C"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47</w:t>
            </w:r>
          </w:p>
        </w:tc>
        <w:tc>
          <w:tcPr>
            <w:tcW w:w="0" w:type="auto"/>
            <w:vAlign w:val="center"/>
          </w:tcPr>
          <w:p w14:paraId="1A494E08"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6,478.5</w:t>
            </w:r>
          </w:p>
        </w:tc>
        <w:tc>
          <w:tcPr>
            <w:tcW w:w="0" w:type="auto"/>
            <w:vAlign w:val="center"/>
          </w:tcPr>
          <w:p w14:paraId="09433DE2" w14:textId="77777777" w:rsidR="00004194" w:rsidRPr="001611DC" w:rsidRDefault="00004194" w:rsidP="00844F2C">
            <w:pPr>
              <w:pStyle w:val="TableText0"/>
              <w:jc w:val="center"/>
              <w:rPr>
                <w:rFonts w:eastAsia="Times New Roman" w:cs="Calibri"/>
                <w:color w:val="000000"/>
                <w:szCs w:val="20"/>
              </w:rPr>
            </w:pPr>
            <w:r w:rsidRPr="001611DC">
              <w:rPr>
                <w:rFonts w:eastAsia="Times New Roman" w:cs="Calibri"/>
                <w:szCs w:val="20"/>
              </w:rPr>
              <w:t>7.3</w:t>
            </w:r>
          </w:p>
        </w:tc>
        <w:tc>
          <w:tcPr>
            <w:tcW w:w="1747" w:type="dxa"/>
            <w:vAlign w:val="center"/>
          </w:tcPr>
          <w:p w14:paraId="73A9CAAF" w14:textId="77777777" w:rsidR="00004194" w:rsidRPr="001611DC" w:rsidRDefault="00004194" w:rsidP="00844F2C">
            <w:pPr>
              <w:keepNext/>
              <w:jc w:val="center"/>
              <w:rPr>
                <w:rFonts w:ascii="Arial Narrow" w:hAnsi="Arial Narrow" w:cs="Calibri"/>
                <w:sz w:val="20"/>
                <w:szCs w:val="20"/>
              </w:rPr>
            </w:pPr>
            <w:r w:rsidRPr="001611DC">
              <w:rPr>
                <w:rFonts w:ascii="Arial Narrow" w:hAnsi="Arial Narrow" w:cs="Calibri"/>
                <w:sz w:val="20"/>
                <w:szCs w:val="20"/>
              </w:rPr>
              <w:t>73.26 (42.40, 89.16) 0.0002</w:t>
            </w:r>
          </w:p>
        </w:tc>
      </w:tr>
      <w:tr w:rsidR="00004194" w:rsidRPr="001611DC" w14:paraId="1FE591BB" w14:textId="77777777" w:rsidTr="00540689">
        <w:tc>
          <w:tcPr>
            <w:tcW w:w="9493" w:type="dxa"/>
            <w:gridSpan w:val="10"/>
            <w:vAlign w:val="center"/>
          </w:tcPr>
          <w:p w14:paraId="5EDB58AB" w14:textId="7D1579FB" w:rsidR="00004194" w:rsidRPr="001611DC" w:rsidRDefault="00004194" w:rsidP="00844F2C">
            <w:pPr>
              <w:keepNext/>
              <w:jc w:val="left"/>
              <w:rPr>
                <w:rFonts w:ascii="Arial Narrow" w:hAnsi="Arial Narrow" w:cs="Calibri"/>
                <w:sz w:val="20"/>
                <w:szCs w:val="20"/>
              </w:rPr>
            </w:pPr>
            <w:r w:rsidRPr="001611DC">
              <w:rPr>
                <w:rFonts w:ascii="Arial Narrow" w:hAnsi="Arial Narrow" w:cs="Calibri"/>
                <w:b/>
                <w:color w:val="000000"/>
                <w:sz w:val="20"/>
                <w:szCs w:val="20"/>
              </w:rPr>
              <w:t>VE analysis 4 (single dose) – up to the end of Season 2 NH and SH, median follow-up time in mES = 23.3 months</w:t>
            </w:r>
          </w:p>
        </w:tc>
      </w:tr>
      <w:tr w:rsidR="00722AA1" w:rsidRPr="001611DC" w14:paraId="1B408A40" w14:textId="77777777" w:rsidTr="00540689">
        <w:tc>
          <w:tcPr>
            <w:tcW w:w="9493" w:type="dxa"/>
            <w:gridSpan w:val="10"/>
          </w:tcPr>
          <w:p w14:paraId="4242E463" w14:textId="77777777" w:rsidR="00722AA1" w:rsidRPr="001611DC" w:rsidRDefault="00722AA1" w:rsidP="000B0380">
            <w:pPr>
              <w:rPr>
                <w:rFonts w:ascii="Arial Narrow" w:hAnsi="Arial Narrow"/>
                <w:color w:val="000000"/>
                <w:sz w:val="20"/>
                <w:szCs w:val="20"/>
              </w:rPr>
            </w:pPr>
            <w:r w:rsidRPr="001611DC">
              <w:rPr>
                <w:rFonts w:ascii="Arial Narrow" w:hAnsi="Arial Narrow"/>
                <w:color w:val="000000"/>
                <w:sz w:val="20"/>
                <w:szCs w:val="20"/>
              </w:rPr>
              <w:t>Age category</w:t>
            </w:r>
          </w:p>
        </w:tc>
      </w:tr>
      <w:tr w:rsidR="00540689" w:rsidRPr="001611DC" w14:paraId="1D041B69" w14:textId="77777777" w:rsidTr="00540689">
        <w:tc>
          <w:tcPr>
            <w:tcW w:w="0" w:type="auto"/>
            <w:vAlign w:val="center"/>
          </w:tcPr>
          <w:p w14:paraId="16047C63" w14:textId="77777777" w:rsidR="00265D7C" w:rsidRPr="001611DC" w:rsidRDefault="00265D7C" w:rsidP="000B0380">
            <w:pPr>
              <w:pStyle w:val="TableText0"/>
              <w:keepNext w:val="0"/>
            </w:pPr>
            <w:r w:rsidRPr="001611DC">
              <w:rPr>
                <w:rFonts w:cs="Calibri"/>
                <w:u w:val="single"/>
              </w:rPr>
              <w:t>&gt;</w:t>
            </w:r>
            <w:r w:rsidRPr="001611DC">
              <w:t>65 YOA</w:t>
            </w:r>
          </w:p>
        </w:tc>
        <w:tc>
          <w:tcPr>
            <w:tcW w:w="0" w:type="auto"/>
            <w:vAlign w:val="center"/>
          </w:tcPr>
          <w:p w14:paraId="4524B237" w14:textId="25F5824C" w:rsidR="00265D7C" w:rsidRPr="001611DC" w:rsidRDefault="00265D7C" w:rsidP="000B0380">
            <w:pPr>
              <w:pStyle w:val="TableText0"/>
              <w:keepNext w:val="0"/>
              <w:rPr>
                <w:rFonts w:cs="Calibri"/>
                <w:color w:val="000000"/>
              </w:rPr>
            </w:pPr>
            <w:r w:rsidRPr="001611DC">
              <w:t>9,261</w:t>
            </w:r>
          </w:p>
        </w:tc>
        <w:tc>
          <w:tcPr>
            <w:tcW w:w="0" w:type="auto"/>
            <w:vAlign w:val="center"/>
          </w:tcPr>
          <w:p w14:paraId="2BD5B010" w14:textId="137604FA" w:rsidR="00265D7C" w:rsidRPr="001611DC" w:rsidRDefault="00265D7C" w:rsidP="000B0380">
            <w:pPr>
              <w:pStyle w:val="TableText0"/>
              <w:keepNext w:val="0"/>
              <w:rPr>
                <w:rFonts w:cs="Calibri"/>
                <w:color w:val="000000"/>
              </w:rPr>
            </w:pPr>
            <w:r w:rsidRPr="001611DC">
              <w:t>26</w:t>
            </w:r>
          </w:p>
        </w:tc>
        <w:tc>
          <w:tcPr>
            <w:tcW w:w="0" w:type="auto"/>
          </w:tcPr>
          <w:p w14:paraId="3FD0259D" w14:textId="54ABC9F3" w:rsidR="00265D7C" w:rsidRPr="001611DC" w:rsidRDefault="00265D7C" w:rsidP="000B0380">
            <w:pPr>
              <w:pStyle w:val="TableText0"/>
              <w:keepNext w:val="0"/>
              <w:rPr>
                <w:rFonts w:cs="Calibri"/>
                <w:color w:val="000000"/>
              </w:rPr>
            </w:pPr>
            <w:r w:rsidRPr="001611DC">
              <w:t>n.r.</w:t>
            </w:r>
          </w:p>
        </w:tc>
        <w:tc>
          <w:tcPr>
            <w:tcW w:w="0" w:type="auto"/>
          </w:tcPr>
          <w:p w14:paraId="2F3FBCAC" w14:textId="14BEAE42" w:rsidR="00265D7C" w:rsidRPr="001611DC" w:rsidRDefault="00265D7C" w:rsidP="000B0380">
            <w:pPr>
              <w:pStyle w:val="TableText0"/>
              <w:keepNext w:val="0"/>
              <w:rPr>
                <w:rFonts w:cs="Calibri"/>
                <w:color w:val="000000"/>
              </w:rPr>
            </w:pPr>
            <w:r w:rsidRPr="001611DC">
              <w:t>n.r.</w:t>
            </w:r>
          </w:p>
        </w:tc>
        <w:tc>
          <w:tcPr>
            <w:tcW w:w="0" w:type="auto"/>
            <w:vAlign w:val="center"/>
          </w:tcPr>
          <w:p w14:paraId="3B35D4A6" w14:textId="30D256D4" w:rsidR="00265D7C" w:rsidRPr="001611DC" w:rsidRDefault="00265D7C" w:rsidP="000B0380">
            <w:pPr>
              <w:pStyle w:val="TableText0"/>
              <w:keepNext w:val="0"/>
              <w:rPr>
                <w:rFonts w:cs="Calibri"/>
                <w:color w:val="000000"/>
              </w:rPr>
            </w:pPr>
            <w:r w:rsidRPr="001611DC">
              <w:t>9,328</w:t>
            </w:r>
          </w:p>
        </w:tc>
        <w:tc>
          <w:tcPr>
            <w:tcW w:w="0" w:type="auto"/>
            <w:vAlign w:val="center"/>
          </w:tcPr>
          <w:p w14:paraId="1B2BA6B2" w14:textId="60E82156" w:rsidR="00265D7C" w:rsidRPr="001611DC" w:rsidRDefault="00265D7C" w:rsidP="000B0380">
            <w:pPr>
              <w:pStyle w:val="TableText0"/>
              <w:keepNext w:val="0"/>
              <w:rPr>
                <w:rFonts w:cs="Calibri"/>
                <w:color w:val="000000"/>
              </w:rPr>
            </w:pPr>
            <w:r w:rsidRPr="001611DC">
              <w:t>112</w:t>
            </w:r>
          </w:p>
        </w:tc>
        <w:tc>
          <w:tcPr>
            <w:tcW w:w="0" w:type="auto"/>
          </w:tcPr>
          <w:p w14:paraId="74A6AB97" w14:textId="5B3EC77D" w:rsidR="00265D7C" w:rsidRPr="001611DC" w:rsidRDefault="00265D7C" w:rsidP="000B0380">
            <w:pPr>
              <w:pStyle w:val="TableText0"/>
              <w:keepNext w:val="0"/>
              <w:rPr>
                <w:rFonts w:cs="Calibri"/>
                <w:color w:val="000000"/>
              </w:rPr>
            </w:pPr>
            <w:r w:rsidRPr="001611DC">
              <w:t>n.r.</w:t>
            </w:r>
          </w:p>
        </w:tc>
        <w:tc>
          <w:tcPr>
            <w:tcW w:w="0" w:type="auto"/>
            <w:vAlign w:val="center"/>
          </w:tcPr>
          <w:p w14:paraId="3911B126" w14:textId="1277F2D6" w:rsidR="00265D7C" w:rsidRPr="001611DC" w:rsidRDefault="00265D7C" w:rsidP="000B0380">
            <w:pPr>
              <w:pStyle w:val="TableText0"/>
              <w:keepNext w:val="0"/>
              <w:rPr>
                <w:rFonts w:cs="Calibri"/>
                <w:color w:val="000000"/>
              </w:rPr>
            </w:pPr>
          </w:p>
        </w:tc>
        <w:tc>
          <w:tcPr>
            <w:tcW w:w="1747" w:type="dxa"/>
            <w:vAlign w:val="center"/>
          </w:tcPr>
          <w:p w14:paraId="76C5CADB" w14:textId="3A797402" w:rsidR="00265D7C" w:rsidRPr="001611DC" w:rsidRDefault="00265D7C" w:rsidP="000B0380">
            <w:pPr>
              <w:pStyle w:val="TableText0"/>
              <w:keepNext w:val="0"/>
              <w:rPr>
                <w:rFonts w:cs="Calibri"/>
              </w:rPr>
            </w:pPr>
            <w:r w:rsidRPr="001611DC">
              <w:t>63.1 (42.8, 77.0)</w:t>
            </w:r>
          </w:p>
        </w:tc>
      </w:tr>
      <w:tr w:rsidR="00540689" w:rsidRPr="001611DC" w14:paraId="14DB89B0" w14:textId="77777777" w:rsidTr="00540689">
        <w:tc>
          <w:tcPr>
            <w:tcW w:w="0" w:type="auto"/>
            <w:vAlign w:val="center"/>
          </w:tcPr>
          <w:p w14:paraId="419C5BB1" w14:textId="77777777" w:rsidR="00265D7C" w:rsidRPr="001611DC" w:rsidRDefault="00265D7C" w:rsidP="000B0380">
            <w:pPr>
              <w:pStyle w:val="TableText0"/>
              <w:keepNext w:val="0"/>
            </w:pPr>
            <w:r w:rsidRPr="001611DC">
              <w:rPr>
                <w:rFonts w:cs="Calibri"/>
                <w:u w:val="single"/>
              </w:rPr>
              <w:t>&gt;</w:t>
            </w:r>
            <w:r w:rsidRPr="001611DC">
              <w:t>70 YOA</w:t>
            </w:r>
          </w:p>
        </w:tc>
        <w:tc>
          <w:tcPr>
            <w:tcW w:w="0" w:type="auto"/>
            <w:vAlign w:val="center"/>
          </w:tcPr>
          <w:p w14:paraId="26767942" w14:textId="3E7A33A0" w:rsidR="00265D7C" w:rsidRPr="001611DC" w:rsidRDefault="00265D7C" w:rsidP="000B0380">
            <w:pPr>
              <w:pStyle w:val="TableText0"/>
              <w:keepNext w:val="0"/>
              <w:rPr>
                <w:rFonts w:cs="Calibri"/>
                <w:color w:val="000000"/>
              </w:rPr>
            </w:pPr>
            <w:r w:rsidRPr="001611DC">
              <w:t>5,506</w:t>
            </w:r>
          </w:p>
        </w:tc>
        <w:tc>
          <w:tcPr>
            <w:tcW w:w="0" w:type="auto"/>
            <w:vAlign w:val="center"/>
          </w:tcPr>
          <w:p w14:paraId="2A16984B" w14:textId="3E55CBBE" w:rsidR="00265D7C" w:rsidRPr="001611DC" w:rsidRDefault="00265D7C" w:rsidP="000B0380">
            <w:pPr>
              <w:pStyle w:val="TableText0"/>
              <w:keepNext w:val="0"/>
              <w:rPr>
                <w:rFonts w:cs="Calibri"/>
                <w:color w:val="000000"/>
              </w:rPr>
            </w:pPr>
            <w:r w:rsidRPr="001611DC">
              <w:t>12</w:t>
            </w:r>
          </w:p>
        </w:tc>
        <w:tc>
          <w:tcPr>
            <w:tcW w:w="0" w:type="auto"/>
          </w:tcPr>
          <w:p w14:paraId="3FDD3B61" w14:textId="599AD151" w:rsidR="00265D7C" w:rsidRPr="001611DC" w:rsidRDefault="00265D7C" w:rsidP="000B0380">
            <w:pPr>
              <w:pStyle w:val="TableText0"/>
              <w:keepNext w:val="0"/>
              <w:rPr>
                <w:rFonts w:cs="Calibri"/>
                <w:color w:val="000000"/>
              </w:rPr>
            </w:pPr>
            <w:r w:rsidRPr="001611DC">
              <w:t>n.r.</w:t>
            </w:r>
          </w:p>
        </w:tc>
        <w:tc>
          <w:tcPr>
            <w:tcW w:w="0" w:type="auto"/>
          </w:tcPr>
          <w:p w14:paraId="253BD2AE" w14:textId="406B6F2A" w:rsidR="00265D7C" w:rsidRPr="001611DC" w:rsidRDefault="00265D7C" w:rsidP="000B0380">
            <w:pPr>
              <w:pStyle w:val="TableText0"/>
              <w:keepNext w:val="0"/>
              <w:rPr>
                <w:rFonts w:cs="Calibri"/>
                <w:color w:val="000000"/>
              </w:rPr>
            </w:pPr>
            <w:r w:rsidRPr="001611DC">
              <w:t>n.r.</w:t>
            </w:r>
          </w:p>
        </w:tc>
        <w:tc>
          <w:tcPr>
            <w:tcW w:w="0" w:type="auto"/>
            <w:vAlign w:val="center"/>
          </w:tcPr>
          <w:p w14:paraId="030E19E8" w14:textId="00F25030" w:rsidR="00265D7C" w:rsidRPr="001611DC" w:rsidRDefault="00265D7C" w:rsidP="000B0380">
            <w:pPr>
              <w:pStyle w:val="TableText0"/>
              <w:keepNext w:val="0"/>
              <w:rPr>
                <w:rFonts w:cs="Calibri"/>
                <w:color w:val="000000"/>
              </w:rPr>
            </w:pPr>
            <w:r w:rsidRPr="001611DC">
              <w:t>5,517</w:t>
            </w:r>
          </w:p>
        </w:tc>
        <w:tc>
          <w:tcPr>
            <w:tcW w:w="0" w:type="auto"/>
            <w:vAlign w:val="center"/>
          </w:tcPr>
          <w:p w14:paraId="4F0491B4" w14:textId="3625A29E" w:rsidR="00265D7C" w:rsidRPr="001611DC" w:rsidRDefault="00265D7C" w:rsidP="000B0380">
            <w:pPr>
              <w:pStyle w:val="TableText0"/>
              <w:keepNext w:val="0"/>
              <w:rPr>
                <w:rFonts w:cs="Calibri"/>
                <w:color w:val="000000"/>
              </w:rPr>
            </w:pPr>
            <w:r w:rsidRPr="001611DC">
              <w:t>74</w:t>
            </w:r>
          </w:p>
        </w:tc>
        <w:tc>
          <w:tcPr>
            <w:tcW w:w="0" w:type="auto"/>
          </w:tcPr>
          <w:p w14:paraId="7D56779D" w14:textId="0A9FD476" w:rsidR="00265D7C" w:rsidRPr="001611DC" w:rsidRDefault="00265D7C" w:rsidP="000B0380">
            <w:pPr>
              <w:pStyle w:val="TableText0"/>
              <w:keepNext w:val="0"/>
              <w:rPr>
                <w:rFonts w:cs="Calibri"/>
                <w:color w:val="000000"/>
              </w:rPr>
            </w:pPr>
            <w:r w:rsidRPr="001611DC">
              <w:t>n.r.</w:t>
            </w:r>
          </w:p>
        </w:tc>
        <w:tc>
          <w:tcPr>
            <w:tcW w:w="0" w:type="auto"/>
            <w:vAlign w:val="center"/>
          </w:tcPr>
          <w:p w14:paraId="7937AEFA" w14:textId="30A66332" w:rsidR="00265D7C" w:rsidRPr="001611DC" w:rsidRDefault="00265D7C" w:rsidP="000B0380">
            <w:pPr>
              <w:pStyle w:val="TableText0"/>
              <w:keepNext w:val="0"/>
              <w:rPr>
                <w:rFonts w:cs="Calibri"/>
                <w:color w:val="000000"/>
              </w:rPr>
            </w:pPr>
          </w:p>
        </w:tc>
        <w:tc>
          <w:tcPr>
            <w:tcW w:w="1747" w:type="dxa"/>
            <w:vAlign w:val="center"/>
          </w:tcPr>
          <w:p w14:paraId="6840B137" w14:textId="5E24808F" w:rsidR="00265D7C" w:rsidRPr="001611DC" w:rsidRDefault="00265D7C" w:rsidP="000B0380">
            <w:pPr>
              <w:pStyle w:val="TableText0"/>
              <w:keepNext w:val="0"/>
              <w:rPr>
                <w:rFonts w:cs="Calibri"/>
              </w:rPr>
            </w:pPr>
            <w:r w:rsidRPr="001611DC">
              <w:t>74.6 (52.6, 87.5)</w:t>
            </w:r>
          </w:p>
        </w:tc>
      </w:tr>
      <w:tr w:rsidR="00160076" w:rsidRPr="001611DC" w14:paraId="05786732" w14:textId="77777777" w:rsidTr="00540689">
        <w:tc>
          <w:tcPr>
            <w:tcW w:w="0" w:type="auto"/>
            <w:vAlign w:val="center"/>
          </w:tcPr>
          <w:p w14:paraId="453DDE55" w14:textId="77777777" w:rsidR="00160076" w:rsidRPr="001611DC" w:rsidRDefault="00160076" w:rsidP="000B0380">
            <w:pPr>
              <w:pStyle w:val="TableText0"/>
              <w:keepNext w:val="0"/>
            </w:pPr>
            <w:r w:rsidRPr="001611DC">
              <w:rPr>
                <w:rFonts w:cs="Calibri"/>
                <w:u w:val="single"/>
              </w:rPr>
              <w:t>&gt;</w:t>
            </w:r>
            <w:r w:rsidRPr="001611DC">
              <w:t>80 YOA</w:t>
            </w:r>
          </w:p>
        </w:tc>
        <w:tc>
          <w:tcPr>
            <w:tcW w:w="0" w:type="auto"/>
            <w:vAlign w:val="center"/>
          </w:tcPr>
          <w:p w14:paraId="718741F6" w14:textId="61C29727"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6CFA6776" w14:textId="012DAA9C"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5D6005B0" w14:textId="4FF6C450"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47C71976" w14:textId="48D62042"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3C28AC9E" w14:textId="59A05832"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7F7300B0" w14:textId="7764564B"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79EE513A" w14:textId="5F4F7D2C" w:rsidR="00160076" w:rsidRPr="001611DC" w:rsidRDefault="00160076" w:rsidP="000B0380">
            <w:pPr>
              <w:pStyle w:val="TableText0"/>
              <w:keepNext w:val="0"/>
              <w:rPr>
                <w:rFonts w:cs="Calibri"/>
                <w:color w:val="000000"/>
              </w:rPr>
            </w:pPr>
            <w:r w:rsidRPr="001611DC">
              <w:rPr>
                <w:color w:val="000000"/>
              </w:rPr>
              <w:t>n.r.</w:t>
            </w:r>
          </w:p>
        </w:tc>
        <w:tc>
          <w:tcPr>
            <w:tcW w:w="0" w:type="auto"/>
            <w:vAlign w:val="center"/>
          </w:tcPr>
          <w:p w14:paraId="46AF107C" w14:textId="0781D9A1" w:rsidR="00160076" w:rsidRPr="001611DC" w:rsidRDefault="00160076" w:rsidP="000B0380">
            <w:pPr>
              <w:pStyle w:val="TableText0"/>
              <w:keepNext w:val="0"/>
              <w:rPr>
                <w:rFonts w:cs="Calibri"/>
                <w:color w:val="000000"/>
              </w:rPr>
            </w:pPr>
            <w:r w:rsidRPr="001611DC">
              <w:rPr>
                <w:color w:val="000000"/>
              </w:rPr>
              <w:t>n.r.</w:t>
            </w:r>
          </w:p>
        </w:tc>
        <w:tc>
          <w:tcPr>
            <w:tcW w:w="1747" w:type="dxa"/>
            <w:vAlign w:val="center"/>
          </w:tcPr>
          <w:p w14:paraId="45184CF9" w14:textId="1B86A465" w:rsidR="00160076" w:rsidRPr="001611DC" w:rsidRDefault="00160076" w:rsidP="000B0380">
            <w:pPr>
              <w:pStyle w:val="TableText0"/>
              <w:keepNext w:val="0"/>
              <w:rPr>
                <w:rFonts w:cs="Calibri"/>
              </w:rPr>
            </w:pPr>
            <w:r w:rsidRPr="001611DC">
              <w:rPr>
                <w:color w:val="000000"/>
              </w:rPr>
              <w:t>n.r.</w:t>
            </w:r>
          </w:p>
        </w:tc>
      </w:tr>
      <w:tr w:rsidR="00540689" w:rsidRPr="001611DC" w14:paraId="379FF512" w14:textId="77777777" w:rsidTr="00540689">
        <w:tc>
          <w:tcPr>
            <w:tcW w:w="0" w:type="auto"/>
            <w:vAlign w:val="center"/>
          </w:tcPr>
          <w:p w14:paraId="525E478C" w14:textId="77777777" w:rsidR="00265D7C" w:rsidRPr="001611DC" w:rsidRDefault="00265D7C" w:rsidP="000B0380">
            <w:pPr>
              <w:pStyle w:val="TableText0"/>
              <w:keepNext w:val="0"/>
            </w:pPr>
            <w:r w:rsidRPr="001611DC">
              <w:t>60-69 YOA</w:t>
            </w:r>
          </w:p>
        </w:tc>
        <w:tc>
          <w:tcPr>
            <w:tcW w:w="0" w:type="auto"/>
            <w:vAlign w:val="center"/>
          </w:tcPr>
          <w:p w14:paraId="05EBB428" w14:textId="294F07A6" w:rsidR="00265D7C" w:rsidRPr="001611DC" w:rsidRDefault="00265D7C" w:rsidP="000B0380">
            <w:pPr>
              <w:pStyle w:val="TableText0"/>
              <w:keepNext w:val="0"/>
              <w:rPr>
                <w:rFonts w:cs="Calibri"/>
                <w:color w:val="000000"/>
              </w:rPr>
            </w:pPr>
            <w:r w:rsidRPr="001611DC">
              <w:t>6,962</w:t>
            </w:r>
          </w:p>
        </w:tc>
        <w:tc>
          <w:tcPr>
            <w:tcW w:w="0" w:type="auto"/>
            <w:vAlign w:val="center"/>
          </w:tcPr>
          <w:p w14:paraId="3E6B2465" w14:textId="0C9867CC" w:rsidR="00265D7C" w:rsidRPr="001611DC" w:rsidRDefault="00265D7C" w:rsidP="000B0380">
            <w:pPr>
              <w:pStyle w:val="TableText0"/>
              <w:keepNext w:val="0"/>
              <w:rPr>
                <w:rFonts w:cs="Calibri"/>
                <w:color w:val="000000"/>
              </w:rPr>
            </w:pPr>
            <w:r w:rsidRPr="001611DC">
              <w:t>20</w:t>
            </w:r>
          </w:p>
        </w:tc>
        <w:tc>
          <w:tcPr>
            <w:tcW w:w="0" w:type="auto"/>
          </w:tcPr>
          <w:p w14:paraId="2F600392" w14:textId="2637C2E4" w:rsidR="00265D7C" w:rsidRPr="001611DC" w:rsidRDefault="00265D7C" w:rsidP="000B0380">
            <w:pPr>
              <w:pStyle w:val="TableText0"/>
              <w:keepNext w:val="0"/>
              <w:rPr>
                <w:rFonts w:cs="Calibri"/>
                <w:color w:val="000000"/>
              </w:rPr>
            </w:pPr>
            <w:r w:rsidRPr="001611DC">
              <w:t>n.r.</w:t>
            </w:r>
          </w:p>
        </w:tc>
        <w:tc>
          <w:tcPr>
            <w:tcW w:w="0" w:type="auto"/>
          </w:tcPr>
          <w:p w14:paraId="1175B974" w14:textId="5D6193FC" w:rsidR="00265D7C" w:rsidRPr="001611DC" w:rsidRDefault="00265D7C" w:rsidP="000B0380">
            <w:pPr>
              <w:pStyle w:val="TableText0"/>
              <w:keepNext w:val="0"/>
              <w:rPr>
                <w:rFonts w:cs="Calibri"/>
                <w:color w:val="000000"/>
              </w:rPr>
            </w:pPr>
            <w:r w:rsidRPr="001611DC">
              <w:t>n.r.</w:t>
            </w:r>
          </w:p>
        </w:tc>
        <w:tc>
          <w:tcPr>
            <w:tcW w:w="0" w:type="auto"/>
            <w:vAlign w:val="center"/>
          </w:tcPr>
          <w:p w14:paraId="6C586091" w14:textId="0A4600BE" w:rsidR="00265D7C" w:rsidRPr="001611DC" w:rsidRDefault="00265D7C" w:rsidP="000B0380">
            <w:pPr>
              <w:pStyle w:val="TableText0"/>
              <w:keepNext w:val="0"/>
              <w:rPr>
                <w:rFonts w:cs="Calibri"/>
                <w:color w:val="000000"/>
              </w:rPr>
            </w:pPr>
            <w:r w:rsidRPr="001611DC">
              <w:t>6,981</w:t>
            </w:r>
          </w:p>
        </w:tc>
        <w:tc>
          <w:tcPr>
            <w:tcW w:w="0" w:type="auto"/>
            <w:vAlign w:val="center"/>
          </w:tcPr>
          <w:p w14:paraId="157D9B2E" w14:textId="5287D3B5" w:rsidR="00265D7C" w:rsidRPr="001611DC" w:rsidRDefault="00265D7C" w:rsidP="000B0380">
            <w:pPr>
              <w:pStyle w:val="TableText0"/>
              <w:keepNext w:val="0"/>
              <w:rPr>
                <w:rFonts w:cs="Calibri"/>
                <w:color w:val="000000"/>
              </w:rPr>
            </w:pPr>
            <w:r w:rsidRPr="001611DC">
              <w:t>80</w:t>
            </w:r>
          </w:p>
        </w:tc>
        <w:tc>
          <w:tcPr>
            <w:tcW w:w="0" w:type="auto"/>
          </w:tcPr>
          <w:p w14:paraId="0EB6FAF9" w14:textId="6B241532" w:rsidR="00265D7C" w:rsidRPr="001611DC" w:rsidRDefault="00265D7C" w:rsidP="000B0380">
            <w:pPr>
              <w:pStyle w:val="TableText0"/>
              <w:keepNext w:val="0"/>
              <w:rPr>
                <w:rFonts w:cs="Calibri"/>
                <w:color w:val="000000"/>
              </w:rPr>
            </w:pPr>
            <w:r w:rsidRPr="001611DC">
              <w:t>n.r.</w:t>
            </w:r>
          </w:p>
        </w:tc>
        <w:tc>
          <w:tcPr>
            <w:tcW w:w="0" w:type="auto"/>
            <w:vAlign w:val="center"/>
          </w:tcPr>
          <w:p w14:paraId="1CC6CBF8" w14:textId="624E060A" w:rsidR="00265D7C" w:rsidRPr="001611DC" w:rsidRDefault="00265D7C" w:rsidP="000B0380">
            <w:pPr>
              <w:pStyle w:val="TableText0"/>
              <w:keepNext w:val="0"/>
              <w:rPr>
                <w:rFonts w:cs="Calibri"/>
                <w:color w:val="000000"/>
              </w:rPr>
            </w:pPr>
          </w:p>
        </w:tc>
        <w:tc>
          <w:tcPr>
            <w:tcW w:w="1747" w:type="dxa"/>
            <w:vAlign w:val="center"/>
          </w:tcPr>
          <w:p w14:paraId="118BB4B3" w14:textId="5680A481" w:rsidR="00265D7C" w:rsidRPr="001611DC" w:rsidRDefault="00265D7C" w:rsidP="000B0380">
            <w:pPr>
              <w:pStyle w:val="TableText0"/>
              <w:keepNext w:val="0"/>
              <w:rPr>
                <w:rFonts w:cs="Calibri"/>
              </w:rPr>
            </w:pPr>
            <w:r w:rsidRPr="001611DC">
              <w:t>61.4 (36.0, 77.7)</w:t>
            </w:r>
          </w:p>
        </w:tc>
      </w:tr>
      <w:tr w:rsidR="00540689" w:rsidRPr="001611DC" w14:paraId="6912F72F" w14:textId="77777777" w:rsidTr="00540689">
        <w:tc>
          <w:tcPr>
            <w:tcW w:w="0" w:type="auto"/>
            <w:vAlign w:val="center"/>
          </w:tcPr>
          <w:p w14:paraId="0E89764E" w14:textId="77777777" w:rsidR="00265D7C" w:rsidRPr="001611DC" w:rsidRDefault="00265D7C" w:rsidP="000B0380">
            <w:pPr>
              <w:pStyle w:val="TableText0"/>
              <w:keepNext w:val="0"/>
            </w:pPr>
            <w:r w:rsidRPr="001611DC">
              <w:t>70-79 YOA</w:t>
            </w:r>
          </w:p>
        </w:tc>
        <w:tc>
          <w:tcPr>
            <w:tcW w:w="0" w:type="auto"/>
            <w:vAlign w:val="center"/>
          </w:tcPr>
          <w:p w14:paraId="4A8C3BBE" w14:textId="3FE8C711" w:rsidR="00265D7C" w:rsidRPr="001611DC" w:rsidRDefault="00265D7C" w:rsidP="000B0380">
            <w:pPr>
              <w:pStyle w:val="TableText0"/>
              <w:keepNext w:val="0"/>
              <w:rPr>
                <w:rFonts w:cs="Calibri"/>
                <w:color w:val="000000"/>
              </w:rPr>
            </w:pPr>
            <w:r w:rsidRPr="001611DC">
              <w:t>4,489</w:t>
            </w:r>
          </w:p>
        </w:tc>
        <w:tc>
          <w:tcPr>
            <w:tcW w:w="0" w:type="auto"/>
            <w:vAlign w:val="center"/>
          </w:tcPr>
          <w:p w14:paraId="00DCC4B7" w14:textId="3CD73CD6" w:rsidR="00265D7C" w:rsidRPr="001611DC" w:rsidRDefault="00265D7C" w:rsidP="000B0380">
            <w:pPr>
              <w:pStyle w:val="TableText0"/>
              <w:keepNext w:val="0"/>
              <w:rPr>
                <w:rFonts w:cs="Calibri"/>
                <w:color w:val="000000"/>
              </w:rPr>
            </w:pPr>
            <w:r w:rsidRPr="001611DC">
              <w:t>9</w:t>
            </w:r>
          </w:p>
        </w:tc>
        <w:tc>
          <w:tcPr>
            <w:tcW w:w="0" w:type="auto"/>
          </w:tcPr>
          <w:p w14:paraId="3073480B" w14:textId="177AEB77" w:rsidR="00265D7C" w:rsidRPr="001611DC" w:rsidRDefault="00265D7C" w:rsidP="000B0380">
            <w:pPr>
              <w:pStyle w:val="TableText0"/>
              <w:keepNext w:val="0"/>
              <w:rPr>
                <w:rFonts w:cs="Calibri"/>
                <w:color w:val="000000"/>
              </w:rPr>
            </w:pPr>
            <w:r w:rsidRPr="001611DC">
              <w:t>n.r.</w:t>
            </w:r>
          </w:p>
        </w:tc>
        <w:tc>
          <w:tcPr>
            <w:tcW w:w="0" w:type="auto"/>
          </w:tcPr>
          <w:p w14:paraId="519FA43D" w14:textId="02F4EAF9" w:rsidR="00265D7C" w:rsidRPr="001611DC" w:rsidRDefault="00265D7C" w:rsidP="000B0380">
            <w:pPr>
              <w:pStyle w:val="TableText0"/>
              <w:keepNext w:val="0"/>
              <w:rPr>
                <w:rFonts w:cs="Calibri"/>
                <w:color w:val="000000"/>
              </w:rPr>
            </w:pPr>
            <w:r w:rsidRPr="001611DC">
              <w:t>n.r.</w:t>
            </w:r>
          </w:p>
        </w:tc>
        <w:tc>
          <w:tcPr>
            <w:tcW w:w="0" w:type="auto"/>
            <w:vAlign w:val="center"/>
          </w:tcPr>
          <w:p w14:paraId="746CA01F" w14:textId="1EE77583" w:rsidR="00265D7C" w:rsidRPr="001611DC" w:rsidRDefault="00265D7C" w:rsidP="000B0380">
            <w:pPr>
              <w:pStyle w:val="TableText0"/>
              <w:keepNext w:val="0"/>
              <w:rPr>
                <w:rFonts w:cs="Calibri"/>
                <w:color w:val="000000"/>
              </w:rPr>
            </w:pPr>
            <w:r w:rsidRPr="001611DC">
              <w:t>4,489</w:t>
            </w:r>
          </w:p>
        </w:tc>
        <w:tc>
          <w:tcPr>
            <w:tcW w:w="0" w:type="auto"/>
            <w:vAlign w:val="center"/>
          </w:tcPr>
          <w:p w14:paraId="0647B343" w14:textId="375BC844" w:rsidR="00265D7C" w:rsidRPr="001611DC" w:rsidRDefault="00265D7C" w:rsidP="000B0380">
            <w:pPr>
              <w:pStyle w:val="TableText0"/>
              <w:keepNext w:val="0"/>
              <w:rPr>
                <w:rFonts w:cs="Calibri"/>
                <w:color w:val="000000"/>
              </w:rPr>
            </w:pPr>
            <w:r w:rsidRPr="001611DC">
              <w:t>63</w:t>
            </w:r>
          </w:p>
        </w:tc>
        <w:tc>
          <w:tcPr>
            <w:tcW w:w="0" w:type="auto"/>
          </w:tcPr>
          <w:p w14:paraId="07B4B755" w14:textId="4BDEAC4B" w:rsidR="00265D7C" w:rsidRPr="001611DC" w:rsidRDefault="00265D7C" w:rsidP="000B0380">
            <w:pPr>
              <w:pStyle w:val="TableText0"/>
              <w:keepNext w:val="0"/>
              <w:rPr>
                <w:rFonts w:cs="Calibri"/>
                <w:color w:val="000000"/>
              </w:rPr>
            </w:pPr>
            <w:r w:rsidRPr="001611DC">
              <w:t>n.r.</w:t>
            </w:r>
          </w:p>
        </w:tc>
        <w:tc>
          <w:tcPr>
            <w:tcW w:w="0" w:type="auto"/>
            <w:vAlign w:val="center"/>
          </w:tcPr>
          <w:p w14:paraId="3AE9EEE0" w14:textId="3884A96A" w:rsidR="00265D7C" w:rsidRPr="001611DC" w:rsidRDefault="00265D7C" w:rsidP="000B0380">
            <w:pPr>
              <w:pStyle w:val="TableText0"/>
              <w:keepNext w:val="0"/>
              <w:rPr>
                <w:rFonts w:cs="Calibri"/>
                <w:color w:val="000000"/>
              </w:rPr>
            </w:pPr>
          </w:p>
        </w:tc>
        <w:tc>
          <w:tcPr>
            <w:tcW w:w="1747" w:type="dxa"/>
            <w:vAlign w:val="center"/>
          </w:tcPr>
          <w:p w14:paraId="3B7DEDA7" w14:textId="1FE48A91" w:rsidR="00265D7C" w:rsidRPr="001611DC" w:rsidRDefault="00265D7C" w:rsidP="000B0380">
            <w:pPr>
              <w:pStyle w:val="TableText0"/>
              <w:keepNext w:val="0"/>
              <w:rPr>
                <w:rFonts w:cs="Calibri"/>
              </w:rPr>
            </w:pPr>
            <w:r w:rsidRPr="001611DC">
              <w:t>77.5 (54.3, 90.2)</w:t>
            </w:r>
          </w:p>
        </w:tc>
      </w:tr>
      <w:tr w:rsidR="00722AA1" w:rsidRPr="001611DC" w14:paraId="2F669B56" w14:textId="77777777" w:rsidTr="00540689">
        <w:tc>
          <w:tcPr>
            <w:tcW w:w="9493" w:type="dxa"/>
            <w:gridSpan w:val="10"/>
            <w:vAlign w:val="center"/>
          </w:tcPr>
          <w:p w14:paraId="17A1A5E9" w14:textId="77777777" w:rsidR="00722AA1" w:rsidRPr="001611DC" w:rsidRDefault="00722AA1" w:rsidP="000B0380">
            <w:pPr>
              <w:pStyle w:val="TableText0"/>
              <w:keepNext w:val="0"/>
              <w:rPr>
                <w:color w:val="000000"/>
              </w:rPr>
            </w:pPr>
            <w:r w:rsidRPr="001611DC">
              <w:t>Baseline comorbidity</w:t>
            </w:r>
          </w:p>
        </w:tc>
      </w:tr>
      <w:tr w:rsidR="00540689" w:rsidRPr="001611DC" w14:paraId="0B9C668D" w14:textId="77777777" w:rsidTr="00540689">
        <w:tc>
          <w:tcPr>
            <w:tcW w:w="0" w:type="auto"/>
            <w:vAlign w:val="center"/>
          </w:tcPr>
          <w:p w14:paraId="0E61F4DB" w14:textId="60A4C357" w:rsidR="00265D7C" w:rsidRPr="001611DC" w:rsidRDefault="00265D7C" w:rsidP="000B0380">
            <w:pPr>
              <w:pStyle w:val="TableText0"/>
              <w:keepNext w:val="0"/>
            </w:pPr>
            <w:r w:rsidRPr="001611DC">
              <w:rPr>
                <w:u w:val="single"/>
              </w:rPr>
              <w:t>&gt;</w:t>
            </w:r>
            <w:r w:rsidRPr="001611DC">
              <w:t xml:space="preserve">1 condition </w:t>
            </w:r>
            <w:r w:rsidR="00331C2F" w:rsidRPr="001611DC">
              <w:rPr>
                <w:vertAlign w:val="superscript"/>
              </w:rPr>
              <w:t>c</w:t>
            </w:r>
          </w:p>
        </w:tc>
        <w:tc>
          <w:tcPr>
            <w:tcW w:w="0" w:type="auto"/>
            <w:vAlign w:val="center"/>
          </w:tcPr>
          <w:p w14:paraId="5EFB3B64" w14:textId="7225C0B9" w:rsidR="00265D7C" w:rsidRPr="001611DC" w:rsidRDefault="00265D7C" w:rsidP="000B0380">
            <w:pPr>
              <w:pStyle w:val="TableText0"/>
              <w:keepNext w:val="0"/>
              <w:rPr>
                <w:color w:val="000000"/>
              </w:rPr>
            </w:pPr>
            <w:r w:rsidRPr="001611DC">
              <w:t>5,000</w:t>
            </w:r>
          </w:p>
        </w:tc>
        <w:tc>
          <w:tcPr>
            <w:tcW w:w="0" w:type="auto"/>
            <w:vAlign w:val="center"/>
          </w:tcPr>
          <w:p w14:paraId="67225041" w14:textId="41A20FD3" w:rsidR="00265D7C" w:rsidRPr="001611DC" w:rsidRDefault="00265D7C" w:rsidP="000B0380">
            <w:pPr>
              <w:pStyle w:val="TableText0"/>
              <w:keepNext w:val="0"/>
              <w:rPr>
                <w:color w:val="000000"/>
              </w:rPr>
            </w:pPr>
            <w:r w:rsidRPr="001611DC">
              <w:t>17</w:t>
            </w:r>
          </w:p>
        </w:tc>
        <w:tc>
          <w:tcPr>
            <w:tcW w:w="0" w:type="auto"/>
          </w:tcPr>
          <w:p w14:paraId="2A6DC128" w14:textId="71E6B843" w:rsidR="00265D7C" w:rsidRPr="001611DC" w:rsidRDefault="00265D7C" w:rsidP="000B0380">
            <w:pPr>
              <w:pStyle w:val="TableText0"/>
              <w:keepNext w:val="0"/>
              <w:rPr>
                <w:color w:val="000000"/>
              </w:rPr>
            </w:pPr>
            <w:r w:rsidRPr="001611DC">
              <w:t>n.r.</w:t>
            </w:r>
          </w:p>
        </w:tc>
        <w:tc>
          <w:tcPr>
            <w:tcW w:w="0" w:type="auto"/>
          </w:tcPr>
          <w:p w14:paraId="4F97D274" w14:textId="68F53779" w:rsidR="00265D7C" w:rsidRPr="001611DC" w:rsidRDefault="00265D7C" w:rsidP="000B0380">
            <w:pPr>
              <w:pStyle w:val="TableText0"/>
              <w:keepNext w:val="0"/>
              <w:rPr>
                <w:color w:val="000000"/>
              </w:rPr>
            </w:pPr>
            <w:r w:rsidRPr="001611DC">
              <w:t>n.r.</w:t>
            </w:r>
          </w:p>
        </w:tc>
        <w:tc>
          <w:tcPr>
            <w:tcW w:w="0" w:type="auto"/>
            <w:vAlign w:val="center"/>
          </w:tcPr>
          <w:p w14:paraId="0E718B74" w14:textId="0E0D7107" w:rsidR="00265D7C" w:rsidRPr="001611DC" w:rsidRDefault="00265D7C" w:rsidP="000B0380">
            <w:pPr>
              <w:pStyle w:val="TableText0"/>
              <w:keepNext w:val="0"/>
              <w:rPr>
                <w:color w:val="000000"/>
              </w:rPr>
            </w:pPr>
            <w:r w:rsidRPr="001611DC">
              <w:t>4,942</w:t>
            </w:r>
          </w:p>
        </w:tc>
        <w:tc>
          <w:tcPr>
            <w:tcW w:w="0" w:type="auto"/>
            <w:vAlign w:val="center"/>
          </w:tcPr>
          <w:p w14:paraId="34FF966A" w14:textId="40588A07" w:rsidR="00265D7C" w:rsidRPr="001611DC" w:rsidRDefault="00265D7C" w:rsidP="000B0380">
            <w:pPr>
              <w:pStyle w:val="TableText0"/>
              <w:keepNext w:val="0"/>
              <w:rPr>
                <w:color w:val="000000"/>
              </w:rPr>
            </w:pPr>
            <w:r w:rsidRPr="001611DC">
              <w:t>79</w:t>
            </w:r>
          </w:p>
        </w:tc>
        <w:tc>
          <w:tcPr>
            <w:tcW w:w="0" w:type="auto"/>
          </w:tcPr>
          <w:p w14:paraId="4C3A3FF7" w14:textId="58D7C797" w:rsidR="00265D7C" w:rsidRPr="001611DC" w:rsidRDefault="00265D7C" w:rsidP="000B0380">
            <w:pPr>
              <w:pStyle w:val="TableText0"/>
              <w:keepNext w:val="0"/>
              <w:rPr>
                <w:color w:val="000000"/>
              </w:rPr>
            </w:pPr>
            <w:r w:rsidRPr="001611DC">
              <w:t>n.r.</w:t>
            </w:r>
          </w:p>
        </w:tc>
        <w:tc>
          <w:tcPr>
            <w:tcW w:w="0" w:type="auto"/>
            <w:vAlign w:val="center"/>
          </w:tcPr>
          <w:p w14:paraId="71B4D04D" w14:textId="6910DC65" w:rsidR="00265D7C" w:rsidRPr="001611DC" w:rsidRDefault="00265D7C" w:rsidP="000B0380">
            <w:pPr>
              <w:pStyle w:val="TableText0"/>
              <w:keepNext w:val="0"/>
              <w:rPr>
                <w:color w:val="000000"/>
              </w:rPr>
            </w:pPr>
          </w:p>
        </w:tc>
        <w:tc>
          <w:tcPr>
            <w:tcW w:w="1747" w:type="dxa"/>
            <w:vAlign w:val="center"/>
          </w:tcPr>
          <w:p w14:paraId="40A8178E" w14:textId="3E2F3BD3" w:rsidR="00265D7C" w:rsidRPr="001611DC" w:rsidRDefault="00265D7C" w:rsidP="000B0380">
            <w:pPr>
              <w:pStyle w:val="TableText0"/>
              <w:keepNext w:val="0"/>
            </w:pPr>
            <w:r w:rsidRPr="001611DC">
              <w:t>67.1 (43.6, 81.8)</w:t>
            </w:r>
          </w:p>
        </w:tc>
      </w:tr>
      <w:tr w:rsidR="00540689" w:rsidRPr="001611DC" w14:paraId="186ADB47" w14:textId="77777777" w:rsidTr="00540689">
        <w:tc>
          <w:tcPr>
            <w:tcW w:w="0" w:type="auto"/>
            <w:vAlign w:val="center"/>
          </w:tcPr>
          <w:p w14:paraId="0A16D909" w14:textId="77777777" w:rsidR="00265D7C" w:rsidRPr="001611DC" w:rsidRDefault="00265D7C" w:rsidP="000B0380">
            <w:pPr>
              <w:pStyle w:val="TableText0"/>
              <w:keepNext w:val="0"/>
            </w:pPr>
            <w:r w:rsidRPr="001611DC">
              <w:rPr>
                <w:u w:val="single"/>
              </w:rPr>
              <w:t>&gt;</w:t>
            </w:r>
            <w:r w:rsidRPr="001611DC">
              <w:t xml:space="preserve">1 cardiorespiratory condition </w:t>
            </w:r>
          </w:p>
        </w:tc>
        <w:tc>
          <w:tcPr>
            <w:tcW w:w="0" w:type="auto"/>
            <w:vAlign w:val="center"/>
          </w:tcPr>
          <w:p w14:paraId="2990EF62" w14:textId="42D3A783" w:rsidR="00265D7C" w:rsidRPr="001611DC" w:rsidRDefault="00265D7C" w:rsidP="000B0380">
            <w:pPr>
              <w:pStyle w:val="TableText0"/>
              <w:keepNext w:val="0"/>
              <w:rPr>
                <w:color w:val="000000"/>
              </w:rPr>
            </w:pPr>
            <w:r w:rsidRPr="001611DC">
              <w:t>2,567</w:t>
            </w:r>
          </w:p>
        </w:tc>
        <w:tc>
          <w:tcPr>
            <w:tcW w:w="0" w:type="auto"/>
            <w:vAlign w:val="center"/>
          </w:tcPr>
          <w:p w14:paraId="383C5686" w14:textId="1D9F04E0" w:rsidR="00265D7C" w:rsidRPr="001611DC" w:rsidRDefault="00265D7C" w:rsidP="000B0380">
            <w:pPr>
              <w:pStyle w:val="TableText0"/>
              <w:keepNext w:val="0"/>
              <w:rPr>
                <w:color w:val="000000"/>
              </w:rPr>
            </w:pPr>
            <w:r w:rsidRPr="001611DC">
              <w:t>12</w:t>
            </w:r>
          </w:p>
        </w:tc>
        <w:tc>
          <w:tcPr>
            <w:tcW w:w="0" w:type="auto"/>
          </w:tcPr>
          <w:p w14:paraId="7DD016F0" w14:textId="7D5B0F6F" w:rsidR="00265D7C" w:rsidRPr="001611DC" w:rsidRDefault="00265D7C" w:rsidP="000B0380">
            <w:pPr>
              <w:pStyle w:val="TableText0"/>
              <w:keepNext w:val="0"/>
              <w:rPr>
                <w:color w:val="000000"/>
              </w:rPr>
            </w:pPr>
            <w:r w:rsidRPr="001611DC">
              <w:t>n.r.</w:t>
            </w:r>
          </w:p>
        </w:tc>
        <w:tc>
          <w:tcPr>
            <w:tcW w:w="0" w:type="auto"/>
          </w:tcPr>
          <w:p w14:paraId="330CE13C" w14:textId="2F805073" w:rsidR="00265D7C" w:rsidRPr="001611DC" w:rsidRDefault="00265D7C" w:rsidP="000B0380">
            <w:pPr>
              <w:pStyle w:val="TableText0"/>
              <w:keepNext w:val="0"/>
              <w:rPr>
                <w:color w:val="000000"/>
              </w:rPr>
            </w:pPr>
            <w:r w:rsidRPr="001611DC">
              <w:t>n.r.</w:t>
            </w:r>
          </w:p>
        </w:tc>
        <w:tc>
          <w:tcPr>
            <w:tcW w:w="0" w:type="auto"/>
            <w:vAlign w:val="center"/>
          </w:tcPr>
          <w:p w14:paraId="102991F1" w14:textId="22C292CA" w:rsidR="00265D7C" w:rsidRPr="001611DC" w:rsidRDefault="00265D7C" w:rsidP="000B0380">
            <w:pPr>
              <w:pStyle w:val="TableText0"/>
              <w:keepNext w:val="0"/>
              <w:rPr>
                <w:color w:val="000000"/>
              </w:rPr>
            </w:pPr>
            <w:r w:rsidRPr="001611DC">
              <w:t>2,499</w:t>
            </w:r>
          </w:p>
        </w:tc>
        <w:tc>
          <w:tcPr>
            <w:tcW w:w="0" w:type="auto"/>
            <w:vAlign w:val="center"/>
          </w:tcPr>
          <w:p w14:paraId="25D0878B" w14:textId="3A8FD36E" w:rsidR="00265D7C" w:rsidRPr="001611DC" w:rsidRDefault="00265D7C" w:rsidP="000B0380">
            <w:pPr>
              <w:pStyle w:val="TableText0"/>
              <w:keepNext w:val="0"/>
              <w:rPr>
                <w:color w:val="000000"/>
              </w:rPr>
            </w:pPr>
            <w:r w:rsidRPr="001611DC">
              <w:t>61</w:t>
            </w:r>
          </w:p>
        </w:tc>
        <w:tc>
          <w:tcPr>
            <w:tcW w:w="0" w:type="auto"/>
          </w:tcPr>
          <w:p w14:paraId="4BECB3CA" w14:textId="639E533E" w:rsidR="00265D7C" w:rsidRPr="001611DC" w:rsidRDefault="00265D7C" w:rsidP="000B0380">
            <w:pPr>
              <w:pStyle w:val="TableText0"/>
              <w:keepNext w:val="0"/>
              <w:rPr>
                <w:color w:val="000000"/>
              </w:rPr>
            </w:pPr>
            <w:r w:rsidRPr="001611DC">
              <w:t>n.r.</w:t>
            </w:r>
          </w:p>
        </w:tc>
        <w:tc>
          <w:tcPr>
            <w:tcW w:w="0" w:type="auto"/>
            <w:vAlign w:val="center"/>
          </w:tcPr>
          <w:p w14:paraId="52BA337C" w14:textId="4BEC516E" w:rsidR="00265D7C" w:rsidRPr="001611DC" w:rsidRDefault="00265D7C" w:rsidP="000B0380">
            <w:pPr>
              <w:pStyle w:val="TableText0"/>
              <w:keepNext w:val="0"/>
              <w:rPr>
                <w:color w:val="000000"/>
              </w:rPr>
            </w:pPr>
          </w:p>
        </w:tc>
        <w:tc>
          <w:tcPr>
            <w:tcW w:w="1747" w:type="dxa"/>
            <w:vAlign w:val="center"/>
          </w:tcPr>
          <w:p w14:paraId="4C55F37D" w14:textId="19946584" w:rsidR="00265D7C" w:rsidRPr="001611DC" w:rsidRDefault="00265D7C" w:rsidP="000B0380">
            <w:pPr>
              <w:pStyle w:val="TableText0"/>
              <w:keepNext w:val="0"/>
            </w:pPr>
            <w:r w:rsidRPr="001611DC">
              <w:t>70.5 (44.2, 85.6)</w:t>
            </w:r>
          </w:p>
        </w:tc>
      </w:tr>
      <w:tr w:rsidR="00540689" w:rsidRPr="001611DC" w14:paraId="34C1077A" w14:textId="77777777" w:rsidTr="00540689">
        <w:tc>
          <w:tcPr>
            <w:tcW w:w="0" w:type="auto"/>
            <w:vAlign w:val="center"/>
          </w:tcPr>
          <w:p w14:paraId="566AF69A" w14:textId="77777777" w:rsidR="00265D7C" w:rsidRPr="001611DC" w:rsidRDefault="00265D7C" w:rsidP="000B0380">
            <w:pPr>
              <w:pStyle w:val="TableText0"/>
              <w:keepNext w:val="0"/>
            </w:pPr>
            <w:r w:rsidRPr="001611DC">
              <w:rPr>
                <w:u w:val="single"/>
              </w:rPr>
              <w:t>&gt;</w:t>
            </w:r>
            <w:r w:rsidRPr="001611DC">
              <w:t xml:space="preserve">1 endocrine or metabolic condition </w:t>
            </w:r>
          </w:p>
        </w:tc>
        <w:tc>
          <w:tcPr>
            <w:tcW w:w="0" w:type="auto"/>
            <w:vAlign w:val="center"/>
          </w:tcPr>
          <w:p w14:paraId="60835A8B" w14:textId="46AE8FB7" w:rsidR="00265D7C" w:rsidRPr="001611DC" w:rsidRDefault="00265D7C" w:rsidP="000B0380">
            <w:pPr>
              <w:pStyle w:val="TableText0"/>
              <w:keepNext w:val="0"/>
              <w:rPr>
                <w:color w:val="000000"/>
              </w:rPr>
            </w:pPr>
            <w:r w:rsidRPr="001611DC">
              <w:t>3,236</w:t>
            </w:r>
          </w:p>
        </w:tc>
        <w:tc>
          <w:tcPr>
            <w:tcW w:w="0" w:type="auto"/>
            <w:vAlign w:val="center"/>
          </w:tcPr>
          <w:p w14:paraId="2A357637" w14:textId="0332CB4B" w:rsidR="00265D7C" w:rsidRPr="001611DC" w:rsidRDefault="00265D7C" w:rsidP="000B0380">
            <w:pPr>
              <w:pStyle w:val="TableText0"/>
              <w:keepNext w:val="0"/>
              <w:rPr>
                <w:color w:val="000000"/>
              </w:rPr>
            </w:pPr>
            <w:r w:rsidRPr="001611DC">
              <w:t>8</w:t>
            </w:r>
          </w:p>
        </w:tc>
        <w:tc>
          <w:tcPr>
            <w:tcW w:w="0" w:type="auto"/>
          </w:tcPr>
          <w:p w14:paraId="6004EF26" w14:textId="7674F250" w:rsidR="00265D7C" w:rsidRPr="001611DC" w:rsidRDefault="00265D7C" w:rsidP="000B0380">
            <w:pPr>
              <w:pStyle w:val="TableText0"/>
              <w:keepNext w:val="0"/>
              <w:rPr>
                <w:color w:val="000000"/>
              </w:rPr>
            </w:pPr>
            <w:r w:rsidRPr="001611DC">
              <w:t>n.r.</w:t>
            </w:r>
          </w:p>
        </w:tc>
        <w:tc>
          <w:tcPr>
            <w:tcW w:w="0" w:type="auto"/>
          </w:tcPr>
          <w:p w14:paraId="38577679" w14:textId="0CAE2AA0" w:rsidR="00265D7C" w:rsidRPr="001611DC" w:rsidRDefault="00265D7C" w:rsidP="000B0380">
            <w:pPr>
              <w:pStyle w:val="TableText0"/>
              <w:keepNext w:val="0"/>
              <w:rPr>
                <w:color w:val="000000"/>
              </w:rPr>
            </w:pPr>
            <w:r w:rsidRPr="001611DC">
              <w:t>n.r.</w:t>
            </w:r>
          </w:p>
        </w:tc>
        <w:tc>
          <w:tcPr>
            <w:tcW w:w="0" w:type="auto"/>
            <w:vAlign w:val="center"/>
          </w:tcPr>
          <w:p w14:paraId="0E68C87E" w14:textId="4BE815F5" w:rsidR="00265D7C" w:rsidRPr="001611DC" w:rsidRDefault="00265D7C" w:rsidP="000B0380">
            <w:pPr>
              <w:pStyle w:val="TableText0"/>
              <w:keepNext w:val="0"/>
              <w:rPr>
                <w:color w:val="000000"/>
              </w:rPr>
            </w:pPr>
            <w:r w:rsidRPr="001611DC">
              <w:t>3,267</w:t>
            </w:r>
          </w:p>
        </w:tc>
        <w:tc>
          <w:tcPr>
            <w:tcW w:w="0" w:type="auto"/>
            <w:vAlign w:val="center"/>
          </w:tcPr>
          <w:p w14:paraId="64E036A7" w14:textId="746D2FF2" w:rsidR="00265D7C" w:rsidRPr="001611DC" w:rsidRDefault="00265D7C" w:rsidP="000B0380">
            <w:pPr>
              <w:pStyle w:val="TableText0"/>
              <w:keepNext w:val="0"/>
              <w:rPr>
                <w:color w:val="000000"/>
              </w:rPr>
            </w:pPr>
            <w:r w:rsidRPr="001611DC">
              <w:t>36</w:t>
            </w:r>
          </w:p>
        </w:tc>
        <w:tc>
          <w:tcPr>
            <w:tcW w:w="0" w:type="auto"/>
          </w:tcPr>
          <w:p w14:paraId="089D9D4E" w14:textId="62A9E993" w:rsidR="00265D7C" w:rsidRPr="001611DC" w:rsidRDefault="00265D7C" w:rsidP="000B0380">
            <w:pPr>
              <w:pStyle w:val="TableText0"/>
              <w:keepNext w:val="0"/>
              <w:rPr>
                <w:color w:val="000000"/>
              </w:rPr>
            </w:pPr>
            <w:r w:rsidRPr="001611DC">
              <w:t>n.r.</w:t>
            </w:r>
          </w:p>
        </w:tc>
        <w:tc>
          <w:tcPr>
            <w:tcW w:w="0" w:type="auto"/>
            <w:vAlign w:val="center"/>
          </w:tcPr>
          <w:p w14:paraId="21A87DBF" w14:textId="2B72978D" w:rsidR="00265D7C" w:rsidRPr="001611DC" w:rsidRDefault="00265D7C" w:rsidP="000B0380">
            <w:pPr>
              <w:pStyle w:val="TableText0"/>
              <w:keepNext w:val="0"/>
              <w:rPr>
                <w:color w:val="000000"/>
              </w:rPr>
            </w:pPr>
          </w:p>
        </w:tc>
        <w:tc>
          <w:tcPr>
            <w:tcW w:w="1747" w:type="dxa"/>
            <w:vAlign w:val="center"/>
          </w:tcPr>
          <w:p w14:paraId="57ECDC01" w14:textId="5EB92F8D" w:rsidR="00265D7C" w:rsidRPr="001611DC" w:rsidRDefault="00265D7C" w:rsidP="000B0380">
            <w:pPr>
              <w:pStyle w:val="TableText0"/>
              <w:keepNext w:val="0"/>
            </w:pPr>
            <w:r w:rsidRPr="001611DC">
              <w:t>66.2 (25.4, 86.5)</w:t>
            </w:r>
          </w:p>
        </w:tc>
      </w:tr>
      <w:tr w:rsidR="00540689" w:rsidRPr="001611DC" w14:paraId="724D072C" w14:textId="77777777" w:rsidTr="00540689">
        <w:tc>
          <w:tcPr>
            <w:tcW w:w="0" w:type="auto"/>
          </w:tcPr>
          <w:p w14:paraId="6C48A97C" w14:textId="77777777" w:rsidR="00440E7F" w:rsidRPr="001611DC" w:rsidRDefault="00440E7F" w:rsidP="000B0380">
            <w:pPr>
              <w:pStyle w:val="TableText0"/>
              <w:keepNext w:val="0"/>
            </w:pPr>
            <w:r w:rsidRPr="001611DC">
              <w:t>Low or medium risk of morbidity or mortality (CCI≤3)</w:t>
            </w:r>
          </w:p>
        </w:tc>
        <w:tc>
          <w:tcPr>
            <w:tcW w:w="0" w:type="auto"/>
            <w:vAlign w:val="center"/>
          </w:tcPr>
          <w:p w14:paraId="3A9AF5E7" w14:textId="36EB6CE8" w:rsidR="00440E7F" w:rsidRPr="001611DC" w:rsidRDefault="00440E7F" w:rsidP="000B0380">
            <w:pPr>
              <w:pStyle w:val="TableText0"/>
              <w:keepNext w:val="0"/>
              <w:rPr>
                <w:color w:val="000000"/>
              </w:rPr>
            </w:pPr>
            <w:r w:rsidRPr="001611DC">
              <w:rPr>
                <w:color w:val="000000"/>
              </w:rPr>
              <w:t>n.r.</w:t>
            </w:r>
          </w:p>
        </w:tc>
        <w:tc>
          <w:tcPr>
            <w:tcW w:w="0" w:type="auto"/>
            <w:vAlign w:val="center"/>
          </w:tcPr>
          <w:p w14:paraId="65D8827F" w14:textId="0D04BEC1" w:rsidR="00440E7F" w:rsidRPr="001611DC" w:rsidRDefault="00440E7F" w:rsidP="000B0380">
            <w:pPr>
              <w:pStyle w:val="TableText0"/>
              <w:keepNext w:val="0"/>
              <w:rPr>
                <w:color w:val="000000"/>
              </w:rPr>
            </w:pPr>
            <w:r w:rsidRPr="001611DC">
              <w:rPr>
                <w:color w:val="000000"/>
              </w:rPr>
              <w:t>n.r.</w:t>
            </w:r>
          </w:p>
        </w:tc>
        <w:tc>
          <w:tcPr>
            <w:tcW w:w="0" w:type="auto"/>
            <w:vAlign w:val="center"/>
          </w:tcPr>
          <w:p w14:paraId="3E132B56" w14:textId="0A169CD3" w:rsidR="00440E7F" w:rsidRPr="001611DC" w:rsidRDefault="00440E7F" w:rsidP="000B0380">
            <w:pPr>
              <w:pStyle w:val="TableText0"/>
              <w:keepNext w:val="0"/>
              <w:rPr>
                <w:color w:val="000000"/>
              </w:rPr>
            </w:pPr>
            <w:r w:rsidRPr="001611DC">
              <w:rPr>
                <w:color w:val="000000"/>
              </w:rPr>
              <w:t>n.r.</w:t>
            </w:r>
          </w:p>
        </w:tc>
        <w:tc>
          <w:tcPr>
            <w:tcW w:w="0" w:type="auto"/>
            <w:vAlign w:val="center"/>
          </w:tcPr>
          <w:p w14:paraId="00725CFC" w14:textId="208B12A9" w:rsidR="00440E7F" w:rsidRPr="001611DC" w:rsidRDefault="00440E7F" w:rsidP="000B0380">
            <w:pPr>
              <w:pStyle w:val="TableText0"/>
              <w:keepNext w:val="0"/>
              <w:rPr>
                <w:color w:val="000000"/>
              </w:rPr>
            </w:pPr>
            <w:r w:rsidRPr="001611DC">
              <w:rPr>
                <w:color w:val="000000"/>
              </w:rPr>
              <w:t>n.r.</w:t>
            </w:r>
          </w:p>
        </w:tc>
        <w:tc>
          <w:tcPr>
            <w:tcW w:w="0" w:type="auto"/>
            <w:vAlign w:val="center"/>
          </w:tcPr>
          <w:p w14:paraId="3E65E1C0" w14:textId="1257A63A" w:rsidR="00440E7F" w:rsidRPr="001611DC" w:rsidRDefault="00440E7F" w:rsidP="000B0380">
            <w:pPr>
              <w:pStyle w:val="TableText0"/>
              <w:keepNext w:val="0"/>
              <w:rPr>
                <w:color w:val="000000"/>
              </w:rPr>
            </w:pPr>
            <w:r w:rsidRPr="001611DC">
              <w:rPr>
                <w:color w:val="000000"/>
              </w:rPr>
              <w:t>n.r.</w:t>
            </w:r>
          </w:p>
        </w:tc>
        <w:tc>
          <w:tcPr>
            <w:tcW w:w="0" w:type="auto"/>
            <w:vAlign w:val="center"/>
          </w:tcPr>
          <w:p w14:paraId="6592510D" w14:textId="4790C7D3" w:rsidR="00440E7F" w:rsidRPr="001611DC" w:rsidRDefault="00440E7F" w:rsidP="000B0380">
            <w:pPr>
              <w:pStyle w:val="TableText0"/>
              <w:keepNext w:val="0"/>
              <w:rPr>
                <w:color w:val="000000"/>
              </w:rPr>
            </w:pPr>
            <w:r w:rsidRPr="001611DC">
              <w:rPr>
                <w:color w:val="000000"/>
              </w:rPr>
              <w:t>n.r.</w:t>
            </w:r>
          </w:p>
        </w:tc>
        <w:tc>
          <w:tcPr>
            <w:tcW w:w="0" w:type="auto"/>
            <w:vAlign w:val="center"/>
          </w:tcPr>
          <w:p w14:paraId="393C3DE9" w14:textId="184ED1CE" w:rsidR="00440E7F" w:rsidRPr="001611DC" w:rsidRDefault="00440E7F" w:rsidP="000B0380">
            <w:pPr>
              <w:pStyle w:val="TableText0"/>
              <w:keepNext w:val="0"/>
              <w:rPr>
                <w:color w:val="000000"/>
              </w:rPr>
            </w:pPr>
            <w:r w:rsidRPr="001611DC">
              <w:rPr>
                <w:color w:val="000000"/>
              </w:rPr>
              <w:t>n.r.</w:t>
            </w:r>
          </w:p>
        </w:tc>
        <w:tc>
          <w:tcPr>
            <w:tcW w:w="0" w:type="auto"/>
            <w:vAlign w:val="center"/>
          </w:tcPr>
          <w:p w14:paraId="571FD37B" w14:textId="22D391BF" w:rsidR="00440E7F" w:rsidRPr="001611DC" w:rsidRDefault="00440E7F" w:rsidP="000B0380">
            <w:pPr>
              <w:pStyle w:val="TableText0"/>
              <w:keepNext w:val="0"/>
              <w:rPr>
                <w:color w:val="000000"/>
              </w:rPr>
            </w:pPr>
            <w:r w:rsidRPr="001611DC">
              <w:rPr>
                <w:color w:val="000000"/>
              </w:rPr>
              <w:t>n.r.</w:t>
            </w:r>
          </w:p>
        </w:tc>
        <w:tc>
          <w:tcPr>
            <w:tcW w:w="1747" w:type="dxa"/>
            <w:vAlign w:val="center"/>
          </w:tcPr>
          <w:p w14:paraId="7B010C97" w14:textId="60CB24BA" w:rsidR="00440E7F" w:rsidRPr="001611DC" w:rsidRDefault="00D0563D" w:rsidP="000B0380">
            <w:pPr>
              <w:pStyle w:val="TableText0"/>
              <w:keepNext w:val="0"/>
            </w:pPr>
            <w:r w:rsidRPr="001611DC">
              <w:t>68.5 (46.3, 82.6)</w:t>
            </w:r>
            <w:r w:rsidRPr="001611DC">
              <w:rPr>
                <w:color w:val="000000"/>
                <w:vertAlign w:val="superscript"/>
              </w:rPr>
              <w:t>e</w:t>
            </w:r>
          </w:p>
        </w:tc>
      </w:tr>
      <w:tr w:rsidR="00540689" w:rsidRPr="001611DC" w14:paraId="451AB3D6" w14:textId="77777777" w:rsidTr="00540689">
        <w:tc>
          <w:tcPr>
            <w:tcW w:w="0" w:type="auto"/>
          </w:tcPr>
          <w:p w14:paraId="101908D1" w14:textId="77777777" w:rsidR="00440E7F" w:rsidRPr="001611DC" w:rsidRDefault="00440E7F" w:rsidP="000B0380">
            <w:pPr>
              <w:pStyle w:val="TableText0"/>
              <w:keepNext w:val="0"/>
            </w:pPr>
            <w:r w:rsidRPr="001611DC">
              <w:t>High risk of morbidity or mortality (CCI&gt;3)</w:t>
            </w:r>
          </w:p>
        </w:tc>
        <w:tc>
          <w:tcPr>
            <w:tcW w:w="0" w:type="auto"/>
            <w:vAlign w:val="center"/>
          </w:tcPr>
          <w:p w14:paraId="2B73E7B5" w14:textId="4512CAB3" w:rsidR="00440E7F" w:rsidRPr="001611DC" w:rsidRDefault="00440E7F" w:rsidP="000B0380">
            <w:pPr>
              <w:pStyle w:val="TableText0"/>
              <w:keepNext w:val="0"/>
              <w:rPr>
                <w:color w:val="000000"/>
              </w:rPr>
            </w:pPr>
            <w:r w:rsidRPr="001611DC">
              <w:rPr>
                <w:color w:val="000000"/>
              </w:rPr>
              <w:t>n.r.</w:t>
            </w:r>
          </w:p>
        </w:tc>
        <w:tc>
          <w:tcPr>
            <w:tcW w:w="0" w:type="auto"/>
            <w:vAlign w:val="center"/>
          </w:tcPr>
          <w:p w14:paraId="188CE3EC" w14:textId="4446195F" w:rsidR="00440E7F" w:rsidRPr="001611DC" w:rsidRDefault="00440E7F" w:rsidP="000B0380">
            <w:pPr>
              <w:pStyle w:val="TableText0"/>
              <w:keepNext w:val="0"/>
              <w:rPr>
                <w:color w:val="000000"/>
              </w:rPr>
            </w:pPr>
            <w:r w:rsidRPr="001611DC">
              <w:rPr>
                <w:color w:val="000000"/>
              </w:rPr>
              <w:t>n.r.</w:t>
            </w:r>
          </w:p>
        </w:tc>
        <w:tc>
          <w:tcPr>
            <w:tcW w:w="0" w:type="auto"/>
            <w:vAlign w:val="center"/>
          </w:tcPr>
          <w:p w14:paraId="70108E0D" w14:textId="50482B46" w:rsidR="00440E7F" w:rsidRPr="001611DC" w:rsidRDefault="00440E7F" w:rsidP="000B0380">
            <w:pPr>
              <w:pStyle w:val="TableText0"/>
              <w:keepNext w:val="0"/>
              <w:rPr>
                <w:color w:val="000000"/>
              </w:rPr>
            </w:pPr>
            <w:r w:rsidRPr="001611DC">
              <w:rPr>
                <w:color w:val="000000"/>
              </w:rPr>
              <w:t>n.r.</w:t>
            </w:r>
          </w:p>
        </w:tc>
        <w:tc>
          <w:tcPr>
            <w:tcW w:w="0" w:type="auto"/>
            <w:vAlign w:val="center"/>
          </w:tcPr>
          <w:p w14:paraId="46268734" w14:textId="7BB10D7E" w:rsidR="00440E7F" w:rsidRPr="001611DC" w:rsidRDefault="00440E7F" w:rsidP="000B0380">
            <w:pPr>
              <w:pStyle w:val="TableText0"/>
              <w:keepNext w:val="0"/>
              <w:rPr>
                <w:color w:val="000000"/>
              </w:rPr>
            </w:pPr>
            <w:r w:rsidRPr="001611DC">
              <w:rPr>
                <w:color w:val="000000"/>
              </w:rPr>
              <w:t>n.r.</w:t>
            </w:r>
          </w:p>
        </w:tc>
        <w:tc>
          <w:tcPr>
            <w:tcW w:w="0" w:type="auto"/>
            <w:vAlign w:val="center"/>
          </w:tcPr>
          <w:p w14:paraId="4F1DA0BE" w14:textId="525F9EA5" w:rsidR="00440E7F" w:rsidRPr="001611DC" w:rsidRDefault="00440E7F" w:rsidP="000B0380">
            <w:pPr>
              <w:pStyle w:val="TableText0"/>
              <w:keepNext w:val="0"/>
              <w:rPr>
                <w:color w:val="000000"/>
              </w:rPr>
            </w:pPr>
            <w:r w:rsidRPr="001611DC">
              <w:rPr>
                <w:color w:val="000000"/>
              </w:rPr>
              <w:t>n.r.</w:t>
            </w:r>
          </w:p>
        </w:tc>
        <w:tc>
          <w:tcPr>
            <w:tcW w:w="0" w:type="auto"/>
            <w:vAlign w:val="center"/>
          </w:tcPr>
          <w:p w14:paraId="3EAC8479" w14:textId="39561428" w:rsidR="00440E7F" w:rsidRPr="001611DC" w:rsidRDefault="00440E7F" w:rsidP="000B0380">
            <w:pPr>
              <w:pStyle w:val="TableText0"/>
              <w:keepNext w:val="0"/>
              <w:rPr>
                <w:color w:val="000000"/>
              </w:rPr>
            </w:pPr>
            <w:r w:rsidRPr="001611DC">
              <w:rPr>
                <w:color w:val="000000"/>
              </w:rPr>
              <w:t>n.r.</w:t>
            </w:r>
          </w:p>
        </w:tc>
        <w:tc>
          <w:tcPr>
            <w:tcW w:w="0" w:type="auto"/>
            <w:vAlign w:val="center"/>
          </w:tcPr>
          <w:p w14:paraId="7B62DB90" w14:textId="365011CE" w:rsidR="00440E7F" w:rsidRPr="001611DC" w:rsidRDefault="00440E7F" w:rsidP="000B0380">
            <w:pPr>
              <w:pStyle w:val="TableText0"/>
              <w:keepNext w:val="0"/>
              <w:rPr>
                <w:color w:val="000000"/>
              </w:rPr>
            </w:pPr>
            <w:r w:rsidRPr="001611DC">
              <w:rPr>
                <w:color w:val="000000"/>
              </w:rPr>
              <w:t>n.r.</w:t>
            </w:r>
          </w:p>
        </w:tc>
        <w:tc>
          <w:tcPr>
            <w:tcW w:w="0" w:type="auto"/>
            <w:vAlign w:val="center"/>
          </w:tcPr>
          <w:p w14:paraId="1A8E19B4" w14:textId="38C7EC6B" w:rsidR="00440E7F" w:rsidRPr="001611DC" w:rsidRDefault="00440E7F" w:rsidP="000B0380">
            <w:pPr>
              <w:pStyle w:val="TableText0"/>
              <w:keepNext w:val="0"/>
              <w:rPr>
                <w:color w:val="000000"/>
              </w:rPr>
            </w:pPr>
            <w:r w:rsidRPr="001611DC">
              <w:rPr>
                <w:color w:val="000000"/>
              </w:rPr>
              <w:t>n.r.</w:t>
            </w:r>
          </w:p>
        </w:tc>
        <w:tc>
          <w:tcPr>
            <w:tcW w:w="1747" w:type="dxa"/>
            <w:vAlign w:val="center"/>
          </w:tcPr>
          <w:p w14:paraId="587CC191" w14:textId="2D7AF1CF" w:rsidR="00440E7F" w:rsidRPr="001611DC" w:rsidRDefault="00D0563D" w:rsidP="000B0380">
            <w:pPr>
              <w:pStyle w:val="TableText0"/>
              <w:keepNext w:val="0"/>
            </w:pPr>
            <w:r w:rsidRPr="001611DC">
              <w:t>67.2 (41.8, 82.7)</w:t>
            </w:r>
            <w:r w:rsidRPr="001611DC">
              <w:rPr>
                <w:color w:val="000000"/>
                <w:vertAlign w:val="superscript"/>
              </w:rPr>
              <w:t>e</w:t>
            </w:r>
          </w:p>
        </w:tc>
      </w:tr>
      <w:tr w:rsidR="00722AA1" w:rsidRPr="001611DC" w14:paraId="2CDB3420" w14:textId="77777777" w:rsidTr="00540689">
        <w:tc>
          <w:tcPr>
            <w:tcW w:w="9493" w:type="dxa"/>
            <w:gridSpan w:val="10"/>
          </w:tcPr>
          <w:p w14:paraId="2C72029E" w14:textId="77777777" w:rsidR="00722AA1" w:rsidRPr="001611DC" w:rsidRDefault="00722AA1" w:rsidP="000B0380">
            <w:pPr>
              <w:pStyle w:val="TableText0"/>
              <w:keepNext w:val="0"/>
              <w:rPr>
                <w:color w:val="000000"/>
                <w:szCs w:val="20"/>
              </w:rPr>
            </w:pPr>
            <w:r w:rsidRPr="001611DC">
              <w:rPr>
                <w:color w:val="000000"/>
                <w:szCs w:val="20"/>
              </w:rPr>
              <w:t>Baseline frailty status</w:t>
            </w:r>
          </w:p>
        </w:tc>
      </w:tr>
      <w:tr w:rsidR="00540689" w:rsidRPr="001611DC" w14:paraId="3502B026" w14:textId="77777777" w:rsidTr="00540689">
        <w:tc>
          <w:tcPr>
            <w:tcW w:w="0" w:type="auto"/>
            <w:vAlign w:val="center"/>
          </w:tcPr>
          <w:p w14:paraId="706B8976" w14:textId="2D2F6280" w:rsidR="00265D7C" w:rsidRPr="001611DC" w:rsidRDefault="00265D7C" w:rsidP="000B0380">
            <w:pPr>
              <w:pStyle w:val="TableText0"/>
              <w:keepNext w:val="0"/>
            </w:pPr>
            <w:r w:rsidRPr="001611DC">
              <w:rPr>
                <w:rFonts w:eastAsia="Times New Roman"/>
                <w:color w:val="000000"/>
                <w:szCs w:val="20"/>
              </w:rPr>
              <w:t>Pre-Frail</w:t>
            </w:r>
            <w:r w:rsidR="00331C2F" w:rsidRPr="001611DC">
              <w:rPr>
                <w:rFonts w:eastAsia="Times New Roman"/>
                <w:color w:val="000000"/>
                <w:szCs w:val="20"/>
              </w:rPr>
              <w:t xml:space="preserve"> </w:t>
            </w:r>
            <w:r w:rsidR="00331C2F" w:rsidRPr="001611DC">
              <w:rPr>
                <w:rFonts w:eastAsia="Times New Roman"/>
                <w:color w:val="000000"/>
                <w:szCs w:val="20"/>
                <w:vertAlign w:val="superscript"/>
              </w:rPr>
              <w:t>d</w:t>
            </w:r>
          </w:p>
        </w:tc>
        <w:tc>
          <w:tcPr>
            <w:tcW w:w="0" w:type="auto"/>
            <w:vAlign w:val="center"/>
          </w:tcPr>
          <w:p w14:paraId="68856BE6" w14:textId="5A9DFBC0" w:rsidR="00265D7C" w:rsidRPr="001611DC" w:rsidRDefault="00265D7C" w:rsidP="000B0380">
            <w:pPr>
              <w:pStyle w:val="TableText0"/>
              <w:keepNext w:val="0"/>
              <w:rPr>
                <w:rFonts w:eastAsia="Times New Roman"/>
                <w:color w:val="000000"/>
                <w:szCs w:val="20"/>
              </w:rPr>
            </w:pPr>
            <w:r w:rsidRPr="001611DC">
              <w:t>4,794</w:t>
            </w:r>
          </w:p>
        </w:tc>
        <w:tc>
          <w:tcPr>
            <w:tcW w:w="0" w:type="auto"/>
            <w:vAlign w:val="center"/>
          </w:tcPr>
          <w:p w14:paraId="61895675" w14:textId="37C19FA9" w:rsidR="00265D7C" w:rsidRPr="001611DC" w:rsidRDefault="00265D7C" w:rsidP="000B0380">
            <w:pPr>
              <w:pStyle w:val="TableText0"/>
              <w:keepNext w:val="0"/>
              <w:rPr>
                <w:rFonts w:eastAsia="Times New Roman"/>
                <w:color w:val="000000"/>
                <w:szCs w:val="20"/>
              </w:rPr>
            </w:pPr>
            <w:r w:rsidRPr="001611DC">
              <w:t>9</w:t>
            </w:r>
          </w:p>
        </w:tc>
        <w:tc>
          <w:tcPr>
            <w:tcW w:w="0" w:type="auto"/>
          </w:tcPr>
          <w:p w14:paraId="6CC6A2AA" w14:textId="7D4FFC5D" w:rsidR="00265D7C" w:rsidRPr="001611DC" w:rsidRDefault="00265D7C" w:rsidP="000B0380">
            <w:pPr>
              <w:pStyle w:val="TableText0"/>
              <w:keepNext w:val="0"/>
              <w:rPr>
                <w:rFonts w:eastAsia="Times New Roman"/>
                <w:color w:val="000000"/>
                <w:szCs w:val="20"/>
              </w:rPr>
            </w:pPr>
            <w:r w:rsidRPr="001611DC">
              <w:t>n.r.</w:t>
            </w:r>
          </w:p>
        </w:tc>
        <w:tc>
          <w:tcPr>
            <w:tcW w:w="0" w:type="auto"/>
          </w:tcPr>
          <w:p w14:paraId="1B5B3DA2" w14:textId="64EA51B6" w:rsidR="00265D7C" w:rsidRPr="001611DC" w:rsidRDefault="00265D7C" w:rsidP="000B0380">
            <w:pPr>
              <w:pStyle w:val="TableText0"/>
              <w:keepNext w:val="0"/>
              <w:rPr>
                <w:rFonts w:eastAsia="Times New Roman"/>
                <w:color w:val="000000"/>
                <w:szCs w:val="20"/>
              </w:rPr>
            </w:pPr>
            <w:r w:rsidRPr="001611DC">
              <w:t>n.r.</w:t>
            </w:r>
          </w:p>
        </w:tc>
        <w:tc>
          <w:tcPr>
            <w:tcW w:w="0" w:type="auto"/>
            <w:vAlign w:val="center"/>
          </w:tcPr>
          <w:p w14:paraId="16583CA8" w14:textId="19A927AA" w:rsidR="00265D7C" w:rsidRPr="001611DC" w:rsidRDefault="00265D7C" w:rsidP="000B0380">
            <w:pPr>
              <w:pStyle w:val="TableText0"/>
              <w:keepNext w:val="0"/>
              <w:rPr>
                <w:rFonts w:eastAsia="Times New Roman"/>
                <w:color w:val="000000"/>
                <w:szCs w:val="20"/>
              </w:rPr>
            </w:pPr>
            <w:r w:rsidRPr="001611DC">
              <w:t>4,779</w:t>
            </w:r>
          </w:p>
        </w:tc>
        <w:tc>
          <w:tcPr>
            <w:tcW w:w="0" w:type="auto"/>
            <w:vAlign w:val="center"/>
          </w:tcPr>
          <w:p w14:paraId="521BB379" w14:textId="4422BD1F" w:rsidR="00265D7C" w:rsidRPr="001611DC" w:rsidRDefault="00265D7C" w:rsidP="000B0380">
            <w:pPr>
              <w:pStyle w:val="TableText0"/>
              <w:keepNext w:val="0"/>
              <w:rPr>
                <w:rFonts w:eastAsia="Times New Roman"/>
                <w:color w:val="000000"/>
                <w:szCs w:val="20"/>
              </w:rPr>
            </w:pPr>
            <w:r w:rsidRPr="001611DC">
              <w:t>50</w:t>
            </w:r>
          </w:p>
        </w:tc>
        <w:tc>
          <w:tcPr>
            <w:tcW w:w="0" w:type="auto"/>
          </w:tcPr>
          <w:p w14:paraId="0BC11CE0" w14:textId="3359E4FF" w:rsidR="00265D7C" w:rsidRPr="001611DC" w:rsidRDefault="00265D7C" w:rsidP="000B0380">
            <w:pPr>
              <w:pStyle w:val="TableText0"/>
              <w:keepNext w:val="0"/>
              <w:rPr>
                <w:rFonts w:eastAsia="Times New Roman"/>
                <w:color w:val="000000"/>
                <w:szCs w:val="20"/>
              </w:rPr>
            </w:pPr>
            <w:r w:rsidRPr="001611DC">
              <w:t>n.r.</w:t>
            </w:r>
          </w:p>
        </w:tc>
        <w:tc>
          <w:tcPr>
            <w:tcW w:w="0" w:type="auto"/>
            <w:vAlign w:val="center"/>
          </w:tcPr>
          <w:p w14:paraId="0A7D70C8" w14:textId="1AB2C934" w:rsidR="00265D7C" w:rsidRPr="001611DC" w:rsidRDefault="00265D7C" w:rsidP="000B0380">
            <w:pPr>
              <w:pStyle w:val="TableText0"/>
              <w:keepNext w:val="0"/>
              <w:rPr>
                <w:rFonts w:eastAsia="Times New Roman"/>
                <w:color w:val="000000"/>
                <w:szCs w:val="20"/>
              </w:rPr>
            </w:pPr>
          </w:p>
        </w:tc>
        <w:tc>
          <w:tcPr>
            <w:tcW w:w="1747" w:type="dxa"/>
            <w:vAlign w:val="center"/>
          </w:tcPr>
          <w:p w14:paraId="095C4D00" w14:textId="6BDF7276" w:rsidR="00265D7C" w:rsidRPr="001611DC" w:rsidRDefault="00265D7C" w:rsidP="000B0380">
            <w:pPr>
              <w:pStyle w:val="TableText0"/>
              <w:keepNext w:val="0"/>
              <w:rPr>
                <w:szCs w:val="20"/>
              </w:rPr>
            </w:pPr>
            <w:r w:rsidRPr="001611DC">
              <w:t>71.3 (40.6, 87.7)</w:t>
            </w:r>
          </w:p>
        </w:tc>
      </w:tr>
    </w:tbl>
    <w:p w14:paraId="2A663DA5" w14:textId="37F1B2A9" w:rsidR="00F9000A" w:rsidRPr="001611DC" w:rsidRDefault="00F9000A" w:rsidP="00973409">
      <w:pPr>
        <w:pStyle w:val="FooterTableFigure"/>
        <w:keepNext/>
        <w:rPr>
          <w:snapToGrid/>
        </w:rPr>
      </w:pPr>
      <w:r w:rsidRPr="001611DC">
        <w:rPr>
          <w:snapToGrid/>
        </w:rPr>
        <w:t>Source: Table 2.6.7: of the commentary</w:t>
      </w:r>
      <w:r w:rsidR="00973409" w:rsidRPr="001611DC">
        <w:t>, PSCR Table 2 and text,.</w:t>
      </w:r>
    </w:p>
    <w:p w14:paraId="2F57BBF5" w14:textId="5A4F094A" w:rsidR="00F9000A" w:rsidRPr="001611DC" w:rsidRDefault="00F9000A" w:rsidP="00F9000A">
      <w:pPr>
        <w:pStyle w:val="FooterTableFigure"/>
      </w:pPr>
      <w:r w:rsidRPr="001611DC">
        <w:t xml:space="preserve">CI = confidence interval; CCI = Charleston Co-morbidity index ; mES = modified exposed set; N = number of participants; n = number of participants with at least one RT-PCR confirmed RSV-LRTD; LRTD = lower respiratory tract disease; NH = Northern Hemisphere; </w:t>
      </w:r>
      <w:r w:rsidR="00160076" w:rsidRPr="001611DC">
        <w:t xml:space="preserve">n.r. not </w:t>
      </w:r>
      <w:r w:rsidR="00160076" w:rsidRPr="001611DC">
        <w:lastRenderedPageBreak/>
        <w:t xml:space="preserve">reported; </w:t>
      </w:r>
      <w:r w:rsidRPr="001611DC">
        <w:t xml:space="preserve">n/T (per 1000) = incidence rate of participants reporting at least one event; RSVPreF3 OA= RSV Pre-fusion protein 3 older adult; RSV: respiratory syncytial virus; RT-PCR: reverse transcription-polymerase chain reaction; T (year) = sum of follow-up time (from Day 15 post-vaccination till first occurrence of the event or till the efficacy data lock point or till drop-out date) expressed in years; VE = vaccine efficacy; YOA = years of age. </w:t>
      </w:r>
    </w:p>
    <w:p w14:paraId="53D277C0" w14:textId="77777777" w:rsidR="00F9000A" w:rsidRPr="001611DC" w:rsidRDefault="00F9000A" w:rsidP="00F9000A">
      <w:pPr>
        <w:pStyle w:val="FooterTableFigure"/>
      </w:pPr>
      <w:r w:rsidRPr="001611DC">
        <w:t>For annual revaccination evaluation, participants who received Placebo at Dose 2 (RSV_1 dose group) are censored at Dose 2</w:t>
      </w:r>
    </w:p>
    <w:p w14:paraId="4C48E11B" w14:textId="77777777" w:rsidR="00F9000A" w:rsidRPr="001611DC" w:rsidRDefault="00F9000A" w:rsidP="00F9000A">
      <w:pPr>
        <w:pStyle w:val="FooterTableFigure"/>
        <w:rPr>
          <w:rFonts w:eastAsia="Calibri"/>
          <w:szCs w:val="18"/>
        </w:rPr>
      </w:pPr>
      <w:r w:rsidRPr="001611DC">
        <w:rPr>
          <w:rFonts w:eastAsia="Calibri"/>
          <w:szCs w:val="18"/>
        </w:rPr>
        <w:t xml:space="preserve">a Prespecified secondary efficacy analyses included season as a covariate. </w:t>
      </w:r>
    </w:p>
    <w:p w14:paraId="22F0B947" w14:textId="0A26687B" w:rsidR="00F9000A" w:rsidRPr="001611DC" w:rsidRDefault="0050118E" w:rsidP="0050118E">
      <w:pPr>
        <w:pStyle w:val="FooterTableFigure"/>
        <w:spacing w:after="0"/>
        <w:contextualSpacing w:val="0"/>
      </w:pPr>
      <w:r w:rsidRPr="001611DC">
        <w:t>b</w:t>
      </w:r>
      <w:r w:rsidR="00F9000A" w:rsidRPr="001611DC">
        <w:t xml:space="preserve"> 96.95% CI for the base case analysis, 95% CI for the subgroup analysis..</w:t>
      </w:r>
    </w:p>
    <w:p w14:paraId="456FBBDC" w14:textId="77777777" w:rsidR="00331C2F" w:rsidRPr="001611DC" w:rsidRDefault="00331C2F" w:rsidP="00F9000A">
      <w:pPr>
        <w:rPr>
          <w:rFonts w:ascii="Arial Narrow" w:hAnsi="Arial Narrow"/>
          <w:snapToGrid w:val="0"/>
          <w:sz w:val="18"/>
          <w:szCs w:val="22"/>
        </w:rPr>
      </w:pPr>
      <w:r w:rsidRPr="001611DC">
        <w:rPr>
          <w:rFonts w:ascii="Arial Narrow" w:hAnsi="Arial Narrow"/>
          <w:snapToGrid w:val="0"/>
          <w:sz w:val="18"/>
          <w:szCs w:val="22"/>
        </w:rPr>
        <w:t xml:space="preserve">c ≥1 pre-existing comorbidities of interest (i.e., COPD, asthma, any chronic respiratory/pulmonary disease, diabetes mellitus, chronic heart failure, advanced liver, or renal disease. </w:t>
      </w:r>
    </w:p>
    <w:p w14:paraId="0800A4ED" w14:textId="21FF6662" w:rsidR="00F9000A" w:rsidRPr="001611DC" w:rsidRDefault="004C31D0" w:rsidP="00F9000A">
      <w:pPr>
        <w:rPr>
          <w:rFonts w:ascii="Arial Narrow" w:hAnsi="Arial Narrow"/>
          <w:snapToGrid w:val="0"/>
          <w:sz w:val="18"/>
          <w:szCs w:val="22"/>
        </w:rPr>
      </w:pPr>
      <w:r w:rsidRPr="001611DC">
        <w:rPr>
          <w:rFonts w:ascii="Arial Narrow" w:hAnsi="Arial Narrow"/>
          <w:snapToGrid w:val="0"/>
          <w:sz w:val="18"/>
          <w:szCs w:val="22"/>
        </w:rPr>
        <w:t>d</w:t>
      </w:r>
      <w:r w:rsidR="00331C2F" w:rsidRPr="001611DC">
        <w:rPr>
          <w:rFonts w:ascii="Arial Narrow" w:hAnsi="Arial Narrow"/>
          <w:snapToGrid w:val="0"/>
          <w:sz w:val="18"/>
          <w:szCs w:val="22"/>
        </w:rPr>
        <w:t xml:space="preserve"> Frailty assessed using a gait speed test.</w:t>
      </w:r>
    </w:p>
    <w:p w14:paraId="099DB3E8" w14:textId="0B82E9B7" w:rsidR="00F9000A" w:rsidRPr="001611DC" w:rsidRDefault="00D0563D" w:rsidP="00844F2C">
      <w:pPr>
        <w:spacing w:after="120"/>
      </w:pPr>
      <w:r w:rsidRPr="001611DC">
        <w:rPr>
          <w:rFonts w:ascii="Arial Narrow" w:hAnsi="Arial Narrow"/>
          <w:snapToGrid w:val="0"/>
          <w:sz w:val="18"/>
          <w:szCs w:val="22"/>
        </w:rPr>
        <w:t>e Result for VE analysis 4 reported in pre-PBAC response.</w:t>
      </w:r>
    </w:p>
    <w:p w14:paraId="2E7646E4" w14:textId="4A35C469" w:rsidR="009263AC" w:rsidRPr="001611DC" w:rsidRDefault="006A5C34">
      <w:pPr>
        <w:pStyle w:val="3-BodyText"/>
      </w:pPr>
      <w:r w:rsidRPr="001611DC">
        <w:t>Patient reported outcomes (</w:t>
      </w:r>
      <w:r w:rsidR="009263AC" w:rsidRPr="001611DC">
        <w:t>PROs</w:t>
      </w:r>
      <w:r w:rsidRPr="001611DC">
        <w:t>)</w:t>
      </w:r>
      <w:r w:rsidR="009263AC" w:rsidRPr="001611DC">
        <w:t xml:space="preserve"> were evaluated in the mES RT-PCR-confirmed RSV-LRTD and mES RT-PCR confirmed RSV-ARI cohorts using FLU PRO version 2.0, SF-12, EQ-5D and PGI-S and PGI-C questionnaires.</w:t>
      </w:r>
      <w:r w:rsidR="0074118B" w:rsidRPr="001611DC">
        <w:t xml:space="preserve"> Using the EQ-5D, the submission claimed a clinically relevant difference in health utility by comparing observed least squares means difference of 0.08 in favour of RSVPreF3 OA compared to placebo to an MCID value range of 0.06 and 0.09 in cancer patients.</w:t>
      </w:r>
      <w:r w:rsidR="001F4410">
        <w:t xml:space="preserve"> </w:t>
      </w:r>
      <w:r w:rsidR="009263AC" w:rsidRPr="001611DC">
        <w:rPr>
          <w:iCs/>
        </w:rPr>
        <w:t>The submission did not use the results from the PRO questionnaires evaluated in A</w:t>
      </w:r>
      <w:r w:rsidR="0083552E" w:rsidRPr="001611DC">
        <w:rPr>
          <w:iCs/>
        </w:rPr>
        <w:t>r</w:t>
      </w:r>
      <w:r w:rsidR="009263AC" w:rsidRPr="001611DC">
        <w:rPr>
          <w:iCs/>
        </w:rPr>
        <w:t xml:space="preserve">eSVi-006 in the economic evaluation. The submission argued for the use of utility weights from the literature because there were insufficient data points of the EQ-5D </w:t>
      </w:r>
      <w:r w:rsidR="0056487D" w:rsidRPr="001611DC">
        <w:rPr>
          <w:iCs/>
        </w:rPr>
        <w:t xml:space="preserve">collected from the trial </w:t>
      </w:r>
      <w:r w:rsidR="009263AC" w:rsidRPr="001611DC">
        <w:rPr>
          <w:iCs/>
        </w:rPr>
        <w:t xml:space="preserve">to </w:t>
      </w:r>
      <w:r w:rsidR="0056487D" w:rsidRPr="001611DC">
        <w:rPr>
          <w:iCs/>
        </w:rPr>
        <w:t xml:space="preserve">inform the </w:t>
      </w:r>
      <w:r w:rsidR="009263AC" w:rsidRPr="001611DC">
        <w:rPr>
          <w:iCs/>
        </w:rPr>
        <w:t>RSV-URTD and RSV-LRTD health states.</w:t>
      </w:r>
      <w:r w:rsidR="001F4410">
        <w:rPr>
          <w:iCs/>
        </w:rPr>
        <w:t xml:space="preserve"> </w:t>
      </w:r>
      <w:r w:rsidR="009263AC" w:rsidRPr="001611DC">
        <w:rPr>
          <w:iCs/>
        </w:rPr>
        <w:t>Th</w:t>
      </w:r>
      <w:r w:rsidRPr="001611DC">
        <w:rPr>
          <w:iCs/>
        </w:rPr>
        <w:t>e evaluation considered that th</w:t>
      </w:r>
      <w:r w:rsidR="009263AC" w:rsidRPr="001611DC">
        <w:rPr>
          <w:iCs/>
        </w:rPr>
        <w:t>is was reasonable.</w:t>
      </w:r>
    </w:p>
    <w:p w14:paraId="0A8A6BED" w14:textId="0EE20C51" w:rsidR="009263AC" w:rsidRPr="001611DC" w:rsidRDefault="009263AC" w:rsidP="009263AC">
      <w:pPr>
        <w:pStyle w:val="3-BodyText"/>
      </w:pPr>
      <w:r w:rsidRPr="001611DC">
        <w:t>Based on the FLU-PRO chest score over the first 7 days of the episode in Season 1, the RSVPreF3 OA vaccine significantly reduced the intensity of the LRT symptoms of RSV</w:t>
      </w:r>
      <w:r w:rsidRPr="001611DC">
        <w:noBreakHyphen/>
        <w:t xml:space="preserve">ARI (including trouble breathing, chest tightness and frequency and severity of cough) by a clinically meaningful difference of 0.58 (mean scores of 1.32 in RSVPreF3 group and 1.90 in placebo group). </w:t>
      </w:r>
      <w:r w:rsidRPr="001611DC">
        <w:rPr>
          <w:iCs/>
        </w:rPr>
        <w:t xml:space="preserve">The submission did not present evidence to support the claim of 0.58 being a clinically meaningful difference. </w:t>
      </w:r>
      <w:r w:rsidRPr="001611DC">
        <w:t xml:space="preserve">The FLU-PRO chest score relates to symptoms including trouble breathing, chest tightness and frequency and severity of cough. Based on this result, the submission claimed RSVPreF3 OA vaccine attenuates the severity of RSV-ARI associated symptoms in RSV breakthrough infections and that the findings were in line with the efficacy of RSVPreF3 OA demonstrating higher VE against more severe RSV disease. </w:t>
      </w:r>
      <w:r w:rsidRPr="001611DC">
        <w:rPr>
          <w:iCs/>
        </w:rPr>
        <w:t>Th</w:t>
      </w:r>
      <w:r w:rsidR="006A5C34" w:rsidRPr="001611DC">
        <w:rPr>
          <w:iCs/>
        </w:rPr>
        <w:t>e evaluation considered that th</w:t>
      </w:r>
      <w:r w:rsidRPr="001611DC">
        <w:rPr>
          <w:iCs/>
        </w:rPr>
        <w:t>is claim was reasonable.</w:t>
      </w:r>
    </w:p>
    <w:p w14:paraId="7B5B276E" w14:textId="062957BA" w:rsidR="009263AC" w:rsidRPr="001611DC" w:rsidRDefault="009263AC" w:rsidP="009263AC">
      <w:pPr>
        <w:pStyle w:val="3-BodyText"/>
      </w:pPr>
      <w:r w:rsidRPr="001611DC">
        <w:t xml:space="preserve">A least squares difference of 7 points was observed between RSVPreF3 OA and placebo for the SF-12 physical functioning (PF) domain, suggesting a lower physical functioning impact of RSV-ARI in the RSVPreF3 OA arm. The submission claimed that the observed difference was clinically relevant given it is above a minimum clinically important difference (MCID) of 3.3 in the SF-36 PF domain, estimated for participants with improving symptoms of lower extremities osteoarthritis. </w:t>
      </w:r>
      <w:r w:rsidRPr="001611DC">
        <w:rPr>
          <w:iCs/>
        </w:rPr>
        <w:t>Th</w:t>
      </w:r>
      <w:r w:rsidR="006A5C34" w:rsidRPr="001611DC">
        <w:rPr>
          <w:iCs/>
        </w:rPr>
        <w:t>e evaluation considered that th</w:t>
      </w:r>
      <w:r w:rsidRPr="001611DC">
        <w:rPr>
          <w:iCs/>
        </w:rPr>
        <w:t>is claim may not be reasonable considering the difference in the number of items assessed for SF-12 PF and SF-36 PF, and the fact that physical symptoms of lower extremity osteoarthritis are typically more debilitating than physical symptoms of RSV disease</w:t>
      </w:r>
      <w:r w:rsidRPr="001611DC">
        <w:t>.</w:t>
      </w:r>
    </w:p>
    <w:p w14:paraId="1293DEC5" w14:textId="77777777" w:rsidR="009263AC" w:rsidRPr="001611DC" w:rsidRDefault="009263AC" w:rsidP="009263AC">
      <w:pPr>
        <w:pStyle w:val="4-SubsectionHeading"/>
      </w:pPr>
      <w:bookmarkStart w:id="65" w:name="_Toc22897642"/>
      <w:bookmarkStart w:id="66" w:name="_Toc165203808"/>
      <w:bookmarkStart w:id="67" w:name="_Toc167277513"/>
      <w:r w:rsidRPr="001611DC">
        <w:lastRenderedPageBreak/>
        <w:t>Comparative harms</w:t>
      </w:r>
      <w:bookmarkEnd w:id="65"/>
      <w:bookmarkEnd w:id="66"/>
      <w:bookmarkEnd w:id="67"/>
    </w:p>
    <w:p w14:paraId="4DD5E20A" w14:textId="77777777" w:rsidR="009263AC" w:rsidRPr="001611DC" w:rsidRDefault="009263AC" w:rsidP="009263AC">
      <w:pPr>
        <w:pStyle w:val="3-BodyText"/>
        <w:numPr>
          <w:ilvl w:val="0"/>
          <w:numId w:val="0"/>
        </w:numPr>
        <w:ind w:left="720" w:hanging="720"/>
        <w:rPr>
          <w:iCs/>
          <w:u w:val="single"/>
        </w:rPr>
      </w:pPr>
      <w:r w:rsidRPr="001611DC">
        <w:rPr>
          <w:iCs/>
          <w:u w:val="single"/>
        </w:rPr>
        <w:t>Solicited events</w:t>
      </w:r>
    </w:p>
    <w:p w14:paraId="214D757F" w14:textId="6FA4A612" w:rsidR="009263AC" w:rsidRPr="001611DC" w:rsidRDefault="009263AC" w:rsidP="009263AC">
      <w:pPr>
        <w:pStyle w:val="3-BodyText"/>
      </w:pPr>
      <w:bookmarkStart w:id="68" w:name="_Ref174105403"/>
      <w:r w:rsidRPr="001611DC">
        <w:t>A summary of any grade and Grade 3 solicited events reported within 4 days of vaccination in the solicited safety set (SSS), corresponding to a subset of the overall trial population, is presented in (</w:t>
      </w:r>
      <w:r w:rsidRPr="001611DC">
        <w:fldChar w:fldCharType="begin" w:fldLock="1"/>
      </w:r>
      <w:r w:rsidRPr="001611DC">
        <w:instrText xml:space="preserve"> REF _Ref165828314 \h </w:instrText>
      </w:r>
      <w:r w:rsidRPr="001611DC">
        <w:fldChar w:fldCharType="separate"/>
      </w:r>
      <w:r w:rsidR="00927933" w:rsidRPr="001611DC">
        <w:t>Table 10</w:t>
      </w:r>
      <w:r w:rsidRPr="001611DC">
        <w:fldChar w:fldCharType="end"/>
      </w:r>
      <w:r w:rsidRPr="001611DC">
        <w:t>). The SSS was defined as all participants who received at least the first dose of the study intervention and had solicited safety data (1,757 participants, 879 in the RSVPreF3 OA group and 878 in the placebo group). Overall, the safety profile was different across the treatment arms, with a higher reactogenicity being reported in the RSVPreF3 OA group compared to placebo. The proportions reported for solicited events were any grade (71.9% vs 27.9%) and Grade 3 (4.1% vs 0.9%). In the RSVPreF3 OA arm, the most frequently reported administrative site event was pain (60.9%</w:t>
      </w:r>
      <w:r w:rsidR="005A7C4B" w:rsidRPr="001611DC">
        <w:t>; any grade</w:t>
      </w:r>
      <w:r w:rsidRPr="001611DC">
        <w:t>) and for systemic events was fatigue (33.6%</w:t>
      </w:r>
      <w:r w:rsidR="005A7C4B" w:rsidRPr="001611DC">
        <w:t xml:space="preserve">; </w:t>
      </w:r>
      <w:r w:rsidRPr="001611DC">
        <w:t xml:space="preserve">any grade). The most frequently reported Grade 3 systemic event was fatigue (1.7%). The submission stated that the higher reactogenicity rate observed in the RSVPreF3 OA arm was expected given it is an adjuvanted vaccine. </w:t>
      </w:r>
      <w:r w:rsidRPr="001611DC">
        <w:rPr>
          <w:iCs/>
        </w:rPr>
        <w:t>Th</w:t>
      </w:r>
      <w:r w:rsidR="006A5C34" w:rsidRPr="001611DC">
        <w:rPr>
          <w:iCs/>
        </w:rPr>
        <w:t>e evaluation considered that th</w:t>
      </w:r>
      <w:r w:rsidRPr="001611DC">
        <w:rPr>
          <w:iCs/>
        </w:rPr>
        <w:t>is was reasonable.</w:t>
      </w:r>
      <w:bookmarkEnd w:id="68"/>
    </w:p>
    <w:p w14:paraId="33A15723" w14:textId="59084239" w:rsidR="009263AC" w:rsidRPr="001611DC" w:rsidRDefault="009263AC" w:rsidP="009263AC">
      <w:pPr>
        <w:pStyle w:val="Caption"/>
        <w:rPr>
          <w:rStyle w:val="CommentReference"/>
          <w:b/>
        </w:rPr>
      </w:pPr>
      <w:bookmarkStart w:id="69" w:name="_Ref165828314"/>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10</w:t>
      </w:r>
      <w:r w:rsidR="005473CE" w:rsidRPr="001611DC">
        <w:fldChar w:fldCharType="end"/>
      </w:r>
      <w:bookmarkEnd w:id="69"/>
      <w:r w:rsidRPr="001611DC">
        <w:t>: Summary of key adverse events (solicited) within 4 days following dose 1 in A</w:t>
      </w:r>
      <w:r w:rsidR="0083552E" w:rsidRPr="001611DC">
        <w:t>r</w:t>
      </w:r>
      <w:r w:rsidRPr="001611DC">
        <w:t>eSVi-006, SSS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key adverse events (solicited) within 4 days following dose 1 in AreSVi-006, SSS"/>
      </w:tblPr>
      <w:tblGrid>
        <w:gridCol w:w="3091"/>
        <w:gridCol w:w="2961"/>
        <w:gridCol w:w="2965"/>
      </w:tblGrid>
      <w:tr w:rsidR="009263AC" w:rsidRPr="001611DC" w14:paraId="04143A42" w14:textId="77777777" w:rsidTr="00EB145B">
        <w:trPr>
          <w:cantSplit/>
          <w:tblHeader/>
        </w:trPr>
        <w:tc>
          <w:tcPr>
            <w:tcW w:w="1714" w:type="pct"/>
            <w:tcBorders>
              <w:bottom w:val="single" w:sz="4" w:space="0" w:color="auto"/>
            </w:tcBorders>
            <w:vAlign w:val="center"/>
          </w:tcPr>
          <w:p w14:paraId="4F98B6ED" w14:textId="77777777" w:rsidR="009263AC" w:rsidRPr="001611DC" w:rsidRDefault="009263AC" w:rsidP="00EB145B">
            <w:pPr>
              <w:pStyle w:val="In-tableHeading"/>
              <w:rPr>
                <w:lang w:val="en-AU"/>
              </w:rPr>
            </w:pPr>
          </w:p>
        </w:tc>
        <w:tc>
          <w:tcPr>
            <w:tcW w:w="1642" w:type="pct"/>
            <w:tcBorders>
              <w:bottom w:val="single" w:sz="4" w:space="0" w:color="auto"/>
            </w:tcBorders>
            <w:vAlign w:val="center"/>
          </w:tcPr>
          <w:p w14:paraId="30AE7A70" w14:textId="77777777" w:rsidR="009263AC" w:rsidRPr="001611DC" w:rsidRDefault="009263AC" w:rsidP="00EB145B">
            <w:pPr>
              <w:pStyle w:val="In-tableHeading"/>
              <w:jc w:val="center"/>
              <w:rPr>
                <w:lang w:val="en-AU"/>
              </w:rPr>
            </w:pPr>
            <w:r w:rsidRPr="001611DC">
              <w:rPr>
                <w:lang w:val="en-AU"/>
              </w:rPr>
              <w:t>RSVPreF3 OA (overall)</w:t>
            </w:r>
          </w:p>
          <w:p w14:paraId="309BFA72" w14:textId="77777777" w:rsidR="009263AC" w:rsidRPr="001611DC" w:rsidRDefault="009263AC" w:rsidP="00EB145B">
            <w:pPr>
              <w:pStyle w:val="In-tableHeading"/>
              <w:jc w:val="center"/>
              <w:rPr>
                <w:lang w:val="en-AU"/>
              </w:rPr>
            </w:pPr>
            <w:r w:rsidRPr="001611DC">
              <w:rPr>
                <w:lang w:val="en-AU"/>
              </w:rPr>
              <w:t>n with event/N (%)</w:t>
            </w:r>
          </w:p>
        </w:tc>
        <w:tc>
          <w:tcPr>
            <w:tcW w:w="1644" w:type="pct"/>
            <w:tcBorders>
              <w:bottom w:val="single" w:sz="4" w:space="0" w:color="auto"/>
            </w:tcBorders>
            <w:vAlign w:val="center"/>
          </w:tcPr>
          <w:p w14:paraId="6AE3C67F" w14:textId="77777777" w:rsidR="009263AC" w:rsidRPr="001611DC" w:rsidRDefault="009263AC" w:rsidP="00EB145B">
            <w:pPr>
              <w:pStyle w:val="In-tableHeading"/>
              <w:jc w:val="center"/>
              <w:rPr>
                <w:lang w:val="en-AU"/>
              </w:rPr>
            </w:pPr>
            <w:r w:rsidRPr="001611DC">
              <w:rPr>
                <w:lang w:val="en-AU"/>
              </w:rPr>
              <w:t>Placebo</w:t>
            </w:r>
          </w:p>
          <w:p w14:paraId="3F42E33C" w14:textId="77777777" w:rsidR="009263AC" w:rsidRPr="001611DC" w:rsidRDefault="009263AC" w:rsidP="00EB145B">
            <w:pPr>
              <w:pStyle w:val="In-tableHeading"/>
              <w:jc w:val="center"/>
              <w:rPr>
                <w:lang w:val="en-AU"/>
              </w:rPr>
            </w:pPr>
            <w:r w:rsidRPr="001611DC">
              <w:rPr>
                <w:lang w:val="en-AU"/>
              </w:rPr>
              <w:t>n with event/N (%)</w:t>
            </w:r>
          </w:p>
        </w:tc>
      </w:tr>
      <w:tr w:rsidR="009263AC" w:rsidRPr="001611DC" w14:paraId="03874269" w14:textId="77777777" w:rsidTr="00EB145B">
        <w:trPr>
          <w:cantSplit/>
        </w:trPr>
        <w:tc>
          <w:tcPr>
            <w:tcW w:w="1714" w:type="pct"/>
            <w:tcBorders>
              <w:right w:val="nil"/>
            </w:tcBorders>
            <w:vAlign w:val="center"/>
          </w:tcPr>
          <w:p w14:paraId="170BB811" w14:textId="77777777" w:rsidR="009263AC" w:rsidRPr="001611DC" w:rsidRDefault="009263AC" w:rsidP="00EB145B">
            <w:pPr>
              <w:pStyle w:val="TableText0"/>
              <w:rPr>
                <w:b/>
                <w:bCs w:val="0"/>
              </w:rPr>
            </w:pPr>
            <w:r w:rsidRPr="001611DC">
              <w:rPr>
                <w:rFonts w:eastAsia="Times New Roman" w:cs="Calibri"/>
                <w:b/>
                <w:bCs w:val="0"/>
                <w:color w:val="000000"/>
                <w:szCs w:val="20"/>
              </w:rPr>
              <w:t>Any grade</w:t>
            </w:r>
          </w:p>
        </w:tc>
        <w:tc>
          <w:tcPr>
            <w:tcW w:w="1642" w:type="pct"/>
            <w:tcBorders>
              <w:left w:val="nil"/>
              <w:right w:val="nil"/>
            </w:tcBorders>
            <w:vAlign w:val="center"/>
          </w:tcPr>
          <w:p w14:paraId="37A11F98" w14:textId="77777777" w:rsidR="009263AC" w:rsidRPr="001611DC" w:rsidRDefault="009263AC" w:rsidP="00EB145B">
            <w:pPr>
              <w:pStyle w:val="TableText0"/>
              <w:jc w:val="center"/>
            </w:pPr>
          </w:p>
        </w:tc>
        <w:tc>
          <w:tcPr>
            <w:tcW w:w="1644" w:type="pct"/>
            <w:tcBorders>
              <w:left w:val="nil"/>
            </w:tcBorders>
            <w:vAlign w:val="center"/>
          </w:tcPr>
          <w:p w14:paraId="3B45E5A2" w14:textId="77777777" w:rsidR="009263AC" w:rsidRPr="001611DC" w:rsidRDefault="009263AC" w:rsidP="00EB145B">
            <w:pPr>
              <w:pStyle w:val="TableText0"/>
              <w:jc w:val="center"/>
            </w:pPr>
          </w:p>
        </w:tc>
      </w:tr>
      <w:tr w:rsidR="009263AC" w:rsidRPr="001611DC" w14:paraId="522377CC" w14:textId="77777777" w:rsidTr="00EB145B">
        <w:trPr>
          <w:cantSplit/>
        </w:trPr>
        <w:tc>
          <w:tcPr>
            <w:tcW w:w="1714" w:type="pct"/>
            <w:vAlign w:val="center"/>
          </w:tcPr>
          <w:p w14:paraId="770B5F5A" w14:textId="77777777" w:rsidR="009263AC" w:rsidRPr="001611DC" w:rsidRDefault="009263AC" w:rsidP="00EB145B">
            <w:pPr>
              <w:pStyle w:val="TableText0"/>
            </w:pPr>
            <w:r w:rsidRPr="001611DC">
              <w:rPr>
                <w:rFonts w:eastAsia="Times New Roman" w:cs="Calibri"/>
                <w:color w:val="000000"/>
                <w:szCs w:val="20"/>
              </w:rPr>
              <w:t>Any AE</w:t>
            </w:r>
          </w:p>
        </w:tc>
        <w:tc>
          <w:tcPr>
            <w:tcW w:w="1642" w:type="pct"/>
            <w:vAlign w:val="center"/>
          </w:tcPr>
          <w:p w14:paraId="0A55FC28" w14:textId="77777777" w:rsidR="009263AC" w:rsidRPr="001611DC" w:rsidRDefault="009263AC" w:rsidP="00EB145B">
            <w:pPr>
              <w:pStyle w:val="TableText0"/>
              <w:jc w:val="center"/>
            </w:pPr>
            <w:r w:rsidRPr="001611DC">
              <w:t>632/879 (71.9)</w:t>
            </w:r>
          </w:p>
        </w:tc>
        <w:tc>
          <w:tcPr>
            <w:tcW w:w="1644" w:type="pct"/>
            <w:vAlign w:val="center"/>
          </w:tcPr>
          <w:p w14:paraId="1FB732C5" w14:textId="77777777" w:rsidR="009263AC" w:rsidRPr="001611DC" w:rsidRDefault="009263AC" w:rsidP="00EB145B">
            <w:pPr>
              <w:pStyle w:val="TableText0"/>
              <w:jc w:val="center"/>
            </w:pPr>
            <w:r w:rsidRPr="001611DC">
              <w:t>245/878 (27.9)</w:t>
            </w:r>
          </w:p>
        </w:tc>
      </w:tr>
      <w:tr w:rsidR="009263AC" w:rsidRPr="001611DC" w14:paraId="06FAA0E5" w14:textId="77777777" w:rsidTr="00EB145B">
        <w:trPr>
          <w:cantSplit/>
        </w:trPr>
        <w:tc>
          <w:tcPr>
            <w:tcW w:w="1714" w:type="pct"/>
            <w:vAlign w:val="center"/>
          </w:tcPr>
          <w:p w14:paraId="35B7AAD8" w14:textId="77777777" w:rsidR="009263AC" w:rsidRPr="001611DC" w:rsidRDefault="009263AC" w:rsidP="00EB145B">
            <w:pPr>
              <w:pStyle w:val="TableText0"/>
            </w:pPr>
            <w:r w:rsidRPr="001611DC">
              <w:rPr>
                <w:rFonts w:eastAsia="Times New Roman" w:cs="Calibri"/>
                <w:color w:val="000000"/>
                <w:szCs w:val="20"/>
              </w:rPr>
              <w:t>Admin-site AE</w:t>
            </w:r>
          </w:p>
        </w:tc>
        <w:tc>
          <w:tcPr>
            <w:tcW w:w="1642" w:type="pct"/>
            <w:vAlign w:val="center"/>
          </w:tcPr>
          <w:p w14:paraId="62220339" w14:textId="77777777" w:rsidR="009263AC" w:rsidRPr="001611DC" w:rsidRDefault="009263AC" w:rsidP="00EB145B">
            <w:pPr>
              <w:pStyle w:val="TableText0"/>
              <w:jc w:val="center"/>
            </w:pPr>
            <w:r w:rsidRPr="001611DC">
              <w:t>548/879 (62.3)</w:t>
            </w:r>
          </w:p>
        </w:tc>
        <w:tc>
          <w:tcPr>
            <w:tcW w:w="1644" w:type="pct"/>
            <w:vAlign w:val="center"/>
          </w:tcPr>
          <w:p w14:paraId="4DE28AFB" w14:textId="77777777" w:rsidR="009263AC" w:rsidRPr="001611DC" w:rsidRDefault="009263AC" w:rsidP="00EB145B">
            <w:pPr>
              <w:pStyle w:val="TableText0"/>
              <w:jc w:val="center"/>
            </w:pPr>
            <w:r w:rsidRPr="001611DC">
              <w:t>87/878 (9.9)</w:t>
            </w:r>
          </w:p>
        </w:tc>
      </w:tr>
      <w:tr w:rsidR="009263AC" w:rsidRPr="001611DC" w14:paraId="1234FC58" w14:textId="77777777" w:rsidTr="00EB145B">
        <w:trPr>
          <w:cantSplit/>
        </w:trPr>
        <w:tc>
          <w:tcPr>
            <w:tcW w:w="1714" w:type="pct"/>
            <w:tcBorders>
              <w:bottom w:val="single" w:sz="4" w:space="0" w:color="auto"/>
            </w:tcBorders>
            <w:vAlign w:val="center"/>
          </w:tcPr>
          <w:p w14:paraId="57FB1F45" w14:textId="77777777" w:rsidR="009263AC" w:rsidRPr="001611DC" w:rsidRDefault="009263AC" w:rsidP="00EB145B">
            <w:pPr>
              <w:pStyle w:val="TableText0"/>
            </w:pPr>
            <w:r w:rsidRPr="001611DC">
              <w:rPr>
                <w:rFonts w:eastAsia="Times New Roman" w:cs="Calibri"/>
                <w:color w:val="000000"/>
                <w:szCs w:val="20"/>
              </w:rPr>
              <w:t>Systemic AE</w:t>
            </w:r>
          </w:p>
        </w:tc>
        <w:tc>
          <w:tcPr>
            <w:tcW w:w="1642" w:type="pct"/>
            <w:tcBorders>
              <w:bottom w:val="single" w:sz="4" w:space="0" w:color="auto"/>
            </w:tcBorders>
            <w:vAlign w:val="center"/>
          </w:tcPr>
          <w:p w14:paraId="57EB8F1A" w14:textId="77777777" w:rsidR="009263AC" w:rsidRPr="001611DC" w:rsidRDefault="009263AC" w:rsidP="00EB145B">
            <w:pPr>
              <w:pStyle w:val="TableText0"/>
              <w:jc w:val="center"/>
            </w:pPr>
            <w:r w:rsidRPr="001611DC">
              <w:t>435/879 (49.5)</w:t>
            </w:r>
          </w:p>
        </w:tc>
        <w:tc>
          <w:tcPr>
            <w:tcW w:w="1644" w:type="pct"/>
            <w:tcBorders>
              <w:bottom w:val="single" w:sz="4" w:space="0" w:color="auto"/>
            </w:tcBorders>
            <w:vAlign w:val="center"/>
          </w:tcPr>
          <w:p w14:paraId="02DDCE03" w14:textId="77777777" w:rsidR="009263AC" w:rsidRPr="001611DC" w:rsidRDefault="009263AC" w:rsidP="00EB145B">
            <w:pPr>
              <w:pStyle w:val="TableText0"/>
              <w:jc w:val="center"/>
            </w:pPr>
            <w:r w:rsidRPr="001611DC">
              <w:t>204/878 (23.2)</w:t>
            </w:r>
          </w:p>
        </w:tc>
      </w:tr>
      <w:tr w:rsidR="009263AC" w:rsidRPr="001611DC" w14:paraId="6C634E67" w14:textId="77777777" w:rsidTr="00EB145B">
        <w:trPr>
          <w:cantSplit/>
        </w:trPr>
        <w:tc>
          <w:tcPr>
            <w:tcW w:w="1714" w:type="pct"/>
            <w:tcBorders>
              <w:right w:val="nil"/>
            </w:tcBorders>
            <w:vAlign w:val="center"/>
          </w:tcPr>
          <w:p w14:paraId="15C178BE" w14:textId="77777777" w:rsidR="009263AC" w:rsidRPr="001611DC" w:rsidRDefault="009263AC" w:rsidP="00EB145B">
            <w:pPr>
              <w:pStyle w:val="TableText0"/>
              <w:rPr>
                <w:b/>
                <w:bCs w:val="0"/>
              </w:rPr>
            </w:pPr>
            <w:r w:rsidRPr="001611DC">
              <w:rPr>
                <w:rFonts w:eastAsia="Times New Roman" w:cs="Calibri"/>
                <w:b/>
                <w:bCs w:val="0"/>
                <w:color w:val="000000"/>
                <w:szCs w:val="20"/>
              </w:rPr>
              <w:t>Grade 3</w:t>
            </w:r>
          </w:p>
        </w:tc>
        <w:tc>
          <w:tcPr>
            <w:tcW w:w="1642" w:type="pct"/>
            <w:tcBorders>
              <w:left w:val="nil"/>
              <w:right w:val="nil"/>
            </w:tcBorders>
            <w:vAlign w:val="center"/>
          </w:tcPr>
          <w:p w14:paraId="3A41C10E" w14:textId="77777777" w:rsidR="009263AC" w:rsidRPr="001611DC" w:rsidRDefault="009263AC" w:rsidP="00EB145B">
            <w:pPr>
              <w:pStyle w:val="TableText0"/>
              <w:jc w:val="center"/>
            </w:pPr>
          </w:p>
        </w:tc>
        <w:tc>
          <w:tcPr>
            <w:tcW w:w="1644" w:type="pct"/>
            <w:tcBorders>
              <w:left w:val="nil"/>
            </w:tcBorders>
            <w:vAlign w:val="center"/>
          </w:tcPr>
          <w:p w14:paraId="0797FA20" w14:textId="77777777" w:rsidR="009263AC" w:rsidRPr="001611DC" w:rsidRDefault="009263AC" w:rsidP="00EB145B">
            <w:pPr>
              <w:pStyle w:val="TableText0"/>
              <w:jc w:val="center"/>
            </w:pPr>
          </w:p>
        </w:tc>
      </w:tr>
      <w:tr w:rsidR="009263AC" w:rsidRPr="001611DC" w14:paraId="2139856D" w14:textId="77777777" w:rsidTr="00EB145B">
        <w:trPr>
          <w:cantSplit/>
        </w:trPr>
        <w:tc>
          <w:tcPr>
            <w:tcW w:w="1714" w:type="pct"/>
            <w:vAlign w:val="center"/>
          </w:tcPr>
          <w:p w14:paraId="38C3A8C6" w14:textId="77777777" w:rsidR="009263AC" w:rsidRPr="001611DC" w:rsidDel="00E96500" w:rsidRDefault="009263AC" w:rsidP="00EB145B">
            <w:pPr>
              <w:pStyle w:val="TableText0"/>
              <w:rPr>
                <w:rFonts w:eastAsia="Times New Roman" w:cs="Calibri"/>
                <w:color w:val="000000"/>
                <w:szCs w:val="20"/>
              </w:rPr>
            </w:pPr>
            <w:r w:rsidRPr="001611DC">
              <w:rPr>
                <w:rFonts w:eastAsia="Times New Roman" w:cs="Calibri"/>
                <w:color w:val="000000"/>
                <w:szCs w:val="20"/>
              </w:rPr>
              <w:t>Any AE</w:t>
            </w:r>
          </w:p>
        </w:tc>
        <w:tc>
          <w:tcPr>
            <w:tcW w:w="1642" w:type="pct"/>
            <w:vAlign w:val="center"/>
          </w:tcPr>
          <w:p w14:paraId="452E8860" w14:textId="77777777" w:rsidR="009263AC" w:rsidRPr="001611DC" w:rsidRDefault="009263AC" w:rsidP="00EB145B">
            <w:pPr>
              <w:pStyle w:val="TableText0"/>
              <w:jc w:val="center"/>
            </w:pPr>
            <w:r w:rsidRPr="001611DC">
              <w:t>36/879 (4.1)</w:t>
            </w:r>
          </w:p>
        </w:tc>
        <w:tc>
          <w:tcPr>
            <w:tcW w:w="1644" w:type="pct"/>
            <w:vAlign w:val="center"/>
          </w:tcPr>
          <w:p w14:paraId="2532998D" w14:textId="77777777" w:rsidR="009263AC" w:rsidRPr="001611DC" w:rsidRDefault="009263AC" w:rsidP="00EB145B">
            <w:pPr>
              <w:pStyle w:val="TableText0"/>
              <w:jc w:val="center"/>
            </w:pPr>
            <w:r w:rsidRPr="001611DC">
              <w:t>8/878 (0.9)</w:t>
            </w:r>
          </w:p>
        </w:tc>
      </w:tr>
      <w:tr w:rsidR="009263AC" w:rsidRPr="001611DC" w14:paraId="4611E55D" w14:textId="77777777" w:rsidTr="00EB145B">
        <w:trPr>
          <w:cantSplit/>
        </w:trPr>
        <w:tc>
          <w:tcPr>
            <w:tcW w:w="1714" w:type="pct"/>
            <w:vAlign w:val="center"/>
          </w:tcPr>
          <w:p w14:paraId="36C059D9"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Admin-site AE</w:t>
            </w:r>
          </w:p>
        </w:tc>
        <w:tc>
          <w:tcPr>
            <w:tcW w:w="1642" w:type="pct"/>
            <w:vAlign w:val="center"/>
          </w:tcPr>
          <w:p w14:paraId="0C43BCF7" w14:textId="77777777" w:rsidR="009263AC" w:rsidRPr="001611DC" w:rsidRDefault="009263AC" w:rsidP="00EB145B">
            <w:pPr>
              <w:pStyle w:val="TableText0"/>
              <w:jc w:val="center"/>
            </w:pPr>
            <w:r w:rsidRPr="001611DC">
              <w:t>13</w:t>
            </w:r>
            <w:r w:rsidRPr="001611DC">
              <w:rPr>
                <w:vertAlign w:val="superscript"/>
              </w:rPr>
              <w:t xml:space="preserve"> a</w:t>
            </w:r>
          </w:p>
        </w:tc>
        <w:tc>
          <w:tcPr>
            <w:tcW w:w="1644" w:type="pct"/>
            <w:vAlign w:val="center"/>
          </w:tcPr>
          <w:p w14:paraId="1DB50F1F" w14:textId="77777777" w:rsidR="009263AC" w:rsidRPr="001611DC" w:rsidRDefault="009263AC" w:rsidP="00EB145B">
            <w:pPr>
              <w:pStyle w:val="TableText0"/>
              <w:jc w:val="center"/>
            </w:pPr>
            <w:r w:rsidRPr="001611DC">
              <w:t xml:space="preserve">13 </w:t>
            </w:r>
            <w:r w:rsidRPr="001611DC">
              <w:rPr>
                <w:vertAlign w:val="superscript"/>
              </w:rPr>
              <w:t>a</w:t>
            </w:r>
          </w:p>
        </w:tc>
      </w:tr>
      <w:tr w:rsidR="009263AC" w:rsidRPr="001611DC" w14:paraId="66D46732" w14:textId="77777777" w:rsidTr="00EB145B">
        <w:trPr>
          <w:cantSplit/>
        </w:trPr>
        <w:tc>
          <w:tcPr>
            <w:tcW w:w="1714" w:type="pct"/>
            <w:vAlign w:val="center"/>
          </w:tcPr>
          <w:p w14:paraId="3798F71A"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Systemic AE</w:t>
            </w:r>
          </w:p>
        </w:tc>
        <w:tc>
          <w:tcPr>
            <w:tcW w:w="1642" w:type="pct"/>
            <w:vAlign w:val="center"/>
          </w:tcPr>
          <w:p w14:paraId="024C83E1" w14:textId="77777777" w:rsidR="009263AC" w:rsidRPr="001611DC" w:rsidRDefault="009263AC" w:rsidP="00EB145B">
            <w:pPr>
              <w:pStyle w:val="TableText0"/>
              <w:jc w:val="center"/>
            </w:pPr>
            <w:r w:rsidRPr="001611DC">
              <w:t>29/879 (3.3)</w:t>
            </w:r>
          </w:p>
        </w:tc>
        <w:tc>
          <w:tcPr>
            <w:tcW w:w="1644" w:type="pct"/>
            <w:vAlign w:val="center"/>
          </w:tcPr>
          <w:p w14:paraId="4C6C03A3" w14:textId="77777777" w:rsidR="009263AC" w:rsidRPr="001611DC" w:rsidRDefault="009263AC" w:rsidP="00EB145B">
            <w:pPr>
              <w:pStyle w:val="TableText0"/>
              <w:jc w:val="center"/>
            </w:pPr>
            <w:r w:rsidRPr="001611DC">
              <w:t>8/878 (0.9)</w:t>
            </w:r>
          </w:p>
        </w:tc>
      </w:tr>
    </w:tbl>
    <w:p w14:paraId="7D87D7FB" w14:textId="4AE58C18" w:rsidR="009263AC" w:rsidRPr="001611DC" w:rsidRDefault="009263AC" w:rsidP="009263AC">
      <w:pPr>
        <w:pStyle w:val="FooterTableFigure"/>
        <w:rPr>
          <w:sz w:val="20"/>
        </w:rPr>
      </w:pPr>
      <w:r w:rsidRPr="001611DC">
        <w:t>Source: Table 2-30 and Table 2-31of the submission</w:t>
      </w:r>
    </w:p>
    <w:p w14:paraId="5F75AAD3" w14:textId="77777777" w:rsidR="009263AC" w:rsidRPr="001611DC" w:rsidRDefault="009263AC" w:rsidP="009263AC">
      <w:pPr>
        <w:pStyle w:val="FooterTableFigure"/>
        <w:rPr>
          <w:rFonts w:eastAsia="Calibri"/>
        </w:rPr>
      </w:pPr>
      <w:r w:rsidRPr="001611DC">
        <w:rPr>
          <w:rFonts w:eastAsia="Calibri"/>
        </w:rPr>
        <w:t xml:space="preserve">admin = administration; AE = adverse event; n = number of participants reporting data; N = total participants in group; </w:t>
      </w:r>
      <w:r w:rsidRPr="001611DC">
        <w:t xml:space="preserve">RSVPreF3 OA= RSV pre-fusion protein 3 older adult; </w:t>
      </w:r>
      <w:r w:rsidRPr="001611DC">
        <w:rPr>
          <w:rFonts w:eastAsia="Calibri"/>
        </w:rPr>
        <w:t>SSS = solicited safety set.</w:t>
      </w:r>
    </w:p>
    <w:p w14:paraId="40273732" w14:textId="01692109" w:rsidR="009263AC" w:rsidRPr="001611DC" w:rsidRDefault="0050118E" w:rsidP="009263AC">
      <w:pPr>
        <w:pStyle w:val="FooterTableFigure"/>
        <w:rPr>
          <w:rFonts w:eastAsia="Calibri"/>
        </w:rPr>
      </w:pPr>
      <w:r w:rsidRPr="001611DC">
        <w:rPr>
          <w:rFonts w:eastAsia="Calibri"/>
        </w:rPr>
        <w:t>a</w:t>
      </w:r>
      <w:r w:rsidR="009263AC" w:rsidRPr="001611DC">
        <w:rPr>
          <w:rFonts w:eastAsia="Calibri"/>
        </w:rPr>
        <w:t xml:space="preserve"> Due to the small number of events, events are represented across all study arms </w:t>
      </w:r>
      <w:proofErr w:type="gramStart"/>
      <w:r w:rsidR="009263AC" w:rsidRPr="001611DC">
        <w:rPr>
          <w:rFonts w:eastAsia="Calibri"/>
        </w:rPr>
        <w:t>in order to</w:t>
      </w:r>
      <w:proofErr w:type="gramEnd"/>
      <w:r w:rsidR="009263AC" w:rsidRPr="001611DC">
        <w:rPr>
          <w:rFonts w:eastAsia="Calibri"/>
        </w:rPr>
        <w:t xml:space="preserve"> maintain blinding </w:t>
      </w:r>
    </w:p>
    <w:p w14:paraId="3B7D4B23" w14:textId="77777777" w:rsidR="009263AC" w:rsidRPr="001611DC" w:rsidRDefault="009263AC" w:rsidP="009263AC">
      <w:pPr>
        <w:pStyle w:val="FooterTableFigure"/>
        <w:rPr>
          <w:rFonts w:eastAsia="Calibri"/>
        </w:rPr>
      </w:pPr>
      <w:r w:rsidRPr="001611DC">
        <w:rPr>
          <w:rFonts w:eastAsia="Calibri"/>
        </w:rPr>
        <w:t>RSVPreF3OA includes the single dose and the first vaccination of the revaccination arm</w:t>
      </w:r>
    </w:p>
    <w:p w14:paraId="50B84C9D" w14:textId="34BDB564" w:rsidR="009263AC" w:rsidRPr="001611DC" w:rsidRDefault="009263AC" w:rsidP="009263AC">
      <w:pPr>
        <w:pStyle w:val="3-BodyText"/>
      </w:pPr>
      <w:r w:rsidRPr="001611DC">
        <w:t xml:space="preserve">RSVPreF3 OA vaccine had a comparable safety profile in the </w:t>
      </w:r>
      <w:r w:rsidR="00E2719A" w:rsidRPr="001611DC">
        <w:t>≥</w:t>
      </w:r>
      <w:r w:rsidRPr="001611DC">
        <w:t xml:space="preserve">75 YOA population compared to the </w:t>
      </w:r>
      <w:r w:rsidR="00E2719A" w:rsidRPr="001611DC">
        <w:t>≥</w:t>
      </w:r>
      <w:r w:rsidRPr="001611DC">
        <w:t>60 YOA adult population</w:t>
      </w:r>
      <w:r w:rsidR="00540773" w:rsidRPr="001611DC">
        <w:t xml:space="preserve"> (data not shown)</w:t>
      </w:r>
      <w:r w:rsidRPr="001611DC">
        <w:t xml:space="preserve">. </w:t>
      </w:r>
    </w:p>
    <w:p w14:paraId="49600724" w14:textId="12C34B28" w:rsidR="009263AC" w:rsidRPr="001611DC" w:rsidRDefault="009263AC" w:rsidP="00844F2C">
      <w:pPr>
        <w:keepNext/>
        <w:keepLines/>
        <w:spacing w:after="120"/>
        <w:rPr>
          <w:rFonts w:eastAsia="Calibri"/>
          <w:iCs/>
          <w:u w:val="single"/>
        </w:rPr>
      </w:pPr>
      <w:r w:rsidRPr="001611DC">
        <w:rPr>
          <w:rFonts w:eastAsia="Calibri"/>
          <w:iCs/>
          <w:u w:val="single"/>
        </w:rPr>
        <w:t>Unsolicited A</w:t>
      </w:r>
      <w:r w:rsidR="000B0380" w:rsidRPr="001611DC">
        <w:rPr>
          <w:rFonts w:eastAsia="Calibri"/>
          <w:iCs/>
          <w:u w:val="single"/>
        </w:rPr>
        <w:t>E</w:t>
      </w:r>
      <w:r w:rsidRPr="001611DC">
        <w:rPr>
          <w:rFonts w:eastAsia="Calibri"/>
          <w:iCs/>
          <w:u w:val="single"/>
        </w:rPr>
        <w:t>s</w:t>
      </w:r>
    </w:p>
    <w:p w14:paraId="5EB223C5" w14:textId="629254DA" w:rsidR="009263AC" w:rsidRPr="001611DC" w:rsidRDefault="009263AC" w:rsidP="0007489C">
      <w:pPr>
        <w:pStyle w:val="3-BodyText"/>
      </w:pPr>
      <w:bookmarkStart w:id="70" w:name="_Ref166601760"/>
      <w:r w:rsidRPr="001611DC">
        <w:t xml:space="preserve">The submission </w:t>
      </w:r>
      <w:r w:rsidR="0007489C" w:rsidRPr="001611DC">
        <w:t>claimed</w:t>
      </w:r>
      <w:r w:rsidRPr="001611DC">
        <w:t xml:space="preserve"> that unsolicited adverse events (A</w:t>
      </w:r>
      <w:r w:rsidR="000B0380" w:rsidRPr="001611DC">
        <w:t>E</w:t>
      </w:r>
      <w:r w:rsidRPr="001611DC">
        <w:t>s) reported within 30 days post vaccination in the SSS were similar across the RSVPreF3 OA and placebo arms (any AE: 14.9% vs 14.6%, RR = 1.02 [95% CI: 0.80, 1.31]).</w:t>
      </w:r>
      <w:bookmarkEnd w:id="70"/>
      <w:r w:rsidR="001F4410">
        <w:t xml:space="preserve"> </w:t>
      </w:r>
      <w:r w:rsidR="0007489C" w:rsidRPr="001611DC">
        <w:t xml:space="preserve">However this claim was not supported by the </w:t>
      </w:r>
      <w:r w:rsidRPr="001611DC">
        <w:t>summary of unsolicited A</w:t>
      </w:r>
      <w:r w:rsidR="000B0380" w:rsidRPr="001611DC">
        <w:t>E</w:t>
      </w:r>
      <w:r w:rsidRPr="001611DC">
        <w:t xml:space="preserve">s following vaccination in the exposed set </w:t>
      </w:r>
      <w:r w:rsidR="0007489C" w:rsidRPr="001611DC">
        <w:t>(</w:t>
      </w:r>
      <w:r w:rsidRPr="001611DC">
        <w:fldChar w:fldCharType="begin" w:fldLock="1"/>
      </w:r>
      <w:r w:rsidRPr="001611DC">
        <w:instrText xml:space="preserve"> REF _Ref165039352 \h  \* MERGEFORMAT </w:instrText>
      </w:r>
      <w:r w:rsidRPr="001611DC">
        <w:fldChar w:fldCharType="separate"/>
      </w:r>
      <w:r w:rsidR="00927933" w:rsidRPr="001611DC">
        <w:t>Table 11</w:t>
      </w:r>
      <w:r w:rsidRPr="001611DC">
        <w:fldChar w:fldCharType="end"/>
      </w:r>
      <w:r w:rsidR="0007489C" w:rsidRPr="001611DC">
        <w:t>)</w:t>
      </w:r>
      <w:r w:rsidRPr="001611DC">
        <w:t>. The exposed set included all participants who received at least the first dose of the study intervention (</w:t>
      </w:r>
      <w:r w:rsidRPr="55F37728">
        <w:rPr>
          <w:rStyle w:val="normaltextrun"/>
          <w:rFonts w:cs="Calibri"/>
        </w:rPr>
        <w:t>24,973 participants, 12,470 in the RSVPreF3 OA group and 12,503 in the placebo group for data lock point 31 March 2023</w:t>
      </w:r>
      <w:r w:rsidRPr="001611DC">
        <w:t xml:space="preserve">). </w:t>
      </w:r>
      <w:r w:rsidR="0007489C" w:rsidRPr="001611DC">
        <w:t>As</w:t>
      </w:r>
      <w:r w:rsidRPr="001611DC">
        <w:t xml:space="preserve"> for the SSS described in paragraph</w:t>
      </w:r>
      <w:r w:rsidR="0007489C" w:rsidRPr="001611DC">
        <w:t xml:space="preserve"> </w:t>
      </w:r>
      <w:r w:rsidR="0007489C" w:rsidRPr="001611DC">
        <w:fldChar w:fldCharType="begin" w:fldLock="1"/>
      </w:r>
      <w:r w:rsidR="0007489C" w:rsidRPr="001611DC">
        <w:instrText xml:space="preserve"> REF _Ref174105403 \r \h </w:instrText>
      </w:r>
      <w:r w:rsidR="00C013B1" w:rsidRPr="001611DC">
        <w:instrText xml:space="preserve"> \* MERGEFORMAT </w:instrText>
      </w:r>
      <w:r w:rsidR="0007489C" w:rsidRPr="001611DC">
        <w:fldChar w:fldCharType="separate"/>
      </w:r>
      <w:r w:rsidR="00927933" w:rsidRPr="001611DC">
        <w:t>6.30</w:t>
      </w:r>
      <w:r w:rsidR="0007489C" w:rsidRPr="001611DC">
        <w:fldChar w:fldCharType="end"/>
      </w:r>
      <w:r w:rsidRPr="001611DC">
        <w:t>, the incidence of unsolicited A</w:t>
      </w:r>
      <w:r w:rsidR="000B0380" w:rsidRPr="001611DC">
        <w:t>E</w:t>
      </w:r>
      <w:r w:rsidRPr="001611DC">
        <w:t xml:space="preserve">s within 30 days post-vaccination was higher in the RSVPreF3 OA arm, except for any medically attended </w:t>
      </w:r>
      <w:r w:rsidRPr="001611DC">
        <w:lastRenderedPageBreak/>
        <w:t>A</w:t>
      </w:r>
      <w:r w:rsidR="00171270" w:rsidRPr="001611DC">
        <w:t>E</w:t>
      </w:r>
      <w:r w:rsidRPr="001611DC">
        <w:t>s which was similar across both treatment arms. No cases of acute disseminated encephalomyelitis, Guillain-Barré syndrome, or other demyelinating disorders were reported in A</w:t>
      </w:r>
      <w:r w:rsidR="0083552E" w:rsidRPr="001611DC">
        <w:t>r</w:t>
      </w:r>
      <w:r w:rsidRPr="001611DC">
        <w:t>eSVi-006.</w:t>
      </w:r>
    </w:p>
    <w:p w14:paraId="731317C0" w14:textId="666C6565" w:rsidR="009263AC" w:rsidRPr="001611DC" w:rsidRDefault="009263AC" w:rsidP="009263AC">
      <w:pPr>
        <w:pStyle w:val="3-BodyText"/>
      </w:pPr>
      <w:r w:rsidRPr="001611DC">
        <w:t xml:space="preserve">The incidence of SAEs and </w:t>
      </w:r>
      <w:r w:rsidRPr="001611DC">
        <w:rPr>
          <w:rFonts w:eastAsia="Calibri"/>
        </w:rPr>
        <w:t>potential immune-mediated disorders (pIMDs)</w:t>
      </w:r>
      <w:r w:rsidRPr="001611DC">
        <w:t xml:space="preserve"> up to 6 months post vaccination were similar across the RSVPreF3 OA and placebo arms (</w:t>
      </w:r>
      <w:r w:rsidRPr="001611DC">
        <w:fldChar w:fldCharType="begin" w:fldLock="1"/>
      </w:r>
      <w:r w:rsidRPr="001611DC">
        <w:instrText xml:space="preserve"> REF _Ref165039352 \h </w:instrText>
      </w:r>
      <w:r w:rsidRPr="001611DC">
        <w:fldChar w:fldCharType="separate"/>
      </w:r>
      <w:r w:rsidR="00927933" w:rsidRPr="001611DC">
        <w:t>Table 11</w:t>
      </w:r>
      <w:r w:rsidRPr="001611DC">
        <w:fldChar w:fldCharType="end"/>
      </w:r>
      <w:r w:rsidRPr="001611DC">
        <w:t>).</w:t>
      </w:r>
      <w:r w:rsidR="001F4410">
        <w:t xml:space="preserve"> </w:t>
      </w:r>
    </w:p>
    <w:p w14:paraId="47E75E90" w14:textId="2742809B" w:rsidR="009263AC" w:rsidRPr="001611DC" w:rsidRDefault="009263AC" w:rsidP="009263AC">
      <w:pPr>
        <w:pStyle w:val="TableFigureHeading"/>
        <w:rPr>
          <w:rStyle w:val="CommentReference"/>
          <w:b/>
        </w:rPr>
      </w:pPr>
      <w:bookmarkStart w:id="71" w:name="_Ref165039352"/>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11</w:t>
      </w:r>
      <w:r w:rsidR="005473CE" w:rsidRPr="001611DC">
        <w:fldChar w:fldCharType="end"/>
      </w:r>
      <w:bookmarkEnd w:id="71"/>
      <w:r w:rsidRPr="001611DC">
        <w:t>: Summary of unsolicited adverse events following vaccination in A</w:t>
      </w:r>
      <w:r w:rsidR="0083552E" w:rsidRPr="001611DC">
        <w:t>r</w:t>
      </w:r>
      <w:r w:rsidRPr="001611DC">
        <w:t>eSVi-006,</w:t>
      </w:r>
      <w:r w:rsidRPr="001611DC">
        <w:rPr>
          <w:rStyle w:val="CommentReference"/>
        </w:rPr>
        <w:t xml:space="preserve"> </w:t>
      </w:r>
      <w:r w:rsidRPr="001611DC">
        <w:t>exposed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unsolicited adverse events following vaccination in AreSVi-006, exposed set"/>
      </w:tblPr>
      <w:tblGrid>
        <w:gridCol w:w="3091"/>
        <w:gridCol w:w="2961"/>
        <w:gridCol w:w="2965"/>
      </w:tblGrid>
      <w:tr w:rsidR="009263AC" w:rsidRPr="001611DC" w14:paraId="00A3C432" w14:textId="77777777" w:rsidTr="00EB145B">
        <w:trPr>
          <w:cantSplit/>
          <w:tblHeader/>
        </w:trPr>
        <w:tc>
          <w:tcPr>
            <w:tcW w:w="1714" w:type="pct"/>
            <w:vAlign w:val="center"/>
          </w:tcPr>
          <w:p w14:paraId="12238F49" w14:textId="77777777" w:rsidR="009263AC" w:rsidRPr="001611DC" w:rsidRDefault="009263AC" w:rsidP="00EB145B">
            <w:pPr>
              <w:pStyle w:val="In-tableHeading"/>
              <w:rPr>
                <w:lang w:val="en-AU"/>
              </w:rPr>
            </w:pPr>
          </w:p>
        </w:tc>
        <w:tc>
          <w:tcPr>
            <w:tcW w:w="1642" w:type="pct"/>
            <w:vAlign w:val="center"/>
          </w:tcPr>
          <w:p w14:paraId="793C963E" w14:textId="77777777" w:rsidR="009263AC" w:rsidRPr="001611DC" w:rsidRDefault="009263AC" w:rsidP="00EB145B">
            <w:pPr>
              <w:pStyle w:val="In-tableHeading"/>
              <w:jc w:val="center"/>
              <w:rPr>
                <w:lang w:val="en-AU"/>
              </w:rPr>
            </w:pPr>
            <w:r w:rsidRPr="001611DC">
              <w:rPr>
                <w:lang w:val="en-AU"/>
              </w:rPr>
              <w:t>RSVPreF3 OA (overall)</w:t>
            </w:r>
          </w:p>
          <w:p w14:paraId="245CC79B" w14:textId="77777777" w:rsidR="009263AC" w:rsidRPr="001611DC" w:rsidRDefault="009263AC" w:rsidP="00EB145B">
            <w:pPr>
              <w:pStyle w:val="In-tableHeading"/>
              <w:jc w:val="center"/>
              <w:rPr>
                <w:lang w:val="en-AU"/>
              </w:rPr>
            </w:pPr>
            <w:r w:rsidRPr="001611DC">
              <w:rPr>
                <w:lang w:val="en-AU"/>
              </w:rPr>
              <w:t>n with event/N (%)</w:t>
            </w:r>
          </w:p>
        </w:tc>
        <w:tc>
          <w:tcPr>
            <w:tcW w:w="1644" w:type="pct"/>
            <w:vAlign w:val="center"/>
          </w:tcPr>
          <w:p w14:paraId="16623B2F" w14:textId="77777777" w:rsidR="009263AC" w:rsidRPr="001611DC" w:rsidRDefault="009263AC" w:rsidP="00EB145B">
            <w:pPr>
              <w:pStyle w:val="In-tableHeading"/>
              <w:jc w:val="center"/>
              <w:rPr>
                <w:lang w:val="en-AU"/>
              </w:rPr>
            </w:pPr>
            <w:r w:rsidRPr="001611DC">
              <w:rPr>
                <w:lang w:val="en-AU"/>
              </w:rPr>
              <w:t>Placebo</w:t>
            </w:r>
          </w:p>
          <w:p w14:paraId="5185448D" w14:textId="77777777" w:rsidR="009263AC" w:rsidRPr="001611DC" w:rsidRDefault="009263AC" w:rsidP="00EB145B">
            <w:pPr>
              <w:pStyle w:val="In-tableHeading"/>
              <w:jc w:val="center"/>
              <w:rPr>
                <w:lang w:val="en-AU"/>
              </w:rPr>
            </w:pPr>
            <w:r w:rsidRPr="001611DC">
              <w:rPr>
                <w:lang w:val="en-AU"/>
              </w:rPr>
              <w:t>n with event/N (%)</w:t>
            </w:r>
          </w:p>
        </w:tc>
      </w:tr>
      <w:tr w:rsidR="009263AC" w:rsidRPr="001611DC" w14:paraId="1518759C" w14:textId="77777777" w:rsidTr="00EB145B">
        <w:trPr>
          <w:cantSplit/>
        </w:trPr>
        <w:tc>
          <w:tcPr>
            <w:tcW w:w="5000" w:type="pct"/>
            <w:gridSpan w:val="3"/>
            <w:vAlign w:val="center"/>
          </w:tcPr>
          <w:p w14:paraId="25AA6604" w14:textId="1B58D9AE" w:rsidR="009263AC" w:rsidRPr="001611DC" w:rsidRDefault="009263AC" w:rsidP="00EB145B">
            <w:pPr>
              <w:pStyle w:val="TableText0"/>
              <w:rPr>
                <w:iCs/>
              </w:rPr>
            </w:pPr>
            <w:r w:rsidRPr="001611DC">
              <w:rPr>
                <w:rFonts w:eastAsia="Times New Roman" w:cs="Calibri"/>
                <w:b/>
                <w:bCs w:val="0"/>
                <w:iCs/>
                <w:color w:val="000000"/>
                <w:szCs w:val="20"/>
              </w:rPr>
              <w:t>Unsolicited A</w:t>
            </w:r>
            <w:r w:rsidR="00171270" w:rsidRPr="001611DC">
              <w:rPr>
                <w:rFonts w:eastAsia="Times New Roman" w:cs="Calibri"/>
                <w:b/>
                <w:bCs w:val="0"/>
                <w:iCs/>
                <w:color w:val="000000"/>
                <w:szCs w:val="20"/>
              </w:rPr>
              <w:t>E</w:t>
            </w:r>
            <w:r w:rsidRPr="001611DC">
              <w:rPr>
                <w:rFonts w:eastAsia="Times New Roman" w:cs="Calibri"/>
                <w:b/>
                <w:bCs w:val="0"/>
                <w:iCs/>
                <w:color w:val="000000"/>
                <w:szCs w:val="20"/>
              </w:rPr>
              <w:t>s within 30 days post vaccination</w:t>
            </w:r>
          </w:p>
        </w:tc>
      </w:tr>
      <w:tr w:rsidR="009263AC" w:rsidRPr="001611DC" w14:paraId="3C7B536D" w14:textId="77777777" w:rsidTr="00EB145B">
        <w:trPr>
          <w:cantSplit/>
        </w:trPr>
        <w:tc>
          <w:tcPr>
            <w:tcW w:w="1714" w:type="pct"/>
            <w:vAlign w:val="center"/>
          </w:tcPr>
          <w:p w14:paraId="66648B98" w14:textId="77777777" w:rsidR="009263AC" w:rsidRPr="001611DC" w:rsidRDefault="009263AC" w:rsidP="00EB145B">
            <w:pPr>
              <w:pStyle w:val="TableText0"/>
              <w:rPr>
                <w:rFonts w:eastAsia="Times New Roman" w:cs="Calibri"/>
                <w:color w:val="000000"/>
                <w:szCs w:val="20"/>
              </w:rPr>
            </w:pPr>
            <w:r w:rsidRPr="001611DC">
              <w:rPr>
                <w:rFonts w:eastAsia="Times New Roman" w:cs="Calibri"/>
                <w:iCs/>
                <w:color w:val="000000"/>
                <w:szCs w:val="20"/>
              </w:rPr>
              <w:t xml:space="preserve">Any </w:t>
            </w:r>
          </w:p>
        </w:tc>
        <w:tc>
          <w:tcPr>
            <w:tcW w:w="1642" w:type="pct"/>
            <w:vAlign w:val="center"/>
          </w:tcPr>
          <w:p w14:paraId="3A4C24F7" w14:textId="77777777" w:rsidR="009263AC" w:rsidRPr="001611DC" w:rsidRDefault="009263AC" w:rsidP="00EB145B">
            <w:pPr>
              <w:pStyle w:val="TableText0"/>
              <w:jc w:val="center"/>
              <w:rPr>
                <w:iCs/>
              </w:rPr>
            </w:pPr>
            <w:r w:rsidRPr="001611DC">
              <w:rPr>
                <w:iCs/>
              </w:rPr>
              <w:t>4,221/12,470 (33.8)</w:t>
            </w:r>
          </w:p>
        </w:tc>
        <w:tc>
          <w:tcPr>
            <w:tcW w:w="1644" w:type="pct"/>
            <w:vAlign w:val="center"/>
          </w:tcPr>
          <w:p w14:paraId="1632F8B1" w14:textId="77777777" w:rsidR="009263AC" w:rsidRPr="001611DC" w:rsidRDefault="009263AC" w:rsidP="00EB145B">
            <w:pPr>
              <w:pStyle w:val="TableText0"/>
              <w:jc w:val="center"/>
              <w:rPr>
                <w:iCs/>
              </w:rPr>
            </w:pPr>
            <w:r w:rsidRPr="001611DC">
              <w:rPr>
                <w:iCs/>
              </w:rPr>
              <w:t>2,229/12,503 (18.4)</w:t>
            </w:r>
          </w:p>
        </w:tc>
      </w:tr>
      <w:tr w:rsidR="009263AC" w:rsidRPr="001611DC" w14:paraId="751BA547" w14:textId="77777777" w:rsidTr="00EB145B">
        <w:trPr>
          <w:cantSplit/>
        </w:trPr>
        <w:tc>
          <w:tcPr>
            <w:tcW w:w="1714" w:type="pct"/>
            <w:vAlign w:val="center"/>
          </w:tcPr>
          <w:p w14:paraId="623C4E1E" w14:textId="77777777" w:rsidR="009263AC" w:rsidRPr="001611DC" w:rsidRDefault="009263AC" w:rsidP="00EB145B">
            <w:pPr>
              <w:pStyle w:val="TableText0"/>
              <w:rPr>
                <w:rFonts w:eastAsia="Times New Roman" w:cs="Calibri"/>
                <w:color w:val="000000"/>
                <w:szCs w:val="20"/>
              </w:rPr>
            </w:pPr>
            <w:r w:rsidRPr="001611DC">
              <w:rPr>
                <w:rFonts w:eastAsia="Times New Roman" w:cs="Calibri"/>
                <w:iCs/>
                <w:color w:val="000000"/>
                <w:szCs w:val="20"/>
              </w:rPr>
              <w:t xml:space="preserve">Any Grade 1 </w:t>
            </w:r>
          </w:p>
        </w:tc>
        <w:tc>
          <w:tcPr>
            <w:tcW w:w="1642" w:type="pct"/>
            <w:vAlign w:val="center"/>
          </w:tcPr>
          <w:p w14:paraId="3E8DC6B7" w14:textId="77777777" w:rsidR="009263AC" w:rsidRPr="001611DC" w:rsidRDefault="009263AC" w:rsidP="00EB145B">
            <w:pPr>
              <w:pStyle w:val="TableText0"/>
              <w:jc w:val="center"/>
              <w:rPr>
                <w:iCs/>
              </w:rPr>
            </w:pPr>
            <w:r w:rsidRPr="001611DC">
              <w:rPr>
                <w:iCs/>
              </w:rPr>
              <w:t>3,348/12,470 (26.8)</w:t>
            </w:r>
          </w:p>
        </w:tc>
        <w:tc>
          <w:tcPr>
            <w:tcW w:w="1644" w:type="pct"/>
            <w:vAlign w:val="center"/>
          </w:tcPr>
          <w:p w14:paraId="600D30F2" w14:textId="77777777" w:rsidR="009263AC" w:rsidRPr="001611DC" w:rsidRDefault="009263AC" w:rsidP="00EB145B">
            <w:pPr>
              <w:pStyle w:val="TableText0"/>
              <w:jc w:val="center"/>
              <w:rPr>
                <w:iCs/>
              </w:rPr>
            </w:pPr>
            <w:r w:rsidRPr="001611DC">
              <w:rPr>
                <w:iCs/>
              </w:rPr>
              <w:t>1,540/12,503 (12.3)</w:t>
            </w:r>
          </w:p>
        </w:tc>
      </w:tr>
      <w:tr w:rsidR="009263AC" w:rsidRPr="001611DC" w14:paraId="23C3DA22" w14:textId="77777777" w:rsidTr="00EB145B">
        <w:trPr>
          <w:cantSplit/>
        </w:trPr>
        <w:tc>
          <w:tcPr>
            <w:tcW w:w="1714" w:type="pct"/>
            <w:vAlign w:val="center"/>
          </w:tcPr>
          <w:p w14:paraId="40A08E2D" w14:textId="77777777" w:rsidR="009263AC" w:rsidRPr="001611DC" w:rsidRDefault="009263AC" w:rsidP="00EB145B">
            <w:pPr>
              <w:pStyle w:val="TableText0"/>
              <w:rPr>
                <w:rFonts w:eastAsia="Times New Roman" w:cs="Calibri"/>
                <w:color w:val="000000"/>
                <w:szCs w:val="20"/>
              </w:rPr>
            </w:pPr>
            <w:r w:rsidRPr="001611DC">
              <w:rPr>
                <w:rFonts w:eastAsia="Times New Roman" w:cs="Calibri"/>
                <w:iCs/>
                <w:color w:val="000000"/>
                <w:szCs w:val="20"/>
              </w:rPr>
              <w:t xml:space="preserve">Any Grade 2 </w:t>
            </w:r>
          </w:p>
        </w:tc>
        <w:tc>
          <w:tcPr>
            <w:tcW w:w="1642" w:type="pct"/>
            <w:vAlign w:val="center"/>
          </w:tcPr>
          <w:p w14:paraId="6A7B3813" w14:textId="77777777" w:rsidR="009263AC" w:rsidRPr="001611DC" w:rsidRDefault="009263AC" w:rsidP="00EB145B">
            <w:pPr>
              <w:pStyle w:val="TableText0"/>
              <w:jc w:val="center"/>
              <w:rPr>
                <w:iCs/>
              </w:rPr>
            </w:pPr>
            <w:r w:rsidRPr="001611DC">
              <w:rPr>
                <w:iCs/>
              </w:rPr>
              <w:t>1,424/12,470 (11.4)</w:t>
            </w:r>
          </w:p>
        </w:tc>
        <w:tc>
          <w:tcPr>
            <w:tcW w:w="1644" w:type="pct"/>
            <w:vAlign w:val="center"/>
          </w:tcPr>
          <w:p w14:paraId="1423280B" w14:textId="77777777" w:rsidR="009263AC" w:rsidRPr="001611DC" w:rsidRDefault="009263AC" w:rsidP="00EB145B">
            <w:pPr>
              <w:pStyle w:val="TableText0"/>
              <w:jc w:val="center"/>
              <w:rPr>
                <w:iCs/>
              </w:rPr>
            </w:pPr>
            <w:r w:rsidRPr="001611DC">
              <w:rPr>
                <w:iCs/>
              </w:rPr>
              <w:t>898/12,503 (7.2)</w:t>
            </w:r>
          </w:p>
        </w:tc>
      </w:tr>
      <w:tr w:rsidR="009263AC" w:rsidRPr="001611DC" w14:paraId="5D049F52" w14:textId="77777777" w:rsidTr="00EB145B">
        <w:trPr>
          <w:cantSplit/>
        </w:trPr>
        <w:tc>
          <w:tcPr>
            <w:tcW w:w="1714" w:type="pct"/>
            <w:vAlign w:val="center"/>
          </w:tcPr>
          <w:p w14:paraId="2B93FD4E" w14:textId="77777777" w:rsidR="009263AC" w:rsidRPr="001611DC" w:rsidRDefault="009263AC" w:rsidP="00EB145B">
            <w:pPr>
              <w:pStyle w:val="TableText0"/>
              <w:rPr>
                <w:iCs/>
              </w:rPr>
            </w:pPr>
            <w:r w:rsidRPr="001611DC">
              <w:rPr>
                <w:rFonts w:eastAsia="Times New Roman" w:cs="Calibri"/>
                <w:iCs/>
                <w:color w:val="000000"/>
                <w:szCs w:val="20"/>
              </w:rPr>
              <w:t>Any grade 3</w:t>
            </w:r>
          </w:p>
        </w:tc>
        <w:tc>
          <w:tcPr>
            <w:tcW w:w="1642" w:type="pct"/>
            <w:vAlign w:val="center"/>
          </w:tcPr>
          <w:p w14:paraId="67696097" w14:textId="77777777" w:rsidR="009263AC" w:rsidRPr="001611DC" w:rsidRDefault="009263AC" w:rsidP="00EB145B">
            <w:pPr>
              <w:pStyle w:val="TableText0"/>
              <w:jc w:val="center"/>
            </w:pPr>
            <w:r w:rsidRPr="001611DC">
              <w:rPr>
                <w:iCs/>
              </w:rPr>
              <w:t>251/12,470 (2.0)</w:t>
            </w:r>
          </w:p>
        </w:tc>
        <w:tc>
          <w:tcPr>
            <w:tcW w:w="1644" w:type="pct"/>
            <w:vAlign w:val="center"/>
          </w:tcPr>
          <w:p w14:paraId="50AB7717" w14:textId="77777777" w:rsidR="009263AC" w:rsidRPr="001611DC" w:rsidRDefault="009263AC" w:rsidP="00EB145B">
            <w:pPr>
              <w:pStyle w:val="TableText0"/>
              <w:jc w:val="center"/>
            </w:pPr>
            <w:r w:rsidRPr="001611DC">
              <w:rPr>
                <w:iCs/>
              </w:rPr>
              <w:t>158/12,503 (1.3)</w:t>
            </w:r>
          </w:p>
        </w:tc>
      </w:tr>
      <w:tr w:rsidR="009263AC" w:rsidRPr="001611DC" w14:paraId="68FAB155" w14:textId="77777777" w:rsidTr="00EB145B">
        <w:trPr>
          <w:cantSplit/>
        </w:trPr>
        <w:tc>
          <w:tcPr>
            <w:tcW w:w="1714" w:type="pct"/>
            <w:vAlign w:val="center"/>
          </w:tcPr>
          <w:p w14:paraId="1560F132" w14:textId="77777777" w:rsidR="009263AC" w:rsidRPr="001611DC" w:rsidRDefault="009263AC" w:rsidP="00EB145B">
            <w:pPr>
              <w:pStyle w:val="TableText0"/>
              <w:rPr>
                <w:rFonts w:eastAsia="Times New Roman" w:cs="Calibri"/>
                <w:iCs/>
                <w:color w:val="000000"/>
                <w:szCs w:val="20"/>
              </w:rPr>
            </w:pPr>
            <w:r w:rsidRPr="001611DC">
              <w:rPr>
                <w:rFonts w:eastAsia="Times New Roman" w:cs="Calibri"/>
                <w:iCs/>
                <w:color w:val="000000"/>
                <w:szCs w:val="20"/>
              </w:rPr>
              <w:t>A</w:t>
            </w:r>
            <w:r w:rsidRPr="001611DC">
              <w:rPr>
                <w:rFonts w:cs="Calibri"/>
                <w:iCs/>
                <w:color w:val="000000"/>
                <w:szCs w:val="20"/>
              </w:rPr>
              <w:t xml:space="preserve">ny AE </w:t>
            </w:r>
            <w:r w:rsidRPr="001611DC">
              <w:rPr>
                <w:rFonts w:eastAsia="Times New Roman" w:cs="Calibri"/>
                <w:iCs/>
                <w:color w:val="000000"/>
                <w:szCs w:val="20"/>
              </w:rPr>
              <w:t>related to the intervention</w:t>
            </w:r>
          </w:p>
        </w:tc>
        <w:tc>
          <w:tcPr>
            <w:tcW w:w="1642" w:type="pct"/>
            <w:vAlign w:val="center"/>
          </w:tcPr>
          <w:p w14:paraId="4311CDED" w14:textId="079D5657" w:rsidR="009263AC" w:rsidRPr="001611DC" w:rsidRDefault="009263AC" w:rsidP="00EB145B">
            <w:pPr>
              <w:pStyle w:val="TableText0"/>
              <w:jc w:val="center"/>
              <w:rPr>
                <w:iCs/>
              </w:rPr>
            </w:pPr>
            <w:r w:rsidRPr="001611DC">
              <w:rPr>
                <w:iCs/>
              </w:rPr>
              <w:t>3,176/12,470</w:t>
            </w:r>
            <w:r w:rsidR="0007489C" w:rsidRPr="001611DC">
              <w:rPr>
                <w:iCs/>
              </w:rPr>
              <w:t xml:space="preserve"> </w:t>
            </w:r>
            <w:r w:rsidRPr="001611DC">
              <w:rPr>
                <w:iCs/>
              </w:rPr>
              <w:t>(25.5)</w:t>
            </w:r>
          </w:p>
        </w:tc>
        <w:tc>
          <w:tcPr>
            <w:tcW w:w="1644" w:type="pct"/>
            <w:vAlign w:val="center"/>
          </w:tcPr>
          <w:p w14:paraId="1D15D0DF" w14:textId="77777777" w:rsidR="009263AC" w:rsidRPr="001611DC" w:rsidRDefault="009263AC" w:rsidP="00EB145B">
            <w:pPr>
              <w:pStyle w:val="TableText0"/>
              <w:jc w:val="center"/>
              <w:rPr>
                <w:iCs/>
              </w:rPr>
            </w:pPr>
            <w:r w:rsidRPr="001611DC">
              <w:rPr>
                <w:iCs/>
              </w:rPr>
              <w:t>749/12,503 (6.0)</w:t>
            </w:r>
          </w:p>
        </w:tc>
      </w:tr>
      <w:tr w:rsidR="009263AC" w:rsidRPr="001611DC" w14:paraId="7333E5A3" w14:textId="77777777" w:rsidTr="00EB145B">
        <w:trPr>
          <w:cantSplit/>
        </w:trPr>
        <w:tc>
          <w:tcPr>
            <w:tcW w:w="1714" w:type="pct"/>
            <w:vAlign w:val="center"/>
          </w:tcPr>
          <w:p w14:paraId="7471FE2A" w14:textId="77777777" w:rsidR="009263AC" w:rsidRPr="001611DC" w:rsidRDefault="009263AC" w:rsidP="00EB145B">
            <w:pPr>
              <w:pStyle w:val="TableText0"/>
              <w:rPr>
                <w:iCs/>
              </w:rPr>
            </w:pPr>
            <w:r w:rsidRPr="001611DC">
              <w:rPr>
                <w:rFonts w:eastAsia="Times New Roman" w:cs="Calibri"/>
                <w:iCs/>
                <w:color w:val="000000"/>
                <w:szCs w:val="20"/>
              </w:rPr>
              <w:t>Any grade 3 related to the intervention</w:t>
            </w:r>
          </w:p>
        </w:tc>
        <w:tc>
          <w:tcPr>
            <w:tcW w:w="1642" w:type="pct"/>
            <w:vAlign w:val="center"/>
          </w:tcPr>
          <w:p w14:paraId="54308DDD" w14:textId="77777777" w:rsidR="009263AC" w:rsidRPr="001611DC" w:rsidRDefault="009263AC" w:rsidP="00EB145B">
            <w:pPr>
              <w:pStyle w:val="TableText0"/>
              <w:jc w:val="center"/>
            </w:pPr>
            <w:r w:rsidRPr="001611DC">
              <w:rPr>
                <w:iCs/>
              </w:rPr>
              <w:t>110/12,470 (0.9)</w:t>
            </w:r>
          </w:p>
        </w:tc>
        <w:tc>
          <w:tcPr>
            <w:tcW w:w="1644" w:type="pct"/>
            <w:vAlign w:val="center"/>
          </w:tcPr>
          <w:p w14:paraId="65BF33D2" w14:textId="77777777" w:rsidR="009263AC" w:rsidRPr="001611DC" w:rsidRDefault="009263AC" w:rsidP="00EB145B">
            <w:pPr>
              <w:pStyle w:val="TableText0"/>
              <w:jc w:val="center"/>
            </w:pPr>
            <w:r w:rsidRPr="001611DC">
              <w:rPr>
                <w:iCs/>
              </w:rPr>
              <w:t>23/12,503 (0.2)</w:t>
            </w:r>
          </w:p>
        </w:tc>
      </w:tr>
      <w:tr w:rsidR="009263AC" w:rsidRPr="001611DC" w14:paraId="17D7C228" w14:textId="77777777" w:rsidTr="00EB145B">
        <w:trPr>
          <w:cantSplit/>
        </w:trPr>
        <w:tc>
          <w:tcPr>
            <w:tcW w:w="1714" w:type="pct"/>
            <w:vAlign w:val="center"/>
          </w:tcPr>
          <w:p w14:paraId="28FDA310" w14:textId="77777777" w:rsidR="009263AC" w:rsidRPr="001611DC" w:rsidRDefault="009263AC" w:rsidP="00EB145B">
            <w:pPr>
              <w:pStyle w:val="TableText0"/>
            </w:pPr>
            <w:r w:rsidRPr="001611DC">
              <w:rPr>
                <w:rFonts w:eastAsia="Times New Roman" w:cs="Calibri"/>
                <w:color w:val="000000"/>
                <w:szCs w:val="20"/>
              </w:rPr>
              <w:t>Any medically attended</w:t>
            </w:r>
          </w:p>
        </w:tc>
        <w:tc>
          <w:tcPr>
            <w:tcW w:w="1642" w:type="pct"/>
            <w:vAlign w:val="center"/>
          </w:tcPr>
          <w:p w14:paraId="2565789A" w14:textId="77777777" w:rsidR="009263AC" w:rsidRPr="001611DC" w:rsidRDefault="009263AC" w:rsidP="00EB145B">
            <w:pPr>
              <w:pStyle w:val="TableText0"/>
              <w:jc w:val="center"/>
            </w:pPr>
            <w:r w:rsidRPr="001611DC">
              <w:rPr>
                <w:iCs/>
              </w:rPr>
              <w:t>718/12,470 (5.8)</w:t>
            </w:r>
          </w:p>
        </w:tc>
        <w:tc>
          <w:tcPr>
            <w:tcW w:w="1644" w:type="pct"/>
            <w:vAlign w:val="center"/>
          </w:tcPr>
          <w:p w14:paraId="40D072FA" w14:textId="77777777" w:rsidR="009263AC" w:rsidRPr="001611DC" w:rsidRDefault="009263AC" w:rsidP="00EB145B">
            <w:pPr>
              <w:pStyle w:val="TableText0"/>
              <w:jc w:val="center"/>
            </w:pPr>
            <w:r w:rsidRPr="001611DC">
              <w:rPr>
                <w:iCs/>
              </w:rPr>
              <w:t>722/12,503 (5.8)</w:t>
            </w:r>
          </w:p>
        </w:tc>
      </w:tr>
      <w:tr w:rsidR="009263AC" w:rsidRPr="001611DC" w14:paraId="779D3DA1" w14:textId="77777777" w:rsidTr="00EB145B">
        <w:trPr>
          <w:cantSplit/>
        </w:trPr>
        <w:tc>
          <w:tcPr>
            <w:tcW w:w="5000" w:type="pct"/>
            <w:gridSpan w:val="3"/>
            <w:vAlign w:val="center"/>
          </w:tcPr>
          <w:p w14:paraId="4B402A22" w14:textId="351C3822" w:rsidR="009263AC" w:rsidRPr="001611DC" w:rsidRDefault="009263AC" w:rsidP="00EB145B">
            <w:pPr>
              <w:pStyle w:val="TableText0"/>
              <w:rPr>
                <w:iCs/>
              </w:rPr>
            </w:pPr>
            <w:r w:rsidRPr="001611DC">
              <w:rPr>
                <w:rFonts w:eastAsia="Times New Roman" w:cs="Calibri"/>
                <w:b/>
                <w:bCs w:val="0"/>
                <w:iCs/>
                <w:color w:val="000000"/>
                <w:szCs w:val="20"/>
              </w:rPr>
              <w:t>Unsolicited A</w:t>
            </w:r>
            <w:r w:rsidR="00171270" w:rsidRPr="001611DC">
              <w:rPr>
                <w:rFonts w:eastAsia="Times New Roman" w:cs="Calibri"/>
                <w:b/>
                <w:bCs w:val="0"/>
                <w:iCs/>
                <w:color w:val="000000"/>
                <w:szCs w:val="20"/>
              </w:rPr>
              <w:t>E</w:t>
            </w:r>
            <w:r w:rsidRPr="001611DC">
              <w:rPr>
                <w:rFonts w:eastAsia="Times New Roman" w:cs="Calibri"/>
                <w:b/>
                <w:bCs w:val="0"/>
                <w:iCs/>
                <w:color w:val="000000"/>
                <w:szCs w:val="20"/>
              </w:rPr>
              <w:t>s up to 6 months post vaccination</w:t>
            </w:r>
          </w:p>
        </w:tc>
      </w:tr>
      <w:tr w:rsidR="009263AC" w:rsidRPr="001611DC" w14:paraId="0175A259" w14:textId="77777777" w:rsidTr="00EB145B">
        <w:trPr>
          <w:cantSplit/>
        </w:trPr>
        <w:tc>
          <w:tcPr>
            <w:tcW w:w="1714" w:type="pct"/>
            <w:vAlign w:val="center"/>
          </w:tcPr>
          <w:p w14:paraId="66523D2D" w14:textId="77777777" w:rsidR="009263AC" w:rsidRPr="001611DC" w:rsidRDefault="009263AC" w:rsidP="00EB145B">
            <w:pPr>
              <w:pStyle w:val="TableText0"/>
              <w:rPr>
                <w:iCs/>
              </w:rPr>
            </w:pPr>
            <w:r w:rsidRPr="001611DC">
              <w:rPr>
                <w:rFonts w:eastAsia="Times New Roman" w:cs="Calibri"/>
                <w:iCs/>
                <w:color w:val="000000"/>
                <w:szCs w:val="20"/>
              </w:rPr>
              <w:t>Any SAE</w:t>
            </w:r>
          </w:p>
        </w:tc>
        <w:tc>
          <w:tcPr>
            <w:tcW w:w="1642" w:type="pct"/>
            <w:vAlign w:val="center"/>
          </w:tcPr>
          <w:p w14:paraId="7C01D291" w14:textId="77777777" w:rsidR="009263AC" w:rsidRPr="001611DC" w:rsidRDefault="009263AC" w:rsidP="00EB145B">
            <w:pPr>
              <w:pStyle w:val="TableText0"/>
              <w:jc w:val="center"/>
            </w:pPr>
            <w:r w:rsidRPr="001611DC">
              <w:rPr>
                <w:iCs/>
              </w:rPr>
              <w:t>548/12,470 (4.4)</w:t>
            </w:r>
          </w:p>
        </w:tc>
        <w:tc>
          <w:tcPr>
            <w:tcW w:w="1644" w:type="pct"/>
            <w:vAlign w:val="center"/>
          </w:tcPr>
          <w:p w14:paraId="6CF8021A" w14:textId="77777777" w:rsidR="009263AC" w:rsidRPr="001611DC" w:rsidRDefault="009263AC" w:rsidP="00EB145B">
            <w:pPr>
              <w:pStyle w:val="TableText0"/>
              <w:jc w:val="center"/>
            </w:pPr>
            <w:r w:rsidRPr="001611DC">
              <w:rPr>
                <w:iCs/>
              </w:rPr>
              <w:t xml:space="preserve">539/12,503 (4.3) </w:t>
            </w:r>
          </w:p>
        </w:tc>
      </w:tr>
      <w:tr w:rsidR="009263AC" w:rsidRPr="001611DC" w14:paraId="6FFB44DB" w14:textId="77777777" w:rsidTr="00EB145B">
        <w:trPr>
          <w:cantSplit/>
        </w:trPr>
        <w:tc>
          <w:tcPr>
            <w:tcW w:w="1714" w:type="pct"/>
            <w:vAlign w:val="center"/>
          </w:tcPr>
          <w:p w14:paraId="18E1F066" w14:textId="77777777" w:rsidR="009263AC" w:rsidRPr="001611DC" w:rsidRDefault="009263AC" w:rsidP="00EB145B">
            <w:pPr>
              <w:pStyle w:val="TableText0"/>
              <w:rPr>
                <w:iCs/>
              </w:rPr>
            </w:pPr>
            <w:r w:rsidRPr="001611DC">
              <w:rPr>
                <w:rFonts w:eastAsia="Times New Roman" w:cs="Calibri"/>
                <w:iCs/>
                <w:color w:val="000000"/>
                <w:szCs w:val="20"/>
              </w:rPr>
              <w:t>Any SAE related to the intervention</w:t>
            </w:r>
          </w:p>
        </w:tc>
        <w:tc>
          <w:tcPr>
            <w:tcW w:w="1642" w:type="pct"/>
            <w:vAlign w:val="center"/>
          </w:tcPr>
          <w:p w14:paraId="2ED03826" w14:textId="77777777" w:rsidR="009263AC" w:rsidRPr="001611DC" w:rsidRDefault="009263AC" w:rsidP="00EB145B">
            <w:pPr>
              <w:pStyle w:val="TableText0"/>
              <w:jc w:val="center"/>
            </w:pPr>
            <w:r w:rsidRPr="001611DC">
              <w:rPr>
                <w:iCs/>
              </w:rPr>
              <w:t>15/12,470 (0.1)</w:t>
            </w:r>
          </w:p>
        </w:tc>
        <w:tc>
          <w:tcPr>
            <w:tcW w:w="1644" w:type="pct"/>
            <w:vAlign w:val="center"/>
          </w:tcPr>
          <w:p w14:paraId="0506C68A" w14:textId="77777777" w:rsidR="009263AC" w:rsidRPr="001611DC" w:rsidRDefault="009263AC" w:rsidP="00EB145B">
            <w:pPr>
              <w:pStyle w:val="TableText0"/>
              <w:jc w:val="center"/>
            </w:pPr>
            <w:r w:rsidRPr="001611DC">
              <w:rPr>
                <w:iCs/>
              </w:rPr>
              <w:t>10/12,503 (0.1)</w:t>
            </w:r>
          </w:p>
        </w:tc>
      </w:tr>
      <w:tr w:rsidR="009263AC" w:rsidRPr="001611DC" w14:paraId="7948F697" w14:textId="77777777" w:rsidTr="00EB145B">
        <w:trPr>
          <w:cantSplit/>
        </w:trPr>
        <w:tc>
          <w:tcPr>
            <w:tcW w:w="1714" w:type="pct"/>
            <w:vAlign w:val="center"/>
          </w:tcPr>
          <w:p w14:paraId="158D67E8" w14:textId="77777777" w:rsidR="009263AC" w:rsidRPr="001611DC" w:rsidRDefault="009263AC" w:rsidP="00EB145B">
            <w:pPr>
              <w:pStyle w:val="TableText0"/>
              <w:rPr>
                <w:rFonts w:eastAsia="Times New Roman" w:cs="Calibri"/>
                <w:iCs/>
                <w:color w:val="000000"/>
                <w:szCs w:val="20"/>
              </w:rPr>
            </w:pPr>
            <w:r w:rsidRPr="001611DC">
              <w:rPr>
                <w:rFonts w:eastAsia="Times New Roman" w:cs="Calibri"/>
                <w:iCs/>
                <w:color w:val="000000"/>
                <w:szCs w:val="20"/>
              </w:rPr>
              <w:t>Any pIMD</w:t>
            </w:r>
          </w:p>
        </w:tc>
        <w:tc>
          <w:tcPr>
            <w:tcW w:w="1642" w:type="pct"/>
            <w:vAlign w:val="center"/>
          </w:tcPr>
          <w:p w14:paraId="6CD7DF28" w14:textId="77777777" w:rsidR="009263AC" w:rsidRPr="001611DC" w:rsidRDefault="009263AC" w:rsidP="00EB145B">
            <w:pPr>
              <w:pStyle w:val="TableText0"/>
              <w:jc w:val="center"/>
              <w:rPr>
                <w:iCs/>
              </w:rPr>
            </w:pPr>
            <w:r w:rsidRPr="001611DC">
              <w:rPr>
                <w:iCs/>
              </w:rPr>
              <w:t>46/12,470 (0.4)</w:t>
            </w:r>
          </w:p>
        </w:tc>
        <w:tc>
          <w:tcPr>
            <w:tcW w:w="1644" w:type="pct"/>
            <w:vAlign w:val="center"/>
          </w:tcPr>
          <w:p w14:paraId="3099045B" w14:textId="77777777" w:rsidR="009263AC" w:rsidRPr="001611DC" w:rsidRDefault="009263AC" w:rsidP="00EB145B">
            <w:pPr>
              <w:pStyle w:val="TableText0"/>
              <w:jc w:val="center"/>
              <w:rPr>
                <w:iCs/>
              </w:rPr>
            </w:pPr>
            <w:r w:rsidRPr="001611DC">
              <w:rPr>
                <w:iCs/>
              </w:rPr>
              <w:t>38/12,503 (0.3)</w:t>
            </w:r>
          </w:p>
        </w:tc>
      </w:tr>
      <w:tr w:rsidR="009263AC" w:rsidRPr="001611DC" w14:paraId="71DD282A" w14:textId="77777777" w:rsidTr="00EB145B">
        <w:trPr>
          <w:cantSplit/>
        </w:trPr>
        <w:tc>
          <w:tcPr>
            <w:tcW w:w="1714" w:type="pct"/>
            <w:vAlign w:val="center"/>
          </w:tcPr>
          <w:p w14:paraId="7F28EF65" w14:textId="77777777" w:rsidR="009263AC" w:rsidRPr="001611DC" w:rsidRDefault="009263AC" w:rsidP="00EB145B">
            <w:pPr>
              <w:pStyle w:val="TableText0"/>
              <w:rPr>
                <w:rFonts w:eastAsia="Times New Roman" w:cs="Calibri"/>
                <w:iCs/>
                <w:color w:val="000000"/>
                <w:szCs w:val="20"/>
              </w:rPr>
            </w:pPr>
            <w:r w:rsidRPr="001611DC">
              <w:rPr>
                <w:rFonts w:eastAsia="Times New Roman" w:cs="Calibri"/>
                <w:iCs/>
                <w:color w:val="000000"/>
                <w:szCs w:val="20"/>
              </w:rPr>
              <w:t>Any pIMD related to the intervention</w:t>
            </w:r>
          </w:p>
        </w:tc>
        <w:tc>
          <w:tcPr>
            <w:tcW w:w="1642" w:type="pct"/>
            <w:vAlign w:val="center"/>
          </w:tcPr>
          <w:p w14:paraId="6074EF4C" w14:textId="77777777" w:rsidR="009263AC" w:rsidRPr="001611DC" w:rsidRDefault="009263AC" w:rsidP="00EB145B">
            <w:pPr>
              <w:pStyle w:val="TableText0"/>
              <w:jc w:val="center"/>
              <w:rPr>
                <w:iCs/>
              </w:rPr>
            </w:pPr>
            <w:r w:rsidRPr="001611DC">
              <w:rPr>
                <w:iCs/>
              </w:rPr>
              <w:t>8/12,470 (0.1)</w:t>
            </w:r>
          </w:p>
        </w:tc>
        <w:tc>
          <w:tcPr>
            <w:tcW w:w="1644" w:type="pct"/>
            <w:vAlign w:val="center"/>
          </w:tcPr>
          <w:p w14:paraId="010D2F53" w14:textId="77777777" w:rsidR="009263AC" w:rsidRPr="001611DC" w:rsidRDefault="009263AC" w:rsidP="00EB145B">
            <w:pPr>
              <w:pStyle w:val="TableText0"/>
              <w:jc w:val="center"/>
              <w:rPr>
                <w:iCs/>
              </w:rPr>
            </w:pPr>
            <w:r w:rsidRPr="001611DC">
              <w:rPr>
                <w:iCs/>
              </w:rPr>
              <w:t>7/12,503 (0.1)</w:t>
            </w:r>
          </w:p>
        </w:tc>
      </w:tr>
      <w:tr w:rsidR="009263AC" w:rsidRPr="001611DC" w14:paraId="18E86DFB" w14:textId="77777777" w:rsidTr="00EB145B">
        <w:trPr>
          <w:cantSplit/>
        </w:trPr>
        <w:tc>
          <w:tcPr>
            <w:tcW w:w="1714" w:type="pct"/>
            <w:vAlign w:val="center"/>
          </w:tcPr>
          <w:p w14:paraId="4C5AC91F" w14:textId="77777777" w:rsidR="009263AC" w:rsidRPr="001611DC" w:rsidRDefault="009263AC" w:rsidP="00EB145B">
            <w:pPr>
              <w:pStyle w:val="TableText0"/>
              <w:rPr>
                <w:rFonts w:eastAsia="Times New Roman" w:cs="Calibri"/>
                <w:iCs/>
                <w:color w:val="000000"/>
                <w:szCs w:val="20"/>
              </w:rPr>
            </w:pPr>
            <w:r w:rsidRPr="001611DC">
              <w:rPr>
                <w:rFonts w:eastAsia="Times New Roman" w:cs="Calibri"/>
                <w:iCs/>
                <w:color w:val="000000"/>
                <w:szCs w:val="20"/>
              </w:rPr>
              <w:t>Any fatal SAE</w:t>
            </w:r>
          </w:p>
        </w:tc>
        <w:tc>
          <w:tcPr>
            <w:tcW w:w="1642" w:type="pct"/>
            <w:vAlign w:val="center"/>
          </w:tcPr>
          <w:p w14:paraId="51E28500" w14:textId="77777777" w:rsidR="009263AC" w:rsidRPr="001611DC" w:rsidRDefault="009263AC" w:rsidP="00EB145B">
            <w:pPr>
              <w:pStyle w:val="TableText0"/>
              <w:jc w:val="center"/>
              <w:rPr>
                <w:iCs/>
              </w:rPr>
            </w:pPr>
            <w:r w:rsidRPr="001611DC">
              <w:rPr>
                <w:iCs/>
              </w:rPr>
              <w:t>148/12,470 (1.2)</w:t>
            </w:r>
          </w:p>
        </w:tc>
        <w:tc>
          <w:tcPr>
            <w:tcW w:w="1644" w:type="pct"/>
            <w:vAlign w:val="center"/>
          </w:tcPr>
          <w:p w14:paraId="7A152990" w14:textId="77777777" w:rsidR="009263AC" w:rsidRPr="001611DC" w:rsidRDefault="009263AC" w:rsidP="00EB145B">
            <w:pPr>
              <w:pStyle w:val="TableText0"/>
              <w:jc w:val="center"/>
              <w:rPr>
                <w:iCs/>
              </w:rPr>
            </w:pPr>
            <w:r w:rsidRPr="001611DC">
              <w:rPr>
                <w:iCs/>
              </w:rPr>
              <w:t>149/12,503 (1.2)</w:t>
            </w:r>
          </w:p>
        </w:tc>
      </w:tr>
    </w:tbl>
    <w:p w14:paraId="27CFE29E" w14:textId="633C4B69" w:rsidR="009263AC" w:rsidRPr="001611DC" w:rsidRDefault="009263AC" w:rsidP="009263AC">
      <w:pPr>
        <w:pStyle w:val="FooterTableFigure"/>
        <w:rPr>
          <w:iCs/>
        </w:rPr>
      </w:pPr>
      <w:bookmarkStart w:id="72" w:name="_Hlk165462430"/>
      <w:r w:rsidRPr="001611DC">
        <w:rPr>
          <w:iCs/>
        </w:rPr>
        <w:t>Source: Compiled during the evaluation from evaluation from Table 12.4 of ‘RSV OA = Adj-006 Study Report (Blinded End of Season 2) Published 28 Jun 2023’ of the Submission.</w:t>
      </w:r>
    </w:p>
    <w:p w14:paraId="6D359638" w14:textId="77777777" w:rsidR="009263AC" w:rsidRPr="001611DC" w:rsidRDefault="009263AC" w:rsidP="009263AC">
      <w:pPr>
        <w:pStyle w:val="FooterTableFigure"/>
        <w:rPr>
          <w:rFonts w:eastAsia="Calibri"/>
        </w:rPr>
      </w:pPr>
      <w:r w:rsidRPr="001611DC">
        <w:rPr>
          <w:rFonts w:eastAsia="Calibri"/>
        </w:rPr>
        <w:t xml:space="preserve">AE = adverse event; n = number of participants reporting data in at least one event; N = total participants in group; pIMD = potential immune-mediated disorders; </w:t>
      </w:r>
      <w:r w:rsidRPr="001611DC">
        <w:t xml:space="preserve">RSVPreF3 OA= RSV pre-fusion protein 3 older adult; </w:t>
      </w:r>
      <w:r w:rsidRPr="001611DC">
        <w:rPr>
          <w:rFonts w:eastAsia="Calibri"/>
        </w:rPr>
        <w:t>SAE = serious adverse events.</w:t>
      </w:r>
    </w:p>
    <w:p w14:paraId="3BD0E5D8" w14:textId="77777777" w:rsidR="009263AC" w:rsidRPr="001611DC" w:rsidRDefault="009263AC" w:rsidP="009263AC">
      <w:pPr>
        <w:pStyle w:val="FooterTableFigure"/>
        <w:rPr>
          <w:rFonts w:eastAsia="Calibri"/>
        </w:rPr>
      </w:pPr>
      <w:r w:rsidRPr="001611DC">
        <w:rPr>
          <w:rFonts w:eastAsia="Calibri"/>
        </w:rPr>
        <w:t>Events reported up to safety data lock point, 30 April 2022.</w:t>
      </w:r>
    </w:p>
    <w:p w14:paraId="3AA8DBDB" w14:textId="267472C7" w:rsidR="009263AC" w:rsidRPr="001611DC" w:rsidRDefault="009263AC" w:rsidP="009263AC">
      <w:pPr>
        <w:pStyle w:val="FooterTableFigure"/>
        <w:rPr>
          <w:rFonts w:eastAsia="Calibri"/>
        </w:rPr>
      </w:pPr>
      <w:r w:rsidRPr="001611DC">
        <w:rPr>
          <w:rFonts w:eastAsia="Calibri"/>
        </w:rPr>
        <w:t>RSVPreF3OA includes the single dose and the first vaccination of the revaccination arm.</w:t>
      </w:r>
    </w:p>
    <w:p w14:paraId="7B073B25" w14:textId="3D37B176" w:rsidR="009263AC" w:rsidRPr="001611DC" w:rsidRDefault="009263AC" w:rsidP="00844F2C">
      <w:pPr>
        <w:keepNext/>
        <w:spacing w:after="120"/>
        <w:rPr>
          <w:rFonts w:eastAsia="Calibri"/>
          <w:iCs/>
          <w:u w:val="single"/>
        </w:rPr>
      </w:pPr>
      <w:r w:rsidRPr="001611DC">
        <w:rPr>
          <w:rFonts w:eastAsia="Calibri"/>
          <w:iCs/>
          <w:u w:val="single"/>
        </w:rPr>
        <w:t>Solicited and Unsolicited Grade 3 A</w:t>
      </w:r>
      <w:r w:rsidR="00762260" w:rsidRPr="001611DC">
        <w:rPr>
          <w:rFonts w:eastAsia="Calibri"/>
          <w:iCs/>
          <w:u w:val="single"/>
        </w:rPr>
        <w:t>E</w:t>
      </w:r>
      <w:r w:rsidRPr="001611DC">
        <w:rPr>
          <w:rFonts w:eastAsia="Calibri"/>
          <w:iCs/>
          <w:u w:val="single"/>
        </w:rPr>
        <w:t>s</w:t>
      </w:r>
    </w:p>
    <w:p w14:paraId="5F74EB6F" w14:textId="570F19FE" w:rsidR="009263AC" w:rsidRPr="001611DC" w:rsidRDefault="009263AC" w:rsidP="009263AC">
      <w:pPr>
        <w:pStyle w:val="3-BodyText"/>
        <w:rPr>
          <w:rFonts w:eastAsia="Calibri"/>
        </w:rPr>
      </w:pPr>
      <w:r w:rsidRPr="001611DC">
        <w:t>A summary of solicited and unsolicited Grade 3 A</w:t>
      </w:r>
      <w:r w:rsidR="00FE65FF" w:rsidRPr="001611DC">
        <w:t>E</w:t>
      </w:r>
      <w:r w:rsidRPr="001611DC">
        <w:t xml:space="preserve">s within 30 days following vaccination in the exposed set is provided in </w:t>
      </w:r>
      <w:r w:rsidRPr="001611DC">
        <w:fldChar w:fldCharType="begin" w:fldLock="1"/>
      </w:r>
      <w:r w:rsidRPr="001611DC">
        <w:instrText xml:space="preserve"> REF _Ref166609316 \h  \* MERGEFORMAT </w:instrText>
      </w:r>
      <w:r w:rsidRPr="001611DC">
        <w:fldChar w:fldCharType="separate"/>
      </w:r>
      <w:r w:rsidR="00927933" w:rsidRPr="001611DC">
        <w:rPr>
          <w:iCs/>
        </w:rPr>
        <w:t>Table 12</w:t>
      </w:r>
      <w:r w:rsidRPr="001611DC">
        <w:fldChar w:fldCharType="end"/>
      </w:r>
      <w:r w:rsidRPr="001611DC">
        <w:t>.</w:t>
      </w:r>
      <w:r w:rsidR="001F4410">
        <w:t xml:space="preserve"> </w:t>
      </w:r>
      <w:r w:rsidRPr="001611DC">
        <w:rPr>
          <w:iCs/>
        </w:rPr>
        <w:t>The intensity of A</w:t>
      </w:r>
      <w:r w:rsidR="00FE65FF" w:rsidRPr="001611DC">
        <w:rPr>
          <w:iCs/>
        </w:rPr>
        <w:t>E</w:t>
      </w:r>
      <w:r w:rsidRPr="001611DC">
        <w:rPr>
          <w:iCs/>
        </w:rPr>
        <w:t>s was graded from mild (grade 1) to severe (grade 3); grading was done by the participants for solicited events and by the investigators for unsolicited events.</w:t>
      </w:r>
    </w:p>
    <w:p w14:paraId="2378D7DE" w14:textId="43E9EBA4" w:rsidR="009263AC" w:rsidRPr="001611DC" w:rsidRDefault="009263AC" w:rsidP="009263AC">
      <w:pPr>
        <w:pStyle w:val="TableFigureHeading"/>
        <w:rPr>
          <w:iCs/>
        </w:rPr>
      </w:pPr>
      <w:bookmarkStart w:id="73" w:name="_Ref166609316"/>
      <w:r w:rsidRPr="001611DC">
        <w:rPr>
          <w:iCs/>
        </w:rPr>
        <w:t xml:space="preserve">Table </w:t>
      </w:r>
      <w:r w:rsidRPr="001611DC">
        <w:rPr>
          <w:iCs/>
        </w:rPr>
        <w:fldChar w:fldCharType="begin" w:fldLock="1"/>
      </w:r>
      <w:r w:rsidRPr="001611DC">
        <w:rPr>
          <w:iCs/>
        </w:rPr>
        <w:instrText xml:space="preserve"> SEQ Table \* ARABIC </w:instrText>
      </w:r>
      <w:r w:rsidRPr="001611DC">
        <w:rPr>
          <w:iCs/>
        </w:rPr>
        <w:fldChar w:fldCharType="separate"/>
      </w:r>
      <w:r w:rsidR="00927933" w:rsidRPr="001611DC">
        <w:rPr>
          <w:iCs/>
        </w:rPr>
        <w:t>12</w:t>
      </w:r>
      <w:r w:rsidRPr="001611DC">
        <w:rPr>
          <w:iCs/>
        </w:rPr>
        <w:fldChar w:fldCharType="end"/>
      </w:r>
      <w:bookmarkEnd w:id="73"/>
      <w:r w:rsidRPr="001611DC">
        <w:rPr>
          <w:iCs/>
        </w:rPr>
        <w:t>: Summary of solicited and unsolicited adverse events within 30 days following vaccination, exposed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ummary of solicited and unsolicited adverse events within 30 days following vaccination, exposed set"/>
      </w:tblPr>
      <w:tblGrid>
        <w:gridCol w:w="2303"/>
        <w:gridCol w:w="2303"/>
        <w:gridCol w:w="2204"/>
        <w:gridCol w:w="2207"/>
      </w:tblGrid>
      <w:tr w:rsidR="009263AC" w:rsidRPr="001611DC" w14:paraId="7D6E1C79" w14:textId="77777777" w:rsidTr="00EB145B">
        <w:trPr>
          <w:tblHeader/>
        </w:trPr>
        <w:tc>
          <w:tcPr>
            <w:tcW w:w="1277" w:type="pct"/>
          </w:tcPr>
          <w:p w14:paraId="6DFE319E" w14:textId="77777777" w:rsidR="009263AC" w:rsidRPr="001611DC" w:rsidRDefault="009263AC" w:rsidP="00EB145B">
            <w:pPr>
              <w:pStyle w:val="In-tableHeading"/>
              <w:rPr>
                <w:iCs/>
                <w:lang w:val="en-AU"/>
              </w:rPr>
            </w:pPr>
            <w:r w:rsidRPr="001611DC">
              <w:rPr>
                <w:iCs/>
                <w:lang w:val="en-AU"/>
              </w:rPr>
              <w:t>Adverse event</w:t>
            </w:r>
          </w:p>
        </w:tc>
        <w:tc>
          <w:tcPr>
            <w:tcW w:w="1277" w:type="pct"/>
            <w:vAlign w:val="center"/>
          </w:tcPr>
          <w:p w14:paraId="4BC26FA9" w14:textId="77777777" w:rsidR="009263AC" w:rsidRPr="001611DC" w:rsidRDefault="009263AC" w:rsidP="00EB145B">
            <w:pPr>
              <w:pStyle w:val="In-tableHeading"/>
              <w:rPr>
                <w:iCs/>
                <w:lang w:val="en-AU"/>
              </w:rPr>
            </w:pPr>
            <w:r w:rsidRPr="001611DC">
              <w:rPr>
                <w:iCs/>
                <w:lang w:val="en-AU"/>
              </w:rPr>
              <w:t xml:space="preserve">Type </w:t>
            </w:r>
          </w:p>
        </w:tc>
        <w:tc>
          <w:tcPr>
            <w:tcW w:w="1222" w:type="pct"/>
            <w:vAlign w:val="center"/>
          </w:tcPr>
          <w:p w14:paraId="7D428A92" w14:textId="77777777" w:rsidR="009263AC" w:rsidRPr="001611DC" w:rsidRDefault="009263AC" w:rsidP="00EB145B">
            <w:pPr>
              <w:pStyle w:val="In-tableHeading"/>
              <w:jc w:val="center"/>
              <w:rPr>
                <w:iCs/>
                <w:lang w:val="en-AU"/>
              </w:rPr>
            </w:pPr>
            <w:r w:rsidRPr="001611DC">
              <w:rPr>
                <w:iCs/>
                <w:lang w:val="en-AU"/>
              </w:rPr>
              <w:t>RSVPreF3 OA</w:t>
            </w:r>
          </w:p>
          <w:p w14:paraId="7CCAFD9E" w14:textId="77777777" w:rsidR="009263AC" w:rsidRPr="001611DC" w:rsidRDefault="009263AC" w:rsidP="00EB145B">
            <w:pPr>
              <w:pStyle w:val="In-tableHeading"/>
              <w:jc w:val="center"/>
              <w:rPr>
                <w:iCs/>
                <w:lang w:val="en-AU"/>
              </w:rPr>
            </w:pPr>
            <w:r w:rsidRPr="001611DC">
              <w:rPr>
                <w:iCs/>
                <w:lang w:val="en-AU"/>
              </w:rPr>
              <w:t>n with event/N (%)</w:t>
            </w:r>
          </w:p>
        </w:tc>
        <w:tc>
          <w:tcPr>
            <w:tcW w:w="1224" w:type="pct"/>
            <w:vAlign w:val="center"/>
          </w:tcPr>
          <w:p w14:paraId="12709CE6" w14:textId="77777777" w:rsidR="009263AC" w:rsidRPr="001611DC" w:rsidRDefault="009263AC" w:rsidP="00EB145B">
            <w:pPr>
              <w:pStyle w:val="In-tableHeading"/>
              <w:jc w:val="center"/>
              <w:rPr>
                <w:iCs/>
                <w:lang w:val="en-AU"/>
              </w:rPr>
            </w:pPr>
            <w:r w:rsidRPr="001611DC">
              <w:rPr>
                <w:iCs/>
                <w:lang w:val="en-AU"/>
              </w:rPr>
              <w:t>Placebo</w:t>
            </w:r>
          </w:p>
          <w:p w14:paraId="053FD8D5" w14:textId="77777777" w:rsidR="009263AC" w:rsidRPr="001611DC" w:rsidRDefault="009263AC" w:rsidP="00EB145B">
            <w:pPr>
              <w:pStyle w:val="In-tableHeading"/>
              <w:jc w:val="center"/>
              <w:rPr>
                <w:iCs/>
                <w:lang w:val="en-AU"/>
              </w:rPr>
            </w:pPr>
            <w:r w:rsidRPr="001611DC">
              <w:rPr>
                <w:iCs/>
                <w:lang w:val="en-AU"/>
              </w:rPr>
              <w:t>n with event/N (%)</w:t>
            </w:r>
          </w:p>
        </w:tc>
      </w:tr>
      <w:tr w:rsidR="009263AC" w:rsidRPr="001611DC" w14:paraId="322BDBF0" w14:textId="77777777" w:rsidTr="00EB145B">
        <w:tc>
          <w:tcPr>
            <w:tcW w:w="1277" w:type="pct"/>
            <w:vMerge w:val="restart"/>
          </w:tcPr>
          <w:p w14:paraId="04473789" w14:textId="675ED580" w:rsidR="009263AC" w:rsidRPr="001611DC" w:rsidRDefault="009263AC" w:rsidP="00EB145B">
            <w:pPr>
              <w:pStyle w:val="TableText0"/>
              <w:rPr>
                <w:rFonts w:eastAsia="Times New Roman" w:cs="Calibri"/>
                <w:iCs/>
                <w:color w:val="000000"/>
                <w:szCs w:val="20"/>
              </w:rPr>
            </w:pPr>
            <w:r w:rsidRPr="001611DC">
              <w:rPr>
                <w:rFonts w:eastAsia="Times New Roman" w:cs="Calibri"/>
                <w:iCs/>
                <w:color w:val="000000"/>
                <w:szCs w:val="20"/>
              </w:rPr>
              <w:t>Grade 3 A</w:t>
            </w:r>
            <w:r w:rsidR="00171270" w:rsidRPr="001611DC">
              <w:rPr>
                <w:rFonts w:eastAsia="Times New Roman" w:cs="Calibri"/>
                <w:iCs/>
                <w:color w:val="000000"/>
                <w:szCs w:val="20"/>
              </w:rPr>
              <w:t>E</w:t>
            </w:r>
            <w:r w:rsidRPr="001611DC">
              <w:rPr>
                <w:rFonts w:eastAsia="Times New Roman" w:cs="Calibri"/>
                <w:iCs/>
                <w:color w:val="000000"/>
                <w:szCs w:val="20"/>
              </w:rPr>
              <w:t>s</w:t>
            </w:r>
          </w:p>
        </w:tc>
        <w:tc>
          <w:tcPr>
            <w:tcW w:w="1277" w:type="pct"/>
            <w:vAlign w:val="center"/>
          </w:tcPr>
          <w:p w14:paraId="3B2A33B3" w14:textId="77777777" w:rsidR="009263AC" w:rsidRPr="001611DC" w:rsidRDefault="009263AC" w:rsidP="00EB145B">
            <w:pPr>
              <w:pStyle w:val="TableText0"/>
              <w:rPr>
                <w:iCs/>
              </w:rPr>
            </w:pPr>
            <w:r w:rsidRPr="001611DC">
              <w:rPr>
                <w:rFonts w:eastAsia="Times New Roman" w:cs="Calibri"/>
                <w:iCs/>
                <w:color w:val="000000"/>
                <w:szCs w:val="20"/>
              </w:rPr>
              <w:t>Any AE</w:t>
            </w:r>
          </w:p>
        </w:tc>
        <w:tc>
          <w:tcPr>
            <w:tcW w:w="1222" w:type="pct"/>
            <w:vAlign w:val="center"/>
          </w:tcPr>
          <w:p w14:paraId="5D0E24F4" w14:textId="77777777" w:rsidR="009263AC" w:rsidRPr="001611DC" w:rsidRDefault="009263AC" w:rsidP="00EB145B">
            <w:pPr>
              <w:pStyle w:val="TableText0"/>
              <w:jc w:val="center"/>
              <w:rPr>
                <w:iCs/>
              </w:rPr>
            </w:pPr>
            <w:r w:rsidRPr="001611DC">
              <w:rPr>
                <w:iCs/>
              </w:rPr>
              <w:t>283/12,467 (2.3)</w:t>
            </w:r>
          </w:p>
        </w:tc>
        <w:tc>
          <w:tcPr>
            <w:tcW w:w="1224" w:type="pct"/>
            <w:vAlign w:val="center"/>
          </w:tcPr>
          <w:p w14:paraId="02AC970F" w14:textId="77777777" w:rsidR="009263AC" w:rsidRPr="001611DC" w:rsidRDefault="009263AC" w:rsidP="00EB145B">
            <w:pPr>
              <w:pStyle w:val="TableText0"/>
              <w:jc w:val="center"/>
              <w:rPr>
                <w:iCs/>
              </w:rPr>
            </w:pPr>
            <w:r w:rsidRPr="001611DC">
              <w:rPr>
                <w:iCs/>
              </w:rPr>
              <w:t>166/12,499 (1.3)</w:t>
            </w:r>
          </w:p>
        </w:tc>
      </w:tr>
      <w:tr w:rsidR="009263AC" w:rsidRPr="001611DC" w14:paraId="7670B32A" w14:textId="77777777" w:rsidTr="00EB145B">
        <w:tc>
          <w:tcPr>
            <w:tcW w:w="1277" w:type="pct"/>
            <w:vMerge/>
          </w:tcPr>
          <w:p w14:paraId="57A15696" w14:textId="77777777" w:rsidR="009263AC" w:rsidRPr="001611DC" w:rsidRDefault="009263AC" w:rsidP="00EB145B">
            <w:pPr>
              <w:pStyle w:val="TableText0"/>
              <w:rPr>
                <w:rFonts w:eastAsia="Times New Roman" w:cs="Calibri"/>
                <w:iCs/>
                <w:color w:val="000000"/>
                <w:szCs w:val="20"/>
              </w:rPr>
            </w:pPr>
          </w:p>
        </w:tc>
        <w:tc>
          <w:tcPr>
            <w:tcW w:w="1277" w:type="pct"/>
            <w:vAlign w:val="center"/>
          </w:tcPr>
          <w:p w14:paraId="6383A583" w14:textId="77777777" w:rsidR="009263AC" w:rsidRPr="001611DC" w:rsidRDefault="009263AC" w:rsidP="00EB145B">
            <w:pPr>
              <w:pStyle w:val="TableText0"/>
              <w:rPr>
                <w:iCs/>
              </w:rPr>
            </w:pPr>
            <w:r w:rsidRPr="001611DC">
              <w:rPr>
                <w:rFonts w:eastAsia="Times New Roman" w:cs="Calibri"/>
                <w:iCs/>
                <w:color w:val="000000"/>
                <w:szCs w:val="20"/>
              </w:rPr>
              <w:t>Admin-site AE</w:t>
            </w:r>
          </w:p>
        </w:tc>
        <w:tc>
          <w:tcPr>
            <w:tcW w:w="1222" w:type="pct"/>
            <w:vAlign w:val="center"/>
          </w:tcPr>
          <w:p w14:paraId="4C717771" w14:textId="77777777" w:rsidR="009263AC" w:rsidRPr="001611DC" w:rsidRDefault="009263AC" w:rsidP="00EB145B">
            <w:pPr>
              <w:pStyle w:val="TableText0"/>
              <w:jc w:val="center"/>
              <w:rPr>
                <w:iCs/>
              </w:rPr>
            </w:pPr>
            <w:r w:rsidRPr="001611DC">
              <w:rPr>
                <w:iCs/>
              </w:rPr>
              <w:t>57/12,467 (0.5)</w:t>
            </w:r>
          </w:p>
        </w:tc>
        <w:tc>
          <w:tcPr>
            <w:tcW w:w="1224" w:type="pct"/>
            <w:vAlign w:val="center"/>
          </w:tcPr>
          <w:p w14:paraId="3800169F" w14:textId="77777777" w:rsidR="009263AC" w:rsidRPr="001611DC" w:rsidRDefault="009263AC" w:rsidP="00EB145B">
            <w:pPr>
              <w:pStyle w:val="TableText0"/>
              <w:jc w:val="center"/>
              <w:rPr>
                <w:iCs/>
              </w:rPr>
            </w:pPr>
            <w:r w:rsidRPr="001611DC">
              <w:rPr>
                <w:iCs/>
              </w:rPr>
              <w:t>4/12,499 (0.0)</w:t>
            </w:r>
          </w:p>
        </w:tc>
      </w:tr>
      <w:tr w:rsidR="009263AC" w:rsidRPr="001611DC" w14:paraId="1200A055" w14:textId="77777777" w:rsidTr="00EB145B">
        <w:tc>
          <w:tcPr>
            <w:tcW w:w="1277" w:type="pct"/>
            <w:vMerge/>
            <w:tcBorders>
              <w:bottom w:val="single" w:sz="4" w:space="0" w:color="auto"/>
            </w:tcBorders>
          </w:tcPr>
          <w:p w14:paraId="5C96578E" w14:textId="77777777" w:rsidR="009263AC" w:rsidRPr="001611DC" w:rsidRDefault="009263AC" w:rsidP="00EB145B">
            <w:pPr>
              <w:pStyle w:val="TableText0"/>
              <w:rPr>
                <w:rFonts w:eastAsia="Times New Roman" w:cs="Calibri"/>
                <w:iCs/>
                <w:color w:val="000000"/>
                <w:szCs w:val="20"/>
              </w:rPr>
            </w:pPr>
          </w:p>
        </w:tc>
        <w:tc>
          <w:tcPr>
            <w:tcW w:w="1277" w:type="pct"/>
            <w:vAlign w:val="center"/>
          </w:tcPr>
          <w:p w14:paraId="0EA9C1D3" w14:textId="77777777" w:rsidR="009263AC" w:rsidRPr="001611DC" w:rsidRDefault="009263AC" w:rsidP="00EB145B">
            <w:pPr>
              <w:pStyle w:val="TableText0"/>
              <w:rPr>
                <w:iCs/>
              </w:rPr>
            </w:pPr>
            <w:r w:rsidRPr="001611DC">
              <w:rPr>
                <w:rFonts w:eastAsia="Times New Roman" w:cs="Calibri"/>
                <w:iCs/>
                <w:color w:val="000000"/>
                <w:szCs w:val="20"/>
              </w:rPr>
              <w:t>Systemic AE</w:t>
            </w:r>
          </w:p>
        </w:tc>
        <w:tc>
          <w:tcPr>
            <w:tcW w:w="1222" w:type="pct"/>
            <w:vAlign w:val="center"/>
          </w:tcPr>
          <w:p w14:paraId="217D69F6" w14:textId="77777777" w:rsidR="009263AC" w:rsidRPr="001611DC" w:rsidRDefault="009263AC" w:rsidP="00EB145B">
            <w:pPr>
              <w:pStyle w:val="TableText0"/>
              <w:jc w:val="center"/>
              <w:rPr>
                <w:iCs/>
              </w:rPr>
            </w:pPr>
            <w:r w:rsidRPr="001611DC">
              <w:rPr>
                <w:iCs/>
              </w:rPr>
              <w:t>245/12,467 (2.0)</w:t>
            </w:r>
          </w:p>
        </w:tc>
        <w:tc>
          <w:tcPr>
            <w:tcW w:w="1224" w:type="pct"/>
            <w:vAlign w:val="center"/>
          </w:tcPr>
          <w:p w14:paraId="6356BF95" w14:textId="77777777" w:rsidR="009263AC" w:rsidRPr="001611DC" w:rsidRDefault="009263AC" w:rsidP="00EB145B">
            <w:pPr>
              <w:pStyle w:val="TableText0"/>
              <w:jc w:val="center"/>
              <w:rPr>
                <w:iCs/>
              </w:rPr>
            </w:pPr>
            <w:r w:rsidRPr="001611DC">
              <w:rPr>
                <w:iCs/>
              </w:rPr>
              <w:t>164/12,499 (1.3)</w:t>
            </w:r>
          </w:p>
        </w:tc>
      </w:tr>
    </w:tbl>
    <w:p w14:paraId="3D139141" w14:textId="16516EBF" w:rsidR="009263AC" w:rsidRPr="001611DC" w:rsidRDefault="009263AC" w:rsidP="009263AC">
      <w:pPr>
        <w:pStyle w:val="FooterTableFigure"/>
        <w:rPr>
          <w:iCs/>
        </w:rPr>
      </w:pPr>
      <w:r w:rsidRPr="001611DC">
        <w:rPr>
          <w:iCs/>
        </w:rPr>
        <w:t>Source: Compiled during the evaluation from Table 14.3.1.10; Table 14.3.1.12 of RSV OA = Adj-006 Study Report (VE analysis 1) Published 18 August 2022</w:t>
      </w:r>
    </w:p>
    <w:p w14:paraId="61F60A02" w14:textId="061C6EC1" w:rsidR="009263AC" w:rsidRPr="00844F2C" w:rsidRDefault="009263AC" w:rsidP="009263AC">
      <w:pPr>
        <w:pStyle w:val="FooterTableFigure"/>
        <w:rPr>
          <w:rFonts w:eastAsia="Calibri"/>
        </w:rPr>
      </w:pPr>
      <w:r w:rsidRPr="001611DC">
        <w:rPr>
          <w:rFonts w:eastAsia="Calibri"/>
        </w:rPr>
        <w:t>AE = adverse event; n = number of participants reporting data; N = total participants in group;</w:t>
      </w:r>
      <w:r w:rsidRPr="001611DC">
        <w:t xml:space="preserve"> RSVPreF3 OA= RSV pre-fusion protein 3 older adult.</w:t>
      </w:r>
    </w:p>
    <w:p w14:paraId="64209020" w14:textId="77777777" w:rsidR="009263AC" w:rsidRPr="001611DC" w:rsidRDefault="009263AC" w:rsidP="009263AC">
      <w:pPr>
        <w:pStyle w:val="4-SubsectionHeading"/>
      </w:pPr>
      <w:bookmarkStart w:id="74" w:name="_Toc22897643"/>
      <w:bookmarkStart w:id="75" w:name="_Toc165203809"/>
      <w:bookmarkStart w:id="76" w:name="_Toc167277514"/>
      <w:bookmarkEnd w:id="72"/>
      <w:r w:rsidRPr="001611DC">
        <w:t>Benefits/harms</w:t>
      </w:r>
      <w:bookmarkEnd w:id="74"/>
      <w:bookmarkEnd w:id="75"/>
      <w:bookmarkEnd w:id="76"/>
    </w:p>
    <w:p w14:paraId="50461323" w14:textId="77957522" w:rsidR="009263AC" w:rsidRPr="001611DC" w:rsidRDefault="009263AC" w:rsidP="009263AC">
      <w:pPr>
        <w:pStyle w:val="3-BodyText"/>
        <w:rPr>
          <w:rStyle w:val="CommentReference"/>
          <w:color w:val="0066FF"/>
        </w:rPr>
      </w:pPr>
      <w:r w:rsidRPr="001611DC">
        <w:t xml:space="preserve">A summary of the comparative benefits and harms for RSVPreF3 OA versus placebo is presented in </w:t>
      </w:r>
      <w:r w:rsidRPr="001611DC">
        <w:fldChar w:fldCharType="begin" w:fldLock="1"/>
      </w:r>
      <w:r w:rsidRPr="001611DC">
        <w:instrText xml:space="preserve"> REF _Ref165828332 \h  \* MERGEFORMAT </w:instrText>
      </w:r>
      <w:r w:rsidRPr="001611DC">
        <w:fldChar w:fldCharType="separate"/>
      </w:r>
      <w:r w:rsidR="00927933" w:rsidRPr="001611DC">
        <w:t>Table 13</w:t>
      </w:r>
      <w:r w:rsidRPr="001611DC">
        <w:fldChar w:fldCharType="end"/>
      </w:r>
      <w:r w:rsidRPr="001611DC">
        <w:t>.</w:t>
      </w:r>
    </w:p>
    <w:p w14:paraId="2B58F4B1" w14:textId="3EFDE97F" w:rsidR="009263AC" w:rsidRPr="001611DC" w:rsidRDefault="009263AC" w:rsidP="009263AC">
      <w:pPr>
        <w:pStyle w:val="Caption"/>
        <w:rPr>
          <w:rStyle w:val="CommentReference"/>
          <w:b/>
          <w:szCs w:val="24"/>
        </w:rPr>
      </w:pPr>
      <w:bookmarkStart w:id="77" w:name="_Ref165828332"/>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13</w:t>
      </w:r>
      <w:r w:rsidR="005473CE" w:rsidRPr="001611DC">
        <w:fldChar w:fldCharType="end"/>
      </w:r>
      <w:bookmarkEnd w:id="77"/>
      <w:r w:rsidRPr="001611DC">
        <w:t>: Summary of comparative benefits and harms for RSVpreF3 OA and placebo</w:t>
      </w:r>
    </w:p>
    <w:tbl>
      <w:tblPr>
        <w:tblStyle w:val="TableGrid"/>
        <w:tblW w:w="5000" w:type="pct"/>
        <w:tblLayout w:type="fixed"/>
        <w:tblCellMar>
          <w:left w:w="28" w:type="dxa"/>
          <w:right w:w="28" w:type="dxa"/>
        </w:tblCellMar>
        <w:tblLook w:val="04A0" w:firstRow="1" w:lastRow="0" w:firstColumn="1" w:lastColumn="0" w:noHBand="0" w:noVBand="1"/>
        <w:tblCaption w:val="Table 13: Summary of comparative benefits and harms for RSVpreF3 OA and placebo"/>
      </w:tblPr>
      <w:tblGrid>
        <w:gridCol w:w="2125"/>
        <w:gridCol w:w="1417"/>
        <w:gridCol w:w="1556"/>
        <w:gridCol w:w="1560"/>
        <w:gridCol w:w="2359"/>
      </w:tblGrid>
      <w:tr w:rsidR="009263AC" w:rsidRPr="001611DC" w14:paraId="0E710F39" w14:textId="77777777" w:rsidTr="00EB145B">
        <w:trPr>
          <w:trHeight w:val="20"/>
        </w:trPr>
        <w:tc>
          <w:tcPr>
            <w:tcW w:w="5000" w:type="pct"/>
            <w:gridSpan w:val="5"/>
            <w:shd w:val="clear" w:color="auto" w:fill="auto"/>
          </w:tcPr>
          <w:p w14:paraId="0EAFEF03" w14:textId="77777777" w:rsidR="009263AC" w:rsidRPr="001611DC" w:rsidRDefault="009263AC" w:rsidP="00EB145B">
            <w:pPr>
              <w:pStyle w:val="In-tableHeading"/>
              <w:rPr>
                <w:lang w:val="en-AU"/>
              </w:rPr>
            </w:pPr>
            <w:r w:rsidRPr="001611DC">
              <w:rPr>
                <w:lang w:val="en-AU"/>
              </w:rPr>
              <w:t>Benefits</w:t>
            </w:r>
          </w:p>
        </w:tc>
      </w:tr>
      <w:tr w:rsidR="009263AC" w:rsidRPr="001611DC" w14:paraId="1A751720" w14:textId="77777777" w:rsidTr="00EB145B">
        <w:trPr>
          <w:trHeight w:val="20"/>
        </w:trPr>
        <w:tc>
          <w:tcPr>
            <w:tcW w:w="5000" w:type="pct"/>
            <w:gridSpan w:val="5"/>
            <w:shd w:val="clear" w:color="auto" w:fill="auto"/>
          </w:tcPr>
          <w:p w14:paraId="2261BBF9" w14:textId="77777777" w:rsidR="009263AC" w:rsidRPr="001611DC" w:rsidRDefault="009263AC" w:rsidP="00EB145B">
            <w:pPr>
              <w:pStyle w:val="In-tableHeading"/>
              <w:rPr>
                <w:lang w:val="en-AU"/>
              </w:rPr>
            </w:pPr>
            <w:bookmarkStart w:id="78" w:name="_Hlk167211625"/>
            <w:r w:rsidRPr="001611DC">
              <w:rPr>
                <w:lang w:val="en-AU"/>
              </w:rPr>
              <w:t>RT-PCR confirmed RSV-LRTD</w:t>
            </w:r>
          </w:p>
        </w:tc>
      </w:tr>
      <w:tr w:rsidR="009263AC" w:rsidRPr="001611DC" w14:paraId="1738E615" w14:textId="77777777" w:rsidTr="00EB145B">
        <w:trPr>
          <w:trHeight w:val="20"/>
        </w:trPr>
        <w:tc>
          <w:tcPr>
            <w:tcW w:w="1178" w:type="pct"/>
            <w:tcBorders>
              <w:bottom w:val="single" w:sz="4" w:space="0" w:color="auto"/>
            </w:tcBorders>
            <w:shd w:val="clear" w:color="auto" w:fill="auto"/>
          </w:tcPr>
          <w:p w14:paraId="1904EE09" w14:textId="77777777" w:rsidR="009263AC" w:rsidRPr="001611DC" w:rsidRDefault="009263AC" w:rsidP="00EB145B">
            <w:pPr>
              <w:pStyle w:val="In-tableHeading"/>
              <w:rPr>
                <w:lang w:val="en-AU"/>
              </w:rPr>
            </w:pPr>
            <w:bookmarkStart w:id="79" w:name="_Hlk174105732"/>
            <w:r w:rsidRPr="001611DC">
              <w:rPr>
                <w:lang w:val="en-AU"/>
              </w:rPr>
              <w:t>Event</w:t>
            </w:r>
          </w:p>
        </w:tc>
        <w:tc>
          <w:tcPr>
            <w:tcW w:w="786" w:type="pct"/>
            <w:tcBorders>
              <w:bottom w:val="single" w:sz="4" w:space="0" w:color="auto"/>
            </w:tcBorders>
            <w:shd w:val="clear" w:color="auto" w:fill="auto"/>
            <w:vAlign w:val="center"/>
          </w:tcPr>
          <w:p w14:paraId="6FD80CFB" w14:textId="77777777" w:rsidR="009263AC" w:rsidRPr="001611DC" w:rsidRDefault="009263AC" w:rsidP="00EB145B">
            <w:pPr>
              <w:pStyle w:val="In-tableHeading"/>
              <w:jc w:val="center"/>
              <w:rPr>
                <w:lang w:val="en-AU"/>
              </w:rPr>
            </w:pPr>
            <w:r w:rsidRPr="001611DC">
              <w:rPr>
                <w:lang w:val="en-AU"/>
              </w:rPr>
              <w:t>RSVPreF3 OA</w:t>
            </w:r>
          </w:p>
          <w:p w14:paraId="6D2C86B7" w14:textId="22CC2B8E" w:rsidR="00D67ECD" w:rsidRPr="001611DC" w:rsidRDefault="00D67ECD" w:rsidP="00EB145B">
            <w:pPr>
              <w:pStyle w:val="In-tableHeading"/>
              <w:jc w:val="center"/>
              <w:rPr>
                <w:lang w:val="en-AU"/>
              </w:rPr>
            </w:pPr>
            <w:r w:rsidRPr="001611DC">
              <w:rPr>
                <w:lang w:val="en-AU"/>
              </w:rPr>
              <w:t>n/N (%)</w:t>
            </w:r>
          </w:p>
        </w:tc>
        <w:tc>
          <w:tcPr>
            <w:tcW w:w="863" w:type="pct"/>
            <w:tcBorders>
              <w:bottom w:val="single" w:sz="4" w:space="0" w:color="auto"/>
            </w:tcBorders>
            <w:shd w:val="clear" w:color="auto" w:fill="auto"/>
            <w:vAlign w:val="center"/>
          </w:tcPr>
          <w:p w14:paraId="7D6F99CF" w14:textId="77777777" w:rsidR="009263AC" w:rsidRPr="001611DC" w:rsidRDefault="009263AC" w:rsidP="00EB145B">
            <w:pPr>
              <w:pStyle w:val="In-tableHeading"/>
              <w:jc w:val="center"/>
              <w:rPr>
                <w:lang w:val="en-AU"/>
              </w:rPr>
            </w:pPr>
            <w:r w:rsidRPr="001611DC">
              <w:rPr>
                <w:lang w:val="en-AU"/>
              </w:rPr>
              <w:t>Placebo</w:t>
            </w:r>
          </w:p>
          <w:p w14:paraId="60390434" w14:textId="424A6BB7" w:rsidR="00D67ECD" w:rsidRPr="001611DC" w:rsidRDefault="00D67ECD" w:rsidP="00EB145B">
            <w:pPr>
              <w:pStyle w:val="In-tableHeading"/>
              <w:jc w:val="center"/>
              <w:rPr>
                <w:lang w:val="en-AU"/>
              </w:rPr>
            </w:pPr>
            <w:r w:rsidRPr="001611DC">
              <w:rPr>
                <w:lang w:val="en-AU"/>
              </w:rPr>
              <w:t>n/N (%)</w:t>
            </w:r>
          </w:p>
        </w:tc>
        <w:tc>
          <w:tcPr>
            <w:tcW w:w="865" w:type="pct"/>
            <w:tcBorders>
              <w:bottom w:val="single" w:sz="4" w:space="0" w:color="auto"/>
            </w:tcBorders>
            <w:shd w:val="clear" w:color="auto" w:fill="auto"/>
            <w:vAlign w:val="center"/>
          </w:tcPr>
          <w:p w14:paraId="0D9F4246" w14:textId="77777777" w:rsidR="009263AC" w:rsidRPr="001611DC" w:rsidRDefault="009263AC" w:rsidP="00EB145B">
            <w:pPr>
              <w:pStyle w:val="In-tableHeading"/>
              <w:jc w:val="center"/>
              <w:rPr>
                <w:lang w:val="en-AU"/>
              </w:rPr>
            </w:pPr>
            <w:r w:rsidRPr="001611DC">
              <w:rPr>
                <w:lang w:val="en-AU"/>
              </w:rPr>
              <w:t>Absolute Difference</w:t>
            </w:r>
          </w:p>
          <w:p w14:paraId="0663241F" w14:textId="405F23E1" w:rsidR="00D67ECD" w:rsidRPr="001611DC" w:rsidRDefault="00D67ECD" w:rsidP="00EB145B">
            <w:pPr>
              <w:pStyle w:val="In-tableHeading"/>
              <w:jc w:val="center"/>
              <w:rPr>
                <w:rFonts w:asciiTheme="minorHAnsi" w:hAnsiTheme="minorHAnsi"/>
                <w:lang w:val="en-AU"/>
              </w:rPr>
            </w:pPr>
            <w:r w:rsidRPr="001611DC">
              <w:rPr>
                <w:lang w:val="en-AU"/>
              </w:rPr>
              <w:t>n (%)</w:t>
            </w:r>
          </w:p>
        </w:tc>
        <w:tc>
          <w:tcPr>
            <w:tcW w:w="1308" w:type="pct"/>
            <w:tcBorders>
              <w:bottom w:val="single" w:sz="4" w:space="0" w:color="auto"/>
            </w:tcBorders>
            <w:shd w:val="clear" w:color="auto" w:fill="auto"/>
            <w:vAlign w:val="center"/>
          </w:tcPr>
          <w:p w14:paraId="246D7BF3" w14:textId="77777777" w:rsidR="009263AC" w:rsidRPr="001611DC" w:rsidRDefault="009263AC" w:rsidP="00EB145B">
            <w:pPr>
              <w:pStyle w:val="In-tableHeading"/>
              <w:jc w:val="center"/>
              <w:rPr>
                <w:lang w:val="en-AU"/>
              </w:rPr>
            </w:pPr>
            <w:r w:rsidRPr="001611DC">
              <w:rPr>
                <w:lang w:val="en-AU"/>
              </w:rPr>
              <w:t xml:space="preserve">VE% (CI </w:t>
            </w:r>
            <w:r w:rsidRPr="001611DC">
              <w:rPr>
                <w:vertAlign w:val="superscript"/>
                <w:lang w:val="en-AU"/>
              </w:rPr>
              <w:t>a</w:t>
            </w:r>
            <w:r w:rsidRPr="001611DC">
              <w:rPr>
                <w:lang w:val="en-AU"/>
              </w:rPr>
              <w:t>)</w:t>
            </w:r>
          </w:p>
        </w:tc>
      </w:tr>
      <w:tr w:rsidR="009263AC" w:rsidRPr="001611DC" w14:paraId="47B2DB81" w14:textId="77777777" w:rsidTr="00EB145B">
        <w:trPr>
          <w:trHeight w:val="20"/>
        </w:trPr>
        <w:tc>
          <w:tcPr>
            <w:tcW w:w="1178" w:type="pct"/>
            <w:tcBorders>
              <w:bottom w:val="single" w:sz="4" w:space="0" w:color="auto"/>
              <w:right w:val="nil"/>
            </w:tcBorders>
            <w:shd w:val="clear" w:color="auto" w:fill="auto"/>
            <w:vAlign w:val="center"/>
          </w:tcPr>
          <w:p w14:paraId="7CDF6E12" w14:textId="1FE4C731" w:rsidR="009263AC" w:rsidRPr="001611DC" w:rsidRDefault="00E2719A" w:rsidP="00EB145B">
            <w:pPr>
              <w:pStyle w:val="TableText0"/>
              <w:keepLines/>
              <w:widowControl w:val="0"/>
              <w:rPr>
                <w:b/>
                <w:bCs w:val="0"/>
              </w:rPr>
            </w:pPr>
            <w:r w:rsidRPr="001611DC">
              <w:rPr>
                <w:b/>
                <w:bCs w:val="0"/>
              </w:rPr>
              <w:t>≥</w:t>
            </w:r>
            <w:r w:rsidR="009263AC" w:rsidRPr="001611DC">
              <w:rPr>
                <w:b/>
                <w:bCs w:val="0"/>
              </w:rPr>
              <w:t>60 YOA</w:t>
            </w:r>
            <w:r w:rsidR="00FF7130" w:rsidRPr="001611DC">
              <w:rPr>
                <w:b/>
                <w:bCs w:val="0"/>
              </w:rPr>
              <w:t xml:space="preserve"> (all single dose)</w:t>
            </w:r>
          </w:p>
        </w:tc>
        <w:tc>
          <w:tcPr>
            <w:tcW w:w="786" w:type="pct"/>
            <w:tcBorders>
              <w:left w:val="nil"/>
              <w:bottom w:val="single" w:sz="4" w:space="0" w:color="auto"/>
              <w:right w:val="nil"/>
            </w:tcBorders>
            <w:shd w:val="clear" w:color="auto" w:fill="auto"/>
          </w:tcPr>
          <w:p w14:paraId="228E9C75" w14:textId="77777777" w:rsidR="009263AC" w:rsidRPr="001611DC" w:rsidRDefault="009263AC" w:rsidP="00EB145B">
            <w:pPr>
              <w:pStyle w:val="TableText0"/>
              <w:keepLines/>
              <w:widowControl w:val="0"/>
              <w:jc w:val="center"/>
            </w:pPr>
          </w:p>
        </w:tc>
        <w:tc>
          <w:tcPr>
            <w:tcW w:w="863" w:type="pct"/>
            <w:tcBorders>
              <w:left w:val="nil"/>
              <w:bottom w:val="single" w:sz="4" w:space="0" w:color="auto"/>
              <w:right w:val="nil"/>
            </w:tcBorders>
            <w:shd w:val="clear" w:color="auto" w:fill="auto"/>
          </w:tcPr>
          <w:p w14:paraId="5414E7FB" w14:textId="77777777" w:rsidR="009263AC" w:rsidRPr="001611DC" w:rsidRDefault="009263AC" w:rsidP="00EB145B">
            <w:pPr>
              <w:pStyle w:val="TableText0"/>
              <w:keepLines/>
              <w:widowControl w:val="0"/>
              <w:jc w:val="center"/>
            </w:pPr>
          </w:p>
        </w:tc>
        <w:tc>
          <w:tcPr>
            <w:tcW w:w="865" w:type="pct"/>
            <w:tcBorders>
              <w:left w:val="nil"/>
              <w:bottom w:val="single" w:sz="4" w:space="0" w:color="auto"/>
              <w:right w:val="nil"/>
            </w:tcBorders>
            <w:shd w:val="clear" w:color="auto" w:fill="auto"/>
          </w:tcPr>
          <w:p w14:paraId="411459DB" w14:textId="77777777" w:rsidR="009263AC" w:rsidRPr="001611DC" w:rsidRDefault="009263AC" w:rsidP="00EB145B">
            <w:pPr>
              <w:pStyle w:val="TableText0"/>
              <w:keepLines/>
              <w:widowControl w:val="0"/>
              <w:jc w:val="center"/>
            </w:pPr>
          </w:p>
        </w:tc>
        <w:tc>
          <w:tcPr>
            <w:tcW w:w="1308" w:type="pct"/>
            <w:tcBorders>
              <w:left w:val="nil"/>
              <w:bottom w:val="single" w:sz="4" w:space="0" w:color="auto"/>
            </w:tcBorders>
            <w:shd w:val="clear" w:color="auto" w:fill="auto"/>
            <w:vAlign w:val="center"/>
          </w:tcPr>
          <w:p w14:paraId="44C7FFF3" w14:textId="77777777" w:rsidR="009263AC" w:rsidRPr="001611DC" w:rsidRDefault="009263AC" w:rsidP="00EB145B">
            <w:pPr>
              <w:pStyle w:val="TableText0"/>
              <w:keepLines/>
              <w:widowControl w:val="0"/>
              <w:jc w:val="center"/>
              <w:rPr>
                <w:b/>
                <w:bCs w:val="0"/>
              </w:rPr>
            </w:pPr>
          </w:p>
        </w:tc>
      </w:tr>
      <w:tr w:rsidR="009263AC" w:rsidRPr="001611DC" w14:paraId="6B600C1F" w14:textId="77777777" w:rsidTr="00D67ECD">
        <w:trPr>
          <w:trHeight w:val="20"/>
        </w:trPr>
        <w:tc>
          <w:tcPr>
            <w:tcW w:w="1178" w:type="pct"/>
            <w:tcBorders>
              <w:bottom w:val="single" w:sz="4" w:space="0" w:color="auto"/>
              <w:right w:val="single" w:sz="4" w:space="0" w:color="auto"/>
            </w:tcBorders>
            <w:shd w:val="clear" w:color="auto" w:fill="auto"/>
            <w:vAlign w:val="center"/>
          </w:tcPr>
          <w:p w14:paraId="356809A9" w14:textId="77777777" w:rsidR="009263AC" w:rsidRPr="001611DC" w:rsidRDefault="009263AC" w:rsidP="00EB145B">
            <w:pPr>
              <w:pStyle w:val="TableText0"/>
              <w:keepLines/>
              <w:widowControl w:val="0"/>
            </w:pPr>
            <w:r w:rsidRPr="001611DC">
              <w:t>VE analysis 1</w:t>
            </w:r>
          </w:p>
          <w:p w14:paraId="339BAF9E" w14:textId="6D6262BA" w:rsidR="00D67ECD" w:rsidRPr="001611DC" w:rsidRDefault="00D67ECD" w:rsidP="00D67ECD">
            <w:pPr>
              <w:pStyle w:val="TableText0"/>
              <w:keepLines/>
              <w:widowControl w:val="0"/>
              <w:jc w:val="right"/>
            </w:pPr>
            <w:r w:rsidRPr="001611DC">
              <w:t>MFU 6.7 mo</w:t>
            </w:r>
            <w:r w:rsidR="005B4CE1" w:rsidRPr="001611DC">
              <w:t>nths</w:t>
            </w:r>
          </w:p>
        </w:tc>
        <w:tc>
          <w:tcPr>
            <w:tcW w:w="786" w:type="pct"/>
            <w:tcBorders>
              <w:left w:val="single" w:sz="4" w:space="0" w:color="auto"/>
              <w:bottom w:val="single" w:sz="4" w:space="0" w:color="auto"/>
              <w:right w:val="single" w:sz="4" w:space="0" w:color="auto"/>
            </w:tcBorders>
            <w:shd w:val="clear" w:color="auto" w:fill="auto"/>
            <w:vAlign w:val="center"/>
          </w:tcPr>
          <w:p w14:paraId="76AD0C5F" w14:textId="77777777" w:rsidR="009263AC" w:rsidRPr="001611DC" w:rsidRDefault="009263AC" w:rsidP="00EB145B">
            <w:pPr>
              <w:pStyle w:val="TableText0"/>
              <w:keepLines/>
              <w:widowControl w:val="0"/>
              <w:jc w:val="center"/>
            </w:pPr>
            <w:r w:rsidRPr="001611DC">
              <w:t>7/12,466 (0.1%)</w:t>
            </w:r>
          </w:p>
        </w:tc>
        <w:tc>
          <w:tcPr>
            <w:tcW w:w="863" w:type="pct"/>
            <w:tcBorders>
              <w:left w:val="single" w:sz="4" w:space="0" w:color="auto"/>
              <w:bottom w:val="single" w:sz="4" w:space="0" w:color="auto"/>
              <w:right w:val="single" w:sz="4" w:space="0" w:color="auto"/>
            </w:tcBorders>
            <w:shd w:val="clear" w:color="auto" w:fill="auto"/>
            <w:vAlign w:val="center"/>
          </w:tcPr>
          <w:p w14:paraId="67C09FC1" w14:textId="77777777" w:rsidR="009263AC" w:rsidRPr="001611DC" w:rsidRDefault="009263AC" w:rsidP="00EB145B">
            <w:pPr>
              <w:pStyle w:val="TableText0"/>
              <w:keepLines/>
              <w:widowControl w:val="0"/>
              <w:jc w:val="center"/>
            </w:pPr>
            <w:r w:rsidRPr="001611DC">
              <w:t>40/12,494 (0.3%)</w:t>
            </w:r>
          </w:p>
        </w:tc>
        <w:tc>
          <w:tcPr>
            <w:tcW w:w="865" w:type="pct"/>
            <w:tcBorders>
              <w:left w:val="single" w:sz="4" w:space="0" w:color="auto"/>
              <w:bottom w:val="single" w:sz="4" w:space="0" w:color="auto"/>
              <w:right w:val="single" w:sz="4" w:space="0" w:color="auto"/>
            </w:tcBorders>
            <w:shd w:val="clear" w:color="auto" w:fill="auto"/>
            <w:vAlign w:val="center"/>
          </w:tcPr>
          <w:p w14:paraId="63BDAA12" w14:textId="77777777" w:rsidR="009263AC" w:rsidRPr="001611DC" w:rsidRDefault="009263AC" w:rsidP="00EB145B">
            <w:pPr>
              <w:pStyle w:val="TableText0"/>
              <w:keepLines/>
              <w:widowControl w:val="0"/>
              <w:jc w:val="center"/>
            </w:pPr>
            <w:r w:rsidRPr="001611DC">
              <w:t>33 (0.3%)</w:t>
            </w:r>
          </w:p>
        </w:tc>
        <w:tc>
          <w:tcPr>
            <w:tcW w:w="1308" w:type="pct"/>
            <w:tcBorders>
              <w:left w:val="single" w:sz="4" w:space="0" w:color="auto"/>
              <w:bottom w:val="single" w:sz="4" w:space="0" w:color="auto"/>
            </w:tcBorders>
            <w:shd w:val="clear" w:color="auto" w:fill="auto"/>
            <w:vAlign w:val="center"/>
          </w:tcPr>
          <w:p w14:paraId="7E325126" w14:textId="77777777" w:rsidR="009263AC" w:rsidRPr="001611DC" w:rsidRDefault="009263AC" w:rsidP="00EB145B">
            <w:pPr>
              <w:pStyle w:val="TableText0"/>
              <w:keepLines/>
              <w:widowControl w:val="0"/>
              <w:jc w:val="center"/>
              <w:rPr>
                <w:b/>
                <w:bCs w:val="0"/>
              </w:rPr>
            </w:pPr>
            <w:r w:rsidRPr="001611DC">
              <w:rPr>
                <w:b/>
                <w:bCs w:val="0"/>
              </w:rPr>
              <w:t>82.58 (57.89, 94.08)</w:t>
            </w:r>
          </w:p>
        </w:tc>
      </w:tr>
      <w:tr w:rsidR="009263AC" w:rsidRPr="001611DC" w14:paraId="1C0BA2CC" w14:textId="77777777" w:rsidTr="00D67ECD">
        <w:trPr>
          <w:trHeight w:val="20"/>
        </w:trPr>
        <w:tc>
          <w:tcPr>
            <w:tcW w:w="1178" w:type="pct"/>
            <w:tcBorders>
              <w:bottom w:val="single" w:sz="4" w:space="0" w:color="auto"/>
              <w:right w:val="single" w:sz="4" w:space="0" w:color="auto"/>
            </w:tcBorders>
            <w:shd w:val="clear" w:color="auto" w:fill="auto"/>
            <w:vAlign w:val="center"/>
          </w:tcPr>
          <w:p w14:paraId="1ACBA2B6" w14:textId="77777777" w:rsidR="009263AC" w:rsidRPr="001611DC" w:rsidRDefault="009263AC" w:rsidP="00EB145B">
            <w:pPr>
              <w:pStyle w:val="TableText0"/>
              <w:keepLines/>
              <w:widowControl w:val="0"/>
            </w:pPr>
            <w:r w:rsidRPr="001611DC">
              <w:t>VE analysis 2</w:t>
            </w:r>
          </w:p>
          <w:p w14:paraId="5EBE0210" w14:textId="0474A0E1" w:rsidR="00D67ECD" w:rsidRPr="001611DC" w:rsidRDefault="00D67ECD" w:rsidP="00D67ECD">
            <w:pPr>
              <w:pStyle w:val="TableText0"/>
              <w:keepLines/>
              <w:widowControl w:val="0"/>
              <w:jc w:val="right"/>
            </w:pPr>
            <w:r w:rsidRPr="001611DC">
              <w:t>MFU 11.5 mo</w:t>
            </w:r>
            <w:r w:rsidR="005B4CE1" w:rsidRPr="001611DC">
              <w:t>nths</w:t>
            </w:r>
          </w:p>
        </w:tc>
        <w:tc>
          <w:tcPr>
            <w:tcW w:w="786" w:type="pct"/>
            <w:tcBorders>
              <w:left w:val="single" w:sz="4" w:space="0" w:color="auto"/>
              <w:bottom w:val="single" w:sz="4" w:space="0" w:color="auto"/>
              <w:right w:val="single" w:sz="4" w:space="0" w:color="auto"/>
            </w:tcBorders>
            <w:shd w:val="clear" w:color="auto" w:fill="auto"/>
            <w:vAlign w:val="center"/>
          </w:tcPr>
          <w:p w14:paraId="3A6202F1" w14:textId="77777777" w:rsidR="009263AC" w:rsidRPr="001611DC" w:rsidRDefault="009263AC" w:rsidP="00EB145B">
            <w:pPr>
              <w:pStyle w:val="TableText0"/>
              <w:keepLines/>
              <w:widowControl w:val="0"/>
              <w:jc w:val="center"/>
              <w:rPr>
                <w:rFonts w:cs="Times New Roman"/>
                <w:szCs w:val="20"/>
              </w:rPr>
            </w:pPr>
            <w:r w:rsidRPr="001611DC">
              <w:rPr>
                <w:rFonts w:cs="Times New Roman"/>
                <w:szCs w:val="20"/>
              </w:rPr>
              <w:t>10/12,469 (0.1%)</w:t>
            </w:r>
          </w:p>
        </w:tc>
        <w:tc>
          <w:tcPr>
            <w:tcW w:w="863" w:type="pct"/>
            <w:tcBorders>
              <w:left w:val="single" w:sz="4" w:space="0" w:color="auto"/>
              <w:bottom w:val="single" w:sz="4" w:space="0" w:color="auto"/>
              <w:right w:val="single" w:sz="4" w:space="0" w:color="auto"/>
            </w:tcBorders>
            <w:shd w:val="clear" w:color="auto" w:fill="auto"/>
            <w:vAlign w:val="center"/>
          </w:tcPr>
          <w:p w14:paraId="5D17BD4D" w14:textId="77777777" w:rsidR="009263AC" w:rsidRPr="001611DC" w:rsidRDefault="009263AC" w:rsidP="00EB145B">
            <w:pPr>
              <w:pStyle w:val="TableText0"/>
              <w:keepLines/>
              <w:widowControl w:val="0"/>
              <w:jc w:val="center"/>
              <w:rPr>
                <w:rFonts w:cs="Times New Roman"/>
                <w:szCs w:val="20"/>
              </w:rPr>
            </w:pPr>
            <w:r w:rsidRPr="001611DC">
              <w:rPr>
                <w:rFonts w:cs="Times New Roman"/>
                <w:szCs w:val="20"/>
              </w:rPr>
              <w:t>47/12,498 (0.4%)</w:t>
            </w:r>
          </w:p>
        </w:tc>
        <w:tc>
          <w:tcPr>
            <w:tcW w:w="865" w:type="pct"/>
            <w:tcBorders>
              <w:left w:val="single" w:sz="4" w:space="0" w:color="auto"/>
              <w:bottom w:val="single" w:sz="4" w:space="0" w:color="auto"/>
              <w:right w:val="single" w:sz="4" w:space="0" w:color="auto"/>
            </w:tcBorders>
            <w:shd w:val="clear" w:color="auto" w:fill="auto"/>
            <w:vAlign w:val="center"/>
          </w:tcPr>
          <w:p w14:paraId="72C6266F" w14:textId="77777777" w:rsidR="009263AC" w:rsidRPr="001611DC" w:rsidRDefault="009263AC" w:rsidP="00EB145B">
            <w:pPr>
              <w:pStyle w:val="TableText0"/>
              <w:keepLines/>
              <w:widowControl w:val="0"/>
              <w:jc w:val="center"/>
            </w:pPr>
            <w:r w:rsidRPr="001611DC">
              <w:t>37 (0.3%)</w:t>
            </w:r>
          </w:p>
        </w:tc>
        <w:tc>
          <w:tcPr>
            <w:tcW w:w="1308" w:type="pct"/>
            <w:tcBorders>
              <w:top w:val="single" w:sz="4" w:space="0" w:color="auto"/>
              <w:left w:val="single" w:sz="4" w:space="0" w:color="auto"/>
              <w:bottom w:val="single" w:sz="4" w:space="0" w:color="auto"/>
            </w:tcBorders>
            <w:shd w:val="clear" w:color="auto" w:fill="auto"/>
            <w:vAlign w:val="center"/>
          </w:tcPr>
          <w:p w14:paraId="36BD6D01" w14:textId="77777777" w:rsidR="009263AC" w:rsidRPr="001611DC" w:rsidRDefault="009263AC" w:rsidP="00EB145B">
            <w:pPr>
              <w:pStyle w:val="TableText0"/>
              <w:keepLines/>
              <w:widowControl w:val="0"/>
              <w:jc w:val="center"/>
              <w:rPr>
                <w:b/>
                <w:bCs w:val="0"/>
                <w:szCs w:val="20"/>
              </w:rPr>
            </w:pPr>
            <w:r w:rsidRPr="001611DC">
              <w:rPr>
                <w:b/>
                <w:bCs w:val="0"/>
                <w:szCs w:val="20"/>
              </w:rPr>
              <w:t>78.86 (57.60, 90.47)</w:t>
            </w:r>
          </w:p>
        </w:tc>
      </w:tr>
      <w:tr w:rsidR="009263AC" w:rsidRPr="001611DC" w14:paraId="67D35218" w14:textId="77777777" w:rsidTr="00D67ECD">
        <w:trPr>
          <w:trHeight w:val="20"/>
        </w:trPr>
        <w:tc>
          <w:tcPr>
            <w:tcW w:w="1178" w:type="pct"/>
            <w:tcBorders>
              <w:top w:val="single" w:sz="4" w:space="0" w:color="auto"/>
              <w:bottom w:val="single" w:sz="4" w:space="0" w:color="auto"/>
              <w:right w:val="single" w:sz="4" w:space="0" w:color="auto"/>
            </w:tcBorders>
            <w:shd w:val="clear" w:color="auto" w:fill="auto"/>
            <w:vAlign w:val="center"/>
          </w:tcPr>
          <w:p w14:paraId="3C9041A7" w14:textId="5E12282D" w:rsidR="009263AC" w:rsidRPr="001611DC" w:rsidRDefault="009263AC" w:rsidP="00EB145B">
            <w:pPr>
              <w:pStyle w:val="TableText0"/>
              <w:keepLines/>
              <w:widowControl w:val="0"/>
            </w:pPr>
            <w:r w:rsidRPr="001611DC">
              <w:t>VE analysis 3</w:t>
            </w:r>
          </w:p>
          <w:p w14:paraId="05712103" w14:textId="4769D74E" w:rsidR="00D67ECD" w:rsidRPr="001611DC" w:rsidRDefault="00D67ECD" w:rsidP="00D67ECD">
            <w:pPr>
              <w:pStyle w:val="TableText0"/>
              <w:keepLines/>
              <w:widowControl w:val="0"/>
              <w:jc w:val="right"/>
            </w:pPr>
            <w:r w:rsidRPr="001611DC">
              <w:t>MFU 17.8 mo</w:t>
            </w:r>
            <w:r w:rsidR="005B4CE1" w:rsidRPr="001611DC">
              <w:t>nths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00C2CB5" w14:textId="77777777" w:rsidR="009263AC" w:rsidRPr="001611DC" w:rsidRDefault="009263AC" w:rsidP="00EB145B">
            <w:pPr>
              <w:pStyle w:val="TableText0"/>
              <w:keepLines/>
              <w:widowControl w:val="0"/>
              <w:jc w:val="center"/>
            </w:pPr>
            <w:r w:rsidRPr="001611DC">
              <w:t>30/12,469 (0.2%)</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4E1BF392" w14:textId="77777777" w:rsidR="009263AC" w:rsidRPr="001611DC" w:rsidRDefault="009263AC" w:rsidP="00EB145B">
            <w:pPr>
              <w:pStyle w:val="TableText0"/>
              <w:keepLines/>
              <w:widowControl w:val="0"/>
              <w:jc w:val="center"/>
              <w:rPr>
                <w:szCs w:val="20"/>
              </w:rPr>
            </w:pPr>
            <w:r w:rsidRPr="001611DC">
              <w:rPr>
                <w:szCs w:val="20"/>
              </w:rPr>
              <w:t>139/12,498 (1.1%)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15BFD62" w14:textId="77777777" w:rsidR="009263AC" w:rsidRPr="001611DC" w:rsidRDefault="009263AC" w:rsidP="00EB145B">
            <w:pPr>
              <w:pStyle w:val="TableText0"/>
              <w:keepLines/>
              <w:widowControl w:val="0"/>
              <w:jc w:val="center"/>
            </w:pPr>
            <w:r w:rsidRPr="001611DC">
              <w:t>109 (0.9%)</w:t>
            </w:r>
          </w:p>
        </w:tc>
        <w:tc>
          <w:tcPr>
            <w:tcW w:w="1308" w:type="pct"/>
            <w:tcBorders>
              <w:top w:val="single" w:sz="4" w:space="0" w:color="auto"/>
              <w:left w:val="single" w:sz="4" w:space="0" w:color="auto"/>
              <w:bottom w:val="single" w:sz="4" w:space="0" w:color="auto"/>
            </w:tcBorders>
            <w:shd w:val="clear" w:color="auto" w:fill="auto"/>
            <w:vAlign w:val="center"/>
          </w:tcPr>
          <w:p w14:paraId="61146E2B" w14:textId="77777777" w:rsidR="009263AC" w:rsidRPr="001611DC" w:rsidRDefault="009263AC" w:rsidP="00EB145B">
            <w:pPr>
              <w:pStyle w:val="TableText0"/>
              <w:keepLines/>
              <w:widowControl w:val="0"/>
              <w:jc w:val="center"/>
              <w:rPr>
                <w:b/>
                <w:bCs w:val="0"/>
              </w:rPr>
            </w:pPr>
            <w:r w:rsidRPr="001611DC">
              <w:rPr>
                <w:b/>
                <w:bCs w:val="0"/>
              </w:rPr>
              <w:t>67.18 (48.19, 80.04)</w:t>
            </w:r>
          </w:p>
        </w:tc>
      </w:tr>
      <w:tr w:rsidR="00C013B1" w:rsidRPr="001611DC" w14:paraId="3F91675B" w14:textId="77777777" w:rsidTr="00D67ECD">
        <w:trPr>
          <w:trHeight w:val="20"/>
        </w:trPr>
        <w:tc>
          <w:tcPr>
            <w:tcW w:w="1178" w:type="pct"/>
            <w:tcBorders>
              <w:top w:val="single" w:sz="4" w:space="0" w:color="auto"/>
              <w:bottom w:val="single" w:sz="4" w:space="0" w:color="auto"/>
              <w:right w:val="single" w:sz="4" w:space="0" w:color="auto"/>
            </w:tcBorders>
            <w:shd w:val="clear" w:color="auto" w:fill="auto"/>
            <w:vAlign w:val="center"/>
          </w:tcPr>
          <w:p w14:paraId="3201B2D8" w14:textId="77777777" w:rsidR="00D91288" w:rsidRPr="001611DC" w:rsidRDefault="00D91288" w:rsidP="00D91288">
            <w:pPr>
              <w:pStyle w:val="TableText0"/>
              <w:keepLines/>
              <w:widowControl w:val="0"/>
            </w:pPr>
            <w:r w:rsidRPr="001611DC">
              <w:t>VE analysis 4</w:t>
            </w:r>
          </w:p>
          <w:p w14:paraId="245981EC" w14:textId="68625294" w:rsidR="00D91288" w:rsidRPr="001611DC" w:rsidRDefault="00D91288" w:rsidP="00D91288">
            <w:pPr>
              <w:pStyle w:val="TableText0"/>
              <w:keepLines/>
              <w:widowControl w:val="0"/>
              <w:jc w:val="right"/>
            </w:pPr>
            <w:r w:rsidRPr="001611DC">
              <w:t>MFU 23.3 months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8DA019F" w14:textId="00A9F468" w:rsidR="00D91288" w:rsidRPr="001611DC" w:rsidRDefault="00D91288" w:rsidP="00D91288">
            <w:pPr>
              <w:pStyle w:val="TableText0"/>
              <w:keepLines/>
              <w:widowControl w:val="0"/>
              <w:jc w:val="center"/>
            </w:pPr>
            <w:r w:rsidRPr="001611DC">
              <w:t>32/12,468 (</w:t>
            </w:r>
            <w:r w:rsidR="004B6FB0" w:rsidRPr="001611DC">
              <w:t>0.3</w:t>
            </w:r>
            <w:r w:rsidRPr="001611DC">
              <w:t>%)</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7E7CDDCA" w14:textId="38AA5F16" w:rsidR="00D91288" w:rsidRPr="001611DC" w:rsidRDefault="00D91288" w:rsidP="00D91288">
            <w:pPr>
              <w:pStyle w:val="TableText0"/>
              <w:keepLines/>
              <w:widowControl w:val="0"/>
              <w:jc w:val="center"/>
              <w:rPr>
                <w:szCs w:val="20"/>
              </w:rPr>
            </w:pPr>
            <w:r w:rsidRPr="001611DC">
              <w:rPr>
                <w:szCs w:val="20"/>
              </w:rPr>
              <w:t>154/12,498 (</w:t>
            </w:r>
            <w:r w:rsidR="004B6FB0" w:rsidRPr="001611DC">
              <w:rPr>
                <w:szCs w:val="20"/>
              </w:rPr>
              <w:t>1</w:t>
            </w:r>
            <w:r w:rsidRPr="001611DC">
              <w:rPr>
                <w:szCs w:val="20"/>
              </w:rPr>
              <w:t>.</w:t>
            </w:r>
            <w:r w:rsidR="004B6FB0" w:rsidRPr="001611DC">
              <w:rPr>
                <w:szCs w:val="20"/>
              </w:rPr>
              <w:t>2</w:t>
            </w:r>
            <w:r w:rsidRPr="001611DC">
              <w:rPr>
                <w:szCs w:val="20"/>
              </w:rPr>
              <w:t>%)</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175594F5" w14:textId="2906EE3E" w:rsidR="00D91288" w:rsidRPr="001611DC" w:rsidRDefault="00D91288" w:rsidP="00D91288">
            <w:pPr>
              <w:pStyle w:val="TableText0"/>
              <w:keepLines/>
              <w:widowControl w:val="0"/>
              <w:jc w:val="center"/>
            </w:pPr>
            <w:r w:rsidRPr="001611DC">
              <w:t>1</w:t>
            </w:r>
            <w:r w:rsidR="004B6FB0" w:rsidRPr="001611DC">
              <w:t>22</w:t>
            </w:r>
            <w:r w:rsidRPr="001611DC">
              <w:t xml:space="preserve"> (</w:t>
            </w:r>
            <w:r w:rsidR="004B6FB0" w:rsidRPr="001611DC">
              <w:t>1</w:t>
            </w:r>
            <w:r w:rsidRPr="001611DC">
              <w:t>.</w:t>
            </w:r>
            <w:r w:rsidR="004B6FB0" w:rsidRPr="001611DC">
              <w:t>0</w:t>
            </w:r>
            <w:r w:rsidRPr="001611DC">
              <w:t>%)</w:t>
            </w:r>
          </w:p>
        </w:tc>
        <w:tc>
          <w:tcPr>
            <w:tcW w:w="1308" w:type="pct"/>
            <w:tcBorders>
              <w:top w:val="single" w:sz="4" w:space="0" w:color="auto"/>
              <w:left w:val="single" w:sz="4" w:space="0" w:color="auto"/>
              <w:bottom w:val="single" w:sz="4" w:space="0" w:color="auto"/>
            </w:tcBorders>
            <w:shd w:val="clear" w:color="auto" w:fill="auto"/>
            <w:vAlign w:val="center"/>
          </w:tcPr>
          <w:p w14:paraId="4940372C" w14:textId="545E6F8E" w:rsidR="00D91288" w:rsidRPr="001611DC" w:rsidRDefault="00D91288" w:rsidP="00D91288">
            <w:pPr>
              <w:pStyle w:val="TableText0"/>
              <w:keepLines/>
              <w:widowControl w:val="0"/>
              <w:jc w:val="center"/>
              <w:rPr>
                <w:b/>
                <w:bCs w:val="0"/>
              </w:rPr>
            </w:pPr>
            <w:r w:rsidRPr="001611DC">
              <w:rPr>
                <w:b/>
              </w:rPr>
              <w:t>67.7 (52.3, 78.7)</w:t>
            </w:r>
          </w:p>
        </w:tc>
      </w:tr>
      <w:tr w:rsidR="00D91288" w:rsidRPr="001611DC" w14:paraId="3AF0EF0F" w14:textId="77777777" w:rsidTr="00D67ECD">
        <w:trPr>
          <w:trHeight w:val="20"/>
        </w:trPr>
        <w:tc>
          <w:tcPr>
            <w:tcW w:w="1178" w:type="pct"/>
            <w:tcBorders>
              <w:top w:val="single" w:sz="4" w:space="0" w:color="auto"/>
              <w:bottom w:val="single" w:sz="4" w:space="0" w:color="auto"/>
              <w:right w:val="nil"/>
            </w:tcBorders>
            <w:shd w:val="clear" w:color="auto" w:fill="auto"/>
            <w:vAlign w:val="center"/>
          </w:tcPr>
          <w:p w14:paraId="310140D4" w14:textId="153CF8B5" w:rsidR="00D91288" w:rsidRPr="001611DC" w:rsidRDefault="00D91288" w:rsidP="00D91288">
            <w:pPr>
              <w:pStyle w:val="TableText0"/>
              <w:keepLines/>
              <w:widowControl w:val="0"/>
              <w:rPr>
                <w:b/>
                <w:bCs w:val="0"/>
              </w:rPr>
            </w:pPr>
            <w:r w:rsidRPr="001611DC">
              <w:rPr>
                <w:b/>
                <w:bCs w:val="0"/>
              </w:rPr>
              <w:t>≥75 YOA (all single dose)</w:t>
            </w:r>
          </w:p>
        </w:tc>
        <w:tc>
          <w:tcPr>
            <w:tcW w:w="786" w:type="pct"/>
            <w:tcBorders>
              <w:top w:val="single" w:sz="4" w:space="0" w:color="auto"/>
              <w:left w:val="nil"/>
              <w:bottom w:val="single" w:sz="4" w:space="0" w:color="auto"/>
              <w:right w:val="nil"/>
            </w:tcBorders>
            <w:shd w:val="clear" w:color="auto" w:fill="auto"/>
            <w:vAlign w:val="center"/>
          </w:tcPr>
          <w:p w14:paraId="1820E441" w14:textId="77777777" w:rsidR="00D91288" w:rsidRPr="001611DC" w:rsidRDefault="00D91288" w:rsidP="00D91288">
            <w:pPr>
              <w:pStyle w:val="TableText0"/>
              <w:keepLines/>
              <w:widowControl w:val="0"/>
              <w:jc w:val="center"/>
              <w:rPr>
                <w:b/>
                <w:bCs w:val="0"/>
                <w:szCs w:val="20"/>
              </w:rPr>
            </w:pPr>
          </w:p>
        </w:tc>
        <w:tc>
          <w:tcPr>
            <w:tcW w:w="863" w:type="pct"/>
            <w:tcBorders>
              <w:top w:val="single" w:sz="4" w:space="0" w:color="auto"/>
              <w:left w:val="nil"/>
              <w:bottom w:val="single" w:sz="4" w:space="0" w:color="auto"/>
              <w:right w:val="nil"/>
            </w:tcBorders>
            <w:shd w:val="clear" w:color="auto" w:fill="auto"/>
            <w:vAlign w:val="center"/>
          </w:tcPr>
          <w:p w14:paraId="40E13FEB" w14:textId="77777777" w:rsidR="00D91288" w:rsidRPr="001611DC" w:rsidRDefault="00D91288" w:rsidP="00D91288">
            <w:pPr>
              <w:pStyle w:val="TableText0"/>
              <w:keepLines/>
              <w:widowControl w:val="0"/>
              <w:jc w:val="center"/>
              <w:rPr>
                <w:b/>
                <w:bCs w:val="0"/>
                <w:szCs w:val="20"/>
              </w:rPr>
            </w:pPr>
          </w:p>
        </w:tc>
        <w:tc>
          <w:tcPr>
            <w:tcW w:w="865" w:type="pct"/>
            <w:tcBorders>
              <w:top w:val="single" w:sz="4" w:space="0" w:color="auto"/>
              <w:left w:val="nil"/>
              <w:bottom w:val="single" w:sz="4" w:space="0" w:color="auto"/>
              <w:right w:val="nil"/>
            </w:tcBorders>
            <w:shd w:val="clear" w:color="auto" w:fill="auto"/>
            <w:vAlign w:val="center"/>
          </w:tcPr>
          <w:p w14:paraId="1C5DFDF4" w14:textId="77777777" w:rsidR="00D91288" w:rsidRPr="001611DC" w:rsidRDefault="00D91288" w:rsidP="00D91288">
            <w:pPr>
              <w:pStyle w:val="TableText0"/>
              <w:keepLines/>
              <w:widowControl w:val="0"/>
              <w:jc w:val="center"/>
              <w:rPr>
                <w:rFonts w:cs="Times New Roman"/>
                <w:b/>
                <w:bCs w:val="0"/>
                <w:szCs w:val="20"/>
              </w:rPr>
            </w:pPr>
          </w:p>
        </w:tc>
        <w:tc>
          <w:tcPr>
            <w:tcW w:w="1308" w:type="pct"/>
            <w:tcBorders>
              <w:top w:val="single" w:sz="4" w:space="0" w:color="auto"/>
              <w:left w:val="nil"/>
              <w:bottom w:val="single" w:sz="4" w:space="0" w:color="auto"/>
            </w:tcBorders>
            <w:shd w:val="clear" w:color="auto" w:fill="auto"/>
            <w:vAlign w:val="center"/>
          </w:tcPr>
          <w:p w14:paraId="5CE43C7A" w14:textId="77777777" w:rsidR="00D91288" w:rsidRPr="001611DC" w:rsidRDefault="00D91288" w:rsidP="00D91288">
            <w:pPr>
              <w:pStyle w:val="TableText0"/>
              <w:keepLines/>
              <w:widowControl w:val="0"/>
              <w:jc w:val="center"/>
              <w:rPr>
                <w:b/>
                <w:bCs w:val="0"/>
              </w:rPr>
            </w:pPr>
          </w:p>
        </w:tc>
      </w:tr>
      <w:tr w:rsidR="00D91288" w:rsidRPr="001611DC" w14:paraId="5B219C1A" w14:textId="77777777" w:rsidTr="00D67ECD">
        <w:trPr>
          <w:trHeight w:val="20"/>
        </w:trPr>
        <w:tc>
          <w:tcPr>
            <w:tcW w:w="1178" w:type="pct"/>
            <w:tcBorders>
              <w:top w:val="single" w:sz="4" w:space="0" w:color="auto"/>
              <w:bottom w:val="single" w:sz="4" w:space="0" w:color="auto"/>
              <w:right w:val="single" w:sz="4" w:space="0" w:color="auto"/>
            </w:tcBorders>
            <w:shd w:val="clear" w:color="auto" w:fill="auto"/>
            <w:vAlign w:val="center"/>
          </w:tcPr>
          <w:p w14:paraId="19A6C903" w14:textId="77777777" w:rsidR="00D91288" w:rsidRPr="001611DC" w:rsidRDefault="00D91288" w:rsidP="00D91288">
            <w:pPr>
              <w:pStyle w:val="TableText0"/>
              <w:keepLines/>
              <w:widowControl w:val="0"/>
            </w:pPr>
            <w:r w:rsidRPr="001611DC">
              <w:t>VE analysis 1</w:t>
            </w:r>
          </w:p>
          <w:p w14:paraId="480FEB04" w14:textId="60BB082C" w:rsidR="00D91288" w:rsidRPr="001611DC" w:rsidRDefault="00D91288" w:rsidP="00D91288">
            <w:pPr>
              <w:pStyle w:val="TableText0"/>
              <w:keepLines/>
              <w:widowControl w:val="0"/>
              <w:jc w:val="right"/>
            </w:pPr>
            <w:r w:rsidRPr="001611DC">
              <w:t>MFU 6.7 months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5B7C6C1" w14:textId="77777777" w:rsidR="00D91288" w:rsidRPr="001611DC" w:rsidRDefault="00D91288" w:rsidP="00D91288">
            <w:pPr>
              <w:pStyle w:val="TableText0"/>
              <w:keepLines/>
              <w:widowControl w:val="0"/>
              <w:jc w:val="center"/>
              <w:rPr>
                <w:szCs w:val="20"/>
              </w:rPr>
            </w:pPr>
            <w:r w:rsidRPr="001611DC">
              <w:rPr>
                <w:szCs w:val="20"/>
              </w:rPr>
              <w:t>3/2,671 (0.1%)</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1650ACD6" w14:textId="77777777" w:rsidR="00D91288" w:rsidRPr="001611DC" w:rsidRDefault="00D91288" w:rsidP="00D91288">
            <w:pPr>
              <w:pStyle w:val="TableText0"/>
              <w:keepLines/>
              <w:widowControl w:val="0"/>
              <w:jc w:val="center"/>
              <w:rPr>
                <w:szCs w:val="20"/>
              </w:rPr>
            </w:pPr>
            <w:r w:rsidRPr="001611DC">
              <w:rPr>
                <w:szCs w:val="20"/>
              </w:rPr>
              <w:t>6/2,646 (0.2%)</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003559A" w14:textId="77777777" w:rsidR="00D91288" w:rsidRPr="001611DC" w:rsidRDefault="00D91288" w:rsidP="00D91288">
            <w:pPr>
              <w:pStyle w:val="TableText0"/>
              <w:keepLines/>
              <w:widowControl w:val="0"/>
              <w:jc w:val="center"/>
              <w:rPr>
                <w:rFonts w:cs="Times New Roman"/>
                <w:szCs w:val="20"/>
              </w:rPr>
            </w:pPr>
            <w:r w:rsidRPr="001611DC">
              <w:rPr>
                <w:rFonts w:cs="Times New Roman"/>
                <w:szCs w:val="20"/>
              </w:rPr>
              <w:t>3 (0.1%)</w:t>
            </w:r>
          </w:p>
        </w:tc>
        <w:tc>
          <w:tcPr>
            <w:tcW w:w="1308" w:type="pct"/>
            <w:tcBorders>
              <w:top w:val="single" w:sz="4" w:space="0" w:color="auto"/>
              <w:left w:val="single" w:sz="4" w:space="0" w:color="auto"/>
              <w:bottom w:val="single" w:sz="4" w:space="0" w:color="auto"/>
            </w:tcBorders>
            <w:shd w:val="clear" w:color="auto" w:fill="auto"/>
            <w:vAlign w:val="center"/>
          </w:tcPr>
          <w:p w14:paraId="0AF7AFD8" w14:textId="77777777" w:rsidR="00D91288" w:rsidRPr="001611DC" w:rsidRDefault="00D91288" w:rsidP="00D91288">
            <w:pPr>
              <w:pStyle w:val="TableText0"/>
              <w:keepLines/>
              <w:widowControl w:val="0"/>
              <w:jc w:val="center"/>
            </w:pPr>
            <w:r w:rsidRPr="001611DC">
              <w:t>52.48 (-122.52, 92.31)</w:t>
            </w:r>
          </w:p>
        </w:tc>
      </w:tr>
      <w:tr w:rsidR="00D91288" w:rsidRPr="001611DC" w14:paraId="364A31A7" w14:textId="77777777" w:rsidTr="00D67ECD">
        <w:trPr>
          <w:trHeight w:val="20"/>
        </w:trPr>
        <w:tc>
          <w:tcPr>
            <w:tcW w:w="1178" w:type="pct"/>
            <w:tcBorders>
              <w:top w:val="single" w:sz="4" w:space="0" w:color="auto"/>
              <w:bottom w:val="single" w:sz="4" w:space="0" w:color="auto"/>
              <w:right w:val="single" w:sz="4" w:space="0" w:color="auto"/>
            </w:tcBorders>
            <w:shd w:val="clear" w:color="auto" w:fill="auto"/>
            <w:vAlign w:val="center"/>
          </w:tcPr>
          <w:p w14:paraId="25324089" w14:textId="458CBA3B" w:rsidR="00D91288" w:rsidRPr="001611DC" w:rsidRDefault="00D91288" w:rsidP="00D91288">
            <w:pPr>
              <w:pStyle w:val="TableText0"/>
              <w:keepLines/>
              <w:widowControl w:val="0"/>
            </w:pPr>
            <w:r w:rsidRPr="001611DC">
              <w:t>VE analysis 3</w:t>
            </w:r>
          </w:p>
          <w:p w14:paraId="336E78D9" w14:textId="6197F9BB" w:rsidR="00D91288" w:rsidRPr="001611DC" w:rsidRDefault="00D91288" w:rsidP="00D91288">
            <w:pPr>
              <w:pStyle w:val="TableText0"/>
              <w:keepLines/>
              <w:widowControl w:val="0"/>
              <w:jc w:val="right"/>
            </w:pPr>
            <w:r w:rsidRPr="001611DC">
              <w:t>MFU 17.8 months</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01EE9C9" w14:textId="77777777" w:rsidR="00D91288" w:rsidRPr="001611DC" w:rsidRDefault="00D91288" w:rsidP="00D91288">
            <w:pPr>
              <w:pStyle w:val="TableText0"/>
              <w:keepLines/>
              <w:widowControl w:val="0"/>
              <w:jc w:val="center"/>
              <w:rPr>
                <w:szCs w:val="20"/>
              </w:rPr>
            </w:pPr>
            <w:r w:rsidRPr="001611DC">
              <w:rPr>
                <w:szCs w:val="20"/>
              </w:rPr>
              <w:t>8/2,672 (0.3%)</w:t>
            </w:r>
          </w:p>
        </w:tc>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14:paraId="2CFB8C67" w14:textId="77777777" w:rsidR="00D91288" w:rsidRPr="001611DC" w:rsidRDefault="00D91288" w:rsidP="00D91288">
            <w:pPr>
              <w:pStyle w:val="TableText0"/>
              <w:keepLines/>
              <w:widowControl w:val="0"/>
              <w:jc w:val="center"/>
              <w:rPr>
                <w:szCs w:val="20"/>
              </w:rPr>
            </w:pPr>
            <w:r w:rsidRPr="001611DC">
              <w:rPr>
                <w:szCs w:val="20"/>
              </w:rPr>
              <w:t>24/2,647 (0.9%)</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94610BA" w14:textId="77777777" w:rsidR="00D91288" w:rsidRPr="001611DC" w:rsidRDefault="00D91288" w:rsidP="00D91288">
            <w:pPr>
              <w:pStyle w:val="TableText0"/>
              <w:keepLines/>
              <w:widowControl w:val="0"/>
              <w:jc w:val="center"/>
              <w:rPr>
                <w:rFonts w:cs="Times New Roman"/>
                <w:szCs w:val="20"/>
              </w:rPr>
            </w:pPr>
            <w:r w:rsidRPr="001611DC">
              <w:rPr>
                <w:rFonts w:cs="Times New Roman"/>
                <w:szCs w:val="20"/>
              </w:rPr>
              <w:t>16 (0.6%)</w:t>
            </w:r>
          </w:p>
        </w:tc>
        <w:tc>
          <w:tcPr>
            <w:tcW w:w="1308" w:type="pct"/>
            <w:tcBorders>
              <w:top w:val="single" w:sz="4" w:space="0" w:color="auto"/>
              <w:left w:val="single" w:sz="4" w:space="0" w:color="auto"/>
              <w:bottom w:val="single" w:sz="4" w:space="0" w:color="auto"/>
            </w:tcBorders>
            <w:shd w:val="clear" w:color="auto" w:fill="auto"/>
            <w:vAlign w:val="center"/>
          </w:tcPr>
          <w:p w14:paraId="1FFC8A16" w14:textId="77777777" w:rsidR="00D91288" w:rsidRPr="001611DC" w:rsidRDefault="00D91288" w:rsidP="00D91288">
            <w:pPr>
              <w:pStyle w:val="TableText0"/>
              <w:keepLines/>
              <w:widowControl w:val="0"/>
              <w:jc w:val="center"/>
            </w:pPr>
            <w:r w:rsidRPr="001611DC">
              <w:t>49.33 (-18.24, 80.56)</w:t>
            </w:r>
          </w:p>
        </w:tc>
      </w:tr>
    </w:tbl>
    <w:tbl>
      <w:tblPr>
        <w:tblW w:w="5000" w:type="pct"/>
        <w:tblLayout w:type="fixed"/>
        <w:tblCellMar>
          <w:left w:w="28" w:type="dxa"/>
          <w:right w:w="28" w:type="dxa"/>
        </w:tblCellMar>
        <w:tblLook w:val="04A0" w:firstRow="1" w:lastRow="0" w:firstColumn="1" w:lastColumn="0" w:noHBand="0" w:noVBand="1"/>
        <w:tblCaption w:val="Table 13: Summary of comparative benefits and harms for RSVpreF3 OA and placebo"/>
      </w:tblPr>
      <w:tblGrid>
        <w:gridCol w:w="1150"/>
        <w:gridCol w:w="1141"/>
        <w:gridCol w:w="1284"/>
        <w:gridCol w:w="1555"/>
        <w:gridCol w:w="1133"/>
        <w:gridCol w:w="1362"/>
        <w:gridCol w:w="1392"/>
      </w:tblGrid>
      <w:tr w:rsidR="009263AC" w:rsidRPr="001611DC" w14:paraId="0CAFC47B" w14:textId="77777777" w:rsidTr="00EB145B">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bookmarkEnd w:id="78"/>
          <w:bookmarkEnd w:id="79"/>
          <w:p w14:paraId="575FAE55" w14:textId="77777777" w:rsidR="009263AC" w:rsidRPr="001611DC" w:rsidRDefault="009263AC" w:rsidP="00EB145B">
            <w:pPr>
              <w:pStyle w:val="In-tableHeading"/>
              <w:rPr>
                <w:lang w:val="en-AU"/>
              </w:rPr>
            </w:pPr>
            <w:r w:rsidRPr="001611DC">
              <w:rPr>
                <w:lang w:val="en-AU"/>
              </w:rPr>
              <w:t xml:space="preserve">Harms </w:t>
            </w:r>
          </w:p>
        </w:tc>
      </w:tr>
      <w:tr w:rsidR="009263AC" w:rsidRPr="001611DC" w14:paraId="2BA5F86A" w14:textId="77777777" w:rsidTr="00EB145B">
        <w:trPr>
          <w:trHeight w:val="70"/>
        </w:trPr>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114EBE" w14:textId="30F082E7" w:rsidR="009263AC" w:rsidRPr="001611DC" w:rsidRDefault="009263AC" w:rsidP="00EB145B">
            <w:pPr>
              <w:pStyle w:val="In-tableHeading"/>
              <w:rPr>
                <w:lang w:val="en-AU"/>
              </w:rPr>
            </w:pPr>
            <w:r w:rsidRPr="001611DC">
              <w:rPr>
                <w:lang w:val="en-AU"/>
              </w:rPr>
              <w:t>A</w:t>
            </w:r>
            <w:r w:rsidR="0083552E" w:rsidRPr="001611DC">
              <w:rPr>
                <w:lang w:val="en-AU"/>
              </w:rPr>
              <w:t>r</w:t>
            </w:r>
            <w:r w:rsidRPr="001611DC">
              <w:rPr>
                <w:lang w:val="en-AU"/>
              </w:rPr>
              <w:t>eSVi-006</w:t>
            </w:r>
          </w:p>
        </w:tc>
        <w:tc>
          <w:tcPr>
            <w:tcW w:w="633" w:type="pct"/>
            <w:vMerge w:val="restart"/>
            <w:tcBorders>
              <w:top w:val="single" w:sz="4" w:space="0" w:color="auto"/>
              <w:left w:val="single" w:sz="4" w:space="0" w:color="auto"/>
              <w:bottom w:val="single" w:sz="4" w:space="0" w:color="auto"/>
              <w:right w:val="single" w:sz="4" w:space="0" w:color="auto"/>
            </w:tcBorders>
            <w:vAlign w:val="center"/>
          </w:tcPr>
          <w:p w14:paraId="0906A160" w14:textId="77777777" w:rsidR="009263AC" w:rsidRPr="001611DC" w:rsidRDefault="009263AC" w:rsidP="00EB145B">
            <w:pPr>
              <w:pStyle w:val="In-tableHeading"/>
              <w:jc w:val="center"/>
              <w:rPr>
                <w:lang w:val="en-AU"/>
              </w:rPr>
            </w:pPr>
            <w:r w:rsidRPr="001611DC">
              <w:rPr>
                <w:lang w:val="en-AU"/>
              </w:rPr>
              <w:t>RSVpreF3 OA</w:t>
            </w:r>
          </w:p>
          <w:p w14:paraId="5E6984E3" w14:textId="77777777" w:rsidR="009263AC" w:rsidRPr="001611DC" w:rsidRDefault="009263AC" w:rsidP="00EB145B">
            <w:pPr>
              <w:pStyle w:val="In-tableHeading"/>
              <w:jc w:val="center"/>
              <w:rPr>
                <w:lang w:val="en-AU"/>
              </w:rPr>
            </w:pPr>
            <w:r w:rsidRPr="001611DC">
              <w:rPr>
                <w:lang w:val="en-AU"/>
              </w:rPr>
              <w:t>n/N</w:t>
            </w:r>
          </w:p>
        </w:tc>
        <w:tc>
          <w:tcPr>
            <w:tcW w:w="712" w:type="pct"/>
            <w:vMerge w:val="restart"/>
            <w:tcBorders>
              <w:top w:val="single" w:sz="4" w:space="0" w:color="auto"/>
              <w:left w:val="single" w:sz="4" w:space="0" w:color="auto"/>
              <w:bottom w:val="single" w:sz="4" w:space="0" w:color="auto"/>
              <w:right w:val="single" w:sz="4" w:space="0" w:color="auto"/>
            </w:tcBorders>
            <w:vAlign w:val="center"/>
          </w:tcPr>
          <w:p w14:paraId="111BEE55" w14:textId="77777777" w:rsidR="009263AC" w:rsidRPr="001611DC" w:rsidRDefault="009263AC" w:rsidP="00EB145B">
            <w:pPr>
              <w:pStyle w:val="In-tableHeading"/>
              <w:jc w:val="center"/>
              <w:rPr>
                <w:lang w:val="en-AU"/>
              </w:rPr>
            </w:pPr>
            <w:r w:rsidRPr="001611DC">
              <w:rPr>
                <w:lang w:val="en-AU"/>
              </w:rPr>
              <w:t>Placebo</w:t>
            </w:r>
          </w:p>
          <w:p w14:paraId="7792DBA3" w14:textId="77777777" w:rsidR="009263AC" w:rsidRPr="001611DC" w:rsidRDefault="009263AC" w:rsidP="00EB145B">
            <w:pPr>
              <w:pStyle w:val="In-tableHeading"/>
              <w:jc w:val="center"/>
              <w:rPr>
                <w:lang w:val="en-AU"/>
              </w:rPr>
            </w:pPr>
            <w:r w:rsidRPr="001611DC">
              <w:rPr>
                <w:lang w:val="en-AU"/>
              </w:rPr>
              <w:t>n/N</w:t>
            </w:r>
          </w:p>
        </w:tc>
        <w:tc>
          <w:tcPr>
            <w:tcW w:w="862" w:type="pct"/>
            <w:vMerge w:val="restart"/>
            <w:tcBorders>
              <w:top w:val="single" w:sz="4" w:space="0" w:color="auto"/>
              <w:left w:val="single" w:sz="4" w:space="0" w:color="auto"/>
              <w:bottom w:val="single" w:sz="4" w:space="0" w:color="auto"/>
              <w:right w:val="single" w:sz="4" w:space="0" w:color="auto"/>
            </w:tcBorders>
            <w:vAlign w:val="center"/>
          </w:tcPr>
          <w:p w14:paraId="5800F539" w14:textId="77777777" w:rsidR="009263AC" w:rsidRPr="001611DC" w:rsidRDefault="009263AC" w:rsidP="00EB145B">
            <w:pPr>
              <w:pStyle w:val="In-tableHeading"/>
              <w:jc w:val="center"/>
              <w:rPr>
                <w:lang w:val="en-AU"/>
              </w:rPr>
            </w:pPr>
            <w:r w:rsidRPr="001611DC">
              <w:rPr>
                <w:lang w:val="en-AU"/>
              </w:rPr>
              <w:t>RR</w:t>
            </w:r>
          </w:p>
          <w:p w14:paraId="37CC7309" w14:textId="77777777" w:rsidR="009263AC" w:rsidRPr="001611DC" w:rsidRDefault="009263AC" w:rsidP="00EB145B">
            <w:pPr>
              <w:pStyle w:val="In-tableHeading"/>
              <w:jc w:val="center"/>
              <w:rPr>
                <w:lang w:val="en-AU"/>
              </w:rPr>
            </w:pPr>
            <w:r w:rsidRPr="001611DC">
              <w:rPr>
                <w:lang w:val="en-AU"/>
              </w:rPr>
              <w:t>(95% CI)</w:t>
            </w:r>
          </w:p>
        </w:tc>
        <w:tc>
          <w:tcPr>
            <w:tcW w:w="1383" w:type="pct"/>
            <w:gridSpan w:val="2"/>
            <w:tcBorders>
              <w:top w:val="single" w:sz="4" w:space="0" w:color="auto"/>
              <w:left w:val="single" w:sz="4" w:space="0" w:color="auto"/>
              <w:bottom w:val="single" w:sz="4" w:space="0" w:color="auto"/>
              <w:right w:val="single" w:sz="4" w:space="0" w:color="auto"/>
            </w:tcBorders>
            <w:vAlign w:val="center"/>
          </w:tcPr>
          <w:p w14:paraId="3965E641" w14:textId="77777777" w:rsidR="009263AC" w:rsidRPr="001611DC" w:rsidRDefault="009263AC" w:rsidP="00EB145B">
            <w:pPr>
              <w:pStyle w:val="In-tableHeading"/>
              <w:jc w:val="center"/>
              <w:rPr>
                <w:lang w:val="en-AU"/>
              </w:rPr>
            </w:pPr>
            <w:r w:rsidRPr="001611DC">
              <w:rPr>
                <w:lang w:val="en-AU"/>
              </w:rPr>
              <w:t>Event rate/100 patients</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14:paraId="153F181E" w14:textId="77777777" w:rsidR="009263AC" w:rsidRPr="001611DC" w:rsidRDefault="009263AC" w:rsidP="00EB145B">
            <w:pPr>
              <w:pStyle w:val="In-tableHeading"/>
              <w:jc w:val="center"/>
              <w:rPr>
                <w:lang w:val="en-AU"/>
              </w:rPr>
            </w:pPr>
            <w:r w:rsidRPr="001611DC">
              <w:rPr>
                <w:lang w:val="en-AU"/>
              </w:rPr>
              <w:t>RD</w:t>
            </w:r>
          </w:p>
          <w:p w14:paraId="308CFBD5" w14:textId="77777777" w:rsidR="009263AC" w:rsidRPr="001611DC" w:rsidRDefault="009263AC" w:rsidP="00EB145B">
            <w:pPr>
              <w:pStyle w:val="In-tableHeading"/>
              <w:jc w:val="center"/>
              <w:rPr>
                <w:lang w:val="en-AU"/>
              </w:rPr>
            </w:pPr>
            <w:r w:rsidRPr="001611DC">
              <w:rPr>
                <w:lang w:val="en-AU"/>
              </w:rPr>
              <w:t>(95% CI)</w:t>
            </w:r>
          </w:p>
        </w:tc>
      </w:tr>
      <w:tr w:rsidR="009263AC" w:rsidRPr="001611DC" w14:paraId="06456604" w14:textId="77777777" w:rsidTr="00EB145B">
        <w:trPr>
          <w:trHeight w:val="390"/>
        </w:trPr>
        <w:tc>
          <w:tcPr>
            <w:tcW w:w="63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37D2C7" w14:textId="77777777" w:rsidR="009263AC" w:rsidRPr="001611DC" w:rsidRDefault="009263AC" w:rsidP="00EB145B">
            <w:pPr>
              <w:pStyle w:val="In-tableHeading"/>
              <w:rPr>
                <w:lang w:val="en-AU"/>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0D9DCEB9" w14:textId="77777777" w:rsidR="009263AC" w:rsidRPr="001611DC" w:rsidRDefault="009263AC" w:rsidP="00EB145B">
            <w:pPr>
              <w:pStyle w:val="In-tableHeading"/>
              <w:rPr>
                <w:lang w:val="en-AU"/>
              </w:rPr>
            </w:pPr>
          </w:p>
        </w:tc>
        <w:tc>
          <w:tcPr>
            <w:tcW w:w="712" w:type="pct"/>
            <w:vMerge/>
            <w:tcBorders>
              <w:top w:val="single" w:sz="4" w:space="0" w:color="auto"/>
              <w:left w:val="single" w:sz="4" w:space="0" w:color="auto"/>
              <w:bottom w:val="single" w:sz="4" w:space="0" w:color="auto"/>
              <w:right w:val="single" w:sz="4" w:space="0" w:color="auto"/>
            </w:tcBorders>
            <w:vAlign w:val="center"/>
          </w:tcPr>
          <w:p w14:paraId="7A104C0C" w14:textId="77777777" w:rsidR="009263AC" w:rsidRPr="001611DC" w:rsidRDefault="009263AC" w:rsidP="00EB145B">
            <w:pPr>
              <w:pStyle w:val="In-tableHeading"/>
              <w:rPr>
                <w:lang w:val="en-AU"/>
              </w:rPr>
            </w:pPr>
          </w:p>
        </w:tc>
        <w:tc>
          <w:tcPr>
            <w:tcW w:w="862" w:type="pct"/>
            <w:vMerge/>
            <w:tcBorders>
              <w:top w:val="single" w:sz="4" w:space="0" w:color="auto"/>
              <w:left w:val="single" w:sz="4" w:space="0" w:color="auto"/>
              <w:bottom w:val="single" w:sz="4" w:space="0" w:color="auto"/>
              <w:right w:val="single" w:sz="4" w:space="0" w:color="auto"/>
            </w:tcBorders>
            <w:vAlign w:val="center"/>
          </w:tcPr>
          <w:p w14:paraId="5E425514" w14:textId="77777777" w:rsidR="009263AC" w:rsidRPr="001611DC" w:rsidRDefault="009263AC" w:rsidP="00EB145B">
            <w:pPr>
              <w:pStyle w:val="In-tableHeading"/>
              <w:rPr>
                <w:lang w:val="en-AU"/>
              </w:rPr>
            </w:pPr>
          </w:p>
        </w:tc>
        <w:tc>
          <w:tcPr>
            <w:tcW w:w="628" w:type="pct"/>
            <w:tcBorders>
              <w:top w:val="single" w:sz="4" w:space="0" w:color="auto"/>
              <w:left w:val="single" w:sz="4" w:space="0" w:color="auto"/>
              <w:bottom w:val="single" w:sz="4" w:space="0" w:color="auto"/>
              <w:right w:val="single" w:sz="4" w:space="0" w:color="auto"/>
            </w:tcBorders>
            <w:vAlign w:val="center"/>
          </w:tcPr>
          <w:p w14:paraId="31C6CFAF" w14:textId="77777777" w:rsidR="009263AC" w:rsidRPr="001611DC" w:rsidRDefault="009263AC" w:rsidP="00EB145B">
            <w:pPr>
              <w:pStyle w:val="In-tableHeading"/>
              <w:jc w:val="center"/>
              <w:rPr>
                <w:lang w:val="en-AU"/>
              </w:rPr>
            </w:pPr>
            <w:r w:rsidRPr="001611DC">
              <w:rPr>
                <w:lang w:val="en-AU"/>
              </w:rPr>
              <w:t>RSVpreF3 OA</w:t>
            </w:r>
          </w:p>
        </w:tc>
        <w:tc>
          <w:tcPr>
            <w:tcW w:w="755" w:type="pct"/>
            <w:tcBorders>
              <w:top w:val="single" w:sz="4" w:space="0" w:color="auto"/>
              <w:left w:val="single" w:sz="4" w:space="0" w:color="auto"/>
              <w:bottom w:val="single" w:sz="4" w:space="0" w:color="auto"/>
              <w:right w:val="single" w:sz="4" w:space="0" w:color="auto"/>
            </w:tcBorders>
            <w:vAlign w:val="center"/>
          </w:tcPr>
          <w:p w14:paraId="331A4A3C" w14:textId="77777777" w:rsidR="009263AC" w:rsidRPr="001611DC" w:rsidRDefault="009263AC" w:rsidP="00EB145B">
            <w:pPr>
              <w:pStyle w:val="In-tableHeading"/>
              <w:jc w:val="center"/>
              <w:rPr>
                <w:lang w:val="en-AU"/>
              </w:rPr>
            </w:pPr>
            <w:r w:rsidRPr="001611DC">
              <w:rPr>
                <w:lang w:val="en-AU"/>
              </w:rPr>
              <w:t>Comparator/</w:t>
            </w:r>
          </w:p>
          <w:p w14:paraId="129EBB96" w14:textId="77777777" w:rsidR="009263AC" w:rsidRPr="001611DC" w:rsidRDefault="009263AC" w:rsidP="00EB145B">
            <w:pPr>
              <w:pStyle w:val="In-tableHeading"/>
              <w:jc w:val="center"/>
              <w:rPr>
                <w:lang w:val="en-AU"/>
              </w:rPr>
            </w:pPr>
            <w:r w:rsidRPr="001611DC">
              <w:rPr>
                <w:lang w:val="en-AU"/>
              </w:rPr>
              <w:t>Placebo</w:t>
            </w:r>
          </w:p>
        </w:tc>
        <w:tc>
          <w:tcPr>
            <w:tcW w:w="772" w:type="pct"/>
            <w:vMerge/>
            <w:tcBorders>
              <w:top w:val="single" w:sz="4" w:space="0" w:color="auto"/>
              <w:left w:val="single" w:sz="4" w:space="0" w:color="auto"/>
              <w:bottom w:val="single" w:sz="4" w:space="0" w:color="auto"/>
              <w:right w:val="single" w:sz="4" w:space="0" w:color="auto"/>
            </w:tcBorders>
            <w:vAlign w:val="center"/>
          </w:tcPr>
          <w:p w14:paraId="6E8F3086" w14:textId="77777777" w:rsidR="009263AC" w:rsidRPr="001611DC" w:rsidRDefault="009263AC" w:rsidP="00EB145B">
            <w:pPr>
              <w:pStyle w:val="In-tableHeading"/>
              <w:rPr>
                <w:lang w:val="en-AU"/>
              </w:rPr>
            </w:pPr>
          </w:p>
        </w:tc>
      </w:tr>
      <w:tr w:rsidR="009263AC" w:rsidRPr="001611DC" w14:paraId="2AD3313D" w14:textId="77777777" w:rsidTr="00EB145B">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675922" w14:textId="77777777" w:rsidR="009263AC" w:rsidRPr="001611DC" w:rsidRDefault="009263AC" w:rsidP="00EB145B">
            <w:pPr>
              <w:pStyle w:val="In-tableHeading"/>
              <w:jc w:val="both"/>
              <w:rPr>
                <w:lang w:val="en-AU"/>
              </w:rPr>
            </w:pPr>
            <w:r w:rsidRPr="001611DC">
              <w:rPr>
                <w:lang w:val="en-AU"/>
              </w:rPr>
              <w:t>Solicited Grade 3 events within 4 days following dose 1</w:t>
            </w:r>
          </w:p>
        </w:tc>
      </w:tr>
      <w:tr w:rsidR="009263AC" w:rsidRPr="001611DC" w14:paraId="63E07609"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314BA5F" w14:textId="77777777" w:rsidR="009263AC" w:rsidRPr="001611DC" w:rsidRDefault="009263AC" w:rsidP="00EB145B">
            <w:pPr>
              <w:pStyle w:val="TableText0"/>
            </w:pPr>
            <w:r w:rsidRPr="001611DC">
              <w:rPr>
                <w:rFonts w:eastAsia="Times New Roman" w:cs="Calibri"/>
                <w:color w:val="000000"/>
                <w:szCs w:val="20"/>
              </w:rPr>
              <w:t>Any AE</w:t>
            </w:r>
          </w:p>
        </w:tc>
        <w:tc>
          <w:tcPr>
            <w:tcW w:w="633" w:type="pct"/>
            <w:tcBorders>
              <w:top w:val="single" w:sz="4" w:space="0" w:color="auto"/>
              <w:left w:val="single" w:sz="4" w:space="0" w:color="auto"/>
              <w:bottom w:val="single" w:sz="4" w:space="0" w:color="auto"/>
              <w:right w:val="single" w:sz="4" w:space="0" w:color="auto"/>
            </w:tcBorders>
            <w:vAlign w:val="center"/>
          </w:tcPr>
          <w:p w14:paraId="4D3E6D62" w14:textId="77777777" w:rsidR="009263AC" w:rsidRPr="001611DC" w:rsidRDefault="009263AC" w:rsidP="00EB145B">
            <w:pPr>
              <w:pStyle w:val="TableText0"/>
              <w:jc w:val="center"/>
            </w:pPr>
            <w:r w:rsidRPr="001611DC">
              <w:t xml:space="preserve">36/879 </w:t>
            </w:r>
          </w:p>
        </w:tc>
        <w:tc>
          <w:tcPr>
            <w:tcW w:w="712" w:type="pct"/>
            <w:tcBorders>
              <w:top w:val="single" w:sz="4" w:space="0" w:color="auto"/>
              <w:left w:val="single" w:sz="4" w:space="0" w:color="auto"/>
              <w:bottom w:val="single" w:sz="4" w:space="0" w:color="auto"/>
              <w:right w:val="single" w:sz="4" w:space="0" w:color="auto"/>
            </w:tcBorders>
            <w:vAlign w:val="center"/>
          </w:tcPr>
          <w:p w14:paraId="6EF71C25" w14:textId="77777777" w:rsidR="009263AC" w:rsidRPr="001611DC" w:rsidRDefault="009263AC" w:rsidP="00EB145B">
            <w:pPr>
              <w:pStyle w:val="TableText0"/>
              <w:jc w:val="center"/>
            </w:pPr>
            <w:r w:rsidRPr="001611DC">
              <w:t>8/878</w:t>
            </w:r>
          </w:p>
        </w:tc>
        <w:tc>
          <w:tcPr>
            <w:tcW w:w="862" w:type="pct"/>
            <w:tcBorders>
              <w:top w:val="single" w:sz="4" w:space="0" w:color="auto"/>
              <w:left w:val="single" w:sz="4" w:space="0" w:color="auto"/>
              <w:bottom w:val="single" w:sz="4" w:space="0" w:color="auto"/>
              <w:right w:val="single" w:sz="4" w:space="0" w:color="auto"/>
            </w:tcBorders>
            <w:vAlign w:val="center"/>
          </w:tcPr>
          <w:p w14:paraId="18FFBC97" w14:textId="77777777" w:rsidR="009263AC" w:rsidRPr="001611DC" w:rsidRDefault="009263AC" w:rsidP="00EB145B">
            <w:pPr>
              <w:pStyle w:val="TableText0"/>
              <w:jc w:val="center"/>
              <w:rPr>
                <w:iCs/>
              </w:rPr>
            </w:pPr>
            <w:r w:rsidRPr="001611DC">
              <w:rPr>
                <w:iCs/>
              </w:rPr>
              <w:t>4.49 (2.10, 9.62)</w:t>
            </w:r>
          </w:p>
        </w:tc>
        <w:tc>
          <w:tcPr>
            <w:tcW w:w="628" w:type="pct"/>
            <w:tcBorders>
              <w:top w:val="single" w:sz="4" w:space="0" w:color="auto"/>
              <w:left w:val="single" w:sz="4" w:space="0" w:color="auto"/>
              <w:bottom w:val="single" w:sz="4" w:space="0" w:color="auto"/>
              <w:right w:val="single" w:sz="4" w:space="0" w:color="auto"/>
            </w:tcBorders>
            <w:vAlign w:val="center"/>
          </w:tcPr>
          <w:p w14:paraId="25F2BE28" w14:textId="77777777" w:rsidR="009263AC" w:rsidRPr="001611DC" w:rsidRDefault="009263AC" w:rsidP="00EB145B">
            <w:pPr>
              <w:pStyle w:val="TableText0"/>
              <w:jc w:val="center"/>
              <w:rPr>
                <w:iCs/>
              </w:rPr>
            </w:pPr>
            <w:r w:rsidRPr="001611DC">
              <w:rPr>
                <w:iCs/>
              </w:rPr>
              <w:t>4.10</w:t>
            </w:r>
          </w:p>
        </w:tc>
        <w:tc>
          <w:tcPr>
            <w:tcW w:w="755" w:type="pct"/>
            <w:tcBorders>
              <w:top w:val="single" w:sz="4" w:space="0" w:color="auto"/>
              <w:left w:val="single" w:sz="4" w:space="0" w:color="auto"/>
              <w:bottom w:val="single" w:sz="4" w:space="0" w:color="auto"/>
              <w:right w:val="single" w:sz="4" w:space="0" w:color="auto"/>
            </w:tcBorders>
            <w:vAlign w:val="center"/>
          </w:tcPr>
          <w:p w14:paraId="6C75BB14" w14:textId="77777777" w:rsidR="009263AC" w:rsidRPr="001611DC" w:rsidRDefault="009263AC" w:rsidP="00EB145B">
            <w:pPr>
              <w:pStyle w:val="TableText0"/>
              <w:jc w:val="center"/>
              <w:rPr>
                <w:iCs/>
              </w:rPr>
            </w:pPr>
            <w:r w:rsidRPr="001611DC">
              <w:rPr>
                <w:iCs/>
              </w:rPr>
              <w:t>0.91</w:t>
            </w:r>
          </w:p>
        </w:tc>
        <w:tc>
          <w:tcPr>
            <w:tcW w:w="772" w:type="pct"/>
            <w:tcBorders>
              <w:top w:val="single" w:sz="4" w:space="0" w:color="auto"/>
              <w:left w:val="single" w:sz="4" w:space="0" w:color="auto"/>
              <w:bottom w:val="single" w:sz="4" w:space="0" w:color="auto"/>
              <w:right w:val="single" w:sz="4" w:space="0" w:color="auto"/>
            </w:tcBorders>
            <w:vAlign w:val="center"/>
          </w:tcPr>
          <w:p w14:paraId="7B96D118" w14:textId="77777777" w:rsidR="009263AC" w:rsidRPr="001611DC" w:rsidRDefault="009263AC" w:rsidP="00EB145B">
            <w:pPr>
              <w:pStyle w:val="TableText0"/>
              <w:jc w:val="center"/>
              <w:rPr>
                <w:bCs w:val="0"/>
                <w:iCs/>
              </w:rPr>
            </w:pPr>
            <w:r w:rsidRPr="001611DC">
              <w:rPr>
                <w:bCs w:val="0"/>
                <w:iCs/>
              </w:rPr>
              <w:t>0.03 (0.02, 0.05)</w:t>
            </w:r>
          </w:p>
        </w:tc>
      </w:tr>
      <w:tr w:rsidR="009263AC" w:rsidRPr="001611DC" w14:paraId="706B7DA1"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51D1BE6" w14:textId="77777777" w:rsidR="009263AC" w:rsidRPr="001611DC" w:rsidRDefault="009263AC" w:rsidP="00EB145B">
            <w:pPr>
              <w:pStyle w:val="TableText0"/>
            </w:pPr>
            <w:r w:rsidRPr="001611DC">
              <w:rPr>
                <w:rFonts w:eastAsia="Times New Roman" w:cs="Calibri"/>
                <w:color w:val="000000"/>
                <w:szCs w:val="20"/>
              </w:rPr>
              <w:t>Admin-site AE</w:t>
            </w:r>
          </w:p>
        </w:tc>
        <w:tc>
          <w:tcPr>
            <w:tcW w:w="633" w:type="pct"/>
            <w:tcBorders>
              <w:top w:val="single" w:sz="4" w:space="0" w:color="auto"/>
              <w:left w:val="single" w:sz="4" w:space="0" w:color="auto"/>
              <w:bottom w:val="single" w:sz="4" w:space="0" w:color="auto"/>
              <w:right w:val="single" w:sz="4" w:space="0" w:color="auto"/>
            </w:tcBorders>
            <w:vAlign w:val="center"/>
          </w:tcPr>
          <w:p w14:paraId="38C41E39" w14:textId="77777777" w:rsidR="009263AC" w:rsidRPr="001611DC" w:rsidRDefault="009263AC" w:rsidP="00EB145B">
            <w:pPr>
              <w:pStyle w:val="TableText0"/>
              <w:jc w:val="center"/>
            </w:pPr>
            <w:r w:rsidRPr="001611DC">
              <w:t xml:space="preserve">13 </w:t>
            </w:r>
            <w:r w:rsidRPr="001611DC">
              <w:rPr>
                <w:vertAlign w:val="superscript"/>
              </w:rPr>
              <w:t>b</w:t>
            </w:r>
          </w:p>
        </w:tc>
        <w:tc>
          <w:tcPr>
            <w:tcW w:w="712" w:type="pct"/>
            <w:tcBorders>
              <w:top w:val="single" w:sz="4" w:space="0" w:color="auto"/>
              <w:left w:val="single" w:sz="4" w:space="0" w:color="auto"/>
              <w:bottom w:val="single" w:sz="4" w:space="0" w:color="auto"/>
              <w:right w:val="single" w:sz="4" w:space="0" w:color="auto"/>
            </w:tcBorders>
            <w:vAlign w:val="center"/>
          </w:tcPr>
          <w:p w14:paraId="56C8381D" w14:textId="77777777" w:rsidR="009263AC" w:rsidRPr="001611DC" w:rsidRDefault="009263AC" w:rsidP="00EB145B">
            <w:pPr>
              <w:pStyle w:val="TableText0"/>
              <w:jc w:val="center"/>
            </w:pPr>
            <w:r w:rsidRPr="001611DC">
              <w:t xml:space="preserve">13 </w:t>
            </w:r>
            <w:r w:rsidRPr="001611DC">
              <w:rPr>
                <w:vertAlign w:val="superscript"/>
              </w:rPr>
              <w:t>b</w:t>
            </w:r>
          </w:p>
        </w:tc>
        <w:tc>
          <w:tcPr>
            <w:tcW w:w="862" w:type="pct"/>
            <w:tcBorders>
              <w:top w:val="single" w:sz="4" w:space="0" w:color="auto"/>
              <w:left w:val="single" w:sz="4" w:space="0" w:color="auto"/>
              <w:bottom w:val="single" w:sz="4" w:space="0" w:color="auto"/>
              <w:right w:val="single" w:sz="4" w:space="0" w:color="auto"/>
            </w:tcBorders>
            <w:vAlign w:val="center"/>
          </w:tcPr>
          <w:p w14:paraId="5A1D8E58" w14:textId="77777777" w:rsidR="009263AC" w:rsidRPr="001611DC" w:rsidRDefault="009263AC" w:rsidP="00EB145B">
            <w:pPr>
              <w:pStyle w:val="TableText0"/>
              <w:jc w:val="center"/>
              <w:rPr>
                <w:iCs/>
              </w:rPr>
            </w:pPr>
            <w:r w:rsidRPr="001611DC">
              <w:rPr>
                <w:iCs/>
              </w:rPr>
              <w:t>NA</w:t>
            </w:r>
          </w:p>
        </w:tc>
        <w:tc>
          <w:tcPr>
            <w:tcW w:w="628" w:type="pct"/>
            <w:tcBorders>
              <w:top w:val="single" w:sz="4" w:space="0" w:color="auto"/>
              <w:left w:val="single" w:sz="4" w:space="0" w:color="auto"/>
              <w:bottom w:val="single" w:sz="4" w:space="0" w:color="auto"/>
              <w:right w:val="single" w:sz="4" w:space="0" w:color="auto"/>
            </w:tcBorders>
            <w:vAlign w:val="center"/>
          </w:tcPr>
          <w:p w14:paraId="3AEAAFB1" w14:textId="77777777" w:rsidR="009263AC" w:rsidRPr="001611DC" w:rsidRDefault="009263AC" w:rsidP="00EB145B">
            <w:pPr>
              <w:pStyle w:val="TableText0"/>
              <w:jc w:val="center"/>
              <w:rPr>
                <w:iCs/>
              </w:rPr>
            </w:pPr>
            <w:r w:rsidRPr="001611DC">
              <w:rPr>
                <w:iCs/>
              </w:rPr>
              <w:t>NA</w:t>
            </w:r>
          </w:p>
        </w:tc>
        <w:tc>
          <w:tcPr>
            <w:tcW w:w="755" w:type="pct"/>
            <w:tcBorders>
              <w:top w:val="single" w:sz="4" w:space="0" w:color="auto"/>
              <w:left w:val="single" w:sz="4" w:space="0" w:color="auto"/>
              <w:bottom w:val="single" w:sz="4" w:space="0" w:color="auto"/>
              <w:right w:val="single" w:sz="4" w:space="0" w:color="auto"/>
            </w:tcBorders>
            <w:vAlign w:val="center"/>
          </w:tcPr>
          <w:p w14:paraId="5862FE74" w14:textId="77777777" w:rsidR="009263AC" w:rsidRPr="001611DC" w:rsidRDefault="009263AC" w:rsidP="00EB145B">
            <w:pPr>
              <w:pStyle w:val="TableText0"/>
              <w:jc w:val="center"/>
              <w:rPr>
                <w:iCs/>
              </w:rPr>
            </w:pPr>
            <w:r w:rsidRPr="001611DC">
              <w:rPr>
                <w:iCs/>
              </w:rPr>
              <w:t>NA</w:t>
            </w:r>
          </w:p>
        </w:tc>
        <w:tc>
          <w:tcPr>
            <w:tcW w:w="772" w:type="pct"/>
            <w:tcBorders>
              <w:top w:val="single" w:sz="4" w:space="0" w:color="auto"/>
              <w:left w:val="single" w:sz="4" w:space="0" w:color="auto"/>
              <w:bottom w:val="single" w:sz="4" w:space="0" w:color="auto"/>
              <w:right w:val="single" w:sz="4" w:space="0" w:color="auto"/>
            </w:tcBorders>
            <w:vAlign w:val="center"/>
          </w:tcPr>
          <w:p w14:paraId="68C88A38" w14:textId="77777777" w:rsidR="009263AC" w:rsidRPr="001611DC" w:rsidRDefault="009263AC" w:rsidP="00EB145B">
            <w:pPr>
              <w:pStyle w:val="TableText0"/>
              <w:jc w:val="center"/>
              <w:rPr>
                <w:bCs w:val="0"/>
                <w:iCs/>
              </w:rPr>
            </w:pPr>
            <w:r w:rsidRPr="001611DC">
              <w:rPr>
                <w:bCs w:val="0"/>
                <w:iCs/>
              </w:rPr>
              <w:t>NA</w:t>
            </w:r>
          </w:p>
        </w:tc>
      </w:tr>
      <w:tr w:rsidR="009263AC" w:rsidRPr="001611DC" w14:paraId="410EC0E3"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66BF69EB" w14:textId="77777777" w:rsidR="009263AC" w:rsidRPr="001611DC" w:rsidRDefault="009263AC" w:rsidP="00EB145B">
            <w:pPr>
              <w:pStyle w:val="TableText0"/>
            </w:pPr>
            <w:r w:rsidRPr="001611DC">
              <w:rPr>
                <w:rFonts w:eastAsia="Times New Roman" w:cs="Calibri"/>
                <w:color w:val="000000"/>
                <w:szCs w:val="20"/>
              </w:rPr>
              <w:t>Systemic AE</w:t>
            </w:r>
          </w:p>
        </w:tc>
        <w:tc>
          <w:tcPr>
            <w:tcW w:w="633" w:type="pct"/>
            <w:tcBorders>
              <w:top w:val="single" w:sz="4" w:space="0" w:color="auto"/>
              <w:left w:val="single" w:sz="4" w:space="0" w:color="auto"/>
              <w:bottom w:val="single" w:sz="4" w:space="0" w:color="auto"/>
              <w:right w:val="single" w:sz="4" w:space="0" w:color="auto"/>
            </w:tcBorders>
            <w:vAlign w:val="center"/>
          </w:tcPr>
          <w:p w14:paraId="584F53E1" w14:textId="77777777" w:rsidR="009263AC" w:rsidRPr="001611DC" w:rsidRDefault="009263AC" w:rsidP="00EB145B">
            <w:pPr>
              <w:pStyle w:val="TableText0"/>
              <w:jc w:val="center"/>
            </w:pPr>
            <w:r w:rsidRPr="001611DC">
              <w:t>29/879</w:t>
            </w:r>
          </w:p>
        </w:tc>
        <w:tc>
          <w:tcPr>
            <w:tcW w:w="712" w:type="pct"/>
            <w:tcBorders>
              <w:top w:val="single" w:sz="4" w:space="0" w:color="auto"/>
              <w:left w:val="single" w:sz="4" w:space="0" w:color="auto"/>
              <w:bottom w:val="single" w:sz="4" w:space="0" w:color="auto"/>
              <w:right w:val="single" w:sz="4" w:space="0" w:color="auto"/>
            </w:tcBorders>
            <w:vAlign w:val="center"/>
          </w:tcPr>
          <w:p w14:paraId="7651D413" w14:textId="77777777" w:rsidR="009263AC" w:rsidRPr="001611DC" w:rsidRDefault="009263AC" w:rsidP="00EB145B">
            <w:pPr>
              <w:pStyle w:val="TableText0"/>
              <w:jc w:val="center"/>
            </w:pPr>
            <w:r w:rsidRPr="001611DC">
              <w:t xml:space="preserve">8/878 </w:t>
            </w:r>
          </w:p>
        </w:tc>
        <w:tc>
          <w:tcPr>
            <w:tcW w:w="862" w:type="pct"/>
            <w:tcBorders>
              <w:top w:val="single" w:sz="4" w:space="0" w:color="auto"/>
              <w:left w:val="single" w:sz="4" w:space="0" w:color="auto"/>
              <w:bottom w:val="single" w:sz="4" w:space="0" w:color="auto"/>
              <w:right w:val="single" w:sz="4" w:space="0" w:color="auto"/>
            </w:tcBorders>
            <w:vAlign w:val="center"/>
          </w:tcPr>
          <w:p w14:paraId="3C41C7FA" w14:textId="77777777" w:rsidR="009263AC" w:rsidRPr="001611DC" w:rsidRDefault="009263AC" w:rsidP="00EB145B">
            <w:pPr>
              <w:pStyle w:val="TableText0"/>
              <w:jc w:val="center"/>
              <w:rPr>
                <w:iCs/>
              </w:rPr>
            </w:pPr>
            <w:r w:rsidRPr="001611DC">
              <w:rPr>
                <w:iCs/>
              </w:rPr>
              <w:t>3.62 (1.67, 7.88)</w:t>
            </w:r>
          </w:p>
        </w:tc>
        <w:tc>
          <w:tcPr>
            <w:tcW w:w="628" w:type="pct"/>
            <w:tcBorders>
              <w:top w:val="single" w:sz="4" w:space="0" w:color="auto"/>
              <w:left w:val="single" w:sz="4" w:space="0" w:color="auto"/>
              <w:bottom w:val="single" w:sz="4" w:space="0" w:color="auto"/>
              <w:right w:val="single" w:sz="4" w:space="0" w:color="auto"/>
            </w:tcBorders>
            <w:vAlign w:val="center"/>
          </w:tcPr>
          <w:p w14:paraId="42A18B07" w14:textId="77777777" w:rsidR="009263AC" w:rsidRPr="001611DC" w:rsidRDefault="009263AC" w:rsidP="00EB145B">
            <w:pPr>
              <w:pStyle w:val="TableText0"/>
              <w:jc w:val="center"/>
              <w:rPr>
                <w:iCs/>
              </w:rPr>
            </w:pPr>
            <w:r w:rsidRPr="001611DC">
              <w:rPr>
                <w:iCs/>
              </w:rPr>
              <w:t>3.30</w:t>
            </w:r>
          </w:p>
        </w:tc>
        <w:tc>
          <w:tcPr>
            <w:tcW w:w="755" w:type="pct"/>
            <w:tcBorders>
              <w:top w:val="single" w:sz="4" w:space="0" w:color="auto"/>
              <w:left w:val="single" w:sz="4" w:space="0" w:color="auto"/>
              <w:bottom w:val="single" w:sz="4" w:space="0" w:color="auto"/>
              <w:right w:val="single" w:sz="4" w:space="0" w:color="auto"/>
            </w:tcBorders>
            <w:vAlign w:val="center"/>
          </w:tcPr>
          <w:p w14:paraId="4A5F50C7" w14:textId="77777777" w:rsidR="009263AC" w:rsidRPr="001611DC" w:rsidRDefault="009263AC" w:rsidP="00EB145B">
            <w:pPr>
              <w:pStyle w:val="TableText0"/>
              <w:jc w:val="center"/>
              <w:rPr>
                <w:iCs/>
              </w:rPr>
            </w:pPr>
            <w:r w:rsidRPr="001611DC">
              <w:rPr>
                <w:iCs/>
              </w:rPr>
              <w:t>0.91</w:t>
            </w:r>
          </w:p>
        </w:tc>
        <w:tc>
          <w:tcPr>
            <w:tcW w:w="772" w:type="pct"/>
            <w:tcBorders>
              <w:top w:val="single" w:sz="4" w:space="0" w:color="auto"/>
              <w:left w:val="single" w:sz="4" w:space="0" w:color="auto"/>
              <w:bottom w:val="single" w:sz="4" w:space="0" w:color="auto"/>
              <w:right w:val="single" w:sz="4" w:space="0" w:color="auto"/>
            </w:tcBorders>
            <w:vAlign w:val="center"/>
          </w:tcPr>
          <w:p w14:paraId="45AAB5D7" w14:textId="77777777" w:rsidR="009263AC" w:rsidRPr="001611DC" w:rsidRDefault="009263AC" w:rsidP="00EB145B">
            <w:pPr>
              <w:pStyle w:val="TableText0"/>
              <w:jc w:val="center"/>
              <w:rPr>
                <w:bCs w:val="0"/>
                <w:iCs/>
              </w:rPr>
            </w:pPr>
            <w:r w:rsidRPr="001611DC">
              <w:rPr>
                <w:bCs w:val="0"/>
                <w:iCs/>
              </w:rPr>
              <w:t>0.02 (0.01, 0.04)</w:t>
            </w:r>
          </w:p>
        </w:tc>
      </w:tr>
      <w:tr w:rsidR="009263AC" w:rsidRPr="001611DC" w14:paraId="2879273C" w14:textId="77777777" w:rsidTr="00EB145B">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0A9EC0" w14:textId="53D024A8" w:rsidR="009263AC" w:rsidRPr="001611DC" w:rsidRDefault="009263AC" w:rsidP="00EB145B">
            <w:pPr>
              <w:pStyle w:val="TableText0"/>
              <w:rPr>
                <w:b/>
                <w:bCs w:val="0"/>
                <w:iCs/>
              </w:rPr>
            </w:pPr>
            <w:r w:rsidRPr="001611DC">
              <w:rPr>
                <w:b/>
                <w:bCs w:val="0"/>
                <w:iCs/>
              </w:rPr>
              <w:t>Unsolicited A</w:t>
            </w:r>
            <w:r w:rsidR="00171270" w:rsidRPr="001611DC">
              <w:rPr>
                <w:b/>
                <w:bCs w:val="0"/>
                <w:iCs/>
              </w:rPr>
              <w:t>E</w:t>
            </w:r>
            <w:r w:rsidRPr="001611DC">
              <w:rPr>
                <w:b/>
                <w:bCs w:val="0"/>
                <w:iCs/>
              </w:rPr>
              <w:t>s within 30 days post vaccination</w:t>
            </w:r>
          </w:p>
        </w:tc>
      </w:tr>
      <w:tr w:rsidR="009263AC" w:rsidRPr="001611DC" w14:paraId="7AED9321"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AE2E976" w14:textId="77777777" w:rsidR="009263AC" w:rsidRPr="001611DC" w:rsidRDefault="009263AC" w:rsidP="00EB145B">
            <w:pPr>
              <w:pStyle w:val="TableText0"/>
            </w:pPr>
            <w:r w:rsidRPr="001611DC">
              <w:rPr>
                <w:rFonts w:eastAsia="Times New Roman" w:cs="Calibri"/>
                <w:color w:val="000000"/>
                <w:szCs w:val="20"/>
              </w:rPr>
              <w:t>Any Grade 3</w:t>
            </w:r>
          </w:p>
        </w:tc>
        <w:tc>
          <w:tcPr>
            <w:tcW w:w="633" w:type="pct"/>
            <w:tcBorders>
              <w:top w:val="single" w:sz="4" w:space="0" w:color="auto"/>
              <w:left w:val="single" w:sz="4" w:space="0" w:color="auto"/>
              <w:bottom w:val="single" w:sz="4" w:space="0" w:color="auto"/>
              <w:right w:val="single" w:sz="4" w:space="0" w:color="auto"/>
            </w:tcBorders>
            <w:vAlign w:val="center"/>
          </w:tcPr>
          <w:p w14:paraId="7E232456" w14:textId="77777777" w:rsidR="009263AC" w:rsidRPr="001611DC" w:rsidRDefault="009263AC" w:rsidP="00EB145B">
            <w:pPr>
              <w:pStyle w:val="TableText0"/>
              <w:jc w:val="center"/>
            </w:pPr>
            <w:r w:rsidRPr="001611DC">
              <w:rPr>
                <w:iCs/>
              </w:rPr>
              <w:t>251/12,470</w:t>
            </w:r>
          </w:p>
        </w:tc>
        <w:tc>
          <w:tcPr>
            <w:tcW w:w="712" w:type="pct"/>
            <w:tcBorders>
              <w:top w:val="single" w:sz="4" w:space="0" w:color="auto"/>
              <w:left w:val="single" w:sz="4" w:space="0" w:color="auto"/>
              <w:bottom w:val="single" w:sz="4" w:space="0" w:color="auto"/>
              <w:right w:val="single" w:sz="4" w:space="0" w:color="auto"/>
            </w:tcBorders>
            <w:vAlign w:val="center"/>
          </w:tcPr>
          <w:p w14:paraId="2535FA98" w14:textId="77777777" w:rsidR="009263AC" w:rsidRPr="001611DC" w:rsidRDefault="009263AC" w:rsidP="00EB145B">
            <w:pPr>
              <w:pStyle w:val="TableText0"/>
              <w:jc w:val="center"/>
            </w:pPr>
            <w:r w:rsidRPr="001611DC">
              <w:rPr>
                <w:iCs/>
              </w:rPr>
              <w:t>158/12,503</w:t>
            </w:r>
          </w:p>
        </w:tc>
        <w:tc>
          <w:tcPr>
            <w:tcW w:w="862" w:type="pct"/>
            <w:tcBorders>
              <w:top w:val="single" w:sz="4" w:space="0" w:color="auto"/>
              <w:left w:val="single" w:sz="4" w:space="0" w:color="auto"/>
              <w:bottom w:val="single" w:sz="4" w:space="0" w:color="auto"/>
              <w:right w:val="single" w:sz="4" w:space="0" w:color="auto"/>
            </w:tcBorders>
          </w:tcPr>
          <w:p w14:paraId="22DB5CBB" w14:textId="77777777" w:rsidR="009263AC" w:rsidRPr="001611DC" w:rsidRDefault="009263AC" w:rsidP="00EB145B">
            <w:pPr>
              <w:pStyle w:val="TableText0"/>
              <w:jc w:val="center"/>
              <w:rPr>
                <w:b/>
                <w:bCs w:val="0"/>
                <w:iCs/>
              </w:rPr>
            </w:pPr>
            <w:r w:rsidRPr="001611DC">
              <w:rPr>
                <w:iCs/>
              </w:rPr>
              <w:t>1.59 (1.31, 1.94)</w:t>
            </w:r>
          </w:p>
        </w:tc>
        <w:tc>
          <w:tcPr>
            <w:tcW w:w="628" w:type="pct"/>
            <w:tcBorders>
              <w:top w:val="single" w:sz="4" w:space="0" w:color="auto"/>
              <w:left w:val="single" w:sz="4" w:space="0" w:color="auto"/>
              <w:bottom w:val="single" w:sz="4" w:space="0" w:color="auto"/>
              <w:right w:val="single" w:sz="4" w:space="0" w:color="auto"/>
            </w:tcBorders>
            <w:vAlign w:val="center"/>
          </w:tcPr>
          <w:p w14:paraId="54813EA9" w14:textId="77777777" w:rsidR="009263AC" w:rsidRPr="001611DC" w:rsidRDefault="009263AC" w:rsidP="00EB145B">
            <w:pPr>
              <w:pStyle w:val="TableText0"/>
              <w:jc w:val="center"/>
              <w:rPr>
                <w:iCs/>
              </w:rPr>
            </w:pPr>
            <w:r w:rsidRPr="001611DC">
              <w:rPr>
                <w:iCs/>
              </w:rPr>
              <w:t>2.01</w:t>
            </w:r>
          </w:p>
        </w:tc>
        <w:tc>
          <w:tcPr>
            <w:tcW w:w="755" w:type="pct"/>
            <w:tcBorders>
              <w:top w:val="single" w:sz="4" w:space="0" w:color="auto"/>
              <w:left w:val="single" w:sz="4" w:space="0" w:color="auto"/>
              <w:bottom w:val="single" w:sz="4" w:space="0" w:color="auto"/>
              <w:right w:val="single" w:sz="4" w:space="0" w:color="auto"/>
            </w:tcBorders>
            <w:vAlign w:val="center"/>
          </w:tcPr>
          <w:p w14:paraId="7D4DB33B" w14:textId="77777777" w:rsidR="009263AC" w:rsidRPr="001611DC" w:rsidRDefault="009263AC" w:rsidP="00EB145B">
            <w:pPr>
              <w:pStyle w:val="TableText0"/>
              <w:jc w:val="center"/>
              <w:rPr>
                <w:iCs/>
              </w:rPr>
            </w:pPr>
            <w:r w:rsidRPr="001611DC">
              <w:rPr>
                <w:iCs/>
              </w:rPr>
              <w:t>1.26</w:t>
            </w:r>
          </w:p>
        </w:tc>
        <w:tc>
          <w:tcPr>
            <w:tcW w:w="772" w:type="pct"/>
            <w:tcBorders>
              <w:top w:val="single" w:sz="4" w:space="0" w:color="auto"/>
              <w:left w:val="single" w:sz="4" w:space="0" w:color="auto"/>
              <w:bottom w:val="single" w:sz="4" w:space="0" w:color="auto"/>
              <w:right w:val="single" w:sz="4" w:space="0" w:color="auto"/>
            </w:tcBorders>
            <w:vAlign w:val="center"/>
          </w:tcPr>
          <w:p w14:paraId="28E1D678" w14:textId="77777777" w:rsidR="009263AC" w:rsidRPr="001611DC" w:rsidRDefault="009263AC" w:rsidP="00EB145B">
            <w:pPr>
              <w:pStyle w:val="TableText0"/>
              <w:jc w:val="center"/>
              <w:rPr>
                <w:bCs w:val="0"/>
                <w:iCs/>
              </w:rPr>
            </w:pPr>
            <w:r w:rsidRPr="001611DC">
              <w:rPr>
                <w:bCs w:val="0"/>
                <w:iCs/>
              </w:rPr>
              <w:t>0.01 (0.00, 0.01)</w:t>
            </w:r>
          </w:p>
        </w:tc>
      </w:tr>
      <w:tr w:rsidR="009263AC" w:rsidRPr="001611DC" w14:paraId="379DCA87"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07325B84" w14:textId="77777777" w:rsidR="009263AC" w:rsidRPr="001611DC" w:rsidRDefault="009263AC" w:rsidP="00EB145B">
            <w:pPr>
              <w:pStyle w:val="TableText0"/>
            </w:pPr>
            <w:r w:rsidRPr="001611DC">
              <w:rPr>
                <w:rFonts w:eastAsia="Times New Roman" w:cs="Calibri"/>
                <w:color w:val="000000"/>
                <w:szCs w:val="20"/>
              </w:rPr>
              <w:t>Any Grade 3 related to the intervention</w:t>
            </w:r>
          </w:p>
        </w:tc>
        <w:tc>
          <w:tcPr>
            <w:tcW w:w="633" w:type="pct"/>
            <w:tcBorders>
              <w:top w:val="single" w:sz="4" w:space="0" w:color="auto"/>
              <w:left w:val="single" w:sz="4" w:space="0" w:color="auto"/>
              <w:bottom w:val="single" w:sz="4" w:space="0" w:color="auto"/>
              <w:right w:val="single" w:sz="4" w:space="0" w:color="auto"/>
            </w:tcBorders>
            <w:vAlign w:val="center"/>
          </w:tcPr>
          <w:p w14:paraId="31ED9A9D" w14:textId="77777777" w:rsidR="009263AC" w:rsidRPr="001611DC" w:rsidRDefault="009263AC" w:rsidP="00EB145B">
            <w:pPr>
              <w:pStyle w:val="TableText0"/>
              <w:jc w:val="center"/>
            </w:pPr>
            <w:r w:rsidRPr="001611DC">
              <w:rPr>
                <w:iCs/>
              </w:rPr>
              <w:t>110/12,470</w:t>
            </w:r>
          </w:p>
        </w:tc>
        <w:tc>
          <w:tcPr>
            <w:tcW w:w="712" w:type="pct"/>
            <w:tcBorders>
              <w:top w:val="single" w:sz="4" w:space="0" w:color="auto"/>
              <w:left w:val="single" w:sz="4" w:space="0" w:color="auto"/>
              <w:bottom w:val="single" w:sz="4" w:space="0" w:color="auto"/>
              <w:right w:val="single" w:sz="4" w:space="0" w:color="auto"/>
            </w:tcBorders>
            <w:vAlign w:val="center"/>
          </w:tcPr>
          <w:p w14:paraId="035153B4" w14:textId="77777777" w:rsidR="009263AC" w:rsidRPr="001611DC" w:rsidRDefault="009263AC" w:rsidP="00EB145B">
            <w:pPr>
              <w:pStyle w:val="TableText0"/>
              <w:jc w:val="center"/>
            </w:pPr>
            <w:r w:rsidRPr="001611DC">
              <w:rPr>
                <w:iCs/>
              </w:rPr>
              <w:t>23/12,503</w:t>
            </w:r>
          </w:p>
        </w:tc>
        <w:tc>
          <w:tcPr>
            <w:tcW w:w="862" w:type="pct"/>
            <w:tcBorders>
              <w:top w:val="single" w:sz="4" w:space="0" w:color="auto"/>
              <w:left w:val="single" w:sz="4" w:space="0" w:color="auto"/>
              <w:bottom w:val="single" w:sz="4" w:space="0" w:color="auto"/>
              <w:right w:val="single" w:sz="4" w:space="0" w:color="auto"/>
            </w:tcBorders>
            <w:vAlign w:val="center"/>
          </w:tcPr>
          <w:p w14:paraId="6204CB9F" w14:textId="77777777" w:rsidR="009263AC" w:rsidRPr="001611DC" w:rsidRDefault="009263AC" w:rsidP="00EB145B">
            <w:pPr>
              <w:pStyle w:val="TableText0"/>
              <w:jc w:val="center"/>
              <w:rPr>
                <w:iCs/>
              </w:rPr>
            </w:pPr>
            <w:r w:rsidRPr="001611DC">
              <w:rPr>
                <w:iCs/>
              </w:rPr>
              <w:t>4.79 (3.06, 7.51)</w:t>
            </w:r>
          </w:p>
        </w:tc>
        <w:tc>
          <w:tcPr>
            <w:tcW w:w="628" w:type="pct"/>
            <w:tcBorders>
              <w:top w:val="single" w:sz="4" w:space="0" w:color="auto"/>
              <w:left w:val="single" w:sz="4" w:space="0" w:color="auto"/>
              <w:bottom w:val="single" w:sz="4" w:space="0" w:color="auto"/>
              <w:right w:val="single" w:sz="4" w:space="0" w:color="auto"/>
            </w:tcBorders>
            <w:vAlign w:val="center"/>
          </w:tcPr>
          <w:p w14:paraId="6D048B8C" w14:textId="77777777" w:rsidR="009263AC" w:rsidRPr="001611DC" w:rsidRDefault="009263AC" w:rsidP="00EB145B">
            <w:pPr>
              <w:pStyle w:val="TableText0"/>
              <w:jc w:val="center"/>
              <w:rPr>
                <w:iCs/>
              </w:rPr>
            </w:pPr>
            <w:r w:rsidRPr="001611DC">
              <w:rPr>
                <w:iCs/>
              </w:rPr>
              <w:t>0.88</w:t>
            </w:r>
          </w:p>
        </w:tc>
        <w:tc>
          <w:tcPr>
            <w:tcW w:w="755" w:type="pct"/>
            <w:tcBorders>
              <w:top w:val="single" w:sz="4" w:space="0" w:color="auto"/>
              <w:left w:val="single" w:sz="4" w:space="0" w:color="auto"/>
              <w:bottom w:val="single" w:sz="4" w:space="0" w:color="auto"/>
              <w:right w:val="single" w:sz="4" w:space="0" w:color="auto"/>
            </w:tcBorders>
            <w:vAlign w:val="center"/>
          </w:tcPr>
          <w:p w14:paraId="626A6335" w14:textId="77777777" w:rsidR="009263AC" w:rsidRPr="001611DC" w:rsidRDefault="009263AC" w:rsidP="00EB145B">
            <w:pPr>
              <w:pStyle w:val="TableText0"/>
              <w:jc w:val="center"/>
              <w:rPr>
                <w:iCs/>
              </w:rPr>
            </w:pPr>
            <w:r w:rsidRPr="001611DC">
              <w:rPr>
                <w:iCs/>
              </w:rPr>
              <w:t>0.18</w:t>
            </w:r>
          </w:p>
        </w:tc>
        <w:tc>
          <w:tcPr>
            <w:tcW w:w="772" w:type="pct"/>
            <w:tcBorders>
              <w:top w:val="single" w:sz="4" w:space="0" w:color="auto"/>
              <w:left w:val="single" w:sz="4" w:space="0" w:color="auto"/>
              <w:bottom w:val="single" w:sz="4" w:space="0" w:color="auto"/>
              <w:right w:val="single" w:sz="4" w:space="0" w:color="auto"/>
            </w:tcBorders>
            <w:vAlign w:val="center"/>
          </w:tcPr>
          <w:p w14:paraId="266CD115" w14:textId="77777777" w:rsidR="009263AC" w:rsidRPr="001611DC" w:rsidRDefault="009263AC" w:rsidP="00EB145B">
            <w:pPr>
              <w:pStyle w:val="TableText0"/>
              <w:jc w:val="center"/>
              <w:rPr>
                <w:bCs w:val="0"/>
                <w:iCs/>
              </w:rPr>
            </w:pPr>
            <w:r w:rsidRPr="001611DC">
              <w:rPr>
                <w:bCs w:val="0"/>
                <w:iCs/>
              </w:rPr>
              <w:t>0.01 (0.01, 0.01)</w:t>
            </w:r>
          </w:p>
        </w:tc>
      </w:tr>
      <w:tr w:rsidR="009263AC" w:rsidRPr="001611DC" w14:paraId="4FCFB9E2"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3B6F63DA" w14:textId="77777777" w:rsidR="009263AC" w:rsidRPr="001611DC" w:rsidRDefault="009263AC" w:rsidP="00EB145B">
            <w:pPr>
              <w:pStyle w:val="TableText0"/>
            </w:pPr>
            <w:r w:rsidRPr="001611DC">
              <w:rPr>
                <w:rFonts w:eastAsia="Times New Roman" w:cs="Calibri"/>
                <w:color w:val="000000"/>
                <w:szCs w:val="20"/>
              </w:rPr>
              <w:t>Any medically attended</w:t>
            </w:r>
          </w:p>
        </w:tc>
        <w:tc>
          <w:tcPr>
            <w:tcW w:w="633" w:type="pct"/>
            <w:tcBorders>
              <w:top w:val="single" w:sz="4" w:space="0" w:color="auto"/>
              <w:left w:val="single" w:sz="4" w:space="0" w:color="auto"/>
              <w:bottom w:val="single" w:sz="4" w:space="0" w:color="auto"/>
              <w:right w:val="single" w:sz="4" w:space="0" w:color="auto"/>
            </w:tcBorders>
            <w:vAlign w:val="center"/>
          </w:tcPr>
          <w:p w14:paraId="3B566E9F" w14:textId="77777777" w:rsidR="009263AC" w:rsidRPr="001611DC" w:rsidRDefault="009263AC" w:rsidP="00EB145B">
            <w:pPr>
              <w:pStyle w:val="TableText0"/>
              <w:jc w:val="center"/>
            </w:pPr>
            <w:r w:rsidRPr="001611DC">
              <w:rPr>
                <w:iCs/>
              </w:rPr>
              <w:t>718/12,470</w:t>
            </w:r>
          </w:p>
        </w:tc>
        <w:tc>
          <w:tcPr>
            <w:tcW w:w="712" w:type="pct"/>
            <w:tcBorders>
              <w:top w:val="single" w:sz="4" w:space="0" w:color="auto"/>
              <w:left w:val="single" w:sz="4" w:space="0" w:color="auto"/>
              <w:bottom w:val="single" w:sz="4" w:space="0" w:color="auto"/>
              <w:right w:val="single" w:sz="4" w:space="0" w:color="auto"/>
            </w:tcBorders>
            <w:vAlign w:val="center"/>
          </w:tcPr>
          <w:p w14:paraId="7DDEAE16" w14:textId="77777777" w:rsidR="009263AC" w:rsidRPr="001611DC" w:rsidRDefault="009263AC" w:rsidP="00EB145B">
            <w:pPr>
              <w:pStyle w:val="TableText0"/>
              <w:jc w:val="center"/>
            </w:pPr>
            <w:r w:rsidRPr="001611DC">
              <w:rPr>
                <w:iCs/>
              </w:rPr>
              <w:t>722/12,503</w:t>
            </w:r>
          </w:p>
        </w:tc>
        <w:tc>
          <w:tcPr>
            <w:tcW w:w="862" w:type="pct"/>
            <w:tcBorders>
              <w:top w:val="single" w:sz="4" w:space="0" w:color="auto"/>
              <w:left w:val="single" w:sz="4" w:space="0" w:color="auto"/>
              <w:bottom w:val="single" w:sz="4" w:space="0" w:color="auto"/>
              <w:right w:val="single" w:sz="4" w:space="0" w:color="auto"/>
            </w:tcBorders>
            <w:vAlign w:val="center"/>
          </w:tcPr>
          <w:p w14:paraId="62C98A82" w14:textId="77777777" w:rsidR="009263AC" w:rsidRPr="001611DC" w:rsidRDefault="009263AC" w:rsidP="00EB145B">
            <w:pPr>
              <w:pStyle w:val="TableText0"/>
              <w:jc w:val="center"/>
              <w:rPr>
                <w:iCs/>
              </w:rPr>
            </w:pPr>
            <w:r w:rsidRPr="001611DC">
              <w:rPr>
                <w:iCs/>
              </w:rPr>
              <w:t>1.00 (0.90, 1.10)</w:t>
            </w:r>
          </w:p>
        </w:tc>
        <w:tc>
          <w:tcPr>
            <w:tcW w:w="628" w:type="pct"/>
            <w:tcBorders>
              <w:top w:val="single" w:sz="4" w:space="0" w:color="auto"/>
              <w:left w:val="single" w:sz="4" w:space="0" w:color="auto"/>
              <w:bottom w:val="single" w:sz="4" w:space="0" w:color="auto"/>
              <w:right w:val="single" w:sz="4" w:space="0" w:color="auto"/>
            </w:tcBorders>
            <w:vAlign w:val="center"/>
          </w:tcPr>
          <w:p w14:paraId="68D39BA1" w14:textId="77777777" w:rsidR="009263AC" w:rsidRPr="001611DC" w:rsidRDefault="009263AC" w:rsidP="00EB145B">
            <w:pPr>
              <w:pStyle w:val="TableText0"/>
              <w:jc w:val="center"/>
              <w:rPr>
                <w:iCs/>
              </w:rPr>
            </w:pPr>
            <w:r w:rsidRPr="001611DC">
              <w:rPr>
                <w:iCs/>
              </w:rPr>
              <w:t>5.76</w:t>
            </w:r>
          </w:p>
        </w:tc>
        <w:tc>
          <w:tcPr>
            <w:tcW w:w="755" w:type="pct"/>
            <w:tcBorders>
              <w:top w:val="single" w:sz="4" w:space="0" w:color="auto"/>
              <w:left w:val="single" w:sz="4" w:space="0" w:color="auto"/>
              <w:bottom w:val="single" w:sz="4" w:space="0" w:color="auto"/>
              <w:right w:val="single" w:sz="4" w:space="0" w:color="auto"/>
            </w:tcBorders>
            <w:vAlign w:val="center"/>
          </w:tcPr>
          <w:p w14:paraId="190659BD" w14:textId="77777777" w:rsidR="009263AC" w:rsidRPr="001611DC" w:rsidRDefault="009263AC" w:rsidP="00EB145B">
            <w:pPr>
              <w:pStyle w:val="TableText0"/>
              <w:jc w:val="center"/>
              <w:rPr>
                <w:iCs/>
              </w:rPr>
            </w:pPr>
            <w:r w:rsidRPr="001611DC">
              <w:rPr>
                <w:iCs/>
              </w:rPr>
              <w:t>5.77</w:t>
            </w:r>
          </w:p>
        </w:tc>
        <w:tc>
          <w:tcPr>
            <w:tcW w:w="772" w:type="pct"/>
            <w:tcBorders>
              <w:top w:val="single" w:sz="4" w:space="0" w:color="auto"/>
              <w:left w:val="single" w:sz="4" w:space="0" w:color="auto"/>
              <w:bottom w:val="single" w:sz="4" w:space="0" w:color="auto"/>
              <w:right w:val="single" w:sz="4" w:space="0" w:color="auto"/>
            </w:tcBorders>
            <w:vAlign w:val="center"/>
          </w:tcPr>
          <w:p w14:paraId="23AD70DE" w14:textId="77777777" w:rsidR="009263AC" w:rsidRPr="001611DC" w:rsidRDefault="009263AC" w:rsidP="00EB145B">
            <w:pPr>
              <w:pStyle w:val="TableText0"/>
              <w:jc w:val="center"/>
              <w:rPr>
                <w:iCs/>
              </w:rPr>
            </w:pPr>
            <w:r w:rsidRPr="001611DC">
              <w:rPr>
                <w:iCs/>
              </w:rPr>
              <w:t>0.00 (-0.01, 0.01)</w:t>
            </w:r>
          </w:p>
        </w:tc>
      </w:tr>
      <w:tr w:rsidR="009263AC" w:rsidRPr="001611DC" w14:paraId="760F3615" w14:textId="77777777" w:rsidTr="00EB145B">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1AE6A5" w14:textId="7491AFC6" w:rsidR="009263AC" w:rsidRPr="001611DC" w:rsidRDefault="009263AC" w:rsidP="00EB145B">
            <w:pPr>
              <w:pStyle w:val="TableText0"/>
              <w:rPr>
                <w:iCs/>
              </w:rPr>
            </w:pPr>
            <w:r w:rsidRPr="001611DC">
              <w:rPr>
                <w:b/>
                <w:bCs w:val="0"/>
                <w:iCs/>
              </w:rPr>
              <w:t>Unsolicited A</w:t>
            </w:r>
            <w:r w:rsidR="00171270" w:rsidRPr="001611DC">
              <w:rPr>
                <w:b/>
                <w:bCs w:val="0"/>
                <w:iCs/>
              </w:rPr>
              <w:t>E</w:t>
            </w:r>
            <w:r w:rsidRPr="001611DC">
              <w:rPr>
                <w:b/>
                <w:bCs w:val="0"/>
                <w:iCs/>
              </w:rPr>
              <w:t>s within 6 months post vaccination</w:t>
            </w:r>
          </w:p>
        </w:tc>
      </w:tr>
      <w:tr w:rsidR="009263AC" w:rsidRPr="001611DC" w14:paraId="4423206B"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09AC46E"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Any SAE</w:t>
            </w:r>
          </w:p>
        </w:tc>
        <w:tc>
          <w:tcPr>
            <w:tcW w:w="633" w:type="pct"/>
            <w:tcBorders>
              <w:top w:val="single" w:sz="4" w:space="0" w:color="auto"/>
              <w:left w:val="single" w:sz="4" w:space="0" w:color="auto"/>
              <w:bottom w:val="single" w:sz="4" w:space="0" w:color="auto"/>
              <w:right w:val="single" w:sz="4" w:space="0" w:color="auto"/>
            </w:tcBorders>
            <w:vAlign w:val="center"/>
          </w:tcPr>
          <w:p w14:paraId="0C6E9318" w14:textId="77777777" w:rsidR="009263AC" w:rsidRPr="001611DC" w:rsidRDefault="009263AC" w:rsidP="00EB145B">
            <w:pPr>
              <w:pStyle w:val="TableText0"/>
              <w:jc w:val="center"/>
            </w:pPr>
            <w:r w:rsidRPr="001611DC">
              <w:rPr>
                <w:iCs/>
              </w:rPr>
              <w:t>548/12,470</w:t>
            </w:r>
          </w:p>
        </w:tc>
        <w:tc>
          <w:tcPr>
            <w:tcW w:w="712" w:type="pct"/>
            <w:tcBorders>
              <w:top w:val="single" w:sz="4" w:space="0" w:color="auto"/>
              <w:left w:val="single" w:sz="4" w:space="0" w:color="auto"/>
              <w:bottom w:val="single" w:sz="4" w:space="0" w:color="auto"/>
              <w:right w:val="single" w:sz="4" w:space="0" w:color="auto"/>
            </w:tcBorders>
            <w:vAlign w:val="center"/>
          </w:tcPr>
          <w:p w14:paraId="090DBF1D" w14:textId="77777777" w:rsidR="009263AC" w:rsidRPr="001611DC" w:rsidRDefault="009263AC" w:rsidP="00EB145B">
            <w:pPr>
              <w:pStyle w:val="TableText0"/>
              <w:jc w:val="center"/>
            </w:pPr>
            <w:r w:rsidRPr="001611DC">
              <w:rPr>
                <w:iCs/>
              </w:rPr>
              <w:t xml:space="preserve">539/12,503 </w:t>
            </w:r>
          </w:p>
        </w:tc>
        <w:tc>
          <w:tcPr>
            <w:tcW w:w="862" w:type="pct"/>
            <w:tcBorders>
              <w:top w:val="single" w:sz="4" w:space="0" w:color="auto"/>
              <w:left w:val="single" w:sz="4" w:space="0" w:color="auto"/>
              <w:bottom w:val="single" w:sz="4" w:space="0" w:color="auto"/>
              <w:right w:val="single" w:sz="4" w:space="0" w:color="auto"/>
            </w:tcBorders>
          </w:tcPr>
          <w:p w14:paraId="6F696245" w14:textId="77777777" w:rsidR="009263AC" w:rsidRPr="001611DC" w:rsidRDefault="009263AC" w:rsidP="00EB145B">
            <w:pPr>
              <w:pStyle w:val="TableText0"/>
              <w:jc w:val="center"/>
              <w:rPr>
                <w:iCs/>
              </w:rPr>
            </w:pPr>
            <w:r w:rsidRPr="001611DC">
              <w:rPr>
                <w:iCs/>
              </w:rPr>
              <w:t>1.02 (0.91, 1.15)</w:t>
            </w:r>
          </w:p>
        </w:tc>
        <w:tc>
          <w:tcPr>
            <w:tcW w:w="628" w:type="pct"/>
            <w:tcBorders>
              <w:top w:val="single" w:sz="4" w:space="0" w:color="auto"/>
              <w:left w:val="single" w:sz="4" w:space="0" w:color="auto"/>
              <w:bottom w:val="single" w:sz="4" w:space="0" w:color="auto"/>
              <w:right w:val="single" w:sz="4" w:space="0" w:color="auto"/>
            </w:tcBorders>
            <w:vAlign w:val="center"/>
          </w:tcPr>
          <w:p w14:paraId="38EBEDBF" w14:textId="77777777" w:rsidR="009263AC" w:rsidRPr="001611DC" w:rsidRDefault="009263AC" w:rsidP="00EB145B">
            <w:pPr>
              <w:pStyle w:val="TableText0"/>
              <w:jc w:val="center"/>
              <w:rPr>
                <w:iCs/>
              </w:rPr>
            </w:pPr>
            <w:r w:rsidRPr="001611DC">
              <w:rPr>
                <w:iCs/>
              </w:rPr>
              <w:t>4.39</w:t>
            </w:r>
          </w:p>
        </w:tc>
        <w:tc>
          <w:tcPr>
            <w:tcW w:w="755" w:type="pct"/>
            <w:tcBorders>
              <w:top w:val="single" w:sz="4" w:space="0" w:color="auto"/>
              <w:left w:val="single" w:sz="4" w:space="0" w:color="auto"/>
              <w:bottom w:val="single" w:sz="4" w:space="0" w:color="auto"/>
              <w:right w:val="single" w:sz="4" w:space="0" w:color="auto"/>
            </w:tcBorders>
            <w:vAlign w:val="center"/>
          </w:tcPr>
          <w:p w14:paraId="4E0C9BD1" w14:textId="77777777" w:rsidR="009263AC" w:rsidRPr="001611DC" w:rsidRDefault="009263AC" w:rsidP="00EB145B">
            <w:pPr>
              <w:pStyle w:val="TableText0"/>
              <w:jc w:val="center"/>
              <w:rPr>
                <w:iCs/>
              </w:rPr>
            </w:pPr>
            <w:r w:rsidRPr="001611DC">
              <w:rPr>
                <w:iCs/>
              </w:rPr>
              <w:t>4.31</w:t>
            </w:r>
          </w:p>
        </w:tc>
        <w:tc>
          <w:tcPr>
            <w:tcW w:w="772" w:type="pct"/>
            <w:tcBorders>
              <w:top w:val="single" w:sz="4" w:space="0" w:color="auto"/>
              <w:left w:val="single" w:sz="4" w:space="0" w:color="auto"/>
              <w:bottom w:val="single" w:sz="4" w:space="0" w:color="auto"/>
              <w:right w:val="single" w:sz="4" w:space="0" w:color="auto"/>
            </w:tcBorders>
            <w:vAlign w:val="center"/>
          </w:tcPr>
          <w:p w14:paraId="54C27C30" w14:textId="77777777" w:rsidR="009263AC" w:rsidRPr="001611DC" w:rsidRDefault="009263AC" w:rsidP="00EB145B">
            <w:pPr>
              <w:pStyle w:val="TableText0"/>
              <w:jc w:val="center"/>
              <w:rPr>
                <w:iCs/>
              </w:rPr>
            </w:pPr>
            <w:r w:rsidRPr="001611DC">
              <w:rPr>
                <w:iCs/>
              </w:rPr>
              <w:t>0.00 (-0.00, 0.01)</w:t>
            </w:r>
          </w:p>
        </w:tc>
      </w:tr>
      <w:tr w:rsidR="009263AC" w:rsidRPr="001611DC" w14:paraId="30B4D36A"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29F80B1"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Any SAE related to the intervention</w:t>
            </w:r>
          </w:p>
        </w:tc>
        <w:tc>
          <w:tcPr>
            <w:tcW w:w="633" w:type="pct"/>
            <w:tcBorders>
              <w:top w:val="single" w:sz="4" w:space="0" w:color="auto"/>
              <w:left w:val="single" w:sz="4" w:space="0" w:color="auto"/>
              <w:bottom w:val="single" w:sz="4" w:space="0" w:color="auto"/>
              <w:right w:val="single" w:sz="4" w:space="0" w:color="auto"/>
            </w:tcBorders>
            <w:vAlign w:val="center"/>
          </w:tcPr>
          <w:p w14:paraId="0C18B549" w14:textId="77777777" w:rsidR="009263AC" w:rsidRPr="001611DC" w:rsidRDefault="009263AC" w:rsidP="00EB145B">
            <w:pPr>
              <w:pStyle w:val="TableText0"/>
              <w:jc w:val="center"/>
            </w:pPr>
            <w:r w:rsidRPr="001611DC">
              <w:rPr>
                <w:iCs/>
              </w:rPr>
              <w:t>15/12,470</w:t>
            </w:r>
          </w:p>
        </w:tc>
        <w:tc>
          <w:tcPr>
            <w:tcW w:w="712" w:type="pct"/>
            <w:tcBorders>
              <w:top w:val="single" w:sz="4" w:space="0" w:color="auto"/>
              <w:left w:val="single" w:sz="4" w:space="0" w:color="auto"/>
              <w:bottom w:val="single" w:sz="4" w:space="0" w:color="auto"/>
              <w:right w:val="single" w:sz="4" w:space="0" w:color="auto"/>
            </w:tcBorders>
            <w:vAlign w:val="center"/>
          </w:tcPr>
          <w:p w14:paraId="2AEF60BA" w14:textId="77777777" w:rsidR="009263AC" w:rsidRPr="001611DC" w:rsidRDefault="009263AC" w:rsidP="00EB145B">
            <w:pPr>
              <w:pStyle w:val="TableText0"/>
              <w:jc w:val="center"/>
            </w:pPr>
            <w:r w:rsidRPr="001611DC">
              <w:rPr>
                <w:iCs/>
              </w:rPr>
              <w:t>10/12,503</w:t>
            </w:r>
          </w:p>
        </w:tc>
        <w:tc>
          <w:tcPr>
            <w:tcW w:w="862" w:type="pct"/>
            <w:tcBorders>
              <w:top w:val="single" w:sz="4" w:space="0" w:color="auto"/>
              <w:left w:val="single" w:sz="4" w:space="0" w:color="auto"/>
              <w:bottom w:val="single" w:sz="4" w:space="0" w:color="auto"/>
              <w:right w:val="single" w:sz="4" w:space="0" w:color="auto"/>
            </w:tcBorders>
            <w:vAlign w:val="center"/>
          </w:tcPr>
          <w:p w14:paraId="3C5E83AE" w14:textId="77777777" w:rsidR="009263AC" w:rsidRPr="001611DC" w:rsidRDefault="009263AC" w:rsidP="00EB145B">
            <w:pPr>
              <w:pStyle w:val="TableText0"/>
              <w:jc w:val="center"/>
              <w:rPr>
                <w:iCs/>
              </w:rPr>
            </w:pPr>
            <w:r w:rsidRPr="001611DC">
              <w:rPr>
                <w:iCs/>
              </w:rPr>
              <w:t>1.50 (0.68, 3.35)</w:t>
            </w:r>
          </w:p>
        </w:tc>
        <w:tc>
          <w:tcPr>
            <w:tcW w:w="628" w:type="pct"/>
            <w:tcBorders>
              <w:top w:val="single" w:sz="4" w:space="0" w:color="auto"/>
              <w:left w:val="single" w:sz="4" w:space="0" w:color="auto"/>
              <w:bottom w:val="single" w:sz="4" w:space="0" w:color="auto"/>
              <w:right w:val="single" w:sz="4" w:space="0" w:color="auto"/>
            </w:tcBorders>
            <w:vAlign w:val="center"/>
          </w:tcPr>
          <w:p w14:paraId="10EE8853" w14:textId="77777777" w:rsidR="009263AC" w:rsidRPr="001611DC" w:rsidRDefault="009263AC" w:rsidP="00EB145B">
            <w:pPr>
              <w:pStyle w:val="TableText0"/>
              <w:jc w:val="center"/>
              <w:rPr>
                <w:iCs/>
              </w:rPr>
            </w:pPr>
            <w:r w:rsidRPr="001611DC">
              <w:rPr>
                <w:iCs/>
              </w:rPr>
              <w:t>0.12</w:t>
            </w:r>
          </w:p>
        </w:tc>
        <w:tc>
          <w:tcPr>
            <w:tcW w:w="755" w:type="pct"/>
            <w:tcBorders>
              <w:top w:val="single" w:sz="4" w:space="0" w:color="auto"/>
              <w:left w:val="single" w:sz="4" w:space="0" w:color="auto"/>
              <w:bottom w:val="single" w:sz="4" w:space="0" w:color="auto"/>
              <w:right w:val="single" w:sz="4" w:space="0" w:color="auto"/>
            </w:tcBorders>
            <w:vAlign w:val="center"/>
          </w:tcPr>
          <w:p w14:paraId="29F09106" w14:textId="77777777" w:rsidR="009263AC" w:rsidRPr="001611DC" w:rsidRDefault="009263AC" w:rsidP="00EB145B">
            <w:pPr>
              <w:pStyle w:val="TableText0"/>
              <w:jc w:val="center"/>
              <w:rPr>
                <w:iCs/>
              </w:rPr>
            </w:pPr>
            <w:r w:rsidRPr="001611DC">
              <w:rPr>
                <w:iCs/>
              </w:rPr>
              <w:t>0.08</w:t>
            </w:r>
          </w:p>
        </w:tc>
        <w:tc>
          <w:tcPr>
            <w:tcW w:w="772" w:type="pct"/>
            <w:tcBorders>
              <w:top w:val="single" w:sz="4" w:space="0" w:color="auto"/>
              <w:left w:val="single" w:sz="4" w:space="0" w:color="auto"/>
              <w:bottom w:val="single" w:sz="4" w:space="0" w:color="auto"/>
              <w:right w:val="single" w:sz="4" w:space="0" w:color="auto"/>
            </w:tcBorders>
            <w:vAlign w:val="center"/>
          </w:tcPr>
          <w:p w14:paraId="0CF867DA" w14:textId="77777777" w:rsidR="009263AC" w:rsidRPr="001611DC" w:rsidRDefault="009263AC" w:rsidP="00EB145B">
            <w:pPr>
              <w:pStyle w:val="TableText0"/>
              <w:jc w:val="center"/>
              <w:rPr>
                <w:bCs w:val="0"/>
                <w:iCs/>
              </w:rPr>
            </w:pPr>
            <w:r w:rsidRPr="001611DC">
              <w:rPr>
                <w:bCs w:val="0"/>
                <w:iCs/>
              </w:rPr>
              <w:t>0.00 (0.00,0.00)</w:t>
            </w:r>
          </w:p>
        </w:tc>
      </w:tr>
      <w:tr w:rsidR="009263AC" w:rsidRPr="001611DC" w14:paraId="6D2BBB84"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241F4C59"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Any pIMD</w:t>
            </w:r>
          </w:p>
        </w:tc>
        <w:tc>
          <w:tcPr>
            <w:tcW w:w="633" w:type="pct"/>
            <w:tcBorders>
              <w:top w:val="single" w:sz="4" w:space="0" w:color="auto"/>
              <w:left w:val="single" w:sz="4" w:space="0" w:color="auto"/>
              <w:bottom w:val="single" w:sz="4" w:space="0" w:color="auto"/>
              <w:right w:val="single" w:sz="4" w:space="0" w:color="auto"/>
            </w:tcBorders>
            <w:vAlign w:val="center"/>
          </w:tcPr>
          <w:p w14:paraId="5FC0A6B5" w14:textId="77777777" w:rsidR="009263AC" w:rsidRPr="001611DC" w:rsidRDefault="009263AC" w:rsidP="00EB145B">
            <w:pPr>
              <w:pStyle w:val="TableText0"/>
              <w:jc w:val="center"/>
            </w:pPr>
            <w:r w:rsidRPr="001611DC">
              <w:rPr>
                <w:iCs/>
              </w:rPr>
              <w:t>46/12,470</w:t>
            </w:r>
          </w:p>
        </w:tc>
        <w:tc>
          <w:tcPr>
            <w:tcW w:w="712" w:type="pct"/>
            <w:tcBorders>
              <w:top w:val="single" w:sz="4" w:space="0" w:color="auto"/>
              <w:left w:val="single" w:sz="4" w:space="0" w:color="auto"/>
              <w:bottom w:val="single" w:sz="4" w:space="0" w:color="auto"/>
              <w:right w:val="single" w:sz="4" w:space="0" w:color="auto"/>
            </w:tcBorders>
            <w:vAlign w:val="center"/>
          </w:tcPr>
          <w:p w14:paraId="7CC84651" w14:textId="77777777" w:rsidR="009263AC" w:rsidRPr="001611DC" w:rsidRDefault="009263AC" w:rsidP="00EB145B">
            <w:pPr>
              <w:pStyle w:val="TableText0"/>
              <w:jc w:val="center"/>
            </w:pPr>
            <w:r w:rsidRPr="001611DC">
              <w:rPr>
                <w:iCs/>
              </w:rPr>
              <w:t>38/12,503</w:t>
            </w:r>
          </w:p>
        </w:tc>
        <w:tc>
          <w:tcPr>
            <w:tcW w:w="862" w:type="pct"/>
            <w:tcBorders>
              <w:top w:val="single" w:sz="4" w:space="0" w:color="auto"/>
              <w:left w:val="single" w:sz="4" w:space="0" w:color="auto"/>
              <w:bottom w:val="single" w:sz="4" w:space="0" w:color="auto"/>
              <w:right w:val="single" w:sz="4" w:space="0" w:color="auto"/>
            </w:tcBorders>
            <w:vAlign w:val="center"/>
          </w:tcPr>
          <w:p w14:paraId="2A3E8617" w14:textId="77777777" w:rsidR="009263AC" w:rsidRPr="001611DC" w:rsidRDefault="009263AC" w:rsidP="00EB145B">
            <w:pPr>
              <w:pStyle w:val="TableText0"/>
              <w:jc w:val="center"/>
              <w:rPr>
                <w:iCs/>
              </w:rPr>
            </w:pPr>
            <w:r w:rsidRPr="001611DC">
              <w:rPr>
                <w:iCs/>
              </w:rPr>
              <w:t>1.21 (0.79, 1.86)</w:t>
            </w:r>
          </w:p>
        </w:tc>
        <w:tc>
          <w:tcPr>
            <w:tcW w:w="628" w:type="pct"/>
            <w:tcBorders>
              <w:top w:val="single" w:sz="4" w:space="0" w:color="auto"/>
              <w:left w:val="single" w:sz="4" w:space="0" w:color="auto"/>
              <w:bottom w:val="single" w:sz="4" w:space="0" w:color="auto"/>
              <w:right w:val="single" w:sz="4" w:space="0" w:color="auto"/>
            </w:tcBorders>
            <w:vAlign w:val="center"/>
          </w:tcPr>
          <w:p w14:paraId="3BAAF327" w14:textId="77777777" w:rsidR="009263AC" w:rsidRPr="001611DC" w:rsidRDefault="009263AC" w:rsidP="00EB145B">
            <w:pPr>
              <w:pStyle w:val="TableText0"/>
              <w:jc w:val="center"/>
              <w:rPr>
                <w:iCs/>
              </w:rPr>
            </w:pPr>
            <w:r w:rsidRPr="001611DC">
              <w:rPr>
                <w:iCs/>
              </w:rPr>
              <w:t>0.37</w:t>
            </w:r>
          </w:p>
        </w:tc>
        <w:tc>
          <w:tcPr>
            <w:tcW w:w="755" w:type="pct"/>
            <w:tcBorders>
              <w:top w:val="single" w:sz="4" w:space="0" w:color="auto"/>
              <w:left w:val="single" w:sz="4" w:space="0" w:color="auto"/>
              <w:bottom w:val="single" w:sz="4" w:space="0" w:color="auto"/>
              <w:right w:val="single" w:sz="4" w:space="0" w:color="auto"/>
            </w:tcBorders>
            <w:vAlign w:val="center"/>
          </w:tcPr>
          <w:p w14:paraId="283EEDFF" w14:textId="77777777" w:rsidR="009263AC" w:rsidRPr="001611DC" w:rsidRDefault="009263AC" w:rsidP="00EB145B">
            <w:pPr>
              <w:pStyle w:val="TableText0"/>
              <w:jc w:val="center"/>
              <w:rPr>
                <w:iCs/>
              </w:rPr>
            </w:pPr>
            <w:r w:rsidRPr="001611DC">
              <w:rPr>
                <w:iCs/>
              </w:rPr>
              <w:t>0.30</w:t>
            </w:r>
          </w:p>
        </w:tc>
        <w:tc>
          <w:tcPr>
            <w:tcW w:w="772" w:type="pct"/>
            <w:tcBorders>
              <w:top w:val="single" w:sz="4" w:space="0" w:color="auto"/>
              <w:left w:val="single" w:sz="4" w:space="0" w:color="auto"/>
              <w:bottom w:val="single" w:sz="4" w:space="0" w:color="auto"/>
              <w:right w:val="single" w:sz="4" w:space="0" w:color="auto"/>
            </w:tcBorders>
            <w:vAlign w:val="center"/>
          </w:tcPr>
          <w:p w14:paraId="113D066A" w14:textId="77777777" w:rsidR="009263AC" w:rsidRPr="001611DC" w:rsidRDefault="009263AC" w:rsidP="00EB145B">
            <w:pPr>
              <w:pStyle w:val="TableText0"/>
              <w:jc w:val="center"/>
              <w:rPr>
                <w:iCs/>
              </w:rPr>
            </w:pPr>
            <w:r w:rsidRPr="001611DC">
              <w:rPr>
                <w:iCs/>
              </w:rPr>
              <w:t>0.00 (-0.00, 0.00)</w:t>
            </w:r>
          </w:p>
        </w:tc>
      </w:tr>
      <w:tr w:rsidR="009263AC" w:rsidRPr="001611DC" w14:paraId="4129CAB1"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C59AD5"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Any pIMD related to the intervention</w:t>
            </w:r>
          </w:p>
        </w:tc>
        <w:tc>
          <w:tcPr>
            <w:tcW w:w="633" w:type="pct"/>
            <w:tcBorders>
              <w:top w:val="single" w:sz="4" w:space="0" w:color="auto"/>
              <w:left w:val="single" w:sz="4" w:space="0" w:color="auto"/>
              <w:bottom w:val="single" w:sz="4" w:space="0" w:color="auto"/>
              <w:right w:val="single" w:sz="4" w:space="0" w:color="auto"/>
            </w:tcBorders>
            <w:vAlign w:val="center"/>
          </w:tcPr>
          <w:p w14:paraId="54D1BC2A" w14:textId="77777777" w:rsidR="009263AC" w:rsidRPr="001611DC" w:rsidRDefault="009263AC" w:rsidP="00EB145B">
            <w:pPr>
              <w:pStyle w:val="TableText0"/>
              <w:jc w:val="center"/>
            </w:pPr>
            <w:r w:rsidRPr="001611DC">
              <w:rPr>
                <w:iCs/>
              </w:rPr>
              <w:t>8/12,470</w:t>
            </w:r>
          </w:p>
        </w:tc>
        <w:tc>
          <w:tcPr>
            <w:tcW w:w="712" w:type="pct"/>
            <w:tcBorders>
              <w:top w:val="single" w:sz="4" w:space="0" w:color="auto"/>
              <w:left w:val="single" w:sz="4" w:space="0" w:color="auto"/>
              <w:bottom w:val="single" w:sz="4" w:space="0" w:color="auto"/>
              <w:right w:val="single" w:sz="4" w:space="0" w:color="auto"/>
            </w:tcBorders>
            <w:vAlign w:val="center"/>
          </w:tcPr>
          <w:p w14:paraId="0D2C687C" w14:textId="77777777" w:rsidR="009263AC" w:rsidRPr="001611DC" w:rsidRDefault="009263AC" w:rsidP="00EB145B">
            <w:pPr>
              <w:pStyle w:val="TableText0"/>
              <w:jc w:val="center"/>
            </w:pPr>
            <w:r w:rsidRPr="001611DC">
              <w:rPr>
                <w:iCs/>
              </w:rPr>
              <w:t>7/12,503</w:t>
            </w:r>
          </w:p>
        </w:tc>
        <w:tc>
          <w:tcPr>
            <w:tcW w:w="862" w:type="pct"/>
            <w:tcBorders>
              <w:top w:val="single" w:sz="4" w:space="0" w:color="auto"/>
              <w:left w:val="single" w:sz="4" w:space="0" w:color="auto"/>
              <w:bottom w:val="single" w:sz="4" w:space="0" w:color="auto"/>
              <w:right w:val="single" w:sz="4" w:space="0" w:color="auto"/>
            </w:tcBorders>
            <w:vAlign w:val="center"/>
          </w:tcPr>
          <w:p w14:paraId="7BB10C9F" w14:textId="77777777" w:rsidR="009263AC" w:rsidRPr="001611DC" w:rsidRDefault="009263AC" w:rsidP="00EB145B">
            <w:pPr>
              <w:pStyle w:val="TableText0"/>
              <w:jc w:val="center"/>
              <w:rPr>
                <w:iCs/>
              </w:rPr>
            </w:pPr>
            <w:r w:rsidRPr="001611DC">
              <w:rPr>
                <w:iCs/>
              </w:rPr>
              <w:t>1.15 (0.42, 3.16)</w:t>
            </w:r>
          </w:p>
        </w:tc>
        <w:tc>
          <w:tcPr>
            <w:tcW w:w="628" w:type="pct"/>
            <w:tcBorders>
              <w:top w:val="single" w:sz="4" w:space="0" w:color="auto"/>
              <w:left w:val="single" w:sz="4" w:space="0" w:color="auto"/>
              <w:bottom w:val="single" w:sz="4" w:space="0" w:color="auto"/>
              <w:right w:val="single" w:sz="4" w:space="0" w:color="auto"/>
            </w:tcBorders>
            <w:vAlign w:val="center"/>
          </w:tcPr>
          <w:p w14:paraId="523E3D13" w14:textId="77777777" w:rsidR="009263AC" w:rsidRPr="001611DC" w:rsidRDefault="009263AC" w:rsidP="00EB145B">
            <w:pPr>
              <w:pStyle w:val="TableText0"/>
              <w:jc w:val="center"/>
              <w:rPr>
                <w:iCs/>
              </w:rPr>
            </w:pPr>
            <w:r w:rsidRPr="001611DC">
              <w:rPr>
                <w:iCs/>
              </w:rPr>
              <w:t>0.03</w:t>
            </w:r>
          </w:p>
        </w:tc>
        <w:tc>
          <w:tcPr>
            <w:tcW w:w="755" w:type="pct"/>
            <w:tcBorders>
              <w:top w:val="single" w:sz="4" w:space="0" w:color="auto"/>
              <w:left w:val="single" w:sz="4" w:space="0" w:color="auto"/>
              <w:bottom w:val="single" w:sz="4" w:space="0" w:color="auto"/>
              <w:right w:val="single" w:sz="4" w:space="0" w:color="auto"/>
            </w:tcBorders>
            <w:vAlign w:val="center"/>
          </w:tcPr>
          <w:p w14:paraId="38B9F1EC" w14:textId="77777777" w:rsidR="009263AC" w:rsidRPr="001611DC" w:rsidRDefault="009263AC" w:rsidP="00EB145B">
            <w:pPr>
              <w:pStyle w:val="TableText0"/>
              <w:jc w:val="center"/>
              <w:rPr>
                <w:iCs/>
              </w:rPr>
            </w:pPr>
            <w:r w:rsidRPr="001611DC">
              <w:rPr>
                <w:iCs/>
              </w:rPr>
              <w:t>0.06</w:t>
            </w:r>
          </w:p>
        </w:tc>
        <w:tc>
          <w:tcPr>
            <w:tcW w:w="772" w:type="pct"/>
            <w:tcBorders>
              <w:top w:val="single" w:sz="4" w:space="0" w:color="auto"/>
              <w:left w:val="single" w:sz="4" w:space="0" w:color="auto"/>
              <w:bottom w:val="single" w:sz="4" w:space="0" w:color="auto"/>
              <w:right w:val="single" w:sz="4" w:space="0" w:color="auto"/>
            </w:tcBorders>
            <w:vAlign w:val="center"/>
          </w:tcPr>
          <w:p w14:paraId="5082B36A" w14:textId="77777777" w:rsidR="009263AC" w:rsidRPr="001611DC" w:rsidRDefault="009263AC" w:rsidP="00EB145B">
            <w:pPr>
              <w:pStyle w:val="TableText0"/>
              <w:jc w:val="center"/>
              <w:rPr>
                <w:iCs/>
              </w:rPr>
            </w:pPr>
            <w:r w:rsidRPr="001611DC">
              <w:rPr>
                <w:iCs/>
              </w:rPr>
              <w:t>0.00 (-0.00, 0.00)</w:t>
            </w:r>
          </w:p>
        </w:tc>
      </w:tr>
      <w:tr w:rsidR="009263AC" w:rsidRPr="001611DC" w14:paraId="7308F27D" w14:textId="77777777" w:rsidTr="00EB145B">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7B51B254" w14:textId="77777777" w:rsidR="009263AC" w:rsidRPr="001611DC" w:rsidRDefault="009263AC" w:rsidP="00EB145B">
            <w:pPr>
              <w:pStyle w:val="TableText0"/>
              <w:rPr>
                <w:rFonts w:eastAsia="Times New Roman" w:cs="Calibri"/>
                <w:color w:val="000000"/>
                <w:szCs w:val="20"/>
              </w:rPr>
            </w:pPr>
            <w:r w:rsidRPr="001611DC">
              <w:rPr>
                <w:rFonts w:eastAsia="Times New Roman" w:cs="Calibri"/>
                <w:color w:val="000000"/>
                <w:szCs w:val="20"/>
              </w:rPr>
              <w:t>Any fatal SAE</w:t>
            </w:r>
          </w:p>
        </w:tc>
        <w:tc>
          <w:tcPr>
            <w:tcW w:w="633" w:type="pct"/>
            <w:tcBorders>
              <w:top w:val="single" w:sz="4" w:space="0" w:color="auto"/>
              <w:left w:val="single" w:sz="4" w:space="0" w:color="auto"/>
              <w:bottom w:val="single" w:sz="4" w:space="0" w:color="auto"/>
              <w:right w:val="single" w:sz="4" w:space="0" w:color="auto"/>
            </w:tcBorders>
            <w:vAlign w:val="center"/>
          </w:tcPr>
          <w:p w14:paraId="08332C0B" w14:textId="77777777" w:rsidR="009263AC" w:rsidRPr="001611DC" w:rsidRDefault="009263AC" w:rsidP="00EB145B">
            <w:pPr>
              <w:pStyle w:val="TableText0"/>
              <w:jc w:val="center"/>
            </w:pPr>
            <w:r w:rsidRPr="001611DC">
              <w:rPr>
                <w:iCs/>
              </w:rPr>
              <w:t>148/12,470</w:t>
            </w:r>
          </w:p>
        </w:tc>
        <w:tc>
          <w:tcPr>
            <w:tcW w:w="712" w:type="pct"/>
            <w:tcBorders>
              <w:top w:val="single" w:sz="4" w:space="0" w:color="auto"/>
              <w:left w:val="single" w:sz="4" w:space="0" w:color="auto"/>
              <w:bottom w:val="single" w:sz="4" w:space="0" w:color="auto"/>
              <w:right w:val="single" w:sz="4" w:space="0" w:color="auto"/>
            </w:tcBorders>
            <w:vAlign w:val="center"/>
          </w:tcPr>
          <w:p w14:paraId="2E2D4849" w14:textId="77777777" w:rsidR="009263AC" w:rsidRPr="001611DC" w:rsidRDefault="009263AC" w:rsidP="00EB145B">
            <w:pPr>
              <w:pStyle w:val="TableText0"/>
              <w:jc w:val="center"/>
            </w:pPr>
            <w:r w:rsidRPr="001611DC">
              <w:rPr>
                <w:iCs/>
              </w:rPr>
              <w:t>149/12,503</w:t>
            </w:r>
          </w:p>
        </w:tc>
        <w:tc>
          <w:tcPr>
            <w:tcW w:w="862" w:type="pct"/>
            <w:tcBorders>
              <w:top w:val="single" w:sz="4" w:space="0" w:color="auto"/>
              <w:left w:val="single" w:sz="4" w:space="0" w:color="auto"/>
              <w:bottom w:val="single" w:sz="4" w:space="0" w:color="auto"/>
              <w:right w:val="single" w:sz="4" w:space="0" w:color="auto"/>
            </w:tcBorders>
          </w:tcPr>
          <w:p w14:paraId="1A3AEB65" w14:textId="77777777" w:rsidR="009263AC" w:rsidRPr="001611DC" w:rsidRDefault="009263AC" w:rsidP="00EB145B">
            <w:pPr>
              <w:pStyle w:val="TableText0"/>
              <w:jc w:val="center"/>
              <w:rPr>
                <w:iCs/>
              </w:rPr>
            </w:pPr>
            <w:r w:rsidRPr="001611DC">
              <w:rPr>
                <w:iCs/>
              </w:rPr>
              <w:t>1.00 (0.79, 1.25)</w:t>
            </w:r>
          </w:p>
        </w:tc>
        <w:tc>
          <w:tcPr>
            <w:tcW w:w="628" w:type="pct"/>
            <w:tcBorders>
              <w:top w:val="single" w:sz="4" w:space="0" w:color="auto"/>
              <w:left w:val="single" w:sz="4" w:space="0" w:color="auto"/>
              <w:bottom w:val="single" w:sz="4" w:space="0" w:color="auto"/>
              <w:right w:val="single" w:sz="4" w:space="0" w:color="auto"/>
            </w:tcBorders>
            <w:vAlign w:val="center"/>
          </w:tcPr>
          <w:p w14:paraId="6165311F" w14:textId="77777777" w:rsidR="009263AC" w:rsidRPr="001611DC" w:rsidRDefault="009263AC" w:rsidP="00EB145B">
            <w:pPr>
              <w:pStyle w:val="TableText0"/>
              <w:jc w:val="center"/>
              <w:rPr>
                <w:iCs/>
              </w:rPr>
            </w:pPr>
            <w:r w:rsidRPr="001611DC">
              <w:rPr>
                <w:iCs/>
              </w:rPr>
              <w:t>1.19</w:t>
            </w:r>
          </w:p>
        </w:tc>
        <w:tc>
          <w:tcPr>
            <w:tcW w:w="755" w:type="pct"/>
            <w:tcBorders>
              <w:top w:val="single" w:sz="4" w:space="0" w:color="auto"/>
              <w:left w:val="single" w:sz="4" w:space="0" w:color="auto"/>
              <w:bottom w:val="single" w:sz="4" w:space="0" w:color="auto"/>
              <w:right w:val="single" w:sz="4" w:space="0" w:color="auto"/>
            </w:tcBorders>
            <w:vAlign w:val="center"/>
          </w:tcPr>
          <w:p w14:paraId="021A4B48" w14:textId="77777777" w:rsidR="009263AC" w:rsidRPr="001611DC" w:rsidRDefault="009263AC" w:rsidP="00EB145B">
            <w:pPr>
              <w:pStyle w:val="TableText0"/>
              <w:jc w:val="center"/>
              <w:rPr>
                <w:iCs/>
              </w:rPr>
            </w:pPr>
            <w:r w:rsidRPr="001611DC">
              <w:rPr>
                <w:iCs/>
              </w:rPr>
              <w:t>1.19</w:t>
            </w:r>
          </w:p>
        </w:tc>
        <w:tc>
          <w:tcPr>
            <w:tcW w:w="772" w:type="pct"/>
            <w:tcBorders>
              <w:top w:val="single" w:sz="4" w:space="0" w:color="auto"/>
              <w:left w:val="single" w:sz="4" w:space="0" w:color="auto"/>
              <w:bottom w:val="single" w:sz="4" w:space="0" w:color="auto"/>
              <w:right w:val="single" w:sz="4" w:space="0" w:color="auto"/>
            </w:tcBorders>
            <w:vAlign w:val="center"/>
          </w:tcPr>
          <w:p w14:paraId="45C6B48A" w14:textId="77777777" w:rsidR="009263AC" w:rsidRPr="001611DC" w:rsidRDefault="009263AC" w:rsidP="00EB145B">
            <w:pPr>
              <w:pStyle w:val="TableText0"/>
              <w:jc w:val="center"/>
              <w:rPr>
                <w:iCs/>
              </w:rPr>
            </w:pPr>
            <w:r w:rsidRPr="001611DC">
              <w:rPr>
                <w:iCs/>
              </w:rPr>
              <w:t>-0.00 (-0.00, 0.00)</w:t>
            </w:r>
          </w:p>
        </w:tc>
      </w:tr>
    </w:tbl>
    <w:p w14:paraId="394BACE2" w14:textId="6F6E5DB8" w:rsidR="009263AC" w:rsidRPr="001611DC" w:rsidRDefault="009263AC" w:rsidP="004B6FB0">
      <w:pPr>
        <w:pStyle w:val="FooterTableFigure"/>
        <w:keepNext/>
      </w:pPr>
      <w:r w:rsidRPr="001611DC">
        <w:t>Source: Table 2-19,; Table 22-20Table 2-21, Table 2-31of the submission</w:t>
      </w:r>
      <w:r w:rsidR="004B6FB0" w:rsidRPr="001611DC">
        <w:t>, and PSCR Table 2 and text, p2</w:t>
      </w:r>
      <w:r w:rsidRPr="001611DC">
        <w:t xml:space="preserve">. </w:t>
      </w:r>
      <w:r w:rsidRPr="001611DC">
        <w:rPr>
          <w:iCs/>
        </w:rPr>
        <w:t>Compiled during the evaluation from evaluation from Table 12.4, p296 of ‘RSV OA = Adj-006 Study Report (Blinded End of Season 2) Published 28 Jun 2023’ of the Submission.</w:t>
      </w:r>
    </w:p>
    <w:p w14:paraId="27341D2A" w14:textId="2637999F" w:rsidR="009263AC" w:rsidRPr="001611DC" w:rsidRDefault="009263AC" w:rsidP="009263AC">
      <w:pPr>
        <w:pStyle w:val="FooterTableFigure"/>
      </w:pPr>
      <w:r w:rsidRPr="001611DC">
        <w:rPr>
          <w:rFonts w:eastAsia="Calibri"/>
        </w:rPr>
        <w:t>admin = administration; AE = adverse event</w:t>
      </w:r>
      <w:r w:rsidRPr="001611DC">
        <w:t xml:space="preserve">; CI = confidence interval; ES = exposed set; mES = modified exposed set; </w:t>
      </w:r>
      <w:r w:rsidR="00D51282" w:rsidRPr="001611DC">
        <w:t xml:space="preserve">MFU = median follow up; </w:t>
      </w:r>
      <w:r w:rsidRPr="001611DC">
        <w:t xml:space="preserve">N = number of participants; n = number of participants with at least one RT-PCR confirmed RSV-LRTD; LRTD = lower respiratory tract disease; n/T (per 1000) = incidence rate of participants reporting at least one event; RD = risk difference; </w:t>
      </w:r>
      <w:r w:rsidRPr="001611DC">
        <w:rPr>
          <w:rFonts w:eastAsia="Calibri"/>
        </w:rPr>
        <w:t>RR = relative risk</w:t>
      </w:r>
      <w:r w:rsidRPr="001611DC">
        <w:t xml:space="preserve">; RSV = respiratory syncytial virus; RSVPreF3 OA= RSV pre-fusion protein 3 older adult; RT-PCR = reverse transcription-polymerase chain reaction; T (year) = sum of follow-up time (from Day 15 post-vaccination till first occurrence of the event or till the efficacy data lock point or till drop-out date) expressed in years; VE = vaccine efficacy. </w:t>
      </w:r>
    </w:p>
    <w:p w14:paraId="2A5B8356" w14:textId="0DB82B3A" w:rsidR="009263AC" w:rsidRPr="001611DC" w:rsidRDefault="0050118E" w:rsidP="009263AC">
      <w:pPr>
        <w:pStyle w:val="FooterTableFigure"/>
      </w:pPr>
      <w:r w:rsidRPr="001611DC">
        <w:lastRenderedPageBreak/>
        <w:t>a</w:t>
      </w:r>
      <w:r w:rsidR="009263AC" w:rsidRPr="001611DC">
        <w:t xml:space="preserve"> </w:t>
      </w:r>
      <w:r w:rsidR="00E2719A" w:rsidRPr="001611DC">
        <w:rPr>
          <w:bCs/>
        </w:rPr>
        <w:t>≥</w:t>
      </w:r>
      <w:r w:rsidR="009263AC" w:rsidRPr="001611DC">
        <w:rPr>
          <w:bCs/>
        </w:rPr>
        <w:t>60 YOA:</w:t>
      </w:r>
      <w:r w:rsidR="009263AC" w:rsidRPr="001611DC">
        <w:t xml:space="preserve"> VE analysis 1 = 96.95% CI; VE analysis 2 = 95% CI and VE analysis 3 = 97.5% CI. </w:t>
      </w:r>
      <w:r w:rsidR="00E2719A" w:rsidRPr="001611DC">
        <w:rPr>
          <w:bCs/>
        </w:rPr>
        <w:t>≥</w:t>
      </w:r>
      <w:r w:rsidR="009263AC" w:rsidRPr="001611DC">
        <w:rPr>
          <w:bCs/>
        </w:rPr>
        <w:t>60 YOA: VE analysis 1, 2 and 3 = 95% CI.</w:t>
      </w:r>
    </w:p>
    <w:p w14:paraId="13CA49AB" w14:textId="2BCE3626" w:rsidR="009263AC" w:rsidRPr="001611DC" w:rsidRDefault="0050118E" w:rsidP="009263AC">
      <w:pPr>
        <w:pStyle w:val="FooterTableFigure"/>
      </w:pPr>
      <w:r w:rsidRPr="001611DC">
        <w:t>b</w:t>
      </w:r>
      <w:r w:rsidR="009263AC" w:rsidRPr="001611DC">
        <w:t xml:space="preserve"> Due to the small number of events, events are represented across all study arms </w:t>
      </w:r>
      <w:proofErr w:type="gramStart"/>
      <w:r w:rsidR="009263AC" w:rsidRPr="001611DC">
        <w:t>in order to</w:t>
      </w:r>
      <w:proofErr w:type="gramEnd"/>
      <w:r w:rsidR="009263AC" w:rsidRPr="001611DC">
        <w:t xml:space="preserve"> maintain blinding.</w:t>
      </w:r>
    </w:p>
    <w:p w14:paraId="5278ED47" w14:textId="77777777" w:rsidR="009263AC" w:rsidRPr="001611DC" w:rsidRDefault="009263AC" w:rsidP="009263AC">
      <w:pPr>
        <w:pStyle w:val="FooterTableFigure"/>
      </w:pPr>
      <w:r w:rsidRPr="001611DC">
        <w:t xml:space="preserve">VE analysis 1: median duration of follow up = 6.7 months. VE analysis 1: median duration of follow up = 11.5 months. VE analysis 3: median duration of follow up = 17.8 months </w:t>
      </w:r>
    </w:p>
    <w:p w14:paraId="04339390" w14:textId="77777777" w:rsidR="009263AC" w:rsidRPr="001611DC" w:rsidRDefault="009263AC" w:rsidP="009263AC">
      <w:pPr>
        <w:pStyle w:val="FooterTableFigure"/>
      </w:pPr>
      <w:r w:rsidRPr="001611DC">
        <w:rPr>
          <w:rFonts w:eastAsia="Calibri"/>
          <w:b/>
        </w:rPr>
        <w:t>Bold</w:t>
      </w:r>
      <w:r w:rsidRPr="001611DC">
        <w:rPr>
          <w:rFonts w:eastAsia="Calibri"/>
        </w:rPr>
        <w:t xml:space="preserve"> indicates statistically significant results.</w:t>
      </w:r>
    </w:p>
    <w:p w14:paraId="1C22768E" w14:textId="7546710A" w:rsidR="009263AC" w:rsidRPr="001611DC" w:rsidRDefault="009263AC" w:rsidP="009263AC">
      <w:pPr>
        <w:pStyle w:val="3-BodyText"/>
      </w:pPr>
      <w:proofErr w:type="gramStart"/>
      <w:r w:rsidRPr="001611DC">
        <w:t>On the basis of</w:t>
      </w:r>
      <w:proofErr w:type="gramEnd"/>
      <w:r w:rsidRPr="001611DC">
        <w:t xml:space="preserve"> direct evidence presented by the submission, for every 1,000 </w:t>
      </w:r>
      <w:r w:rsidR="00F57280" w:rsidRPr="001611DC">
        <w:t>adults</w:t>
      </w:r>
      <w:r w:rsidRPr="001611DC">
        <w:t xml:space="preserve"> vaccinated with RSVPreF3 OA in comparison with placebo (no vaccine):</w:t>
      </w:r>
    </w:p>
    <w:p w14:paraId="158AF8D4" w14:textId="726DF424" w:rsidR="009263AC" w:rsidRPr="001611DC" w:rsidRDefault="009263AC" w:rsidP="009263AC">
      <w:pPr>
        <w:pStyle w:val="ListParagraph"/>
        <w:ind w:left="1134"/>
      </w:pPr>
      <w:r w:rsidRPr="001611DC">
        <w:t xml:space="preserve">Approximately 3-4.5 fewer adults </w:t>
      </w:r>
      <w:r w:rsidR="00E2719A" w:rsidRPr="001611DC">
        <w:rPr>
          <w:rFonts w:cstheme="minorHAnsi"/>
        </w:rPr>
        <w:t>≥</w:t>
      </w:r>
      <w:r w:rsidRPr="001611DC">
        <w:t>60 YOA will have RT-PCR confirmed RSV-LRTD per RSV infection season.</w:t>
      </w:r>
    </w:p>
    <w:p w14:paraId="0F78A9F8" w14:textId="38ADD569" w:rsidR="009263AC" w:rsidRPr="001611DC" w:rsidRDefault="009263AC" w:rsidP="009263AC">
      <w:pPr>
        <w:pStyle w:val="ListParagraph"/>
        <w:ind w:left="1134"/>
      </w:pPr>
      <w:r w:rsidRPr="001611DC">
        <w:t xml:space="preserve">Approximately 30 additional adults </w:t>
      </w:r>
      <w:r w:rsidR="00E2719A" w:rsidRPr="23DB6F09">
        <w:rPr>
          <w:rFonts w:cstheme="minorBidi"/>
        </w:rPr>
        <w:t>≥</w:t>
      </w:r>
      <w:r w:rsidRPr="001611DC">
        <w:t>60 YOA would experience any Grade 3 solicited events within 4 days following a single dose of RSVPreF3 OA vaccination.</w:t>
      </w:r>
    </w:p>
    <w:p w14:paraId="231D577A" w14:textId="7333C171" w:rsidR="009263AC" w:rsidRPr="001611DC" w:rsidRDefault="009263AC" w:rsidP="009263AC">
      <w:pPr>
        <w:pStyle w:val="ListParagraph"/>
        <w:ind w:left="1134"/>
      </w:pPr>
      <w:r>
        <w:t xml:space="preserve">Approximately 20 additional adults </w:t>
      </w:r>
      <w:r w:rsidR="00E2719A" w:rsidRPr="76E5D4A2">
        <w:rPr>
          <w:rFonts w:cstheme="minorBidi"/>
        </w:rPr>
        <w:t>≥</w:t>
      </w:r>
      <w:r>
        <w:t>60 YOA would experience grade 3 systemic solicited events within 4 days following a single dose of RSVPreF3 OA vaccination.</w:t>
      </w:r>
    </w:p>
    <w:p w14:paraId="37B1A8A1" w14:textId="0D70784C" w:rsidR="009263AC" w:rsidRPr="001611DC" w:rsidRDefault="009263AC" w:rsidP="009263AC">
      <w:pPr>
        <w:pStyle w:val="ListParagraph"/>
        <w:ind w:left="1134"/>
      </w:pPr>
      <w:r w:rsidRPr="001611DC">
        <w:t xml:space="preserve">Approximately 7 additional adults </w:t>
      </w:r>
      <w:r w:rsidR="00E2719A" w:rsidRPr="680AA9B3">
        <w:rPr>
          <w:rFonts w:cstheme="minorBidi"/>
        </w:rPr>
        <w:t>≥</w:t>
      </w:r>
      <w:r w:rsidRPr="001611DC">
        <w:t>60 YOA would experience any Grade 3 unsolicited A</w:t>
      </w:r>
      <w:r w:rsidR="00762260" w:rsidRPr="001611DC">
        <w:t>E</w:t>
      </w:r>
      <w:r w:rsidRPr="001611DC">
        <w:t>s within 30 days following a single dose of RSVPreF3 OA vaccination.</w:t>
      </w:r>
    </w:p>
    <w:p w14:paraId="359F0301" w14:textId="239F567C" w:rsidR="009263AC" w:rsidRPr="001611DC" w:rsidRDefault="009263AC" w:rsidP="009263AC">
      <w:pPr>
        <w:pStyle w:val="ListParagraph"/>
        <w:ind w:left="1134"/>
      </w:pPr>
      <w:r w:rsidRPr="001611DC">
        <w:t xml:space="preserve">Approximately 7 additional adults </w:t>
      </w:r>
      <w:r w:rsidR="00E2719A" w:rsidRPr="001611DC">
        <w:rPr>
          <w:rFonts w:cstheme="minorHAnsi"/>
        </w:rPr>
        <w:t>≥</w:t>
      </w:r>
      <w:r w:rsidRPr="001611DC">
        <w:t>60 YOA would experience any Grade 3 unsolicited A</w:t>
      </w:r>
      <w:r w:rsidR="00762260" w:rsidRPr="001611DC">
        <w:t>E</w:t>
      </w:r>
      <w:r w:rsidRPr="001611DC">
        <w:t>s related to RSVPreF3 OA within 30 days following a single dose of RSVPreF3 OA vaccination.</w:t>
      </w:r>
    </w:p>
    <w:p w14:paraId="30430106" w14:textId="77777777" w:rsidR="009263AC" w:rsidRPr="001611DC" w:rsidRDefault="009263AC" w:rsidP="009263AC">
      <w:pPr>
        <w:pStyle w:val="4-SubsectionHeading"/>
      </w:pPr>
      <w:bookmarkStart w:id="80" w:name="_Toc22897644"/>
      <w:bookmarkStart w:id="81" w:name="_Toc165203810"/>
      <w:bookmarkStart w:id="82" w:name="_Toc167277515"/>
      <w:r w:rsidRPr="001611DC">
        <w:t>Clinical claim</w:t>
      </w:r>
      <w:bookmarkEnd w:id="80"/>
      <w:bookmarkEnd w:id="81"/>
      <w:bookmarkEnd w:id="82"/>
    </w:p>
    <w:p w14:paraId="158B1DD9" w14:textId="25B784F3" w:rsidR="009263AC" w:rsidRPr="001611DC" w:rsidRDefault="009263AC" w:rsidP="009263AC">
      <w:pPr>
        <w:pStyle w:val="3-BodyText"/>
        <w:rPr>
          <w:rFonts w:eastAsia="Calibri"/>
        </w:rPr>
      </w:pPr>
      <w:r w:rsidRPr="001611DC">
        <w:rPr>
          <w:rFonts w:eastAsia="Calibri"/>
        </w:rPr>
        <w:t xml:space="preserve">The submission described RSVPreF3 OA vaccine as superior in terms of effectiveness in the prevention of RT-PCR confirmed RSV-LRTD compared with placebo (no vaccine) in adults </w:t>
      </w:r>
      <w:r w:rsidR="00E2719A" w:rsidRPr="001611DC">
        <w:rPr>
          <w:rFonts w:eastAsia="Calibri" w:cstheme="minorHAnsi"/>
          <w:iCs/>
        </w:rPr>
        <w:t>≥</w:t>
      </w:r>
      <w:r w:rsidRPr="001611DC">
        <w:rPr>
          <w:rFonts w:eastAsia="Calibri"/>
          <w:iCs/>
        </w:rPr>
        <w:t xml:space="preserve">60 YOA, inclusive of those </w:t>
      </w:r>
      <w:r w:rsidR="00E2719A" w:rsidRPr="001611DC">
        <w:rPr>
          <w:rFonts w:cstheme="minorHAnsi"/>
        </w:rPr>
        <w:t>≥</w:t>
      </w:r>
      <w:r w:rsidRPr="001611DC">
        <w:rPr>
          <w:rFonts w:eastAsia="Calibri"/>
          <w:iCs/>
        </w:rPr>
        <w:t xml:space="preserve">75 YOA </w:t>
      </w:r>
      <w:r w:rsidRPr="001611DC">
        <w:rPr>
          <w:rFonts w:eastAsia="Calibri"/>
        </w:rPr>
        <w:t>and having an acceptable safety profile despite being slightly more reactogenic compared to placebo (no vaccine).</w:t>
      </w:r>
    </w:p>
    <w:p w14:paraId="1504B912" w14:textId="31B2F7AF" w:rsidR="009263AC" w:rsidRPr="001611DC" w:rsidRDefault="009263AC" w:rsidP="009263AC">
      <w:pPr>
        <w:pStyle w:val="3-BodyText"/>
        <w:rPr>
          <w:rFonts w:eastAsia="Calibri"/>
          <w:iCs/>
        </w:rPr>
      </w:pPr>
      <w:r w:rsidRPr="001611DC">
        <w:rPr>
          <w:rFonts w:eastAsia="Calibri"/>
          <w:iCs/>
        </w:rPr>
        <w:t>The</w:t>
      </w:r>
      <w:r w:rsidR="00EE2A49" w:rsidRPr="001611DC">
        <w:rPr>
          <w:rFonts w:eastAsia="Calibri"/>
          <w:iCs/>
        </w:rPr>
        <w:t xml:space="preserve"> evaluation considered that the</w:t>
      </w:r>
      <w:r w:rsidRPr="001611DC">
        <w:rPr>
          <w:rFonts w:eastAsia="Calibri"/>
          <w:iCs/>
        </w:rPr>
        <w:t xml:space="preserve"> therapeutic conclusion presented in the submission was adequately supported by the evidence presented for the efficacy of RSVPreF3 OA vaccine in preventing RT-PCR confirmed RSV-LRTD compared with placebo in adults </w:t>
      </w:r>
      <w:r w:rsidR="00E2719A" w:rsidRPr="001611DC">
        <w:rPr>
          <w:rFonts w:eastAsia="Calibri" w:cstheme="minorHAnsi"/>
          <w:iCs/>
        </w:rPr>
        <w:t>≥</w:t>
      </w:r>
      <w:r w:rsidRPr="001611DC">
        <w:rPr>
          <w:rFonts w:eastAsia="Calibri"/>
          <w:iCs/>
        </w:rPr>
        <w:t>60 YOA</w:t>
      </w:r>
      <w:r w:rsidR="001F4410">
        <w:rPr>
          <w:rFonts w:eastAsia="Calibri"/>
          <w:iCs/>
        </w:rPr>
        <w:t xml:space="preserve"> </w:t>
      </w:r>
      <w:r w:rsidRPr="001611DC">
        <w:rPr>
          <w:rFonts w:eastAsia="Calibri"/>
          <w:iCs/>
        </w:rPr>
        <w:t xml:space="preserve">and adults </w:t>
      </w:r>
      <w:r w:rsidR="00E2719A" w:rsidRPr="001611DC">
        <w:rPr>
          <w:rFonts w:eastAsia="Calibri" w:cstheme="minorHAnsi"/>
          <w:iCs/>
        </w:rPr>
        <w:t>≥</w:t>
      </w:r>
      <w:r w:rsidRPr="001611DC">
        <w:rPr>
          <w:rFonts w:eastAsia="Calibri"/>
          <w:iCs/>
        </w:rPr>
        <w:t>75 YOA. This was supported by the evidence presented for the VE of RSVPreF3 OA against first occurrence of RSV-ARI, severe RT-PCR confirmed LRTD and complications related to RT-PCR confirmed ARI</w:t>
      </w:r>
      <w:r w:rsidR="0021238B" w:rsidRPr="001611DC">
        <w:rPr>
          <w:rFonts w:eastAsia="Calibri"/>
          <w:iCs/>
        </w:rPr>
        <w:t xml:space="preserve"> (</w:t>
      </w:r>
      <w:r w:rsidR="0021238B" w:rsidRPr="001611DC">
        <w:rPr>
          <w:rFonts w:eastAsia="Calibri"/>
          <w:iCs/>
        </w:rPr>
        <w:fldChar w:fldCharType="begin" w:fldLock="1"/>
      </w:r>
      <w:r w:rsidR="0021238B" w:rsidRPr="001611DC">
        <w:rPr>
          <w:rFonts w:eastAsia="Calibri"/>
          <w:iCs/>
        </w:rPr>
        <w:instrText xml:space="preserve"> REF _Ref166753498 \h </w:instrText>
      </w:r>
      <w:r w:rsidR="0021238B" w:rsidRPr="001611DC">
        <w:rPr>
          <w:rFonts w:eastAsia="Calibri"/>
          <w:iCs/>
        </w:rPr>
      </w:r>
      <w:r w:rsidR="0021238B" w:rsidRPr="001611DC">
        <w:rPr>
          <w:rFonts w:eastAsia="Calibri"/>
          <w:iCs/>
        </w:rPr>
        <w:fldChar w:fldCharType="separate"/>
      </w:r>
      <w:r w:rsidR="00927933" w:rsidRPr="001611DC">
        <w:t>Table 7</w:t>
      </w:r>
      <w:r w:rsidR="0021238B" w:rsidRPr="001611DC">
        <w:rPr>
          <w:rFonts w:eastAsia="Calibri"/>
          <w:iCs/>
        </w:rPr>
        <w:fldChar w:fldCharType="end"/>
      </w:r>
      <w:r w:rsidR="0021238B" w:rsidRPr="001611DC">
        <w:rPr>
          <w:rFonts w:eastAsia="Calibri"/>
          <w:iCs/>
        </w:rPr>
        <w:t>)</w:t>
      </w:r>
      <w:r w:rsidRPr="001611DC">
        <w:rPr>
          <w:rFonts w:eastAsia="Calibri"/>
          <w:iCs/>
        </w:rPr>
        <w:t xml:space="preserve">. </w:t>
      </w:r>
    </w:p>
    <w:p w14:paraId="3EECED36" w14:textId="17E036C5" w:rsidR="0021238B" w:rsidRPr="001611DC" w:rsidRDefault="009263AC" w:rsidP="007D2BFB">
      <w:pPr>
        <w:pStyle w:val="3-BodyText"/>
        <w:rPr>
          <w:rFonts w:eastAsia="Calibri"/>
          <w:iCs/>
        </w:rPr>
      </w:pPr>
      <w:r w:rsidRPr="001611DC">
        <w:rPr>
          <w:rFonts w:eastAsia="Calibri"/>
          <w:iCs/>
        </w:rPr>
        <w:t>Based on the evidence presented</w:t>
      </w:r>
      <w:r w:rsidR="0021238B" w:rsidRPr="001611DC">
        <w:rPr>
          <w:rFonts w:eastAsia="Calibri"/>
          <w:iCs/>
        </w:rPr>
        <w:t xml:space="preserve"> </w:t>
      </w:r>
      <w:r w:rsidR="0021238B" w:rsidRPr="001611DC">
        <w:rPr>
          <w:rFonts w:eastAsia="Calibri" w:cstheme="minorHAnsi"/>
          <w:iCs/>
        </w:rPr>
        <w:t>(</w:t>
      </w:r>
      <w:r w:rsidR="0021238B" w:rsidRPr="001611DC">
        <w:rPr>
          <w:rFonts w:eastAsia="Calibri" w:cstheme="minorHAnsi"/>
          <w:b/>
          <w:bCs/>
          <w:iCs/>
        </w:rPr>
        <w:fldChar w:fldCharType="begin" w:fldLock="1"/>
      </w:r>
      <w:r w:rsidR="0021238B" w:rsidRPr="001611DC">
        <w:rPr>
          <w:rFonts w:eastAsia="Calibri" w:cstheme="minorHAnsi"/>
          <w:b/>
          <w:bCs/>
          <w:iCs/>
        </w:rPr>
        <w:instrText xml:space="preserve"> REF _Ref165026457 \h  \* MERGEFORMAT </w:instrText>
      </w:r>
      <w:r w:rsidR="0021238B" w:rsidRPr="001611DC">
        <w:rPr>
          <w:rFonts w:eastAsia="Calibri" w:cstheme="minorHAnsi"/>
          <w:b/>
          <w:bCs/>
          <w:iCs/>
        </w:rPr>
      </w:r>
      <w:r w:rsidR="0021238B" w:rsidRPr="001611DC">
        <w:rPr>
          <w:rFonts w:eastAsia="Calibri" w:cstheme="minorHAnsi"/>
          <w:b/>
          <w:bCs/>
          <w:iCs/>
        </w:rPr>
        <w:fldChar w:fldCharType="separate"/>
      </w:r>
      <w:r w:rsidR="00927933" w:rsidRPr="001611DC">
        <w:rPr>
          <w:rStyle w:val="CommentReference"/>
          <w:rFonts w:asciiTheme="minorHAnsi" w:hAnsiTheme="minorHAnsi" w:cstheme="minorHAnsi"/>
          <w:b w:val="0"/>
          <w:bCs/>
          <w:sz w:val="24"/>
          <w:szCs w:val="24"/>
        </w:rPr>
        <w:t>Table 8</w:t>
      </w:r>
      <w:r w:rsidR="0021238B" w:rsidRPr="001611DC">
        <w:rPr>
          <w:rFonts w:eastAsia="Calibri" w:cstheme="minorHAnsi"/>
          <w:b/>
          <w:bCs/>
          <w:iCs/>
        </w:rPr>
        <w:fldChar w:fldCharType="end"/>
      </w:r>
      <w:r w:rsidR="0021238B" w:rsidRPr="001611DC">
        <w:rPr>
          <w:rFonts w:eastAsia="Calibri"/>
          <w:iCs/>
        </w:rPr>
        <w:t>)</w:t>
      </w:r>
      <w:r w:rsidRPr="001611DC">
        <w:rPr>
          <w:rFonts w:eastAsia="Calibri"/>
          <w:iCs/>
        </w:rPr>
        <w:t>, RSVPreF3 OA was less efficacious in preventing RT</w:t>
      </w:r>
      <w:r w:rsidRPr="001611DC">
        <w:rPr>
          <w:rFonts w:eastAsia="Calibri"/>
          <w:iCs/>
        </w:rPr>
        <w:noBreakHyphen/>
        <w:t xml:space="preserve">PCR confirmed RSV-LRTD in adults </w:t>
      </w:r>
      <w:r w:rsidR="00E2719A" w:rsidRPr="001611DC">
        <w:rPr>
          <w:rFonts w:eastAsia="Calibri"/>
          <w:iCs/>
        </w:rPr>
        <w:t>≥</w:t>
      </w:r>
      <w:r w:rsidRPr="001611DC">
        <w:rPr>
          <w:rFonts w:eastAsia="Calibri"/>
          <w:iCs/>
        </w:rPr>
        <w:t xml:space="preserve">75 YOA than adults </w:t>
      </w:r>
      <w:r w:rsidR="00E2719A" w:rsidRPr="001611DC">
        <w:rPr>
          <w:rFonts w:eastAsia="Calibri"/>
          <w:iCs/>
        </w:rPr>
        <w:t>≥</w:t>
      </w:r>
      <w:r w:rsidRPr="001611DC">
        <w:rPr>
          <w:rFonts w:eastAsia="Calibri"/>
          <w:iCs/>
        </w:rPr>
        <w:t xml:space="preserve">60 YOA; </w:t>
      </w:r>
    </w:p>
    <w:p w14:paraId="5F38F1E8" w14:textId="7781CFB2" w:rsidR="0021238B" w:rsidRPr="001611DC" w:rsidRDefault="009263AC" w:rsidP="00844F2C">
      <w:pPr>
        <w:pStyle w:val="3-BodyText"/>
        <w:numPr>
          <w:ilvl w:val="0"/>
          <w:numId w:val="25"/>
        </w:numPr>
        <w:ind w:left="1134"/>
        <w:rPr>
          <w:rFonts w:eastAsia="Calibri"/>
          <w:iCs/>
        </w:rPr>
      </w:pPr>
      <w:r w:rsidRPr="001611DC">
        <w:rPr>
          <w:rFonts w:eastAsia="Calibri"/>
          <w:iCs/>
        </w:rPr>
        <w:t>VE analysis 1</w:t>
      </w:r>
      <w:r w:rsidR="0021238B" w:rsidRPr="001611DC">
        <w:rPr>
          <w:rFonts w:eastAsia="Calibri"/>
          <w:iCs/>
        </w:rPr>
        <w:t xml:space="preserve"> (median follow up 6.7 months)</w:t>
      </w:r>
      <w:r w:rsidRPr="001611DC">
        <w:rPr>
          <w:rFonts w:eastAsia="Calibri"/>
          <w:iCs/>
        </w:rPr>
        <w:t xml:space="preserve">: 52.48% vs 82.58% for </w:t>
      </w:r>
      <w:r w:rsidR="00E2719A" w:rsidRPr="001611DC">
        <w:rPr>
          <w:rFonts w:eastAsia="Calibri" w:cstheme="minorHAnsi"/>
          <w:iCs/>
        </w:rPr>
        <w:t>≥</w:t>
      </w:r>
      <w:r w:rsidRPr="001611DC">
        <w:rPr>
          <w:rFonts w:eastAsia="Calibri"/>
          <w:iCs/>
        </w:rPr>
        <w:t xml:space="preserve">75 YOA vs </w:t>
      </w:r>
      <w:r w:rsidR="00E2719A" w:rsidRPr="001611DC">
        <w:rPr>
          <w:rFonts w:eastAsia="Calibri"/>
          <w:iCs/>
        </w:rPr>
        <w:t>≥</w:t>
      </w:r>
      <w:r w:rsidRPr="001611DC">
        <w:rPr>
          <w:rFonts w:eastAsia="Calibri"/>
          <w:iCs/>
        </w:rPr>
        <w:t>60 YOA,</w:t>
      </w:r>
      <w:r w:rsidR="0021238B" w:rsidRPr="001611DC">
        <w:rPr>
          <w:rFonts w:eastAsia="Calibri"/>
          <w:iCs/>
        </w:rPr>
        <w:t xml:space="preserve"> respectively;</w:t>
      </w:r>
      <w:r w:rsidRPr="001611DC">
        <w:rPr>
          <w:rFonts w:eastAsia="Calibri"/>
          <w:iCs/>
        </w:rPr>
        <w:t xml:space="preserve"> </w:t>
      </w:r>
    </w:p>
    <w:p w14:paraId="5CBF89EE" w14:textId="00AE3EFD" w:rsidR="005D3A34" w:rsidRPr="001611DC" w:rsidRDefault="009263AC" w:rsidP="00844F2C">
      <w:pPr>
        <w:pStyle w:val="3-BodyText"/>
        <w:numPr>
          <w:ilvl w:val="0"/>
          <w:numId w:val="25"/>
        </w:numPr>
        <w:ind w:left="1134"/>
        <w:rPr>
          <w:rFonts w:eastAsia="Calibri"/>
          <w:iCs/>
        </w:rPr>
      </w:pPr>
      <w:r w:rsidRPr="001611DC">
        <w:rPr>
          <w:rFonts w:eastAsia="Calibri"/>
          <w:iCs/>
        </w:rPr>
        <w:t>VE analysis 3</w:t>
      </w:r>
      <w:r w:rsidR="005D3A34" w:rsidRPr="001611DC">
        <w:rPr>
          <w:rFonts w:eastAsia="Calibri"/>
          <w:iCs/>
        </w:rPr>
        <w:t xml:space="preserve"> (median follow up 17.8 months)</w:t>
      </w:r>
      <w:r w:rsidRPr="001611DC">
        <w:rPr>
          <w:rFonts w:eastAsia="Calibri"/>
          <w:iCs/>
        </w:rPr>
        <w:t>: 49.33% vs 67.12%</w:t>
      </w:r>
      <w:r w:rsidR="005D3A34" w:rsidRPr="001611DC">
        <w:rPr>
          <w:rFonts w:eastAsia="Calibri"/>
          <w:iCs/>
        </w:rPr>
        <w:t xml:space="preserve"> for </w:t>
      </w:r>
      <w:r w:rsidR="005D3A34" w:rsidRPr="001611DC">
        <w:rPr>
          <w:rFonts w:eastAsia="Calibri" w:cstheme="minorHAnsi"/>
          <w:iCs/>
        </w:rPr>
        <w:t>≥</w:t>
      </w:r>
      <w:r w:rsidR="005D3A34" w:rsidRPr="001611DC">
        <w:rPr>
          <w:rFonts w:eastAsia="Calibri"/>
          <w:iCs/>
        </w:rPr>
        <w:t>75 YOA vs ≥60 YOA, respectively</w:t>
      </w:r>
      <w:r w:rsidRPr="001611DC">
        <w:rPr>
          <w:rFonts w:eastAsia="Calibri"/>
          <w:iCs/>
        </w:rPr>
        <w:t xml:space="preserve"> (single dose analysis). </w:t>
      </w:r>
    </w:p>
    <w:p w14:paraId="166A2433" w14:textId="2AFB61A6" w:rsidR="007D2BFB" w:rsidRPr="001611DC" w:rsidRDefault="009263AC" w:rsidP="005D3A34">
      <w:pPr>
        <w:pStyle w:val="3-BodyText"/>
        <w:numPr>
          <w:ilvl w:val="0"/>
          <w:numId w:val="0"/>
        </w:numPr>
        <w:ind w:left="720" w:hanging="11"/>
        <w:rPr>
          <w:rFonts w:eastAsia="Calibri"/>
          <w:iCs/>
        </w:rPr>
      </w:pPr>
      <w:r w:rsidRPr="001611DC">
        <w:rPr>
          <w:rFonts w:eastAsia="Calibri"/>
          <w:iCs/>
        </w:rPr>
        <w:t>Th</w:t>
      </w:r>
      <w:r w:rsidR="005D3A34" w:rsidRPr="001611DC">
        <w:rPr>
          <w:rFonts w:eastAsia="Calibri"/>
          <w:iCs/>
        </w:rPr>
        <w:t>e</w:t>
      </w:r>
      <w:r w:rsidRPr="001611DC">
        <w:rPr>
          <w:rFonts w:eastAsia="Calibri"/>
          <w:iCs/>
        </w:rPr>
        <w:t xml:space="preserve"> </w:t>
      </w:r>
      <w:r w:rsidR="005D3A34" w:rsidRPr="001611DC">
        <w:rPr>
          <w:rFonts w:eastAsia="Calibri"/>
          <w:iCs/>
        </w:rPr>
        <w:t xml:space="preserve">latter </w:t>
      </w:r>
      <w:r w:rsidRPr="001611DC">
        <w:rPr>
          <w:rFonts w:eastAsia="Calibri"/>
          <w:iCs/>
        </w:rPr>
        <w:t xml:space="preserve">comparison was based on a </w:t>
      </w:r>
      <w:r w:rsidR="005E1B5D" w:rsidRPr="001611DC">
        <w:rPr>
          <w:rFonts w:eastAsia="Calibri"/>
          <w:iCs/>
        </w:rPr>
        <w:t>post hoc</w:t>
      </w:r>
      <w:r w:rsidRPr="001611DC">
        <w:rPr>
          <w:rFonts w:eastAsia="Calibri"/>
          <w:iCs/>
        </w:rPr>
        <w:t xml:space="preserve"> analysis with small numbers of accrued RSV-LRTD cases (RSVPreF3 OA n</w:t>
      </w:r>
      <w:r w:rsidR="005D3A34" w:rsidRPr="001611DC">
        <w:rPr>
          <w:rFonts w:eastAsia="Calibri"/>
          <w:iCs/>
        </w:rPr>
        <w:t xml:space="preserve"> </w:t>
      </w:r>
      <w:r w:rsidRPr="001611DC">
        <w:rPr>
          <w:rFonts w:eastAsia="Calibri"/>
          <w:iCs/>
        </w:rPr>
        <w:t>=</w:t>
      </w:r>
      <w:r w:rsidR="005D3A34" w:rsidRPr="001611DC">
        <w:rPr>
          <w:rFonts w:eastAsia="Calibri"/>
          <w:iCs/>
        </w:rPr>
        <w:t xml:space="preserve"> </w:t>
      </w:r>
      <w:r w:rsidRPr="001611DC">
        <w:rPr>
          <w:rFonts w:eastAsia="Calibri"/>
          <w:iCs/>
        </w:rPr>
        <w:t>8 and placebo n = 24; VE analysis 3)</w:t>
      </w:r>
      <w:r w:rsidR="00F61884" w:rsidRPr="001611DC">
        <w:rPr>
          <w:rFonts w:eastAsia="Calibri"/>
          <w:iCs/>
        </w:rPr>
        <w:t xml:space="preserve">. The evaluation </w:t>
      </w:r>
      <w:r w:rsidR="00F61884" w:rsidRPr="001611DC">
        <w:rPr>
          <w:rFonts w:eastAsia="Calibri"/>
          <w:iCs/>
        </w:rPr>
        <w:lastRenderedPageBreak/>
        <w:t>considered that</w:t>
      </w:r>
      <w:r w:rsidRPr="001611DC">
        <w:rPr>
          <w:rFonts w:eastAsia="Calibri"/>
          <w:iCs/>
        </w:rPr>
        <w:t xml:space="preserve"> the estimated efficacy of RSVPreF3 OA in the </w:t>
      </w:r>
      <w:r w:rsidR="00E2719A" w:rsidRPr="001611DC">
        <w:rPr>
          <w:rFonts w:eastAsia="Calibri" w:cstheme="minorHAnsi"/>
          <w:iCs/>
        </w:rPr>
        <w:t>≥</w:t>
      </w:r>
      <w:r w:rsidRPr="001611DC">
        <w:rPr>
          <w:rFonts w:eastAsia="Calibri"/>
          <w:iCs/>
        </w:rPr>
        <w:t>75 YOA</w:t>
      </w:r>
      <w:r w:rsidRPr="001611DC" w:rsidDel="00C3132A">
        <w:rPr>
          <w:rFonts w:eastAsia="Calibri"/>
          <w:iCs/>
        </w:rPr>
        <w:t xml:space="preserve"> </w:t>
      </w:r>
      <w:r w:rsidRPr="001611DC">
        <w:rPr>
          <w:rFonts w:eastAsia="Calibri"/>
          <w:iCs/>
        </w:rPr>
        <w:t xml:space="preserve">subgroup </w:t>
      </w:r>
      <w:r w:rsidR="0027149C" w:rsidRPr="001611DC">
        <w:rPr>
          <w:rFonts w:eastAsia="Calibri"/>
          <w:iCs/>
        </w:rPr>
        <w:t xml:space="preserve">was </w:t>
      </w:r>
      <w:r w:rsidRPr="001611DC">
        <w:rPr>
          <w:rFonts w:eastAsia="Calibri"/>
          <w:iCs/>
        </w:rPr>
        <w:t>uncertain.</w:t>
      </w:r>
    </w:p>
    <w:p w14:paraId="48658C39" w14:textId="17B9DA84" w:rsidR="007D2BFB" w:rsidRPr="001611DC" w:rsidRDefault="00D87ABF" w:rsidP="007D2BFB">
      <w:pPr>
        <w:pStyle w:val="3-BodyText"/>
        <w:rPr>
          <w:rFonts w:eastAsia="Calibri"/>
          <w:iCs/>
        </w:rPr>
      </w:pPr>
      <w:r w:rsidRPr="001611DC">
        <w:rPr>
          <w:rFonts w:eastAsia="Calibri"/>
          <w:iCs/>
        </w:rPr>
        <w:t xml:space="preserve">The ESC considered that the claim of superior effectiveness of RSVPreF3 OA vaccine compared with placebo was supported for the </w:t>
      </w:r>
      <w:r w:rsidR="00E2719A" w:rsidRPr="001611DC">
        <w:rPr>
          <w:rFonts w:eastAsia="Calibri" w:cstheme="minorHAnsi"/>
          <w:iCs/>
        </w:rPr>
        <w:t>≥</w:t>
      </w:r>
      <w:r w:rsidRPr="001611DC">
        <w:rPr>
          <w:rFonts w:eastAsia="Calibri"/>
          <w:iCs/>
        </w:rPr>
        <w:t>60 YOA population (overall study population).</w:t>
      </w:r>
      <w:r w:rsidR="00396B58" w:rsidRPr="001611DC">
        <w:rPr>
          <w:rFonts w:eastAsia="Calibri"/>
          <w:iCs/>
        </w:rPr>
        <w:t xml:space="preserve"> </w:t>
      </w:r>
      <w:r w:rsidR="007D2BFB" w:rsidRPr="001611DC">
        <w:rPr>
          <w:bCs/>
          <w:iCs/>
        </w:rPr>
        <w:t xml:space="preserve">The ESC </w:t>
      </w:r>
      <w:r w:rsidR="007D2BFB" w:rsidRPr="001611DC">
        <w:rPr>
          <w:iCs/>
        </w:rPr>
        <w:t xml:space="preserve">noted that ATAGI had considered it was reasonable to </w:t>
      </w:r>
      <w:proofErr w:type="gramStart"/>
      <w:r w:rsidR="007D2BFB" w:rsidRPr="001611DC">
        <w:rPr>
          <w:iCs/>
        </w:rPr>
        <w:t>make an assumption</w:t>
      </w:r>
      <w:proofErr w:type="gramEnd"/>
      <w:r w:rsidR="007D2BFB" w:rsidRPr="001611DC">
        <w:rPr>
          <w:iCs/>
        </w:rPr>
        <w:t xml:space="preserve"> of similar VE for the </w:t>
      </w:r>
      <w:r w:rsidR="00E2719A" w:rsidRPr="001611DC">
        <w:rPr>
          <w:iCs/>
        </w:rPr>
        <w:t>≥</w:t>
      </w:r>
      <w:r w:rsidR="007D2BFB" w:rsidRPr="001611DC">
        <w:rPr>
          <w:iCs/>
        </w:rPr>
        <w:t xml:space="preserve">60 YOA and </w:t>
      </w:r>
      <w:r w:rsidR="00E2719A" w:rsidRPr="001611DC">
        <w:rPr>
          <w:iCs/>
        </w:rPr>
        <w:t>≥</w:t>
      </w:r>
      <w:r w:rsidR="007D2BFB" w:rsidRPr="001611DC">
        <w:rPr>
          <w:iCs/>
        </w:rPr>
        <w:t xml:space="preserve">75 YOA age strata, and </w:t>
      </w:r>
      <w:r w:rsidR="007D2BFB" w:rsidRPr="001611DC">
        <w:rPr>
          <w:bCs/>
          <w:iCs/>
        </w:rPr>
        <w:t xml:space="preserve">agreed with the commentary that this was uncertain due to the </w:t>
      </w:r>
      <w:r w:rsidR="005E1B5D" w:rsidRPr="001611DC">
        <w:rPr>
          <w:bCs/>
          <w:iCs/>
        </w:rPr>
        <w:t>post hoc</w:t>
      </w:r>
      <w:r w:rsidR="007D2BFB" w:rsidRPr="001611DC">
        <w:rPr>
          <w:bCs/>
          <w:iCs/>
        </w:rPr>
        <w:t xml:space="preserve"> nature of the analysis and the small number of infections observed.</w:t>
      </w:r>
    </w:p>
    <w:p w14:paraId="39279BE9" w14:textId="42ADA217" w:rsidR="001142B1" w:rsidRPr="001611DC" w:rsidRDefault="001142B1">
      <w:pPr>
        <w:pStyle w:val="3-BodyText"/>
        <w:rPr>
          <w:rFonts w:eastAsia="Calibri"/>
          <w:iCs/>
        </w:rPr>
      </w:pPr>
      <w:r w:rsidRPr="001611DC">
        <w:rPr>
          <w:rFonts w:eastAsia="Calibri"/>
          <w:iCs/>
        </w:rPr>
        <w:t>The pre-PBAC response stated that results from observational studies provided further confidence of the applicability of outcomes from AReSVi-006 to real world populations, including older adults with underlying comorbidities and immunocompromising conditions</w:t>
      </w:r>
      <w:r w:rsidR="00E14D5C" w:rsidRPr="001611DC">
        <w:rPr>
          <w:rFonts w:eastAsia="Calibri"/>
          <w:iCs/>
        </w:rPr>
        <w:t>,</w:t>
      </w:r>
      <w:r w:rsidRPr="001611DC">
        <w:rPr>
          <w:rFonts w:eastAsia="Calibri"/>
          <w:iCs/>
        </w:rPr>
        <w:t xml:space="preserve"> </w:t>
      </w:r>
      <w:r w:rsidR="00ED3FB7" w:rsidRPr="001611DC">
        <w:rPr>
          <w:rFonts w:eastAsia="Calibri"/>
          <w:iCs/>
        </w:rPr>
        <w:t>based on an analysis by D. Surie (2024</w:t>
      </w:r>
      <w:r w:rsidRPr="001611DC">
        <w:rPr>
          <w:rFonts w:eastAsia="Calibri"/>
          <w:iCs/>
        </w:rPr>
        <w:t>)</w:t>
      </w:r>
      <w:r w:rsidRPr="001611DC">
        <w:rPr>
          <w:rStyle w:val="FootnoteReference"/>
          <w:rFonts w:eastAsia="Calibri"/>
          <w:iCs/>
        </w:rPr>
        <w:footnoteReference w:id="11"/>
      </w:r>
      <w:r w:rsidRPr="001611DC">
        <w:rPr>
          <w:rFonts w:eastAsia="Calibri"/>
          <w:iCs/>
        </w:rPr>
        <w:t>.</w:t>
      </w:r>
    </w:p>
    <w:p w14:paraId="639B8CFC" w14:textId="7BD6998D" w:rsidR="00596B26" w:rsidRPr="001611DC" w:rsidRDefault="003D61A1" w:rsidP="004A25F8">
      <w:pPr>
        <w:widowControl w:val="0"/>
        <w:numPr>
          <w:ilvl w:val="1"/>
          <w:numId w:val="1"/>
        </w:numPr>
        <w:spacing w:after="120"/>
        <w:rPr>
          <w:rFonts w:asciiTheme="minorHAnsi" w:hAnsiTheme="minorHAnsi"/>
          <w:snapToGrid w:val="0"/>
          <w:szCs w:val="20"/>
        </w:rPr>
      </w:pPr>
      <w:r w:rsidRPr="001611DC">
        <w:rPr>
          <w:rFonts w:asciiTheme="minorHAnsi" w:hAnsiTheme="minorHAnsi"/>
          <w:iCs/>
          <w:snapToGrid w:val="0"/>
        </w:rPr>
        <w:t>The</w:t>
      </w:r>
      <w:r w:rsidRPr="001611DC">
        <w:rPr>
          <w:rFonts w:asciiTheme="minorHAnsi" w:hAnsiTheme="minorHAnsi"/>
          <w:snapToGrid w:val="0"/>
          <w:szCs w:val="20"/>
        </w:rPr>
        <w:t xml:space="preserve"> PBAC </w:t>
      </w:r>
      <w:r w:rsidR="004A25F8" w:rsidRPr="001611DC">
        <w:rPr>
          <w:rFonts w:asciiTheme="minorHAnsi" w:hAnsiTheme="minorHAnsi"/>
          <w:snapToGrid w:val="0"/>
          <w:szCs w:val="20"/>
        </w:rPr>
        <w:t>agreed with the ESC</w:t>
      </w:r>
      <w:r w:rsidRPr="001611DC">
        <w:rPr>
          <w:rFonts w:asciiTheme="minorHAnsi" w:hAnsiTheme="minorHAnsi"/>
          <w:snapToGrid w:val="0"/>
          <w:szCs w:val="20"/>
        </w:rPr>
        <w:t xml:space="preserve"> that the claim of superior comparative effectiveness</w:t>
      </w:r>
      <w:r w:rsidR="00691DE9" w:rsidRPr="001611DC">
        <w:rPr>
          <w:rFonts w:asciiTheme="minorHAnsi" w:hAnsiTheme="minorHAnsi"/>
          <w:snapToGrid w:val="0"/>
          <w:szCs w:val="20"/>
        </w:rPr>
        <w:t xml:space="preserve"> of </w:t>
      </w:r>
      <w:r w:rsidR="00691DE9" w:rsidRPr="001611DC">
        <w:rPr>
          <w:rFonts w:eastAsia="Calibri"/>
        </w:rPr>
        <w:t>RSVPreF3 OA vaccine compared to placebo</w:t>
      </w:r>
      <w:r w:rsidRPr="001611DC">
        <w:rPr>
          <w:rFonts w:asciiTheme="minorHAnsi" w:hAnsiTheme="minorHAnsi"/>
          <w:snapToGrid w:val="0"/>
          <w:szCs w:val="20"/>
        </w:rPr>
        <w:t xml:space="preserve"> </w:t>
      </w:r>
      <w:r w:rsidR="004A25F8" w:rsidRPr="001611DC">
        <w:rPr>
          <w:rFonts w:asciiTheme="minorHAnsi" w:hAnsiTheme="minorHAnsi"/>
          <w:snapToGrid w:val="0"/>
          <w:szCs w:val="20"/>
        </w:rPr>
        <w:t>was</w:t>
      </w:r>
      <w:r w:rsidRPr="001611DC">
        <w:rPr>
          <w:rFonts w:asciiTheme="minorHAnsi" w:hAnsiTheme="minorHAnsi"/>
          <w:snapToGrid w:val="0"/>
          <w:szCs w:val="20"/>
        </w:rPr>
        <w:t xml:space="preserve"> reasonable</w:t>
      </w:r>
      <w:r w:rsidR="005E1B5D" w:rsidRPr="001611DC">
        <w:rPr>
          <w:rFonts w:asciiTheme="minorHAnsi" w:hAnsiTheme="minorHAnsi"/>
          <w:snapToGrid w:val="0"/>
          <w:szCs w:val="20"/>
        </w:rPr>
        <w:t xml:space="preserve"> </w:t>
      </w:r>
      <w:r w:rsidR="005E1B5D" w:rsidRPr="001611DC">
        <w:rPr>
          <w:szCs w:val="20"/>
        </w:rPr>
        <w:t>in adults ≥60 YOA, inclusive of those ≥75 YOA</w:t>
      </w:r>
      <w:r w:rsidR="004C1E42" w:rsidRPr="001611DC">
        <w:rPr>
          <w:rFonts w:asciiTheme="minorHAnsi" w:hAnsiTheme="minorHAnsi"/>
          <w:snapToGrid w:val="0"/>
          <w:szCs w:val="20"/>
        </w:rPr>
        <w:t>. H</w:t>
      </w:r>
      <w:r w:rsidRPr="001611DC">
        <w:rPr>
          <w:rFonts w:asciiTheme="minorHAnsi" w:hAnsiTheme="minorHAnsi"/>
          <w:snapToGrid w:val="0"/>
          <w:szCs w:val="20"/>
        </w:rPr>
        <w:t>owever</w:t>
      </w:r>
      <w:r w:rsidRPr="001611DC">
        <w:rPr>
          <w:szCs w:val="20"/>
        </w:rPr>
        <w:t>, it noted uncertainty around the magnitude and duration of benefit</w:t>
      </w:r>
      <w:r w:rsidR="005E1B5D" w:rsidRPr="001611DC">
        <w:rPr>
          <w:szCs w:val="20"/>
        </w:rPr>
        <w:t xml:space="preserve"> given that </w:t>
      </w:r>
      <w:r w:rsidR="004C1E42" w:rsidRPr="001611DC">
        <w:rPr>
          <w:szCs w:val="20"/>
        </w:rPr>
        <w:t>VE</w:t>
      </w:r>
      <w:r w:rsidR="005E1B5D" w:rsidRPr="001611DC">
        <w:rPr>
          <w:szCs w:val="20"/>
        </w:rPr>
        <w:t xml:space="preserve"> waned as</w:t>
      </w:r>
      <w:r w:rsidR="00F61884" w:rsidRPr="001611DC">
        <w:rPr>
          <w:szCs w:val="20"/>
        </w:rPr>
        <w:t xml:space="preserve"> the</w:t>
      </w:r>
      <w:r w:rsidR="005E1B5D" w:rsidRPr="001611DC">
        <w:rPr>
          <w:szCs w:val="20"/>
        </w:rPr>
        <w:t xml:space="preserve"> duration of follow up increased</w:t>
      </w:r>
      <w:r w:rsidR="00F61884" w:rsidRPr="001611DC">
        <w:rPr>
          <w:szCs w:val="20"/>
        </w:rPr>
        <w:t>,</w:t>
      </w:r>
      <w:r w:rsidR="004C1E42" w:rsidRPr="001611DC">
        <w:rPr>
          <w:szCs w:val="20"/>
        </w:rPr>
        <w:t xml:space="preserve"> </w:t>
      </w:r>
      <w:proofErr w:type="gramStart"/>
      <w:r w:rsidR="004C1E42" w:rsidRPr="001611DC">
        <w:rPr>
          <w:szCs w:val="20"/>
        </w:rPr>
        <w:t>and</w:t>
      </w:r>
      <w:r w:rsidR="00F61884" w:rsidRPr="001611DC">
        <w:rPr>
          <w:szCs w:val="20"/>
        </w:rPr>
        <w:t xml:space="preserve"> also</w:t>
      </w:r>
      <w:proofErr w:type="gramEnd"/>
      <w:r w:rsidR="00F61884" w:rsidRPr="001611DC">
        <w:rPr>
          <w:szCs w:val="20"/>
        </w:rPr>
        <w:t xml:space="preserve"> that</w:t>
      </w:r>
      <w:r w:rsidR="004C1E42" w:rsidRPr="001611DC">
        <w:rPr>
          <w:szCs w:val="20"/>
        </w:rPr>
        <w:t xml:space="preserve"> re-vaccination did not improve VE</w:t>
      </w:r>
      <w:r w:rsidRPr="001611DC">
        <w:rPr>
          <w:szCs w:val="20"/>
        </w:rPr>
        <w:t>.</w:t>
      </w:r>
      <w:r w:rsidR="004A25F8" w:rsidRPr="001611DC">
        <w:rPr>
          <w:szCs w:val="20"/>
        </w:rPr>
        <w:t xml:space="preserve"> </w:t>
      </w:r>
      <w:r w:rsidR="00F61884" w:rsidRPr="001611DC">
        <w:rPr>
          <w:szCs w:val="20"/>
        </w:rPr>
        <w:t>Further</w:t>
      </w:r>
      <w:r w:rsidR="00E118CC" w:rsidRPr="001611DC">
        <w:rPr>
          <w:szCs w:val="20"/>
        </w:rPr>
        <w:t>,</w:t>
      </w:r>
      <w:r w:rsidR="004A25F8" w:rsidRPr="001611DC">
        <w:rPr>
          <w:szCs w:val="20"/>
        </w:rPr>
        <w:t xml:space="preserve"> the PBAC</w:t>
      </w:r>
      <w:r w:rsidR="005E1B5D" w:rsidRPr="001611DC">
        <w:rPr>
          <w:szCs w:val="20"/>
        </w:rPr>
        <w:t xml:space="preserve"> </w:t>
      </w:r>
      <w:r w:rsidR="004A25F8" w:rsidRPr="001611DC">
        <w:rPr>
          <w:szCs w:val="20"/>
        </w:rPr>
        <w:t>noted the</w:t>
      </w:r>
      <w:r w:rsidR="00FB362C" w:rsidRPr="001611DC">
        <w:rPr>
          <w:szCs w:val="20"/>
        </w:rPr>
        <w:t xml:space="preserve"> limit</w:t>
      </w:r>
      <w:r w:rsidR="00E118CC" w:rsidRPr="001611DC">
        <w:rPr>
          <w:szCs w:val="20"/>
        </w:rPr>
        <w:t>ations of the evidence</w:t>
      </w:r>
      <w:r w:rsidR="004A25F8" w:rsidRPr="001611DC">
        <w:rPr>
          <w:szCs w:val="20"/>
        </w:rPr>
        <w:t xml:space="preserve"> for adults ≥75 YOA based on the post hoc subgroup analysis, with small numbers of participants and infection cases observed,</w:t>
      </w:r>
      <w:r w:rsidR="00E118CC" w:rsidRPr="001611DC">
        <w:rPr>
          <w:szCs w:val="20"/>
        </w:rPr>
        <w:t xml:space="preserve"> however</w:t>
      </w:r>
      <w:r w:rsidR="00F61884" w:rsidRPr="001611DC">
        <w:rPr>
          <w:szCs w:val="20"/>
        </w:rPr>
        <w:t xml:space="preserve"> overall</w:t>
      </w:r>
      <w:r w:rsidR="004A25F8" w:rsidRPr="001611DC">
        <w:rPr>
          <w:szCs w:val="20"/>
        </w:rPr>
        <w:t xml:space="preserve"> it considered it was reasonable to make assumptions of similar VE </w:t>
      </w:r>
      <w:r w:rsidR="008E51A9" w:rsidRPr="001611DC">
        <w:rPr>
          <w:szCs w:val="20"/>
        </w:rPr>
        <w:t>in the ≥60 and ≥75 age strata</w:t>
      </w:r>
      <w:r w:rsidR="00E118CC" w:rsidRPr="001611DC">
        <w:rPr>
          <w:szCs w:val="20"/>
        </w:rPr>
        <w:t>, in line with the ATAGI advice</w:t>
      </w:r>
      <w:r w:rsidR="004A25F8" w:rsidRPr="001611DC">
        <w:rPr>
          <w:szCs w:val="20"/>
        </w:rPr>
        <w:t>.</w:t>
      </w:r>
    </w:p>
    <w:p w14:paraId="018DC70E" w14:textId="32395E9D" w:rsidR="003D61A1" w:rsidRPr="001611DC" w:rsidRDefault="004D2086">
      <w:pPr>
        <w:pStyle w:val="3-BodyText"/>
        <w:rPr>
          <w:rFonts w:eastAsia="Calibri"/>
          <w:iCs/>
        </w:rPr>
      </w:pPr>
      <w:r w:rsidRPr="001611DC">
        <w:rPr>
          <w:rFonts w:eastAsia="Calibri"/>
        </w:rPr>
        <w:t>The submission claimed that RSVPreF3 OA vaccine had an acceptable safety profile despite being slightly more reactogenic compared to placebo (no vaccine).</w:t>
      </w:r>
      <w:r w:rsidR="001F4410">
        <w:rPr>
          <w:rFonts w:eastAsia="Calibri"/>
        </w:rPr>
        <w:t xml:space="preserve"> </w:t>
      </w:r>
      <w:r w:rsidRPr="001611DC">
        <w:rPr>
          <w:rFonts w:eastAsia="Calibri"/>
          <w:iCs/>
        </w:rPr>
        <w:t xml:space="preserve">The evaluation considered that the therapeutic conclusion was adequately supported by the evidence presented for the safety of RSVPreF3 OA in adults </w:t>
      </w:r>
      <w:r w:rsidRPr="001611DC">
        <w:rPr>
          <w:rFonts w:eastAsia="Calibri" w:cstheme="minorHAnsi"/>
          <w:iCs/>
        </w:rPr>
        <w:t>≥</w:t>
      </w:r>
      <w:r w:rsidRPr="001611DC">
        <w:rPr>
          <w:rFonts w:eastAsia="Calibri"/>
          <w:iCs/>
        </w:rPr>
        <w:t xml:space="preserve">60 YOA and adults </w:t>
      </w:r>
      <w:r w:rsidRPr="001611DC">
        <w:rPr>
          <w:rFonts w:eastAsia="Calibri" w:cstheme="minorHAnsi"/>
          <w:iCs/>
        </w:rPr>
        <w:t>≥</w:t>
      </w:r>
      <w:r w:rsidRPr="001611DC">
        <w:rPr>
          <w:rFonts w:eastAsia="Calibri"/>
          <w:iCs/>
        </w:rPr>
        <w:t xml:space="preserve">75 YOA. </w:t>
      </w:r>
      <w:r w:rsidR="00880238" w:rsidRPr="001611DC">
        <w:rPr>
          <w:rFonts w:eastAsia="Calibri"/>
          <w:iCs/>
        </w:rPr>
        <w:t>The ESC</w:t>
      </w:r>
      <w:r w:rsidR="002B4057" w:rsidRPr="001611DC">
        <w:rPr>
          <w:rFonts w:eastAsia="Calibri"/>
          <w:iCs/>
        </w:rPr>
        <w:t xml:space="preserve"> and the PBAC</w:t>
      </w:r>
      <w:r w:rsidR="00880238" w:rsidRPr="001611DC">
        <w:rPr>
          <w:rFonts w:eastAsia="Calibri"/>
          <w:iCs/>
        </w:rPr>
        <w:t xml:space="preserve"> considered that the claim that RSVPreF3 OA vaccine had an acceptable safety profile was reasonable, noting there were higher rates of A</w:t>
      </w:r>
      <w:r w:rsidR="00762260" w:rsidRPr="001611DC">
        <w:rPr>
          <w:rFonts w:eastAsia="Calibri"/>
          <w:iCs/>
        </w:rPr>
        <w:t>E</w:t>
      </w:r>
      <w:r w:rsidR="00880238" w:rsidRPr="001611DC">
        <w:rPr>
          <w:rFonts w:eastAsia="Calibri"/>
          <w:iCs/>
        </w:rPr>
        <w:t xml:space="preserve">s in the solicited safety set, but overall the safety was comparable to </w:t>
      </w:r>
      <w:r w:rsidR="003B6684" w:rsidRPr="001611DC">
        <w:rPr>
          <w:rFonts w:eastAsia="Calibri"/>
          <w:iCs/>
        </w:rPr>
        <w:t>other adjuvanted vaccines</w:t>
      </w:r>
      <w:r w:rsidR="00880238" w:rsidRPr="001611DC">
        <w:rPr>
          <w:rFonts w:eastAsia="Calibri"/>
          <w:iCs/>
        </w:rPr>
        <w:t>.</w:t>
      </w:r>
    </w:p>
    <w:p w14:paraId="33423967" w14:textId="77777777" w:rsidR="002E6F4F" w:rsidRPr="001611DC" w:rsidRDefault="002E6F4F" w:rsidP="002E6F4F">
      <w:pPr>
        <w:pStyle w:val="4-SubsectionHeading"/>
      </w:pPr>
      <w:bookmarkStart w:id="83" w:name="_Toc167277516"/>
      <w:r w:rsidRPr="001611DC">
        <w:t>Economic analysis</w:t>
      </w:r>
      <w:bookmarkEnd w:id="83"/>
      <w:r w:rsidRPr="001611DC">
        <w:t xml:space="preserve"> </w:t>
      </w:r>
    </w:p>
    <w:p w14:paraId="0EA0F44B" w14:textId="2ED29DA9" w:rsidR="002E6F4F" w:rsidRPr="001611DC" w:rsidRDefault="002E6F4F" w:rsidP="002E6F4F">
      <w:pPr>
        <w:pStyle w:val="3-BodyText"/>
      </w:pPr>
      <w:r w:rsidRPr="001611DC">
        <w:t>The submission presented an economic evaluation comparing a single dose of the RSVPreF3 OA vaccine with no vaccine based on A</w:t>
      </w:r>
      <w:r w:rsidR="0083552E" w:rsidRPr="001611DC">
        <w:t>r</w:t>
      </w:r>
      <w:r w:rsidRPr="001611DC">
        <w:t>eSVi-006 and implementing a modelled evaluation for the following populations:</w:t>
      </w:r>
    </w:p>
    <w:p w14:paraId="4FC8ACD9" w14:textId="374CE296" w:rsidR="002E6F4F" w:rsidRPr="001611DC" w:rsidRDefault="00E2719A" w:rsidP="00D242A3">
      <w:pPr>
        <w:pStyle w:val="3-BodyText"/>
        <w:numPr>
          <w:ilvl w:val="0"/>
          <w:numId w:val="11"/>
        </w:numPr>
      </w:pPr>
      <w:r w:rsidRPr="001611DC">
        <w:t>≥</w:t>
      </w:r>
      <w:r w:rsidR="002E6F4F" w:rsidRPr="001611DC">
        <w:t>60 YOA (approved TGA indication).</w:t>
      </w:r>
    </w:p>
    <w:p w14:paraId="609BE53C" w14:textId="7F3D1FF7" w:rsidR="002E6F4F" w:rsidRPr="001611DC" w:rsidRDefault="00E2719A" w:rsidP="00D242A3">
      <w:pPr>
        <w:pStyle w:val="3-BodyText"/>
        <w:numPr>
          <w:ilvl w:val="0"/>
          <w:numId w:val="11"/>
        </w:numPr>
      </w:pPr>
      <w:r w:rsidRPr="001611DC">
        <w:t>≥</w:t>
      </w:r>
      <w:r w:rsidR="002E6F4F" w:rsidRPr="001611DC">
        <w:t>75 YOA (base case proposed in the ATAGI Advice to the PBAC).</w:t>
      </w:r>
    </w:p>
    <w:p w14:paraId="57B617EC" w14:textId="580EF8EB" w:rsidR="002E6F4F" w:rsidRPr="001611DC" w:rsidRDefault="00E2719A" w:rsidP="00D242A3">
      <w:pPr>
        <w:pStyle w:val="3-BodyText"/>
        <w:numPr>
          <w:ilvl w:val="0"/>
          <w:numId w:val="11"/>
        </w:numPr>
      </w:pPr>
      <w:r w:rsidRPr="001611DC">
        <w:lastRenderedPageBreak/>
        <w:t>≥</w:t>
      </w:r>
      <w:r w:rsidR="002E6F4F" w:rsidRPr="001611DC">
        <w:t xml:space="preserve">65 YOA, </w:t>
      </w:r>
      <w:r w:rsidRPr="001611DC">
        <w:t>≥</w:t>
      </w:r>
      <w:r w:rsidR="002E6F4F" w:rsidRPr="001611DC">
        <w:t xml:space="preserve">70 YOA, and </w:t>
      </w:r>
      <w:r w:rsidRPr="001611DC">
        <w:t>≥</w:t>
      </w:r>
      <w:r w:rsidR="002E6F4F" w:rsidRPr="001611DC">
        <w:t xml:space="preserve">80 YOA (scenario analyses requested in the ATAGI Advice to the PBAC). </w:t>
      </w:r>
    </w:p>
    <w:p w14:paraId="18DB0D8D" w14:textId="48DC93A2" w:rsidR="002E6F4F" w:rsidRPr="001611DC" w:rsidRDefault="002E6F4F" w:rsidP="002E6F4F">
      <w:pPr>
        <w:pStyle w:val="3-BodyText"/>
      </w:pPr>
      <w:bookmarkStart w:id="84" w:name="_Hlk165465993"/>
      <w:bookmarkStart w:id="85" w:name="_Ref170152512"/>
      <w:bookmarkStart w:id="86" w:name="_Ref174392932"/>
      <w:r w:rsidRPr="001611DC">
        <w:t xml:space="preserve">The ATAGI Advice to the PBAC also recommended cost-effectiveness analyses which considered the inclusion of higher risk individuals and First Nations people 60-74 YOA. </w:t>
      </w:r>
      <w:bookmarkEnd w:id="84"/>
      <w:r w:rsidRPr="001611DC">
        <w:t>Scenario analyses for these populations were not provided by the submission and were not constructed during the evaluation.</w:t>
      </w:r>
      <w:r w:rsidRPr="001611DC">
        <w:rPr>
          <w:iCs/>
        </w:rPr>
        <w:t xml:space="preserve"> Given the increased rate of hospitalisation in First Nations people and increased risk persons, it would be expected that RSVPreF3 OA would be associated with lower incremental costs and higher incremental QALYs and L</w:t>
      </w:r>
      <w:r w:rsidR="006231D5" w:rsidRPr="001611DC">
        <w:rPr>
          <w:iCs/>
        </w:rPr>
        <w:t>Y</w:t>
      </w:r>
      <w:r w:rsidRPr="001611DC">
        <w:rPr>
          <w:iCs/>
        </w:rPr>
        <w:t>s in these populations</w:t>
      </w:r>
      <w:r w:rsidR="00D73E09" w:rsidRPr="001611DC">
        <w:rPr>
          <w:iCs/>
        </w:rPr>
        <w:t>, however the impact of other population characteristics on the cost</w:t>
      </w:r>
      <w:r w:rsidR="00D73E09" w:rsidRPr="001611DC">
        <w:rPr>
          <w:iCs/>
        </w:rPr>
        <w:noBreakHyphen/>
        <w:t>effectiveness evaluation is uncertain (e.g. the impact of comorbidities impacting survival in the population which may lead to increased ICERs)</w:t>
      </w:r>
      <w:r w:rsidRPr="001611DC">
        <w:rPr>
          <w:iCs/>
        </w:rPr>
        <w:t>.</w:t>
      </w:r>
      <w:r w:rsidR="00B04DB0" w:rsidRPr="001611DC">
        <w:rPr>
          <w:iCs/>
        </w:rPr>
        <w:t xml:space="preserve"> The PSCR stated that the development of cost-effectiveness analyses in high-risk cohorts is challenging, and re-iterated the request from the submission that a pragmatic decision could be made to extend access to at-risk cohorts (60-74 YOA at high risk, and 60-74 YOA First Nations</w:t>
      </w:r>
      <w:r w:rsidR="000D76AE" w:rsidRPr="001611DC">
        <w:rPr>
          <w:iCs/>
        </w:rPr>
        <w:t xml:space="preserve"> peoples</w:t>
      </w:r>
      <w:r w:rsidR="00B04DB0" w:rsidRPr="001611DC">
        <w:rPr>
          <w:iCs/>
        </w:rPr>
        <w:t>), based on an assumption that cost-effectiveness from the ≥75 YOA cohort would be applicable to these cohorts.</w:t>
      </w:r>
      <w:r w:rsidR="001F4410">
        <w:rPr>
          <w:iCs/>
        </w:rPr>
        <w:t xml:space="preserve"> </w:t>
      </w:r>
      <w:r w:rsidR="00EF60B7" w:rsidRPr="001611DC">
        <w:rPr>
          <w:iCs/>
        </w:rPr>
        <w:t xml:space="preserve">The ESC noted the </w:t>
      </w:r>
      <w:r w:rsidR="006231D5" w:rsidRPr="001611DC">
        <w:rPr>
          <w:iCs/>
        </w:rPr>
        <w:t>significantl</w:t>
      </w:r>
      <w:r w:rsidR="00EF60B7" w:rsidRPr="001611DC">
        <w:rPr>
          <w:iCs/>
        </w:rPr>
        <w:t xml:space="preserve">y </w:t>
      </w:r>
      <w:r w:rsidR="00762260" w:rsidRPr="001611DC">
        <w:rPr>
          <w:iCs/>
        </w:rPr>
        <w:t xml:space="preserve">higher </w:t>
      </w:r>
      <w:r w:rsidR="00EF60B7" w:rsidRPr="001611DC">
        <w:rPr>
          <w:iCs/>
        </w:rPr>
        <w:t xml:space="preserve">ICERs in younger age groups compared with the 75+ age-group. </w:t>
      </w:r>
      <w:r w:rsidR="00EA579B" w:rsidRPr="001611DC">
        <w:rPr>
          <w:iCs/>
        </w:rPr>
        <w:t xml:space="preserve">The ESC </w:t>
      </w:r>
      <w:r w:rsidR="005D2F0A">
        <w:rPr>
          <w:iCs/>
        </w:rPr>
        <w:t xml:space="preserve">also </w:t>
      </w:r>
      <w:r w:rsidR="00EA579B" w:rsidRPr="001611DC">
        <w:rPr>
          <w:iCs/>
        </w:rPr>
        <w:t>noted that substantive model changes may be required to reflect the high risk/First Nations populations.</w:t>
      </w:r>
      <w:r w:rsidR="009F4727" w:rsidRPr="001611DC">
        <w:rPr>
          <w:iCs/>
        </w:rPr>
        <w:t xml:space="preserve"> The ESC noted the broad range of medical conditions that may be associated with increased risk of RSV disease complications identified by ATAGI (see paragraph</w:t>
      </w:r>
      <w:r w:rsidR="00C36719" w:rsidRPr="001611DC">
        <w:rPr>
          <w:iCs/>
        </w:rPr>
        <w:t xml:space="preserve"> </w:t>
      </w:r>
      <w:r w:rsidR="00C36719" w:rsidRPr="001611DC">
        <w:rPr>
          <w:iCs/>
        </w:rPr>
        <w:fldChar w:fldCharType="begin" w:fldLock="1"/>
      </w:r>
      <w:r w:rsidR="00C36719" w:rsidRPr="001611DC">
        <w:rPr>
          <w:iCs/>
        </w:rPr>
        <w:instrText xml:space="preserve"> REF _Ref174370562 \r \h </w:instrText>
      </w:r>
      <w:r w:rsidR="00C36719" w:rsidRPr="001611DC">
        <w:rPr>
          <w:iCs/>
        </w:rPr>
      </w:r>
      <w:r w:rsidR="00C36719" w:rsidRPr="001611DC">
        <w:rPr>
          <w:iCs/>
        </w:rPr>
        <w:fldChar w:fldCharType="separate"/>
      </w:r>
      <w:r w:rsidR="00927933" w:rsidRPr="001611DC">
        <w:rPr>
          <w:iCs/>
        </w:rPr>
        <w:t>3.6</w:t>
      </w:r>
      <w:r w:rsidR="00C36719" w:rsidRPr="001611DC">
        <w:rPr>
          <w:iCs/>
        </w:rPr>
        <w:fldChar w:fldCharType="end"/>
      </w:r>
      <w:r w:rsidR="009F4727" w:rsidRPr="001611DC">
        <w:rPr>
          <w:iCs/>
        </w:rPr>
        <w:t xml:space="preserve">). </w:t>
      </w:r>
      <w:r w:rsidR="00531C64" w:rsidRPr="001611DC">
        <w:rPr>
          <w:iCs/>
        </w:rPr>
        <w:t xml:space="preserve">The ESC considered a pragmatic decision was unlikely to be appropriate, </w:t>
      </w:r>
      <w:proofErr w:type="gramStart"/>
      <w:r w:rsidR="00531C64" w:rsidRPr="001611DC">
        <w:rPr>
          <w:iCs/>
        </w:rPr>
        <w:t>in particular for</w:t>
      </w:r>
      <w:proofErr w:type="gramEnd"/>
      <w:r w:rsidR="00531C64" w:rsidRPr="001611DC">
        <w:rPr>
          <w:iCs/>
        </w:rPr>
        <w:t xml:space="preserve"> the high risk adults, given the estimated financial impact.</w:t>
      </w:r>
      <w:bookmarkEnd w:id="85"/>
      <w:r w:rsidR="00D50B9B" w:rsidRPr="001611DC">
        <w:rPr>
          <w:iCs/>
        </w:rPr>
        <w:t xml:space="preserve"> </w:t>
      </w:r>
      <w:bookmarkStart w:id="87" w:name="_Ref170152516"/>
      <w:r w:rsidRPr="001611DC">
        <w:t xml:space="preserve">The submission </w:t>
      </w:r>
      <w:r w:rsidR="005D2F0A">
        <w:t>stated</w:t>
      </w:r>
      <w:r w:rsidR="005D2F0A" w:rsidRPr="001611DC">
        <w:t xml:space="preserve"> </w:t>
      </w:r>
      <w:r w:rsidRPr="001611DC">
        <w:t>revaccination was not considered in the model as A</w:t>
      </w:r>
      <w:r w:rsidR="0083552E" w:rsidRPr="001611DC">
        <w:t>r</w:t>
      </w:r>
      <w:r w:rsidRPr="001611DC">
        <w:t>eSVi</w:t>
      </w:r>
      <w:r w:rsidRPr="001611DC">
        <w:noBreakHyphen/>
        <w:t xml:space="preserve">006 did not provide sufficient information for revaccination. </w:t>
      </w:r>
      <w:r w:rsidRPr="001611DC">
        <w:rPr>
          <w:iCs/>
        </w:rPr>
        <w:t>This was consistent with the requested NIP listing.</w:t>
      </w:r>
      <w:bookmarkEnd w:id="86"/>
      <w:bookmarkEnd w:id="87"/>
    </w:p>
    <w:p w14:paraId="4AC2B72F" w14:textId="5020A894" w:rsidR="00737399" w:rsidRPr="001611DC" w:rsidRDefault="00737399">
      <w:pPr>
        <w:pStyle w:val="3-BodyText"/>
      </w:pPr>
      <w:bookmarkStart w:id="88" w:name="_Ref174427070"/>
      <w:r w:rsidRPr="001611DC">
        <w:rPr>
          <w:iCs/>
        </w:rPr>
        <w:t xml:space="preserve">The pre-PBAC response cited the results of an analysis conducted by the US CDC which reported similar estimates of cost-effectiveness in US adults ≥75 &amp; 60-74 YOA with &gt;1 condition increasing the risk of severe RSV disease </w:t>
      </w:r>
      <w:r w:rsidRPr="00A14D84">
        <w:rPr>
          <w:iCs/>
        </w:rPr>
        <w:t>($</w:t>
      </w:r>
      <w:r w:rsidR="00D75480" w:rsidRPr="00A14D84">
        <w:rPr>
          <w:iCs/>
        </w:rPr>
        <w:t>45,000 to &lt; $55,000</w:t>
      </w:r>
      <w:r w:rsidR="001F4410">
        <w:rPr>
          <w:iCs/>
        </w:rPr>
        <w:t xml:space="preserve"> </w:t>
      </w:r>
      <w:r w:rsidRPr="00A14D84">
        <w:rPr>
          <w:iCs/>
        </w:rPr>
        <w:t>and $</w:t>
      </w:r>
      <w:r w:rsidR="00845BB8" w:rsidRPr="00A14D84">
        <w:rPr>
          <w:iCs/>
        </w:rPr>
        <w:t>55,000</w:t>
      </w:r>
      <w:r w:rsidR="001F4410">
        <w:rPr>
          <w:iCs/>
        </w:rPr>
        <w:t> </w:t>
      </w:r>
      <w:r w:rsidR="00845BB8" w:rsidRPr="00A14D84">
        <w:rPr>
          <w:iCs/>
        </w:rPr>
        <w:t>to &lt; $75,000</w:t>
      </w:r>
      <w:r w:rsidRPr="001611DC">
        <w:rPr>
          <w:iCs/>
        </w:rPr>
        <w:t>/QALY, respectively) (Hutton, 2024 slide 30), and stated that further clarity was needed from ATAGI regarding the modelling of this cohort.</w:t>
      </w:r>
      <w:r w:rsidR="001F4410">
        <w:rPr>
          <w:iCs/>
        </w:rPr>
        <w:t xml:space="preserve"> </w:t>
      </w:r>
      <w:r w:rsidRPr="001611DC">
        <w:rPr>
          <w:iCs/>
        </w:rPr>
        <w:t xml:space="preserve">The PBAC </w:t>
      </w:r>
      <w:r w:rsidR="00237083" w:rsidRPr="001611DC">
        <w:rPr>
          <w:iCs/>
        </w:rPr>
        <w:t xml:space="preserve">considered that the proposed </w:t>
      </w:r>
      <w:r w:rsidR="00237083" w:rsidRPr="001611DC">
        <w:t>definition of high-risk conditions was sufficiently detailed to have allowed the sponsor to prepare an informative model to examine the cost-effectiveness of RSVPreF3 OA in this group, and noted that this was supported by the ATAGI’s post-submission advice to the PBAC (see paragraph</w:t>
      </w:r>
      <w:r w:rsidR="00972ABE" w:rsidRPr="001611DC">
        <w:t xml:space="preserve"> </w:t>
      </w:r>
      <w:r w:rsidR="00972ABE" w:rsidRPr="001611DC">
        <w:fldChar w:fldCharType="begin" w:fldLock="1"/>
      </w:r>
      <w:r w:rsidR="00972ABE" w:rsidRPr="001611DC">
        <w:instrText xml:space="preserve"> REF _Ref174370562 \r \h </w:instrText>
      </w:r>
      <w:r w:rsidR="00972ABE" w:rsidRPr="001611DC">
        <w:fldChar w:fldCharType="separate"/>
      </w:r>
      <w:r w:rsidR="00927933" w:rsidRPr="001611DC">
        <w:t>3.6</w:t>
      </w:r>
      <w:r w:rsidR="00972ABE" w:rsidRPr="001611DC">
        <w:fldChar w:fldCharType="end"/>
      </w:r>
      <w:r w:rsidR="00972ABE" w:rsidRPr="001611DC">
        <w:t>)</w:t>
      </w:r>
      <w:r w:rsidR="00237083" w:rsidRPr="001611DC">
        <w:t>.</w:t>
      </w:r>
      <w:bookmarkEnd w:id="88"/>
    </w:p>
    <w:p w14:paraId="26A3A83A" w14:textId="5E05DF82" w:rsidR="002E6F4F" w:rsidRPr="001611DC" w:rsidRDefault="002E6F4F" w:rsidP="002E6F4F">
      <w:pPr>
        <w:pStyle w:val="3-BodyText"/>
      </w:pPr>
      <w:r w:rsidRPr="001611DC">
        <w:t xml:space="preserve">A summary of the model structure, key inputs and rationale is presented in </w:t>
      </w:r>
      <w:r w:rsidRPr="001611DC">
        <w:fldChar w:fldCharType="begin" w:fldLock="1"/>
      </w:r>
      <w:r w:rsidRPr="001611DC">
        <w:instrText xml:space="preserve"> REF _Ref165393784 \h </w:instrText>
      </w:r>
      <w:r w:rsidRPr="001611DC">
        <w:fldChar w:fldCharType="separate"/>
      </w:r>
      <w:r w:rsidR="00927933" w:rsidRPr="001611DC">
        <w:t>Table 14</w:t>
      </w:r>
      <w:r w:rsidRPr="001611DC">
        <w:fldChar w:fldCharType="end"/>
      </w:r>
      <w:r w:rsidRPr="001611DC">
        <w:t>.</w:t>
      </w:r>
    </w:p>
    <w:p w14:paraId="6F796FEA" w14:textId="5271DB50" w:rsidR="002E6F4F" w:rsidRPr="001611DC" w:rsidRDefault="002E6F4F" w:rsidP="007663F8">
      <w:pPr>
        <w:pStyle w:val="Caption"/>
        <w:jc w:val="left"/>
        <w:rPr>
          <w:rStyle w:val="CommentReference"/>
          <w:b/>
          <w:szCs w:val="24"/>
        </w:rPr>
      </w:pPr>
      <w:bookmarkStart w:id="89" w:name="_Ref165393784"/>
      <w:bookmarkStart w:id="90" w:name="_Ref169885516"/>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14</w:t>
      </w:r>
      <w:r w:rsidR="005473CE" w:rsidRPr="001611DC">
        <w:fldChar w:fldCharType="end"/>
      </w:r>
      <w:bookmarkEnd w:id="89"/>
      <w:r w:rsidRPr="001611DC">
        <w:t>:</w:t>
      </w:r>
      <w:r w:rsidRPr="001611DC">
        <w:rPr>
          <w:rStyle w:val="CommentReference"/>
          <w:b/>
          <w:szCs w:val="24"/>
        </w:rPr>
        <w:t xml:space="preserve"> Summary of model structure, key inputs and rationale</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Summary of model structure, key inputs and rationale"/>
      </w:tblPr>
      <w:tblGrid>
        <w:gridCol w:w="2518"/>
        <w:gridCol w:w="6499"/>
      </w:tblGrid>
      <w:tr w:rsidR="002E6F4F" w:rsidRPr="001611DC" w14:paraId="7C2AB354" w14:textId="77777777" w:rsidTr="00ED36A0">
        <w:trPr>
          <w:tblHeader/>
        </w:trPr>
        <w:tc>
          <w:tcPr>
            <w:tcW w:w="1396" w:type="pct"/>
            <w:shd w:val="clear" w:color="auto" w:fill="auto"/>
            <w:vAlign w:val="center"/>
          </w:tcPr>
          <w:p w14:paraId="20C762B7" w14:textId="77777777" w:rsidR="002E6F4F" w:rsidRPr="001611DC" w:rsidRDefault="002E6F4F" w:rsidP="007663F8">
            <w:pPr>
              <w:pStyle w:val="In-tableHeading"/>
              <w:jc w:val="center"/>
              <w:rPr>
                <w:lang w:val="en-AU"/>
              </w:rPr>
            </w:pPr>
            <w:r w:rsidRPr="001611DC">
              <w:rPr>
                <w:lang w:val="en-AU"/>
              </w:rPr>
              <w:t>Component</w:t>
            </w:r>
          </w:p>
        </w:tc>
        <w:tc>
          <w:tcPr>
            <w:tcW w:w="3604" w:type="pct"/>
            <w:shd w:val="clear" w:color="auto" w:fill="auto"/>
            <w:vAlign w:val="center"/>
          </w:tcPr>
          <w:p w14:paraId="1C22BFF4" w14:textId="77777777" w:rsidR="002E6F4F" w:rsidRPr="001611DC" w:rsidRDefault="002E6F4F" w:rsidP="007663F8">
            <w:pPr>
              <w:pStyle w:val="In-tableHeading"/>
              <w:jc w:val="center"/>
              <w:rPr>
                <w:lang w:val="en-AU"/>
              </w:rPr>
            </w:pPr>
            <w:r w:rsidRPr="001611DC">
              <w:rPr>
                <w:lang w:val="en-AU"/>
              </w:rPr>
              <w:t>Summary</w:t>
            </w:r>
          </w:p>
        </w:tc>
      </w:tr>
      <w:tr w:rsidR="002E6F4F" w:rsidRPr="001611DC" w14:paraId="54E5E01B" w14:textId="77777777" w:rsidTr="00ED36A0">
        <w:tc>
          <w:tcPr>
            <w:tcW w:w="1396" w:type="pct"/>
            <w:shd w:val="clear" w:color="auto" w:fill="auto"/>
            <w:vAlign w:val="center"/>
          </w:tcPr>
          <w:p w14:paraId="0D2E867E" w14:textId="77777777" w:rsidR="002E6F4F" w:rsidRPr="001611DC" w:rsidRDefault="002E6F4F" w:rsidP="007663F8">
            <w:pPr>
              <w:pStyle w:val="TableText0"/>
            </w:pPr>
            <w:r w:rsidRPr="001611DC">
              <w:t>Treatments</w:t>
            </w:r>
          </w:p>
        </w:tc>
        <w:tc>
          <w:tcPr>
            <w:tcW w:w="3604" w:type="pct"/>
            <w:shd w:val="clear" w:color="auto" w:fill="auto"/>
            <w:vAlign w:val="center"/>
          </w:tcPr>
          <w:p w14:paraId="4CEA55AE" w14:textId="77777777" w:rsidR="002E6F4F" w:rsidRPr="001611DC" w:rsidRDefault="002E6F4F" w:rsidP="007663F8">
            <w:pPr>
              <w:pStyle w:val="TableText0"/>
            </w:pPr>
            <w:r w:rsidRPr="001611DC">
              <w:t>RSVPreF3 OA vs no vaccine</w:t>
            </w:r>
          </w:p>
        </w:tc>
      </w:tr>
      <w:tr w:rsidR="002E6F4F" w:rsidRPr="001611DC" w14:paraId="1332EAB9" w14:textId="77777777" w:rsidTr="00ED36A0">
        <w:tc>
          <w:tcPr>
            <w:tcW w:w="1396" w:type="pct"/>
            <w:shd w:val="clear" w:color="auto" w:fill="auto"/>
            <w:vAlign w:val="center"/>
          </w:tcPr>
          <w:p w14:paraId="11D35B3B" w14:textId="77777777" w:rsidR="002E6F4F" w:rsidRPr="001611DC" w:rsidRDefault="002E6F4F" w:rsidP="00ED36A0">
            <w:pPr>
              <w:pStyle w:val="TableText0"/>
              <w:keepNext w:val="0"/>
            </w:pPr>
            <w:r w:rsidRPr="001611DC">
              <w:t>Time horizon</w:t>
            </w:r>
          </w:p>
        </w:tc>
        <w:tc>
          <w:tcPr>
            <w:tcW w:w="3604" w:type="pct"/>
            <w:shd w:val="clear" w:color="auto" w:fill="auto"/>
            <w:vAlign w:val="center"/>
          </w:tcPr>
          <w:p w14:paraId="745F9DBA" w14:textId="6C5C7E2A" w:rsidR="00084AC2" w:rsidRPr="001611DC" w:rsidRDefault="002E6F4F" w:rsidP="00084AC2">
            <w:pPr>
              <w:pStyle w:val="TableText0"/>
              <w:keepNext w:val="0"/>
            </w:pPr>
            <w:r w:rsidRPr="001611DC">
              <w:t>3 years in the model base case versus 18 months in A</w:t>
            </w:r>
            <w:r w:rsidR="0083552E" w:rsidRPr="001611DC">
              <w:t>r</w:t>
            </w:r>
            <w:r w:rsidRPr="001611DC">
              <w:t>eSVi-006. The model accrued L</w:t>
            </w:r>
            <w:r w:rsidR="0083552E" w:rsidRPr="001611DC">
              <w:t>y</w:t>
            </w:r>
            <w:r w:rsidRPr="001611DC">
              <w:t>s and QALYs</w:t>
            </w:r>
            <w:r w:rsidRPr="001611DC">
              <w:rPr>
                <w:iCs/>
              </w:rPr>
              <w:t xml:space="preserve"> </w:t>
            </w:r>
            <w:r w:rsidRPr="001611DC">
              <w:t>due to premature RSV-related death over a lifetime (109 YOA).</w:t>
            </w:r>
            <w:r w:rsidR="001F4410">
              <w:t xml:space="preserve"> </w:t>
            </w:r>
            <w:r w:rsidR="00084AC2" w:rsidRPr="001611DC">
              <w:t>The PSCR presented a revised model informed by VE analysis 4 of A</w:t>
            </w:r>
            <w:r w:rsidR="0083552E" w:rsidRPr="001611DC">
              <w:t>r</w:t>
            </w:r>
            <w:r w:rsidR="00084AC2" w:rsidRPr="001611DC">
              <w:t>eSVi-006, based on a median follow-up of 23.3 months.</w:t>
            </w:r>
          </w:p>
        </w:tc>
      </w:tr>
      <w:tr w:rsidR="002E6F4F" w:rsidRPr="001611DC" w14:paraId="633F06A1" w14:textId="77777777" w:rsidTr="00ED36A0">
        <w:tc>
          <w:tcPr>
            <w:tcW w:w="1396" w:type="pct"/>
            <w:shd w:val="clear" w:color="auto" w:fill="auto"/>
            <w:vAlign w:val="center"/>
          </w:tcPr>
          <w:p w14:paraId="23638251" w14:textId="77777777" w:rsidR="002E6F4F" w:rsidRPr="001611DC" w:rsidRDefault="002E6F4F" w:rsidP="00ED36A0">
            <w:pPr>
              <w:pStyle w:val="TableText0"/>
              <w:keepNext w:val="0"/>
            </w:pPr>
            <w:r w:rsidRPr="001611DC">
              <w:t>Outcomes</w:t>
            </w:r>
          </w:p>
        </w:tc>
        <w:tc>
          <w:tcPr>
            <w:tcW w:w="3604" w:type="pct"/>
            <w:shd w:val="clear" w:color="auto" w:fill="auto"/>
            <w:vAlign w:val="center"/>
          </w:tcPr>
          <w:p w14:paraId="3B8B1F5D" w14:textId="4EE7A640" w:rsidR="002E6F4F" w:rsidRPr="001611DC" w:rsidRDefault="002E6F4F" w:rsidP="00ED36A0">
            <w:pPr>
              <w:pStyle w:val="TableText0"/>
              <w:keepNext w:val="0"/>
            </w:pPr>
            <w:r w:rsidRPr="001611DC">
              <w:t>L</w:t>
            </w:r>
            <w:r w:rsidR="0083552E" w:rsidRPr="001611DC">
              <w:t>y</w:t>
            </w:r>
            <w:r w:rsidRPr="001611DC">
              <w:t>s and QALYs</w:t>
            </w:r>
          </w:p>
        </w:tc>
      </w:tr>
      <w:tr w:rsidR="002E6F4F" w:rsidRPr="001611DC" w14:paraId="684C6A80" w14:textId="77777777" w:rsidTr="00ED36A0">
        <w:tc>
          <w:tcPr>
            <w:tcW w:w="1396" w:type="pct"/>
            <w:shd w:val="clear" w:color="auto" w:fill="auto"/>
            <w:vAlign w:val="center"/>
          </w:tcPr>
          <w:p w14:paraId="03EE3226" w14:textId="77777777" w:rsidR="002E6F4F" w:rsidRPr="001611DC" w:rsidRDefault="002E6F4F" w:rsidP="00ED36A0">
            <w:pPr>
              <w:pStyle w:val="TableText0"/>
              <w:keepNext w:val="0"/>
            </w:pPr>
            <w:r w:rsidRPr="001611DC">
              <w:lastRenderedPageBreak/>
              <w:t>Methods used to generate results</w:t>
            </w:r>
          </w:p>
        </w:tc>
        <w:tc>
          <w:tcPr>
            <w:tcW w:w="3604" w:type="pct"/>
            <w:shd w:val="clear" w:color="auto" w:fill="auto"/>
            <w:vAlign w:val="center"/>
          </w:tcPr>
          <w:p w14:paraId="64067F3E" w14:textId="77777777" w:rsidR="002E6F4F" w:rsidRPr="001611DC" w:rsidRDefault="002E6F4F" w:rsidP="00ED36A0">
            <w:pPr>
              <w:pStyle w:val="TableText0"/>
              <w:keepNext w:val="0"/>
            </w:pPr>
            <w:r w:rsidRPr="001611DC">
              <w:t>Static multi-cohort Markov model</w:t>
            </w:r>
          </w:p>
        </w:tc>
      </w:tr>
      <w:tr w:rsidR="002E6F4F" w:rsidRPr="001611DC" w14:paraId="2FE13784" w14:textId="77777777" w:rsidTr="00ED36A0">
        <w:tc>
          <w:tcPr>
            <w:tcW w:w="1396" w:type="pct"/>
            <w:shd w:val="clear" w:color="auto" w:fill="auto"/>
            <w:vAlign w:val="center"/>
          </w:tcPr>
          <w:p w14:paraId="569EAFCD" w14:textId="77777777" w:rsidR="002E6F4F" w:rsidRPr="001611DC" w:rsidRDefault="002E6F4F" w:rsidP="00ED36A0">
            <w:pPr>
              <w:pStyle w:val="TableText0"/>
              <w:keepNext w:val="0"/>
            </w:pPr>
            <w:r w:rsidRPr="001611DC">
              <w:t>Health states</w:t>
            </w:r>
          </w:p>
        </w:tc>
        <w:tc>
          <w:tcPr>
            <w:tcW w:w="3604" w:type="pct"/>
            <w:shd w:val="clear" w:color="auto" w:fill="auto"/>
            <w:vAlign w:val="center"/>
          </w:tcPr>
          <w:p w14:paraId="20CB3C9E" w14:textId="77777777" w:rsidR="002E6F4F" w:rsidRPr="001611DC" w:rsidRDefault="002E6F4F" w:rsidP="00ED36A0">
            <w:pPr>
              <w:pStyle w:val="TableText0"/>
              <w:keepNext w:val="0"/>
            </w:pPr>
            <w:r w:rsidRPr="001611DC">
              <w:t>No-RSV, post-RSV (participants that survived at least one RSV episode), and death</w:t>
            </w:r>
          </w:p>
        </w:tc>
      </w:tr>
      <w:tr w:rsidR="002E6F4F" w:rsidRPr="001611DC" w14:paraId="019698D9" w14:textId="77777777" w:rsidTr="00ED36A0">
        <w:tc>
          <w:tcPr>
            <w:tcW w:w="1396" w:type="pct"/>
            <w:shd w:val="clear" w:color="auto" w:fill="auto"/>
            <w:vAlign w:val="center"/>
          </w:tcPr>
          <w:p w14:paraId="6E1B8CAE" w14:textId="77777777" w:rsidR="002E6F4F" w:rsidRPr="001611DC" w:rsidRDefault="002E6F4F" w:rsidP="00ED36A0">
            <w:pPr>
              <w:pStyle w:val="TableText0"/>
              <w:keepNext w:val="0"/>
            </w:pPr>
            <w:r w:rsidRPr="001611DC">
              <w:t>Cycle length</w:t>
            </w:r>
          </w:p>
        </w:tc>
        <w:tc>
          <w:tcPr>
            <w:tcW w:w="3604" w:type="pct"/>
            <w:shd w:val="clear" w:color="auto" w:fill="auto"/>
            <w:vAlign w:val="center"/>
          </w:tcPr>
          <w:p w14:paraId="31F0E539" w14:textId="77777777" w:rsidR="002E6F4F" w:rsidRPr="001611DC" w:rsidRDefault="002E6F4F" w:rsidP="00ED36A0">
            <w:pPr>
              <w:pStyle w:val="TableText0"/>
              <w:keepNext w:val="0"/>
            </w:pPr>
            <w:r w:rsidRPr="001611DC">
              <w:t>1 month</w:t>
            </w:r>
          </w:p>
        </w:tc>
      </w:tr>
      <w:tr w:rsidR="002E6F4F" w:rsidRPr="001611DC" w14:paraId="6295122B" w14:textId="77777777" w:rsidTr="00ED36A0">
        <w:tc>
          <w:tcPr>
            <w:tcW w:w="1396" w:type="pct"/>
            <w:shd w:val="clear" w:color="auto" w:fill="auto"/>
            <w:vAlign w:val="center"/>
          </w:tcPr>
          <w:p w14:paraId="097267D8" w14:textId="77777777" w:rsidR="002E6F4F" w:rsidRPr="001611DC" w:rsidRDefault="002E6F4F" w:rsidP="00ED36A0">
            <w:pPr>
              <w:pStyle w:val="TableText0"/>
              <w:keepNext w:val="0"/>
            </w:pPr>
            <w:r w:rsidRPr="001611DC">
              <w:t>Transition probabilities</w:t>
            </w:r>
          </w:p>
        </w:tc>
        <w:tc>
          <w:tcPr>
            <w:tcW w:w="3604" w:type="pct"/>
            <w:shd w:val="clear" w:color="auto" w:fill="auto"/>
            <w:vAlign w:val="center"/>
          </w:tcPr>
          <w:p w14:paraId="050686FD" w14:textId="77777777" w:rsidR="002E6F4F" w:rsidRPr="001611DC" w:rsidRDefault="002E6F4F" w:rsidP="00ED36A0">
            <w:pPr>
              <w:pStyle w:val="TableText0"/>
              <w:keepNext w:val="0"/>
            </w:pPr>
            <w:r w:rsidRPr="001611DC">
              <w:t>Literature</w:t>
            </w:r>
          </w:p>
          <w:p w14:paraId="3F4DFA61" w14:textId="52AF7F07" w:rsidR="002E6F4F" w:rsidRPr="001611DC" w:rsidRDefault="002E6F4F" w:rsidP="00D242A3">
            <w:pPr>
              <w:pStyle w:val="TableText0"/>
              <w:keepNext w:val="0"/>
              <w:numPr>
                <w:ilvl w:val="0"/>
                <w:numId w:val="10"/>
              </w:numPr>
            </w:pPr>
            <w:r w:rsidRPr="001611DC">
              <w:t>RSV seasonality proportionality factor</w:t>
            </w:r>
            <w:r w:rsidRPr="001611DC" w:rsidDel="00323F63">
              <w:t xml:space="preserve"> </w:t>
            </w:r>
            <w:r w:rsidRPr="001611DC">
              <w:t>(Nazareno et al. 2022): 7-month RSV season starting in March (98%), a peak in June (238%) /July (201%), before declining in September (72%). The base case modelled March as the vaccination month.</w:t>
            </w:r>
          </w:p>
          <w:p w14:paraId="2D8B35C1" w14:textId="3A75C2B2" w:rsidR="002E6F4F" w:rsidRPr="001611DC" w:rsidRDefault="002E6F4F" w:rsidP="00D242A3">
            <w:pPr>
              <w:pStyle w:val="TableText0"/>
              <w:keepNext w:val="0"/>
              <w:numPr>
                <w:ilvl w:val="0"/>
                <w:numId w:val="10"/>
              </w:numPr>
            </w:pPr>
            <w:r w:rsidRPr="001611DC">
              <w:t xml:space="preserve">Unadjusted annual </w:t>
            </w:r>
            <w:r w:rsidR="00FC7D83" w:rsidRPr="001611DC">
              <w:t xml:space="preserve">RSV </w:t>
            </w:r>
            <w:r w:rsidRPr="001611DC">
              <w:t>incidence rate (Korsten et al. 2021; Narejos Pérez et al. 2023): 2.61/100 person-years (95% CI: 1.91-3.57).</w:t>
            </w:r>
          </w:p>
          <w:p w14:paraId="5099F0C6" w14:textId="77777777" w:rsidR="002E6F4F" w:rsidRPr="001611DC" w:rsidRDefault="002E6F4F" w:rsidP="00D242A3">
            <w:pPr>
              <w:pStyle w:val="TableText0"/>
              <w:keepNext w:val="0"/>
              <w:numPr>
                <w:ilvl w:val="0"/>
                <w:numId w:val="10"/>
              </w:numPr>
            </w:pPr>
            <w:r w:rsidRPr="001611DC">
              <w:t>Under-ascertainment multiplier (Li et al. 2023): 2.19 (95% CI 1.72–2.97).</w:t>
            </w:r>
          </w:p>
          <w:p w14:paraId="4887B6D1" w14:textId="32DB8666" w:rsidR="002E6F4F" w:rsidRPr="001611DC" w:rsidRDefault="002E6F4F" w:rsidP="00D242A3">
            <w:pPr>
              <w:pStyle w:val="TableText0"/>
              <w:keepNext w:val="0"/>
              <w:numPr>
                <w:ilvl w:val="0"/>
                <w:numId w:val="10"/>
              </w:numPr>
            </w:pPr>
            <w:r w:rsidRPr="001611DC">
              <w:t>Under-ascertainment adjusted annual incidence rate (unadjusted annual incidence rate by under-ascertainment multiplier): 5.72/100 person-years.</w:t>
            </w:r>
          </w:p>
          <w:p w14:paraId="197D4259" w14:textId="5A48277D" w:rsidR="002E6F4F" w:rsidRPr="001611DC" w:rsidRDefault="002E6F4F" w:rsidP="00D242A3">
            <w:pPr>
              <w:pStyle w:val="TableText0"/>
              <w:keepNext w:val="0"/>
              <w:numPr>
                <w:ilvl w:val="0"/>
                <w:numId w:val="10"/>
              </w:numPr>
            </w:pPr>
            <w:r w:rsidRPr="001611DC">
              <w:t xml:space="preserve">Proportion of RSV-LRTD cases that are hospitalised (Branche et al. 2021): 60-64 YOA 4%; 65-74 YOA 9%; 75-84 YOA 18%; </w:t>
            </w:r>
            <w:r w:rsidR="00E2719A" w:rsidRPr="001611DC">
              <w:t>≥</w:t>
            </w:r>
            <w:r w:rsidRPr="001611DC">
              <w:t>85 YOA 34%.</w:t>
            </w:r>
          </w:p>
          <w:p w14:paraId="756722AD" w14:textId="6A80367C" w:rsidR="002E6F4F" w:rsidRPr="001611DC" w:rsidRDefault="002E6F4F" w:rsidP="00D242A3">
            <w:pPr>
              <w:pStyle w:val="TableText0"/>
              <w:keepNext w:val="0"/>
              <w:numPr>
                <w:ilvl w:val="0"/>
                <w:numId w:val="10"/>
              </w:numPr>
            </w:pPr>
            <w:r w:rsidRPr="001611DC">
              <w:t>RSV-LRTD deaths (Tseng et al. 2020): 60-64 YOA 0.20%; 65-74 YOA 0.43%; 75</w:t>
            </w:r>
            <w:r w:rsidRPr="001611DC">
              <w:noBreakHyphen/>
              <w:t xml:space="preserve">84 YOA 2.00%; </w:t>
            </w:r>
            <w:r w:rsidR="00E2719A" w:rsidRPr="001611DC">
              <w:t>≥</w:t>
            </w:r>
            <w:r w:rsidRPr="001611DC">
              <w:t>85 YOA 3.66%.</w:t>
            </w:r>
          </w:p>
          <w:p w14:paraId="6773686D" w14:textId="5179FB1C" w:rsidR="00A16C35" w:rsidRPr="001611DC" w:rsidRDefault="00A16C35" w:rsidP="00D242A3">
            <w:pPr>
              <w:pStyle w:val="TableText0"/>
              <w:keepNext w:val="0"/>
              <w:numPr>
                <w:ilvl w:val="0"/>
                <w:numId w:val="10"/>
              </w:numPr>
            </w:pPr>
            <w:r w:rsidRPr="001611DC">
              <w:t>Proportion of symptomatic RSV infection seeking medical care: 39.2%.</w:t>
            </w:r>
          </w:p>
          <w:p w14:paraId="10AA3898" w14:textId="77777777" w:rsidR="002E6F4F" w:rsidRPr="001611DC" w:rsidRDefault="002E6F4F" w:rsidP="00ED36A0">
            <w:pPr>
              <w:pStyle w:val="TableText0"/>
              <w:keepNext w:val="0"/>
            </w:pPr>
          </w:p>
          <w:p w14:paraId="6D49C880" w14:textId="18A39B98" w:rsidR="002E6F4F" w:rsidRPr="001611DC" w:rsidRDefault="002E6F4F" w:rsidP="00ED36A0">
            <w:pPr>
              <w:pStyle w:val="TableText0"/>
              <w:keepNext w:val="0"/>
            </w:pPr>
            <w:r w:rsidRPr="001611DC">
              <w:t>A</w:t>
            </w:r>
            <w:r w:rsidR="0083552E" w:rsidRPr="001611DC">
              <w:t>r</w:t>
            </w:r>
            <w:r w:rsidRPr="001611DC">
              <w:t>eSVi-006 placebo arm VE analysis 1</w:t>
            </w:r>
          </w:p>
          <w:p w14:paraId="429DD9ED" w14:textId="77777777" w:rsidR="002E6F4F" w:rsidRPr="001611DC" w:rsidRDefault="002E6F4F" w:rsidP="00D242A3">
            <w:pPr>
              <w:pStyle w:val="TableText0"/>
              <w:keepNext w:val="0"/>
              <w:numPr>
                <w:ilvl w:val="0"/>
                <w:numId w:val="10"/>
              </w:numPr>
            </w:pPr>
            <w:r w:rsidRPr="001611DC">
              <w:t>Proportion of RSV-ARI which is RSV-LRTD: 47.6%.</w:t>
            </w:r>
          </w:p>
          <w:p w14:paraId="3CBE23A7" w14:textId="77777777" w:rsidR="002E6F4F" w:rsidRPr="001611DC" w:rsidRDefault="002E6F4F" w:rsidP="00D242A3">
            <w:pPr>
              <w:pStyle w:val="TableText0"/>
              <w:keepNext w:val="0"/>
              <w:numPr>
                <w:ilvl w:val="0"/>
                <w:numId w:val="10"/>
              </w:numPr>
            </w:pPr>
            <w:r w:rsidRPr="001611DC">
              <w:t>Proportion of RSV-ARI which is RSV-URTD: 52.4%.</w:t>
            </w:r>
          </w:p>
          <w:p w14:paraId="656A8D3D" w14:textId="77777777" w:rsidR="002E6F4F" w:rsidRPr="001611DC" w:rsidRDefault="002E6F4F" w:rsidP="00D242A3">
            <w:pPr>
              <w:pStyle w:val="TableText0"/>
              <w:keepNext w:val="0"/>
              <w:numPr>
                <w:ilvl w:val="0"/>
                <w:numId w:val="10"/>
              </w:numPr>
            </w:pPr>
            <w:r w:rsidRPr="001611DC">
              <w:t>MA RSV-LRTD: 60%.</w:t>
            </w:r>
          </w:p>
          <w:p w14:paraId="43B9599E" w14:textId="6B9300CE" w:rsidR="002E6F4F" w:rsidRPr="001611DC" w:rsidRDefault="002E6F4F" w:rsidP="00D242A3">
            <w:pPr>
              <w:pStyle w:val="TableText0"/>
              <w:keepNext w:val="0"/>
              <w:numPr>
                <w:ilvl w:val="0"/>
                <w:numId w:val="10"/>
              </w:numPr>
            </w:pPr>
            <w:r w:rsidRPr="001611DC">
              <w:t xml:space="preserve">MA RSV-URTD: </w:t>
            </w:r>
            <w:r w:rsidR="00A16C35" w:rsidRPr="001611DC">
              <w:t>25</w:t>
            </w:r>
            <w:r w:rsidRPr="001611DC">
              <w:t>%.</w:t>
            </w:r>
          </w:p>
          <w:p w14:paraId="38AFD0ED" w14:textId="77777777" w:rsidR="002E6F4F" w:rsidRPr="001611DC" w:rsidRDefault="002E6F4F" w:rsidP="00D242A3">
            <w:pPr>
              <w:pStyle w:val="TableText0"/>
              <w:keepNext w:val="0"/>
              <w:numPr>
                <w:ilvl w:val="0"/>
                <w:numId w:val="10"/>
              </w:numPr>
            </w:pPr>
            <w:r w:rsidRPr="001611DC">
              <w:t>Proportion MA RSV-LRTD within MA RSV-ARI event: 63%.</w:t>
            </w:r>
          </w:p>
          <w:p w14:paraId="0664C2E2" w14:textId="165B8174" w:rsidR="002E6F4F" w:rsidRPr="001611DC" w:rsidRDefault="002E6F4F" w:rsidP="00D242A3">
            <w:pPr>
              <w:pStyle w:val="TableText0"/>
              <w:keepNext w:val="0"/>
              <w:numPr>
                <w:ilvl w:val="0"/>
                <w:numId w:val="10"/>
              </w:numPr>
            </w:pPr>
            <w:r w:rsidRPr="001611DC">
              <w:t>Proportion MA RSV-URTD within MA RSV-ARI event: 37%.</w:t>
            </w:r>
          </w:p>
        </w:tc>
      </w:tr>
      <w:tr w:rsidR="002E6F4F" w:rsidRPr="001611DC" w14:paraId="7BD71E04" w14:textId="77777777" w:rsidTr="00ED36A0">
        <w:tc>
          <w:tcPr>
            <w:tcW w:w="1396" w:type="pct"/>
            <w:shd w:val="clear" w:color="auto" w:fill="auto"/>
            <w:vAlign w:val="center"/>
          </w:tcPr>
          <w:p w14:paraId="0BE6F30F" w14:textId="2710A299" w:rsidR="002E6F4F" w:rsidRPr="001611DC" w:rsidRDefault="002E6F4F" w:rsidP="00ED36A0">
            <w:pPr>
              <w:pStyle w:val="TableText0"/>
              <w:keepNext w:val="0"/>
            </w:pPr>
            <w:r w:rsidRPr="001611DC">
              <w:t>Vaccine efficacy (VE)</w:t>
            </w:r>
          </w:p>
        </w:tc>
        <w:tc>
          <w:tcPr>
            <w:tcW w:w="3604" w:type="pct"/>
            <w:shd w:val="clear" w:color="auto" w:fill="auto"/>
            <w:vAlign w:val="center"/>
          </w:tcPr>
          <w:p w14:paraId="36074E75" w14:textId="6D087F18" w:rsidR="002E6F4F" w:rsidRPr="001611DC" w:rsidRDefault="002E6F4F" w:rsidP="00D242A3">
            <w:pPr>
              <w:pStyle w:val="TableText0"/>
              <w:keepNext w:val="0"/>
              <w:numPr>
                <w:ilvl w:val="0"/>
                <w:numId w:val="10"/>
              </w:numPr>
            </w:pPr>
            <w:r w:rsidRPr="001611DC">
              <w:t>Peak VE RSV-ARI: 74.17% (95% CI 56.39- 94.01%)</w:t>
            </w:r>
            <w:r w:rsidR="00B07E75" w:rsidRPr="001611DC">
              <w:t>.</w:t>
            </w:r>
          </w:p>
          <w:p w14:paraId="5159A755" w14:textId="7CA4E9C6" w:rsidR="002E6F4F" w:rsidRPr="001611DC" w:rsidRDefault="002E6F4F" w:rsidP="00D242A3">
            <w:pPr>
              <w:pStyle w:val="TableText0"/>
              <w:keepNext w:val="0"/>
              <w:numPr>
                <w:ilvl w:val="0"/>
                <w:numId w:val="10"/>
              </w:numPr>
            </w:pPr>
            <w:r w:rsidRPr="001611DC">
              <w:t>Peak VE RSV-LRTD: 88.02% (95% CI 65.80-99.20%)</w:t>
            </w:r>
            <w:r w:rsidR="00B07E75" w:rsidRPr="001611DC">
              <w:t>.</w:t>
            </w:r>
          </w:p>
          <w:p w14:paraId="777556FF" w14:textId="5E9E68E7" w:rsidR="002E6F4F" w:rsidRPr="001611DC" w:rsidRDefault="002E6F4F" w:rsidP="00D242A3">
            <w:pPr>
              <w:pStyle w:val="TableText0"/>
              <w:keepNext w:val="0"/>
              <w:numPr>
                <w:ilvl w:val="0"/>
                <w:numId w:val="10"/>
              </w:numPr>
            </w:pPr>
            <w:r w:rsidRPr="001611DC">
              <w:t>Monthly VE waning rate RSV-ARI: 2.26% (95% CI 0.30-4.32%)</w:t>
            </w:r>
            <w:r w:rsidR="00B07E75" w:rsidRPr="001611DC">
              <w:t>.</w:t>
            </w:r>
          </w:p>
          <w:p w14:paraId="28CF7771" w14:textId="68C40B1D" w:rsidR="002E6F4F" w:rsidRPr="001611DC" w:rsidRDefault="002E6F4F" w:rsidP="00D242A3">
            <w:pPr>
              <w:pStyle w:val="TableText0"/>
              <w:keepNext w:val="0"/>
              <w:numPr>
                <w:ilvl w:val="0"/>
                <w:numId w:val="10"/>
              </w:numPr>
            </w:pPr>
            <w:r w:rsidRPr="001611DC">
              <w:t>Monthly VE waning rate RSV-LRTD: 2.10% (95% CI 0.14-4.30%)</w:t>
            </w:r>
            <w:r w:rsidR="00B07E75" w:rsidRPr="001611DC">
              <w:t>.</w:t>
            </w:r>
          </w:p>
          <w:p w14:paraId="3A25FD99" w14:textId="3F50DE2A" w:rsidR="002E6F4F" w:rsidRPr="001611DC" w:rsidRDefault="002E6F4F" w:rsidP="00ED36A0">
            <w:pPr>
              <w:pStyle w:val="TableText0"/>
              <w:keepNext w:val="0"/>
            </w:pPr>
            <w:r w:rsidRPr="001611DC">
              <w:t>VE was extrapolated to estimate peak VE and waning rate using a weighted least squares regression on VE timepoints sourced from A</w:t>
            </w:r>
            <w:r w:rsidR="0083552E" w:rsidRPr="001611DC">
              <w:t>r</w:t>
            </w:r>
            <w:r w:rsidRPr="001611DC">
              <w:t>eSVi-006, which provided data up to 18 months. Month 1 data from A</w:t>
            </w:r>
            <w:r w:rsidR="0083552E" w:rsidRPr="001611DC">
              <w:t>r</w:t>
            </w:r>
            <w:r w:rsidRPr="001611DC">
              <w:t xml:space="preserve">eSVi-006 represented events between </w:t>
            </w:r>
            <w:r w:rsidR="00C01E69" w:rsidRPr="001611DC">
              <w:t>15- and 45-days</w:t>
            </w:r>
            <w:r w:rsidRPr="001611DC">
              <w:t xml:space="preserve"> post vaccination. The midpoint (30 days post-vaccination) was used for modelling purposes. 50% peak VE was used in the first model cycle to allow for an immune build-up period.</w:t>
            </w:r>
          </w:p>
          <w:p w14:paraId="5E7E9E5D" w14:textId="77777777" w:rsidR="002E6F4F" w:rsidRPr="001611DC" w:rsidRDefault="002E6F4F" w:rsidP="00ED36A0">
            <w:pPr>
              <w:pStyle w:val="TableText0"/>
              <w:keepNext w:val="0"/>
            </w:pPr>
          </w:p>
          <w:p w14:paraId="3A8E3013" w14:textId="2360F248" w:rsidR="002E6F4F" w:rsidRPr="001611DC" w:rsidRDefault="002E6F4F" w:rsidP="00ED36A0">
            <w:pPr>
              <w:pStyle w:val="TableText0"/>
              <w:keepNext w:val="0"/>
            </w:pPr>
            <w:r w:rsidRPr="001611DC">
              <w:t xml:space="preserve">The submission estimated RSV-URTD VE from individuals with RSV-ARI but without RSV-LRTD. </w:t>
            </w:r>
          </w:p>
        </w:tc>
      </w:tr>
      <w:tr w:rsidR="002E6F4F" w:rsidRPr="001611DC" w14:paraId="0F5A7C69" w14:textId="77777777" w:rsidTr="00ED36A0">
        <w:tc>
          <w:tcPr>
            <w:tcW w:w="1396" w:type="pct"/>
            <w:shd w:val="clear" w:color="auto" w:fill="auto"/>
            <w:vAlign w:val="center"/>
          </w:tcPr>
          <w:p w14:paraId="06A78CD9" w14:textId="77777777" w:rsidR="002E6F4F" w:rsidRPr="001611DC" w:rsidRDefault="002E6F4F" w:rsidP="00ED36A0">
            <w:pPr>
              <w:pStyle w:val="TableText0"/>
              <w:keepNext w:val="0"/>
            </w:pPr>
            <w:r w:rsidRPr="001611DC">
              <w:t>Adverse events</w:t>
            </w:r>
          </w:p>
        </w:tc>
        <w:tc>
          <w:tcPr>
            <w:tcW w:w="3604" w:type="pct"/>
            <w:shd w:val="clear" w:color="auto" w:fill="auto"/>
            <w:vAlign w:val="center"/>
          </w:tcPr>
          <w:p w14:paraId="64D30B04" w14:textId="68A304D0" w:rsidR="002E6F4F" w:rsidRPr="001611DC" w:rsidRDefault="002E6F4F" w:rsidP="00ED36A0">
            <w:pPr>
              <w:pStyle w:val="TableText0"/>
              <w:keepNext w:val="0"/>
            </w:pPr>
            <w:r w:rsidRPr="001611DC">
              <w:t>Grade 3 (severe) AE: 2.27% (Grade 3 AE from A</w:t>
            </w:r>
            <w:r w:rsidR="0083552E" w:rsidRPr="001611DC">
              <w:t>r</w:t>
            </w:r>
            <w:r w:rsidRPr="001611DC">
              <w:t>eSVi-006 vaccinated arm)</w:t>
            </w:r>
          </w:p>
        </w:tc>
      </w:tr>
      <w:tr w:rsidR="002E6F4F" w:rsidRPr="001611DC" w14:paraId="5CF77BE9" w14:textId="77777777" w:rsidTr="00ED36A0">
        <w:tc>
          <w:tcPr>
            <w:tcW w:w="1396" w:type="pct"/>
            <w:shd w:val="clear" w:color="auto" w:fill="auto"/>
            <w:vAlign w:val="center"/>
          </w:tcPr>
          <w:p w14:paraId="1D638776" w14:textId="77777777" w:rsidR="002E6F4F" w:rsidRPr="001611DC" w:rsidRDefault="002E6F4F" w:rsidP="00ED36A0">
            <w:pPr>
              <w:pStyle w:val="TableText0"/>
              <w:keepNext w:val="0"/>
            </w:pPr>
            <w:r w:rsidRPr="001611DC">
              <w:t>Health related quality of life</w:t>
            </w:r>
          </w:p>
        </w:tc>
        <w:tc>
          <w:tcPr>
            <w:tcW w:w="3604" w:type="pct"/>
            <w:shd w:val="clear" w:color="auto" w:fill="auto"/>
            <w:vAlign w:val="center"/>
          </w:tcPr>
          <w:p w14:paraId="0E508001" w14:textId="77777777" w:rsidR="002E6F4F" w:rsidRPr="001611DC" w:rsidRDefault="002E6F4F" w:rsidP="00ED36A0">
            <w:pPr>
              <w:pStyle w:val="TableText0"/>
              <w:keepNext w:val="0"/>
            </w:pPr>
            <w:r w:rsidRPr="001611DC">
              <w:t xml:space="preserve">Literature-based: </w:t>
            </w:r>
          </w:p>
          <w:p w14:paraId="414B5A70" w14:textId="31002BEE" w:rsidR="002E6F4F" w:rsidRPr="001611DC" w:rsidRDefault="002E6F4F" w:rsidP="00D242A3">
            <w:pPr>
              <w:pStyle w:val="TableText0"/>
              <w:keepNext w:val="0"/>
              <w:numPr>
                <w:ilvl w:val="0"/>
                <w:numId w:val="12"/>
              </w:numPr>
              <w:ind w:left="360"/>
            </w:pPr>
            <w:r w:rsidRPr="001611DC">
              <w:t xml:space="preserve">No-RSV (McCaffrey et al. 2016): 0.89 for 60-64 YOA; 0.87 for 65-74 YOA; 0.83 </w:t>
            </w:r>
            <w:r w:rsidR="00E2719A" w:rsidRPr="001611DC">
              <w:t>≥</w:t>
            </w:r>
            <w:r w:rsidRPr="001611DC">
              <w:t>75 YOA</w:t>
            </w:r>
          </w:p>
          <w:p w14:paraId="02D95DBF" w14:textId="36454E66" w:rsidR="002E6F4F" w:rsidRPr="001611DC" w:rsidRDefault="002E6F4F" w:rsidP="00D242A3">
            <w:pPr>
              <w:pStyle w:val="TableText0"/>
              <w:keepNext w:val="0"/>
              <w:numPr>
                <w:ilvl w:val="0"/>
                <w:numId w:val="12"/>
              </w:numPr>
              <w:ind w:left="360"/>
            </w:pPr>
            <w:r w:rsidRPr="001611DC">
              <w:t>Vaccine-related AE (Schmader et al. 2019): -0.000677</w:t>
            </w:r>
          </w:p>
          <w:p w14:paraId="67EE20CE" w14:textId="77777777" w:rsidR="002E6F4F" w:rsidRPr="001611DC" w:rsidRDefault="002E6F4F" w:rsidP="00ED36A0">
            <w:pPr>
              <w:pStyle w:val="TableText0"/>
              <w:keepNext w:val="0"/>
            </w:pPr>
          </w:p>
          <w:p w14:paraId="356D766D" w14:textId="77777777" w:rsidR="002E6F4F" w:rsidRPr="001611DC" w:rsidRDefault="002E6F4F" w:rsidP="00ED36A0">
            <w:pPr>
              <w:pStyle w:val="TableText0"/>
              <w:keepNext w:val="0"/>
            </w:pPr>
            <w:r w:rsidRPr="001611DC">
              <w:t xml:space="preserve">US TTO study: </w:t>
            </w:r>
          </w:p>
          <w:p w14:paraId="4364FA2E" w14:textId="135FAEDB" w:rsidR="002E6F4F" w:rsidRPr="001611DC" w:rsidRDefault="002E6F4F" w:rsidP="00D242A3">
            <w:pPr>
              <w:pStyle w:val="TableText0"/>
              <w:keepNext w:val="0"/>
              <w:numPr>
                <w:ilvl w:val="0"/>
                <w:numId w:val="13"/>
              </w:numPr>
              <w:ind w:left="360"/>
            </w:pPr>
            <w:r w:rsidRPr="001611DC">
              <w:t>RSV-LRTD: -0.018</w:t>
            </w:r>
          </w:p>
          <w:p w14:paraId="13DE9499" w14:textId="58C3B231" w:rsidR="002E6F4F" w:rsidRPr="001611DC" w:rsidRDefault="002E6F4F" w:rsidP="00D242A3">
            <w:pPr>
              <w:pStyle w:val="TableText0"/>
              <w:keepNext w:val="0"/>
              <w:numPr>
                <w:ilvl w:val="0"/>
                <w:numId w:val="13"/>
              </w:numPr>
              <w:ind w:left="360"/>
            </w:pPr>
            <w:r w:rsidRPr="001611DC">
              <w:t>RSV-URTD: -0.013</w:t>
            </w:r>
          </w:p>
        </w:tc>
      </w:tr>
      <w:tr w:rsidR="002E6F4F" w:rsidRPr="001611DC" w14:paraId="29AF3200" w14:textId="77777777" w:rsidTr="00ED36A0">
        <w:tc>
          <w:tcPr>
            <w:tcW w:w="1396" w:type="pct"/>
            <w:shd w:val="clear" w:color="auto" w:fill="auto"/>
            <w:vAlign w:val="center"/>
          </w:tcPr>
          <w:p w14:paraId="1D597AAE" w14:textId="77777777" w:rsidR="002E6F4F" w:rsidRPr="001611DC" w:rsidRDefault="002E6F4F" w:rsidP="00ED36A0">
            <w:pPr>
              <w:pStyle w:val="TableText0"/>
              <w:keepNext w:val="0"/>
            </w:pPr>
            <w:r w:rsidRPr="001611DC">
              <w:t xml:space="preserve">Hospitalisation costs </w:t>
            </w:r>
          </w:p>
        </w:tc>
        <w:tc>
          <w:tcPr>
            <w:tcW w:w="3604" w:type="pct"/>
            <w:shd w:val="clear" w:color="auto" w:fill="auto"/>
            <w:vAlign w:val="center"/>
          </w:tcPr>
          <w:p w14:paraId="0CC4214F" w14:textId="77777777" w:rsidR="002E6F4F" w:rsidRPr="001611DC" w:rsidRDefault="002E6F4F" w:rsidP="00ED36A0">
            <w:pPr>
              <w:pStyle w:val="TableText0"/>
              <w:keepNext w:val="0"/>
            </w:pPr>
            <w:r w:rsidRPr="001611DC">
              <w:t>Estimated by using the National Efficient Price, LOS, separations and adjusting for ICU and MV costs:</w:t>
            </w:r>
          </w:p>
          <w:p w14:paraId="5B3E7ABC" w14:textId="6FEEA29F" w:rsidR="002E6F4F" w:rsidRPr="00877CD6" w:rsidRDefault="002E6F4F" w:rsidP="00D242A3">
            <w:pPr>
              <w:pStyle w:val="TableText0"/>
              <w:keepNext w:val="0"/>
              <w:numPr>
                <w:ilvl w:val="0"/>
                <w:numId w:val="14"/>
              </w:numPr>
            </w:pPr>
            <w:r w:rsidRPr="001611DC">
              <w:t xml:space="preserve">60-64 YOA: </w:t>
            </w:r>
            <w:r w:rsidRPr="00877CD6">
              <w:t>$</w:t>
            </w:r>
            <w:r w:rsidR="00BD3549" w:rsidRPr="00BD3549">
              <w:rPr>
                <w:color w:val="000000"/>
                <w:spacing w:val="48"/>
                <w:shd w:val="solid" w:color="000000" w:fill="000000"/>
                <w:fitText w:val="315" w:id="-893677823"/>
                <w14:textFill>
                  <w14:solidFill>
                    <w14:srgbClr w14:val="000000">
                      <w14:alpha w14:val="100000"/>
                    </w14:srgbClr>
                  </w14:solidFill>
                </w14:textFill>
              </w:rPr>
              <w:t>|||</w:t>
            </w:r>
            <w:r w:rsidR="00BD3549" w:rsidRPr="00BD3549">
              <w:rPr>
                <w:color w:val="000000"/>
                <w:spacing w:val="1"/>
                <w:shd w:val="solid" w:color="000000" w:fill="000000"/>
                <w:fitText w:val="315" w:id="-893677823"/>
                <w14:textFill>
                  <w14:solidFill>
                    <w14:srgbClr w14:val="000000">
                      <w14:alpha w14:val="100000"/>
                    </w14:srgbClr>
                  </w14:solidFill>
                </w14:textFill>
              </w:rPr>
              <w:t>|</w:t>
            </w:r>
          </w:p>
          <w:p w14:paraId="06F7707E" w14:textId="38AA245B" w:rsidR="002E6F4F" w:rsidRPr="00877CD6" w:rsidRDefault="002E6F4F" w:rsidP="00D242A3">
            <w:pPr>
              <w:pStyle w:val="TableText0"/>
              <w:keepNext w:val="0"/>
              <w:numPr>
                <w:ilvl w:val="0"/>
                <w:numId w:val="14"/>
              </w:numPr>
            </w:pPr>
            <w:r w:rsidRPr="00877CD6">
              <w:t>65-69 YOA: $</w:t>
            </w:r>
            <w:r w:rsidR="00BD3549" w:rsidRPr="00BD3549">
              <w:rPr>
                <w:color w:val="000000"/>
                <w:spacing w:val="48"/>
                <w:shd w:val="solid" w:color="000000" w:fill="000000"/>
                <w:fitText w:val="315" w:id="-893677822"/>
                <w14:textFill>
                  <w14:solidFill>
                    <w14:srgbClr w14:val="000000">
                      <w14:alpha w14:val="100000"/>
                    </w14:srgbClr>
                  </w14:solidFill>
                </w14:textFill>
              </w:rPr>
              <w:t>|||</w:t>
            </w:r>
            <w:r w:rsidR="00BD3549" w:rsidRPr="00BD3549">
              <w:rPr>
                <w:color w:val="000000"/>
                <w:spacing w:val="1"/>
                <w:shd w:val="solid" w:color="000000" w:fill="000000"/>
                <w:fitText w:val="315" w:id="-893677822"/>
                <w14:textFill>
                  <w14:solidFill>
                    <w14:srgbClr w14:val="000000">
                      <w14:alpha w14:val="100000"/>
                    </w14:srgbClr>
                  </w14:solidFill>
                </w14:textFill>
              </w:rPr>
              <w:t>|</w:t>
            </w:r>
          </w:p>
          <w:p w14:paraId="5DA33E5B" w14:textId="28F43711" w:rsidR="002E6F4F" w:rsidRPr="00877CD6" w:rsidRDefault="002E6F4F" w:rsidP="00D242A3">
            <w:pPr>
              <w:pStyle w:val="TableText0"/>
              <w:keepNext w:val="0"/>
              <w:numPr>
                <w:ilvl w:val="0"/>
                <w:numId w:val="14"/>
              </w:numPr>
            </w:pPr>
            <w:r w:rsidRPr="00877CD6">
              <w:t>70-74 YOA: $</w:t>
            </w:r>
            <w:r w:rsidR="00BD3549" w:rsidRPr="00BD3549">
              <w:rPr>
                <w:color w:val="000000"/>
                <w:spacing w:val="48"/>
                <w:shd w:val="solid" w:color="000000" w:fill="000000"/>
                <w:fitText w:val="315" w:id="-893677821"/>
                <w14:textFill>
                  <w14:solidFill>
                    <w14:srgbClr w14:val="000000">
                      <w14:alpha w14:val="100000"/>
                    </w14:srgbClr>
                  </w14:solidFill>
                </w14:textFill>
              </w:rPr>
              <w:t>|||</w:t>
            </w:r>
            <w:r w:rsidR="00BD3549" w:rsidRPr="00BD3549">
              <w:rPr>
                <w:color w:val="000000"/>
                <w:spacing w:val="1"/>
                <w:shd w:val="solid" w:color="000000" w:fill="000000"/>
                <w:fitText w:val="315" w:id="-893677821"/>
                <w14:textFill>
                  <w14:solidFill>
                    <w14:srgbClr w14:val="000000">
                      <w14:alpha w14:val="100000"/>
                    </w14:srgbClr>
                  </w14:solidFill>
                </w14:textFill>
              </w:rPr>
              <w:t>|</w:t>
            </w:r>
          </w:p>
          <w:p w14:paraId="5A9C05D2" w14:textId="7894D895" w:rsidR="002E6F4F" w:rsidRPr="00877CD6" w:rsidRDefault="002E6F4F" w:rsidP="00D242A3">
            <w:pPr>
              <w:pStyle w:val="TableText0"/>
              <w:keepNext w:val="0"/>
              <w:numPr>
                <w:ilvl w:val="0"/>
                <w:numId w:val="14"/>
              </w:numPr>
            </w:pPr>
            <w:r w:rsidRPr="00877CD6">
              <w:lastRenderedPageBreak/>
              <w:t>75-79 YOA: $</w:t>
            </w:r>
            <w:r w:rsidR="00BD3549" w:rsidRPr="00BD3549">
              <w:rPr>
                <w:color w:val="000000"/>
                <w:spacing w:val="48"/>
                <w:shd w:val="solid" w:color="000000" w:fill="000000"/>
                <w:fitText w:val="315" w:id="-893677820"/>
                <w14:textFill>
                  <w14:solidFill>
                    <w14:srgbClr w14:val="000000">
                      <w14:alpha w14:val="100000"/>
                    </w14:srgbClr>
                  </w14:solidFill>
                </w14:textFill>
              </w:rPr>
              <w:t>|||</w:t>
            </w:r>
            <w:r w:rsidR="00BD3549" w:rsidRPr="00BD3549">
              <w:rPr>
                <w:color w:val="000000"/>
                <w:spacing w:val="1"/>
                <w:shd w:val="solid" w:color="000000" w:fill="000000"/>
                <w:fitText w:val="315" w:id="-893677820"/>
                <w14:textFill>
                  <w14:solidFill>
                    <w14:srgbClr w14:val="000000">
                      <w14:alpha w14:val="100000"/>
                    </w14:srgbClr>
                  </w14:solidFill>
                </w14:textFill>
              </w:rPr>
              <w:t>|</w:t>
            </w:r>
          </w:p>
          <w:p w14:paraId="2E981E2F" w14:textId="3E69CE18" w:rsidR="002E6F4F" w:rsidRPr="00877CD6" w:rsidRDefault="00E2719A" w:rsidP="00D242A3">
            <w:pPr>
              <w:pStyle w:val="TableText0"/>
              <w:keepNext w:val="0"/>
              <w:numPr>
                <w:ilvl w:val="0"/>
                <w:numId w:val="14"/>
              </w:numPr>
            </w:pPr>
            <w:r w:rsidRPr="00877CD6">
              <w:t>≥</w:t>
            </w:r>
            <w:r w:rsidR="002E6F4F" w:rsidRPr="00877CD6">
              <w:t>80 YOA: $</w:t>
            </w:r>
            <w:r w:rsidR="00BD3549" w:rsidRPr="00BD3549">
              <w:rPr>
                <w:color w:val="000000"/>
                <w:spacing w:val="53"/>
                <w:shd w:val="solid" w:color="000000" w:fill="000000"/>
                <w:fitText w:val="330" w:id="-893677568"/>
                <w14:textFill>
                  <w14:solidFill>
                    <w14:srgbClr w14:val="000000">
                      <w14:alpha w14:val="100000"/>
                    </w14:srgbClr>
                  </w14:solidFill>
                </w14:textFill>
              </w:rPr>
              <w:t>|||</w:t>
            </w:r>
            <w:r w:rsidR="00BD3549" w:rsidRPr="00BD3549">
              <w:rPr>
                <w:color w:val="000000"/>
                <w:spacing w:val="1"/>
                <w:shd w:val="solid" w:color="000000" w:fill="000000"/>
                <w:fitText w:val="330" w:id="-893677568"/>
                <w14:textFill>
                  <w14:solidFill>
                    <w14:srgbClr w14:val="000000">
                      <w14:alpha w14:val="100000"/>
                    </w14:srgbClr>
                  </w14:solidFill>
                </w14:textFill>
              </w:rPr>
              <w:t>|</w:t>
            </w:r>
          </w:p>
          <w:p w14:paraId="1CCAC333" w14:textId="0A34D04C" w:rsidR="002E6F4F" w:rsidRPr="001611DC" w:rsidRDefault="002E6F4F" w:rsidP="00ED36A0">
            <w:pPr>
              <w:pStyle w:val="TableText0"/>
              <w:keepNext w:val="0"/>
            </w:pPr>
            <w:r w:rsidRPr="001611DC">
              <w:t xml:space="preserve">The submission adjusted NHCDC cost weights by ICU stay and LOS. </w:t>
            </w:r>
            <w:r w:rsidR="00965CD6" w:rsidRPr="001611DC">
              <w:t xml:space="preserve">The evaluation considered </w:t>
            </w:r>
            <w:r w:rsidR="00FA4583" w:rsidRPr="001611DC">
              <w:t>t</w:t>
            </w:r>
            <w:r w:rsidR="0083552E" w:rsidRPr="001611DC">
              <w:t>his</w:t>
            </w:r>
            <w:r w:rsidRPr="001611DC">
              <w:t xml:space="preserve"> may not be reasonable given observed NHCDC cost weights already account for ICU and LOS</w:t>
            </w:r>
            <w:r w:rsidR="00FC7D83" w:rsidRPr="001611DC">
              <w:t>, potentially</w:t>
            </w:r>
            <w:r w:rsidRPr="001611DC">
              <w:t xml:space="preserve"> overestimating costs. Using unadjusted NHCDC cost weights hospitalisation costs were </w:t>
            </w:r>
            <w:r w:rsidRPr="00B17B05">
              <w:t>$</w:t>
            </w:r>
            <w:r w:rsidR="00BD3549" w:rsidRPr="00BD3549">
              <w:rPr>
                <w:color w:val="000000"/>
                <w:spacing w:val="53"/>
                <w:shd w:val="solid" w:color="000000" w:fill="000000"/>
                <w:fitText w:val="330" w:id="-893677567"/>
                <w14:textFill>
                  <w14:solidFill>
                    <w14:srgbClr w14:val="000000">
                      <w14:alpha w14:val="100000"/>
                    </w14:srgbClr>
                  </w14:solidFill>
                </w14:textFill>
              </w:rPr>
              <w:t>|||</w:t>
            </w:r>
            <w:r w:rsidR="00BD3549" w:rsidRPr="00BD3549">
              <w:rPr>
                <w:color w:val="000000"/>
                <w:spacing w:val="1"/>
                <w:shd w:val="solid" w:color="000000" w:fill="000000"/>
                <w:fitText w:val="330" w:id="-893677567"/>
                <w14:textFill>
                  <w14:solidFill>
                    <w14:srgbClr w14:val="000000">
                      <w14:alpha w14:val="100000"/>
                    </w14:srgbClr>
                  </w14:solidFill>
                </w14:textFill>
              </w:rPr>
              <w:t>|</w:t>
            </w:r>
            <w:r w:rsidRPr="001611DC">
              <w:t xml:space="preserve">. </w:t>
            </w:r>
            <w:r w:rsidR="00965CD6" w:rsidRPr="001611DC">
              <w:t xml:space="preserve">The ESC considered that hospitalisation costs had been overestimated </w:t>
            </w:r>
            <w:r w:rsidR="000C4805" w:rsidRPr="001611DC">
              <w:t xml:space="preserve">by the submission </w:t>
            </w:r>
            <w:r w:rsidR="00965CD6" w:rsidRPr="001611DC">
              <w:t xml:space="preserve">(see paragraph </w:t>
            </w:r>
            <w:r w:rsidR="000C4805" w:rsidRPr="001611DC">
              <w:fldChar w:fldCharType="begin" w:fldLock="1"/>
            </w:r>
            <w:r w:rsidR="000C4805" w:rsidRPr="001611DC">
              <w:instrText xml:space="preserve"> REF _Ref170080588 \r \h  \* MERGEFORMAT </w:instrText>
            </w:r>
            <w:r w:rsidR="000C4805" w:rsidRPr="001611DC">
              <w:fldChar w:fldCharType="separate"/>
            </w:r>
            <w:r w:rsidR="00927933" w:rsidRPr="001611DC">
              <w:t>6.66</w:t>
            </w:r>
            <w:r w:rsidR="000C4805" w:rsidRPr="001611DC">
              <w:fldChar w:fldCharType="end"/>
            </w:r>
            <w:r w:rsidR="00965CD6" w:rsidRPr="001611DC">
              <w:t>).</w:t>
            </w:r>
          </w:p>
        </w:tc>
      </w:tr>
      <w:tr w:rsidR="00C57668" w:rsidRPr="001611DC" w14:paraId="1B38B7DF" w14:textId="77777777" w:rsidTr="00ED36A0">
        <w:tc>
          <w:tcPr>
            <w:tcW w:w="1396" w:type="pct"/>
            <w:shd w:val="clear" w:color="auto" w:fill="auto"/>
            <w:vAlign w:val="center"/>
          </w:tcPr>
          <w:p w14:paraId="411E05DD" w14:textId="77777777" w:rsidR="002E6F4F" w:rsidRPr="001611DC" w:rsidRDefault="002E6F4F" w:rsidP="00ED36A0">
            <w:pPr>
              <w:pStyle w:val="TableText0"/>
            </w:pPr>
            <w:r w:rsidRPr="001611DC">
              <w:lastRenderedPageBreak/>
              <w:t xml:space="preserve">Other costs </w:t>
            </w:r>
          </w:p>
        </w:tc>
        <w:tc>
          <w:tcPr>
            <w:tcW w:w="3604" w:type="pct"/>
            <w:shd w:val="clear" w:color="auto" w:fill="auto"/>
            <w:vAlign w:val="center"/>
          </w:tcPr>
          <w:p w14:paraId="37D3BD49" w14:textId="6B7E0092" w:rsidR="002E6F4F" w:rsidRPr="001611DC" w:rsidRDefault="002E6F4F" w:rsidP="00D242A3">
            <w:pPr>
              <w:pStyle w:val="TableText0"/>
              <w:numPr>
                <w:ilvl w:val="0"/>
                <w:numId w:val="14"/>
              </w:numPr>
            </w:pPr>
            <w:r w:rsidRPr="001611DC">
              <w:t>Vaccine acquisition: $</w:t>
            </w:r>
            <w:r w:rsidR="00BD3549" w:rsidRPr="00BD3549">
              <w:rPr>
                <w:color w:val="000000"/>
                <w:spacing w:val="53"/>
                <w:shd w:val="solid" w:color="000000" w:fill="000000"/>
                <w:fitText w:val="330" w:id="-893677566"/>
                <w14:textFill>
                  <w14:solidFill>
                    <w14:srgbClr w14:val="000000">
                      <w14:alpha w14:val="100000"/>
                    </w14:srgbClr>
                  </w14:solidFill>
                </w14:textFill>
              </w:rPr>
              <w:t>|||</w:t>
            </w:r>
            <w:r w:rsidR="00BD3549" w:rsidRPr="00BD3549">
              <w:rPr>
                <w:color w:val="000000"/>
                <w:spacing w:val="1"/>
                <w:shd w:val="solid" w:color="000000" w:fill="000000"/>
                <w:fitText w:val="330" w:id="-893677566"/>
                <w14:textFill>
                  <w14:solidFill>
                    <w14:srgbClr w14:val="000000">
                      <w14:alpha w14:val="100000"/>
                    </w14:srgbClr>
                  </w14:solidFill>
                </w14:textFill>
              </w:rPr>
              <w:t>|</w:t>
            </w:r>
            <w:r w:rsidRPr="001611DC">
              <w:t>.</w:t>
            </w:r>
          </w:p>
          <w:p w14:paraId="511176BB" w14:textId="77777777" w:rsidR="002E6F4F" w:rsidRPr="001611DC" w:rsidRDefault="002E6F4F" w:rsidP="00D242A3">
            <w:pPr>
              <w:pStyle w:val="TableText0"/>
              <w:numPr>
                <w:ilvl w:val="0"/>
                <w:numId w:val="14"/>
              </w:numPr>
            </w:pPr>
            <w:r w:rsidRPr="001611DC">
              <w:t>Disease management RSV-URTD: GP visit, specialist visit, RSV testing, pathology, X-rays, antibiotics, bronchodilators.</w:t>
            </w:r>
          </w:p>
          <w:p w14:paraId="2604BC47" w14:textId="77777777" w:rsidR="002E6F4F" w:rsidRPr="001611DC" w:rsidRDefault="002E6F4F" w:rsidP="00D242A3">
            <w:pPr>
              <w:pStyle w:val="TableText0"/>
              <w:numPr>
                <w:ilvl w:val="0"/>
                <w:numId w:val="14"/>
              </w:numPr>
            </w:pPr>
            <w:r w:rsidRPr="001611DC">
              <w:t xml:space="preserve">Disease management RSV-LRTD: </w:t>
            </w:r>
            <w:proofErr w:type="gramStart"/>
            <w:r w:rsidRPr="001611DC">
              <w:t>all of</w:t>
            </w:r>
            <w:proofErr w:type="gramEnd"/>
            <w:r w:rsidRPr="001611DC">
              <w:t xml:space="preserve"> RSV-URTD in addition to ED visit, hospitalisations, ICU, post-hospitalisation follow-up, and LTCF.</w:t>
            </w:r>
          </w:p>
          <w:p w14:paraId="1EB7A931" w14:textId="77777777" w:rsidR="002E6F4F" w:rsidRPr="001611DC" w:rsidRDefault="002E6F4F" w:rsidP="00D242A3">
            <w:pPr>
              <w:pStyle w:val="TableText0"/>
              <w:numPr>
                <w:ilvl w:val="0"/>
                <w:numId w:val="14"/>
              </w:numPr>
            </w:pPr>
            <w:r w:rsidRPr="001611DC">
              <w:t>Vaccine-related AE: GP visit, hospitalisations.</w:t>
            </w:r>
          </w:p>
        </w:tc>
      </w:tr>
    </w:tbl>
    <w:p w14:paraId="38C35C6A" w14:textId="77777777" w:rsidR="002E6F4F" w:rsidRPr="001611DC" w:rsidRDefault="002E6F4F" w:rsidP="002E6F4F">
      <w:pPr>
        <w:pStyle w:val="FooterTableFigure"/>
      </w:pPr>
      <w:r w:rsidRPr="001611DC">
        <w:t>Source: Compiled from Section 3 of the submission.</w:t>
      </w:r>
    </w:p>
    <w:p w14:paraId="39BD13F8" w14:textId="6128794E" w:rsidR="002E6F4F" w:rsidRPr="001611DC" w:rsidRDefault="002E6F4F" w:rsidP="002E6F4F">
      <w:pPr>
        <w:pStyle w:val="FooterTableFigure"/>
      </w:pPr>
      <w:r w:rsidRPr="001611DC">
        <w:t xml:space="preserve">AE = adverse event; ARI = acute respiratory infection; </w:t>
      </w:r>
      <w:r w:rsidR="009D10C1" w:rsidRPr="001611DC">
        <w:t xml:space="preserve">CI = confidence interval; </w:t>
      </w:r>
      <w:r w:rsidRPr="001611DC">
        <w:t>ED = emergency department; GP = general practitioner; ICU = intensive care unit; LOS = length of stay; LRTD = lower respiratory tract disease; LTCF = long term care facility; LY = life-year; MA = medically attended; MV = mechanical ventilation; NHCDC = National Hospital Cost Data Collection; QALY = quality-adjusted life year; RSV = respiratory syncytial virus; RSVPreF3 OA = RSV prefusion protein 3 older adult; TTO = time trade-off; URTD = upper respiratory disease; US = United States; VE = vaccine efficacy; YOA = years of age.</w:t>
      </w:r>
    </w:p>
    <w:p w14:paraId="25B3D32F" w14:textId="2EAF979B" w:rsidR="002E6F4F" w:rsidRPr="001611DC" w:rsidRDefault="002E6F4F" w:rsidP="002E6F4F">
      <w:pPr>
        <w:pStyle w:val="3-BodyText"/>
        <w:rPr>
          <w:color w:val="0066FF"/>
        </w:rPr>
      </w:pPr>
      <w:r w:rsidRPr="001611DC">
        <w:t xml:space="preserve">The submission used a static multi-cohort Markov model. </w:t>
      </w:r>
      <w:r w:rsidR="009D10C1" w:rsidRPr="001611DC">
        <w:t>A</w:t>
      </w:r>
      <w:r w:rsidRPr="001611DC">
        <w:t xml:space="preserve">ll individuals started in the ‘no-RSV’ health state and could transition to the ‘post-RSV’ state if an RSV infection was present, which could manifest through RSV-URTD or RSV-LRTD. </w:t>
      </w:r>
      <w:r w:rsidRPr="001611DC">
        <w:rPr>
          <w:iCs/>
        </w:rPr>
        <w:t>This was reasonable.</w:t>
      </w:r>
      <w:r w:rsidRPr="001611DC">
        <w:t xml:space="preserve"> Patients who transition through RSV</w:t>
      </w:r>
      <w:r w:rsidRPr="001611DC">
        <w:noBreakHyphen/>
        <w:t xml:space="preserve">LRTD could die due to RSV or other causes. The model tracked patients that survived at least one RSV event with the ‘post-RSV’ state. </w:t>
      </w:r>
      <w:r w:rsidR="009D10C1" w:rsidRPr="001611DC">
        <w:t>P</w:t>
      </w:r>
      <w:r w:rsidRPr="001611DC">
        <w:t xml:space="preserve">atients in the ‘post-RSV’ state </w:t>
      </w:r>
      <w:r w:rsidR="009D10C1" w:rsidRPr="001611DC">
        <w:t>were</w:t>
      </w:r>
      <w:r w:rsidRPr="001611DC">
        <w:t xml:space="preserve"> susceptible to infection with the same risk as ‘no-RSV’. </w:t>
      </w:r>
      <w:r w:rsidRPr="001611DC">
        <w:rPr>
          <w:iCs/>
        </w:rPr>
        <w:t>Th</w:t>
      </w:r>
      <w:r w:rsidR="00E777DC" w:rsidRPr="001611DC">
        <w:rPr>
          <w:iCs/>
        </w:rPr>
        <w:t>e evaluation considered th</w:t>
      </w:r>
      <w:r w:rsidRPr="001611DC">
        <w:rPr>
          <w:iCs/>
        </w:rPr>
        <w:t>is was reasonable.</w:t>
      </w:r>
    </w:p>
    <w:p w14:paraId="3AA197EA" w14:textId="1EEEEA92" w:rsidR="007C36CA" w:rsidRPr="001611DC" w:rsidRDefault="002E6F4F">
      <w:pPr>
        <w:pStyle w:val="3-BodyText"/>
        <w:rPr>
          <w:color w:val="0066FF"/>
        </w:rPr>
      </w:pPr>
      <w:bookmarkStart w:id="91" w:name="_Ref170152719"/>
      <w:r w:rsidRPr="001611DC">
        <w:t xml:space="preserve">The submission </w:t>
      </w:r>
      <w:bookmarkStart w:id="92" w:name="_Hlk170082375"/>
      <w:r w:rsidRPr="001611DC">
        <w:t xml:space="preserve">used a 3-year time horizon </w:t>
      </w:r>
      <w:bookmarkEnd w:id="92"/>
      <w:r w:rsidRPr="001611DC">
        <w:t>given RSVPreF3 OA showed sustained efficacy at the 18-month follow-up (VE 67.2% CI: 48.1%, 80.0%) against RSV-LRTD in A</w:t>
      </w:r>
      <w:r w:rsidR="0083552E" w:rsidRPr="001611DC">
        <w:t>r</w:t>
      </w:r>
      <w:r w:rsidRPr="001611DC">
        <w:t>eSVi-006. Life</w:t>
      </w:r>
      <w:r w:rsidRPr="001611DC">
        <w:noBreakHyphen/>
        <w:t>years (L</w:t>
      </w:r>
      <w:r w:rsidR="00762260" w:rsidRPr="001611DC">
        <w:t>Y</w:t>
      </w:r>
      <w:r w:rsidRPr="001611DC">
        <w:t>s) and quality-adjusted life years (QALYs) due to premature RSV-related death were extrapolated over a lifetime</w:t>
      </w:r>
      <w:r w:rsidRPr="001611DC">
        <w:rPr>
          <w:iCs/>
        </w:rPr>
        <w:t xml:space="preserve">. </w:t>
      </w:r>
      <w:r w:rsidRPr="001611DC">
        <w:rPr>
          <w:rFonts w:cs="Calibri"/>
        </w:rPr>
        <w:t xml:space="preserve">A sensitivity analysis conducted during the evaluation accounting for RSV-related deaths QALYs over a 3 and 2-year time horizon is presented in </w:t>
      </w:r>
      <w:r w:rsidRPr="001611DC">
        <w:rPr>
          <w:rFonts w:cs="Calibri"/>
        </w:rPr>
        <w:fldChar w:fldCharType="begin" w:fldLock="1"/>
      </w:r>
      <w:r w:rsidRPr="001611DC">
        <w:rPr>
          <w:rFonts w:cs="Calibri"/>
        </w:rPr>
        <w:instrText xml:space="preserve"> REF _Ref104804865 \h </w:instrText>
      </w:r>
      <w:r w:rsidRPr="001611DC">
        <w:rPr>
          <w:rFonts w:cs="Calibri"/>
        </w:rPr>
      </w:r>
      <w:r w:rsidRPr="001611DC">
        <w:rPr>
          <w:rFonts w:cs="Calibri"/>
        </w:rPr>
        <w:fldChar w:fldCharType="separate"/>
      </w:r>
      <w:r w:rsidR="00927933" w:rsidRPr="001611DC">
        <w:t>Table 24</w:t>
      </w:r>
      <w:r w:rsidRPr="001611DC">
        <w:rPr>
          <w:rFonts w:cs="Calibri"/>
        </w:rPr>
        <w:fldChar w:fldCharType="end"/>
      </w:r>
      <w:r w:rsidRPr="001611DC">
        <w:rPr>
          <w:rFonts w:cs="Calibri"/>
        </w:rPr>
        <w:t>.</w:t>
      </w:r>
      <w:r w:rsidR="009F632E" w:rsidRPr="001611DC">
        <w:rPr>
          <w:rFonts w:cs="Calibri"/>
        </w:rPr>
        <w:t xml:space="preserve"> </w:t>
      </w:r>
      <w:r w:rsidR="009F632E" w:rsidRPr="001611DC">
        <w:t>The PSCR stated that the sensitivity analyses presented in the commentary assuming no benefits exceeding the time horizon were implausible, noting that life tables report an average Australian life expectancy of 83.2</w:t>
      </w:r>
      <w:r w:rsidR="00844F2C">
        <w:t> </w:t>
      </w:r>
      <w:r w:rsidR="009F632E" w:rsidRPr="001611DC">
        <w:t>years (AIHW 2023). Further, it was stated that the submission had used a standard approach for a Markov model to apply a lifetime time horizon, to capture vaccine effects on L</w:t>
      </w:r>
      <w:r w:rsidR="00612B11" w:rsidRPr="001611DC">
        <w:t>Y</w:t>
      </w:r>
      <w:r w:rsidR="009F632E" w:rsidRPr="001611DC">
        <w:t>s lost due to premature deaths.</w:t>
      </w:r>
      <w:r w:rsidR="001F4410">
        <w:t xml:space="preserve"> </w:t>
      </w:r>
      <w:r w:rsidR="009F632E" w:rsidRPr="001611DC">
        <w:t xml:space="preserve">The ESC considered the standard approach </w:t>
      </w:r>
      <w:r w:rsidR="007C36CA" w:rsidRPr="001611DC">
        <w:t>as described by the PSCR w</w:t>
      </w:r>
      <w:r w:rsidR="009F632E" w:rsidRPr="001611DC">
        <w:t>as generally reasonable</w:t>
      </w:r>
      <w:r w:rsidR="00857BD4" w:rsidRPr="001611DC">
        <w:t>.</w:t>
      </w:r>
      <w:r w:rsidR="001F4410">
        <w:t xml:space="preserve"> </w:t>
      </w:r>
      <w:r w:rsidR="00857BD4" w:rsidRPr="001611DC">
        <w:t>In addition,</w:t>
      </w:r>
      <w:r w:rsidR="009F632E" w:rsidRPr="001611DC">
        <w:t xml:space="preserve"> with respect to the current submission, </w:t>
      </w:r>
      <w:r w:rsidR="00857BD4" w:rsidRPr="001611DC">
        <w:t xml:space="preserve">the ESC </w:t>
      </w:r>
      <w:r w:rsidR="009F632E" w:rsidRPr="001611DC">
        <w:t xml:space="preserve">noted that </w:t>
      </w:r>
      <w:r w:rsidR="000B1F73" w:rsidRPr="001611DC">
        <w:t xml:space="preserve">significant </w:t>
      </w:r>
      <w:r w:rsidR="009F632E" w:rsidRPr="001611DC">
        <w:t xml:space="preserve">uncertainty remained </w:t>
      </w:r>
      <w:r w:rsidR="00857BD4" w:rsidRPr="001611DC">
        <w:t>due to limited duration of clinical evidence</w:t>
      </w:r>
      <w:r w:rsidR="007C36CA" w:rsidRPr="001611DC">
        <w:t xml:space="preserve">, and therefore it was </w:t>
      </w:r>
      <w:r w:rsidR="00857BD4" w:rsidRPr="001611DC">
        <w:t>informative to consider the impact of long term benefits that were assumed in the submission’s economic model.</w:t>
      </w:r>
      <w:bookmarkEnd w:id="91"/>
    </w:p>
    <w:p w14:paraId="63B939FD" w14:textId="32181C74" w:rsidR="002E6F4F" w:rsidRPr="001611DC" w:rsidRDefault="002E6F4F" w:rsidP="00AD055B">
      <w:pPr>
        <w:pStyle w:val="3-BodyText"/>
        <w:rPr>
          <w:color w:val="0066FF"/>
        </w:rPr>
      </w:pPr>
      <w:bookmarkStart w:id="93" w:name="_Ref167211769"/>
      <w:r w:rsidRPr="001611DC">
        <w:t xml:space="preserve">The submission </w:t>
      </w:r>
      <w:r w:rsidR="009D10C1" w:rsidRPr="001611DC">
        <w:t>claimed</w:t>
      </w:r>
      <w:r w:rsidRPr="001611DC">
        <w:t xml:space="preserve"> that trial-based RSV-ARI or RSV-LRTD incidences</w:t>
      </w:r>
      <w:r w:rsidR="009D10C1" w:rsidRPr="001611DC">
        <w:t xml:space="preserve"> (from A</w:t>
      </w:r>
      <w:r w:rsidR="0083552E" w:rsidRPr="001611DC">
        <w:t>r</w:t>
      </w:r>
      <w:r w:rsidR="009D10C1" w:rsidRPr="001611DC">
        <w:t>esVi-006)</w:t>
      </w:r>
      <w:r w:rsidRPr="001611DC">
        <w:t xml:space="preserve"> did not represent the Australian setting due to limited transmission during the trial period which was over the COVID-19 pandemic. </w:t>
      </w:r>
      <w:r w:rsidRPr="001611DC">
        <w:rPr>
          <w:iCs/>
        </w:rPr>
        <w:t>Th</w:t>
      </w:r>
      <w:r w:rsidR="00E777DC" w:rsidRPr="001611DC">
        <w:rPr>
          <w:iCs/>
        </w:rPr>
        <w:t>e evaluation considered th</w:t>
      </w:r>
      <w:r w:rsidRPr="001611DC">
        <w:rPr>
          <w:iCs/>
        </w:rPr>
        <w:t>is was reasonable.</w:t>
      </w:r>
      <w:r w:rsidR="008114F5" w:rsidRPr="001611DC">
        <w:rPr>
          <w:iCs/>
        </w:rPr>
        <w:t xml:space="preserve"> The ATAGI Advice to the PBAC stated that using overseas data was </w:t>
      </w:r>
      <w:r w:rsidR="008114F5" w:rsidRPr="001611DC">
        <w:rPr>
          <w:iCs/>
        </w:rPr>
        <w:lastRenderedPageBreak/>
        <w:t>likely reasonable given the lack of Australian-specific data.</w:t>
      </w:r>
      <w:r w:rsidR="001F4410">
        <w:rPr>
          <w:iCs/>
        </w:rPr>
        <w:t xml:space="preserve"> </w:t>
      </w:r>
      <w:r w:rsidRPr="001611DC">
        <w:t xml:space="preserve">The submission also stated that RSV recently became a notifiable disease in Australia, making prior estimates unreliable. The submission conducted a systematic literature review </w:t>
      </w:r>
      <w:r w:rsidR="009D10C1" w:rsidRPr="001611DC">
        <w:t>to identify studies reporting on the</w:t>
      </w:r>
      <w:r w:rsidRPr="001611DC">
        <w:t xml:space="preserve"> burden of RSV in older adults. </w:t>
      </w:r>
      <w:r w:rsidR="009D10C1" w:rsidRPr="001611DC">
        <w:t xml:space="preserve">Based on this, the modelled RSV incidence rate was based on </w:t>
      </w:r>
      <w:r w:rsidRPr="001611DC">
        <w:t>a meta-analysis based on 2 observational studies selected: Korsten et al. 2021, and Narejos Pérez et al. 2023.</w:t>
      </w:r>
      <w:bookmarkEnd w:id="93"/>
    </w:p>
    <w:p w14:paraId="17221005" w14:textId="3E1A5993" w:rsidR="007163D3" w:rsidRPr="001611DC" w:rsidRDefault="002E6F4F">
      <w:pPr>
        <w:pStyle w:val="3-BodyText"/>
        <w:rPr>
          <w:iCs/>
        </w:rPr>
      </w:pPr>
      <w:bookmarkStart w:id="94" w:name="_Ref170152659"/>
      <w:r w:rsidRPr="001611DC">
        <w:t>The submission used a seasonality proportionality factor to model RSV infection distribution over 1 year. The submission noted that the cohorts commenced in the same vaccination month. The submission estimated RSV seasonality using Nazareno et al. 2022</w:t>
      </w:r>
      <w:r w:rsidR="009D10C1" w:rsidRPr="001611DC">
        <w:t>, a</w:t>
      </w:r>
      <w:r w:rsidRPr="001611DC">
        <w:t xml:space="preserve"> retrospective modelling study </w:t>
      </w:r>
      <w:r w:rsidR="009D10C1" w:rsidRPr="001611DC">
        <w:t xml:space="preserve">that </w:t>
      </w:r>
      <w:r w:rsidRPr="001611DC">
        <w:t>used a time series analysis of influenza, and RSV-coded hospitali</w:t>
      </w:r>
      <w:r w:rsidR="008875E4" w:rsidRPr="001611DC">
        <w:t>s</w:t>
      </w:r>
      <w:r w:rsidRPr="001611DC">
        <w:t xml:space="preserve">ations in Australia in children &lt;5 YOA. </w:t>
      </w:r>
      <w:r w:rsidRPr="001611DC">
        <w:rPr>
          <w:iCs/>
        </w:rPr>
        <w:t>The ATAGI Advice to the PBAC noted that seasonality should not differ between children and adults.</w:t>
      </w:r>
      <w:r w:rsidRPr="001611DC">
        <w:t xml:space="preserve"> The submission extracted data from Nazareno et al. 2022, finding a 7-month RSV season starting in March, a peak in June/July, before declining in September. </w:t>
      </w:r>
      <w:bookmarkStart w:id="95" w:name="_Hlk170082454"/>
      <w:r w:rsidRPr="001611DC">
        <w:t xml:space="preserve">The base case modelled March as the vaccination month. </w:t>
      </w:r>
      <w:bookmarkEnd w:id="95"/>
      <w:r w:rsidR="00287C07" w:rsidRPr="001611DC">
        <w:rPr>
          <w:iCs/>
        </w:rPr>
        <w:t xml:space="preserve">The ESC noted this </w:t>
      </w:r>
      <w:bookmarkStart w:id="96" w:name="_Hlk170082468"/>
      <w:r w:rsidR="007163D3" w:rsidRPr="001611DC">
        <w:rPr>
          <w:iCs/>
        </w:rPr>
        <w:t>maximised clinical benefit in the model</w:t>
      </w:r>
      <w:bookmarkEnd w:id="96"/>
      <w:r w:rsidR="007163D3" w:rsidRPr="001611DC">
        <w:rPr>
          <w:iCs/>
        </w:rPr>
        <w:t xml:space="preserve">, </w:t>
      </w:r>
      <w:r w:rsidR="007B6DA8" w:rsidRPr="001611DC">
        <w:rPr>
          <w:iCs/>
        </w:rPr>
        <w:t>and</w:t>
      </w:r>
      <w:r w:rsidR="007163D3" w:rsidRPr="001611DC">
        <w:rPr>
          <w:iCs/>
        </w:rPr>
        <w:t xml:space="preserve"> may not </w:t>
      </w:r>
      <w:r w:rsidR="007B6DA8" w:rsidRPr="001611DC">
        <w:rPr>
          <w:iCs/>
        </w:rPr>
        <w:t>reflect the likely usage in practice.</w:t>
      </w:r>
      <w:r w:rsidR="001F4410">
        <w:rPr>
          <w:iCs/>
        </w:rPr>
        <w:t xml:space="preserve"> </w:t>
      </w:r>
      <w:r w:rsidR="007B6DA8" w:rsidRPr="001611DC">
        <w:rPr>
          <w:iCs/>
        </w:rPr>
        <w:t xml:space="preserve">ATAGI’s statement on the clinical use of RSVPreF3 OA notes that Arexvy is administered as a single dose of 0.5 mL by intramuscular injection and may be given at any time of the year (paragraph </w:t>
      </w:r>
      <w:r w:rsidR="00C36719" w:rsidRPr="001611DC">
        <w:rPr>
          <w:iCs/>
        </w:rPr>
        <w:fldChar w:fldCharType="begin" w:fldLock="1"/>
      </w:r>
      <w:r w:rsidR="00C36719" w:rsidRPr="001611DC">
        <w:rPr>
          <w:iCs/>
        </w:rPr>
        <w:instrText xml:space="preserve"> REF _Ref174371053 \r \h </w:instrText>
      </w:r>
      <w:r w:rsidR="00E11D79" w:rsidRPr="001611DC">
        <w:rPr>
          <w:iCs/>
        </w:rPr>
        <w:instrText xml:space="preserve"> \* MERGEFORMAT </w:instrText>
      </w:r>
      <w:r w:rsidR="00C36719" w:rsidRPr="001611DC">
        <w:rPr>
          <w:iCs/>
        </w:rPr>
      </w:r>
      <w:r w:rsidR="00C36719" w:rsidRPr="001611DC">
        <w:rPr>
          <w:iCs/>
        </w:rPr>
        <w:fldChar w:fldCharType="separate"/>
      </w:r>
      <w:r w:rsidR="00927933" w:rsidRPr="001611DC">
        <w:rPr>
          <w:iCs/>
        </w:rPr>
        <w:t>3.4</w:t>
      </w:r>
      <w:r w:rsidR="00C36719" w:rsidRPr="001611DC">
        <w:rPr>
          <w:iCs/>
        </w:rPr>
        <w:fldChar w:fldCharType="end"/>
      </w:r>
      <w:r w:rsidR="007B6DA8" w:rsidRPr="001611DC">
        <w:rPr>
          <w:iCs/>
        </w:rPr>
        <w:t>).</w:t>
      </w:r>
      <w:r w:rsidR="001F4410">
        <w:rPr>
          <w:iCs/>
        </w:rPr>
        <w:t xml:space="preserve"> </w:t>
      </w:r>
      <w:r w:rsidR="007B6DA8" w:rsidRPr="001611DC">
        <w:rPr>
          <w:iCs/>
        </w:rPr>
        <w:t xml:space="preserve">The ESC </w:t>
      </w:r>
      <w:r w:rsidR="00E03361" w:rsidRPr="001611DC">
        <w:rPr>
          <w:iCs/>
        </w:rPr>
        <w:t xml:space="preserve">noted </w:t>
      </w:r>
      <w:r w:rsidR="007B6DA8" w:rsidRPr="001611DC">
        <w:rPr>
          <w:iCs/>
        </w:rPr>
        <w:t xml:space="preserve">that </w:t>
      </w:r>
      <w:r w:rsidR="007163D3" w:rsidRPr="001611DC">
        <w:rPr>
          <w:iCs/>
        </w:rPr>
        <w:t>RSV seasonality may vary from year to year</w:t>
      </w:r>
      <w:r w:rsidR="007B6DA8" w:rsidRPr="001611DC">
        <w:rPr>
          <w:iCs/>
        </w:rPr>
        <w:t>, and in different parts of Australia</w:t>
      </w:r>
      <w:r w:rsidR="007A186D" w:rsidRPr="001611DC">
        <w:rPr>
          <w:iCs/>
        </w:rPr>
        <w:t>.</w:t>
      </w:r>
      <w:r w:rsidR="001F4410">
        <w:rPr>
          <w:iCs/>
        </w:rPr>
        <w:t xml:space="preserve"> </w:t>
      </w:r>
      <w:r w:rsidR="006679CB" w:rsidRPr="001611DC">
        <w:rPr>
          <w:iCs/>
        </w:rPr>
        <w:t>T</w:t>
      </w:r>
      <w:r w:rsidR="007A186D" w:rsidRPr="001611DC">
        <w:rPr>
          <w:iCs/>
        </w:rPr>
        <w:t xml:space="preserve">he ESC considered that vaccination </w:t>
      </w:r>
      <w:r w:rsidR="00F57280" w:rsidRPr="001611DC">
        <w:rPr>
          <w:iCs/>
        </w:rPr>
        <w:t xml:space="preserve">may not always occur </w:t>
      </w:r>
      <w:r w:rsidR="007A186D" w:rsidRPr="001611DC">
        <w:rPr>
          <w:iCs/>
        </w:rPr>
        <w:t xml:space="preserve">at the optimal time in clinical practice, due to </w:t>
      </w:r>
      <w:r w:rsidR="007163D3" w:rsidRPr="001611DC">
        <w:rPr>
          <w:iCs/>
        </w:rPr>
        <w:t xml:space="preserve">a range of issues, such </w:t>
      </w:r>
      <w:r w:rsidR="004A410C" w:rsidRPr="001611DC">
        <w:rPr>
          <w:iCs/>
        </w:rPr>
        <w:t xml:space="preserve">as </w:t>
      </w:r>
      <w:r w:rsidR="007163D3" w:rsidRPr="001611DC">
        <w:rPr>
          <w:iCs/>
        </w:rPr>
        <w:t>receiving the vaccine at unrelated GP appointments, rather than attending the GP specifically for the purposes of vaccination.</w:t>
      </w:r>
      <w:r w:rsidR="001F4410">
        <w:rPr>
          <w:iCs/>
        </w:rPr>
        <w:t xml:space="preserve"> </w:t>
      </w:r>
      <w:bookmarkEnd w:id="94"/>
    </w:p>
    <w:p w14:paraId="0769A465" w14:textId="5F2286FA" w:rsidR="005C7A39" w:rsidRPr="001611DC" w:rsidRDefault="009A2F69" w:rsidP="007A186D">
      <w:pPr>
        <w:pStyle w:val="3-BodyText"/>
      </w:pPr>
      <w:bookmarkStart w:id="97" w:name="_Ref170152661"/>
      <w:r w:rsidRPr="001611DC">
        <w:t>A</w:t>
      </w:r>
      <w:r w:rsidR="002E6F4F" w:rsidRPr="001611DC">
        <w:t xml:space="preserve"> sensitivity analysis </w:t>
      </w:r>
      <w:r w:rsidR="007B6DA8" w:rsidRPr="001611DC">
        <w:t xml:space="preserve">that modelled </w:t>
      </w:r>
      <w:r w:rsidR="002E6F4F" w:rsidRPr="001611DC">
        <w:t>May as the vaccination month</w:t>
      </w:r>
      <w:r w:rsidR="007B6DA8" w:rsidRPr="001611DC">
        <w:t xml:space="preserve">, instead of March, </w:t>
      </w:r>
      <w:r w:rsidR="002E6F4F" w:rsidRPr="001611DC">
        <w:t xml:space="preserve">is presented in </w:t>
      </w:r>
      <w:r w:rsidR="002E6F4F" w:rsidRPr="001611DC">
        <w:fldChar w:fldCharType="begin" w:fldLock="1"/>
      </w:r>
      <w:r w:rsidR="002E6F4F" w:rsidRPr="001611DC">
        <w:instrText xml:space="preserve"> REF _Ref104804865 \h </w:instrText>
      </w:r>
      <w:r w:rsidR="002E6F4F" w:rsidRPr="001611DC">
        <w:fldChar w:fldCharType="separate"/>
      </w:r>
      <w:r w:rsidR="00927933" w:rsidRPr="001611DC">
        <w:t>Table 24</w:t>
      </w:r>
      <w:r w:rsidR="002E6F4F" w:rsidRPr="001611DC">
        <w:fldChar w:fldCharType="end"/>
      </w:r>
      <w:r w:rsidR="007B6DA8" w:rsidRPr="001611DC">
        <w:t>.</w:t>
      </w:r>
      <w:r w:rsidR="007163D3" w:rsidRPr="001611DC">
        <w:t xml:space="preserve"> </w:t>
      </w:r>
      <w:r w:rsidR="007B6DA8" w:rsidRPr="003C60DD">
        <w:t>The analysis</w:t>
      </w:r>
      <w:r w:rsidR="005C7A39" w:rsidRPr="003C60DD">
        <w:t xml:space="preserve"> show</w:t>
      </w:r>
      <w:r w:rsidR="007B6DA8" w:rsidRPr="003C60DD">
        <w:t>ed</w:t>
      </w:r>
      <w:r w:rsidR="005C7A39" w:rsidRPr="003C60DD">
        <w:t xml:space="preserve"> that </w:t>
      </w:r>
      <w:r w:rsidR="007B6DA8" w:rsidRPr="003C60DD">
        <w:t xml:space="preserve">ICERs were increased for </w:t>
      </w:r>
      <w:r w:rsidR="0093325E" w:rsidRPr="003C60DD">
        <w:t xml:space="preserve">the </w:t>
      </w:r>
      <w:r w:rsidR="00E2719A" w:rsidRPr="003C60DD">
        <w:t>≥</w:t>
      </w:r>
      <w:r w:rsidR="0093325E" w:rsidRPr="003C60DD">
        <w:t xml:space="preserve">60 YOA and </w:t>
      </w:r>
      <w:r w:rsidR="00E2719A" w:rsidRPr="003C60DD">
        <w:t>≥</w:t>
      </w:r>
      <w:r w:rsidR="0093325E" w:rsidRPr="003C60DD">
        <w:t xml:space="preserve">75 YOA groups, </w:t>
      </w:r>
      <w:r w:rsidR="007B6DA8" w:rsidRPr="003C60DD">
        <w:t xml:space="preserve">by 7% and 24% </w:t>
      </w:r>
      <w:r w:rsidR="0093325E" w:rsidRPr="003C60DD">
        <w:t>respectively</w:t>
      </w:r>
      <w:r w:rsidR="007B6DA8" w:rsidRPr="003C60DD">
        <w:t>.</w:t>
      </w:r>
      <w:r w:rsidR="001F4410">
        <w:t xml:space="preserve"> </w:t>
      </w:r>
      <w:r w:rsidR="007B6DA8" w:rsidRPr="001611DC">
        <w:t>T</w:t>
      </w:r>
      <w:r w:rsidR="0093325E" w:rsidRPr="001611DC">
        <w:t>he ESC considered that any move from universal March administration would increase the ICER</w:t>
      </w:r>
      <w:r w:rsidR="007A186D" w:rsidRPr="001611DC">
        <w:t xml:space="preserve">, noting that the </w:t>
      </w:r>
      <w:r w:rsidR="007B6DA8" w:rsidRPr="001611DC">
        <w:t xml:space="preserve">magnitude of the impact </w:t>
      </w:r>
      <w:r w:rsidR="007A186D" w:rsidRPr="001611DC">
        <w:t>reflected the R</w:t>
      </w:r>
      <w:r w:rsidR="007B6DA8" w:rsidRPr="001611DC">
        <w:t>SV seasonality proportionality factor</w:t>
      </w:r>
      <w:r w:rsidR="007A186D" w:rsidRPr="001611DC">
        <w:t>,</w:t>
      </w:r>
      <w:r w:rsidR="007B6DA8" w:rsidRPr="001611DC">
        <w:t xml:space="preserve"> </w:t>
      </w:r>
      <w:r w:rsidR="007A186D" w:rsidRPr="001611DC">
        <w:t xml:space="preserve">derived from </w:t>
      </w:r>
      <w:r w:rsidR="007B6DA8" w:rsidRPr="001611DC">
        <w:t>Nazareno et al. 2022</w:t>
      </w:r>
      <w:r w:rsidR="007A186D" w:rsidRPr="001611DC">
        <w:t>, as described above</w:t>
      </w:r>
      <w:r w:rsidR="007B6DA8" w:rsidRPr="001611DC">
        <w:t>.</w:t>
      </w:r>
      <w:r w:rsidR="001F4410">
        <w:t xml:space="preserve"> </w:t>
      </w:r>
      <w:r w:rsidR="0093325E" w:rsidRPr="001611DC">
        <w:t>Moving administration to May as shown in the sensitivity analysis, ha</w:t>
      </w:r>
      <w:r w:rsidR="007B6DA8" w:rsidRPr="001611DC">
        <w:t>d</w:t>
      </w:r>
      <w:r w:rsidR="0093325E" w:rsidRPr="001611DC">
        <w:t xml:space="preserve"> a modest effect on the ICER, </w:t>
      </w:r>
      <w:r w:rsidR="00504853" w:rsidRPr="001611DC">
        <w:t>based on</w:t>
      </w:r>
      <w:r w:rsidR="005A3958" w:rsidRPr="001611DC">
        <w:t xml:space="preserve"> the modelled vaccine efficacy and waning curve which extrapolated </w:t>
      </w:r>
      <w:r w:rsidR="0093325E" w:rsidRPr="001611DC">
        <w:t>ongoing effectiveness beyond the initial season</w:t>
      </w:r>
      <w:r w:rsidR="005A3958" w:rsidRPr="001611DC">
        <w:t xml:space="preserve"> (see </w:t>
      </w:r>
      <w:r w:rsidR="005A3958" w:rsidRPr="001611DC">
        <w:fldChar w:fldCharType="begin" w:fldLock="1"/>
      </w:r>
      <w:r w:rsidR="005A3958" w:rsidRPr="001611DC">
        <w:instrText xml:space="preserve"> REF _Ref165401804 \h </w:instrText>
      </w:r>
      <w:r w:rsidR="005A3958" w:rsidRPr="001611DC">
        <w:fldChar w:fldCharType="separate"/>
      </w:r>
      <w:r w:rsidR="00927933" w:rsidRPr="001611DC">
        <w:t>Figure 2</w:t>
      </w:r>
      <w:r w:rsidR="005A3958" w:rsidRPr="001611DC">
        <w:fldChar w:fldCharType="end"/>
      </w:r>
      <w:r w:rsidR="005A3958" w:rsidRPr="001611DC">
        <w:t>)</w:t>
      </w:r>
      <w:r w:rsidR="009D10C1" w:rsidRPr="001611DC">
        <w:t>.</w:t>
      </w:r>
      <w:bookmarkEnd w:id="97"/>
    </w:p>
    <w:p w14:paraId="1C451EED" w14:textId="2D10173D" w:rsidR="002E6F4F" w:rsidRPr="001611DC" w:rsidRDefault="002E6F4F">
      <w:pPr>
        <w:pStyle w:val="3-BodyText"/>
        <w:rPr>
          <w:color w:val="0066FF"/>
        </w:rPr>
      </w:pPr>
      <w:bookmarkStart w:id="98" w:name="_Ref172734454"/>
      <w:r w:rsidRPr="001611DC">
        <w:t>The submission applied an under-ascertainment multiplier to RSV incidence, emergency department visits, and hospitalisation rates to account for false negative tests due to inadequate testing methods or sample specimens. The multiplier was based on the Li et al. 2023 meta</w:t>
      </w:r>
      <w:r w:rsidRPr="001611DC">
        <w:noBreakHyphen/>
        <w:t>analysis of hospitalisation burden due to RSV in high</w:t>
      </w:r>
      <w:r w:rsidRPr="001611DC">
        <w:noBreakHyphen/>
        <w:t xml:space="preserve">income countries, which adjusted for case under-ascertainment. </w:t>
      </w:r>
      <w:bookmarkStart w:id="99" w:name="_Hlk165466229"/>
      <w:r w:rsidRPr="001611DC">
        <w:rPr>
          <w:iCs/>
        </w:rPr>
        <w:t>The applicability of the multiplier based on Li et al. 2023 was uncertain given this was estimated for hospitalisation rates rather than incidence rates and was based on international data, which may not be reflective of testing practices in the Australian setting.</w:t>
      </w:r>
      <w:r w:rsidRPr="001611DC">
        <w:t xml:space="preserve"> </w:t>
      </w:r>
      <w:bookmarkEnd w:id="99"/>
      <w:r w:rsidRPr="001611DC">
        <w:t xml:space="preserve">The multiplier published by Li et al. 2023 was estimated to be 2.19 (95%CI: 1.72 – 2.97). RSV incidence increased from 2.61 per 100 persons/year in the </w:t>
      </w:r>
      <w:r w:rsidRPr="001611DC">
        <w:lastRenderedPageBreak/>
        <w:t>unadjusted analysis to 5.72 per 100 persons/year using the multiplier by Li et al. 2023.</w:t>
      </w:r>
      <w:r w:rsidR="001F4410">
        <w:t xml:space="preserve"> </w:t>
      </w:r>
      <w:r w:rsidR="00A1301A" w:rsidRPr="001611DC">
        <w:t>The ESC agreed with the commentary that the multiplier had uncertain applicability as the study was focused on hospitalisation rates rather than incidence rates.</w:t>
      </w:r>
      <w:bookmarkEnd w:id="98"/>
    </w:p>
    <w:p w14:paraId="22C038A0" w14:textId="7E68DE81" w:rsidR="002E6F4F" w:rsidRPr="001611DC" w:rsidRDefault="002E6F4F">
      <w:pPr>
        <w:pStyle w:val="3-BodyText"/>
        <w:rPr>
          <w:color w:val="0066FF"/>
        </w:rPr>
      </w:pPr>
      <w:r w:rsidRPr="001611DC">
        <w:t>The submission noted there was limited surveillance for RSV-associated hospitalisations in Australia. The submission conducted a systematic literature review to source RSV</w:t>
      </w:r>
      <w:r w:rsidRPr="001611DC">
        <w:noBreakHyphen/>
        <w:t xml:space="preserve">associated hospitalisations finding that hospitalisation rates varied widely between meta-analyses and therefore these estimates were not applied in the economic evaluation. </w:t>
      </w:r>
      <w:r w:rsidRPr="001611DC">
        <w:rPr>
          <w:iCs/>
        </w:rPr>
        <w:t>The submission did not justify why hospitalisation rates from the Li et al. 2023 meta-analysis were not applied given this source was used for the under</w:t>
      </w:r>
      <w:r w:rsidRPr="001611DC">
        <w:rPr>
          <w:iCs/>
        </w:rPr>
        <w:noBreakHyphen/>
        <w:t xml:space="preserve">ascertainment multiplier. However, Li et al. 2023 </w:t>
      </w:r>
      <w:r w:rsidR="00C126E2" w:rsidRPr="001611DC">
        <w:rPr>
          <w:iCs/>
        </w:rPr>
        <w:t xml:space="preserve">was a study of adults aged at least 65 years, and as such </w:t>
      </w:r>
      <w:r w:rsidRPr="001611DC">
        <w:rPr>
          <w:iCs/>
        </w:rPr>
        <w:t>did not report hospitalisation rates for those aged 60-64 YOA.</w:t>
      </w:r>
      <w:r w:rsidRPr="001611DC">
        <w:t xml:space="preserve"> </w:t>
      </w:r>
    </w:p>
    <w:p w14:paraId="3DD6956B" w14:textId="2C3B4906" w:rsidR="00922DB8" w:rsidRPr="001611DC" w:rsidRDefault="002E6F4F">
      <w:pPr>
        <w:pStyle w:val="3-BodyText"/>
      </w:pPr>
      <w:r w:rsidRPr="001611DC">
        <w:t>The submission short</w:t>
      </w:r>
      <w:r w:rsidRPr="001611DC">
        <w:noBreakHyphen/>
        <w:t xml:space="preserve">listed 2 studies: Kujawski et al. 2022 and Branche et al. 2021 to source RSV-associated hospitalisations. Both studies were based on US data. </w:t>
      </w:r>
      <w:r w:rsidRPr="001611DC">
        <w:rPr>
          <w:iCs/>
        </w:rPr>
        <w:t>The applicability of these studies to the Australian setting was uncertain given differences in population and testing practices.</w:t>
      </w:r>
      <w:r w:rsidRPr="001611DC">
        <w:t xml:space="preserve"> Based on the testing rates reported in these 2 studies, the submission excluded Kujawski et al. 2022 (testing rate of 19.2%) and applied data from Branche et al. 2021 (testing rate of 93%) to estimate hospitalisation rates in the economic model. </w:t>
      </w:r>
      <w:r w:rsidRPr="001611DC">
        <w:rPr>
          <w:iCs/>
        </w:rPr>
        <w:t xml:space="preserve">The hospitalisation rates were likely overestimated, given Branche et al. 2021 presented data from a densely populated area with different testing practices to the Australian setting. </w:t>
      </w:r>
      <w:r w:rsidR="00634250" w:rsidRPr="001611DC">
        <w:rPr>
          <w:iCs/>
        </w:rPr>
        <w:t>That said, g</w:t>
      </w:r>
      <w:r w:rsidR="008B10FF" w:rsidRPr="001611DC">
        <w:rPr>
          <w:iCs/>
        </w:rPr>
        <w:t>iven other studies such as Li et al. 2023 and Kujawski et al. 2022, did not have the granularity of data for age as provided by Branche et al. 2021</w:t>
      </w:r>
      <w:r w:rsidR="00634250" w:rsidRPr="001611DC">
        <w:rPr>
          <w:iCs/>
        </w:rPr>
        <w:t xml:space="preserve"> and Kujawski et al. 2022 reported a low testing rate these studies may not provide more reasonable estimates of hospitalisation rates</w:t>
      </w:r>
      <w:r w:rsidR="008B10FF" w:rsidRPr="001611DC">
        <w:rPr>
          <w:iCs/>
        </w:rPr>
        <w:t xml:space="preserve">. </w:t>
      </w:r>
      <w:r w:rsidRPr="001611DC">
        <w:t>The ATAGI advice to the PBAC also stated that testing practices for RSV in the US are unlikely to be reflective of testing practices in Australia.</w:t>
      </w:r>
      <w:r w:rsidR="00922DB8" w:rsidRPr="001611DC">
        <w:t xml:space="preserve"> The PSCR stated that Branche et al 2021 was considered the most robust source as it was the only population-based study in which &gt;90 % of approximately 10,000 patients meeting the surveillance case definition were tested, thereby improving the accuracy and stability of reported estimates. The study is considered reasonably representative of the Australian setting, as the proportion of people &gt;65 YOA in the total population is similar between Australia (16%) and New York City (15.5%) in 2020 (AIHW, 2023c; US Census Bureau, 2023). </w:t>
      </w:r>
    </w:p>
    <w:p w14:paraId="51EC72E4" w14:textId="51333B74" w:rsidR="002E6F4F" w:rsidRPr="001611DC" w:rsidRDefault="002E6F4F" w:rsidP="002E6F4F">
      <w:pPr>
        <w:pStyle w:val="3-BodyText"/>
        <w:rPr>
          <w:color w:val="0066FF"/>
        </w:rPr>
      </w:pPr>
      <w:r w:rsidRPr="001611DC">
        <w:rPr>
          <w:rFonts w:cstheme="minorHAnsi"/>
        </w:rPr>
        <w:t xml:space="preserve">Australian Institute of Health and Welfare (AIHW) </w:t>
      </w:r>
      <w:r w:rsidR="0088246B" w:rsidRPr="001611DC">
        <w:rPr>
          <w:rFonts w:cstheme="minorHAnsi"/>
        </w:rPr>
        <w:t xml:space="preserve">hospitalisation </w:t>
      </w:r>
      <w:r w:rsidRPr="001611DC">
        <w:rPr>
          <w:rFonts w:cstheme="minorHAnsi"/>
        </w:rPr>
        <w:t xml:space="preserve">data were presented by the submission </w:t>
      </w:r>
      <w:r w:rsidR="0088246B" w:rsidRPr="001611DC">
        <w:rPr>
          <w:rFonts w:cstheme="minorHAnsi"/>
        </w:rPr>
        <w:t xml:space="preserve">as reported by </w:t>
      </w:r>
      <w:r w:rsidRPr="001611DC">
        <w:rPr>
          <w:rFonts w:cstheme="minorHAnsi"/>
        </w:rPr>
        <w:t>McRae et al. 2023</w:t>
      </w:r>
      <w:r w:rsidRPr="001611DC">
        <w:rPr>
          <w:rFonts w:cstheme="minorHAnsi"/>
          <w:color w:val="000000"/>
        </w:rPr>
        <w:t>. AIHW hospitalisation rates estimated for non</w:t>
      </w:r>
      <w:r w:rsidRPr="001611DC">
        <w:rPr>
          <w:rFonts w:cstheme="minorHAnsi"/>
          <w:color w:val="000000"/>
        </w:rPr>
        <w:noBreakHyphen/>
        <w:t>Indigenous older Australians ranged from 32/100,00 (50-64 YOA) to 330/100,000 (</w:t>
      </w:r>
      <w:r w:rsidR="00E2719A" w:rsidRPr="001611DC">
        <w:rPr>
          <w:rFonts w:cstheme="minorHAnsi"/>
          <w:color w:val="000000"/>
        </w:rPr>
        <w:t>≥</w:t>
      </w:r>
      <w:r w:rsidRPr="001611DC">
        <w:rPr>
          <w:rFonts w:cstheme="minorHAnsi"/>
          <w:color w:val="000000"/>
        </w:rPr>
        <w:t xml:space="preserve">80 YOA) in 2019. </w:t>
      </w:r>
      <w:r w:rsidRPr="001611DC">
        <w:rPr>
          <w:rFonts w:cstheme="minorHAnsi"/>
          <w:iCs/>
          <w:color w:val="000000"/>
        </w:rPr>
        <w:t>The accuracy of this data was uncertain, given the source (a conference presentation) was not peer reviewed.</w:t>
      </w:r>
      <w:r w:rsidRPr="001611DC">
        <w:rPr>
          <w:rFonts w:cstheme="minorHAnsi"/>
          <w:color w:val="000000"/>
        </w:rPr>
        <w:t xml:space="preserve"> The submission argued that the AIHW data showed a substantial increase in hospitalisation rates over time, reflecting an increase in RSV testing, and that testing frequency remained sub-optimal. </w:t>
      </w:r>
      <w:r w:rsidRPr="001611DC">
        <w:rPr>
          <w:rFonts w:cstheme="minorHAnsi"/>
          <w:iCs/>
          <w:color w:val="000000"/>
        </w:rPr>
        <w:t xml:space="preserve">Given these limitations, the submission claimed that AIHW database estimates were unsuitable for economic model application. </w:t>
      </w:r>
      <w:proofErr w:type="gramStart"/>
      <w:r w:rsidRPr="001611DC">
        <w:rPr>
          <w:rFonts w:cstheme="minorHAnsi"/>
          <w:iCs/>
          <w:color w:val="000000"/>
        </w:rPr>
        <w:t>Similar to</w:t>
      </w:r>
      <w:proofErr w:type="gramEnd"/>
      <w:r w:rsidRPr="001611DC">
        <w:rPr>
          <w:rFonts w:cstheme="minorHAnsi"/>
          <w:iCs/>
          <w:color w:val="000000"/>
        </w:rPr>
        <w:t xml:space="preserve"> the base case, an adjustment </w:t>
      </w:r>
      <w:r w:rsidRPr="001611DC">
        <w:rPr>
          <w:rFonts w:cstheme="minorHAnsi"/>
          <w:iCs/>
          <w:color w:val="000000"/>
        </w:rPr>
        <w:lastRenderedPageBreak/>
        <w:t xml:space="preserve">used for under-testing could have been used with AIHW data, however the value of that adjustment factor was not available from the data source. </w:t>
      </w:r>
    </w:p>
    <w:p w14:paraId="77006513" w14:textId="6D4EEEE0" w:rsidR="002E6F4F" w:rsidRPr="001611DC" w:rsidRDefault="002E6F4F" w:rsidP="002E6F4F">
      <w:pPr>
        <w:pStyle w:val="3-BodyText"/>
        <w:rPr>
          <w:color w:val="0066FF"/>
        </w:rPr>
      </w:pPr>
      <w:r w:rsidRPr="001611DC">
        <w:t>The submission used A</w:t>
      </w:r>
      <w:r w:rsidR="0083552E" w:rsidRPr="001611DC">
        <w:t>r</w:t>
      </w:r>
      <w:r w:rsidRPr="001611DC">
        <w:t>eSVi-006 data for VE and to derive peak VE and waning rates against RSV-ARI and RSV-LRTD, as well as vaccine-related Grade 3 AE.</w:t>
      </w:r>
      <w:r w:rsidRPr="001611DC">
        <w:rPr>
          <w:color w:val="0066FF"/>
        </w:rPr>
        <w:t xml:space="preserve"> </w:t>
      </w:r>
      <w:r w:rsidRPr="001611DC">
        <w:rPr>
          <w:rFonts w:cs="Calibri"/>
        </w:rPr>
        <w:t xml:space="preserve">The submission assumed VE was consistent across all age groups, given the observed humoral and cellular immune response in older adults was consistent with younger subgroups in the key trials. </w:t>
      </w:r>
      <w:r w:rsidR="007D2BFB" w:rsidRPr="001611DC">
        <w:rPr>
          <w:rFonts w:cs="Calibri"/>
          <w:iCs/>
        </w:rPr>
        <w:t xml:space="preserve">The evaluation considered this </w:t>
      </w:r>
      <w:r w:rsidRPr="001611DC">
        <w:rPr>
          <w:rFonts w:cs="Calibri"/>
          <w:iCs/>
        </w:rPr>
        <w:t xml:space="preserve">was reasonable </w:t>
      </w:r>
      <w:r w:rsidRPr="001611DC">
        <w:rPr>
          <w:iCs/>
        </w:rPr>
        <w:t xml:space="preserve">and supported by the </w:t>
      </w:r>
      <w:bookmarkStart w:id="100" w:name="_Hlk165809174"/>
      <w:r w:rsidRPr="001611DC">
        <w:rPr>
          <w:iCs/>
        </w:rPr>
        <w:t>ATAGI Post</w:t>
      </w:r>
      <w:r w:rsidRPr="001611DC">
        <w:rPr>
          <w:iCs/>
        </w:rPr>
        <w:noBreakHyphen/>
        <w:t>submission Advice to PBAC</w:t>
      </w:r>
      <w:bookmarkEnd w:id="100"/>
      <w:r w:rsidRPr="001611DC">
        <w:rPr>
          <w:iCs/>
        </w:rPr>
        <w:t xml:space="preserve">. </w:t>
      </w:r>
    </w:p>
    <w:p w14:paraId="737EEE91" w14:textId="2CBD62C5" w:rsidR="000A4FC4" w:rsidRPr="001611DC" w:rsidRDefault="002E6F4F">
      <w:pPr>
        <w:pStyle w:val="3-BodyText"/>
        <w:rPr>
          <w:iCs/>
          <w:color w:val="0066FF"/>
        </w:rPr>
      </w:pPr>
      <w:bookmarkStart w:id="101" w:name="_Ref167218762"/>
      <w:r w:rsidRPr="001611DC">
        <w:t>The submission estimated peak VE and VE waning using regression modelling rather than applying the corresponding VE at each time-point. This was because estimated VE at a particular time point was a function of RSV cases observed according to phase of the RSV season and amount of immune level in the body</w:t>
      </w:r>
      <w:r w:rsidRPr="001611DC">
        <w:rPr>
          <w:iCs/>
        </w:rPr>
        <w:t xml:space="preserve">. </w:t>
      </w:r>
      <w:bookmarkStart w:id="102" w:name="_Hlk166757789"/>
      <w:r w:rsidRPr="001611DC">
        <w:t xml:space="preserve">For example, VE of 67.1% at 18 months did not mean that single 67% VE estimate could be applied consistently from 0 to 18 months in the model. </w:t>
      </w:r>
      <w:bookmarkEnd w:id="102"/>
      <w:r w:rsidR="005627E4" w:rsidRPr="001611DC">
        <w:rPr>
          <w:iCs/>
        </w:rPr>
        <w:t xml:space="preserve">The </w:t>
      </w:r>
      <w:r w:rsidR="005627E4" w:rsidRPr="001611DC">
        <w:t xml:space="preserve">submission </w:t>
      </w:r>
      <w:r w:rsidRPr="001611DC">
        <w:t xml:space="preserve">assumed </w:t>
      </w:r>
      <w:r w:rsidR="005627E4" w:rsidRPr="001611DC">
        <w:t xml:space="preserve">that </w:t>
      </w:r>
      <w:r w:rsidRPr="001611DC">
        <w:t xml:space="preserve">efficacy </w:t>
      </w:r>
      <w:r w:rsidR="005627E4" w:rsidRPr="001611DC">
        <w:t>began</w:t>
      </w:r>
      <w:r w:rsidRPr="001611DC">
        <w:t xml:space="preserve"> 15</w:t>
      </w:r>
      <w:r w:rsidR="00844F2C">
        <w:t> </w:t>
      </w:r>
      <w:r w:rsidRPr="001611DC">
        <w:t xml:space="preserve">days post-vaccination to give sufficient time for immune build-up. </w:t>
      </w:r>
      <w:r w:rsidRPr="001611DC">
        <w:rPr>
          <w:iCs/>
        </w:rPr>
        <w:t>Th</w:t>
      </w:r>
      <w:r w:rsidR="005627E4" w:rsidRPr="001611DC">
        <w:rPr>
          <w:iCs/>
        </w:rPr>
        <w:t>e evaluation considered th</w:t>
      </w:r>
      <w:r w:rsidRPr="001611DC">
        <w:rPr>
          <w:iCs/>
        </w:rPr>
        <w:t>is was uncertain.</w:t>
      </w:r>
      <w:r w:rsidRPr="001611DC">
        <w:t xml:space="preserve"> </w:t>
      </w:r>
      <w:r w:rsidR="00634250" w:rsidRPr="001611DC">
        <w:t>Peak VE was modelled between 15 days to 45 days post-vaccination consistent with the timing of peak immune response in A</w:t>
      </w:r>
      <w:r w:rsidR="0083552E" w:rsidRPr="001611DC">
        <w:t>r</w:t>
      </w:r>
      <w:r w:rsidR="00634250" w:rsidRPr="001611DC">
        <w:t>eSVi-004. T</w:t>
      </w:r>
      <w:r w:rsidRPr="001611DC">
        <w:t>he submission used the midpoint (30 days post-vaccination) for modelling</w:t>
      </w:r>
      <w:r w:rsidR="00634250" w:rsidRPr="001611DC">
        <w:t xml:space="preserve"> purposes.</w:t>
      </w:r>
      <w:r w:rsidRPr="001611DC">
        <w:t xml:space="preserve"> </w:t>
      </w:r>
      <w:bookmarkStart w:id="103" w:name="_Hlk167218737"/>
      <w:r w:rsidRPr="001611DC">
        <w:t xml:space="preserve">The submission </w:t>
      </w:r>
      <w:r w:rsidR="005627E4" w:rsidRPr="001611DC">
        <w:t xml:space="preserve">considered that </w:t>
      </w:r>
      <w:r w:rsidRPr="001611DC">
        <w:t xml:space="preserve">a linear trend in VE was </w:t>
      </w:r>
      <w:r w:rsidR="005627E4" w:rsidRPr="001611DC">
        <w:t xml:space="preserve">appropriate based on the decline in </w:t>
      </w:r>
      <w:r w:rsidRPr="001611DC">
        <w:t>immune response over 12 months post vaccination in A</w:t>
      </w:r>
      <w:r w:rsidR="0083552E" w:rsidRPr="001611DC">
        <w:t>r</w:t>
      </w:r>
      <w:r w:rsidRPr="001611DC">
        <w:t xml:space="preserve">eSVi-004. </w:t>
      </w:r>
      <w:r w:rsidRPr="001611DC">
        <w:rPr>
          <w:iCs/>
        </w:rPr>
        <w:t>Th</w:t>
      </w:r>
      <w:r w:rsidR="005627E4" w:rsidRPr="001611DC">
        <w:rPr>
          <w:iCs/>
        </w:rPr>
        <w:t>e evaluation considered th</w:t>
      </w:r>
      <w:r w:rsidRPr="001611DC">
        <w:rPr>
          <w:iCs/>
        </w:rPr>
        <w:t>is was uncertain. Immunogenicity results from A</w:t>
      </w:r>
      <w:r w:rsidR="0083552E" w:rsidRPr="001611DC">
        <w:rPr>
          <w:iCs/>
        </w:rPr>
        <w:t>r</w:t>
      </w:r>
      <w:r w:rsidRPr="001611DC">
        <w:rPr>
          <w:iCs/>
        </w:rPr>
        <w:t>eSVi-004 show</w:t>
      </w:r>
      <w:r w:rsidR="005627E4" w:rsidRPr="001611DC">
        <w:rPr>
          <w:iCs/>
        </w:rPr>
        <w:t>ed</w:t>
      </w:r>
      <w:r w:rsidRPr="001611DC">
        <w:rPr>
          <w:iCs/>
        </w:rPr>
        <w:t xml:space="preserve"> a sharper decline between months 1 and 6, than in months 6 and 12</w:t>
      </w:r>
      <w:r w:rsidRPr="001611DC">
        <w:t xml:space="preserve">. The submission assumed 50% </w:t>
      </w:r>
      <w:r w:rsidR="005627E4" w:rsidRPr="001611DC">
        <w:t xml:space="preserve">of </w:t>
      </w:r>
      <w:r w:rsidRPr="001611DC">
        <w:t xml:space="preserve">peak VE in the first model cycle to allow for an immune build-up period. </w:t>
      </w:r>
      <w:r w:rsidRPr="001611DC">
        <w:rPr>
          <w:iCs/>
        </w:rPr>
        <w:t>This was not supported by evidence</w:t>
      </w:r>
      <w:r w:rsidR="00634250" w:rsidRPr="001611DC">
        <w:rPr>
          <w:iCs/>
        </w:rPr>
        <w:t xml:space="preserve"> and was</w:t>
      </w:r>
      <w:r w:rsidRPr="001611DC">
        <w:rPr>
          <w:iCs/>
        </w:rPr>
        <w:t xml:space="preserve"> therefore uncertain.</w:t>
      </w:r>
      <w:bookmarkEnd w:id="101"/>
      <w:bookmarkEnd w:id="103"/>
      <w:r w:rsidR="001F4410">
        <w:rPr>
          <w:iCs/>
        </w:rPr>
        <w:t xml:space="preserve"> </w:t>
      </w:r>
      <w:r w:rsidR="000A4FC4" w:rsidRPr="001611DC">
        <w:rPr>
          <w:iCs/>
        </w:rPr>
        <w:t>The PSCR claimed that the submission’s approach was conservative in the first model cycle, and it was assumed that antibody levels would gradually increase to maximum level from the second cycle onwards. The submission applied peak VE in the second model cycle.</w:t>
      </w:r>
    </w:p>
    <w:p w14:paraId="72DA8EED" w14:textId="48DA8D79" w:rsidR="004C3D6F" w:rsidRPr="001611DC" w:rsidRDefault="0090220E" w:rsidP="002E6F4F">
      <w:pPr>
        <w:pStyle w:val="3-BodyText"/>
        <w:rPr>
          <w:color w:val="0066FF"/>
        </w:rPr>
      </w:pPr>
      <w:r w:rsidRPr="001611DC">
        <w:t>The submission estimated peak VE and VE waning using regression modelling rather than applying the corresponding VE at each time-point observed in the clinical trial.</w:t>
      </w:r>
      <w:r w:rsidR="001F4410">
        <w:t xml:space="preserve"> </w:t>
      </w:r>
      <w:r w:rsidR="002E6F4F" w:rsidRPr="001611DC">
        <w:t xml:space="preserve">A graphical representation of peak VE and waning presented by the submission is shown in </w:t>
      </w:r>
      <w:r w:rsidR="002E6F4F" w:rsidRPr="001611DC">
        <w:fldChar w:fldCharType="begin" w:fldLock="1"/>
      </w:r>
      <w:r w:rsidR="002E6F4F" w:rsidRPr="001611DC">
        <w:instrText xml:space="preserve"> REF _Ref165401804 \h </w:instrText>
      </w:r>
      <w:r w:rsidR="002E6F4F" w:rsidRPr="001611DC">
        <w:fldChar w:fldCharType="separate"/>
      </w:r>
      <w:r w:rsidR="00927933" w:rsidRPr="001611DC">
        <w:t>Figure 2</w:t>
      </w:r>
      <w:r w:rsidR="002E6F4F" w:rsidRPr="001611DC">
        <w:fldChar w:fldCharType="end"/>
      </w:r>
      <w:r w:rsidR="002E6F4F" w:rsidRPr="001611DC">
        <w:t>. The analysis predicted that RSVPreF3 OA would have no efficacy against RSV</w:t>
      </w:r>
      <w:r w:rsidR="002E6F4F" w:rsidRPr="001611DC">
        <w:noBreakHyphen/>
        <w:t>LRTD by Month 43 and no efficacy against RSV-ARI by Month 34.</w:t>
      </w:r>
      <w:r w:rsidR="002E6F4F" w:rsidRPr="001611DC">
        <w:rPr>
          <w:iCs/>
        </w:rPr>
        <w:t xml:space="preserve"> </w:t>
      </w:r>
      <w:r w:rsidR="004C3D6F" w:rsidRPr="001611DC">
        <w:rPr>
          <w:iCs/>
        </w:rPr>
        <w:t>Revised e</w:t>
      </w:r>
      <w:r w:rsidR="00A16E61" w:rsidRPr="001611DC">
        <w:rPr>
          <w:iCs/>
        </w:rPr>
        <w:t>s</w:t>
      </w:r>
      <w:r w:rsidR="004C3D6F" w:rsidRPr="001611DC">
        <w:rPr>
          <w:iCs/>
        </w:rPr>
        <w:t xml:space="preserve">timates were provided in the PSCR (see paragraph </w:t>
      </w:r>
      <w:r w:rsidR="004C3D6F" w:rsidRPr="001611DC">
        <w:rPr>
          <w:iCs/>
        </w:rPr>
        <w:fldChar w:fldCharType="begin" w:fldLock="1"/>
      </w:r>
      <w:r w:rsidR="004C3D6F" w:rsidRPr="001611DC">
        <w:rPr>
          <w:iCs/>
        </w:rPr>
        <w:instrText xml:space="preserve"> REF _Ref170152183 \r \h </w:instrText>
      </w:r>
      <w:r w:rsidR="004C3D6F" w:rsidRPr="001611DC">
        <w:rPr>
          <w:iCs/>
        </w:rPr>
      </w:r>
      <w:r w:rsidR="004C3D6F" w:rsidRPr="001611DC">
        <w:rPr>
          <w:iCs/>
        </w:rPr>
        <w:fldChar w:fldCharType="separate"/>
      </w:r>
      <w:r w:rsidR="00927933" w:rsidRPr="001611DC">
        <w:rPr>
          <w:iCs/>
        </w:rPr>
        <w:t>6.84</w:t>
      </w:r>
      <w:r w:rsidR="004C3D6F" w:rsidRPr="001611DC">
        <w:rPr>
          <w:iCs/>
        </w:rPr>
        <w:fldChar w:fldCharType="end"/>
      </w:r>
      <w:r w:rsidR="004C3D6F" w:rsidRPr="001611DC">
        <w:rPr>
          <w:iCs/>
        </w:rPr>
        <w:t>).</w:t>
      </w:r>
    </w:p>
    <w:p w14:paraId="1473A2BB" w14:textId="1B49EC29" w:rsidR="002E6F4F" w:rsidRPr="001611DC" w:rsidRDefault="002E6F4F" w:rsidP="002E6F4F">
      <w:pPr>
        <w:pStyle w:val="TableFigureHeading"/>
      </w:pPr>
      <w:bookmarkStart w:id="104" w:name="_Ref165401804"/>
      <w:r w:rsidRPr="001611DC">
        <w:lastRenderedPageBreak/>
        <w:t xml:space="preserve">Figure </w:t>
      </w:r>
      <w:r w:rsidR="005473CE" w:rsidRPr="001611DC">
        <w:fldChar w:fldCharType="begin" w:fldLock="1"/>
      </w:r>
      <w:r w:rsidR="005473CE" w:rsidRPr="001611DC">
        <w:instrText xml:space="preserve"> SEQ Figure \* ARABIC </w:instrText>
      </w:r>
      <w:r w:rsidR="005473CE" w:rsidRPr="001611DC">
        <w:fldChar w:fldCharType="separate"/>
      </w:r>
      <w:r w:rsidR="00927933" w:rsidRPr="001611DC">
        <w:t>2</w:t>
      </w:r>
      <w:r w:rsidR="005473CE" w:rsidRPr="001611DC">
        <w:fldChar w:fldCharType="end"/>
      </w:r>
      <w:bookmarkEnd w:id="104"/>
      <w:r w:rsidRPr="001611DC">
        <w:t>: Vaccine efficacy and waning for RSV-LRTD and RSV-ARI</w:t>
      </w:r>
    </w:p>
    <w:p w14:paraId="333699DB" w14:textId="77777777" w:rsidR="002E6F4F" w:rsidRPr="001611DC" w:rsidRDefault="002E6F4F" w:rsidP="005D3F95">
      <w:pPr>
        <w:pStyle w:val="In-tableHeading"/>
        <w:jc w:val="both"/>
        <w:rPr>
          <w:lang w:val="en-AU"/>
        </w:rPr>
      </w:pPr>
      <w:r w:rsidRPr="001611DC">
        <w:rPr>
          <w:noProof/>
          <w:lang w:val="en-AU"/>
        </w:rPr>
        <w:drawing>
          <wp:inline distT="0" distB="0" distL="0" distR="0" wp14:anchorId="4F930B01" wp14:editId="1AB8228E">
            <wp:extent cx="5073650" cy="2408015"/>
            <wp:effectExtent l="19050" t="19050" r="12700" b="11430"/>
            <wp:docPr id="677859142" name="Picture 677859142" descr="Figure 2: Vaccine efficacy and waning for RSV-LRTD and RS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59142" name="Picture 677859142" descr="Figure 2: Vaccine efficacy and waning for RSV-LRTD and RSV-ARI"/>
                    <pic:cNvPicPr/>
                  </pic:nvPicPr>
                  <pic:blipFill>
                    <a:blip r:embed="rId9"/>
                    <a:stretch>
                      <a:fillRect/>
                    </a:stretch>
                  </pic:blipFill>
                  <pic:spPr>
                    <a:xfrm>
                      <a:off x="0" y="0"/>
                      <a:ext cx="5079261" cy="2410678"/>
                    </a:xfrm>
                    <a:prstGeom prst="rect">
                      <a:avLst/>
                    </a:prstGeom>
                    <a:ln>
                      <a:solidFill>
                        <a:schemeClr val="tx1">
                          <a:lumMod val="50000"/>
                          <a:lumOff val="50000"/>
                        </a:schemeClr>
                      </a:solidFill>
                    </a:ln>
                  </pic:spPr>
                </pic:pic>
              </a:graphicData>
            </a:graphic>
          </wp:inline>
        </w:drawing>
      </w:r>
    </w:p>
    <w:p w14:paraId="50B929B2" w14:textId="1AFC59E3" w:rsidR="002E6F4F" w:rsidRPr="001611DC" w:rsidRDefault="002E6F4F" w:rsidP="002E6F4F">
      <w:pPr>
        <w:pStyle w:val="FooterTableFigure"/>
      </w:pPr>
      <w:r w:rsidRPr="001611DC">
        <w:t>Source: Figure 3-13 of the submission.</w:t>
      </w:r>
    </w:p>
    <w:p w14:paraId="6A8161E9" w14:textId="77777777" w:rsidR="002E6F4F" w:rsidRPr="001611DC" w:rsidRDefault="002E6F4F" w:rsidP="002E6F4F">
      <w:pPr>
        <w:pStyle w:val="FooterTableFigure"/>
      </w:pPr>
      <w:r w:rsidRPr="001611DC">
        <w:t>ARI = acute respiratory infection; LB = lower bound; LRTD = lower respiratory tract disease; RSV = respiratory syncytial virus; UB = upper bound; VE = vaccine efficacy.</w:t>
      </w:r>
    </w:p>
    <w:p w14:paraId="00961618" w14:textId="146A5BE1" w:rsidR="002E6F4F" w:rsidRPr="001611DC" w:rsidRDefault="002E6F4F" w:rsidP="002E6F4F">
      <w:pPr>
        <w:pStyle w:val="FooterTableFigure"/>
        <w:rPr>
          <w:iCs/>
        </w:rPr>
      </w:pPr>
      <w:bookmarkStart w:id="105" w:name="_Hlk166761756"/>
      <w:r w:rsidRPr="001611DC">
        <w:rPr>
          <w:iCs/>
        </w:rPr>
        <w:t>Month 1 assumes 50% VE.</w:t>
      </w:r>
    </w:p>
    <w:bookmarkStart w:id="106" w:name="_Hlk166930133"/>
    <w:bookmarkEnd w:id="105"/>
    <w:p w14:paraId="18DA4028" w14:textId="447DC407" w:rsidR="002E6F4F" w:rsidRPr="001611DC" w:rsidRDefault="002E6F4F">
      <w:pPr>
        <w:pStyle w:val="3-BodyText"/>
        <w:rPr>
          <w:iCs/>
        </w:rPr>
      </w:pPr>
      <w:r w:rsidRPr="001611DC">
        <w:rPr>
          <w:i/>
          <w:iCs/>
        </w:rPr>
        <w:fldChar w:fldCharType="begin" w:fldLock="1"/>
      </w:r>
      <w:r w:rsidRPr="001611DC">
        <w:rPr>
          <w:i/>
          <w:iCs/>
        </w:rPr>
        <w:instrText xml:space="preserve"> REF _Ref166834870 \h </w:instrText>
      </w:r>
      <w:r w:rsidRPr="001611DC">
        <w:rPr>
          <w:i/>
          <w:iCs/>
        </w:rPr>
      </w:r>
      <w:r w:rsidRPr="001611DC">
        <w:rPr>
          <w:i/>
          <w:iCs/>
        </w:rPr>
        <w:fldChar w:fldCharType="separate"/>
      </w:r>
      <w:r w:rsidR="00927933" w:rsidRPr="001611DC">
        <w:t>Table 15</w:t>
      </w:r>
      <w:r w:rsidRPr="001611DC">
        <w:rPr>
          <w:i/>
          <w:iCs/>
        </w:rPr>
        <w:fldChar w:fldCharType="end"/>
      </w:r>
      <w:r w:rsidRPr="001611DC">
        <w:rPr>
          <w:iCs/>
        </w:rPr>
        <w:t xml:space="preserve"> </w:t>
      </w:r>
      <w:r w:rsidRPr="001611DC">
        <w:t xml:space="preserve">presents a comparison between VE </w:t>
      </w:r>
      <w:r w:rsidR="00634250" w:rsidRPr="001611DC">
        <w:t>in A</w:t>
      </w:r>
      <w:r w:rsidR="0083552E" w:rsidRPr="001611DC">
        <w:t>r</w:t>
      </w:r>
      <w:r w:rsidR="00634250" w:rsidRPr="001611DC">
        <w:t xml:space="preserve">eSVi-006 </w:t>
      </w:r>
      <w:r w:rsidRPr="001611DC">
        <w:t xml:space="preserve">and estimated VE in the model. </w:t>
      </w:r>
      <w:r w:rsidR="00FD5979" w:rsidRPr="001611DC">
        <w:t xml:space="preserve">Peak VE was modelled between 15 days to 45 days. The submission used the midpoint (30 days post-vaccination) for modelling purposes. </w:t>
      </w:r>
      <w:r w:rsidR="007E1387" w:rsidRPr="001611DC">
        <w:t>Using this method, the peak estimates applied in the model for RSV-LRTD and RSV-ARI were higher than the VE results reported in the trial</w:t>
      </w:r>
      <w:r w:rsidR="00FD5979" w:rsidRPr="001611DC">
        <w:t xml:space="preserve"> (between 7 to 18 months).</w:t>
      </w:r>
      <w:r w:rsidR="001F4410">
        <w:t xml:space="preserve"> </w:t>
      </w:r>
      <w:r w:rsidR="00FD5979" w:rsidRPr="001611DC">
        <w:t>As described above, the submission applied a linear trend to estimate VE waning, which generated VE estimates beyond the trial duration.</w:t>
      </w:r>
      <w:r w:rsidR="001F4410">
        <w:rPr>
          <w:iCs/>
        </w:rPr>
        <w:t xml:space="preserve"> </w:t>
      </w:r>
    </w:p>
    <w:p w14:paraId="07DC032C" w14:textId="192F13F9" w:rsidR="002E6F4F" w:rsidRPr="001611DC" w:rsidRDefault="002E6F4F" w:rsidP="002E6F4F">
      <w:pPr>
        <w:pStyle w:val="Caption"/>
      </w:pPr>
      <w:bookmarkStart w:id="107" w:name="_Ref166834870"/>
      <w:bookmarkStart w:id="108" w:name="_Hlk166836714"/>
      <w:bookmarkEnd w:id="106"/>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15</w:t>
      </w:r>
      <w:r w:rsidR="005473CE" w:rsidRPr="001611DC">
        <w:fldChar w:fldCharType="end"/>
      </w:r>
      <w:bookmarkEnd w:id="107"/>
      <w:r w:rsidRPr="001611DC">
        <w:t xml:space="preserve">: </w:t>
      </w:r>
      <w:bookmarkStart w:id="109" w:name="_Hlk166930162"/>
      <w:r w:rsidRPr="001611DC">
        <w:t>Trial-based and modelled vaccine efficacy</w:t>
      </w:r>
    </w:p>
    <w:tbl>
      <w:tblPr>
        <w:tblStyle w:val="TableGrid"/>
        <w:tblW w:w="0" w:type="auto"/>
        <w:tblLook w:val="04A0" w:firstRow="1" w:lastRow="0" w:firstColumn="1" w:lastColumn="0" w:noHBand="0" w:noVBand="1"/>
        <w:tblCaption w:val="Table 15: Trial-based and modelled vaccine efficacy"/>
      </w:tblPr>
      <w:tblGrid>
        <w:gridCol w:w="3005"/>
        <w:gridCol w:w="3006"/>
        <w:gridCol w:w="3006"/>
      </w:tblGrid>
      <w:tr w:rsidR="00881390" w:rsidRPr="001611DC" w14:paraId="0C47ED53" w14:textId="77777777" w:rsidTr="00ED36A0">
        <w:tc>
          <w:tcPr>
            <w:tcW w:w="3005" w:type="dxa"/>
          </w:tcPr>
          <w:p w14:paraId="1E725649" w14:textId="77777777" w:rsidR="002E6F4F" w:rsidRPr="001611DC" w:rsidRDefault="002E6F4F" w:rsidP="00ED36A0">
            <w:pPr>
              <w:pStyle w:val="TableFigureHeading"/>
              <w:jc w:val="center"/>
            </w:pPr>
            <w:r w:rsidRPr="001611DC">
              <w:t>Time point</w:t>
            </w:r>
          </w:p>
        </w:tc>
        <w:tc>
          <w:tcPr>
            <w:tcW w:w="3006" w:type="dxa"/>
          </w:tcPr>
          <w:p w14:paraId="2364FF8E" w14:textId="39571FBA" w:rsidR="002E6F4F" w:rsidRPr="001611DC" w:rsidRDefault="002E6F4F" w:rsidP="00ED36A0">
            <w:pPr>
              <w:pStyle w:val="TableFigureHeading"/>
              <w:jc w:val="center"/>
            </w:pPr>
            <w:r w:rsidRPr="001611DC">
              <w:t>A</w:t>
            </w:r>
            <w:r w:rsidR="0083552E" w:rsidRPr="001611DC">
              <w:t>r</w:t>
            </w:r>
            <w:r w:rsidRPr="001611DC">
              <w:t>eSVi-006</w:t>
            </w:r>
          </w:p>
        </w:tc>
        <w:tc>
          <w:tcPr>
            <w:tcW w:w="3006" w:type="dxa"/>
          </w:tcPr>
          <w:p w14:paraId="74ACC249" w14:textId="77777777" w:rsidR="002E6F4F" w:rsidRPr="001611DC" w:rsidRDefault="002E6F4F" w:rsidP="00ED36A0">
            <w:pPr>
              <w:pStyle w:val="TableFigureHeading"/>
              <w:jc w:val="center"/>
            </w:pPr>
            <w:r w:rsidRPr="001611DC">
              <w:t>Economic model</w:t>
            </w:r>
          </w:p>
        </w:tc>
      </w:tr>
      <w:tr w:rsidR="00881390" w:rsidRPr="001611DC" w14:paraId="3F2FE691" w14:textId="77777777" w:rsidTr="00ED36A0">
        <w:tc>
          <w:tcPr>
            <w:tcW w:w="9017" w:type="dxa"/>
            <w:gridSpan w:val="3"/>
            <w:vAlign w:val="center"/>
          </w:tcPr>
          <w:p w14:paraId="65FB759C" w14:textId="77777777" w:rsidR="002E6F4F" w:rsidRPr="001611DC" w:rsidRDefault="002E6F4F" w:rsidP="00ED36A0">
            <w:pPr>
              <w:pStyle w:val="TableFigureHeading"/>
            </w:pPr>
            <w:r w:rsidRPr="001611DC">
              <w:t>RSV-LRTD</w:t>
            </w:r>
          </w:p>
        </w:tc>
      </w:tr>
      <w:tr w:rsidR="00881390" w:rsidRPr="001611DC" w14:paraId="64D95523" w14:textId="77777777" w:rsidTr="00ED36A0">
        <w:tc>
          <w:tcPr>
            <w:tcW w:w="3005" w:type="dxa"/>
          </w:tcPr>
          <w:p w14:paraId="5AC3C19D" w14:textId="5E65DD8E" w:rsidR="002E6F4F" w:rsidRPr="001611DC" w:rsidRDefault="003410BF" w:rsidP="00ED36A0">
            <w:pPr>
              <w:pStyle w:val="Tabletext"/>
              <w:keepNext/>
            </w:pPr>
            <w:r w:rsidRPr="001611DC">
              <w:t>Peak VE RSV-LRTD</w:t>
            </w:r>
            <w:r w:rsidR="00FD5979" w:rsidRPr="001611DC">
              <w:t xml:space="preserve"> (30 days)</w:t>
            </w:r>
            <w:r w:rsidR="00FD5979" w:rsidRPr="001611DC">
              <w:rPr>
                <w:vertAlign w:val="superscript"/>
              </w:rPr>
              <w:t>b</w:t>
            </w:r>
          </w:p>
        </w:tc>
        <w:tc>
          <w:tcPr>
            <w:tcW w:w="3006" w:type="dxa"/>
          </w:tcPr>
          <w:p w14:paraId="22E78F42" w14:textId="0FEFDC69" w:rsidR="002E6F4F" w:rsidRPr="001611DC" w:rsidRDefault="00FD5979" w:rsidP="00ED36A0">
            <w:pPr>
              <w:pStyle w:val="Tabletext"/>
              <w:keepNext/>
              <w:jc w:val="center"/>
            </w:pPr>
            <w:r w:rsidRPr="001611DC">
              <w:t>n.r.</w:t>
            </w:r>
          </w:p>
        </w:tc>
        <w:tc>
          <w:tcPr>
            <w:tcW w:w="3006" w:type="dxa"/>
          </w:tcPr>
          <w:p w14:paraId="286FAE0C" w14:textId="16A17D4E" w:rsidR="002E6F4F" w:rsidRPr="001611DC" w:rsidRDefault="003410BF" w:rsidP="00FD5979">
            <w:pPr>
              <w:pStyle w:val="Tabletext"/>
              <w:keepNext/>
              <w:jc w:val="center"/>
            </w:pPr>
            <w:r w:rsidRPr="001611DC">
              <w:t>88.02%</w:t>
            </w:r>
          </w:p>
        </w:tc>
      </w:tr>
      <w:tr w:rsidR="003410BF" w:rsidRPr="001611DC" w14:paraId="06715785" w14:textId="77777777" w:rsidTr="00ED36A0">
        <w:tc>
          <w:tcPr>
            <w:tcW w:w="3005" w:type="dxa"/>
          </w:tcPr>
          <w:p w14:paraId="727F9739" w14:textId="2F48D603" w:rsidR="003410BF" w:rsidRPr="001611DC" w:rsidRDefault="003410BF" w:rsidP="003410BF">
            <w:pPr>
              <w:pStyle w:val="Tabletext"/>
              <w:keepNext/>
            </w:pPr>
            <w:r w:rsidRPr="001611DC">
              <w:t>7 months</w:t>
            </w:r>
          </w:p>
        </w:tc>
        <w:tc>
          <w:tcPr>
            <w:tcW w:w="3006" w:type="dxa"/>
          </w:tcPr>
          <w:p w14:paraId="23D94BFC" w14:textId="18470CA8" w:rsidR="003410BF" w:rsidRPr="001611DC" w:rsidRDefault="003410BF" w:rsidP="003410BF">
            <w:pPr>
              <w:pStyle w:val="Tabletext"/>
              <w:keepNext/>
              <w:jc w:val="center"/>
            </w:pPr>
            <w:r w:rsidRPr="001611DC">
              <w:t>82.58%</w:t>
            </w:r>
          </w:p>
        </w:tc>
        <w:tc>
          <w:tcPr>
            <w:tcW w:w="3006" w:type="dxa"/>
          </w:tcPr>
          <w:p w14:paraId="6244DA23" w14:textId="78BD3B28" w:rsidR="003410BF" w:rsidRPr="001611DC" w:rsidRDefault="003410BF" w:rsidP="003410BF">
            <w:pPr>
              <w:pStyle w:val="Tabletext"/>
              <w:keepNext/>
              <w:jc w:val="center"/>
            </w:pPr>
            <w:r w:rsidRPr="001611DC">
              <w:t>75.42%</w:t>
            </w:r>
          </w:p>
        </w:tc>
      </w:tr>
      <w:tr w:rsidR="003410BF" w:rsidRPr="001611DC" w14:paraId="5CDFA7E3" w14:textId="77777777" w:rsidTr="00ED36A0">
        <w:tc>
          <w:tcPr>
            <w:tcW w:w="3005" w:type="dxa"/>
          </w:tcPr>
          <w:p w14:paraId="1BD26005" w14:textId="77777777" w:rsidR="003410BF" w:rsidRPr="001611DC" w:rsidRDefault="003410BF" w:rsidP="003410BF">
            <w:pPr>
              <w:pStyle w:val="Tabletext"/>
              <w:keepNext/>
            </w:pPr>
            <w:r w:rsidRPr="001611DC">
              <w:t>12 months</w:t>
            </w:r>
          </w:p>
        </w:tc>
        <w:tc>
          <w:tcPr>
            <w:tcW w:w="3006" w:type="dxa"/>
          </w:tcPr>
          <w:p w14:paraId="70BA602D" w14:textId="77777777" w:rsidR="003410BF" w:rsidRPr="001611DC" w:rsidRDefault="003410BF" w:rsidP="003410BF">
            <w:pPr>
              <w:pStyle w:val="Tabletext"/>
              <w:keepNext/>
              <w:jc w:val="center"/>
            </w:pPr>
            <w:r w:rsidRPr="001611DC">
              <w:t>78.86%</w:t>
            </w:r>
          </w:p>
        </w:tc>
        <w:tc>
          <w:tcPr>
            <w:tcW w:w="3006" w:type="dxa"/>
          </w:tcPr>
          <w:p w14:paraId="39089FAD" w14:textId="77777777" w:rsidR="003410BF" w:rsidRPr="001611DC" w:rsidRDefault="003410BF" w:rsidP="003410BF">
            <w:pPr>
              <w:pStyle w:val="Tabletext"/>
              <w:keepNext/>
              <w:jc w:val="center"/>
            </w:pPr>
            <w:r w:rsidRPr="001611DC">
              <w:t>64.92%</w:t>
            </w:r>
          </w:p>
        </w:tc>
      </w:tr>
      <w:tr w:rsidR="003410BF" w:rsidRPr="001611DC" w14:paraId="4002C6DE" w14:textId="77777777" w:rsidTr="00ED36A0">
        <w:tc>
          <w:tcPr>
            <w:tcW w:w="3005" w:type="dxa"/>
          </w:tcPr>
          <w:p w14:paraId="7D0016AE" w14:textId="77777777" w:rsidR="003410BF" w:rsidRPr="001611DC" w:rsidRDefault="003410BF" w:rsidP="003410BF">
            <w:pPr>
              <w:pStyle w:val="Tabletext"/>
              <w:keepNext/>
            </w:pPr>
            <w:r w:rsidRPr="001611DC">
              <w:t>18 months</w:t>
            </w:r>
          </w:p>
        </w:tc>
        <w:tc>
          <w:tcPr>
            <w:tcW w:w="3006" w:type="dxa"/>
          </w:tcPr>
          <w:p w14:paraId="0773032E" w14:textId="77777777" w:rsidR="003410BF" w:rsidRPr="001611DC" w:rsidRDefault="003410BF" w:rsidP="003410BF">
            <w:pPr>
              <w:pStyle w:val="Tabletext"/>
              <w:keepNext/>
              <w:jc w:val="center"/>
            </w:pPr>
            <w:r w:rsidRPr="001611DC">
              <w:t>67.18%</w:t>
            </w:r>
            <w:r w:rsidRPr="001611DC">
              <w:rPr>
                <w:vertAlign w:val="superscript"/>
              </w:rPr>
              <w:t xml:space="preserve"> a</w:t>
            </w:r>
          </w:p>
        </w:tc>
        <w:tc>
          <w:tcPr>
            <w:tcW w:w="3006" w:type="dxa"/>
          </w:tcPr>
          <w:p w14:paraId="624DB9D3" w14:textId="77777777" w:rsidR="003410BF" w:rsidRPr="001611DC" w:rsidRDefault="003410BF" w:rsidP="003410BF">
            <w:pPr>
              <w:pStyle w:val="Tabletext"/>
              <w:keepNext/>
              <w:jc w:val="center"/>
            </w:pPr>
            <w:r w:rsidRPr="001611DC">
              <w:t>52.32%</w:t>
            </w:r>
          </w:p>
        </w:tc>
      </w:tr>
      <w:tr w:rsidR="003410BF" w:rsidRPr="001611DC" w14:paraId="58E1496A" w14:textId="77777777" w:rsidTr="00ED36A0">
        <w:tc>
          <w:tcPr>
            <w:tcW w:w="9017" w:type="dxa"/>
            <w:gridSpan w:val="3"/>
          </w:tcPr>
          <w:p w14:paraId="2F084609" w14:textId="77777777" w:rsidR="003410BF" w:rsidRPr="001611DC" w:rsidRDefault="003410BF" w:rsidP="003410BF">
            <w:pPr>
              <w:pStyle w:val="Tabletext"/>
              <w:keepNext/>
            </w:pPr>
            <w:r w:rsidRPr="001611DC">
              <w:rPr>
                <w:b/>
                <w:bCs/>
              </w:rPr>
              <w:t>RSV-ARI</w:t>
            </w:r>
          </w:p>
        </w:tc>
      </w:tr>
      <w:tr w:rsidR="003410BF" w:rsidRPr="001611DC" w14:paraId="06AFFA1F" w14:textId="77777777" w:rsidTr="00ED36A0">
        <w:tc>
          <w:tcPr>
            <w:tcW w:w="3005" w:type="dxa"/>
          </w:tcPr>
          <w:p w14:paraId="4E741B48" w14:textId="04F182DB" w:rsidR="003410BF" w:rsidRPr="001611DC" w:rsidRDefault="003410BF" w:rsidP="003410BF">
            <w:pPr>
              <w:pStyle w:val="Tabletext"/>
              <w:keepNext/>
            </w:pPr>
            <w:r w:rsidRPr="001611DC">
              <w:t>Peak VE RSV-ARI</w:t>
            </w:r>
            <w:r w:rsidR="00FD5979" w:rsidRPr="001611DC">
              <w:t xml:space="preserve"> (30 days)</w:t>
            </w:r>
            <w:r w:rsidR="00FD5979" w:rsidRPr="001611DC">
              <w:rPr>
                <w:vertAlign w:val="superscript"/>
              </w:rPr>
              <w:t>b</w:t>
            </w:r>
          </w:p>
        </w:tc>
        <w:tc>
          <w:tcPr>
            <w:tcW w:w="3006" w:type="dxa"/>
          </w:tcPr>
          <w:p w14:paraId="5747813B" w14:textId="14B3BC0A" w:rsidR="003410BF" w:rsidRPr="001611DC" w:rsidRDefault="00FD5979" w:rsidP="003410BF">
            <w:pPr>
              <w:pStyle w:val="Tabletext"/>
              <w:keepNext/>
              <w:jc w:val="center"/>
            </w:pPr>
            <w:r w:rsidRPr="001611DC">
              <w:t>n.r.</w:t>
            </w:r>
          </w:p>
        </w:tc>
        <w:tc>
          <w:tcPr>
            <w:tcW w:w="3006" w:type="dxa"/>
          </w:tcPr>
          <w:p w14:paraId="6D3599BC" w14:textId="0BBDAC86" w:rsidR="003410BF" w:rsidRPr="001611DC" w:rsidRDefault="003410BF" w:rsidP="00FD5979">
            <w:pPr>
              <w:pStyle w:val="Tabletext"/>
              <w:keepNext/>
              <w:jc w:val="center"/>
            </w:pPr>
            <w:r w:rsidRPr="001611DC">
              <w:t>74.17%</w:t>
            </w:r>
          </w:p>
        </w:tc>
      </w:tr>
      <w:tr w:rsidR="003410BF" w:rsidRPr="001611DC" w14:paraId="73081974" w14:textId="77777777" w:rsidTr="00ED36A0">
        <w:tc>
          <w:tcPr>
            <w:tcW w:w="3005" w:type="dxa"/>
          </w:tcPr>
          <w:p w14:paraId="601BDE30" w14:textId="369C5C8A" w:rsidR="003410BF" w:rsidRPr="001611DC" w:rsidRDefault="003410BF" w:rsidP="003410BF">
            <w:pPr>
              <w:pStyle w:val="Tabletext"/>
              <w:keepNext/>
            </w:pPr>
            <w:r w:rsidRPr="001611DC">
              <w:t>7 months</w:t>
            </w:r>
          </w:p>
        </w:tc>
        <w:tc>
          <w:tcPr>
            <w:tcW w:w="3006" w:type="dxa"/>
          </w:tcPr>
          <w:p w14:paraId="2827BD0B" w14:textId="2796F0FA" w:rsidR="003410BF" w:rsidRPr="001611DC" w:rsidRDefault="003410BF" w:rsidP="003410BF">
            <w:pPr>
              <w:pStyle w:val="Tabletext"/>
              <w:keepNext/>
              <w:jc w:val="center"/>
            </w:pPr>
            <w:r w:rsidRPr="001611DC">
              <w:t>71.71%</w:t>
            </w:r>
          </w:p>
        </w:tc>
        <w:tc>
          <w:tcPr>
            <w:tcW w:w="3006" w:type="dxa"/>
          </w:tcPr>
          <w:p w14:paraId="178C0E2A" w14:textId="64A76E4D" w:rsidR="003410BF" w:rsidRPr="001611DC" w:rsidRDefault="003410BF" w:rsidP="003410BF">
            <w:pPr>
              <w:pStyle w:val="Tabletext"/>
              <w:keepNext/>
              <w:jc w:val="center"/>
            </w:pPr>
            <w:r w:rsidRPr="001611DC">
              <w:t>61.61%</w:t>
            </w:r>
          </w:p>
        </w:tc>
      </w:tr>
      <w:tr w:rsidR="003410BF" w:rsidRPr="001611DC" w14:paraId="464BF6DC" w14:textId="77777777" w:rsidTr="00ED36A0">
        <w:tc>
          <w:tcPr>
            <w:tcW w:w="3005" w:type="dxa"/>
          </w:tcPr>
          <w:p w14:paraId="0B3A392F" w14:textId="77777777" w:rsidR="003410BF" w:rsidRPr="001611DC" w:rsidRDefault="003410BF" w:rsidP="003410BF">
            <w:pPr>
              <w:pStyle w:val="Tabletext"/>
              <w:keepNext/>
            </w:pPr>
            <w:r w:rsidRPr="001611DC">
              <w:t>12 months</w:t>
            </w:r>
          </w:p>
        </w:tc>
        <w:tc>
          <w:tcPr>
            <w:tcW w:w="3006" w:type="dxa"/>
          </w:tcPr>
          <w:p w14:paraId="53B081DC" w14:textId="77777777" w:rsidR="003410BF" w:rsidRPr="001611DC" w:rsidRDefault="003410BF" w:rsidP="003410BF">
            <w:pPr>
              <w:pStyle w:val="Tabletext"/>
              <w:keepNext/>
              <w:jc w:val="center"/>
            </w:pPr>
            <w:r w:rsidRPr="001611DC">
              <w:t>64.20%</w:t>
            </w:r>
          </w:p>
        </w:tc>
        <w:tc>
          <w:tcPr>
            <w:tcW w:w="3006" w:type="dxa"/>
          </w:tcPr>
          <w:p w14:paraId="3572C132" w14:textId="77777777" w:rsidR="003410BF" w:rsidRPr="001611DC" w:rsidRDefault="003410BF" w:rsidP="003410BF">
            <w:pPr>
              <w:pStyle w:val="Tabletext"/>
              <w:keepNext/>
              <w:jc w:val="center"/>
            </w:pPr>
            <w:r w:rsidRPr="001611DC">
              <w:t>49.31%</w:t>
            </w:r>
          </w:p>
        </w:tc>
      </w:tr>
      <w:tr w:rsidR="003410BF" w:rsidRPr="001611DC" w14:paraId="2524A693" w14:textId="77777777" w:rsidTr="00ED36A0">
        <w:tc>
          <w:tcPr>
            <w:tcW w:w="3005" w:type="dxa"/>
          </w:tcPr>
          <w:p w14:paraId="220C7C16" w14:textId="77777777" w:rsidR="003410BF" w:rsidRPr="001611DC" w:rsidRDefault="003410BF" w:rsidP="003410BF">
            <w:pPr>
              <w:pStyle w:val="Tabletext"/>
              <w:keepNext/>
            </w:pPr>
            <w:r w:rsidRPr="001611DC">
              <w:t>18 months</w:t>
            </w:r>
          </w:p>
        </w:tc>
        <w:tc>
          <w:tcPr>
            <w:tcW w:w="3006" w:type="dxa"/>
          </w:tcPr>
          <w:p w14:paraId="54010F4A" w14:textId="77777777" w:rsidR="003410BF" w:rsidRPr="001611DC" w:rsidRDefault="003410BF" w:rsidP="003410BF">
            <w:pPr>
              <w:pStyle w:val="Tabletext"/>
              <w:keepNext/>
              <w:jc w:val="center"/>
              <w:rPr>
                <w:vertAlign w:val="superscript"/>
              </w:rPr>
            </w:pPr>
            <w:r w:rsidRPr="001611DC">
              <w:t xml:space="preserve">52.74% </w:t>
            </w:r>
            <w:r w:rsidRPr="001611DC">
              <w:rPr>
                <w:vertAlign w:val="superscript"/>
              </w:rPr>
              <w:t>a</w:t>
            </w:r>
          </w:p>
        </w:tc>
        <w:tc>
          <w:tcPr>
            <w:tcW w:w="3006" w:type="dxa"/>
          </w:tcPr>
          <w:p w14:paraId="47B465AB" w14:textId="77777777" w:rsidR="003410BF" w:rsidRPr="001611DC" w:rsidRDefault="003410BF" w:rsidP="003410BF">
            <w:pPr>
              <w:pStyle w:val="Tabletext"/>
              <w:keepNext/>
              <w:jc w:val="center"/>
            </w:pPr>
            <w:r w:rsidRPr="001611DC">
              <w:t>35.75%</w:t>
            </w:r>
          </w:p>
        </w:tc>
      </w:tr>
    </w:tbl>
    <w:p w14:paraId="07442F4A" w14:textId="4F528969" w:rsidR="002E6F4F" w:rsidRPr="001611DC" w:rsidRDefault="002E6F4F" w:rsidP="002E6F4F">
      <w:pPr>
        <w:pStyle w:val="FooterTableFigure"/>
      </w:pPr>
      <w:r w:rsidRPr="001611DC">
        <w:t xml:space="preserve">Source: Table 2-25 of the submission; </w:t>
      </w:r>
      <w:r w:rsidR="003410BF" w:rsidRPr="001611DC">
        <w:t xml:space="preserve">Table 3-27 of the submission; </w:t>
      </w:r>
      <w:r w:rsidRPr="001611DC">
        <w:t>attachment ‘RSV OA static model_v16_PBAC_FINAL’ of the submission.</w:t>
      </w:r>
    </w:p>
    <w:p w14:paraId="5DD6DB8F" w14:textId="52C8E2B5" w:rsidR="002E6F4F" w:rsidRPr="001611DC" w:rsidRDefault="002E6F4F" w:rsidP="002E6F4F">
      <w:pPr>
        <w:pStyle w:val="FooterTableFigure"/>
      </w:pPr>
      <w:r w:rsidRPr="001611DC">
        <w:t xml:space="preserve">ARI = acute respiratory infection; LRTD = lower respiratory tract disease; </w:t>
      </w:r>
      <w:r w:rsidR="00FD5979" w:rsidRPr="001611DC">
        <w:t xml:space="preserve">n.r. not reported. </w:t>
      </w:r>
      <w:r w:rsidRPr="001611DC">
        <w:t>RSV = respiratory syncytial virus.</w:t>
      </w:r>
    </w:p>
    <w:p w14:paraId="16B1E733" w14:textId="77777777" w:rsidR="002E6F4F" w:rsidRPr="001611DC" w:rsidRDefault="002E6F4F" w:rsidP="002E6F4F">
      <w:pPr>
        <w:pStyle w:val="FooterTableFigure"/>
      </w:pPr>
      <w:r w:rsidRPr="001611DC">
        <w:rPr>
          <w:vertAlign w:val="superscript"/>
        </w:rPr>
        <w:t>a</w:t>
      </w:r>
      <w:r w:rsidRPr="001611DC">
        <w:t xml:space="preserve"> Single dose.</w:t>
      </w:r>
    </w:p>
    <w:p w14:paraId="3FD3FFDF" w14:textId="7CB0D06E" w:rsidR="007E1387" w:rsidRPr="001611DC" w:rsidRDefault="00FD5979" w:rsidP="002E6F4F">
      <w:pPr>
        <w:pStyle w:val="FooterTableFigure"/>
      </w:pPr>
      <w:r w:rsidRPr="001611DC">
        <w:rPr>
          <w:vertAlign w:val="superscript"/>
        </w:rPr>
        <w:t>b</w:t>
      </w:r>
      <w:r w:rsidRPr="001611DC">
        <w:t xml:space="preserve"> </w:t>
      </w:r>
      <w:r w:rsidR="007E1387" w:rsidRPr="001611DC">
        <w:t>Peak VE was modelled between 15 days to 45 days post-vaccination consistent with the timing of peak immune response in A</w:t>
      </w:r>
      <w:r w:rsidR="0083552E" w:rsidRPr="001611DC">
        <w:t>r</w:t>
      </w:r>
      <w:r w:rsidR="007E1387" w:rsidRPr="001611DC">
        <w:t>eSVi-004. The submission used the midpoint (30 days post-vaccination) for modelling purposes</w:t>
      </w:r>
      <w:r w:rsidRPr="001611DC">
        <w:t>.</w:t>
      </w:r>
    </w:p>
    <w:p w14:paraId="41FF58BC" w14:textId="5B6E76E5" w:rsidR="002E6F4F" w:rsidRPr="001611DC" w:rsidRDefault="002E6F4F">
      <w:pPr>
        <w:pStyle w:val="3-BodyText"/>
      </w:pPr>
      <w:bookmarkStart w:id="110" w:name="_Hlk166930261"/>
      <w:bookmarkEnd w:id="108"/>
      <w:bookmarkEnd w:id="109"/>
      <w:r w:rsidRPr="001611DC">
        <w:rPr>
          <w:iCs/>
        </w:rPr>
        <w:t>Despite the model using lower VE than that observed in the clinical trial</w:t>
      </w:r>
      <w:r w:rsidR="0090220E" w:rsidRPr="001611DC">
        <w:rPr>
          <w:iCs/>
        </w:rPr>
        <w:t xml:space="preserve"> (other than the peak VE applied at 30 days post-vaccination)</w:t>
      </w:r>
      <w:r w:rsidRPr="001611DC">
        <w:rPr>
          <w:iCs/>
        </w:rPr>
        <w:t xml:space="preserve">, </w:t>
      </w:r>
      <w:r w:rsidR="0090220E" w:rsidRPr="001611DC">
        <w:t xml:space="preserve">the estimated </w:t>
      </w:r>
      <w:r w:rsidR="00881390" w:rsidRPr="001611DC">
        <w:t xml:space="preserve">numbers of RSV-LRTD cases avoided in the model </w:t>
      </w:r>
      <w:r w:rsidR="0090220E" w:rsidRPr="001611DC">
        <w:t xml:space="preserve">were higher than </w:t>
      </w:r>
      <w:r w:rsidR="00881390" w:rsidRPr="001611DC">
        <w:t>the trial data, because the model applied literature based incidence rates which were higher than the trial data (see paragraph</w:t>
      </w:r>
      <w:r w:rsidR="00735D88" w:rsidRPr="001611DC">
        <w:t xml:space="preserve"> </w:t>
      </w:r>
      <w:r w:rsidR="00735D88" w:rsidRPr="001611DC">
        <w:lastRenderedPageBreak/>
        <w:fldChar w:fldCharType="begin" w:fldLock="1"/>
      </w:r>
      <w:r w:rsidR="00735D88" w:rsidRPr="001611DC">
        <w:instrText xml:space="preserve"> REF _Ref167211769 \r \h </w:instrText>
      </w:r>
      <w:r w:rsidR="00735D88" w:rsidRPr="001611DC">
        <w:fldChar w:fldCharType="separate"/>
      </w:r>
      <w:r w:rsidR="00927933" w:rsidRPr="001611DC">
        <w:t>6.51</w:t>
      </w:r>
      <w:r w:rsidR="00735D88" w:rsidRPr="001611DC">
        <w:fldChar w:fldCharType="end"/>
      </w:r>
      <w:r w:rsidR="00881390" w:rsidRPr="001611DC">
        <w:t>).</w:t>
      </w:r>
      <w:r w:rsidR="001F4410">
        <w:t xml:space="preserve"> </w:t>
      </w:r>
      <w:r w:rsidR="00881390" w:rsidRPr="001611DC">
        <w:t xml:space="preserve">The evaluation estimated </w:t>
      </w:r>
      <w:r w:rsidRPr="001611DC">
        <w:t xml:space="preserve">18 RSV-LRTD cases </w:t>
      </w:r>
      <w:r w:rsidR="008114F5" w:rsidRPr="001611DC">
        <w:t xml:space="preserve">(17.8 first occurrences and 0.3 reinfections) </w:t>
      </w:r>
      <w:r w:rsidRPr="001611DC">
        <w:t>avoided over 7 months per 1</w:t>
      </w:r>
      <w:r w:rsidR="00881390" w:rsidRPr="001611DC">
        <w:t>,</w:t>
      </w:r>
      <w:r w:rsidRPr="001611DC">
        <w:t>000 persons and 32 per 1</w:t>
      </w:r>
      <w:r w:rsidR="00881390" w:rsidRPr="001611DC">
        <w:t>,</w:t>
      </w:r>
      <w:r w:rsidRPr="001611DC">
        <w:t>000</w:t>
      </w:r>
      <w:r w:rsidR="008114F5" w:rsidRPr="001611DC">
        <w:t xml:space="preserve"> (31 first occurrences and 1 reinfection)</w:t>
      </w:r>
      <w:r w:rsidRPr="001611DC">
        <w:t xml:space="preserve"> over 18 months in the </w:t>
      </w:r>
      <w:r w:rsidR="00E2719A" w:rsidRPr="001611DC">
        <w:rPr>
          <w:rFonts w:cstheme="minorHAnsi"/>
        </w:rPr>
        <w:t>≥</w:t>
      </w:r>
      <w:r w:rsidRPr="001611DC">
        <w:t>60 YOA population compared to 3 and 9</w:t>
      </w:r>
      <w:r w:rsidR="008114F5" w:rsidRPr="001611DC">
        <w:t xml:space="preserve"> first occurrences of RSV-LRTD per 1</w:t>
      </w:r>
      <w:r w:rsidR="00881390" w:rsidRPr="001611DC">
        <w:t>,</w:t>
      </w:r>
      <w:r w:rsidR="008114F5" w:rsidRPr="001611DC">
        <w:t>000 persons</w:t>
      </w:r>
      <w:r w:rsidRPr="001611DC">
        <w:t xml:space="preserve"> from A</w:t>
      </w:r>
      <w:r w:rsidR="0083552E" w:rsidRPr="001611DC">
        <w:t>r</w:t>
      </w:r>
      <w:r w:rsidRPr="001611DC">
        <w:t xml:space="preserve">eSVi-006 calculated from </w:t>
      </w:r>
      <w:r w:rsidRPr="001611DC">
        <w:fldChar w:fldCharType="begin" w:fldLock="1"/>
      </w:r>
      <w:r w:rsidRPr="001611DC">
        <w:instrText xml:space="preserve"> REF _Ref165828332 \h  \* MERGEFORMAT </w:instrText>
      </w:r>
      <w:r w:rsidRPr="001611DC">
        <w:fldChar w:fldCharType="separate"/>
      </w:r>
      <w:r w:rsidR="00927933" w:rsidRPr="001611DC">
        <w:t>Table 13</w:t>
      </w:r>
      <w:r w:rsidRPr="001611DC">
        <w:fldChar w:fldCharType="end"/>
      </w:r>
      <w:r w:rsidRPr="001611DC">
        <w:t xml:space="preserve">. </w:t>
      </w:r>
    </w:p>
    <w:bookmarkEnd w:id="110"/>
    <w:p w14:paraId="7BFBE987" w14:textId="19ACADC1" w:rsidR="002E6F4F" w:rsidRPr="001611DC" w:rsidRDefault="002E6F4F" w:rsidP="002E6F4F">
      <w:pPr>
        <w:pStyle w:val="3-BodyText"/>
      </w:pPr>
      <w:r w:rsidRPr="001611DC">
        <w:t>The submission claimed that A</w:t>
      </w:r>
      <w:r w:rsidR="0083552E" w:rsidRPr="001611DC">
        <w:t>r</w:t>
      </w:r>
      <w:r w:rsidRPr="001611DC">
        <w:t>eSVi-006 EQ-5D quality of life data was unable to inform utility weight calculations due to insufficient data points spent in RSV-LRTD and RSV</w:t>
      </w:r>
      <w:r w:rsidRPr="001611DC">
        <w:noBreakHyphen/>
        <w:t xml:space="preserve">URTD. </w:t>
      </w:r>
      <w:r w:rsidRPr="001611DC">
        <w:rPr>
          <w:iCs/>
        </w:rPr>
        <w:t>Th</w:t>
      </w:r>
      <w:r w:rsidR="0090220E" w:rsidRPr="001611DC">
        <w:rPr>
          <w:iCs/>
        </w:rPr>
        <w:t>e evaluation considered th</w:t>
      </w:r>
      <w:r w:rsidRPr="001611DC">
        <w:rPr>
          <w:iCs/>
        </w:rPr>
        <w:t xml:space="preserve">is was reasonable. </w:t>
      </w:r>
      <w:r w:rsidRPr="001611DC">
        <w:t xml:space="preserve">The submission sourced baseline utilities from McCaffrey et al. 2016, which provided an EQ-5D-5L data set from South Australia. </w:t>
      </w:r>
      <w:r w:rsidRPr="001611DC">
        <w:rPr>
          <w:iCs/>
        </w:rPr>
        <w:t xml:space="preserve">McCaffrey et al. 2016 estimated utilities using a UK algorithm. Updated utilities using an </w:t>
      </w:r>
      <w:r w:rsidR="001144F0" w:rsidRPr="001611DC">
        <w:rPr>
          <w:iCs/>
        </w:rPr>
        <w:t>A</w:t>
      </w:r>
      <w:r w:rsidRPr="001611DC">
        <w:rPr>
          <w:iCs/>
        </w:rPr>
        <w:t>ustralian algorithm have been recently published.</w:t>
      </w:r>
      <w:r w:rsidRPr="001611DC">
        <w:rPr>
          <w:rStyle w:val="FootnoteReference"/>
          <w:iCs/>
        </w:rPr>
        <w:footnoteReference w:id="12"/>
      </w:r>
      <w:r w:rsidRPr="001611DC">
        <w:rPr>
          <w:iCs/>
        </w:rPr>
        <w:t xml:space="preserve"> The model was not sensitive to these values. </w:t>
      </w:r>
      <w:r w:rsidRPr="001611DC">
        <w:t>The submission used a commissioned TTO study based in the US to source RSV-LRTD and RSV</w:t>
      </w:r>
      <w:r w:rsidRPr="001611DC">
        <w:noBreakHyphen/>
        <w:t xml:space="preserve">URTD utility decrements. </w:t>
      </w:r>
      <w:r w:rsidRPr="001611DC">
        <w:rPr>
          <w:iCs/>
        </w:rPr>
        <w:t xml:space="preserve">The utility estimates were uncertain given 21.2% of the sample was </w:t>
      </w:r>
      <w:r w:rsidR="00E2719A" w:rsidRPr="001611DC">
        <w:rPr>
          <w:iCs/>
        </w:rPr>
        <w:t>≥</w:t>
      </w:r>
      <w:r w:rsidRPr="001611DC">
        <w:rPr>
          <w:iCs/>
        </w:rPr>
        <w:t>60 YOA and it was unclear how many experienced RSV-ARI.</w:t>
      </w:r>
    </w:p>
    <w:p w14:paraId="0A3AD9F4" w14:textId="37555096" w:rsidR="002E6F4F" w:rsidRPr="001611DC" w:rsidRDefault="002E6F4F" w:rsidP="002E6F4F">
      <w:pPr>
        <w:pStyle w:val="3-BodyText"/>
        <w:rPr>
          <w:iCs/>
        </w:rPr>
      </w:pPr>
      <w:bookmarkStart w:id="111" w:name="_Ref170152300"/>
      <w:r w:rsidRPr="001611DC">
        <w:t xml:space="preserve">The submission assumed vaccine administration would incur no additional costs. The ESC </w:t>
      </w:r>
      <w:bookmarkStart w:id="112" w:name="_Hlk165402059"/>
      <w:r w:rsidRPr="001611DC">
        <w:t xml:space="preserve">has previously suggested a cost for vaccine administration noting </w:t>
      </w:r>
      <w:bookmarkEnd w:id="112"/>
      <w:r w:rsidRPr="001611DC">
        <w:t xml:space="preserve">‘it was unreasonable to assume no additional cost for administering the vaccine, noting the time taken to record information and marginal increases in consultation times’ (paragraph 6.37, diphtheria, tetanus, &amp; acellular pertussis (DTPA) injection </w:t>
      </w:r>
      <w:r w:rsidR="00963D92" w:rsidRPr="00E3503D">
        <w:rPr>
          <w:iCs/>
        </w:rPr>
        <w:t>Public Summary Document</w:t>
      </w:r>
      <w:r w:rsidR="00E3503D">
        <w:rPr>
          <w:iCs/>
        </w:rPr>
        <w:t xml:space="preserve"> (PSD)</w:t>
      </w:r>
      <w:r w:rsidRPr="001611DC">
        <w:t>, July 2016 PBAC meeting).</w:t>
      </w:r>
      <w:r w:rsidRPr="001611DC">
        <w:rPr>
          <w:iCs/>
        </w:rPr>
        <w:t xml:space="preserve"> </w:t>
      </w:r>
      <w:r w:rsidRPr="001611DC">
        <w:t xml:space="preserve">A sensitivity analysis considering administration costs ($9.50) conducted by the submission is presented in </w:t>
      </w:r>
      <w:r w:rsidRPr="001611DC">
        <w:fldChar w:fldCharType="begin" w:fldLock="1"/>
      </w:r>
      <w:r w:rsidRPr="001611DC">
        <w:instrText xml:space="preserve"> REF _Ref104804865 \h </w:instrText>
      </w:r>
      <w:r w:rsidRPr="001611DC">
        <w:fldChar w:fldCharType="separate"/>
      </w:r>
      <w:r w:rsidR="00927933" w:rsidRPr="001611DC">
        <w:t>Table 24</w:t>
      </w:r>
      <w:r w:rsidRPr="001611DC">
        <w:fldChar w:fldCharType="end"/>
      </w:r>
      <w:r w:rsidRPr="001611DC">
        <w:rPr>
          <w:iCs/>
        </w:rPr>
        <w:t>.</w:t>
      </w:r>
      <w:r w:rsidR="001F4410">
        <w:rPr>
          <w:iCs/>
        </w:rPr>
        <w:t xml:space="preserve"> </w:t>
      </w:r>
      <w:r w:rsidR="00CF2594" w:rsidRPr="001611DC">
        <w:rPr>
          <w:iCs/>
        </w:rPr>
        <w:t xml:space="preserve">The ESC noted that the impact of adding administration costs was </w:t>
      </w:r>
      <w:bookmarkStart w:id="113" w:name="_Hlk170082682"/>
      <w:r w:rsidR="00CF2594" w:rsidRPr="001611DC">
        <w:rPr>
          <w:iCs/>
        </w:rPr>
        <w:t>modest; however agreed with the evaluation that it was appropriate to include a cost for vaccine administration.</w:t>
      </w:r>
      <w:bookmarkEnd w:id="111"/>
    </w:p>
    <w:p w14:paraId="32C5010F" w14:textId="53C48112" w:rsidR="00725455" w:rsidRPr="001611DC" w:rsidRDefault="00725455">
      <w:pPr>
        <w:pStyle w:val="3-BodyText"/>
        <w:rPr>
          <w:iCs/>
        </w:rPr>
      </w:pPr>
      <w:r w:rsidRPr="001611DC">
        <w:rPr>
          <w:iCs/>
        </w:rPr>
        <w:t>The pre-PBAC response proposed a consultation fee for administration of the vaccine (MBS Item 3: $18.95), and suggested this be applied for approximately one third of cases corresponding to a fee of $6.32.</w:t>
      </w:r>
    </w:p>
    <w:p w14:paraId="7E8DF521" w14:textId="12FF0938" w:rsidR="00DE684B" w:rsidRPr="001611DC" w:rsidRDefault="002E6F4F">
      <w:pPr>
        <w:pStyle w:val="3-BodyText"/>
      </w:pPr>
      <w:bookmarkStart w:id="114" w:name="_Hlk165466413"/>
      <w:bookmarkStart w:id="115" w:name="_Ref166748144"/>
      <w:bookmarkStart w:id="116" w:name="_Ref170080588"/>
      <w:bookmarkEnd w:id="113"/>
      <w:r w:rsidRPr="001611DC">
        <w:rPr>
          <w:rFonts w:eastAsiaTheme="majorEastAsia"/>
        </w:rPr>
        <w:t xml:space="preserve">The submission stated that it estimated </w:t>
      </w:r>
      <w:bookmarkEnd w:id="114"/>
      <w:r w:rsidRPr="001611DC">
        <w:rPr>
          <w:rFonts w:eastAsiaTheme="majorEastAsia"/>
        </w:rPr>
        <w:t>the cost per hospital day using the National Efficient Price (NEP), average length of stay (LOS) of 4.1 days and average cost weight of 1.3, weighted by the number of separations of Australian Refined Diagnosis Related Groups (AR-DRGs) codes E62A and E62B (respiratory infections and inflammations, minor and major complexity). The submission noted it sourced these values from</w:t>
      </w:r>
      <w:r w:rsidRPr="001611DC">
        <w:t xml:space="preserve"> ‘</w:t>
      </w:r>
      <w:r w:rsidRPr="001611DC">
        <w:rPr>
          <w:rFonts w:eastAsiaTheme="majorEastAsia"/>
        </w:rPr>
        <w:t>Appendix H of the IHACPA National Efficient Price Determination 2023</w:t>
      </w:r>
      <w:r w:rsidRPr="001611DC">
        <w:rPr>
          <w:rFonts w:eastAsiaTheme="majorEastAsia"/>
        </w:rPr>
        <w:noBreakHyphen/>
        <w:t xml:space="preserve">24’. </w:t>
      </w:r>
      <w:r w:rsidRPr="001611DC">
        <w:rPr>
          <w:rFonts w:eastAsiaTheme="majorEastAsia"/>
          <w:iCs/>
        </w:rPr>
        <w:t xml:space="preserve">The values used by the submission were not consistent with the 2023-24 NEP Determination. The values used by the submission for cost weights, separations, and LOS </w:t>
      </w:r>
      <w:r w:rsidR="00DE684B" w:rsidRPr="001611DC">
        <w:rPr>
          <w:rFonts w:eastAsiaTheme="majorEastAsia"/>
          <w:iCs/>
        </w:rPr>
        <w:t>correspond to</w:t>
      </w:r>
      <w:r w:rsidRPr="001611DC">
        <w:rPr>
          <w:rFonts w:eastAsiaTheme="majorEastAsia"/>
          <w:iCs/>
        </w:rPr>
        <w:t xml:space="preserve"> the 2019-20 National Hospital Cost Data Collection (NHCDC) Public Sector report.</w:t>
      </w:r>
      <w:r w:rsidRPr="001611DC">
        <w:rPr>
          <w:rStyle w:val="FootnoteReference"/>
          <w:rFonts w:eastAsiaTheme="majorEastAsia"/>
          <w:iCs/>
        </w:rPr>
        <w:footnoteReference w:id="13"/>
      </w:r>
      <w:r w:rsidRPr="001611DC">
        <w:rPr>
          <w:rFonts w:eastAsiaTheme="majorEastAsia"/>
          <w:iCs/>
        </w:rPr>
        <w:t xml:space="preserve"> </w:t>
      </w:r>
      <w:r w:rsidRPr="001611DC">
        <w:lastRenderedPageBreak/>
        <w:t xml:space="preserve">The submission used external data on the mean LOS for RSV-related hospitalisations by age sourced from McRae et al. 2023 to derive the total cost of an admission. </w:t>
      </w:r>
      <w:r w:rsidR="00965CD6" w:rsidRPr="001611DC">
        <w:t>The evaluation noted that</w:t>
      </w:r>
      <w:r w:rsidR="00965CD6" w:rsidRPr="001611DC">
        <w:rPr>
          <w:iCs/>
        </w:rPr>
        <w:t xml:space="preserve"> given </w:t>
      </w:r>
      <w:r w:rsidRPr="001611DC">
        <w:rPr>
          <w:iCs/>
        </w:rPr>
        <w:t>the NHCDC cost weights have been estimated for the national average LOS, adjusting the cost of hospitalisation for LOS may have overestimated costs.</w:t>
      </w:r>
      <w:bookmarkEnd w:id="115"/>
      <w:r w:rsidRPr="001611DC">
        <w:rPr>
          <w:iCs/>
        </w:rPr>
        <w:t xml:space="preserve"> </w:t>
      </w:r>
      <w:r w:rsidR="00922DB8" w:rsidRPr="001611DC">
        <w:rPr>
          <w:iCs/>
        </w:rPr>
        <w:t>The PSCR stated that applying the average AR-DRG cost weight would under-represent the clinical complexity and associated resource use of RSV</w:t>
      </w:r>
      <w:r w:rsidR="00922DB8" w:rsidRPr="001611DC">
        <w:rPr>
          <w:iCs/>
        </w:rPr>
        <w:noBreakHyphen/>
        <w:t>related respiratory infection hospitalisation in older adults. The PSCR defended the submission’s approach stating patients hospitalised with RSV disease are more likely to be treated with supplemental oxygen, mechanical ventilation, or ICU admission than Influenza or COVID-19 (Surie et al., 2023</w:t>
      </w:r>
      <w:r w:rsidR="00857BD4" w:rsidRPr="001611DC">
        <w:rPr>
          <w:rStyle w:val="FootnoteReference"/>
          <w:iCs/>
        </w:rPr>
        <w:footnoteReference w:id="14"/>
      </w:r>
      <w:r w:rsidR="00922DB8" w:rsidRPr="001611DC">
        <w:rPr>
          <w:iCs/>
        </w:rPr>
        <w:t>, 2024</w:t>
      </w:r>
      <w:r w:rsidR="00857BD4" w:rsidRPr="001611DC">
        <w:rPr>
          <w:rStyle w:val="FootnoteReference"/>
          <w:iCs/>
        </w:rPr>
        <w:footnoteReference w:id="15"/>
      </w:r>
      <w:r w:rsidR="00922DB8" w:rsidRPr="001611DC">
        <w:rPr>
          <w:iCs/>
        </w:rPr>
        <w:t>.</w:t>
      </w:r>
      <w:r w:rsidR="001F4410">
        <w:rPr>
          <w:iCs/>
        </w:rPr>
        <w:t xml:space="preserve"> </w:t>
      </w:r>
      <w:r w:rsidR="00435668" w:rsidRPr="001611DC">
        <w:rPr>
          <w:iCs/>
        </w:rPr>
        <w:t>However, t</w:t>
      </w:r>
      <w:r w:rsidR="00965CD6" w:rsidRPr="001611DC">
        <w:rPr>
          <w:iCs/>
        </w:rPr>
        <w:t>he ESC agreed with the commentary that the method applied by the submission had overstated the cost, because it inappropriately scaled up costs proportional to LoS</w:t>
      </w:r>
      <w:r w:rsidR="0083099B" w:rsidRPr="001611DC">
        <w:rPr>
          <w:iCs/>
        </w:rPr>
        <w:t xml:space="preserve">, which did not account for front-ended costs </w:t>
      </w:r>
      <w:r w:rsidR="00965CD6" w:rsidRPr="001611DC">
        <w:rPr>
          <w:iCs/>
        </w:rPr>
        <w:t xml:space="preserve">that occurred within the </w:t>
      </w:r>
      <w:r w:rsidR="0083099B" w:rsidRPr="001611DC">
        <w:rPr>
          <w:iCs/>
        </w:rPr>
        <w:t xml:space="preserve">early part of the </w:t>
      </w:r>
      <w:r w:rsidR="00965CD6" w:rsidRPr="001611DC">
        <w:rPr>
          <w:iCs/>
        </w:rPr>
        <w:t>admission</w:t>
      </w:r>
      <w:r w:rsidR="0083099B" w:rsidRPr="001611DC">
        <w:rPr>
          <w:iCs/>
        </w:rPr>
        <w:t>, regardless of L</w:t>
      </w:r>
      <w:r w:rsidR="00EB1E98" w:rsidRPr="001611DC">
        <w:rPr>
          <w:iCs/>
        </w:rPr>
        <w:t>O</w:t>
      </w:r>
      <w:r w:rsidR="0083099B" w:rsidRPr="001611DC">
        <w:rPr>
          <w:iCs/>
        </w:rPr>
        <w:t>S.</w:t>
      </w:r>
      <w:r w:rsidR="001F4410">
        <w:rPr>
          <w:iCs/>
        </w:rPr>
        <w:t xml:space="preserve"> </w:t>
      </w:r>
      <w:r w:rsidR="0083099B" w:rsidRPr="001611DC">
        <w:rPr>
          <w:iCs/>
        </w:rPr>
        <w:t>The ESC noted that the adjustment applied by the submission more than doubled the cost inputs for hospitalisation and had a major impact on the ICER</w:t>
      </w:r>
      <w:r w:rsidR="006667D3" w:rsidRPr="001611DC">
        <w:rPr>
          <w:iCs/>
        </w:rPr>
        <w:t>, and noted that the PSCR provided revised inputs (</w:t>
      </w:r>
      <w:r w:rsidR="006667D3" w:rsidRPr="001611DC">
        <w:rPr>
          <w:iCs/>
        </w:rPr>
        <w:fldChar w:fldCharType="begin" w:fldLock="1"/>
      </w:r>
      <w:r w:rsidR="006667D3" w:rsidRPr="001611DC">
        <w:rPr>
          <w:iCs/>
        </w:rPr>
        <w:instrText xml:space="preserve"> REF _Ref170072588 \h </w:instrText>
      </w:r>
      <w:r w:rsidR="0050118E" w:rsidRPr="001611DC">
        <w:rPr>
          <w:iCs/>
        </w:rPr>
        <w:instrText xml:space="preserve"> \* MERGEFORMAT </w:instrText>
      </w:r>
      <w:r w:rsidR="006667D3" w:rsidRPr="001611DC">
        <w:rPr>
          <w:iCs/>
        </w:rPr>
      </w:r>
      <w:r w:rsidR="006667D3" w:rsidRPr="001611DC">
        <w:rPr>
          <w:iCs/>
        </w:rPr>
        <w:fldChar w:fldCharType="separate"/>
      </w:r>
      <w:r w:rsidR="00927933" w:rsidRPr="001611DC">
        <w:rPr>
          <w:iCs/>
        </w:rPr>
        <w:t>Table 16</w:t>
      </w:r>
      <w:r w:rsidR="006667D3" w:rsidRPr="001611DC">
        <w:rPr>
          <w:iCs/>
        </w:rPr>
        <w:fldChar w:fldCharType="end"/>
      </w:r>
      <w:r w:rsidR="006667D3" w:rsidRPr="001611DC">
        <w:rPr>
          <w:iCs/>
        </w:rPr>
        <w:t>)</w:t>
      </w:r>
      <w:r w:rsidR="0083099B" w:rsidRPr="001611DC">
        <w:rPr>
          <w:iCs/>
        </w:rPr>
        <w:t>.</w:t>
      </w:r>
      <w:bookmarkEnd w:id="116"/>
      <w:r w:rsidR="00DE684B" w:rsidRPr="001611DC">
        <w:rPr>
          <w:iCs/>
        </w:rPr>
        <w:t xml:space="preserve"> The pre-PBAC response maintained that it was appropriate to adjust the estimated costs for hospitalisation</w:t>
      </w:r>
      <w:r w:rsidR="00C43EFF" w:rsidRPr="001611DC">
        <w:rPr>
          <w:iCs/>
        </w:rPr>
        <w:t xml:space="preserve"> and proposed new inputs which it considered were conservative </w:t>
      </w:r>
      <w:r w:rsidR="00C43EFF" w:rsidRPr="001611DC">
        <w:t>(60-74 / ≥75 YOA = $</w:t>
      </w:r>
      <w:r w:rsidR="00BD3549" w:rsidRPr="00101F19">
        <w:rPr>
          <w:color w:val="000000"/>
          <w:w w:val="15"/>
          <w:shd w:val="solid" w:color="000000" w:fill="000000"/>
          <w:fitText w:val="-20" w:id="-893677565"/>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7565"/>
          <w14:textFill>
            <w14:solidFill>
              <w14:srgbClr w14:val="000000">
                <w14:alpha w14:val="100000"/>
              </w14:srgbClr>
            </w14:solidFill>
          </w14:textFill>
        </w:rPr>
        <w:t>|</w:t>
      </w:r>
      <w:r w:rsidR="00C43EFF" w:rsidRPr="001611DC">
        <w:t xml:space="preserve"> / $</w:t>
      </w:r>
      <w:r w:rsidR="00BD3549" w:rsidRPr="00101F19">
        <w:rPr>
          <w:color w:val="000000"/>
          <w:w w:val="15"/>
          <w:shd w:val="solid" w:color="000000" w:fill="000000"/>
          <w:fitText w:val="-20" w:id="-893677564"/>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7564"/>
          <w14:textFill>
            <w14:solidFill>
              <w14:srgbClr w14:val="000000">
                <w14:alpha w14:val="100000"/>
              </w14:srgbClr>
            </w14:solidFill>
          </w14:textFill>
        </w:rPr>
        <w:t>|</w:t>
      </w:r>
      <w:r w:rsidR="00C43EFF" w:rsidRPr="001611DC">
        <w:t>)</w:t>
      </w:r>
      <w:r w:rsidR="00DE684B" w:rsidRPr="001611DC">
        <w:rPr>
          <w:iCs/>
        </w:rPr>
        <w:t>.</w:t>
      </w:r>
      <w:r w:rsidR="001F4410">
        <w:rPr>
          <w:iCs/>
        </w:rPr>
        <w:t xml:space="preserve"> </w:t>
      </w:r>
      <w:r w:rsidR="00DE684B" w:rsidRPr="001611DC">
        <w:rPr>
          <w:iCs/>
        </w:rPr>
        <w:t xml:space="preserve">It was stated that </w:t>
      </w:r>
      <w:r w:rsidR="00DE684B" w:rsidRPr="001611DC">
        <w:t xml:space="preserve">there was insufficient RSV reporting within patient hospital records to reliably inform AR-DRG classifications, </w:t>
      </w:r>
      <w:r w:rsidR="00C43EFF" w:rsidRPr="001611DC">
        <w:t xml:space="preserve">to </w:t>
      </w:r>
      <w:r w:rsidR="00DE684B" w:rsidRPr="001611DC">
        <w:t>represent LOS, healthcare resource use (ICU admission, MV) or complications associated with the hospitalisation.</w:t>
      </w:r>
    </w:p>
    <w:p w14:paraId="30864265" w14:textId="4DB1BB52" w:rsidR="002E6F4F" w:rsidRPr="001611DC" w:rsidRDefault="002E6F4F" w:rsidP="002E6F4F">
      <w:pPr>
        <w:pStyle w:val="3-BodyText"/>
      </w:pPr>
      <w:bookmarkStart w:id="117" w:name="_Ref165816717"/>
      <w:r w:rsidRPr="001611DC">
        <w:rPr>
          <w:rFonts w:eastAsiaTheme="majorEastAsia"/>
        </w:rPr>
        <w:t xml:space="preserve">The submission stated for ICU-eligible episodes, an ICU adjustment needed to be calculated separately using the estimated ICU cost per hour and the reported number of whole ICU hours. </w:t>
      </w:r>
      <w:bookmarkStart w:id="118" w:name="_Hlk165466470"/>
      <w:r w:rsidRPr="001611DC">
        <w:rPr>
          <w:rFonts w:eastAsiaTheme="majorEastAsia"/>
          <w:iCs/>
        </w:rPr>
        <w:t xml:space="preserve">The submission did not adequately justify the application of a cost adjustment for ICU that is higher than represented in the NHCDC report. Further, the cost weights applied in the model, </w:t>
      </w:r>
      <w:r w:rsidR="00633068" w:rsidRPr="001611DC">
        <w:rPr>
          <w:rFonts w:eastAsiaTheme="majorEastAsia"/>
          <w:iCs/>
        </w:rPr>
        <w:t xml:space="preserve">had </w:t>
      </w:r>
      <w:r w:rsidRPr="001611DC">
        <w:rPr>
          <w:rFonts w:eastAsiaTheme="majorEastAsia"/>
          <w:iCs/>
        </w:rPr>
        <w:t xml:space="preserve">already been adjusted for ICU admissions, </w:t>
      </w:r>
      <w:bookmarkEnd w:id="118"/>
      <w:r w:rsidRPr="001611DC">
        <w:rPr>
          <w:rFonts w:eastAsiaTheme="majorEastAsia"/>
          <w:iCs/>
        </w:rPr>
        <w:t>thus applying an adjustment to observed cost weights double</w:t>
      </w:r>
      <w:r w:rsidR="00633068" w:rsidRPr="001611DC">
        <w:rPr>
          <w:rFonts w:eastAsiaTheme="majorEastAsia"/>
          <w:iCs/>
        </w:rPr>
        <w:noBreakHyphen/>
      </w:r>
      <w:r w:rsidRPr="001611DC">
        <w:rPr>
          <w:rFonts w:eastAsiaTheme="majorEastAsia"/>
          <w:iCs/>
        </w:rPr>
        <w:t>counted ICU costs.</w:t>
      </w:r>
      <w:bookmarkEnd w:id="117"/>
      <w:r w:rsidRPr="001611DC">
        <w:rPr>
          <w:rFonts w:eastAsiaTheme="majorEastAsia"/>
          <w:iCs/>
        </w:rPr>
        <w:t xml:space="preserve"> </w:t>
      </w:r>
    </w:p>
    <w:p w14:paraId="29ADEDB1" w14:textId="2A73C804" w:rsidR="002E6F4F" w:rsidRPr="001611DC" w:rsidRDefault="002E6F4F" w:rsidP="00FA4583">
      <w:pPr>
        <w:pStyle w:val="3-BodyText"/>
        <w:rPr>
          <w:iCs/>
        </w:rPr>
      </w:pPr>
      <w:bookmarkStart w:id="119" w:name="_Ref166748159"/>
      <w:r w:rsidRPr="001611DC">
        <w:rPr>
          <w:rFonts w:eastAsiaTheme="majorEastAsia"/>
        </w:rPr>
        <w:t>The submission noted that a proportion of RSV-ICU patients would require mechanical ventilation (MV). The submission also noted that no costing information about MV was provided by the Independent Health and Aged Care Pricing Authority.</w:t>
      </w:r>
      <w:r w:rsidRPr="001611DC">
        <w:rPr>
          <w:rFonts w:eastAsiaTheme="majorEastAsia"/>
          <w:iCs/>
        </w:rPr>
        <w:t xml:space="preserve"> The ‘National Pricing Model Technical Specifications 2023-24’ report included ICUs of ‘hospitals that report more than 24,000 ICU hours and have more than 20 per cent of those hours reported with the use of mechanical ventilation’; thus cost weights </w:t>
      </w:r>
      <w:r w:rsidRPr="001611DC">
        <w:rPr>
          <w:rFonts w:eastAsiaTheme="majorEastAsia"/>
          <w:iCs/>
        </w:rPr>
        <w:lastRenderedPageBreak/>
        <w:t xml:space="preserve">incorporating ICU use (as described at paragraph </w:t>
      </w:r>
      <w:r w:rsidRPr="001611DC">
        <w:rPr>
          <w:rFonts w:eastAsiaTheme="majorEastAsia"/>
          <w:iCs/>
        </w:rPr>
        <w:fldChar w:fldCharType="begin" w:fldLock="1"/>
      </w:r>
      <w:r w:rsidRPr="001611DC">
        <w:rPr>
          <w:rFonts w:eastAsiaTheme="majorEastAsia"/>
          <w:iCs/>
        </w:rPr>
        <w:instrText xml:space="preserve"> REF _Ref165816717 \r \h </w:instrText>
      </w:r>
      <w:r w:rsidRPr="001611DC">
        <w:rPr>
          <w:rFonts w:eastAsiaTheme="majorEastAsia"/>
          <w:iCs/>
        </w:rPr>
      </w:r>
      <w:r w:rsidRPr="001611DC">
        <w:rPr>
          <w:rFonts w:eastAsiaTheme="majorEastAsia"/>
          <w:iCs/>
        </w:rPr>
        <w:fldChar w:fldCharType="separate"/>
      </w:r>
      <w:r w:rsidR="00927933" w:rsidRPr="001611DC">
        <w:rPr>
          <w:rFonts w:eastAsiaTheme="majorEastAsia"/>
          <w:iCs/>
        </w:rPr>
        <w:t>6.67</w:t>
      </w:r>
      <w:r w:rsidRPr="001611DC">
        <w:rPr>
          <w:rFonts w:eastAsiaTheme="majorEastAsia"/>
          <w:iCs/>
        </w:rPr>
        <w:fldChar w:fldCharType="end"/>
      </w:r>
      <w:r w:rsidRPr="001611DC">
        <w:rPr>
          <w:rFonts w:eastAsiaTheme="majorEastAsia"/>
          <w:iCs/>
        </w:rPr>
        <w:t xml:space="preserve">) already reflect MV costs. A sensitivity analysis using observed cost weights from the NHCDC 2019-20 with no adjustments applied for ICU, ICU with MV or LOS is presented in </w:t>
      </w:r>
      <w:r w:rsidRPr="001611DC">
        <w:rPr>
          <w:rFonts w:eastAsiaTheme="majorEastAsia"/>
          <w:iCs/>
        </w:rPr>
        <w:fldChar w:fldCharType="begin" w:fldLock="1"/>
      </w:r>
      <w:r w:rsidRPr="001611DC">
        <w:rPr>
          <w:rFonts w:eastAsiaTheme="majorEastAsia"/>
          <w:iCs/>
        </w:rPr>
        <w:instrText xml:space="preserve"> REF _Ref104804865 \h  \* MERGEFORMAT </w:instrText>
      </w:r>
      <w:r w:rsidRPr="001611DC">
        <w:rPr>
          <w:rFonts w:eastAsiaTheme="majorEastAsia"/>
          <w:iCs/>
        </w:rPr>
      </w:r>
      <w:r w:rsidRPr="001611DC">
        <w:rPr>
          <w:rFonts w:eastAsiaTheme="majorEastAsia"/>
          <w:iCs/>
        </w:rPr>
        <w:fldChar w:fldCharType="separate"/>
      </w:r>
      <w:r w:rsidR="00927933" w:rsidRPr="001611DC">
        <w:rPr>
          <w:iCs/>
        </w:rPr>
        <w:t>Table 24</w:t>
      </w:r>
      <w:r w:rsidRPr="001611DC">
        <w:rPr>
          <w:rFonts w:eastAsiaTheme="majorEastAsia"/>
          <w:iCs/>
        </w:rPr>
        <w:fldChar w:fldCharType="end"/>
      </w:r>
      <w:r w:rsidRPr="001611DC">
        <w:rPr>
          <w:rFonts w:eastAsiaTheme="majorEastAsia"/>
          <w:iCs/>
        </w:rPr>
        <w:t>.</w:t>
      </w:r>
      <w:bookmarkEnd w:id="119"/>
    </w:p>
    <w:p w14:paraId="3E7549FF" w14:textId="545A3A7C" w:rsidR="009444F4" w:rsidRPr="001611DC" w:rsidRDefault="006667D3">
      <w:pPr>
        <w:pStyle w:val="3-BodyText"/>
      </w:pPr>
      <w:bookmarkStart w:id="120" w:name="_Ref170152241"/>
      <w:r w:rsidRPr="001611DC">
        <w:t>Hospitalisation costs were updated in the PSCR to reflect the current national efficient price and length of stay for AR-DRG codes E62A and E62B.</w:t>
      </w:r>
      <w:r w:rsidR="001F4410">
        <w:t xml:space="preserve"> </w:t>
      </w:r>
      <w:r w:rsidR="00435668" w:rsidRPr="001611DC">
        <w:t xml:space="preserve">The PSCR </w:t>
      </w:r>
      <w:r w:rsidR="009C2295" w:rsidRPr="001611DC">
        <w:t xml:space="preserve">also </w:t>
      </w:r>
      <w:r w:rsidR="00435668" w:rsidRPr="001611DC">
        <w:t>presented two scenarios with alternative RSV-associated hospitalisation costs (</w:t>
      </w:r>
      <w:r w:rsidR="000C10A9" w:rsidRPr="001611DC">
        <w:t xml:space="preserve">Scenario-A and Scenario-B, </w:t>
      </w:r>
      <w:r w:rsidR="00435668" w:rsidRPr="001611DC">
        <w:fldChar w:fldCharType="begin" w:fldLock="1"/>
      </w:r>
      <w:r w:rsidR="00435668" w:rsidRPr="001611DC">
        <w:instrText xml:space="preserve"> REF _Ref170072588 \h  \* MERGEFORMAT </w:instrText>
      </w:r>
      <w:r w:rsidR="00435668" w:rsidRPr="001611DC">
        <w:fldChar w:fldCharType="separate"/>
      </w:r>
      <w:r w:rsidR="00927933" w:rsidRPr="001611DC">
        <w:t>Table 16</w:t>
      </w:r>
      <w:r w:rsidR="00435668" w:rsidRPr="001611DC">
        <w:fldChar w:fldCharType="end"/>
      </w:r>
      <w:r w:rsidR="00435668" w:rsidRPr="001611DC">
        <w:t>).</w:t>
      </w:r>
      <w:r w:rsidR="001F4410">
        <w:t xml:space="preserve"> </w:t>
      </w:r>
      <w:r w:rsidR="000C10A9" w:rsidRPr="001611DC">
        <w:t>Scenario B was adjusted based on a study by Falsey et al., 2005, which reported that RSV infections accounted for 10.6% of hospitalisations for pneumonia, 11.4% for COPD, 5.4% for CHF and 7.2% for asthma.</w:t>
      </w:r>
      <w:r w:rsidR="001F4410">
        <w:t xml:space="preserve"> </w:t>
      </w:r>
      <w:r w:rsidR="00404A11" w:rsidRPr="001611DC">
        <w:t>The ESC considered that applicability of Falsey et al. 2005 to the Australian setting was uncertain</w:t>
      </w:r>
      <w:r w:rsidR="00547BC4" w:rsidRPr="001611DC">
        <w:t>, noting the study was conducted in New York over four consecutive winters, from late 1999 through early 2003</w:t>
      </w:r>
      <w:r w:rsidR="00404A11" w:rsidRPr="001611DC">
        <w:t>. Hospitalisation costs accounting for complications were similar</w:t>
      </w:r>
      <w:r w:rsidR="00916F70" w:rsidRPr="001611DC">
        <w:t xml:space="preserve"> in both scenarios.</w:t>
      </w:r>
      <w:r w:rsidR="001F4410">
        <w:t xml:space="preserve"> </w:t>
      </w:r>
      <w:r w:rsidR="009444F4" w:rsidRPr="001611DC">
        <w:t xml:space="preserve">The ESC noted that NHCDC cost weights already account for more severe cases and LOS, and </w:t>
      </w:r>
      <w:r w:rsidR="00916F70" w:rsidRPr="001611DC">
        <w:t xml:space="preserve">therefore </w:t>
      </w:r>
      <w:r w:rsidR="009444F4" w:rsidRPr="001611DC">
        <w:t xml:space="preserve">may be a more reasonable estimate for the base case hospitalisation costs. Applying 2020-21 NHCDC cost weights to the 2024 </w:t>
      </w:r>
      <w:r w:rsidR="00FC2B7C" w:rsidRPr="001611DC">
        <w:t xml:space="preserve">national efficient price </w:t>
      </w:r>
      <w:r w:rsidR="009444F4" w:rsidRPr="001611DC">
        <w:t>yielded hospitalisation costs of $</w:t>
      </w:r>
      <w:r w:rsidR="00BD3549" w:rsidRPr="00101F19">
        <w:rPr>
          <w:color w:val="000000"/>
          <w:w w:val="15"/>
          <w:shd w:val="solid" w:color="000000" w:fill="000000"/>
          <w:fitText w:val="-20" w:id="-893677563"/>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7563"/>
          <w14:textFill>
            <w14:solidFill>
              <w14:srgbClr w14:val="000000">
                <w14:alpha w14:val="100000"/>
              </w14:srgbClr>
            </w14:solidFill>
          </w14:textFill>
        </w:rPr>
        <w:t>|</w:t>
      </w:r>
      <w:r w:rsidR="00916F70" w:rsidRPr="00917B9B">
        <w:rPr>
          <w:rStyle w:val="FootnoteReference"/>
        </w:rPr>
        <w:footnoteReference w:id="16"/>
      </w:r>
      <w:r w:rsidR="009444F4" w:rsidRPr="00917B9B">
        <w:t>,</w:t>
      </w:r>
      <w:r w:rsidR="009444F4" w:rsidRPr="001611DC">
        <w:t xml:space="preserve"> lower than all estimates in the PSCR (</w:t>
      </w:r>
      <w:r w:rsidR="009444F4" w:rsidRPr="001611DC">
        <w:fldChar w:fldCharType="begin" w:fldLock="1"/>
      </w:r>
      <w:r w:rsidR="009444F4" w:rsidRPr="001611DC">
        <w:instrText xml:space="preserve"> REF _Ref170072588 \h  \* MERGEFORMAT </w:instrText>
      </w:r>
      <w:r w:rsidR="009444F4" w:rsidRPr="001611DC">
        <w:fldChar w:fldCharType="separate"/>
      </w:r>
      <w:r w:rsidR="00927933" w:rsidRPr="001611DC">
        <w:t>Table 16</w:t>
      </w:r>
      <w:r w:rsidR="009444F4" w:rsidRPr="001611DC">
        <w:fldChar w:fldCharType="end"/>
      </w:r>
      <w:r w:rsidR="00916F70" w:rsidRPr="001611DC">
        <w:t>).</w:t>
      </w:r>
      <w:r w:rsidR="009444F4" w:rsidRPr="001611DC">
        <w:t xml:space="preserve"> </w:t>
      </w:r>
      <w:bookmarkEnd w:id="120"/>
    </w:p>
    <w:p w14:paraId="7A2F7AD5" w14:textId="7E1ADAC0" w:rsidR="00435668" w:rsidRPr="001611DC" w:rsidRDefault="00435668" w:rsidP="008F7E57">
      <w:pPr>
        <w:pStyle w:val="TableFigureHeading"/>
        <w:keepLines/>
        <w:jc w:val="both"/>
        <w:rPr>
          <w:rFonts w:eastAsia="Times New Roman"/>
        </w:rPr>
      </w:pPr>
      <w:bookmarkStart w:id="121" w:name="_Ref170072588"/>
      <w:r w:rsidRPr="001611DC">
        <w:t xml:space="preserve">Table </w:t>
      </w:r>
      <w:r w:rsidR="00D247DD" w:rsidRPr="001611DC">
        <w:fldChar w:fldCharType="begin" w:fldLock="1"/>
      </w:r>
      <w:r w:rsidR="00D247DD" w:rsidRPr="001611DC">
        <w:instrText xml:space="preserve"> SEQ Table \* ARABIC </w:instrText>
      </w:r>
      <w:r w:rsidR="00D247DD" w:rsidRPr="001611DC">
        <w:fldChar w:fldCharType="separate"/>
      </w:r>
      <w:r w:rsidR="00927933" w:rsidRPr="001611DC">
        <w:t>16</w:t>
      </w:r>
      <w:r w:rsidR="00D247DD" w:rsidRPr="001611DC">
        <w:fldChar w:fldCharType="end"/>
      </w:r>
      <w:bookmarkEnd w:id="121"/>
      <w:r w:rsidRPr="001611DC">
        <w:t>:</w:t>
      </w:r>
      <w:r w:rsidRPr="001611DC">
        <w:rPr>
          <w:rStyle w:val="CommentReference"/>
          <w:b/>
          <w:szCs w:val="24"/>
        </w:rPr>
        <w:t xml:space="preserve"> RSV-associated hospitalisation costs</w:t>
      </w:r>
    </w:p>
    <w:tbl>
      <w:tblPr>
        <w:tblStyle w:val="TableGrid"/>
        <w:tblW w:w="0" w:type="auto"/>
        <w:tblLook w:val="04A0" w:firstRow="1" w:lastRow="0" w:firstColumn="1" w:lastColumn="0" w:noHBand="0" w:noVBand="1"/>
        <w:tblCaption w:val="Table 16: RSV-associated hospitalisation costs"/>
      </w:tblPr>
      <w:tblGrid>
        <w:gridCol w:w="1037"/>
        <w:gridCol w:w="3143"/>
        <w:gridCol w:w="1032"/>
        <w:gridCol w:w="1756"/>
        <w:gridCol w:w="2049"/>
      </w:tblGrid>
      <w:tr w:rsidR="000C10A9" w:rsidRPr="001611DC" w14:paraId="14A3C9B7" w14:textId="77777777">
        <w:tc>
          <w:tcPr>
            <w:tcW w:w="0" w:type="auto"/>
          </w:tcPr>
          <w:p w14:paraId="4FF0021A" w14:textId="77777777" w:rsidR="000C10A9" w:rsidRPr="001611DC" w:rsidRDefault="000C10A9" w:rsidP="008F7E57">
            <w:pPr>
              <w:pStyle w:val="Tabletext"/>
              <w:keepNext/>
              <w:keepLines/>
              <w:jc w:val="both"/>
              <w:rPr>
                <w:b/>
                <w:bCs/>
              </w:rPr>
            </w:pPr>
          </w:p>
        </w:tc>
        <w:tc>
          <w:tcPr>
            <w:tcW w:w="0" w:type="auto"/>
          </w:tcPr>
          <w:p w14:paraId="458D7636" w14:textId="5034A706" w:rsidR="000C10A9" w:rsidRPr="001611DC" w:rsidRDefault="000C10A9" w:rsidP="008F7E57">
            <w:pPr>
              <w:pStyle w:val="Tabletext"/>
              <w:keepNext/>
              <w:keepLines/>
              <w:jc w:val="both"/>
              <w:rPr>
                <w:b/>
                <w:bCs/>
              </w:rPr>
            </w:pPr>
            <w:r w:rsidRPr="001611DC">
              <w:rPr>
                <w:b/>
                <w:bCs/>
              </w:rPr>
              <w:t>Submission</w:t>
            </w:r>
          </w:p>
        </w:tc>
        <w:tc>
          <w:tcPr>
            <w:tcW w:w="0" w:type="auto"/>
          </w:tcPr>
          <w:p w14:paraId="5EFCDC7E" w14:textId="7DAFB3A8" w:rsidR="000C10A9" w:rsidRPr="001611DC" w:rsidRDefault="000C10A9" w:rsidP="008F7E57">
            <w:pPr>
              <w:pStyle w:val="Tabletext"/>
              <w:keepNext/>
              <w:keepLines/>
              <w:jc w:val="both"/>
              <w:rPr>
                <w:b/>
                <w:bCs/>
              </w:rPr>
            </w:pPr>
            <w:r w:rsidRPr="001611DC">
              <w:rPr>
                <w:b/>
                <w:bCs/>
              </w:rPr>
              <w:t>PSCR</w:t>
            </w:r>
          </w:p>
        </w:tc>
        <w:tc>
          <w:tcPr>
            <w:tcW w:w="0" w:type="auto"/>
          </w:tcPr>
          <w:p w14:paraId="22FC6200" w14:textId="26968E4E" w:rsidR="000C10A9" w:rsidRPr="001611DC" w:rsidRDefault="000C10A9" w:rsidP="008F7E57">
            <w:pPr>
              <w:pStyle w:val="Tabletext"/>
              <w:keepNext/>
              <w:keepLines/>
              <w:jc w:val="both"/>
              <w:rPr>
                <w:b/>
                <w:bCs/>
              </w:rPr>
            </w:pPr>
            <w:r w:rsidRPr="001611DC">
              <w:rPr>
                <w:b/>
                <w:bCs/>
              </w:rPr>
              <w:t>PSCR Scenario analysis-A</w:t>
            </w:r>
          </w:p>
        </w:tc>
        <w:tc>
          <w:tcPr>
            <w:tcW w:w="0" w:type="auto"/>
          </w:tcPr>
          <w:p w14:paraId="25A3B6AD" w14:textId="11997307" w:rsidR="000C10A9" w:rsidRPr="001611DC" w:rsidRDefault="000C10A9" w:rsidP="008F7E57">
            <w:pPr>
              <w:pStyle w:val="Tabletext"/>
              <w:keepNext/>
              <w:keepLines/>
              <w:jc w:val="both"/>
              <w:rPr>
                <w:b/>
                <w:bCs/>
              </w:rPr>
            </w:pPr>
            <w:r w:rsidRPr="001611DC">
              <w:rPr>
                <w:b/>
                <w:bCs/>
              </w:rPr>
              <w:t>PSCR Scenario analysis-B</w:t>
            </w:r>
          </w:p>
        </w:tc>
      </w:tr>
      <w:tr w:rsidR="000C10A9" w:rsidRPr="001611DC" w14:paraId="5911E9F3" w14:textId="77777777" w:rsidTr="00435668">
        <w:tc>
          <w:tcPr>
            <w:tcW w:w="0" w:type="auto"/>
          </w:tcPr>
          <w:p w14:paraId="6A7E342A" w14:textId="77777777" w:rsidR="00435668" w:rsidRPr="001611DC" w:rsidRDefault="00435668" w:rsidP="008F7E57">
            <w:pPr>
              <w:pStyle w:val="Tabletext"/>
              <w:keepNext/>
              <w:keepLines/>
              <w:jc w:val="both"/>
              <w:rPr>
                <w:rFonts w:eastAsia="Yu Gothic Light"/>
              </w:rPr>
            </w:pPr>
            <w:r w:rsidRPr="001611DC">
              <w:rPr>
                <w:rFonts w:eastAsia="Yu Gothic Light"/>
              </w:rPr>
              <w:t>Scenario</w:t>
            </w:r>
          </w:p>
        </w:tc>
        <w:tc>
          <w:tcPr>
            <w:tcW w:w="0" w:type="auto"/>
          </w:tcPr>
          <w:p w14:paraId="06A4226D" w14:textId="77777777" w:rsidR="00435668" w:rsidRPr="001611DC" w:rsidRDefault="00435668" w:rsidP="008F7E57">
            <w:pPr>
              <w:pStyle w:val="Tabletext"/>
              <w:keepNext/>
              <w:keepLines/>
              <w:jc w:val="both"/>
              <w:rPr>
                <w:rFonts w:eastAsia="Yu Gothic Light"/>
              </w:rPr>
            </w:pPr>
            <w:r w:rsidRPr="001611DC">
              <w:rPr>
                <w:rFonts w:eastAsia="Yu Gothic Light"/>
              </w:rPr>
              <w:t>NEP: 2023, NHCDC cost weights &amp; separations: 2019-20</w:t>
            </w:r>
          </w:p>
        </w:tc>
        <w:tc>
          <w:tcPr>
            <w:tcW w:w="0" w:type="auto"/>
            <w:gridSpan w:val="3"/>
          </w:tcPr>
          <w:p w14:paraId="61C96A0A" w14:textId="77777777" w:rsidR="00435668" w:rsidRPr="001611DC" w:rsidRDefault="00435668" w:rsidP="008F7E57">
            <w:pPr>
              <w:pStyle w:val="Tabletext"/>
              <w:keepNext/>
              <w:keepLines/>
              <w:jc w:val="both"/>
              <w:rPr>
                <w:rFonts w:eastAsia="Yu Gothic Light"/>
              </w:rPr>
            </w:pPr>
            <w:r w:rsidRPr="001611DC">
              <w:rPr>
                <w:rFonts w:eastAsia="Yu Gothic Light"/>
              </w:rPr>
              <w:t>NEP: 2024, NHCDC cost weights &amp; separations: 2020-21</w:t>
            </w:r>
          </w:p>
        </w:tc>
      </w:tr>
      <w:tr w:rsidR="00435668" w:rsidRPr="001611DC" w14:paraId="5E39FCD0" w14:textId="77777777" w:rsidTr="00435668">
        <w:tc>
          <w:tcPr>
            <w:tcW w:w="0" w:type="auto"/>
          </w:tcPr>
          <w:p w14:paraId="24D9D5A0" w14:textId="77777777" w:rsidR="00435668" w:rsidRPr="001611DC" w:rsidRDefault="00435668" w:rsidP="008F7E57">
            <w:pPr>
              <w:pStyle w:val="Tabletext"/>
              <w:keepNext/>
              <w:keepLines/>
              <w:jc w:val="both"/>
              <w:rPr>
                <w:rFonts w:eastAsia="Yu Gothic Light"/>
              </w:rPr>
            </w:pPr>
            <w:r w:rsidRPr="001611DC">
              <w:rPr>
                <w:rFonts w:eastAsia="Yu Gothic Light"/>
              </w:rPr>
              <w:t xml:space="preserve">AR-DRG </w:t>
            </w:r>
          </w:p>
        </w:tc>
        <w:tc>
          <w:tcPr>
            <w:tcW w:w="0" w:type="auto"/>
          </w:tcPr>
          <w:p w14:paraId="53E525D4" w14:textId="77777777" w:rsidR="00435668" w:rsidRPr="001611DC" w:rsidRDefault="00435668" w:rsidP="008F7E57">
            <w:pPr>
              <w:pStyle w:val="Tabletext"/>
              <w:keepNext/>
              <w:keepLines/>
              <w:jc w:val="both"/>
              <w:rPr>
                <w:rFonts w:eastAsia="Yu Gothic Light"/>
              </w:rPr>
            </w:pPr>
            <w:r w:rsidRPr="001611DC">
              <w:rPr>
                <w:rFonts w:eastAsia="Yu Gothic Light"/>
              </w:rPr>
              <w:t>E62A-B</w:t>
            </w:r>
          </w:p>
        </w:tc>
        <w:tc>
          <w:tcPr>
            <w:tcW w:w="0" w:type="auto"/>
          </w:tcPr>
          <w:p w14:paraId="18E91387" w14:textId="77777777" w:rsidR="00435668" w:rsidRPr="001611DC" w:rsidRDefault="00435668" w:rsidP="008F7E57">
            <w:pPr>
              <w:pStyle w:val="Tabletext"/>
              <w:keepNext/>
              <w:keepLines/>
              <w:jc w:val="both"/>
              <w:rPr>
                <w:rFonts w:eastAsia="Yu Gothic Light"/>
              </w:rPr>
            </w:pPr>
            <w:r w:rsidRPr="001611DC">
              <w:rPr>
                <w:rFonts w:eastAsia="Yu Gothic Light"/>
              </w:rPr>
              <w:t>E62A-B</w:t>
            </w:r>
          </w:p>
        </w:tc>
        <w:tc>
          <w:tcPr>
            <w:tcW w:w="0" w:type="auto"/>
          </w:tcPr>
          <w:p w14:paraId="409EEFE5" w14:textId="77777777" w:rsidR="00435668" w:rsidRPr="001611DC" w:rsidRDefault="00435668" w:rsidP="008F7E57">
            <w:pPr>
              <w:pStyle w:val="Tabletext"/>
              <w:keepNext/>
              <w:keepLines/>
              <w:jc w:val="both"/>
              <w:rPr>
                <w:rFonts w:eastAsia="Yu Gothic Light"/>
              </w:rPr>
            </w:pPr>
            <w:r w:rsidRPr="001611DC">
              <w:rPr>
                <w:rFonts w:eastAsia="Yu Gothic Light"/>
              </w:rPr>
              <w:t>E62A-B</w:t>
            </w:r>
          </w:p>
        </w:tc>
        <w:tc>
          <w:tcPr>
            <w:tcW w:w="0" w:type="auto"/>
          </w:tcPr>
          <w:p w14:paraId="2C65F378" w14:textId="77777777" w:rsidR="00435668" w:rsidRPr="001611DC" w:rsidRDefault="00435668" w:rsidP="008F7E57">
            <w:pPr>
              <w:pStyle w:val="Tabletext"/>
              <w:keepNext/>
              <w:keepLines/>
              <w:jc w:val="both"/>
              <w:rPr>
                <w:rFonts w:eastAsia="Yu Gothic Light"/>
              </w:rPr>
            </w:pPr>
            <w:r w:rsidRPr="001611DC">
              <w:rPr>
                <w:rFonts w:eastAsia="Yu Gothic Light"/>
              </w:rPr>
              <w:t>E62A-B, F62A-C, E65A-B, E69A-B</w:t>
            </w:r>
          </w:p>
        </w:tc>
      </w:tr>
      <w:tr w:rsidR="00435668" w:rsidRPr="001611DC" w14:paraId="6F5C8E1B" w14:textId="77777777" w:rsidTr="00435668">
        <w:tc>
          <w:tcPr>
            <w:tcW w:w="0" w:type="auto"/>
          </w:tcPr>
          <w:p w14:paraId="71A49692" w14:textId="77777777" w:rsidR="00435668" w:rsidRPr="001611DC" w:rsidRDefault="00435668" w:rsidP="008F7E57">
            <w:pPr>
              <w:pStyle w:val="Tabletext"/>
              <w:keepNext/>
              <w:keepLines/>
              <w:jc w:val="both"/>
              <w:rPr>
                <w:rFonts w:eastAsia="Yu Gothic Light"/>
              </w:rPr>
            </w:pPr>
            <w:r w:rsidRPr="001611DC">
              <w:rPr>
                <w:rFonts w:eastAsia="Yu Gothic Light"/>
              </w:rPr>
              <w:t>Adjustment</w:t>
            </w:r>
          </w:p>
        </w:tc>
        <w:tc>
          <w:tcPr>
            <w:tcW w:w="0" w:type="auto"/>
          </w:tcPr>
          <w:p w14:paraId="5231452A" w14:textId="77777777" w:rsidR="00435668" w:rsidRPr="001611DC" w:rsidRDefault="00435668" w:rsidP="008F7E57">
            <w:pPr>
              <w:pStyle w:val="Tabletext"/>
              <w:keepNext/>
              <w:keepLines/>
              <w:jc w:val="both"/>
              <w:rPr>
                <w:rFonts w:eastAsia="Yu Gothic Light"/>
              </w:rPr>
            </w:pPr>
            <w:r w:rsidRPr="001611DC">
              <w:rPr>
                <w:rFonts w:eastAsia="Yu Gothic Light"/>
              </w:rPr>
              <w:t>LOS, ICU, MV</w:t>
            </w:r>
          </w:p>
        </w:tc>
        <w:tc>
          <w:tcPr>
            <w:tcW w:w="0" w:type="auto"/>
          </w:tcPr>
          <w:p w14:paraId="47374C47" w14:textId="77777777" w:rsidR="00435668" w:rsidRPr="001611DC" w:rsidRDefault="00435668" w:rsidP="008F7E57">
            <w:pPr>
              <w:pStyle w:val="Tabletext"/>
              <w:keepNext/>
              <w:keepLines/>
              <w:jc w:val="both"/>
              <w:rPr>
                <w:rFonts w:eastAsia="Yu Gothic Light"/>
              </w:rPr>
            </w:pPr>
            <w:r w:rsidRPr="001611DC">
              <w:rPr>
                <w:rFonts w:eastAsia="Yu Gothic Light"/>
              </w:rPr>
              <w:t>LOS, ICU, MV</w:t>
            </w:r>
          </w:p>
        </w:tc>
        <w:tc>
          <w:tcPr>
            <w:tcW w:w="0" w:type="auto"/>
          </w:tcPr>
          <w:p w14:paraId="2F76087A" w14:textId="77777777" w:rsidR="00435668" w:rsidRPr="001611DC" w:rsidRDefault="00435668" w:rsidP="008F7E57">
            <w:pPr>
              <w:pStyle w:val="Tabletext"/>
              <w:keepNext/>
              <w:keepLines/>
              <w:jc w:val="both"/>
              <w:rPr>
                <w:rFonts w:eastAsia="Yu Gothic Light"/>
              </w:rPr>
            </w:pPr>
            <w:r w:rsidRPr="001611DC">
              <w:rPr>
                <w:rFonts w:eastAsia="Yu Gothic Light"/>
              </w:rPr>
              <w:t>LOS</w:t>
            </w:r>
            <w:r w:rsidRPr="001611DC">
              <w:rPr>
                <w:rFonts w:eastAsia="Yu Gothic Light"/>
                <w:vertAlign w:val="superscript"/>
              </w:rPr>
              <w:t>a</w:t>
            </w:r>
          </w:p>
        </w:tc>
        <w:tc>
          <w:tcPr>
            <w:tcW w:w="0" w:type="auto"/>
          </w:tcPr>
          <w:p w14:paraId="5E2FEB23" w14:textId="77777777" w:rsidR="00435668" w:rsidRPr="001611DC" w:rsidRDefault="00435668" w:rsidP="008F7E57">
            <w:pPr>
              <w:pStyle w:val="Tabletext"/>
              <w:keepNext/>
              <w:keepLines/>
              <w:jc w:val="both"/>
              <w:rPr>
                <w:rFonts w:eastAsia="Yu Gothic Light"/>
              </w:rPr>
            </w:pPr>
            <w:r w:rsidRPr="001611DC">
              <w:rPr>
                <w:rFonts w:eastAsia="Yu Gothic Light"/>
              </w:rPr>
              <w:t>LOS</w:t>
            </w:r>
            <w:r w:rsidRPr="001611DC">
              <w:rPr>
                <w:rFonts w:eastAsia="Yu Gothic Light"/>
                <w:vertAlign w:val="superscript"/>
              </w:rPr>
              <w:t>b</w:t>
            </w:r>
          </w:p>
        </w:tc>
      </w:tr>
      <w:tr w:rsidR="000C10A9" w:rsidRPr="001611DC" w14:paraId="649F356F" w14:textId="77777777" w:rsidTr="00435668">
        <w:tc>
          <w:tcPr>
            <w:tcW w:w="0" w:type="auto"/>
          </w:tcPr>
          <w:p w14:paraId="4CC48D55" w14:textId="77777777" w:rsidR="00435668" w:rsidRPr="001611DC" w:rsidRDefault="00435668" w:rsidP="008F7E57">
            <w:pPr>
              <w:pStyle w:val="Tabletext"/>
              <w:keepNext/>
              <w:keepLines/>
              <w:jc w:val="both"/>
              <w:rPr>
                <w:rFonts w:eastAsia="Yu Gothic Light"/>
              </w:rPr>
            </w:pPr>
            <w:r w:rsidRPr="001611DC">
              <w:rPr>
                <w:rFonts w:eastAsia="Yu Gothic Light"/>
              </w:rPr>
              <w:t>60-64 YOA</w:t>
            </w:r>
          </w:p>
        </w:tc>
        <w:tc>
          <w:tcPr>
            <w:tcW w:w="0" w:type="auto"/>
          </w:tcPr>
          <w:p w14:paraId="2B6EC288" w14:textId="501C62B6" w:rsidR="00435668" w:rsidRPr="001611DC" w:rsidRDefault="00435668" w:rsidP="008F7E57">
            <w:pPr>
              <w:pStyle w:val="Tabletext"/>
              <w:keepNext/>
              <w:keepLines/>
              <w:jc w:val="both"/>
              <w:rPr>
                <w:rFonts w:eastAsia="Yu Gothic Light"/>
              </w:rPr>
            </w:pPr>
            <w:r w:rsidRPr="001611DC">
              <w:rPr>
                <w:rFonts w:eastAsia="Yu Gothic Light"/>
              </w:rPr>
              <w:t>$</w:t>
            </w:r>
            <w:r w:rsidR="00BD3549" w:rsidRPr="004A4FE0">
              <w:rPr>
                <w:rFonts w:eastAsia="Yu Gothic Light"/>
                <w:color w:val="000000"/>
                <w:spacing w:val="9"/>
                <w:shd w:val="solid" w:color="000000" w:fill="000000"/>
                <w:fitText w:val="310" w:id="-893677562"/>
                <w14:textFill>
                  <w14:solidFill>
                    <w14:srgbClr w14:val="000000">
                      <w14:alpha w14:val="100000"/>
                    </w14:srgbClr>
                  </w14:solidFill>
                </w14:textFill>
              </w:rPr>
              <w:t>||  |</w:t>
            </w:r>
            <w:r w:rsidR="00BD3549" w:rsidRPr="004A4FE0">
              <w:rPr>
                <w:rFonts w:eastAsia="Yu Gothic Light"/>
                <w:color w:val="000000"/>
                <w:spacing w:val="4"/>
                <w:shd w:val="solid" w:color="000000" w:fill="000000"/>
                <w:fitText w:val="310" w:id="-893677562"/>
                <w14:textFill>
                  <w14:solidFill>
                    <w14:srgbClr w14:val="000000">
                      <w14:alpha w14:val="100000"/>
                    </w14:srgbClr>
                  </w14:solidFill>
                </w14:textFill>
              </w:rPr>
              <w:t>|</w:t>
            </w:r>
          </w:p>
        </w:tc>
        <w:tc>
          <w:tcPr>
            <w:tcW w:w="0" w:type="auto"/>
          </w:tcPr>
          <w:p w14:paraId="5329AE47" w14:textId="718B8694"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1"/>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1"/>
                <w14:textFill>
                  <w14:solidFill>
                    <w14:srgbClr w14:val="000000">
                      <w14:alpha w14:val="100000"/>
                    </w14:srgbClr>
                  </w14:solidFill>
                </w14:textFill>
              </w:rPr>
              <w:t>|</w:t>
            </w:r>
          </w:p>
        </w:tc>
        <w:tc>
          <w:tcPr>
            <w:tcW w:w="0" w:type="auto"/>
          </w:tcPr>
          <w:p w14:paraId="010FAF97" w14:textId="19583F5B"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0"/>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0"/>
                <w14:textFill>
                  <w14:solidFill>
                    <w14:srgbClr w14:val="000000">
                      <w14:alpha w14:val="100000"/>
                    </w14:srgbClr>
                  </w14:solidFill>
                </w14:textFill>
              </w:rPr>
              <w:t>|</w:t>
            </w:r>
          </w:p>
        </w:tc>
        <w:tc>
          <w:tcPr>
            <w:tcW w:w="0" w:type="auto"/>
          </w:tcPr>
          <w:p w14:paraId="51CFE682" w14:textId="3C0DEE3D"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9"/>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9"/>
                <w14:textFill>
                  <w14:solidFill>
                    <w14:srgbClr w14:val="000000">
                      <w14:alpha w14:val="100000"/>
                    </w14:srgbClr>
                  </w14:solidFill>
                </w14:textFill>
              </w:rPr>
              <w:t>|</w:t>
            </w:r>
          </w:p>
        </w:tc>
      </w:tr>
      <w:tr w:rsidR="000C10A9" w:rsidRPr="001611DC" w14:paraId="7AD3406A" w14:textId="77777777" w:rsidTr="00435668">
        <w:tc>
          <w:tcPr>
            <w:tcW w:w="0" w:type="auto"/>
          </w:tcPr>
          <w:p w14:paraId="143F6E48" w14:textId="77777777" w:rsidR="00435668" w:rsidRPr="001611DC" w:rsidRDefault="00435668" w:rsidP="008F7E57">
            <w:pPr>
              <w:pStyle w:val="Tabletext"/>
              <w:keepNext/>
              <w:keepLines/>
              <w:jc w:val="both"/>
              <w:rPr>
                <w:rFonts w:eastAsia="Yu Gothic Light"/>
              </w:rPr>
            </w:pPr>
            <w:r w:rsidRPr="001611DC">
              <w:rPr>
                <w:rFonts w:eastAsia="Yu Gothic Light"/>
              </w:rPr>
              <w:t>65-69 YOA</w:t>
            </w:r>
          </w:p>
        </w:tc>
        <w:tc>
          <w:tcPr>
            <w:tcW w:w="0" w:type="auto"/>
          </w:tcPr>
          <w:p w14:paraId="6076823E" w14:textId="59D3EB47"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8"/>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8"/>
                <w14:textFill>
                  <w14:solidFill>
                    <w14:srgbClr w14:val="000000">
                      <w14:alpha w14:val="100000"/>
                    </w14:srgbClr>
                  </w14:solidFill>
                </w14:textFill>
              </w:rPr>
              <w:t>|</w:t>
            </w:r>
          </w:p>
        </w:tc>
        <w:tc>
          <w:tcPr>
            <w:tcW w:w="0" w:type="auto"/>
          </w:tcPr>
          <w:p w14:paraId="3D6F664E" w14:textId="5CF10668"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7"/>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7"/>
                <w14:textFill>
                  <w14:solidFill>
                    <w14:srgbClr w14:val="000000">
                      <w14:alpha w14:val="100000"/>
                    </w14:srgbClr>
                  </w14:solidFill>
                </w14:textFill>
              </w:rPr>
              <w:t>|</w:t>
            </w:r>
          </w:p>
        </w:tc>
        <w:tc>
          <w:tcPr>
            <w:tcW w:w="0" w:type="auto"/>
          </w:tcPr>
          <w:p w14:paraId="75B499BF" w14:textId="040AB071"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6"/>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6"/>
                <w14:textFill>
                  <w14:solidFill>
                    <w14:srgbClr w14:val="000000">
                      <w14:alpha w14:val="100000"/>
                    </w14:srgbClr>
                  </w14:solidFill>
                </w14:textFill>
              </w:rPr>
              <w:t>|</w:t>
            </w:r>
          </w:p>
        </w:tc>
        <w:tc>
          <w:tcPr>
            <w:tcW w:w="0" w:type="auto"/>
          </w:tcPr>
          <w:p w14:paraId="2C7B254E" w14:textId="5585458A"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5"/>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5"/>
                <w14:textFill>
                  <w14:solidFill>
                    <w14:srgbClr w14:val="000000">
                      <w14:alpha w14:val="100000"/>
                    </w14:srgbClr>
                  </w14:solidFill>
                </w14:textFill>
              </w:rPr>
              <w:t>|</w:t>
            </w:r>
          </w:p>
        </w:tc>
      </w:tr>
      <w:tr w:rsidR="000C10A9" w:rsidRPr="001611DC" w14:paraId="1BDF91A3" w14:textId="77777777" w:rsidTr="00435668">
        <w:tc>
          <w:tcPr>
            <w:tcW w:w="0" w:type="auto"/>
          </w:tcPr>
          <w:p w14:paraId="07F3D09D" w14:textId="77777777" w:rsidR="00435668" w:rsidRPr="001611DC" w:rsidRDefault="00435668" w:rsidP="008F7E57">
            <w:pPr>
              <w:pStyle w:val="Tabletext"/>
              <w:keepNext/>
              <w:keepLines/>
              <w:jc w:val="both"/>
              <w:rPr>
                <w:rFonts w:eastAsia="Yu Gothic Light"/>
              </w:rPr>
            </w:pPr>
            <w:r w:rsidRPr="001611DC">
              <w:rPr>
                <w:rFonts w:eastAsia="Yu Gothic Light"/>
              </w:rPr>
              <w:t>70-74 YOA</w:t>
            </w:r>
          </w:p>
        </w:tc>
        <w:tc>
          <w:tcPr>
            <w:tcW w:w="0" w:type="auto"/>
          </w:tcPr>
          <w:p w14:paraId="2F96BB14" w14:textId="5BB79519"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4"/>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4"/>
                <w14:textFill>
                  <w14:solidFill>
                    <w14:srgbClr w14:val="000000">
                      <w14:alpha w14:val="100000"/>
                    </w14:srgbClr>
                  </w14:solidFill>
                </w14:textFill>
              </w:rPr>
              <w:t>|</w:t>
            </w:r>
          </w:p>
        </w:tc>
        <w:tc>
          <w:tcPr>
            <w:tcW w:w="0" w:type="auto"/>
          </w:tcPr>
          <w:p w14:paraId="4493AFE7" w14:textId="3C3A4D3D"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3"/>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3"/>
                <w14:textFill>
                  <w14:solidFill>
                    <w14:srgbClr w14:val="000000">
                      <w14:alpha w14:val="100000"/>
                    </w14:srgbClr>
                  </w14:solidFill>
                </w14:textFill>
              </w:rPr>
              <w:t>|</w:t>
            </w:r>
          </w:p>
        </w:tc>
        <w:tc>
          <w:tcPr>
            <w:tcW w:w="0" w:type="auto"/>
          </w:tcPr>
          <w:p w14:paraId="70D00F40" w14:textId="707055CF"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52"/>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52"/>
                <w14:textFill>
                  <w14:solidFill>
                    <w14:srgbClr w14:val="000000">
                      <w14:alpha w14:val="100000"/>
                    </w14:srgbClr>
                  </w14:solidFill>
                </w14:textFill>
              </w:rPr>
              <w:t>|</w:t>
            </w:r>
          </w:p>
        </w:tc>
        <w:tc>
          <w:tcPr>
            <w:tcW w:w="0" w:type="auto"/>
          </w:tcPr>
          <w:p w14:paraId="78E5FE63" w14:textId="1958C75E"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8"/>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8"/>
                <w14:textFill>
                  <w14:solidFill>
                    <w14:srgbClr w14:val="000000">
                      <w14:alpha w14:val="100000"/>
                    </w14:srgbClr>
                  </w14:solidFill>
                </w14:textFill>
              </w:rPr>
              <w:t>|</w:t>
            </w:r>
          </w:p>
        </w:tc>
      </w:tr>
      <w:tr w:rsidR="000C10A9" w:rsidRPr="001611DC" w14:paraId="6FF69E6E" w14:textId="77777777" w:rsidTr="00435668">
        <w:tc>
          <w:tcPr>
            <w:tcW w:w="0" w:type="auto"/>
          </w:tcPr>
          <w:p w14:paraId="4E738D5F" w14:textId="77777777" w:rsidR="00435668" w:rsidRPr="001611DC" w:rsidRDefault="00435668" w:rsidP="008F7E57">
            <w:pPr>
              <w:pStyle w:val="Tabletext"/>
              <w:keepNext/>
              <w:keepLines/>
              <w:jc w:val="both"/>
              <w:rPr>
                <w:rFonts w:eastAsia="Yu Gothic Light"/>
              </w:rPr>
            </w:pPr>
            <w:r w:rsidRPr="001611DC">
              <w:rPr>
                <w:rFonts w:eastAsia="Yu Gothic Light"/>
              </w:rPr>
              <w:t>75-79 YOA</w:t>
            </w:r>
          </w:p>
        </w:tc>
        <w:tc>
          <w:tcPr>
            <w:tcW w:w="0" w:type="auto"/>
          </w:tcPr>
          <w:p w14:paraId="420352DF" w14:textId="6B7E8279"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7"/>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7"/>
                <w14:textFill>
                  <w14:solidFill>
                    <w14:srgbClr w14:val="000000">
                      <w14:alpha w14:val="100000"/>
                    </w14:srgbClr>
                  </w14:solidFill>
                </w14:textFill>
              </w:rPr>
              <w:t>|</w:t>
            </w:r>
          </w:p>
        </w:tc>
        <w:tc>
          <w:tcPr>
            <w:tcW w:w="0" w:type="auto"/>
          </w:tcPr>
          <w:p w14:paraId="148F1B4B" w14:textId="1F32E947"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6"/>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6"/>
                <w14:textFill>
                  <w14:solidFill>
                    <w14:srgbClr w14:val="000000">
                      <w14:alpha w14:val="100000"/>
                    </w14:srgbClr>
                  </w14:solidFill>
                </w14:textFill>
              </w:rPr>
              <w:t>|</w:t>
            </w:r>
          </w:p>
        </w:tc>
        <w:tc>
          <w:tcPr>
            <w:tcW w:w="0" w:type="auto"/>
          </w:tcPr>
          <w:p w14:paraId="5116BD66" w14:textId="7309B2B2"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5"/>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5"/>
                <w14:textFill>
                  <w14:solidFill>
                    <w14:srgbClr w14:val="000000">
                      <w14:alpha w14:val="100000"/>
                    </w14:srgbClr>
                  </w14:solidFill>
                </w14:textFill>
              </w:rPr>
              <w:t>|</w:t>
            </w:r>
          </w:p>
        </w:tc>
        <w:tc>
          <w:tcPr>
            <w:tcW w:w="0" w:type="auto"/>
          </w:tcPr>
          <w:p w14:paraId="706CD1E3" w14:textId="0B211255"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4"/>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4"/>
                <w14:textFill>
                  <w14:solidFill>
                    <w14:srgbClr w14:val="000000">
                      <w14:alpha w14:val="100000"/>
                    </w14:srgbClr>
                  </w14:solidFill>
                </w14:textFill>
              </w:rPr>
              <w:t>|</w:t>
            </w:r>
          </w:p>
        </w:tc>
      </w:tr>
      <w:tr w:rsidR="000C10A9" w:rsidRPr="001611DC" w14:paraId="21ADB4D0" w14:textId="77777777" w:rsidTr="00435668">
        <w:tc>
          <w:tcPr>
            <w:tcW w:w="0" w:type="auto"/>
          </w:tcPr>
          <w:p w14:paraId="7CA4CC13" w14:textId="77777777" w:rsidR="00435668" w:rsidRPr="001611DC" w:rsidRDefault="00435668" w:rsidP="008F7E57">
            <w:pPr>
              <w:pStyle w:val="Tabletext"/>
              <w:keepNext/>
              <w:keepLines/>
              <w:jc w:val="both"/>
              <w:rPr>
                <w:rFonts w:eastAsia="Yu Gothic Light"/>
              </w:rPr>
            </w:pPr>
            <w:r w:rsidRPr="001611DC">
              <w:rPr>
                <w:rFonts w:eastAsia="Yu Gothic Light"/>
              </w:rPr>
              <w:t>&gt;80 YOA</w:t>
            </w:r>
          </w:p>
        </w:tc>
        <w:tc>
          <w:tcPr>
            <w:tcW w:w="0" w:type="auto"/>
          </w:tcPr>
          <w:p w14:paraId="5935EF09" w14:textId="12D9ABF8"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3"/>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3"/>
                <w14:textFill>
                  <w14:solidFill>
                    <w14:srgbClr w14:val="000000">
                      <w14:alpha w14:val="100000"/>
                    </w14:srgbClr>
                  </w14:solidFill>
                </w14:textFill>
              </w:rPr>
              <w:t>|</w:t>
            </w:r>
          </w:p>
        </w:tc>
        <w:tc>
          <w:tcPr>
            <w:tcW w:w="0" w:type="auto"/>
          </w:tcPr>
          <w:p w14:paraId="0520091C" w14:textId="43E91872"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2"/>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2"/>
                <w14:textFill>
                  <w14:solidFill>
                    <w14:srgbClr w14:val="000000">
                      <w14:alpha w14:val="100000"/>
                    </w14:srgbClr>
                  </w14:solidFill>
                </w14:textFill>
              </w:rPr>
              <w:t>|</w:t>
            </w:r>
          </w:p>
        </w:tc>
        <w:tc>
          <w:tcPr>
            <w:tcW w:w="0" w:type="auto"/>
          </w:tcPr>
          <w:p w14:paraId="390A2CAC" w14:textId="6161FF49"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1"/>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1"/>
                <w14:textFill>
                  <w14:solidFill>
                    <w14:srgbClr w14:val="000000">
                      <w14:alpha w14:val="100000"/>
                    </w14:srgbClr>
                  </w14:solidFill>
                </w14:textFill>
              </w:rPr>
              <w:t>|</w:t>
            </w:r>
          </w:p>
        </w:tc>
        <w:tc>
          <w:tcPr>
            <w:tcW w:w="0" w:type="auto"/>
          </w:tcPr>
          <w:p w14:paraId="5660907C" w14:textId="53CEC8A4" w:rsidR="00435668" w:rsidRPr="001611DC" w:rsidRDefault="00435668" w:rsidP="008F7E57">
            <w:pPr>
              <w:pStyle w:val="Tabletext"/>
              <w:keepNext/>
              <w:keepLines/>
              <w:jc w:val="both"/>
              <w:rPr>
                <w:rFonts w:eastAsia="Yu Gothic Light"/>
              </w:rPr>
            </w:pPr>
            <w:r w:rsidRPr="001611DC">
              <w:rPr>
                <w:rFonts w:eastAsia="Yu Gothic Light"/>
              </w:rPr>
              <w:t>$</w:t>
            </w:r>
            <w:r w:rsidR="00BD3549" w:rsidRPr="001F4410">
              <w:rPr>
                <w:rFonts w:eastAsia="Yu Gothic Light"/>
                <w:color w:val="000000"/>
                <w:spacing w:val="9"/>
                <w:shd w:val="solid" w:color="000000" w:fill="000000"/>
                <w:fitText w:val="310" w:id="-893677560"/>
                <w14:textFill>
                  <w14:solidFill>
                    <w14:srgbClr w14:val="000000">
                      <w14:alpha w14:val="100000"/>
                    </w14:srgbClr>
                  </w14:solidFill>
                </w14:textFill>
              </w:rPr>
              <w:t>||  |</w:t>
            </w:r>
            <w:r w:rsidR="00BD3549" w:rsidRPr="001F4410">
              <w:rPr>
                <w:rFonts w:eastAsia="Yu Gothic Light"/>
                <w:color w:val="000000"/>
                <w:spacing w:val="4"/>
                <w:shd w:val="solid" w:color="000000" w:fill="000000"/>
                <w:fitText w:val="310" w:id="-893677560"/>
                <w14:textFill>
                  <w14:solidFill>
                    <w14:srgbClr w14:val="000000">
                      <w14:alpha w14:val="100000"/>
                    </w14:srgbClr>
                  </w14:solidFill>
                </w14:textFill>
              </w:rPr>
              <w:t>|</w:t>
            </w:r>
          </w:p>
        </w:tc>
      </w:tr>
    </w:tbl>
    <w:p w14:paraId="0D1EE878" w14:textId="4AB5BB48" w:rsidR="00435668" w:rsidRPr="001611DC" w:rsidRDefault="00435668" w:rsidP="008F7E57">
      <w:pPr>
        <w:keepNext/>
        <w:keepLines/>
        <w:rPr>
          <w:rFonts w:ascii="Arial Narrow" w:hAnsi="Arial Narrow"/>
          <w:snapToGrid w:val="0"/>
          <w:sz w:val="18"/>
          <w:szCs w:val="22"/>
        </w:rPr>
      </w:pPr>
      <w:r w:rsidRPr="001611DC">
        <w:rPr>
          <w:rFonts w:ascii="Arial Narrow" w:hAnsi="Arial Narrow"/>
          <w:snapToGrid w:val="0"/>
          <w:sz w:val="18"/>
          <w:szCs w:val="22"/>
        </w:rPr>
        <w:t>Source: PSCR Table 5.</w:t>
      </w:r>
    </w:p>
    <w:p w14:paraId="2C903652" w14:textId="633897A8" w:rsidR="00435668" w:rsidRPr="001611DC" w:rsidRDefault="00435668" w:rsidP="008F7E57">
      <w:pPr>
        <w:keepNext/>
        <w:keepLines/>
        <w:rPr>
          <w:rFonts w:ascii="Arial Narrow" w:hAnsi="Arial Narrow"/>
          <w:snapToGrid w:val="0"/>
          <w:sz w:val="18"/>
          <w:szCs w:val="22"/>
        </w:rPr>
      </w:pPr>
      <w:r w:rsidRPr="001611DC">
        <w:rPr>
          <w:rFonts w:ascii="Arial Narrow" w:hAnsi="Arial Narrow"/>
          <w:snapToGrid w:val="0"/>
          <w:sz w:val="18"/>
          <w:szCs w:val="22"/>
        </w:rPr>
        <w:t xml:space="preserve">AR-DRG = Australian Refined Diagnosis Related Groups, CHF = congestive heart failure, COPD = chronic obstructive pulmonary disease, ICU = intensive care unit; LOS = length of stay; MV = Mechanical ventilation; NHCDC = National Hospital Cost Data Collection, NEP = national efficient price, PSCR = pre-subcommittee response; YOA = years of age. </w:t>
      </w:r>
    </w:p>
    <w:p w14:paraId="655436B5" w14:textId="06DBC62A" w:rsidR="00435668" w:rsidRPr="001611DC" w:rsidRDefault="00435668" w:rsidP="008F7E57">
      <w:pPr>
        <w:keepNext/>
        <w:keepLines/>
        <w:rPr>
          <w:rFonts w:ascii="Arial Narrow" w:hAnsi="Arial Narrow"/>
          <w:sz w:val="18"/>
          <w:szCs w:val="18"/>
          <w:vertAlign w:val="superscript"/>
        </w:rPr>
      </w:pPr>
      <w:r w:rsidRPr="001611DC">
        <w:rPr>
          <w:rFonts w:ascii="Arial Narrow" w:hAnsi="Arial Narrow"/>
          <w:sz w:val="18"/>
          <w:szCs w:val="18"/>
          <w:vertAlign w:val="superscript"/>
        </w:rPr>
        <w:t xml:space="preserve">a </w:t>
      </w:r>
      <w:r w:rsidRPr="001611DC">
        <w:rPr>
          <w:rFonts w:ascii="Arial Narrow" w:hAnsi="Arial Narrow"/>
          <w:sz w:val="18"/>
          <w:szCs w:val="18"/>
        </w:rPr>
        <w:t>Calculated by multiplying cost per day ($</w:t>
      </w:r>
      <w:r w:rsidR="00BD3549" w:rsidRPr="001F4410">
        <w:rPr>
          <w:rFonts w:ascii="Arial Narrow" w:hAnsi="Arial Narrow"/>
          <w:color w:val="000000"/>
          <w:spacing w:val="35"/>
          <w:sz w:val="18"/>
          <w:szCs w:val="18"/>
          <w:shd w:val="solid" w:color="000000" w:fill="000000"/>
          <w:fitText w:val="265" w:id="-893677559"/>
          <w14:textFill>
            <w14:solidFill>
              <w14:srgbClr w14:val="000000">
                <w14:alpha w14:val="100000"/>
              </w14:srgbClr>
            </w14:solidFill>
          </w14:textFill>
        </w:rPr>
        <w:t xml:space="preserve">|  </w:t>
      </w:r>
      <w:r w:rsidR="00BD3549" w:rsidRPr="001F4410">
        <w:rPr>
          <w:rFonts w:ascii="Arial Narrow" w:hAnsi="Arial Narrow"/>
          <w:color w:val="000000"/>
          <w:spacing w:val="2"/>
          <w:sz w:val="18"/>
          <w:szCs w:val="18"/>
          <w:shd w:val="solid" w:color="000000" w:fill="000000"/>
          <w:fitText w:val="265" w:id="-893677559"/>
          <w14:textFill>
            <w14:solidFill>
              <w14:srgbClr w14:val="000000">
                <w14:alpha w14:val="100000"/>
              </w14:srgbClr>
            </w14:solidFill>
          </w14:textFill>
        </w:rPr>
        <w:t>|</w:t>
      </w:r>
      <w:r w:rsidRPr="001611DC">
        <w:rPr>
          <w:rFonts w:ascii="Arial Narrow" w:hAnsi="Arial Narrow"/>
          <w:sz w:val="18"/>
          <w:szCs w:val="18"/>
        </w:rPr>
        <w:t>) and age specific length of stay in days.</w:t>
      </w:r>
    </w:p>
    <w:p w14:paraId="14B42680" w14:textId="323CB466" w:rsidR="00435668" w:rsidRPr="001611DC" w:rsidRDefault="00435668" w:rsidP="004A4FE0">
      <w:pPr>
        <w:keepNext/>
        <w:keepLines/>
        <w:spacing w:after="120"/>
        <w:rPr>
          <w:rFonts w:ascii="Arial Narrow" w:hAnsi="Arial Narrow"/>
          <w:sz w:val="18"/>
          <w:szCs w:val="18"/>
        </w:rPr>
      </w:pPr>
      <w:r w:rsidRPr="001611DC">
        <w:rPr>
          <w:rFonts w:ascii="Arial Narrow" w:hAnsi="Arial Narrow"/>
          <w:sz w:val="18"/>
          <w:szCs w:val="18"/>
          <w:vertAlign w:val="superscript"/>
        </w:rPr>
        <w:t xml:space="preserve">b </w:t>
      </w:r>
      <w:r w:rsidRPr="001611DC">
        <w:rPr>
          <w:rFonts w:ascii="Arial Narrow" w:hAnsi="Arial Narrow"/>
          <w:sz w:val="18"/>
          <w:szCs w:val="18"/>
        </w:rPr>
        <w:t>Calculated by multiplying age specific length of stay in days by cost per day ($</w:t>
      </w:r>
      <w:r w:rsidR="00BD3549" w:rsidRPr="001F4410">
        <w:rPr>
          <w:rFonts w:ascii="Arial Narrow" w:hAnsi="Arial Narrow"/>
          <w:color w:val="000000"/>
          <w:spacing w:val="35"/>
          <w:sz w:val="18"/>
          <w:szCs w:val="18"/>
          <w:shd w:val="solid" w:color="000000" w:fill="000000"/>
          <w:fitText w:val="265" w:id="-893677558"/>
          <w14:textFill>
            <w14:solidFill>
              <w14:srgbClr w14:val="000000">
                <w14:alpha w14:val="100000"/>
              </w14:srgbClr>
            </w14:solidFill>
          </w14:textFill>
        </w:rPr>
        <w:t xml:space="preserve">|  </w:t>
      </w:r>
      <w:r w:rsidR="00BD3549" w:rsidRPr="001F4410">
        <w:rPr>
          <w:rFonts w:ascii="Arial Narrow" w:hAnsi="Arial Narrow"/>
          <w:color w:val="000000"/>
          <w:spacing w:val="2"/>
          <w:sz w:val="18"/>
          <w:szCs w:val="18"/>
          <w:shd w:val="solid" w:color="000000" w:fill="000000"/>
          <w:fitText w:val="265" w:id="-893677558"/>
          <w14:textFill>
            <w14:solidFill>
              <w14:srgbClr w14:val="000000">
                <w14:alpha w14:val="100000"/>
              </w14:srgbClr>
            </w14:solidFill>
          </w14:textFill>
        </w:rPr>
        <w:t>|</w:t>
      </w:r>
      <w:r w:rsidRPr="001611DC">
        <w:rPr>
          <w:rFonts w:ascii="Arial Narrow" w:hAnsi="Arial Narrow"/>
          <w:sz w:val="18"/>
          <w:szCs w:val="18"/>
        </w:rPr>
        <w:t xml:space="preserve">) adjusted based on cost weight and separations accounting for 10.6% of pneumonia hospitalisations, 11.4% of COPD hospitalisations, 5.4% of CHF hospitalisations, </w:t>
      </w:r>
      <w:r w:rsidR="003C3C0D" w:rsidRPr="001611DC">
        <w:rPr>
          <w:rFonts w:ascii="Arial Narrow" w:hAnsi="Arial Narrow"/>
          <w:sz w:val="18"/>
          <w:szCs w:val="18"/>
        </w:rPr>
        <w:t xml:space="preserve">and </w:t>
      </w:r>
      <w:r w:rsidRPr="001611DC">
        <w:rPr>
          <w:rFonts w:ascii="Arial Narrow" w:hAnsi="Arial Narrow"/>
          <w:sz w:val="18"/>
          <w:szCs w:val="18"/>
        </w:rPr>
        <w:t>7.2% of asthma hospitalisations.</w:t>
      </w:r>
    </w:p>
    <w:p w14:paraId="10846057" w14:textId="667093FC" w:rsidR="002E6F4F" w:rsidRPr="001611DC" w:rsidRDefault="002E6F4F" w:rsidP="002E6F4F">
      <w:pPr>
        <w:pStyle w:val="3-BodyText"/>
      </w:pPr>
      <w:r w:rsidRPr="001611DC">
        <w:t xml:space="preserve">Key drivers of the model are presented in </w:t>
      </w:r>
      <w:r w:rsidRPr="001611DC">
        <w:fldChar w:fldCharType="begin" w:fldLock="1"/>
      </w:r>
      <w:r w:rsidRPr="001611DC">
        <w:instrText xml:space="preserve"> REF _Ref104805122 \h  \* MERGEFORMAT </w:instrText>
      </w:r>
      <w:r w:rsidRPr="001611DC">
        <w:fldChar w:fldCharType="separate"/>
      </w:r>
      <w:r w:rsidR="00927933" w:rsidRPr="001611DC">
        <w:t>Table 17</w:t>
      </w:r>
      <w:r w:rsidRPr="001611DC">
        <w:fldChar w:fldCharType="end"/>
      </w:r>
      <w:r w:rsidRPr="001611DC">
        <w:t xml:space="preserve">. </w:t>
      </w:r>
    </w:p>
    <w:p w14:paraId="4170B68F" w14:textId="03055BC4" w:rsidR="002E6F4F" w:rsidRPr="001611DC" w:rsidRDefault="002E6F4F" w:rsidP="002E6F4F">
      <w:pPr>
        <w:pStyle w:val="Caption"/>
        <w:jc w:val="left"/>
        <w:rPr>
          <w:rStyle w:val="CommentReference"/>
          <w:b/>
          <w:szCs w:val="24"/>
        </w:rPr>
      </w:pPr>
      <w:bookmarkStart w:id="122" w:name="_Ref104805122"/>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17</w:t>
      </w:r>
      <w:r w:rsidR="005473CE" w:rsidRPr="001611DC">
        <w:fldChar w:fldCharType="end"/>
      </w:r>
      <w:bookmarkEnd w:id="122"/>
      <w:r w:rsidRPr="001611DC">
        <w:t>:</w:t>
      </w:r>
      <w:r w:rsidRPr="001611DC">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drivers of the model"/>
      </w:tblPr>
      <w:tblGrid>
        <w:gridCol w:w="1127"/>
        <w:gridCol w:w="3261"/>
        <w:gridCol w:w="4629"/>
      </w:tblGrid>
      <w:tr w:rsidR="002E6F4F" w:rsidRPr="001611DC" w14:paraId="5EEE83AE" w14:textId="77777777" w:rsidTr="00ED36A0">
        <w:trPr>
          <w:tblHeader/>
        </w:trPr>
        <w:tc>
          <w:tcPr>
            <w:tcW w:w="625" w:type="pct"/>
            <w:shd w:val="clear" w:color="auto" w:fill="auto"/>
            <w:vAlign w:val="center"/>
          </w:tcPr>
          <w:p w14:paraId="1C185455" w14:textId="77777777" w:rsidR="002E6F4F" w:rsidRPr="001611DC" w:rsidRDefault="002E6F4F" w:rsidP="00ED36A0">
            <w:pPr>
              <w:pStyle w:val="In-tableHeading"/>
              <w:jc w:val="center"/>
              <w:rPr>
                <w:lang w:val="en-AU"/>
              </w:rPr>
            </w:pPr>
            <w:r w:rsidRPr="001611DC">
              <w:rPr>
                <w:lang w:val="en-AU"/>
              </w:rPr>
              <w:t>Description</w:t>
            </w:r>
          </w:p>
        </w:tc>
        <w:tc>
          <w:tcPr>
            <w:tcW w:w="1808" w:type="pct"/>
            <w:shd w:val="clear" w:color="auto" w:fill="auto"/>
            <w:vAlign w:val="center"/>
          </w:tcPr>
          <w:p w14:paraId="6C68062F" w14:textId="77777777" w:rsidR="002E6F4F" w:rsidRPr="001611DC" w:rsidRDefault="002E6F4F" w:rsidP="00ED36A0">
            <w:pPr>
              <w:pStyle w:val="In-tableHeading"/>
              <w:jc w:val="center"/>
              <w:rPr>
                <w:lang w:val="en-AU"/>
              </w:rPr>
            </w:pPr>
            <w:r w:rsidRPr="001611DC">
              <w:rPr>
                <w:lang w:val="en-AU"/>
              </w:rPr>
              <w:t>Method/Value</w:t>
            </w:r>
          </w:p>
        </w:tc>
        <w:tc>
          <w:tcPr>
            <w:tcW w:w="2567" w:type="pct"/>
            <w:shd w:val="clear" w:color="auto" w:fill="auto"/>
            <w:vAlign w:val="center"/>
          </w:tcPr>
          <w:p w14:paraId="6DC239F3" w14:textId="77777777" w:rsidR="002E6F4F" w:rsidRPr="001611DC" w:rsidRDefault="002E6F4F" w:rsidP="00ED36A0">
            <w:pPr>
              <w:pStyle w:val="In-tableHeading"/>
              <w:jc w:val="center"/>
              <w:rPr>
                <w:lang w:val="en-AU"/>
              </w:rPr>
            </w:pPr>
            <w:r w:rsidRPr="001611DC">
              <w:rPr>
                <w:lang w:val="en-AU"/>
              </w:rPr>
              <w:t>Impact</w:t>
            </w:r>
          </w:p>
          <w:p w14:paraId="4F36094D" w14:textId="214B4913" w:rsidR="002E6F4F" w:rsidRPr="001611DC" w:rsidRDefault="002E6F4F" w:rsidP="00ED36A0">
            <w:pPr>
              <w:pStyle w:val="In-tableHeading"/>
              <w:jc w:val="center"/>
              <w:rPr>
                <w:rFonts w:cs="Arial"/>
                <w:szCs w:val="20"/>
                <w:lang w:val="en-AU"/>
              </w:rPr>
            </w:pPr>
            <w:bookmarkStart w:id="123" w:name="_Hlk174395147"/>
            <w:r w:rsidRPr="001611DC">
              <w:rPr>
                <w:rFonts w:cs="Arial"/>
                <w:szCs w:val="20"/>
                <w:lang w:val="en-AU"/>
              </w:rPr>
              <w:t>Base case:</w:t>
            </w:r>
            <w:r w:rsidR="00E2719A" w:rsidRPr="001611DC">
              <w:rPr>
                <w:rFonts w:cs="Arial"/>
                <w:szCs w:val="20"/>
                <w:lang w:val="en-AU"/>
              </w:rPr>
              <w:t>≥</w:t>
            </w:r>
            <w:r w:rsidRPr="001611DC">
              <w:rPr>
                <w:rFonts w:cs="Arial"/>
                <w:szCs w:val="20"/>
                <w:lang w:val="en-AU"/>
              </w:rPr>
              <w:t xml:space="preserve">60 YOA </w:t>
            </w:r>
            <w:r w:rsidR="00BD3549" w:rsidRPr="00BD3549">
              <w:rPr>
                <w:rFonts w:cs="Arial"/>
                <w:color w:val="000000"/>
                <w:szCs w:val="20"/>
                <w:shd w:val="solid" w:color="000000" w:fill="000000"/>
                <w:lang w:val="en-AU"/>
                <w14:textFill>
                  <w14:solidFill>
                    <w14:srgbClr w14:val="000000">
                      <w14:alpha w14:val="100000"/>
                    </w14:srgbClr>
                  </w14:solidFill>
                </w14:textFill>
              </w:rPr>
              <w:t>|</w:t>
            </w:r>
            <w:r w:rsidR="00497173" w:rsidRPr="00497173">
              <w:rPr>
                <w:rFonts w:cs="Arial"/>
                <w:szCs w:val="20"/>
                <w:vertAlign w:val="superscript"/>
                <w:lang w:val="en-AU"/>
              </w:rPr>
              <w:t>1</w:t>
            </w:r>
            <w:r w:rsidRPr="001611DC">
              <w:rPr>
                <w:rFonts w:cs="Arial"/>
                <w:szCs w:val="20"/>
                <w:lang w:val="en-AU"/>
              </w:rPr>
              <w:t>/QALY gained</w:t>
            </w:r>
          </w:p>
          <w:p w14:paraId="670FA9B5" w14:textId="02926D74" w:rsidR="002E6F4F" w:rsidRPr="001611DC" w:rsidRDefault="00E2719A" w:rsidP="00ED36A0">
            <w:pPr>
              <w:pStyle w:val="In-tableHeading"/>
              <w:jc w:val="center"/>
              <w:rPr>
                <w:rFonts w:cs="Arial"/>
                <w:szCs w:val="20"/>
                <w:lang w:val="en-AU"/>
              </w:rPr>
            </w:pPr>
            <w:r w:rsidRPr="001611DC">
              <w:rPr>
                <w:rFonts w:cs="Arial"/>
                <w:szCs w:val="20"/>
                <w:lang w:val="en-AU"/>
              </w:rPr>
              <w:t>≥</w:t>
            </w:r>
            <w:r w:rsidR="002E6F4F" w:rsidRPr="001611DC">
              <w:rPr>
                <w:rFonts w:cs="Arial"/>
                <w:szCs w:val="20"/>
                <w:lang w:val="en-AU"/>
              </w:rPr>
              <w:t>75 YOA</w:t>
            </w:r>
            <w:r w:rsidR="00626435" w:rsidRPr="001611DC">
              <w:rPr>
                <w:rFonts w:cs="Arial"/>
                <w:szCs w:val="20"/>
                <w:lang w:val="en-AU"/>
              </w:rPr>
              <w:t>:</w:t>
            </w:r>
            <w:r w:rsidR="002E6F4F" w:rsidRPr="001611DC">
              <w:rPr>
                <w:rFonts w:cs="Arial"/>
                <w:szCs w:val="20"/>
                <w:lang w:val="en-AU"/>
              </w:rPr>
              <w:t xml:space="preserve"> </w:t>
            </w:r>
            <w:r w:rsidR="00BD3549" w:rsidRPr="00BD3549">
              <w:rPr>
                <w:rFonts w:cs="Arial"/>
                <w:color w:val="000000"/>
                <w:szCs w:val="20"/>
                <w:shd w:val="solid" w:color="000000" w:fill="000000"/>
                <w:lang w:val="en-AU"/>
                <w14:textFill>
                  <w14:solidFill>
                    <w14:srgbClr w14:val="000000">
                      <w14:alpha w14:val="100000"/>
                    </w14:srgbClr>
                  </w14:solidFill>
                </w14:textFill>
              </w:rPr>
              <w:t>|</w:t>
            </w:r>
            <w:r w:rsidR="00874350" w:rsidRPr="00F146CE">
              <w:rPr>
                <w:rFonts w:cs="Arial"/>
                <w:szCs w:val="20"/>
                <w:vertAlign w:val="superscript"/>
                <w:lang w:val="en-AU"/>
              </w:rPr>
              <w:t>2</w:t>
            </w:r>
            <w:r w:rsidR="002E6F4F" w:rsidRPr="001611DC">
              <w:rPr>
                <w:rFonts w:cs="Arial"/>
                <w:szCs w:val="20"/>
                <w:lang w:val="en-AU"/>
              </w:rPr>
              <w:t>/QALY gained</w:t>
            </w:r>
            <w:bookmarkEnd w:id="123"/>
          </w:p>
        </w:tc>
      </w:tr>
      <w:tr w:rsidR="002E6F4F" w:rsidRPr="001611DC" w14:paraId="79FE34CF" w14:textId="77777777" w:rsidTr="00ED36A0">
        <w:trPr>
          <w:tblHeader/>
        </w:trPr>
        <w:tc>
          <w:tcPr>
            <w:tcW w:w="625" w:type="pct"/>
            <w:shd w:val="clear" w:color="auto" w:fill="auto"/>
            <w:vAlign w:val="center"/>
          </w:tcPr>
          <w:p w14:paraId="7F3E9EDF" w14:textId="77777777" w:rsidR="002E6F4F" w:rsidRPr="001611DC" w:rsidRDefault="002E6F4F" w:rsidP="00ED36A0">
            <w:pPr>
              <w:pStyle w:val="TableText0"/>
            </w:pPr>
            <w:r w:rsidRPr="001611DC">
              <w:t>QALYs over a lifetime</w:t>
            </w:r>
          </w:p>
        </w:tc>
        <w:tc>
          <w:tcPr>
            <w:tcW w:w="1808" w:type="pct"/>
            <w:shd w:val="clear" w:color="auto" w:fill="auto"/>
            <w:vAlign w:val="center"/>
          </w:tcPr>
          <w:p w14:paraId="2061CA19" w14:textId="77777777" w:rsidR="002E6F4F" w:rsidRPr="001611DC" w:rsidRDefault="002E6F4F" w:rsidP="00ED36A0">
            <w:pPr>
              <w:pStyle w:val="TableText0"/>
            </w:pPr>
            <w:r w:rsidRPr="001611DC">
              <w:t>QALYs were accrued over a lifetime from deaths avoided</w:t>
            </w:r>
          </w:p>
        </w:tc>
        <w:tc>
          <w:tcPr>
            <w:tcW w:w="2567" w:type="pct"/>
            <w:shd w:val="clear" w:color="auto" w:fill="auto"/>
            <w:vAlign w:val="center"/>
          </w:tcPr>
          <w:p w14:paraId="6292E8F0" w14:textId="77777777" w:rsidR="002E6F4F" w:rsidRPr="001611DC" w:rsidRDefault="002E6F4F" w:rsidP="00ED36A0">
            <w:pPr>
              <w:pStyle w:val="TableText0"/>
            </w:pPr>
            <w:r w:rsidRPr="001611DC">
              <w:t>High, favours RSVPreF3 OA</w:t>
            </w:r>
          </w:p>
          <w:p w14:paraId="38FF2072" w14:textId="77777777" w:rsidR="002E6F4F" w:rsidRPr="001611DC" w:rsidRDefault="002E6F4F" w:rsidP="00ED36A0">
            <w:pPr>
              <w:pStyle w:val="TableText0"/>
            </w:pPr>
            <w:r w:rsidRPr="001611DC">
              <w:t>Including QALYs only over the model time horizon increased the ICER to</w:t>
            </w:r>
          </w:p>
          <w:p w14:paraId="2E8C866A" w14:textId="4C82B374" w:rsidR="002E6F4F" w:rsidRPr="001611DC" w:rsidRDefault="00E2719A" w:rsidP="00D242A3">
            <w:pPr>
              <w:pStyle w:val="TableText0"/>
              <w:numPr>
                <w:ilvl w:val="0"/>
                <w:numId w:val="15"/>
              </w:numPr>
            </w:pPr>
            <w:r w:rsidRPr="001611DC">
              <w:t>≥</w:t>
            </w:r>
            <w:r w:rsidR="002E6F4F" w:rsidRPr="001611DC">
              <w:t xml:space="preserve">60 YOA = </w:t>
            </w:r>
            <w:r w:rsidR="00BD3549" w:rsidRPr="00BD3549">
              <w:rPr>
                <w:color w:val="000000"/>
                <w:spacing w:val="53"/>
                <w:shd w:val="solid" w:color="000000" w:fill="000000"/>
                <w:fitText w:val="330" w:id="-893677557"/>
                <w14:textFill>
                  <w14:solidFill>
                    <w14:srgbClr w14:val="000000">
                      <w14:alpha w14:val="100000"/>
                    </w14:srgbClr>
                  </w14:solidFill>
                </w14:textFill>
              </w:rPr>
              <w:t>|||</w:t>
            </w:r>
            <w:r w:rsidR="00BD3549" w:rsidRPr="00BD3549">
              <w:rPr>
                <w:color w:val="000000"/>
                <w:spacing w:val="1"/>
                <w:shd w:val="solid" w:color="000000" w:fill="000000"/>
                <w:fitText w:val="330" w:id="-893677557"/>
                <w14:textFill>
                  <w14:solidFill>
                    <w14:srgbClr w14:val="000000">
                      <w14:alpha w14:val="100000"/>
                    </w14:srgbClr>
                  </w14:solidFill>
                </w14:textFill>
              </w:rPr>
              <w:t>|</w:t>
            </w:r>
            <w:r w:rsidR="000D51DB" w:rsidRPr="000D51DB">
              <w:rPr>
                <w:vertAlign w:val="superscript"/>
              </w:rPr>
              <w:t>3</w:t>
            </w:r>
            <w:r w:rsidR="002E6F4F" w:rsidRPr="001611DC">
              <w:t>/QALY gained</w:t>
            </w:r>
          </w:p>
          <w:p w14:paraId="600D518B" w14:textId="13A5573D" w:rsidR="002E6F4F" w:rsidRPr="001611DC" w:rsidRDefault="00E2719A" w:rsidP="00D242A3">
            <w:pPr>
              <w:pStyle w:val="TableText0"/>
              <w:numPr>
                <w:ilvl w:val="0"/>
                <w:numId w:val="15"/>
              </w:numPr>
              <w:rPr>
                <w:i/>
              </w:rPr>
            </w:pPr>
            <w:r w:rsidRPr="001611DC">
              <w:t>≥</w:t>
            </w:r>
            <w:r w:rsidR="002E6F4F" w:rsidRPr="001611DC">
              <w:t xml:space="preserve">75 YOA = </w:t>
            </w:r>
            <w:r w:rsidR="00BD3549" w:rsidRPr="00BD3549">
              <w:rPr>
                <w:color w:val="000000"/>
                <w:spacing w:val="53"/>
                <w:shd w:val="solid" w:color="000000" w:fill="000000"/>
                <w:fitText w:val="330" w:id="-893677556"/>
                <w14:textFill>
                  <w14:solidFill>
                    <w14:srgbClr w14:val="000000">
                      <w14:alpha w14:val="100000"/>
                    </w14:srgbClr>
                  </w14:solidFill>
                </w14:textFill>
              </w:rPr>
              <w:t>|||</w:t>
            </w:r>
            <w:r w:rsidR="00BD3549" w:rsidRPr="00BD3549">
              <w:rPr>
                <w:color w:val="000000"/>
                <w:spacing w:val="1"/>
                <w:shd w:val="solid" w:color="000000" w:fill="000000"/>
                <w:fitText w:val="330" w:id="-893677556"/>
                <w14:textFill>
                  <w14:solidFill>
                    <w14:srgbClr w14:val="000000">
                      <w14:alpha w14:val="100000"/>
                    </w14:srgbClr>
                  </w14:solidFill>
                </w14:textFill>
              </w:rPr>
              <w:t>|</w:t>
            </w:r>
            <w:r w:rsidR="00DE3109" w:rsidRPr="00DE3109">
              <w:rPr>
                <w:vertAlign w:val="superscript"/>
              </w:rPr>
              <w:t>4</w:t>
            </w:r>
            <w:r w:rsidR="002E6F4F" w:rsidRPr="001611DC">
              <w:t>/QALY gained</w:t>
            </w:r>
          </w:p>
        </w:tc>
      </w:tr>
      <w:tr w:rsidR="002E6F4F" w:rsidRPr="001611DC" w14:paraId="4A5B5015" w14:textId="77777777" w:rsidTr="00ED36A0">
        <w:tc>
          <w:tcPr>
            <w:tcW w:w="625" w:type="pct"/>
            <w:shd w:val="clear" w:color="auto" w:fill="auto"/>
            <w:vAlign w:val="center"/>
          </w:tcPr>
          <w:p w14:paraId="283CD7F2" w14:textId="77777777" w:rsidR="002E6F4F" w:rsidRPr="001611DC" w:rsidRDefault="002E6F4F" w:rsidP="00ED36A0">
            <w:pPr>
              <w:pStyle w:val="TableText0"/>
            </w:pPr>
            <w:r w:rsidRPr="001611DC">
              <w:t>RSV-LRTD VE waning rate</w:t>
            </w:r>
          </w:p>
        </w:tc>
        <w:tc>
          <w:tcPr>
            <w:tcW w:w="1808" w:type="pct"/>
            <w:shd w:val="clear" w:color="auto" w:fill="auto"/>
            <w:vAlign w:val="center"/>
          </w:tcPr>
          <w:p w14:paraId="4135245F" w14:textId="77777777" w:rsidR="002E6F4F" w:rsidRPr="001611DC" w:rsidRDefault="002E6F4F" w:rsidP="00ED36A0">
            <w:pPr>
              <w:pStyle w:val="TableText0"/>
            </w:pPr>
            <w:r w:rsidRPr="001611DC">
              <w:t>Extrapolated using regression modelling</w:t>
            </w:r>
          </w:p>
          <w:p w14:paraId="2EC138F7" w14:textId="77777777" w:rsidR="002E6F4F" w:rsidRPr="001611DC" w:rsidRDefault="002E6F4F" w:rsidP="00ED36A0">
            <w:pPr>
              <w:pStyle w:val="TableText0"/>
            </w:pPr>
          </w:p>
        </w:tc>
        <w:tc>
          <w:tcPr>
            <w:tcW w:w="2567" w:type="pct"/>
            <w:shd w:val="clear" w:color="auto" w:fill="auto"/>
            <w:vAlign w:val="center"/>
          </w:tcPr>
          <w:p w14:paraId="45B31726" w14:textId="77777777" w:rsidR="002E6F4F" w:rsidRPr="001611DC" w:rsidRDefault="002E6F4F" w:rsidP="00ED36A0">
            <w:pPr>
              <w:pStyle w:val="TableText0"/>
            </w:pPr>
            <w:r w:rsidRPr="001611DC">
              <w:t>High, favours RSVPreF3 OA</w:t>
            </w:r>
          </w:p>
          <w:p w14:paraId="028BE839" w14:textId="77777777" w:rsidR="002E6F4F" w:rsidRPr="001611DC" w:rsidRDefault="002E6F4F" w:rsidP="00ED36A0">
            <w:pPr>
              <w:pStyle w:val="TableText0"/>
            </w:pPr>
            <w:r w:rsidRPr="001611DC">
              <w:t>Use of upper CI (4.3%) increased the ICER to</w:t>
            </w:r>
          </w:p>
          <w:p w14:paraId="4C5876E6" w14:textId="4456C3FA" w:rsidR="002E6F4F" w:rsidRPr="001611DC" w:rsidRDefault="00E2719A" w:rsidP="00D242A3">
            <w:pPr>
              <w:pStyle w:val="TableText0"/>
              <w:numPr>
                <w:ilvl w:val="0"/>
                <w:numId w:val="15"/>
              </w:numPr>
              <w:rPr>
                <w:iCs/>
              </w:rPr>
            </w:pPr>
            <w:r w:rsidRPr="001611DC">
              <w:rPr>
                <w:iCs/>
              </w:rPr>
              <w:t>≥</w:t>
            </w:r>
            <w:r w:rsidR="002E6F4F" w:rsidRPr="001611DC">
              <w:rPr>
                <w:iCs/>
              </w:rPr>
              <w:t xml:space="preserve">60 YOA = </w:t>
            </w:r>
            <w:r w:rsidR="00BD3549" w:rsidRPr="00BD3549">
              <w:rPr>
                <w:iCs/>
                <w:color w:val="000000"/>
                <w:spacing w:val="53"/>
                <w:shd w:val="solid" w:color="000000" w:fill="000000"/>
                <w:fitText w:val="330" w:id="-893677555"/>
                <w14:textFill>
                  <w14:solidFill>
                    <w14:srgbClr w14:val="000000">
                      <w14:alpha w14:val="100000"/>
                    </w14:srgbClr>
                  </w14:solidFill>
                </w14:textFill>
              </w:rPr>
              <w:t>|||</w:t>
            </w:r>
            <w:r w:rsidR="00BD3549" w:rsidRPr="00BD3549">
              <w:rPr>
                <w:iCs/>
                <w:color w:val="000000"/>
                <w:spacing w:val="1"/>
                <w:shd w:val="solid" w:color="000000" w:fill="000000"/>
                <w:fitText w:val="330" w:id="-893677555"/>
                <w14:textFill>
                  <w14:solidFill>
                    <w14:srgbClr w14:val="000000">
                      <w14:alpha w14:val="100000"/>
                    </w14:srgbClr>
                  </w14:solidFill>
                </w14:textFill>
              </w:rPr>
              <w:t>|</w:t>
            </w:r>
            <w:r w:rsidR="006755D4" w:rsidRPr="00351731">
              <w:rPr>
                <w:iCs/>
                <w:vertAlign w:val="superscript"/>
              </w:rPr>
              <w:t>5</w:t>
            </w:r>
            <w:r w:rsidR="002E6F4F" w:rsidRPr="001611DC">
              <w:rPr>
                <w:iCs/>
              </w:rPr>
              <w:t>/QALY gained</w:t>
            </w:r>
          </w:p>
          <w:p w14:paraId="78D62521" w14:textId="23E3253D" w:rsidR="002E6F4F" w:rsidRPr="001611DC" w:rsidRDefault="00E2719A" w:rsidP="00D242A3">
            <w:pPr>
              <w:pStyle w:val="TableText0"/>
              <w:numPr>
                <w:ilvl w:val="0"/>
                <w:numId w:val="15"/>
              </w:numPr>
              <w:rPr>
                <w:i/>
              </w:rPr>
            </w:pPr>
            <w:r w:rsidRPr="001611DC">
              <w:rPr>
                <w:iCs/>
              </w:rPr>
              <w:t>≥</w:t>
            </w:r>
            <w:r w:rsidR="002E6F4F" w:rsidRPr="001611DC">
              <w:rPr>
                <w:iCs/>
              </w:rPr>
              <w:t xml:space="preserve">75 YOA = </w:t>
            </w:r>
            <w:r w:rsidR="00BD3549" w:rsidRPr="00BD3549">
              <w:rPr>
                <w:iCs/>
                <w:color w:val="000000"/>
                <w:spacing w:val="53"/>
                <w:shd w:val="solid" w:color="000000" w:fill="000000"/>
                <w:fitText w:val="330" w:id="-893677554"/>
                <w14:textFill>
                  <w14:solidFill>
                    <w14:srgbClr w14:val="000000">
                      <w14:alpha w14:val="100000"/>
                    </w14:srgbClr>
                  </w14:solidFill>
                </w14:textFill>
              </w:rPr>
              <w:t>|||</w:t>
            </w:r>
            <w:r w:rsidR="00BD3549" w:rsidRPr="00BD3549">
              <w:rPr>
                <w:iCs/>
                <w:color w:val="000000"/>
                <w:spacing w:val="1"/>
                <w:shd w:val="solid" w:color="000000" w:fill="000000"/>
                <w:fitText w:val="330" w:id="-893677554"/>
                <w14:textFill>
                  <w14:solidFill>
                    <w14:srgbClr w14:val="000000">
                      <w14:alpha w14:val="100000"/>
                    </w14:srgbClr>
                  </w14:solidFill>
                </w14:textFill>
              </w:rPr>
              <w:t>|</w:t>
            </w:r>
            <w:r w:rsidR="00874350" w:rsidRPr="00497173">
              <w:rPr>
                <w:rFonts w:cs="Arial"/>
                <w:szCs w:val="20"/>
                <w:vertAlign w:val="superscript"/>
              </w:rPr>
              <w:t>1</w:t>
            </w:r>
            <w:r w:rsidR="002E6F4F" w:rsidRPr="001611DC">
              <w:rPr>
                <w:iCs/>
              </w:rPr>
              <w:t>/QALY gained</w:t>
            </w:r>
          </w:p>
        </w:tc>
      </w:tr>
      <w:tr w:rsidR="002E6F4F" w:rsidRPr="001611DC" w14:paraId="53EE3008" w14:textId="77777777" w:rsidTr="00ED36A0">
        <w:tc>
          <w:tcPr>
            <w:tcW w:w="625" w:type="pct"/>
            <w:shd w:val="clear" w:color="auto" w:fill="auto"/>
            <w:vAlign w:val="center"/>
          </w:tcPr>
          <w:p w14:paraId="2C1C2174" w14:textId="77777777" w:rsidR="002E6F4F" w:rsidRPr="001611DC" w:rsidRDefault="002E6F4F" w:rsidP="00ED36A0">
            <w:pPr>
              <w:pStyle w:val="TableText0"/>
            </w:pPr>
            <w:r w:rsidRPr="001611DC">
              <w:t>RSV-LRTD Peak VE</w:t>
            </w:r>
          </w:p>
        </w:tc>
        <w:tc>
          <w:tcPr>
            <w:tcW w:w="1808" w:type="pct"/>
            <w:shd w:val="clear" w:color="auto" w:fill="auto"/>
            <w:vAlign w:val="center"/>
          </w:tcPr>
          <w:p w14:paraId="4E3C213A" w14:textId="77777777" w:rsidR="002E6F4F" w:rsidRPr="001611DC" w:rsidRDefault="002E6F4F" w:rsidP="00ED36A0">
            <w:pPr>
              <w:pStyle w:val="TableText0"/>
            </w:pPr>
            <w:r w:rsidRPr="001611DC">
              <w:t>Extrapolated using regression modelling</w:t>
            </w:r>
          </w:p>
        </w:tc>
        <w:tc>
          <w:tcPr>
            <w:tcW w:w="2567" w:type="pct"/>
            <w:shd w:val="clear" w:color="auto" w:fill="auto"/>
            <w:vAlign w:val="center"/>
          </w:tcPr>
          <w:p w14:paraId="73D38FD9" w14:textId="77777777" w:rsidR="002E6F4F" w:rsidRPr="001611DC" w:rsidRDefault="002E6F4F" w:rsidP="00ED36A0">
            <w:pPr>
              <w:pStyle w:val="TableText0"/>
            </w:pPr>
            <w:r w:rsidRPr="001611DC">
              <w:t>High, favours RSVPreF3 OA</w:t>
            </w:r>
          </w:p>
          <w:p w14:paraId="1642799C" w14:textId="77777777" w:rsidR="002E6F4F" w:rsidRPr="001611DC" w:rsidRDefault="002E6F4F" w:rsidP="00ED36A0">
            <w:pPr>
              <w:pStyle w:val="TableText0"/>
            </w:pPr>
            <w:r w:rsidRPr="001611DC">
              <w:t>Use of lower CI (65.8%) increased the ICER to</w:t>
            </w:r>
          </w:p>
          <w:p w14:paraId="0F40203B" w14:textId="008F2DBE" w:rsidR="002E6F4F" w:rsidRPr="001611DC" w:rsidRDefault="00E2719A" w:rsidP="00D242A3">
            <w:pPr>
              <w:pStyle w:val="TableText0"/>
              <w:numPr>
                <w:ilvl w:val="0"/>
                <w:numId w:val="15"/>
              </w:numPr>
              <w:rPr>
                <w:iCs/>
              </w:rPr>
            </w:pPr>
            <w:r w:rsidRPr="001611DC">
              <w:rPr>
                <w:iCs/>
              </w:rPr>
              <w:t>≥</w:t>
            </w:r>
            <w:r w:rsidR="002E6F4F" w:rsidRPr="001611DC">
              <w:rPr>
                <w:iCs/>
              </w:rPr>
              <w:t xml:space="preserve">60 YOA = </w:t>
            </w:r>
            <w:r w:rsidR="00BD3549" w:rsidRPr="00BD3549">
              <w:rPr>
                <w:iCs/>
                <w:color w:val="000000"/>
                <w:spacing w:val="53"/>
                <w:shd w:val="solid" w:color="000000" w:fill="000000"/>
                <w:fitText w:val="330" w:id="-893677553"/>
                <w14:textFill>
                  <w14:solidFill>
                    <w14:srgbClr w14:val="000000">
                      <w14:alpha w14:val="100000"/>
                    </w14:srgbClr>
                  </w14:solidFill>
                </w14:textFill>
              </w:rPr>
              <w:t>|||</w:t>
            </w:r>
            <w:r w:rsidR="00BD3549" w:rsidRPr="00BD3549">
              <w:rPr>
                <w:iCs/>
                <w:color w:val="000000"/>
                <w:spacing w:val="1"/>
                <w:shd w:val="solid" w:color="000000" w:fill="000000"/>
                <w:fitText w:val="330" w:id="-893677553"/>
                <w14:textFill>
                  <w14:solidFill>
                    <w14:srgbClr w14:val="000000">
                      <w14:alpha w14:val="100000"/>
                    </w14:srgbClr>
                  </w14:solidFill>
                </w14:textFill>
              </w:rPr>
              <w:t>|</w:t>
            </w:r>
            <w:r w:rsidR="00351731" w:rsidRPr="00351731">
              <w:rPr>
                <w:iCs/>
                <w:vertAlign w:val="superscript"/>
              </w:rPr>
              <w:t>5</w:t>
            </w:r>
            <w:r w:rsidR="002E6F4F" w:rsidRPr="001611DC">
              <w:rPr>
                <w:iCs/>
              </w:rPr>
              <w:t>/QALY gained</w:t>
            </w:r>
          </w:p>
          <w:p w14:paraId="2A2120A5" w14:textId="3E267DDC" w:rsidR="002E6F4F" w:rsidRPr="001611DC" w:rsidRDefault="00E2719A" w:rsidP="00D242A3">
            <w:pPr>
              <w:pStyle w:val="TableText0"/>
              <w:numPr>
                <w:ilvl w:val="0"/>
                <w:numId w:val="15"/>
              </w:numPr>
              <w:rPr>
                <w:i/>
              </w:rPr>
            </w:pPr>
            <w:r w:rsidRPr="001611DC">
              <w:rPr>
                <w:iCs/>
              </w:rPr>
              <w:t>≥</w:t>
            </w:r>
            <w:r w:rsidR="002E6F4F" w:rsidRPr="001611DC">
              <w:rPr>
                <w:iCs/>
              </w:rPr>
              <w:t xml:space="preserve">75 YOA = </w:t>
            </w:r>
            <w:r w:rsidR="00BD3549" w:rsidRPr="00BD3549">
              <w:rPr>
                <w:iCs/>
                <w:color w:val="000000"/>
                <w:spacing w:val="53"/>
                <w:shd w:val="solid" w:color="000000" w:fill="000000"/>
                <w:fitText w:val="330" w:id="-893677552"/>
                <w14:textFill>
                  <w14:solidFill>
                    <w14:srgbClr w14:val="000000">
                      <w14:alpha w14:val="100000"/>
                    </w14:srgbClr>
                  </w14:solidFill>
                </w14:textFill>
              </w:rPr>
              <w:t>|||</w:t>
            </w:r>
            <w:r w:rsidR="00BD3549" w:rsidRPr="00BD3549">
              <w:rPr>
                <w:iCs/>
                <w:color w:val="000000"/>
                <w:spacing w:val="1"/>
                <w:shd w:val="solid" w:color="000000" w:fill="000000"/>
                <w:fitText w:val="330" w:id="-893677552"/>
                <w14:textFill>
                  <w14:solidFill>
                    <w14:srgbClr w14:val="000000">
                      <w14:alpha w14:val="100000"/>
                    </w14:srgbClr>
                  </w14:solidFill>
                </w14:textFill>
              </w:rPr>
              <w:t>|</w:t>
            </w:r>
            <w:r w:rsidR="00874350" w:rsidRPr="00497173">
              <w:rPr>
                <w:rFonts w:cs="Arial"/>
                <w:szCs w:val="20"/>
                <w:vertAlign w:val="superscript"/>
              </w:rPr>
              <w:t>1</w:t>
            </w:r>
            <w:r w:rsidR="002E6F4F" w:rsidRPr="001611DC">
              <w:rPr>
                <w:iCs/>
              </w:rPr>
              <w:t>/QALY gained</w:t>
            </w:r>
          </w:p>
        </w:tc>
      </w:tr>
      <w:tr w:rsidR="002E6F4F" w:rsidRPr="001611DC" w14:paraId="649309CE" w14:textId="77777777" w:rsidTr="00ED36A0">
        <w:tc>
          <w:tcPr>
            <w:tcW w:w="625" w:type="pct"/>
            <w:shd w:val="clear" w:color="auto" w:fill="auto"/>
            <w:vAlign w:val="center"/>
          </w:tcPr>
          <w:p w14:paraId="73B597CB" w14:textId="77777777" w:rsidR="002E6F4F" w:rsidRPr="001611DC" w:rsidRDefault="002E6F4F" w:rsidP="00ED36A0">
            <w:pPr>
              <w:pStyle w:val="TableText0"/>
            </w:pPr>
            <w:r w:rsidRPr="001611DC">
              <w:t>% RSV-LRTD hospitalised</w:t>
            </w:r>
          </w:p>
        </w:tc>
        <w:tc>
          <w:tcPr>
            <w:tcW w:w="1808" w:type="pct"/>
            <w:shd w:val="clear" w:color="auto" w:fill="auto"/>
            <w:vAlign w:val="center"/>
          </w:tcPr>
          <w:p w14:paraId="188D2E60" w14:textId="77777777" w:rsidR="002E6F4F" w:rsidRPr="001611DC" w:rsidRDefault="002E6F4F" w:rsidP="00ED36A0">
            <w:pPr>
              <w:pStyle w:val="TableText0"/>
            </w:pPr>
            <w:r w:rsidRPr="001611DC">
              <w:t>Branche et al. 2021</w:t>
            </w:r>
          </w:p>
        </w:tc>
        <w:tc>
          <w:tcPr>
            <w:tcW w:w="2567" w:type="pct"/>
            <w:shd w:val="clear" w:color="auto" w:fill="auto"/>
            <w:vAlign w:val="center"/>
          </w:tcPr>
          <w:p w14:paraId="7B38D471" w14:textId="77777777" w:rsidR="002E6F4F" w:rsidRPr="001611DC" w:rsidRDefault="002E6F4F" w:rsidP="00ED36A0">
            <w:pPr>
              <w:pStyle w:val="TableText0"/>
            </w:pPr>
            <w:r w:rsidRPr="001611DC">
              <w:t>High, favours RSVPreF3 OA</w:t>
            </w:r>
          </w:p>
          <w:p w14:paraId="4E3ADC66" w14:textId="77777777" w:rsidR="002E6F4F" w:rsidRPr="001611DC" w:rsidRDefault="002E6F4F" w:rsidP="00ED36A0">
            <w:pPr>
              <w:pStyle w:val="TableText0"/>
            </w:pPr>
            <w:r w:rsidRPr="001611DC">
              <w:t>Use of lower CI (age dependant) increased the ICER to</w:t>
            </w:r>
          </w:p>
          <w:p w14:paraId="43261DE1" w14:textId="679DBEBC" w:rsidR="002E6F4F" w:rsidRPr="001611DC" w:rsidRDefault="00E2719A" w:rsidP="00D242A3">
            <w:pPr>
              <w:pStyle w:val="TableText0"/>
              <w:numPr>
                <w:ilvl w:val="0"/>
                <w:numId w:val="15"/>
              </w:numPr>
              <w:rPr>
                <w:iCs/>
              </w:rPr>
            </w:pPr>
            <w:r w:rsidRPr="001611DC">
              <w:rPr>
                <w:iCs/>
              </w:rPr>
              <w:t>≥</w:t>
            </w:r>
            <w:r w:rsidR="002E6F4F" w:rsidRPr="001611DC">
              <w:rPr>
                <w:iCs/>
              </w:rPr>
              <w:t xml:space="preserve">60 YOA = </w:t>
            </w:r>
            <w:r w:rsidR="00BD3549" w:rsidRPr="00BD3549">
              <w:rPr>
                <w:iCs/>
                <w:color w:val="000000"/>
                <w:spacing w:val="53"/>
                <w:shd w:val="solid" w:color="000000" w:fill="000000"/>
                <w:fitText w:val="330" w:id="-893677568"/>
                <w14:textFill>
                  <w14:solidFill>
                    <w14:srgbClr w14:val="000000">
                      <w14:alpha w14:val="100000"/>
                    </w14:srgbClr>
                  </w14:solidFill>
                </w14:textFill>
              </w:rPr>
              <w:t>|||</w:t>
            </w:r>
            <w:r w:rsidR="00BD3549" w:rsidRPr="00BD3549">
              <w:rPr>
                <w:iCs/>
                <w:color w:val="000000"/>
                <w:spacing w:val="1"/>
                <w:shd w:val="solid" w:color="000000" w:fill="000000"/>
                <w:fitText w:val="330" w:id="-893677568"/>
                <w14:textFill>
                  <w14:solidFill>
                    <w14:srgbClr w14:val="000000">
                      <w14:alpha w14:val="100000"/>
                    </w14:srgbClr>
                  </w14:solidFill>
                </w14:textFill>
              </w:rPr>
              <w:t>|</w:t>
            </w:r>
            <w:r w:rsidR="006969F0" w:rsidRPr="00875E39">
              <w:rPr>
                <w:iCs/>
                <w:vertAlign w:val="superscript"/>
              </w:rPr>
              <w:t>6</w:t>
            </w:r>
            <w:r w:rsidR="002E6F4F" w:rsidRPr="001611DC">
              <w:rPr>
                <w:iCs/>
              </w:rPr>
              <w:t>/QALY gained</w:t>
            </w:r>
          </w:p>
          <w:p w14:paraId="28551F00" w14:textId="006459BE" w:rsidR="002E6F4F" w:rsidRPr="001611DC" w:rsidRDefault="00E2719A" w:rsidP="00D242A3">
            <w:pPr>
              <w:pStyle w:val="TableText0"/>
              <w:numPr>
                <w:ilvl w:val="0"/>
                <w:numId w:val="15"/>
              </w:numPr>
              <w:rPr>
                <w:i/>
              </w:rPr>
            </w:pPr>
            <w:r w:rsidRPr="001611DC">
              <w:rPr>
                <w:iCs/>
              </w:rPr>
              <w:t>≥</w:t>
            </w:r>
            <w:r w:rsidR="002E6F4F" w:rsidRPr="001611DC">
              <w:rPr>
                <w:iCs/>
              </w:rPr>
              <w:t xml:space="preserve">75 YOA = </w:t>
            </w:r>
            <w:r w:rsidR="00BD3549" w:rsidRPr="00BD3549">
              <w:rPr>
                <w:iCs/>
                <w:color w:val="000000"/>
                <w:spacing w:val="53"/>
                <w:shd w:val="solid" w:color="000000" w:fill="000000"/>
                <w:fitText w:val="330" w:id="-893677567"/>
                <w14:textFill>
                  <w14:solidFill>
                    <w14:srgbClr w14:val="000000">
                      <w14:alpha w14:val="100000"/>
                    </w14:srgbClr>
                  </w14:solidFill>
                </w14:textFill>
              </w:rPr>
              <w:t>|||</w:t>
            </w:r>
            <w:r w:rsidR="00BD3549" w:rsidRPr="00BD3549">
              <w:rPr>
                <w:iCs/>
                <w:color w:val="000000"/>
                <w:spacing w:val="1"/>
                <w:shd w:val="solid" w:color="000000" w:fill="000000"/>
                <w:fitText w:val="330" w:id="-893677567"/>
                <w14:textFill>
                  <w14:solidFill>
                    <w14:srgbClr w14:val="000000">
                      <w14:alpha w14:val="100000"/>
                    </w14:srgbClr>
                  </w14:solidFill>
                </w14:textFill>
              </w:rPr>
              <w:t>|</w:t>
            </w:r>
            <w:r w:rsidR="006755D4" w:rsidRPr="00DE3109">
              <w:rPr>
                <w:vertAlign w:val="superscript"/>
              </w:rPr>
              <w:t>4</w:t>
            </w:r>
            <w:r w:rsidR="002E6F4F" w:rsidRPr="001611DC">
              <w:rPr>
                <w:iCs/>
              </w:rPr>
              <w:t>/QALY gained</w:t>
            </w:r>
          </w:p>
        </w:tc>
      </w:tr>
      <w:tr w:rsidR="002E6F4F" w:rsidRPr="001611DC" w14:paraId="677B28F1" w14:textId="77777777" w:rsidTr="00ED36A0">
        <w:tc>
          <w:tcPr>
            <w:tcW w:w="625" w:type="pct"/>
            <w:shd w:val="clear" w:color="auto" w:fill="auto"/>
            <w:vAlign w:val="center"/>
          </w:tcPr>
          <w:p w14:paraId="77EC169F" w14:textId="77777777" w:rsidR="002E6F4F" w:rsidRPr="001611DC" w:rsidRDefault="002E6F4F" w:rsidP="00ED36A0">
            <w:pPr>
              <w:pStyle w:val="TableText0"/>
            </w:pPr>
            <w:r w:rsidRPr="001611DC">
              <w:t>Under-ascertainment multiplier</w:t>
            </w:r>
          </w:p>
        </w:tc>
        <w:tc>
          <w:tcPr>
            <w:tcW w:w="1808" w:type="pct"/>
            <w:shd w:val="clear" w:color="auto" w:fill="auto"/>
            <w:vAlign w:val="center"/>
          </w:tcPr>
          <w:p w14:paraId="372CDC74" w14:textId="77777777" w:rsidR="002E6F4F" w:rsidRPr="001611DC" w:rsidRDefault="002E6F4F" w:rsidP="00ED36A0">
            <w:pPr>
              <w:pStyle w:val="TableText0"/>
            </w:pPr>
            <w:r w:rsidRPr="001611DC">
              <w:t>Sourced from the literature</w:t>
            </w:r>
          </w:p>
        </w:tc>
        <w:tc>
          <w:tcPr>
            <w:tcW w:w="2567" w:type="pct"/>
            <w:shd w:val="clear" w:color="auto" w:fill="auto"/>
            <w:vAlign w:val="center"/>
          </w:tcPr>
          <w:p w14:paraId="4F12305F" w14:textId="77777777" w:rsidR="002E6F4F" w:rsidRPr="001611DC" w:rsidRDefault="002E6F4F" w:rsidP="00ED36A0">
            <w:pPr>
              <w:pStyle w:val="TableText0"/>
            </w:pPr>
            <w:r w:rsidRPr="001611DC">
              <w:t>Moderate, favours RSVPreF3 OA</w:t>
            </w:r>
          </w:p>
          <w:p w14:paraId="07D68B60" w14:textId="77777777" w:rsidR="002E6F4F" w:rsidRPr="001611DC" w:rsidRDefault="002E6F4F" w:rsidP="00ED36A0">
            <w:pPr>
              <w:pStyle w:val="TableText0"/>
            </w:pPr>
            <w:r w:rsidRPr="001611DC">
              <w:t>Use of lower CI (1.72) increased the ICER to</w:t>
            </w:r>
          </w:p>
          <w:p w14:paraId="4CAD93B4" w14:textId="5F9D992F" w:rsidR="002E6F4F" w:rsidRPr="001611DC" w:rsidRDefault="00E2719A" w:rsidP="00D242A3">
            <w:pPr>
              <w:pStyle w:val="TableText0"/>
              <w:numPr>
                <w:ilvl w:val="0"/>
                <w:numId w:val="15"/>
              </w:numPr>
            </w:pPr>
            <w:r w:rsidRPr="001611DC">
              <w:t>≥</w:t>
            </w:r>
            <w:r w:rsidR="002E6F4F" w:rsidRPr="001611DC">
              <w:t xml:space="preserve">60 YOA = </w:t>
            </w:r>
            <w:r w:rsidR="00BD3549" w:rsidRPr="00BD3549">
              <w:rPr>
                <w:color w:val="000000"/>
                <w:spacing w:val="53"/>
                <w:shd w:val="solid" w:color="000000" w:fill="000000"/>
                <w:fitText w:val="330" w:id="-893677566"/>
                <w14:textFill>
                  <w14:solidFill>
                    <w14:srgbClr w14:val="000000">
                      <w14:alpha w14:val="100000"/>
                    </w14:srgbClr>
                  </w14:solidFill>
                </w14:textFill>
              </w:rPr>
              <w:t>|||</w:t>
            </w:r>
            <w:r w:rsidR="00BD3549" w:rsidRPr="00BD3549">
              <w:rPr>
                <w:color w:val="000000"/>
                <w:spacing w:val="1"/>
                <w:shd w:val="solid" w:color="000000" w:fill="000000"/>
                <w:fitText w:val="330" w:id="-893677566"/>
                <w14:textFill>
                  <w14:solidFill>
                    <w14:srgbClr w14:val="000000">
                      <w14:alpha w14:val="100000"/>
                    </w14:srgbClr>
                  </w14:solidFill>
                </w14:textFill>
              </w:rPr>
              <w:t>|</w:t>
            </w:r>
            <w:r w:rsidR="00875E39" w:rsidRPr="00875E39">
              <w:rPr>
                <w:iCs/>
                <w:vertAlign w:val="superscript"/>
              </w:rPr>
              <w:t>6</w:t>
            </w:r>
            <w:r w:rsidR="002E6F4F" w:rsidRPr="001611DC">
              <w:t>/QALY gained</w:t>
            </w:r>
          </w:p>
          <w:p w14:paraId="3A083237" w14:textId="3A0AC0A0" w:rsidR="002E6F4F" w:rsidRPr="001611DC" w:rsidRDefault="00E2719A" w:rsidP="00D242A3">
            <w:pPr>
              <w:pStyle w:val="TableText0"/>
              <w:numPr>
                <w:ilvl w:val="0"/>
                <w:numId w:val="15"/>
              </w:numPr>
              <w:rPr>
                <w:i/>
              </w:rPr>
            </w:pPr>
            <w:r w:rsidRPr="001611DC">
              <w:t>≥</w:t>
            </w:r>
            <w:r w:rsidR="002E6F4F" w:rsidRPr="001611DC">
              <w:t xml:space="preserve">75 YOA = </w:t>
            </w:r>
            <w:r w:rsidR="00BD3549" w:rsidRPr="00BD3549">
              <w:rPr>
                <w:color w:val="000000"/>
                <w:spacing w:val="53"/>
                <w:shd w:val="solid" w:color="000000" w:fill="000000"/>
                <w:fitText w:val="330" w:id="-893677565"/>
                <w14:textFill>
                  <w14:solidFill>
                    <w14:srgbClr w14:val="000000">
                      <w14:alpha w14:val="100000"/>
                    </w14:srgbClr>
                  </w14:solidFill>
                </w14:textFill>
              </w:rPr>
              <w:t>|||</w:t>
            </w:r>
            <w:r w:rsidR="00BD3549" w:rsidRPr="00BD3549">
              <w:rPr>
                <w:color w:val="000000"/>
                <w:spacing w:val="1"/>
                <w:shd w:val="solid" w:color="000000" w:fill="000000"/>
                <w:fitText w:val="330" w:id="-893677565"/>
                <w14:textFill>
                  <w14:solidFill>
                    <w14:srgbClr w14:val="000000">
                      <w14:alpha w14:val="100000"/>
                    </w14:srgbClr>
                  </w14:solidFill>
                </w14:textFill>
              </w:rPr>
              <w:t>|</w:t>
            </w:r>
            <w:r w:rsidR="006755D4" w:rsidRPr="00DE3109">
              <w:rPr>
                <w:vertAlign w:val="superscript"/>
              </w:rPr>
              <w:t>4</w:t>
            </w:r>
            <w:r w:rsidR="002E6F4F" w:rsidRPr="001611DC">
              <w:t>/QALY gained</w:t>
            </w:r>
          </w:p>
        </w:tc>
      </w:tr>
      <w:tr w:rsidR="002E6F4F" w:rsidRPr="001611DC" w14:paraId="19ABD668" w14:textId="77777777" w:rsidTr="00ED36A0">
        <w:tc>
          <w:tcPr>
            <w:tcW w:w="625" w:type="pct"/>
            <w:shd w:val="clear" w:color="auto" w:fill="auto"/>
            <w:vAlign w:val="center"/>
          </w:tcPr>
          <w:p w14:paraId="7ADE91E5" w14:textId="77777777" w:rsidR="002E6F4F" w:rsidRPr="001611DC" w:rsidRDefault="002E6F4F" w:rsidP="00ED36A0">
            <w:pPr>
              <w:pStyle w:val="TableText0"/>
            </w:pPr>
            <w:bookmarkStart w:id="124" w:name="_Hlk165640130"/>
            <w:r w:rsidRPr="001611DC">
              <w:t>Hospital costs</w:t>
            </w:r>
          </w:p>
        </w:tc>
        <w:tc>
          <w:tcPr>
            <w:tcW w:w="1808" w:type="pct"/>
            <w:shd w:val="clear" w:color="auto" w:fill="auto"/>
            <w:vAlign w:val="center"/>
          </w:tcPr>
          <w:p w14:paraId="478FF10E" w14:textId="77777777" w:rsidR="002E6F4F" w:rsidRPr="001611DC" w:rsidRDefault="002E6F4F" w:rsidP="00ED36A0">
            <w:pPr>
              <w:pStyle w:val="TableText0"/>
            </w:pPr>
            <w:r w:rsidRPr="001611DC">
              <w:t>NHCDC cost weights adjusted by ICU, MV and LOS</w:t>
            </w:r>
          </w:p>
        </w:tc>
        <w:tc>
          <w:tcPr>
            <w:tcW w:w="2567" w:type="pct"/>
            <w:shd w:val="clear" w:color="auto" w:fill="auto"/>
            <w:vAlign w:val="center"/>
          </w:tcPr>
          <w:p w14:paraId="781F9175" w14:textId="77777777" w:rsidR="002E6F4F" w:rsidRPr="001611DC" w:rsidRDefault="002E6F4F" w:rsidP="00ED36A0">
            <w:pPr>
              <w:pStyle w:val="TableText0"/>
            </w:pPr>
            <w:r w:rsidRPr="001611DC">
              <w:t>Moderate, favours RSVPreF3 OA</w:t>
            </w:r>
          </w:p>
          <w:p w14:paraId="6E1C1A81" w14:textId="256EF564" w:rsidR="002E6F4F" w:rsidRPr="001611DC" w:rsidRDefault="002E6F4F" w:rsidP="00ED36A0">
            <w:pPr>
              <w:pStyle w:val="TableText0"/>
            </w:pPr>
            <w:r w:rsidRPr="001611DC">
              <w:t>Using NHCDC cost weights not adjusting by ICU, MV, and LOS increased the ICER to</w:t>
            </w:r>
          </w:p>
          <w:p w14:paraId="4731C15F" w14:textId="1F3568D8" w:rsidR="002E6F4F" w:rsidRPr="001611DC" w:rsidRDefault="00E2719A" w:rsidP="00D242A3">
            <w:pPr>
              <w:pStyle w:val="TableText0"/>
              <w:numPr>
                <w:ilvl w:val="0"/>
                <w:numId w:val="15"/>
              </w:numPr>
            </w:pPr>
            <w:r w:rsidRPr="001611DC">
              <w:t>≥</w:t>
            </w:r>
            <w:r w:rsidR="002E6F4F" w:rsidRPr="001611DC">
              <w:t xml:space="preserve">60 YOA = </w:t>
            </w:r>
            <w:r w:rsidR="00BD3549" w:rsidRPr="00BD3549">
              <w:rPr>
                <w:color w:val="000000"/>
                <w:spacing w:val="53"/>
                <w:shd w:val="solid" w:color="000000" w:fill="000000"/>
                <w:fitText w:val="330" w:id="-893677564"/>
                <w14:textFill>
                  <w14:solidFill>
                    <w14:srgbClr w14:val="000000">
                      <w14:alpha w14:val="100000"/>
                    </w14:srgbClr>
                  </w14:solidFill>
                </w14:textFill>
              </w:rPr>
              <w:t>|||</w:t>
            </w:r>
            <w:r w:rsidR="00BD3549" w:rsidRPr="00BD3549">
              <w:rPr>
                <w:color w:val="000000"/>
                <w:spacing w:val="1"/>
                <w:shd w:val="solid" w:color="000000" w:fill="000000"/>
                <w:fitText w:val="330" w:id="-893677564"/>
                <w14:textFill>
                  <w14:solidFill>
                    <w14:srgbClr w14:val="000000">
                      <w14:alpha w14:val="100000"/>
                    </w14:srgbClr>
                  </w14:solidFill>
                </w14:textFill>
              </w:rPr>
              <w:t>|</w:t>
            </w:r>
            <w:r w:rsidR="00875E39" w:rsidRPr="00875E39">
              <w:rPr>
                <w:iCs/>
                <w:vertAlign w:val="superscript"/>
              </w:rPr>
              <w:t>6</w:t>
            </w:r>
            <w:r w:rsidR="002E6F4F" w:rsidRPr="001611DC">
              <w:t>/QALY gained</w:t>
            </w:r>
          </w:p>
          <w:p w14:paraId="5AD432C0" w14:textId="0D748B37" w:rsidR="002E6F4F" w:rsidRPr="001611DC" w:rsidRDefault="00E2719A" w:rsidP="00D242A3">
            <w:pPr>
              <w:pStyle w:val="TableText0"/>
              <w:numPr>
                <w:ilvl w:val="0"/>
                <w:numId w:val="15"/>
              </w:numPr>
              <w:rPr>
                <w:i/>
              </w:rPr>
            </w:pPr>
            <w:r w:rsidRPr="001611DC">
              <w:t>≥</w:t>
            </w:r>
            <w:r w:rsidR="002E6F4F" w:rsidRPr="001611DC">
              <w:t xml:space="preserve">75 YOA = </w:t>
            </w:r>
            <w:r w:rsidR="00BD3549" w:rsidRPr="00BD3549">
              <w:rPr>
                <w:color w:val="000000"/>
                <w:spacing w:val="53"/>
                <w:shd w:val="solid" w:color="000000" w:fill="000000"/>
                <w:fitText w:val="330" w:id="-893677563"/>
                <w14:textFill>
                  <w14:solidFill>
                    <w14:srgbClr w14:val="000000">
                      <w14:alpha w14:val="100000"/>
                    </w14:srgbClr>
                  </w14:solidFill>
                </w14:textFill>
              </w:rPr>
              <w:t>|||</w:t>
            </w:r>
            <w:r w:rsidR="00BD3549" w:rsidRPr="00BD3549">
              <w:rPr>
                <w:color w:val="000000"/>
                <w:spacing w:val="1"/>
                <w:shd w:val="solid" w:color="000000" w:fill="000000"/>
                <w:fitText w:val="330" w:id="-893677563"/>
                <w14:textFill>
                  <w14:solidFill>
                    <w14:srgbClr w14:val="000000">
                      <w14:alpha w14:val="100000"/>
                    </w14:srgbClr>
                  </w14:solidFill>
                </w14:textFill>
              </w:rPr>
              <w:t>|</w:t>
            </w:r>
            <w:r w:rsidR="006755D4" w:rsidRPr="00DE3109">
              <w:rPr>
                <w:vertAlign w:val="superscript"/>
              </w:rPr>
              <w:t>4</w:t>
            </w:r>
            <w:r w:rsidR="002E6F4F" w:rsidRPr="001611DC">
              <w:t>/QALY gained</w:t>
            </w:r>
          </w:p>
        </w:tc>
      </w:tr>
    </w:tbl>
    <w:bookmarkEnd w:id="124"/>
    <w:p w14:paraId="704D0169" w14:textId="236E2726" w:rsidR="002E6F4F" w:rsidRPr="001611DC" w:rsidRDefault="002E6F4F" w:rsidP="002E6F4F">
      <w:pPr>
        <w:pStyle w:val="FooterTableFigure"/>
      </w:pPr>
      <w:r w:rsidRPr="001611DC">
        <w:t>Source: Table 3-64 &amp; 3-69, of the submission.</w:t>
      </w:r>
      <w:r w:rsidRPr="001611DC">
        <w:rPr>
          <w:iCs/>
        </w:rPr>
        <w:t xml:space="preserve"> </w:t>
      </w:r>
    </w:p>
    <w:p w14:paraId="553C0ABC" w14:textId="77777777" w:rsidR="002E6F4F" w:rsidRDefault="002E6F4F" w:rsidP="002E6F4F">
      <w:pPr>
        <w:pStyle w:val="FooterTableFigure"/>
        <w:rPr>
          <w:rFonts w:eastAsiaTheme="majorEastAsia"/>
        </w:rPr>
      </w:pPr>
      <w:r w:rsidRPr="001611DC">
        <w:rPr>
          <w:rFonts w:eastAsiaTheme="majorEastAsia"/>
        </w:rPr>
        <w:t>CI = confidence interval; ICER = incremental cost-effectiveness ratio; ICU = intensive care unit; LOS = length of stay; LRTD = lower respiratory tract disease; MV = mechanical ventilation; NHCDC =</w:t>
      </w:r>
      <w:r w:rsidRPr="001611DC">
        <w:t xml:space="preserve"> </w:t>
      </w:r>
      <w:r w:rsidRPr="001611DC">
        <w:rPr>
          <w:rFonts w:eastAsiaTheme="majorEastAsia"/>
        </w:rPr>
        <w:t xml:space="preserve">National Hospital Cost Data Collection; QALY = quality-adjusted life years; RSV = respiratory syncytial virus; </w:t>
      </w:r>
      <w:r w:rsidRPr="001611DC">
        <w:t xml:space="preserve">RSVPreF3 OA = RSV prefusion protein 3 older adult; </w:t>
      </w:r>
      <w:r w:rsidRPr="001611DC">
        <w:rPr>
          <w:rFonts w:eastAsiaTheme="majorEastAsia"/>
        </w:rPr>
        <w:t>VE = vaccine efficacy; YOA = years of age.</w:t>
      </w:r>
    </w:p>
    <w:p w14:paraId="6F2E3E0B" w14:textId="77777777" w:rsidR="002A7DF9" w:rsidRPr="004A4FE0" w:rsidRDefault="002A7DF9" w:rsidP="002A7DF9">
      <w:pPr>
        <w:pStyle w:val="FooterTableFigure"/>
        <w:rPr>
          <w:rFonts w:eastAsiaTheme="majorEastAsia"/>
          <w:i/>
          <w:iCs/>
        </w:rPr>
      </w:pPr>
      <w:r w:rsidRPr="004A4FE0">
        <w:rPr>
          <w:rFonts w:eastAsiaTheme="majorEastAsia"/>
          <w:i/>
          <w:iCs/>
        </w:rPr>
        <w:t>The redacted values correspond to the following ranges:</w:t>
      </w:r>
    </w:p>
    <w:p w14:paraId="5C0F1319" w14:textId="77777777" w:rsidR="002A7DF9" w:rsidRPr="004A4FE0" w:rsidRDefault="002A7DF9" w:rsidP="002A7DF9">
      <w:pPr>
        <w:pStyle w:val="FooterTableFigure"/>
        <w:rPr>
          <w:rFonts w:eastAsiaTheme="majorEastAsia"/>
          <w:i/>
          <w:iCs/>
        </w:rPr>
      </w:pPr>
      <w:r w:rsidRPr="004A4FE0">
        <w:rPr>
          <w:rFonts w:eastAsiaTheme="majorEastAsia"/>
          <w:i/>
          <w:iCs/>
        </w:rPr>
        <w:t>1 $25,000 to &lt; $35,000</w:t>
      </w:r>
    </w:p>
    <w:p w14:paraId="63C38191" w14:textId="7746F5CD" w:rsidR="00F146CE" w:rsidRPr="004A4FE0" w:rsidRDefault="00F146CE" w:rsidP="002A7DF9">
      <w:pPr>
        <w:pStyle w:val="FooterTableFigure"/>
        <w:rPr>
          <w:rFonts w:eastAsiaTheme="majorEastAsia"/>
          <w:i/>
          <w:iCs/>
        </w:rPr>
      </w:pPr>
      <w:r w:rsidRPr="004A4FE0">
        <w:rPr>
          <w:rFonts w:eastAsiaTheme="majorEastAsia"/>
          <w:i/>
          <w:iCs/>
        </w:rPr>
        <w:t>2 $5,000 to &lt; $15,000</w:t>
      </w:r>
    </w:p>
    <w:p w14:paraId="495C7D86" w14:textId="08B936AE" w:rsidR="002A7DF9" w:rsidRPr="004A4FE0" w:rsidRDefault="000D51DB" w:rsidP="002A7DF9">
      <w:pPr>
        <w:pStyle w:val="FooterTableFigure"/>
        <w:rPr>
          <w:rFonts w:eastAsiaTheme="majorEastAsia"/>
          <w:i/>
          <w:iCs/>
        </w:rPr>
      </w:pPr>
      <w:r w:rsidRPr="004A4FE0">
        <w:rPr>
          <w:rFonts w:eastAsiaTheme="majorEastAsia"/>
          <w:i/>
          <w:iCs/>
        </w:rPr>
        <w:t>3</w:t>
      </w:r>
      <w:r w:rsidR="002A7DF9" w:rsidRPr="004A4FE0">
        <w:rPr>
          <w:rFonts w:eastAsiaTheme="majorEastAsia"/>
          <w:i/>
          <w:iCs/>
        </w:rPr>
        <w:t xml:space="preserve"> $75,000 to &lt; $95,000</w:t>
      </w:r>
    </w:p>
    <w:p w14:paraId="1EE25045" w14:textId="5BA167D5" w:rsidR="00DE3109" w:rsidRPr="004A4FE0" w:rsidRDefault="00DE3109" w:rsidP="002A7DF9">
      <w:pPr>
        <w:pStyle w:val="FooterTableFigure"/>
        <w:rPr>
          <w:rFonts w:eastAsiaTheme="majorEastAsia"/>
          <w:i/>
          <w:iCs/>
        </w:rPr>
      </w:pPr>
      <w:r w:rsidRPr="004A4FE0">
        <w:rPr>
          <w:rFonts w:eastAsiaTheme="majorEastAsia"/>
          <w:i/>
          <w:iCs/>
        </w:rPr>
        <w:t>4 $15,000 to &lt; $25,000</w:t>
      </w:r>
    </w:p>
    <w:p w14:paraId="7C48568B" w14:textId="49391A2E" w:rsidR="002A7DF9" w:rsidRPr="004A4FE0" w:rsidRDefault="00351731" w:rsidP="002A7DF9">
      <w:pPr>
        <w:pStyle w:val="FooterTableFigure"/>
        <w:rPr>
          <w:rFonts w:eastAsiaTheme="majorEastAsia"/>
          <w:i/>
          <w:iCs/>
        </w:rPr>
      </w:pPr>
      <w:r w:rsidRPr="004A4FE0">
        <w:rPr>
          <w:rFonts w:eastAsiaTheme="majorEastAsia"/>
          <w:i/>
          <w:iCs/>
        </w:rPr>
        <w:t>5</w:t>
      </w:r>
      <w:r w:rsidR="002A7DF9" w:rsidRPr="004A4FE0">
        <w:rPr>
          <w:rFonts w:eastAsiaTheme="majorEastAsia"/>
          <w:i/>
          <w:iCs/>
        </w:rPr>
        <w:t xml:space="preserve"> $55,000 to &lt; $75,000</w:t>
      </w:r>
    </w:p>
    <w:p w14:paraId="4B366E4B" w14:textId="22BCC29A" w:rsidR="00875E39" w:rsidRPr="004A4FE0" w:rsidRDefault="00875E39" w:rsidP="002A7DF9">
      <w:pPr>
        <w:pStyle w:val="FooterTableFigure"/>
        <w:rPr>
          <w:rFonts w:eastAsiaTheme="majorEastAsia"/>
          <w:i/>
          <w:iCs/>
        </w:rPr>
      </w:pPr>
      <w:r w:rsidRPr="004A4FE0">
        <w:rPr>
          <w:rFonts w:eastAsiaTheme="majorEastAsia"/>
          <w:i/>
          <w:iCs/>
        </w:rPr>
        <w:t>6 $45,000 to &lt; $55,000</w:t>
      </w:r>
    </w:p>
    <w:p w14:paraId="7B74B638" w14:textId="4CA334D7" w:rsidR="002E6F4F" w:rsidRPr="001611DC" w:rsidRDefault="002E6F4F" w:rsidP="002E6F4F">
      <w:pPr>
        <w:pStyle w:val="3-BodyText"/>
      </w:pPr>
      <w:r w:rsidRPr="001611DC">
        <w:rPr>
          <w:iCs/>
        </w:rPr>
        <w:t xml:space="preserve">The submission did not present a stepped analysis. </w:t>
      </w:r>
      <w:bookmarkStart w:id="125" w:name="_Hlk166930505"/>
      <w:r w:rsidRPr="001611DC">
        <w:t xml:space="preserve">Stepped economic evaluation results estimated in the evaluation are presented in </w:t>
      </w:r>
      <w:bookmarkEnd w:id="125"/>
      <w:r w:rsidRPr="001611DC">
        <w:fldChar w:fldCharType="begin" w:fldLock="1"/>
      </w:r>
      <w:r w:rsidRPr="001611DC">
        <w:instrText xml:space="preserve"> REF _Ref104805181 \h  \* MERGEFORMAT </w:instrText>
      </w:r>
      <w:r w:rsidRPr="001611DC">
        <w:fldChar w:fldCharType="separate"/>
      </w:r>
      <w:r w:rsidR="00927933" w:rsidRPr="001611DC">
        <w:t>Table 18</w:t>
      </w:r>
      <w:r w:rsidRPr="001611DC">
        <w:fldChar w:fldCharType="end"/>
      </w:r>
      <w:r w:rsidRPr="001611DC">
        <w:t xml:space="preserve"> for the </w:t>
      </w:r>
      <w:r w:rsidR="00E2719A" w:rsidRPr="001611DC">
        <w:rPr>
          <w:rFonts w:cstheme="minorHAnsi"/>
        </w:rPr>
        <w:t>≥</w:t>
      </w:r>
      <w:r w:rsidRPr="001611DC">
        <w:t>60 YOA population.</w:t>
      </w:r>
    </w:p>
    <w:p w14:paraId="34FDE526" w14:textId="3A2E334E" w:rsidR="0012450F" w:rsidRPr="001611DC" w:rsidRDefault="0012450F" w:rsidP="004A4FE0">
      <w:pPr>
        <w:pStyle w:val="TableHeading"/>
        <w:spacing w:before="0" w:after="0"/>
      </w:pPr>
      <w:bookmarkStart w:id="126" w:name="_Ref104805181"/>
      <w:bookmarkStart w:id="127" w:name="_Hlk166930744"/>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18</w:t>
      </w:r>
      <w:r w:rsidR="005473CE" w:rsidRPr="001611DC">
        <w:fldChar w:fldCharType="end"/>
      </w:r>
      <w:bookmarkEnd w:id="126"/>
      <w:r w:rsidRPr="001611DC">
        <w:rPr>
          <w:rStyle w:val="CommentReference"/>
          <w:b/>
          <w:szCs w:val="24"/>
        </w:rPr>
        <w:t xml:space="preserve">: </w:t>
      </w:r>
      <w:r w:rsidRPr="00A80C39">
        <w:rPr>
          <w:rStyle w:val="CommentReference"/>
          <w:b/>
          <w:szCs w:val="24"/>
        </w:rPr>
        <w:t xml:space="preserve">Results of the stepped economic evaluation of RSVPreF3 OA vs no vaccine, </w:t>
      </w:r>
      <w:r w:rsidR="00E2719A" w:rsidRPr="00A80C39">
        <w:t>≥</w:t>
      </w:r>
      <w:r w:rsidRPr="00A80C39">
        <w:t>60 YOA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Table 18: Results of the stepped economic evaluation of RSVPreF3 OA vs no vaccine, ≥60 YOA population"/>
      </w:tblPr>
      <w:tblGrid>
        <w:gridCol w:w="1698"/>
        <w:gridCol w:w="2408"/>
        <w:gridCol w:w="2561"/>
        <w:gridCol w:w="2350"/>
      </w:tblGrid>
      <w:tr w:rsidR="00CE71D8" w:rsidRPr="001611DC" w14:paraId="0E6022AB" w14:textId="77777777" w:rsidTr="00EB145B">
        <w:trPr>
          <w:cantSplit/>
          <w:tblHeader/>
        </w:trPr>
        <w:tc>
          <w:tcPr>
            <w:tcW w:w="942" w:type="pct"/>
            <w:shd w:val="clear" w:color="auto" w:fill="FFFFFF"/>
            <w:vAlign w:val="center"/>
          </w:tcPr>
          <w:p w14:paraId="0B4CB4C8" w14:textId="77777777" w:rsidR="0012450F" w:rsidRPr="001611DC" w:rsidRDefault="0012450F" w:rsidP="00EB145B">
            <w:pPr>
              <w:pStyle w:val="In-tableHeading"/>
              <w:jc w:val="center"/>
              <w:rPr>
                <w:lang w:val="en-AU"/>
              </w:rPr>
            </w:pPr>
          </w:p>
        </w:tc>
        <w:tc>
          <w:tcPr>
            <w:tcW w:w="1335" w:type="pct"/>
            <w:shd w:val="clear" w:color="auto" w:fill="FFFFFF"/>
            <w:vAlign w:val="center"/>
          </w:tcPr>
          <w:p w14:paraId="18C00532" w14:textId="77777777" w:rsidR="0012450F" w:rsidRPr="001611DC" w:rsidRDefault="0012450F" w:rsidP="00EB145B">
            <w:pPr>
              <w:pStyle w:val="In-tableHeading"/>
              <w:jc w:val="center"/>
              <w:rPr>
                <w:lang w:val="en-AU"/>
              </w:rPr>
            </w:pPr>
            <w:r w:rsidRPr="001611DC">
              <w:rPr>
                <w:rStyle w:val="CommentReference"/>
                <w:b/>
                <w:szCs w:val="24"/>
                <w:lang w:val="en-AU"/>
              </w:rPr>
              <w:t>RSVPreF3 OA</w:t>
            </w:r>
          </w:p>
        </w:tc>
        <w:tc>
          <w:tcPr>
            <w:tcW w:w="1420" w:type="pct"/>
            <w:shd w:val="clear" w:color="auto" w:fill="FFFFFF"/>
            <w:vAlign w:val="center"/>
          </w:tcPr>
          <w:p w14:paraId="19940CE8" w14:textId="77777777" w:rsidR="0012450F" w:rsidRPr="001611DC" w:rsidRDefault="0012450F" w:rsidP="00EB145B">
            <w:pPr>
              <w:pStyle w:val="In-tableHeading"/>
              <w:jc w:val="center"/>
              <w:rPr>
                <w:lang w:val="en-AU"/>
              </w:rPr>
            </w:pPr>
            <w:r w:rsidRPr="001611DC">
              <w:rPr>
                <w:lang w:val="en-AU"/>
              </w:rPr>
              <w:t>No vaccine</w:t>
            </w:r>
          </w:p>
        </w:tc>
        <w:tc>
          <w:tcPr>
            <w:tcW w:w="1303" w:type="pct"/>
            <w:shd w:val="clear" w:color="auto" w:fill="FFFFFF"/>
            <w:vAlign w:val="center"/>
          </w:tcPr>
          <w:p w14:paraId="5FBFED88" w14:textId="77777777" w:rsidR="0012450F" w:rsidRPr="001611DC" w:rsidRDefault="0012450F" w:rsidP="00EB145B">
            <w:pPr>
              <w:pStyle w:val="In-tableHeading"/>
              <w:jc w:val="center"/>
              <w:rPr>
                <w:lang w:val="en-AU"/>
              </w:rPr>
            </w:pPr>
            <w:r w:rsidRPr="001611DC">
              <w:rPr>
                <w:lang w:val="en-AU"/>
              </w:rPr>
              <w:t>Increment</w:t>
            </w:r>
          </w:p>
        </w:tc>
      </w:tr>
      <w:tr w:rsidR="00CE71D8" w:rsidRPr="001611DC" w14:paraId="4DB88FA1" w14:textId="77777777" w:rsidTr="00EB145B">
        <w:trPr>
          <w:cantSplit/>
          <w:tblHeader/>
        </w:trPr>
        <w:tc>
          <w:tcPr>
            <w:tcW w:w="942" w:type="pct"/>
            <w:shd w:val="clear" w:color="auto" w:fill="FFFFFF"/>
            <w:vAlign w:val="center"/>
          </w:tcPr>
          <w:p w14:paraId="19245496" w14:textId="77777777" w:rsidR="0012450F" w:rsidRPr="001611DC" w:rsidRDefault="0012450F" w:rsidP="00EB145B">
            <w:pPr>
              <w:pStyle w:val="In-tableHeading"/>
              <w:rPr>
                <w:lang w:val="en-AU"/>
              </w:rPr>
            </w:pPr>
            <w:r w:rsidRPr="001611DC">
              <w:rPr>
                <w:lang w:val="en-AU"/>
              </w:rPr>
              <w:t>Population</w:t>
            </w:r>
          </w:p>
        </w:tc>
        <w:tc>
          <w:tcPr>
            <w:tcW w:w="1335" w:type="pct"/>
            <w:shd w:val="clear" w:color="auto" w:fill="FFFFFF"/>
            <w:vAlign w:val="center"/>
          </w:tcPr>
          <w:p w14:paraId="21CDB425" w14:textId="680D320F" w:rsidR="0012450F" w:rsidRPr="00F84D1A" w:rsidRDefault="00BD3549" w:rsidP="00EB145B">
            <w:pPr>
              <w:pStyle w:val="In-tableHeading"/>
              <w:jc w:val="center"/>
              <w:rPr>
                <w:rStyle w:val="CommentReference"/>
                <w:b/>
                <w:szCs w:val="24"/>
                <w:vertAlign w:val="superscript"/>
                <w:lang w:val="en-AU"/>
              </w:rPr>
            </w:pPr>
            <w:r w:rsidRPr="00BD3549">
              <w:rPr>
                <w:rStyle w:val="CommentReference"/>
                <w:b/>
                <w:color w:val="000000"/>
                <w:szCs w:val="24"/>
                <w:shd w:val="solid" w:color="000000" w:fill="000000"/>
                <w:lang w:val="en-AU"/>
                <w14:textFill>
                  <w14:solidFill>
                    <w14:srgbClr w14:val="000000">
                      <w14:alpha w14:val="100000"/>
                    </w14:srgbClr>
                  </w14:solidFill>
                </w14:textFill>
              </w:rPr>
              <w:t>|</w:t>
            </w:r>
            <w:r w:rsidR="00F84D1A">
              <w:rPr>
                <w:rStyle w:val="CommentReference"/>
                <w:b/>
                <w:szCs w:val="24"/>
                <w:vertAlign w:val="superscript"/>
                <w:lang w:val="en-AU"/>
              </w:rPr>
              <w:t>1</w:t>
            </w:r>
          </w:p>
        </w:tc>
        <w:tc>
          <w:tcPr>
            <w:tcW w:w="1420" w:type="pct"/>
            <w:shd w:val="clear" w:color="auto" w:fill="FFFFFF"/>
            <w:vAlign w:val="center"/>
          </w:tcPr>
          <w:p w14:paraId="6B84A503" w14:textId="4A6AE04B" w:rsidR="0012450F" w:rsidRPr="00F84D1A" w:rsidRDefault="00BD3549" w:rsidP="00EB145B">
            <w:pPr>
              <w:pStyle w:val="In-tableHeading"/>
              <w:jc w:val="center"/>
              <w:rPr>
                <w:vertAlign w:val="superscript"/>
                <w:lang w:val="en-AU"/>
              </w:rPr>
            </w:pPr>
            <w:r w:rsidRPr="00BD3549">
              <w:rPr>
                <w:color w:val="000000"/>
                <w:shd w:val="solid" w:color="000000" w:fill="000000"/>
                <w:lang w:val="en-AU"/>
                <w14:textFill>
                  <w14:solidFill>
                    <w14:srgbClr w14:val="000000">
                      <w14:alpha w14:val="100000"/>
                    </w14:srgbClr>
                  </w14:solidFill>
                </w14:textFill>
              </w:rPr>
              <w:t>|</w:t>
            </w:r>
            <w:r w:rsidR="00F84D1A">
              <w:rPr>
                <w:vertAlign w:val="superscript"/>
                <w:lang w:val="en-AU"/>
              </w:rPr>
              <w:t>1</w:t>
            </w:r>
          </w:p>
        </w:tc>
        <w:tc>
          <w:tcPr>
            <w:tcW w:w="1303" w:type="pct"/>
            <w:shd w:val="clear" w:color="auto" w:fill="FFFFFF"/>
            <w:vAlign w:val="center"/>
          </w:tcPr>
          <w:p w14:paraId="5ABB5F6C" w14:textId="77777777" w:rsidR="0012450F" w:rsidRPr="001611DC" w:rsidRDefault="0012450F" w:rsidP="00EB145B">
            <w:pPr>
              <w:pStyle w:val="In-tableHeading"/>
              <w:jc w:val="center"/>
              <w:rPr>
                <w:lang w:val="en-AU"/>
              </w:rPr>
            </w:pPr>
            <w:r w:rsidRPr="001611DC">
              <w:rPr>
                <w:lang w:val="en-AU"/>
              </w:rPr>
              <w:t>-</w:t>
            </w:r>
          </w:p>
        </w:tc>
      </w:tr>
      <w:tr w:rsidR="00CE71D8" w:rsidRPr="001611DC" w14:paraId="77E464A7" w14:textId="77777777" w:rsidTr="00EB145B">
        <w:trPr>
          <w:cantSplit/>
          <w:tblHeader/>
        </w:trPr>
        <w:tc>
          <w:tcPr>
            <w:tcW w:w="5000" w:type="pct"/>
            <w:gridSpan w:val="4"/>
            <w:shd w:val="clear" w:color="auto" w:fill="FFFFFF"/>
            <w:vAlign w:val="center"/>
          </w:tcPr>
          <w:p w14:paraId="371B879C" w14:textId="77C9E25E" w:rsidR="0012450F" w:rsidRPr="001611DC" w:rsidRDefault="0012450F" w:rsidP="00EB145B">
            <w:pPr>
              <w:pStyle w:val="In-tableHeading"/>
              <w:rPr>
                <w:vertAlign w:val="superscript"/>
                <w:lang w:val="en-AU"/>
              </w:rPr>
            </w:pPr>
            <w:r w:rsidRPr="001611DC">
              <w:rPr>
                <w:lang w:val="en-AU"/>
              </w:rPr>
              <w:t xml:space="preserve">Step 1: </w:t>
            </w:r>
            <w:r w:rsidR="00E30491" w:rsidRPr="001611DC">
              <w:rPr>
                <w:lang w:val="en-AU"/>
              </w:rPr>
              <w:t>Cost-effectiveness analysis</w:t>
            </w:r>
            <w:r w:rsidRPr="001611DC">
              <w:rPr>
                <w:lang w:val="en-AU"/>
              </w:rPr>
              <w:t xml:space="preserve"> (18 months) </w:t>
            </w:r>
            <w:r w:rsidRPr="001611DC">
              <w:rPr>
                <w:vertAlign w:val="superscript"/>
                <w:lang w:val="en-AU"/>
              </w:rPr>
              <w:t>a</w:t>
            </w:r>
          </w:p>
        </w:tc>
      </w:tr>
      <w:tr w:rsidR="00CE71D8" w:rsidRPr="001611DC" w14:paraId="452AC287" w14:textId="77777777" w:rsidTr="00BD3549">
        <w:trPr>
          <w:cantSplit/>
        </w:trPr>
        <w:tc>
          <w:tcPr>
            <w:tcW w:w="942" w:type="pct"/>
            <w:shd w:val="clear" w:color="auto" w:fill="auto"/>
          </w:tcPr>
          <w:p w14:paraId="274D4E5A" w14:textId="63B8E124" w:rsidR="0012450F" w:rsidRPr="001611DC" w:rsidRDefault="0012450F" w:rsidP="00EB145B">
            <w:pPr>
              <w:pStyle w:val="TableText0"/>
            </w:pPr>
            <w:r w:rsidRPr="001611DC">
              <w:t>Costs</w:t>
            </w:r>
            <w:r w:rsidR="00A35D83">
              <w:t xml:space="preserve"> ($)</w:t>
            </w:r>
          </w:p>
        </w:tc>
        <w:tc>
          <w:tcPr>
            <w:tcW w:w="1335" w:type="pct"/>
            <w:shd w:val="solid" w:color="000000" w:fill="000000"/>
            <w:vAlign w:val="center"/>
          </w:tcPr>
          <w:p w14:paraId="5BC39442" w14:textId="5160A0F2" w:rsidR="0012450F" w:rsidRPr="00A35D83"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420" w:type="pct"/>
            <w:shd w:val="solid" w:color="000000" w:fill="000000"/>
            <w:vAlign w:val="center"/>
          </w:tcPr>
          <w:p w14:paraId="791B7F57" w14:textId="63013E19" w:rsidR="0012450F" w:rsidRPr="00A35D83"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303" w:type="pct"/>
            <w:shd w:val="solid" w:color="000000" w:fill="000000"/>
            <w:vAlign w:val="center"/>
          </w:tcPr>
          <w:p w14:paraId="2EF124DE" w14:textId="68B64291" w:rsidR="0012450F" w:rsidRPr="00A35D83"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r>
      <w:tr w:rsidR="00CE71D8" w:rsidRPr="001611DC" w14:paraId="77744440" w14:textId="77777777" w:rsidTr="00BD3549">
        <w:trPr>
          <w:cantSplit/>
        </w:trPr>
        <w:tc>
          <w:tcPr>
            <w:tcW w:w="942" w:type="pct"/>
            <w:shd w:val="clear" w:color="auto" w:fill="auto"/>
          </w:tcPr>
          <w:p w14:paraId="0F9195DD" w14:textId="25315539" w:rsidR="0012450F" w:rsidRPr="001611DC" w:rsidRDefault="00E30491" w:rsidP="00EB145B">
            <w:pPr>
              <w:pStyle w:val="TableText0"/>
            </w:pPr>
            <w:r w:rsidRPr="007B77A3">
              <w:t>RSV-LRTD c</w:t>
            </w:r>
            <w:r w:rsidR="0012450F" w:rsidRPr="007B77A3">
              <w:t>ases</w:t>
            </w:r>
          </w:p>
        </w:tc>
        <w:tc>
          <w:tcPr>
            <w:tcW w:w="1335" w:type="pct"/>
            <w:shd w:val="clear" w:color="auto" w:fill="auto"/>
            <w:vAlign w:val="center"/>
          </w:tcPr>
          <w:p w14:paraId="5F2F080A" w14:textId="4655D9A3" w:rsidR="0012450F" w:rsidRPr="000C275D" w:rsidRDefault="00BD3549" w:rsidP="00EB145B">
            <w:pPr>
              <w:pStyle w:val="TableText0"/>
              <w:jc w:val="center"/>
              <w:rPr>
                <w:iCs/>
                <w:highlight w:val="lightGray"/>
              </w:rPr>
            </w:pPr>
            <w:r w:rsidRPr="00BD3549">
              <w:rPr>
                <w:iCs/>
                <w:color w:val="000000"/>
                <w:shd w:val="solid" w:color="000000" w:fill="000000"/>
                <w14:textFill>
                  <w14:solidFill>
                    <w14:srgbClr w14:val="000000">
                      <w14:alpha w14:val="100000"/>
                    </w14:srgbClr>
                  </w14:solidFill>
                </w14:textFill>
              </w:rPr>
              <w:t>|</w:t>
            </w:r>
            <w:r w:rsidR="00F84D1A">
              <w:rPr>
                <w:iCs/>
                <w:vertAlign w:val="superscript"/>
              </w:rPr>
              <w:t>2</w:t>
            </w:r>
          </w:p>
        </w:tc>
        <w:tc>
          <w:tcPr>
            <w:tcW w:w="1420" w:type="pct"/>
            <w:shd w:val="clear" w:color="auto" w:fill="auto"/>
            <w:vAlign w:val="center"/>
          </w:tcPr>
          <w:p w14:paraId="2A544FC9" w14:textId="1ED5BF5B" w:rsidR="0012450F" w:rsidRPr="000C275D" w:rsidRDefault="00BD3549" w:rsidP="00EB145B">
            <w:pPr>
              <w:pStyle w:val="TableText0"/>
              <w:jc w:val="center"/>
              <w:rPr>
                <w:iCs/>
                <w:highlight w:val="lightGray"/>
              </w:rPr>
            </w:pPr>
            <w:r w:rsidRPr="00BD3549">
              <w:rPr>
                <w:iCs/>
                <w:color w:val="000000"/>
                <w:shd w:val="solid" w:color="000000" w:fill="000000"/>
                <w14:textFill>
                  <w14:solidFill>
                    <w14:srgbClr w14:val="000000">
                      <w14:alpha w14:val="100000"/>
                    </w14:srgbClr>
                  </w14:solidFill>
                </w14:textFill>
              </w:rPr>
              <w:t>|</w:t>
            </w:r>
            <w:r w:rsidR="00F84D1A">
              <w:rPr>
                <w:iCs/>
                <w:vertAlign w:val="superscript"/>
              </w:rPr>
              <w:t>3</w:t>
            </w:r>
          </w:p>
        </w:tc>
        <w:tc>
          <w:tcPr>
            <w:tcW w:w="1303" w:type="pct"/>
            <w:tcBorders>
              <w:bottom w:val="single" w:sz="4" w:space="0" w:color="auto"/>
            </w:tcBorders>
            <w:shd w:val="clear" w:color="auto" w:fill="auto"/>
            <w:vAlign w:val="center"/>
          </w:tcPr>
          <w:p w14:paraId="7F8597ED" w14:textId="1BE2C08D" w:rsidR="0012450F" w:rsidRPr="000C275D" w:rsidRDefault="0012450F" w:rsidP="00EB145B">
            <w:pPr>
              <w:pStyle w:val="TableText0"/>
              <w:jc w:val="center"/>
              <w:rPr>
                <w:iCs/>
              </w:rPr>
            </w:pPr>
            <w:r w:rsidRPr="000C275D">
              <w:rPr>
                <w:iCs/>
              </w:rPr>
              <w:t>-</w:t>
            </w:r>
            <w:r w:rsidR="00BD3549" w:rsidRPr="00BD3549">
              <w:rPr>
                <w:iCs/>
                <w:color w:val="000000"/>
                <w:shd w:val="solid" w:color="000000" w:fill="000000"/>
                <w14:textFill>
                  <w14:solidFill>
                    <w14:srgbClr w14:val="000000">
                      <w14:alpha w14:val="100000"/>
                    </w14:srgbClr>
                  </w14:solidFill>
                </w14:textFill>
              </w:rPr>
              <w:t>|</w:t>
            </w:r>
            <w:r w:rsidR="005E3134" w:rsidRPr="005E3134">
              <w:rPr>
                <w:iCs/>
                <w:vertAlign w:val="superscript"/>
              </w:rPr>
              <w:t>4</w:t>
            </w:r>
          </w:p>
        </w:tc>
      </w:tr>
      <w:tr w:rsidR="00CE71D8" w:rsidRPr="001611DC" w14:paraId="1D5C75BC" w14:textId="77777777" w:rsidTr="00BD3549">
        <w:trPr>
          <w:cantSplit/>
        </w:trPr>
        <w:tc>
          <w:tcPr>
            <w:tcW w:w="3697" w:type="pct"/>
            <w:gridSpan w:val="3"/>
            <w:tcBorders>
              <w:right w:val="single" w:sz="4" w:space="0" w:color="000000"/>
            </w:tcBorders>
            <w:shd w:val="clear" w:color="auto" w:fill="auto"/>
            <w:vAlign w:val="center"/>
          </w:tcPr>
          <w:p w14:paraId="15A3E1B2" w14:textId="47FB2FEC" w:rsidR="0012450F" w:rsidRPr="001611DC" w:rsidRDefault="0012450F" w:rsidP="00EB145B">
            <w:pPr>
              <w:pStyle w:val="In-tableHeading"/>
              <w:rPr>
                <w:b w:val="0"/>
                <w:bCs/>
                <w:lang w:val="en-AU"/>
              </w:rPr>
            </w:pPr>
            <w:r w:rsidRPr="001611DC">
              <w:rPr>
                <w:b w:val="0"/>
                <w:bCs/>
                <w:lang w:val="en-AU"/>
              </w:rPr>
              <w:t>Incremental cost</w:t>
            </w:r>
            <w:r w:rsidR="00E30491" w:rsidRPr="001611DC">
              <w:rPr>
                <w:b w:val="0"/>
                <w:bCs/>
                <w:lang w:val="en-AU"/>
              </w:rPr>
              <w:t xml:space="preserve"> per</w:t>
            </w:r>
            <w:r w:rsidRPr="001611DC">
              <w:rPr>
                <w:b w:val="0"/>
                <w:bCs/>
                <w:lang w:val="en-AU"/>
              </w:rPr>
              <w:t xml:space="preserve"> case avoided</w:t>
            </w:r>
          </w:p>
        </w:tc>
        <w:tc>
          <w:tcPr>
            <w:tcW w:w="1303" w:type="pct"/>
            <w:tcBorders>
              <w:left w:val="single" w:sz="4" w:space="0" w:color="000000"/>
            </w:tcBorders>
            <w:shd w:val="solid" w:color="000000" w:fill="000000"/>
            <w:vAlign w:val="center"/>
          </w:tcPr>
          <w:p w14:paraId="4B1620F6" w14:textId="32ACC8F4" w:rsidR="0012450F" w:rsidRPr="001611DC" w:rsidRDefault="00BD3549" w:rsidP="00EB145B">
            <w:pPr>
              <w:pStyle w:val="TableText0"/>
              <w:jc w:val="center"/>
              <w:rPr>
                <w:rFonts w:eastAsia="Calibri"/>
                <w:iCs/>
                <w:szCs w:val="20"/>
              </w:rPr>
            </w:pPr>
            <w:r w:rsidRPr="00BD3549">
              <w:rPr>
                <w:iCs/>
                <w:color w:val="000000"/>
                <w14:textFill>
                  <w14:solidFill>
                    <w14:srgbClr w14:val="000000">
                      <w14:alpha w14:val="100000"/>
                    </w14:srgbClr>
                  </w14:solidFill>
                </w14:textFill>
              </w:rPr>
              <w:t>|</w:t>
            </w:r>
          </w:p>
        </w:tc>
      </w:tr>
      <w:tr w:rsidR="00CE71D8" w:rsidRPr="001611DC" w14:paraId="26808D4F" w14:textId="77777777" w:rsidTr="00EB145B">
        <w:trPr>
          <w:cantSplit/>
        </w:trPr>
        <w:tc>
          <w:tcPr>
            <w:tcW w:w="5000" w:type="pct"/>
            <w:gridSpan w:val="4"/>
            <w:shd w:val="clear" w:color="auto" w:fill="auto"/>
            <w:vAlign w:val="center"/>
          </w:tcPr>
          <w:p w14:paraId="07981A91" w14:textId="77777777" w:rsidR="0012450F" w:rsidRPr="001611DC" w:rsidRDefault="0012450F" w:rsidP="00EB145B">
            <w:pPr>
              <w:pStyle w:val="TableText0"/>
              <w:rPr>
                <w:rFonts w:eastAsia="Calibri"/>
                <w:b/>
                <w:bCs w:val="0"/>
                <w:szCs w:val="20"/>
                <w:vertAlign w:val="superscript"/>
              </w:rPr>
            </w:pPr>
            <w:r w:rsidRPr="001611DC">
              <w:rPr>
                <w:b/>
                <w:bCs w:val="0"/>
              </w:rPr>
              <w:t xml:space="preserve">Step 2: Data transformed into LY (18 months) </w:t>
            </w:r>
            <w:r w:rsidRPr="001611DC">
              <w:rPr>
                <w:b/>
                <w:bCs w:val="0"/>
                <w:vertAlign w:val="superscript"/>
              </w:rPr>
              <w:t>a</w:t>
            </w:r>
          </w:p>
        </w:tc>
      </w:tr>
      <w:tr w:rsidR="00CE71D8" w:rsidRPr="001611DC" w14:paraId="1769CEEB" w14:textId="77777777" w:rsidTr="00BD3549">
        <w:trPr>
          <w:cantSplit/>
        </w:trPr>
        <w:tc>
          <w:tcPr>
            <w:tcW w:w="942" w:type="pct"/>
            <w:tcBorders>
              <w:right w:val="single" w:sz="4" w:space="0" w:color="000000"/>
            </w:tcBorders>
            <w:shd w:val="clear" w:color="auto" w:fill="auto"/>
          </w:tcPr>
          <w:p w14:paraId="3BA67CE8" w14:textId="77777777" w:rsidR="0012450F" w:rsidRPr="001611DC" w:rsidRDefault="0012450F" w:rsidP="00EB145B">
            <w:pPr>
              <w:pStyle w:val="TableText0"/>
            </w:pPr>
            <w:r w:rsidRPr="001611DC">
              <w:t>Costs</w:t>
            </w:r>
          </w:p>
        </w:tc>
        <w:tc>
          <w:tcPr>
            <w:tcW w:w="1335" w:type="pct"/>
            <w:tcBorders>
              <w:right w:val="single" w:sz="4" w:space="0" w:color="000000"/>
            </w:tcBorders>
            <w:shd w:val="solid" w:color="000000" w:fill="000000"/>
            <w:vAlign w:val="center"/>
          </w:tcPr>
          <w:p w14:paraId="7D12B3B5" w14:textId="640D7FE8" w:rsidR="0012450F" w:rsidRPr="00065B90"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51852861" w14:textId="63B2097C" w:rsidR="0012450F" w:rsidRPr="00065B90"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7C6AF45D" w14:textId="2BD90E1D" w:rsidR="0012450F" w:rsidRPr="00065B90" w:rsidRDefault="00BD3549" w:rsidP="00EB145B">
            <w:pPr>
              <w:pStyle w:val="TableText0"/>
              <w:jc w:val="center"/>
              <w:rPr>
                <w:rFonts w:eastAsia="Calibri"/>
                <w:b/>
                <w:iCs/>
                <w:szCs w:val="20"/>
                <w:highlight w:val="lightGray"/>
              </w:rPr>
            </w:pPr>
            <w:r w:rsidRPr="00BD3549">
              <w:rPr>
                <w:iCs/>
                <w:color w:val="000000"/>
                <w14:textFill>
                  <w14:solidFill>
                    <w14:srgbClr w14:val="000000">
                      <w14:alpha w14:val="100000"/>
                    </w14:srgbClr>
                  </w14:solidFill>
                </w14:textFill>
              </w:rPr>
              <w:t>|</w:t>
            </w:r>
          </w:p>
        </w:tc>
      </w:tr>
      <w:tr w:rsidR="00CE71D8" w:rsidRPr="001611DC" w14:paraId="14AA681A" w14:textId="77777777" w:rsidTr="00EB145B">
        <w:trPr>
          <w:cantSplit/>
        </w:trPr>
        <w:tc>
          <w:tcPr>
            <w:tcW w:w="942" w:type="pct"/>
            <w:tcBorders>
              <w:right w:val="single" w:sz="4" w:space="0" w:color="000000"/>
            </w:tcBorders>
            <w:shd w:val="clear" w:color="auto" w:fill="auto"/>
          </w:tcPr>
          <w:p w14:paraId="275C2E2C" w14:textId="77777777" w:rsidR="0012450F" w:rsidRPr="001611DC" w:rsidRDefault="0012450F" w:rsidP="00EB145B">
            <w:pPr>
              <w:pStyle w:val="TableText0"/>
            </w:pPr>
            <w:r w:rsidRPr="001611DC">
              <w:t>LY lost</w:t>
            </w:r>
          </w:p>
        </w:tc>
        <w:tc>
          <w:tcPr>
            <w:tcW w:w="1335" w:type="pct"/>
            <w:tcBorders>
              <w:right w:val="single" w:sz="4" w:space="0" w:color="000000"/>
            </w:tcBorders>
            <w:shd w:val="clear" w:color="auto" w:fill="auto"/>
            <w:vAlign w:val="center"/>
          </w:tcPr>
          <w:p w14:paraId="16640BE1" w14:textId="77777777" w:rsidR="0012450F" w:rsidRPr="001611DC" w:rsidRDefault="0012450F" w:rsidP="00EB145B">
            <w:pPr>
              <w:pStyle w:val="TableText0"/>
              <w:jc w:val="center"/>
              <w:rPr>
                <w:iCs/>
              </w:rPr>
            </w:pPr>
            <w:r w:rsidRPr="001611DC">
              <w:rPr>
                <w:iCs/>
              </w:rPr>
              <w:t>635</w:t>
            </w:r>
          </w:p>
        </w:tc>
        <w:tc>
          <w:tcPr>
            <w:tcW w:w="1420" w:type="pct"/>
            <w:tcBorders>
              <w:right w:val="single" w:sz="4" w:space="0" w:color="000000"/>
            </w:tcBorders>
            <w:shd w:val="clear" w:color="auto" w:fill="auto"/>
            <w:vAlign w:val="center"/>
          </w:tcPr>
          <w:p w14:paraId="17286B91" w14:textId="77777777" w:rsidR="0012450F" w:rsidRPr="001611DC" w:rsidRDefault="0012450F" w:rsidP="00EB145B">
            <w:pPr>
              <w:pStyle w:val="TableText0"/>
              <w:jc w:val="center"/>
              <w:rPr>
                <w:iCs/>
              </w:rPr>
            </w:pPr>
            <w:r w:rsidRPr="001611DC">
              <w:rPr>
                <w:iCs/>
              </w:rPr>
              <w:t>2,387</w:t>
            </w:r>
          </w:p>
        </w:tc>
        <w:tc>
          <w:tcPr>
            <w:tcW w:w="1303" w:type="pct"/>
            <w:tcBorders>
              <w:left w:val="single" w:sz="4" w:space="0" w:color="000000"/>
            </w:tcBorders>
            <w:shd w:val="clear" w:color="auto" w:fill="auto"/>
            <w:vAlign w:val="center"/>
          </w:tcPr>
          <w:p w14:paraId="04B34F54" w14:textId="77777777" w:rsidR="0012450F" w:rsidRPr="001611DC" w:rsidRDefault="0012450F" w:rsidP="00EB145B">
            <w:pPr>
              <w:pStyle w:val="TableText0"/>
              <w:jc w:val="center"/>
              <w:rPr>
                <w:rFonts w:eastAsia="Calibri"/>
                <w:b/>
                <w:iCs/>
                <w:szCs w:val="20"/>
              </w:rPr>
            </w:pPr>
            <w:r w:rsidRPr="001611DC">
              <w:rPr>
                <w:iCs/>
              </w:rPr>
              <w:t>-1,753</w:t>
            </w:r>
          </w:p>
        </w:tc>
      </w:tr>
      <w:tr w:rsidR="00CE71D8" w:rsidRPr="001611DC" w14:paraId="5D055B2C" w14:textId="77777777" w:rsidTr="00EB145B">
        <w:trPr>
          <w:cantSplit/>
        </w:trPr>
        <w:tc>
          <w:tcPr>
            <w:tcW w:w="3697" w:type="pct"/>
            <w:gridSpan w:val="3"/>
            <w:tcBorders>
              <w:right w:val="single" w:sz="4" w:space="0" w:color="000000"/>
            </w:tcBorders>
            <w:shd w:val="clear" w:color="auto" w:fill="auto"/>
            <w:vAlign w:val="center"/>
          </w:tcPr>
          <w:p w14:paraId="37A4EA53" w14:textId="77777777" w:rsidR="0012450F" w:rsidRPr="001611DC" w:rsidRDefault="0012450F" w:rsidP="00EB145B">
            <w:pPr>
              <w:pStyle w:val="TableText0"/>
            </w:pPr>
            <w:r w:rsidRPr="001611DC">
              <w:t>Incremental cost per life year gained</w:t>
            </w:r>
          </w:p>
        </w:tc>
        <w:tc>
          <w:tcPr>
            <w:tcW w:w="1303" w:type="pct"/>
            <w:tcBorders>
              <w:left w:val="single" w:sz="4" w:space="0" w:color="000000"/>
            </w:tcBorders>
            <w:shd w:val="clear" w:color="auto" w:fill="auto"/>
            <w:vAlign w:val="center"/>
          </w:tcPr>
          <w:p w14:paraId="4CBE4B64" w14:textId="74DF6FF2" w:rsidR="0012450F" w:rsidRPr="001611DC" w:rsidRDefault="0012450F" w:rsidP="00EB145B">
            <w:pPr>
              <w:pStyle w:val="TableText0"/>
              <w:jc w:val="center"/>
              <w:rPr>
                <w:iCs/>
              </w:rPr>
            </w:pPr>
            <w:r w:rsidRPr="001611DC">
              <w:rPr>
                <w:iCs/>
              </w:rPr>
              <w:t>$</w:t>
            </w:r>
            <w:r w:rsidR="00BD3549" w:rsidRPr="00BD3549">
              <w:rPr>
                <w:iCs/>
                <w:color w:val="000000"/>
                <w:shd w:val="solid" w:color="000000" w:fill="000000"/>
                <w14:textFill>
                  <w14:solidFill>
                    <w14:srgbClr w14:val="000000">
                      <w14:alpha w14:val="100000"/>
                    </w14:srgbClr>
                  </w14:solidFill>
                </w14:textFill>
              </w:rPr>
              <w:t>|</w:t>
            </w:r>
            <w:r w:rsidR="008A1885">
              <w:rPr>
                <w:iCs/>
                <w:vertAlign w:val="superscript"/>
              </w:rPr>
              <w:t>5</w:t>
            </w:r>
          </w:p>
        </w:tc>
      </w:tr>
      <w:tr w:rsidR="00CE71D8" w:rsidRPr="001611DC" w14:paraId="38403AFC" w14:textId="77777777" w:rsidTr="00EB145B">
        <w:trPr>
          <w:cantSplit/>
        </w:trPr>
        <w:tc>
          <w:tcPr>
            <w:tcW w:w="5000" w:type="pct"/>
            <w:gridSpan w:val="4"/>
            <w:shd w:val="clear" w:color="auto" w:fill="auto"/>
            <w:vAlign w:val="center"/>
          </w:tcPr>
          <w:p w14:paraId="4BA76E2E" w14:textId="77777777" w:rsidR="0012450F" w:rsidRPr="001611DC" w:rsidRDefault="0012450F" w:rsidP="00EB145B">
            <w:pPr>
              <w:pStyle w:val="TableText0"/>
              <w:rPr>
                <w:b/>
                <w:bCs w:val="0"/>
                <w:vertAlign w:val="superscript"/>
              </w:rPr>
            </w:pPr>
            <w:r w:rsidRPr="001611DC">
              <w:rPr>
                <w:b/>
                <w:bCs w:val="0"/>
              </w:rPr>
              <w:t xml:space="preserve">Step 3: Applied utility values (18 months) </w:t>
            </w:r>
            <w:r w:rsidRPr="001611DC">
              <w:rPr>
                <w:b/>
                <w:bCs w:val="0"/>
                <w:vertAlign w:val="superscript"/>
              </w:rPr>
              <w:t>a</w:t>
            </w:r>
          </w:p>
        </w:tc>
      </w:tr>
      <w:tr w:rsidR="00CE71D8" w:rsidRPr="001611DC" w14:paraId="00B8E657" w14:textId="77777777" w:rsidTr="00BD3549">
        <w:trPr>
          <w:cantSplit/>
        </w:trPr>
        <w:tc>
          <w:tcPr>
            <w:tcW w:w="942" w:type="pct"/>
            <w:tcBorders>
              <w:right w:val="single" w:sz="4" w:space="0" w:color="000000"/>
            </w:tcBorders>
            <w:shd w:val="clear" w:color="auto" w:fill="auto"/>
          </w:tcPr>
          <w:p w14:paraId="71FCD01C" w14:textId="77777777" w:rsidR="0012450F" w:rsidRPr="001611DC" w:rsidDel="00894160" w:rsidRDefault="0012450F" w:rsidP="00EB145B">
            <w:pPr>
              <w:pStyle w:val="TableText0"/>
            </w:pPr>
            <w:r w:rsidRPr="001611DC">
              <w:t>Cost</w:t>
            </w:r>
          </w:p>
        </w:tc>
        <w:tc>
          <w:tcPr>
            <w:tcW w:w="1335" w:type="pct"/>
            <w:tcBorders>
              <w:right w:val="single" w:sz="4" w:space="0" w:color="000000"/>
            </w:tcBorders>
            <w:shd w:val="solid" w:color="000000" w:fill="000000"/>
            <w:vAlign w:val="center"/>
          </w:tcPr>
          <w:p w14:paraId="0AC8BFFB" w14:textId="37F6F7CB" w:rsidR="0012450F" w:rsidRPr="008B56B6"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5279B2C2" w14:textId="73859293" w:rsidR="0012450F" w:rsidRPr="008B56B6"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21CBAD9F" w14:textId="4A3569D9" w:rsidR="0012450F" w:rsidRPr="008B56B6" w:rsidRDefault="00BD3549" w:rsidP="00EB145B">
            <w:pPr>
              <w:pStyle w:val="TableText0"/>
              <w:jc w:val="center"/>
              <w:rPr>
                <w:iCs/>
                <w:highlight w:val="lightGray"/>
              </w:rPr>
            </w:pPr>
            <w:r w:rsidRPr="00BD3549">
              <w:rPr>
                <w:iCs/>
                <w:color w:val="000000"/>
                <w14:textFill>
                  <w14:solidFill>
                    <w14:srgbClr w14:val="000000">
                      <w14:alpha w14:val="100000"/>
                    </w14:srgbClr>
                  </w14:solidFill>
                </w14:textFill>
              </w:rPr>
              <w:t>|</w:t>
            </w:r>
          </w:p>
        </w:tc>
      </w:tr>
      <w:tr w:rsidR="00CE71D8" w:rsidRPr="001611DC" w14:paraId="262CDD78" w14:textId="77777777" w:rsidTr="00EB145B">
        <w:trPr>
          <w:cantSplit/>
        </w:trPr>
        <w:tc>
          <w:tcPr>
            <w:tcW w:w="942" w:type="pct"/>
            <w:tcBorders>
              <w:right w:val="single" w:sz="4" w:space="0" w:color="000000"/>
            </w:tcBorders>
            <w:shd w:val="clear" w:color="auto" w:fill="auto"/>
          </w:tcPr>
          <w:p w14:paraId="5FA10377" w14:textId="77777777" w:rsidR="0012450F" w:rsidRPr="001611DC" w:rsidDel="00894160" w:rsidRDefault="0012450F" w:rsidP="00EB145B">
            <w:pPr>
              <w:pStyle w:val="TableText0"/>
            </w:pPr>
            <w:r w:rsidRPr="001611DC">
              <w:t>QALYs lost</w:t>
            </w:r>
          </w:p>
        </w:tc>
        <w:tc>
          <w:tcPr>
            <w:tcW w:w="1335" w:type="pct"/>
            <w:tcBorders>
              <w:right w:val="single" w:sz="4" w:space="0" w:color="000000"/>
            </w:tcBorders>
            <w:shd w:val="clear" w:color="auto" w:fill="auto"/>
            <w:vAlign w:val="center"/>
          </w:tcPr>
          <w:p w14:paraId="3F0EE23E" w14:textId="77777777" w:rsidR="0012450F" w:rsidRPr="001611DC" w:rsidRDefault="0012450F" w:rsidP="00EB145B">
            <w:pPr>
              <w:pStyle w:val="TableText0"/>
              <w:jc w:val="center"/>
              <w:rPr>
                <w:iCs/>
              </w:rPr>
            </w:pPr>
            <w:r w:rsidRPr="001611DC">
              <w:rPr>
                <w:iCs/>
              </w:rPr>
              <w:t>5,157</w:t>
            </w:r>
          </w:p>
        </w:tc>
        <w:tc>
          <w:tcPr>
            <w:tcW w:w="1420" w:type="pct"/>
            <w:tcBorders>
              <w:right w:val="single" w:sz="4" w:space="0" w:color="000000"/>
            </w:tcBorders>
            <w:shd w:val="clear" w:color="auto" w:fill="auto"/>
            <w:vAlign w:val="center"/>
          </w:tcPr>
          <w:p w14:paraId="390A4196" w14:textId="77777777" w:rsidR="0012450F" w:rsidRPr="001611DC" w:rsidRDefault="0012450F" w:rsidP="00EB145B">
            <w:pPr>
              <w:pStyle w:val="TableText0"/>
              <w:jc w:val="center"/>
              <w:rPr>
                <w:iCs/>
              </w:rPr>
            </w:pPr>
            <w:r w:rsidRPr="001611DC">
              <w:rPr>
                <w:iCs/>
              </w:rPr>
              <w:t>11,944</w:t>
            </w:r>
          </w:p>
        </w:tc>
        <w:tc>
          <w:tcPr>
            <w:tcW w:w="1303" w:type="pct"/>
            <w:tcBorders>
              <w:left w:val="single" w:sz="4" w:space="0" w:color="000000"/>
            </w:tcBorders>
            <w:shd w:val="clear" w:color="auto" w:fill="auto"/>
            <w:vAlign w:val="center"/>
          </w:tcPr>
          <w:p w14:paraId="5982E1E5" w14:textId="77777777" w:rsidR="0012450F" w:rsidRPr="001611DC" w:rsidRDefault="0012450F" w:rsidP="00EB145B">
            <w:pPr>
              <w:pStyle w:val="TableText0"/>
              <w:jc w:val="center"/>
              <w:rPr>
                <w:iCs/>
              </w:rPr>
            </w:pPr>
            <w:r w:rsidRPr="001611DC">
              <w:rPr>
                <w:iCs/>
              </w:rPr>
              <w:t>-6,787</w:t>
            </w:r>
          </w:p>
        </w:tc>
      </w:tr>
      <w:tr w:rsidR="00CE71D8" w:rsidRPr="001611DC" w14:paraId="776762BC" w14:textId="77777777" w:rsidTr="00EB145B">
        <w:trPr>
          <w:cantSplit/>
        </w:trPr>
        <w:tc>
          <w:tcPr>
            <w:tcW w:w="3697" w:type="pct"/>
            <w:gridSpan w:val="3"/>
            <w:tcBorders>
              <w:right w:val="single" w:sz="4" w:space="0" w:color="000000"/>
            </w:tcBorders>
            <w:shd w:val="clear" w:color="auto" w:fill="auto"/>
            <w:vAlign w:val="center"/>
          </w:tcPr>
          <w:p w14:paraId="44919423" w14:textId="77777777" w:rsidR="0012450F" w:rsidRPr="001611DC" w:rsidRDefault="0012450F" w:rsidP="00EB145B">
            <w:pPr>
              <w:pStyle w:val="TableText0"/>
            </w:pPr>
            <w:r w:rsidRPr="001611DC">
              <w:t>Incremental cost per QALY gained</w:t>
            </w:r>
          </w:p>
        </w:tc>
        <w:tc>
          <w:tcPr>
            <w:tcW w:w="1303" w:type="pct"/>
            <w:tcBorders>
              <w:left w:val="single" w:sz="4" w:space="0" w:color="000000"/>
            </w:tcBorders>
            <w:shd w:val="clear" w:color="auto" w:fill="auto"/>
            <w:vAlign w:val="center"/>
          </w:tcPr>
          <w:p w14:paraId="1FECD07E" w14:textId="3C4111B1" w:rsidR="0012450F" w:rsidRPr="001611DC" w:rsidRDefault="00BD3549" w:rsidP="00EB145B">
            <w:pPr>
              <w:pStyle w:val="TableText0"/>
              <w:jc w:val="center"/>
              <w:rPr>
                <w:iCs/>
              </w:rPr>
            </w:pPr>
            <w:r w:rsidRPr="00BD3549">
              <w:rPr>
                <w:iCs/>
                <w:color w:val="000000"/>
                <w:shd w:val="solid" w:color="000000" w:fill="000000"/>
                <w14:textFill>
                  <w14:solidFill>
                    <w14:srgbClr w14:val="000000">
                      <w14:alpha w14:val="100000"/>
                    </w14:srgbClr>
                  </w14:solidFill>
                </w14:textFill>
              </w:rPr>
              <w:t>|</w:t>
            </w:r>
            <w:r w:rsidR="008A1885">
              <w:rPr>
                <w:iCs/>
                <w:vertAlign w:val="superscript"/>
              </w:rPr>
              <w:t>6</w:t>
            </w:r>
          </w:p>
        </w:tc>
      </w:tr>
      <w:tr w:rsidR="00CE71D8" w:rsidRPr="001611DC" w14:paraId="47CC9D9F" w14:textId="77777777" w:rsidTr="00EB145B">
        <w:trPr>
          <w:cantSplit/>
        </w:trPr>
        <w:tc>
          <w:tcPr>
            <w:tcW w:w="5000" w:type="pct"/>
            <w:gridSpan w:val="4"/>
            <w:shd w:val="clear" w:color="auto" w:fill="auto"/>
            <w:vAlign w:val="center"/>
          </w:tcPr>
          <w:p w14:paraId="3F4BF5F8" w14:textId="53FDFC4A" w:rsidR="0012450F" w:rsidRPr="001611DC" w:rsidRDefault="0012450F" w:rsidP="00EB145B">
            <w:pPr>
              <w:pStyle w:val="TableText0"/>
            </w:pPr>
            <w:r w:rsidRPr="001611DC">
              <w:rPr>
                <w:b/>
                <w:bCs w:val="0"/>
              </w:rPr>
              <w:t xml:space="preserve">Step 4: </w:t>
            </w:r>
            <w:r w:rsidR="00E30491" w:rsidRPr="001611DC">
              <w:rPr>
                <w:b/>
                <w:bCs w:val="0"/>
              </w:rPr>
              <w:t>Extrapolate to 3 year time horizon (submission’s b</w:t>
            </w:r>
            <w:r w:rsidRPr="001611DC">
              <w:rPr>
                <w:b/>
                <w:bCs w:val="0"/>
              </w:rPr>
              <w:t>ase cas</w:t>
            </w:r>
            <w:r w:rsidR="00E30491" w:rsidRPr="001611DC">
              <w:rPr>
                <w:b/>
                <w:bCs w:val="0"/>
              </w:rPr>
              <w:t>e)</w:t>
            </w:r>
          </w:p>
        </w:tc>
      </w:tr>
      <w:tr w:rsidR="00CE71D8" w:rsidRPr="001611DC" w14:paraId="110FF2C9" w14:textId="77777777" w:rsidTr="00BD3549">
        <w:trPr>
          <w:cantSplit/>
        </w:trPr>
        <w:tc>
          <w:tcPr>
            <w:tcW w:w="942" w:type="pct"/>
            <w:tcBorders>
              <w:right w:val="single" w:sz="4" w:space="0" w:color="000000"/>
            </w:tcBorders>
            <w:shd w:val="clear" w:color="auto" w:fill="auto"/>
          </w:tcPr>
          <w:p w14:paraId="7B0A0E37" w14:textId="77777777" w:rsidR="0012450F" w:rsidRPr="001611DC" w:rsidRDefault="0012450F" w:rsidP="00EB145B">
            <w:pPr>
              <w:pStyle w:val="TableText0"/>
              <w:rPr>
                <w:b/>
                <w:bCs w:val="0"/>
              </w:rPr>
            </w:pPr>
            <w:r w:rsidRPr="001611DC">
              <w:t>Cost</w:t>
            </w:r>
          </w:p>
        </w:tc>
        <w:tc>
          <w:tcPr>
            <w:tcW w:w="1335" w:type="pct"/>
            <w:tcBorders>
              <w:right w:val="single" w:sz="4" w:space="0" w:color="000000"/>
            </w:tcBorders>
            <w:shd w:val="solid" w:color="000000" w:fill="000000"/>
            <w:vAlign w:val="center"/>
          </w:tcPr>
          <w:p w14:paraId="4BD05887" w14:textId="5B7403B5" w:rsidR="0012450F" w:rsidRPr="008B56B6" w:rsidRDefault="00BD3549" w:rsidP="00EB145B">
            <w:pPr>
              <w:pStyle w:val="TableText0"/>
              <w:jc w:val="center"/>
              <w:rPr>
                <w:highlight w:val="lightGray"/>
              </w:rPr>
            </w:pPr>
            <w:r w:rsidRPr="00BD3549">
              <w:rPr>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12E11953" w14:textId="13F9EA1C" w:rsidR="0012450F" w:rsidRPr="008B56B6" w:rsidRDefault="00BD3549" w:rsidP="00EB145B">
            <w:pPr>
              <w:pStyle w:val="TableText0"/>
              <w:jc w:val="center"/>
              <w:rPr>
                <w:highlight w:val="lightGray"/>
              </w:rPr>
            </w:pPr>
            <w:r w:rsidRPr="00BD3549">
              <w:rPr>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6095364E" w14:textId="09D58887" w:rsidR="0012450F" w:rsidRPr="008B56B6" w:rsidRDefault="00BD3549" w:rsidP="00EB145B">
            <w:pPr>
              <w:pStyle w:val="TableText0"/>
              <w:jc w:val="center"/>
              <w:rPr>
                <w:highlight w:val="lightGray"/>
              </w:rPr>
            </w:pPr>
            <w:r w:rsidRPr="00BD3549">
              <w:rPr>
                <w:color w:val="000000"/>
                <w14:textFill>
                  <w14:solidFill>
                    <w14:srgbClr w14:val="000000">
                      <w14:alpha w14:val="100000"/>
                    </w14:srgbClr>
                  </w14:solidFill>
                </w14:textFill>
              </w:rPr>
              <w:t>|</w:t>
            </w:r>
          </w:p>
        </w:tc>
      </w:tr>
      <w:tr w:rsidR="00CE71D8" w:rsidRPr="001611DC" w14:paraId="049B17C6" w14:textId="77777777" w:rsidTr="00EB145B">
        <w:trPr>
          <w:cantSplit/>
        </w:trPr>
        <w:tc>
          <w:tcPr>
            <w:tcW w:w="942" w:type="pct"/>
            <w:tcBorders>
              <w:right w:val="single" w:sz="4" w:space="0" w:color="000000"/>
            </w:tcBorders>
            <w:shd w:val="clear" w:color="auto" w:fill="auto"/>
          </w:tcPr>
          <w:p w14:paraId="60650DAC" w14:textId="77777777" w:rsidR="0012450F" w:rsidRPr="001611DC" w:rsidRDefault="0012450F" w:rsidP="00EB145B">
            <w:pPr>
              <w:pStyle w:val="TableText0"/>
              <w:rPr>
                <w:b/>
                <w:bCs w:val="0"/>
              </w:rPr>
            </w:pPr>
            <w:r w:rsidRPr="001611DC">
              <w:t>QALYs lost</w:t>
            </w:r>
          </w:p>
        </w:tc>
        <w:tc>
          <w:tcPr>
            <w:tcW w:w="1335" w:type="pct"/>
            <w:tcBorders>
              <w:right w:val="single" w:sz="4" w:space="0" w:color="000000"/>
            </w:tcBorders>
            <w:shd w:val="clear" w:color="auto" w:fill="auto"/>
            <w:vAlign w:val="center"/>
          </w:tcPr>
          <w:p w14:paraId="1FCA6876" w14:textId="77777777" w:rsidR="0012450F" w:rsidRPr="001611DC" w:rsidRDefault="0012450F" w:rsidP="00EB145B">
            <w:pPr>
              <w:pStyle w:val="TableText0"/>
              <w:jc w:val="center"/>
            </w:pPr>
            <w:r w:rsidRPr="001611DC">
              <w:t>19,389</w:t>
            </w:r>
          </w:p>
        </w:tc>
        <w:tc>
          <w:tcPr>
            <w:tcW w:w="1420" w:type="pct"/>
            <w:tcBorders>
              <w:right w:val="single" w:sz="4" w:space="0" w:color="000000"/>
            </w:tcBorders>
            <w:shd w:val="clear" w:color="auto" w:fill="auto"/>
            <w:vAlign w:val="center"/>
          </w:tcPr>
          <w:p w14:paraId="33163CB4" w14:textId="77777777" w:rsidR="0012450F" w:rsidRPr="001611DC" w:rsidRDefault="0012450F" w:rsidP="00EB145B">
            <w:pPr>
              <w:pStyle w:val="TableText0"/>
              <w:jc w:val="center"/>
            </w:pPr>
            <w:r w:rsidRPr="001611DC">
              <w:t>42,358</w:t>
            </w:r>
          </w:p>
        </w:tc>
        <w:tc>
          <w:tcPr>
            <w:tcW w:w="1303" w:type="pct"/>
            <w:tcBorders>
              <w:left w:val="single" w:sz="4" w:space="0" w:color="000000"/>
            </w:tcBorders>
            <w:shd w:val="clear" w:color="auto" w:fill="auto"/>
            <w:vAlign w:val="center"/>
          </w:tcPr>
          <w:p w14:paraId="772383F4" w14:textId="77777777" w:rsidR="0012450F" w:rsidRPr="001611DC" w:rsidRDefault="0012450F" w:rsidP="00EB145B">
            <w:pPr>
              <w:pStyle w:val="TableText0"/>
              <w:jc w:val="center"/>
            </w:pPr>
            <w:r w:rsidRPr="001611DC">
              <w:t>-22,969</w:t>
            </w:r>
          </w:p>
        </w:tc>
      </w:tr>
      <w:tr w:rsidR="00CE71D8" w:rsidRPr="001611DC" w14:paraId="181B3AFD" w14:textId="77777777" w:rsidTr="00EB145B">
        <w:trPr>
          <w:cantSplit/>
        </w:trPr>
        <w:tc>
          <w:tcPr>
            <w:tcW w:w="3697" w:type="pct"/>
            <w:gridSpan w:val="3"/>
            <w:tcBorders>
              <w:right w:val="single" w:sz="4" w:space="0" w:color="000000"/>
            </w:tcBorders>
            <w:shd w:val="clear" w:color="auto" w:fill="auto"/>
          </w:tcPr>
          <w:p w14:paraId="55419125" w14:textId="77777777" w:rsidR="0012450F" w:rsidRPr="001611DC" w:rsidRDefault="0012450F" w:rsidP="00EB145B">
            <w:pPr>
              <w:pStyle w:val="TableText0"/>
              <w:rPr>
                <w:b/>
                <w:bCs w:val="0"/>
              </w:rPr>
            </w:pPr>
            <w:r w:rsidRPr="001611DC">
              <w:rPr>
                <w:b/>
                <w:bCs w:val="0"/>
              </w:rPr>
              <w:t>Incremental cost per QALY</w:t>
            </w:r>
            <w:r w:rsidRPr="001611DC" w:rsidDel="00894160">
              <w:rPr>
                <w:b/>
                <w:bCs w:val="0"/>
              </w:rPr>
              <w:t xml:space="preserve"> </w:t>
            </w:r>
            <w:r w:rsidRPr="001611DC">
              <w:rPr>
                <w:b/>
                <w:bCs w:val="0"/>
              </w:rPr>
              <w:t>gained</w:t>
            </w:r>
            <w:r w:rsidRPr="001611DC" w:rsidDel="00894160">
              <w:rPr>
                <w:b/>
                <w:bCs w:val="0"/>
              </w:rPr>
              <w:t xml:space="preserve"> </w:t>
            </w:r>
          </w:p>
        </w:tc>
        <w:tc>
          <w:tcPr>
            <w:tcW w:w="1303" w:type="pct"/>
            <w:tcBorders>
              <w:left w:val="single" w:sz="4" w:space="0" w:color="000000"/>
            </w:tcBorders>
            <w:shd w:val="clear" w:color="auto" w:fill="auto"/>
            <w:vAlign w:val="center"/>
          </w:tcPr>
          <w:p w14:paraId="4F6A25B0" w14:textId="61A4398C" w:rsidR="0012450F" w:rsidRPr="001611DC" w:rsidRDefault="00BD3549" w:rsidP="00EB145B">
            <w:pPr>
              <w:pStyle w:val="TableText0"/>
              <w:jc w:val="center"/>
              <w:rPr>
                <w:rFonts w:eastAsia="Calibri"/>
                <w:b/>
                <w:bCs w:val="0"/>
                <w:szCs w:val="20"/>
              </w:rPr>
            </w:pPr>
            <w:r w:rsidRPr="00BD3549">
              <w:rPr>
                <w:b/>
                <w:bCs w:val="0"/>
                <w:color w:val="000000"/>
                <w:shd w:val="solid" w:color="000000" w:fill="000000"/>
                <w14:textFill>
                  <w14:solidFill>
                    <w14:srgbClr w14:val="000000">
                      <w14:alpha w14:val="100000"/>
                    </w14:srgbClr>
                  </w14:solidFill>
                </w14:textFill>
              </w:rPr>
              <w:t>|</w:t>
            </w:r>
            <w:r w:rsidR="008A1885">
              <w:rPr>
                <w:b/>
                <w:bCs w:val="0"/>
                <w:vertAlign w:val="superscript"/>
              </w:rPr>
              <w:t>7</w:t>
            </w:r>
          </w:p>
        </w:tc>
      </w:tr>
    </w:tbl>
    <w:p w14:paraId="1C913117" w14:textId="7D8FB107" w:rsidR="0012450F" w:rsidRPr="001611DC" w:rsidRDefault="0012450F" w:rsidP="0012450F">
      <w:pPr>
        <w:pStyle w:val="FooterTableFigure"/>
        <w:rPr>
          <w:rStyle w:val="CommentReference"/>
          <w:iCs/>
        </w:rPr>
      </w:pPr>
      <w:r w:rsidRPr="001611DC">
        <w:t xml:space="preserve">Source: </w:t>
      </w:r>
      <w:r w:rsidRPr="001611DC">
        <w:rPr>
          <w:rFonts w:eastAsiaTheme="majorEastAsia"/>
        </w:rPr>
        <w:t xml:space="preserve">Table 3-60 of the submission; attachment ‘RSV OA static model_v16_PBAC_FINAL’ of the submission. </w:t>
      </w:r>
    </w:p>
    <w:p w14:paraId="0914FB87" w14:textId="77777777" w:rsidR="0012450F" w:rsidRPr="001611DC" w:rsidRDefault="0012450F" w:rsidP="0012450F">
      <w:pPr>
        <w:pStyle w:val="FooterTableFigure"/>
        <w:rPr>
          <w:rFonts w:eastAsia="Calibri"/>
        </w:rPr>
      </w:pPr>
      <w:r w:rsidRPr="001611DC">
        <w:rPr>
          <w:rFonts w:eastAsia="Calibri"/>
        </w:rPr>
        <w:t>LRTD = lower respiratory tract disease; LY = life-year; RSV = respiratory syncytial virus; RSVPreF3 OA= RSV Pre-fusion protein 3 older adult; QALY = quality adjusted life years; YOA = years of age.</w:t>
      </w:r>
    </w:p>
    <w:p w14:paraId="0502180E" w14:textId="77777777" w:rsidR="0012450F" w:rsidRDefault="0012450F" w:rsidP="0012450F">
      <w:pPr>
        <w:pStyle w:val="FooterTableFigure"/>
        <w:rPr>
          <w:rFonts w:eastAsiaTheme="majorEastAsia"/>
        </w:rPr>
      </w:pPr>
      <w:r w:rsidRPr="001611DC">
        <w:rPr>
          <w:rFonts w:eastAsiaTheme="majorEastAsia"/>
          <w:vertAlign w:val="superscript"/>
        </w:rPr>
        <w:t>a</w:t>
      </w:r>
      <w:r w:rsidRPr="001611DC">
        <w:rPr>
          <w:rFonts w:eastAsiaTheme="majorEastAsia"/>
        </w:rPr>
        <w:t xml:space="preserve"> Deleted cells D40:NF1125 of tabs ‘Age group 1’, ‘Age group 2’, ‘Age group 3’, ‘Age group 4’, ‘Age group 5’, ‘Age group 6’ and ‘Age group 7’.</w:t>
      </w:r>
    </w:p>
    <w:p w14:paraId="7F4E626C" w14:textId="77777777" w:rsidR="008B56B6" w:rsidRPr="004A4FE0" w:rsidRDefault="008B56B6" w:rsidP="008B56B6">
      <w:pPr>
        <w:pStyle w:val="FooterTableFigure"/>
        <w:rPr>
          <w:rFonts w:eastAsiaTheme="majorEastAsia"/>
          <w:i/>
          <w:iCs/>
        </w:rPr>
      </w:pPr>
      <w:r w:rsidRPr="004A4FE0">
        <w:rPr>
          <w:rFonts w:eastAsiaTheme="majorEastAsia"/>
          <w:i/>
          <w:iCs/>
        </w:rPr>
        <w:t>The redacted values correspond to the following ranges:</w:t>
      </w:r>
    </w:p>
    <w:p w14:paraId="5059F919" w14:textId="77777777" w:rsidR="00DC19A8" w:rsidRPr="004A4FE0" w:rsidRDefault="00DC19A8" w:rsidP="00DC19A8">
      <w:pPr>
        <w:pStyle w:val="FooterTableFigure"/>
        <w:rPr>
          <w:rFonts w:eastAsiaTheme="majorEastAsia"/>
          <w:i/>
          <w:iCs/>
          <w:vertAlign w:val="superscript"/>
        </w:rPr>
      </w:pPr>
      <w:r w:rsidRPr="004A4FE0">
        <w:rPr>
          <w:rFonts w:eastAsiaTheme="majorEastAsia"/>
          <w:i/>
          <w:iCs/>
          <w:vertAlign w:val="superscript"/>
        </w:rPr>
        <w:t xml:space="preserve">1 </w:t>
      </w:r>
      <w:r w:rsidRPr="004A4FE0">
        <w:rPr>
          <w:rFonts w:eastAsiaTheme="majorEastAsia"/>
          <w:i/>
          <w:iCs/>
        </w:rPr>
        <w:t>6,000,000 to &lt; 7,000,000</w:t>
      </w:r>
    </w:p>
    <w:p w14:paraId="3962790D" w14:textId="3FBB5E86" w:rsidR="00F8578E" w:rsidRPr="004A4FE0" w:rsidRDefault="00F84D1A" w:rsidP="008B56B6">
      <w:pPr>
        <w:pStyle w:val="FooterTableFigure"/>
        <w:rPr>
          <w:rFonts w:eastAsiaTheme="majorEastAsia"/>
          <w:i/>
          <w:iCs/>
        </w:rPr>
      </w:pPr>
      <w:r w:rsidRPr="004A4FE0">
        <w:rPr>
          <w:rFonts w:eastAsiaTheme="majorEastAsia"/>
          <w:i/>
          <w:iCs/>
          <w:vertAlign w:val="superscript"/>
        </w:rPr>
        <w:t>2</w:t>
      </w:r>
      <w:r w:rsidR="0039492C" w:rsidRPr="004A4FE0">
        <w:rPr>
          <w:rFonts w:eastAsiaTheme="majorEastAsia"/>
          <w:i/>
          <w:iCs/>
        </w:rPr>
        <w:t xml:space="preserve"> </w:t>
      </w:r>
      <w:r w:rsidR="00F8578E" w:rsidRPr="004A4FE0">
        <w:rPr>
          <w:rFonts w:eastAsiaTheme="majorEastAsia"/>
          <w:i/>
          <w:iCs/>
        </w:rPr>
        <w:t>100,000 to &lt; 200,000</w:t>
      </w:r>
    </w:p>
    <w:p w14:paraId="4C682ECC" w14:textId="40C62E18" w:rsidR="00C926C7" w:rsidRPr="004A4FE0" w:rsidRDefault="00F84D1A" w:rsidP="008B56B6">
      <w:pPr>
        <w:pStyle w:val="FooterTableFigure"/>
        <w:rPr>
          <w:rFonts w:eastAsiaTheme="majorEastAsia"/>
          <w:i/>
          <w:iCs/>
        </w:rPr>
      </w:pPr>
      <w:r w:rsidRPr="004A4FE0">
        <w:rPr>
          <w:rFonts w:eastAsiaTheme="majorEastAsia"/>
          <w:i/>
          <w:iCs/>
          <w:vertAlign w:val="superscript"/>
        </w:rPr>
        <w:t>3</w:t>
      </w:r>
      <w:r w:rsidR="00C926C7" w:rsidRPr="004A4FE0">
        <w:rPr>
          <w:rFonts w:eastAsiaTheme="majorEastAsia"/>
          <w:i/>
          <w:iCs/>
        </w:rPr>
        <w:t xml:space="preserve"> 300,000 to &lt; 400,000</w:t>
      </w:r>
    </w:p>
    <w:p w14:paraId="59D94E75" w14:textId="7FD1CE33" w:rsidR="00C20CCB" w:rsidRPr="004A4FE0" w:rsidRDefault="00F84D1A" w:rsidP="008B56B6">
      <w:pPr>
        <w:pStyle w:val="FooterTableFigure"/>
        <w:rPr>
          <w:rFonts w:eastAsiaTheme="majorEastAsia"/>
          <w:i/>
          <w:iCs/>
        </w:rPr>
      </w:pPr>
      <w:r w:rsidRPr="004A4FE0">
        <w:rPr>
          <w:rFonts w:eastAsiaTheme="majorEastAsia"/>
          <w:i/>
          <w:iCs/>
          <w:vertAlign w:val="superscript"/>
        </w:rPr>
        <w:t>4</w:t>
      </w:r>
      <w:r w:rsidR="00AA0E6B" w:rsidRPr="004A4FE0">
        <w:rPr>
          <w:rFonts w:eastAsiaTheme="majorEastAsia"/>
          <w:i/>
          <w:iCs/>
        </w:rPr>
        <w:t xml:space="preserve"> 200,000 to &lt; 300,000</w:t>
      </w:r>
    </w:p>
    <w:p w14:paraId="53827452" w14:textId="6760DF8A" w:rsidR="0039492C" w:rsidRPr="004A4FE0" w:rsidRDefault="00F84D1A" w:rsidP="008B56B6">
      <w:pPr>
        <w:pStyle w:val="FooterTableFigure"/>
        <w:rPr>
          <w:rFonts w:eastAsiaTheme="majorEastAsia"/>
          <w:i/>
          <w:iCs/>
        </w:rPr>
      </w:pPr>
      <w:r w:rsidRPr="004A4FE0">
        <w:rPr>
          <w:rFonts w:eastAsiaTheme="majorEastAsia"/>
          <w:i/>
          <w:iCs/>
          <w:vertAlign w:val="superscript"/>
        </w:rPr>
        <w:t>5</w:t>
      </w:r>
      <w:r w:rsidR="00106008" w:rsidRPr="004A4FE0">
        <w:rPr>
          <w:rFonts w:eastAsiaTheme="majorEastAsia"/>
          <w:i/>
          <w:iCs/>
        </w:rPr>
        <w:t xml:space="preserve"> </w:t>
      </w:r>
      <w:r w:rsidR="0039492C" w:rsidRPr="004A4FE0">
        <w:rPr>
          <w:rFonts w:eastAsiaTheme="majorEastAsia"/>
          <w:i/>
          <w:iCs/>
        </w:rPr>
        <w:t>$555,000 to &lt; $655,000</w:t>
      </w:r>
    </w:p>
    <w:p w14:paraId="1ECD3771" w14:textId="487E449A" w:rsidR="003F59ED" w:rsidRPr="004A4FE0" w:rsidRDefault="00F84D1A" w:rsidP="008B56B6">
      <w:pPr>
        <w:pStyle w:val="FooterTableFigure"/>
        <w:rPr>
          <w:rFonts w:eastAsiaTheme="majorEastAsia"/>
          <w:i/>
          <w:iCs/>
        </w:rPr>
      </w:pPr>
      <w:r w:rsidRPr="004A4FE0">
        <w:rPr>
          <w:rFonts w:eastAsiaTheme="majorEastAsia"/>
          <w:i/>
          <w:iCs/>
          <w:vertAlign w:val="superscript"/>
        </w:rPr>
        <w:t>6</w:t>
      </w:r>
      <w:r w:rsidR="003F59ED" w:rsidRPr="004A4FE0">
        <w:rPr>
          <w:rFonts w:eastAsiaTheme="majorEastAsia"/>
          <w:i/>
          <w:iCs/>
        </w:rPr>
        <w:t xml:space="preserve"> $135,000 to &lt; $155,000</w:t>
      </w:r>
    </w:p>
    <w:p w14:paraId="4D6294F6" w14:textId="04A39119" w:rsidR="008B56B6" w:rsidRPr="004A4FE0" w:rsidRDefault="00F84D1A" w:rsidP="0012450F">
      <w:pPr>
        <w:pStyle w:val="FooterTableFigure"/>
        <w:rPr>
          <w:rFonts w:eastAsiaTheme="majorEastAsia"/>
          <w:i/>
          <w:iCs/>
        </w:rPr>
      </w:pPr>
      <w:r w:rsidRPr="004A4FE0">
        <w:rPr>
          <w:rFonts w:eastAsiaTheme="majorEastAsia"/>
          <w:i/>
          <w:iCs/>
          <w:vertAlign w:val="superscript"/>
        </w:rPr>
        <w:t>7</w:t>
      </w:r>
      <w:r w:rsidR="008B56B6" w:rsidRPr="004A4FE0">
        <w:rPr>
          <w:rFonts w:eastAsiaTheme="majorEastAsia"/>
          <w:i/>
          <w:iCs/>
        </w:rPr>
        <w:t xml:space="preserve"> $25,000 to &lt; $35,000</w:t>
      </w:r>
    </w:p>
    <w:bookmarkEnd w:id="127"/>
    <w:p w14:paraId="33399670" w14:textId="5107239E" w:rsidR="002E6F4F" w:rsidRPr="001611DC" w:rsidRDefault="002E6F4F" w:rsidP="002E6F4F">
      <w:pPr>
        <w:pStyle w:val="3-BodyText"/>
        <w:rPr>
          <w:rFonts w:eastAsia="Calibri"/>
        </w:rPr>
      </w:pPr>
      <w:r w:rsidRPr="001611DC">
        <w:t xml:space="preserve">Stepped economic evaluation results estimated in the evaluation are presented in </w:t>
      </w:r>
      <w:r w:rsidRPr="001611DC">
        <w:fldChar w:fldCharType="begin" w:fldLock="1"/>
      </w:r>
      <w:r w:rsidRPr="001611DC">
        <w:instrText xml:space="preserve"> REF _Ref166847113 \h </w:instrText>
      </w:r>
      <w:r w:rsidRPr="001611DC">
        <w:fldChar w:fldCharType="separate"/>
      </w:r>
      <w:r w:rsidR="00927933" w:rsidRPr="001611DC">
        <w:t>Table 19</w:t>
      </w:r>
      <w:r w:rsidRPr="001611DC">
        <w:fldChar w:fldCharType="end"/>
      </w:r>
      <w:r w:rsidRPr="001611DC">
        <w:t xml:space="preserve"> for the </w:t>
      </w:r>
      <w:r w:rsidR="00E2719A" w:rsidRPr="001611DC">
        <w:rPr>
          <w:rFonts w:cstheme="minorHAnsi"/>
        </w:rPr>
        <w:t>≥</w:t>
      </w:r>
      <w:r w:rsidRPr="001611DC">
        <w:t xml:space="preserve">75 YOA population. </w:t>
      </w:r>
    </w:p>
    <w:p w14:paraId="434D1117" w14:textId="2BA51480" w:rsidR="002E6F4F" w:rsidRPr="001611DC" w:rsidRDefault="002E6F4F" w:rsidP="004A4FE0">
      <w:pPr>
        <w:pStyle w:val="Caption"/>
      </w:pPr>
      <w:bookmarkStart w:id="128" w:name="_Ref166847113"/>
      <w:bookmarkStart w:id="129" w:name="_Hlk167008495"/>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19</w:t>
      </w:r>
      <w:r w:rsidR="005473CE" w:rsidRPr="001611DC">
        <w:fldChar w:fldCharType="end"/>
      </w:r>
      <w:bookmarkEnd w:id="128"/>
      <w:r w:rsidRPr="001611DC">
        <w:rPr>
          <w:rStyle w:val="CommentReference"/>
          <w:b/>
          <w:szCs w:val="24"/>
        </w:rPr>
        <w:t xml:space="preserve">: </w:t>
      </w:r>
      <w:bookmarkStart w:id="130" w:name="_Hlk166930769"/>
      <w:r w:rsidRPr="007D338A">
        <w:rPr>
          <w:rStyle w:val="CommentReference"/>
          <w:b/>
          <w:szCs w:val="24"/>
        </w:rPr>
        <w:t xml:space="preserve">Results of the stepped economic evaluation of RSVPreF3 OA vs no vaccine, </w:t>
      </w:r>
      <w:r w:rsidR="00E2719A" w:rsidRPr="007D338A">
        <w:t>≥</w:t>
      </w:r>
      <w:r w:rsidRPr="007D338A">
        <w:t>75 YOA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Caption w:val="Table 19: Results of the stepped economic evaluation of RSVPreF3 OA vs no vaccine, ≥75 YOA population"/>
      </w:tblPr>
      <w:tblGrid>
        <w:gridCol w:w="1698"/>
        <w:gridCol w:w="2408"/>
        <w:gridCol w:w="2561"/>
        <w:gridCol w:w="2350"/>
      </w:tblGrid>
      <w:tr w:rsidR="002E6F4F" w:rsidRPr="001611DC" w14:paraId="5E64C926" w14:textId="77777777" w:rsidTr="00ED36A0">
        <w:trPr>
          <w:cantSplit/>
          <w:tblHeader/>
        </w:trPr>
        <w:tc>
          <w:tcPr>
            <w:tcW w:w="942" w:type="pct"/>
            <w:shd w:val="clear" w:color="auto" w:fill="FFFFFF"/>
            <w:vAlign w:val="center"/>
          </w:tcPr>
          <w:p w14:paraId="7E95875A" w14:textId="77777777" w:rsidR="002E6F4F" w:rsidRPr="001611DC" w:rsidRDefault="002E6F4F" w:rsidP="004A4FE0">
            <w:pPr>
              <w:pStyle w:val="In-tableHeading"/>
              <w:jc w:val="center"/>
              <w:rPr>
                <w:lang w:val="en-AU"/>
              </w:rPr>
            </w:pPr>
          </w:p>
        </w:tc>
        <w:tc>
          <w:tcPr>
            <w:tcW w:w="1335" w:type="pct"/>
            <w:shd w:val="clear" w:color="auto" w:fill="FFFFFF"/>
            <w:vAlign w:val="center"/>
          </w:tcPr>
          <w:p w14:paraId="49768C65" w14:textId="77777777" w:rsidR="002E6F4F" w:rsidRPr="001611DC" w:rsidRDefault="002E6F4F" w:rsidP="004A4FE0">
            <w:pPr>
              <w:pStyle w:val="In-tableHeading"/>
              <w:jc w:val="center"/>
              <w:rPr>
                <w:lang w:val="en-AU"/>
              </w:rPr>
            </w:pPr>
            <w:r w:rsidRPr="001611DC">
              <w:rPr>
                <w:rStyle w:val="CommentReference"/>
                <w:b/>
                <w:szCs w:val="24"/>
                <w:lang w:val="en-AU"/>
              </w:rPr>
              <w:t>RSVPreF3 OA</w:t>
            </w:r>
          </w:p>
        </w:tc>
        <w:tc>
          <w:tcPr>
            <w:tcW w:w="1420" w:type="pct"/>
            <w:shd w:val="clear" w:color="auto" w:fill="FFFFFF"/>
            <w:vAlign w:val="center"/>
          </w:tcPr>
          <w:p w14:paraId="63F4CC8A" w14:textId="77777777" w:rsidR="002E6F4F" w:rsidRPr="001611DC" w:rsidRDefault="002E6F4F" w:rsidP="004A4FE0">
            <w:pPr>
              <w:pStyle w:val="In-tableHeading"/>
              <w:jc w:val="center"/>
              <w:rPr>
                <w:lang w:val="en-AU"/>
              </w:rPr>
            </w:pPr>
            <w:r w:rsidRPr="001611DC">
              <w:rPr>
                <w:lang w:val="en-AU"/>
              </w:rPr>
              <w:t>No vaccine</w:t>
            </w:r>
          </w:p>
        </w:tc>
        <w:tc>
          <w:tcPr>
            <w:tcW w:w="1303" w:type="pct"/>
            <w:shd w:val="clear" w:color="auto" w:fill="FFFFFF"/>
            <w:vAlign w:val="center"/>
          </w:tcPr>
          <w:p w14:paraId="4157BFC5" w14:textId="77777777" w:rsidR="002E6F4F" w:rsidRPr="001611DC" w:rsidRDefault="002E6F4F" w:rsidP="004A4FE0">
            <w:pPr>
              <w:pStyle w:val="In-tableHeading"/>
              <w:jc w:val="center"/>
              <w:rPr>
                <w:lang w:val="en-AU"/>
              </w:rPr>
            </w:pPr>
            <w:r w:rsidRPr="001611DC">
              <w:rPr>
                <w:lang w:val="en-AU"/>
              </w:rPr>
              <w:t>Increment</w:t>
            </w:r>
          </w:p>
        </w:tc>
      </w:tr>
      <w:tr w:rsidR="002E6F4F" w:rsidRPr="001611DC" w14:paraId="3E0BD4DE" w14:textId="77777777" w:rsidTr="00ED36A0">
        <w:trPr>
          <w:cantSplit/>
          <w:tblHeader/>
        </w:trPr>
        <w:tc>
          <w:tcPr>
            <w:tcW w:w="942" w:type="pct"/>
            <w:shd w:val="clear" w:color="auto" w:fill="FFFFFF"/>
            <w:vAlign w:val="center"/>
          </w:tcPr>
          <w:p w14:paraId="5B8595D0" w14:textId="77777777" w:rsidR="002E6F4F" w:rsidRPr="001611DC" w:rsidRDefault="002E6F4F" w:rsidP="004A4FE0">
            <w:pPr>
              <w:pStyle w:val="In-tableHeading"/>
              <w:rPr>
                <w:lang w:val="en-AU"/>
              </w:rPr>
            </w:pPr>
            <w:r w:rsidRPr="001611DC">
              <w:rPr>
                <w:lang w:val="en-AU"/>
              </w:rPr>
              <w:t>Population</w:t>
            </w:r>
          </w:p>
        </w:tc>
        <w:tc>
          <w:tcPr>
            <w:tcW w:w="1335" w:type="pct"/>
            <w:shd w:val="clear" w:color="auto" w:fill="FFFFFF"/>
            <w:vAlign w:val="center"/>
          </w:tcPr>
          <w:p w14:paraId="2ED132B1" w14:textId="0286831B" w:rsidR="002E6F4F" w:rsidRPr="00784C76" w:rsidRDefault="00BD3549" w:rsidP="004A4FE0">
            <w:pPr>
              <w:pStyle w:val="In-tableHeading"/>
              <w:jc w:val="center"/>
              <w:rPr>
                <w:rStyle w:val="CommentReference"/>
                <w:b/>
                <w:szCs w:val="24"/>
                <w:lang w:val="en-AU"/>
              </w:rPr>
            </w:pPr>
            <w:r w:rsidRPr="00BD3549">
              <w:rPr>
                <w:rStyle w:val="CommentReference"/>
                <w:b/>
                <w:color w:val="000000"/>
                <w:szCs w:val="24"/>
                <w:shd w:val="solid" w:color="000000" w:fill="000000"/>
                <w:lang w:val="en-AU"/>
                <w14:textFill>
                  <w14:solidFill>
                    <w14:srgbClr w14:val="000000">
                      <w14:alpha w14:val="100000"/>
                    </w14:srgbClr>
                  </w14:solidFill>
                </w14:textFill>
              </w:rPr>
              <w:t>|</w:t>
            </w:r>
            <w:r w:rsidR="00AA72A5" w:rsidRPr="00AA72A5">
              <w:rPr>
                <w:rStyle w:val="CommentReference"/>
                <w:b/>
                <w:szCs w:val="24"/>
                <w:vertAlign w:val="superscript"/>
                <w:lang w:val="en-AU"/>
              </w:rPr>
              <w:t>1</w:t>
            </w:r>
          </w:p>
        </w:tc>
        <w:tc>
          <w:tcPr>
            <w:tcW w:w="1420" w:type="pct"/>
            <w:shd w:val="clear" w:color="auto" w:fill="FFFFFF"/>
            <w:vAlign w:val="center"/>
          </w:tcPr>
          <w:p w14:paraId="2A9279E2" w14:textId="09EC5A77" w:rsidR="002E6F4F" w:rsidRPr="00784C76" w:rsidRDefault="00BD3549" w:rsidP="004A4FE0">
            <w:pPr>
              <w:pStyle w:val="In-tableHeading"/>
              <w:jc w:val="center"/>
              <w:rPr>
                <w:lang w:val="en-AU"/>
              </w:rPr>
            </w:pPr>
            <w:r w:rsidRPr="00BD3549">
              <w:rPr>
                <w:color w:val="000000"/>
                <w:shd w:val="solid" w:color="000000" w:fill="000000"/>
                <w:lang w:val="en-AU"/>
                <w14:textFill>
                  <w14:solidFill>
                    <w14:srgbClr w14:val="000000">
                      <w14:alpha w14:val="100000"/>
                    </w14:srgbClr>
                  </w14:solidFill>
                </w14:textFill>
              </w:rPr>
              <w:t>|</w:t>
            </w:r>
            <w:r w:rsidR="00AA72A5" w:rsidRPr="00AA72A5">
              <w:rPr>
                <w:vertAlign w:val="superscript"/>
                <w:lang w:val="en-AU"/>
              </w:rPr>
              <w:t>1</w:t>
            </w:r>
          </w:p>
        </w:tc>
        <w:tc>
          <w:tcPr>
            <w:tcW w:w="1303" w:type="pct"/>
            <w:shd w:val="clear" w:color="auto" w:fill="FFFFFF"/>
            <w:vAlign w:val="center"/>
          </w:tcPr>
          <w:p w14:paraId="505A94D0" w14:textId="77777777" w:rsidR="002E6F4F" w:rsidRPr="001611DC" w:rsidRDefault="002E6F4F" w:rsidP="004A4FE0">
            <w:pPr>
              <w:pStyle w:val="In-tableHeading"/>
              <w:jc w:val="center"/>
              <w:rPr>
                <w:lang w:val="en-AU"/>
              </w:rPr>
            </w:pPr>
            <w:r w:rsidRPr="001611DC">
              <w:rPr>
                <w:lang w:val="en-AU"/>
              </w:rPr>
              <w:t>-</w:t>
            </w:r>
          </w:p>
        </w:tc>
      </w:tr>
      <w:tr w:rsidR="002E6F4F" w:rsidRPr="001611DC" w14:paraId="6FB50304" w14:textId="77777777" w:rsidTr="00ED36A0">
        <w:trPr>
          <w:cantSplit/>
          <w:tblHeader/>
        </w:trPr>
        <w:tc>
          <w:tcPr>
            <w:tcW w:w="5000" w:type="pct"/>
            <w:gridSpan w:val="4"/>
            <w:shd w:val="clear" w:color="auto" w:fill="FFFFFF"/>
            <w:vAlign w:val="center"/>
          </w:tcPr>
          <w:p w14:paraId="66F2124D" w14:textId="2B4AE449" w:rsidR="002E6F4F" w:rsidRPr="001611DC" w:rsidRDefault="002E6F4F" w:rsidP="004A4FE0">
            <w:pPr>
              <w:pStyle w:val="In-tableHeading"/>
              <w:rPr>
                <w:vertAlign w:val="superscript"/>
                <w:lang w:val="en-AU"/>
              </w:rPr>
            </w:pPr>
            <w:r w:rsidRPr="001611DC">
              <w:rPr>
                <w:lang w:val="en-AU"/>
              </w:rPr>
              <w:t xml:space="preserve">Step 1: </w:t>
            </w:r>
            <w:r w:rsidR="00E30491" w:rsidRPr="001611DC">
              <w:rPr>
                <w:lang w:val="en-AU"/>
              </w:rPr>
              <w:t>Cost-effectiveness analysis</w:t>
            </w:r>
            <w:r w:rsidRPr="001611DC">
              <w:rPr>
                <w:lang w:val="en-AU"/>
              </w:rPr>
              <w:t xml:space="preserve"> (18 months) </w:t>
            </w:r>
            <w:r w:rsidRPr="001611DC">
              <w:rPr>
                <w:vertAlign w:val="superscript"/>
                <w:lang w:val="en-AU"/>
              </w:rPr>
              <w:t>a</w:t>
            </w:r>
          </w:p>
        </w:tc>
      </w:tr>
      <w:tr w:rsidR="002E6F4F" w:rsidRPr="001611DC" w14:paraId="2639254B" w14:textId="77777777" w:rsidTr="00BD3549">
        <w:trPr>
          <w:cantSplit/>
        </w:trPr>
        <w:tc>
          <w:tcPr>
            <w:tcW w:w="942" w:type="pct"/>
            <w:shd w:val="clear" w:color="auto" w:fill="auto"/>
          </w:tcPr>
          <w:p w14:paraId="0E4191A3" w14:textId="1B899F44" w:rsidR="002E6F4F" w:rsidRPr="001611DC" w:rsidRDefault="002E6F4F" w:rsidP="004A4FE0">
            <w:pPr>
              <w:pStyle w:val="TableText0"/>
            </w:pPr>
            <w:r w:rsidRPr="001611DC">
              <w:t>Costs</w:t>
            </w:r>
            <w:r w:rsidR="001B17DE">
              <w:t xml:space="preserve"> ($)</w:t>
            </w:r>
          </w:p>
        </w:tc>
        <w:tc>
          <w:tcPr>
            <w:tcW w:w="1335" w:type="pct"/>
            <w:shd w:val="solid" w:color="000000" w:fill="000000"/>
            <w:vAlign w:val="center"/>
          </w:tcPr>
          <w:p w14:paraId="047CE453" w14:textId="694EF6F6" w:rsidR="002E6F4F" w:rsidRPr="001B17DE"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420" w:type="pct"/>
            <w:shd w:val="solid" w:color="000000" w:fill="000000"/>
            <w:vAlign w:val="center"/>
          </w:tcPr>
          <w:p w14:paraId="464FE9EB" w14:textId="4040B8F4" w:rsidR="002E6F4F" w:rsidRPr="001B17DE"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303" w:type="pct"/>
            <w:shd w:val="solid" w:color="000000" w:fill="000000"/>
            <w:vAlign w:val="center"/>
          </w:tcPr>
          <w:p w14:paraId="02CDA4D5" w14:textId="15966673" w:rsidR="002E6F4F" w:rsidRPr="001B17DE"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r>
      <w:tr w:rsidR="002E6F4F" w:rsidRPr="001611DC" w14:paraId="200027D4" w14:textId="77777777" w:rsidTr="00BD3549">
        <w:trPr>
          <w:cantSplit/>
        </w:trPr>
        <w:tc>
          <w:tcPr>
            <w:tcW w:w="942" w:type="pct"/>
            <w:shd w:val="clear" w:color="auto" w:fill="auto"/>
          </w:tcPr>
          <w:p w14:paraId="795884A3" w14:textId="56AFC69A" w:rsidR="002E6F4F" w:rsidRPr="001611DC" w:rsidRDefault="00E30491" w:rsidP="004A4FE0">
            <w:pPr>
              <w:pStyle w:val="TableText0"/>
            </w:pPr>
            <w:r w:rsidRPr="001611DC">
              <w:t>RSV-LRTD c</w:t>
            </w:r>
            <w:r w:rsidR="002E6F4F" w:rsidRPr="001611DC">
              <w:t>ases</w:t>
            </w:r>
          </w:p>
        </w:tc>
        <w:tc>
          <w:tcPr>
            <w:tcW w:w="1335" w:type="pct"/>
            <w:shd w:val="clear" w:color="auto" w:fill="auto"/>
            <w:vAlign w:val="center"/>
          </w:tcPr>
          <w:p w14:paraId="53E5629D" w14:textId="5C0AB23F" w:rsidR="002E6F4F" w:rsidRPr="009375DF" w:rsidRDefault="00BD3549" w:rsidP="004A4FE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9375DF" w:rsidRPr="00F47BF5">
              <w:rPr>
                <w:vertAlign w:val="superscript"/>
              </w:rPr>
              <w:t>2</w:t>
            </w:r>
          </w:p>
        </w:tc>
        <w:tc>
          <w:tcPr>
            <w:tcW w:w="1420" w:type="pct"/>
            <w:shd w:val="clear" w:color="auto" w:fill="auto"/>
            <w:vAlign w:val="center"/>
          </w:tcPr>
          <w:p w14:paraId="2205158D" w14:textId="7CFAC21B" w:rsidR="002E6F4F" w:rsidRPr="009375DF" w:rsidRDefault="00BD3549" w:rsidP="004A4FE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EC619B" w:rsidRPr="00F47BF5">
              <w:rPr>
                <w:vertAlign w:val="superscript"/>
              </w:rPr>
              <w:t>3</w:t>
            </w:r>
          </w:p>
        </w:tc>
        <w:tc>
          <w:tcPr>
            <w:tcW w:w="1303" w:type="pct"/>
            <w:tcBorders>
              <w:bottom w:val="single" w:sz="4" w:space="0" w:color="auto"/>
            </w:tcBorders>
            <w:shd w:val="clear" w:color="auto" w:fill="auto"/>
            <w:vAlign w:val="center"/>
          </w:tcPr>
          <w:p w14:paraId="38188702" w14:textId="10AEE7FE" w:rsidR="002E6F4F" w:rsidRPr="00AA72A5" w:rsidRDefault="002E6F4F" w:rsidP="004A4FE0">
            <w:pPr>
              <w:pStyle w:val="TableText0"/>
              <w:jc w:val="center"/>
            </w:pPr>
            <w:r w:rsidRPr="009375DF">
              <w:t>-</w:t>
            </w:r>
            <w:r w:rsidR="00BD3549" w:rsidRPr="00BD3549">
              <w:rPr>
                <w:color w:val="000000"/>
                <w:shd w:val="solid" w:color="000000" w:fill="000000"/>
                <w14:textFill>
                  <w14:solidFill>
                    <w14:srgbClr w14:val="000000">
                      <w14:alpha w14:val="100000"/>
                    </w14:srgbClr>
                  </w14:solidFill>
                </w14:textFill>
              </w:rPr>
              <w:t>|</w:t>
            </w:r>
            <w:r w:rsidR="00BC0759" w:rsidRPr="00BC0759">
              <w:rPr>
                <w:vertAlign w:val="superscript"/>
              </w:rPr>
              <w:t>4</w:t>
            </w:r>
          </w:p>
        </w:tc>
      </w:tr>
      <w:tr w:rsidR="002E6F4F" w:rsidRPr="001611DC" w14:paraId="16A9C113" w14:textId="77777777" w:rsidTr="00BD3549">
        <w:trPr>
          <w:cantSplit/>
        </w:trPr>
        <w:tc>
          <w:tcPr>
            <w:tcW w:w="3697" w:type="pct"/>
            <w:gridSpan w:val="3"/>
            <w:tcBorders>
              <w:right w:val="single" w:sz="4" w:space="0" w:color="000000"/>
            </w:tcBorders>
            <w:shd w:val="clear" w:color="auto" w:fill="auto"/>
            <w:vAlign w:val="center"/>
          </w:tcPr>
          <w:p w14:paraId="4104AA29" w14:textId="14A693A9" w:rsidR="002E6F4F" w:rsidRPr="001611DC" w:rsidRDefault="002E6F4F" w:rsidP="004A4FE0">
            <w:pPr>
              <w:pStyle w:val="In-tableHeading"/>
              <w:rPr>
                <w:b w:val="0"/>
                <w:bCs/>
                <w:lang w:val="en-AU"/>
              </w:rPr>
            </w:pPr>
            <w:r w:rsidRPr="001611DC">
              <w:rPr>
                <w:b w:val="0"/>
                <w:bCs/>
                <w:lang w:val="en-AU"/>
              </w:rPr>
              <w:t>Incremental cost case avoided</w:t>
            </w:r>
            <w:r w:rsidR="00BE25CB">
              <w:rPr>
                <w:b w:val="0"/>
                <w:bCs/>
                <w:lang w:val="en-AU"/>
              </w:rPr>
              <w:t xml:space="preserve"> ($)</w:t>
            </w:r>
          </w:p>
        </w:tc>
        <w:tc>
          <w:tcPr>
            <w:tcW w:w="1303" w:type="pct"/>
            <w:tcBorders>
              <w:left w:val="single" w:sz="4" w:space="0" w:color="000000"/>
            </w:tcBorders>
            <w:shd w:val="solid" w:color="000000" w:fill="000000"/>
            <w:vAlign w:val="center"/>
          </w:tcPr>
          <w:p w14:paraId="6B00BEEF" w14:textId="3A37A896" w:rsidR="002E6F4F" w:rsidRPr="001611DC" w:rsidRDefault="00BD3549" w:rsidP="004A4FE0">
            <w:pPr>
              <w:pStyle w:val="TableText0"/>
              <w:jc w:val="center"/>
              <w:rPr>
                <w:rFonts w:eastAsia="Calibri"/>
                <w:szCs w:val="20"/>
              </w:rPr>
            </w:pPr>
            <w:r w:rsidRPr="00BD3549">
              <w:rPr>
                <w:rFonts w:eastAsia="Calibri"/>
                <w:color w:val="000000"/>
                <w:szCs w:val="20"/>
                <w14:textFill>
                  <w14:solidFill>
                    <w14:srgbClr w14:val="000000">
                      <w14:alpha w14:val="100000"/>
                    </w14:srgbClr>
                  </w14:solidFill>
                </w14:textFill>
              </w:rPr>
              <w:t>|</w:t>
            </w:r>
          </w:p>
        </w:tc>
      </w:tr>
      <w:tr w:rsidR="002E6F4F" w:rsidRPr="001611DC" w14:paraId="5F961A25" w14:textId="77777777" w:rsidTr="00ED36A0">
        <w:trPr>
          <w:cantSplit/>
        </w:trPr>
        <w:tc>
          <w:tcPr>
            <w:tcW w:w="5000" w:type="pct"/>
            <w:gridSpan w:val="4"/>
            <w:shd w:val="clear" w:color="auto" w:fill="auto"/>
            <w:vAlign w:val="center"/>
          </w:tcPr>
          <w:p w14:paraId="0960BF43" w14:textId="77777777" w:rsidR="002E6F4F" w:rsidRPr="001611DC" w:rsidRDefault="002E6F4F" w:rsidP="004A4FE0">
            <w:pPr>
              <w:pStyle w:val="TableText0"/>
              <w:rPr>
                <w:rFonts w:eastAsia="Calibri"/>
                <w:b/>
                <w:bCs w:val="0"/>
                <w:szCs w:val="20"/>
                <w:vertAlign w:val="superscript"/>
              </w:rPr>
            </w:pPr>
            <w:r w:rsidRPr="001611DC">
              <w:rPr>
                <w:b/>
                <w:bCs w:val="0"/>
              </w:rPr>
              <w:t xml:space="preserve">Step 2: Data transformed into LY (18 months) </w:t>
            </w:r>
            <w:r w:rsidRPr="001611DC">
              <w:rPr>
                <w:b/>
                <w:bCs w:val="0"/>
                <w:vertAlign w:val="superscript"/>
              </w:rPr>
              <w:t>a</w:t>
            </w:r>
          </w:p>
        </w:tc>
      </w:tr>
      <w:tr w:rsidR="002E6F4F" w:rsidRPr="001611DC" w14:paraId="4EF56FB1" w14:textId="77777777" w:rsidTr="00BD3549">
        <w:trPr>
          <w:cantSplit/>
        </w:trPr>
        <w:tc>
          <w:tcPr>
            <w:tcW w:w="942" w:type="pct"/>
            <w:tcBorders>
              <w:right w:val="single" w:sz="4" w:space="0" w:color="000000"/>
            </w:tcBorders>
            <w:shd w:val="clear" w:color="auto" w:fill="auto"/>
          </w:tcPr>
          <w:p w14:paraId="1C75EF1C" w14:textId="11DD7B5C" w:rsidR="002E6F4F" w:rsidRPr="001611DC" w:rsidRDefault="002E6F4F" w:rsidP="004A4FE0">
            <w:pPr>
              <w:pStyle w:val="TableText0"/>
            </w:pPr>
            <w:r w:rsidRPr="001611DC">
              <w:t>Costs</w:t>
            </w:r>
            <w:r w:rsidR="00BE25CB">
              <w:t xml:space="preserve"> ($)</w:t>
            </w:r>
          </w:p>
        </w:tc>
        <w:tc>
          <w:tcPr>
            <w:tcW w:w="1335" w:type="pct"/>
            <w:tcBorders>
              <w:right w:val="single" w:sz="4" w:space="0" w:color="000000"/>
            </w:tcBorders>
            <w:shd w:val="solid" w:color="000000" w:fill="000000"/>
            <w:vAlign w:val="center"/>
          </w:tcPr>
          <w:p w14:paraId="7362CDB3" w14:textId="5FCFE4F0"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307A45A3" w14:textId="54C879C4"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5DCE508F" w14:textId="3B4D30EB" w:rsidR="002E6F4F" w:rsidRPr="00BE25CB" w:rsidRDefault="00BD3549" w:rsidP="004A4FE0">
            <w:pPr>
              <w:pStyle w:val="TableText0"/>
              <w:jc w:val="center"/>
              <w:rPr>
                <w:rFonts w:eastAsia="Calibri"/>
                <w:b/>
                <w:szCs w:val="20"/>
                <w:highlight w:val="lightGray"/>
              </w:rPr>
            </w:pPr>
            <w:r w:rsidRPr="00BD3549">
              <w:rPr>
                <w:color w:val="000000"/>
                <w14:textFill>
                  <w14:solidFill>
                    <w14:srgbClr w14:val="000000">
                      <w14:alpha w14:val="100000"/>
                    </w14:srgbClr>
                  </w14:solidFill>
                </w14:textFill>
              </w:rPr>
              <w:t>|</w:t>
            </w:r>
          </w:p>
        </w:tc>
      </w:tr>
      <w:tr w:rsidR="002E6F4F" w:rsidRPr="001611DC" w14:paraId="4FAFF251" w14:textId="77777777" w:rsidTr="00ED36A0">
        <w:trPr>
          <w:cantSplit/>
        </w:trPr>
        <w:tc>
          <w:tcPr>
            <w:tcW w:w="942" w:type="pct"/>
            <w:tcBorders>
              <w:right w:val="single" w:sz="4" w:space="0" w:color="000000"/>
            </w:tcBorders>
            <w:shd w:val="clear" w:color="auto" w:fill="auto"/>
          </w:tcPr>
          <w:p w14:paraId="38CAA8CD" w14:textId="77777777" w:rsidR="002E6F4F" w:rsidRPr="001611DC" w:rsidRDefault="002E6F4F" w:rsidP="004A4FE0">
            <w:pPr>
              <w:pStyle w:val="TableText0"/>
            </w:pPr>
            <w:r w:rsidRPr="001611DC">
              <w:t>LY lost</w:t>
            </w:r>
          </w:p>
        </w:tc>
        <w:tc>
          <w:tcPr>
            <w:tcW w:w="1335" w:type="pct"/>
            <w:tcBorders>
              <w:right w:val="single" w:sz="4" w:space="0" w:color="000000"/>
            </w:tcBorders>
            <w:shd w:val="clear" w:color="auto" w:fill="auto"/>
            <w:vAlign w:val="center"/>
          </w:tcPr>
          <w:p w14:paraId="51BA8F99" w14:textId="77777777" w:rsidR="002E6F4F" w:rsidRPr="001611DC" w:rsidRDefault="002E6F4F" w:rsidP="004A4FE0">
            <w:pPr>
              <w:pStyle w:val="TableText0"/>
              <w:jc w:val="center"/>
            </w:pPr>
            <w:r w:rsidRPr="001611DC">
              <w:t>499</w:t>
            </w:r>
          </w:p>
        </w:tc>
        <w:tc>
          <w:tcPr>
            <w:tcW w:w="1420" w:type="pct"/>
            <w:tcBorders>
              <w:right w:val="single" w:sz="4" w:space="0" w:color="000000"/>
            </w:tcBorders>
            <w:shd w:val="clear" w:color="auto" w:fill="auto"/>
            <w:vAlign w:val="center"/>
          </w:tcPr>
          <w:p w14:paraId="7D23B339" w14:textId="77777777" w:rsidR="002E6F4F" w:rsidRPr="001611DC" w:rsidRDefault="002E6F4F" w:rsidP="004A4FE0">
            <w:pPr>
              <w:pStyle w:val="TableText0"/>
              <w:jc w:val="center"/>
            </w:pPr>
            <w:r w:rsidRPr="001611DC">
              <w:t>1,877</w:t>
            </w:r>
          </w:p>
        </w:tc>
        <w:tc>
          <w:tcPr>
            <w:tcW w:w="1303" w:type="pct"/>
            <w:tcBorders>
              <w:left w:val="single" w:sz="4" w:space="0" w:color="000000"/>
            </w:tcBorders>
            <w:shd w:val="clear" w:color="auto" w:fill="auto"/>
            <w:vAlign w:val="center"/>
          </w:tcPr>
          <w:p w14:paraId="5D9F9F52" w14:textId="77777777" w:rsidR="002E6F4F" w:rsidRPr="001611DC" w:rsidRDefault="002E6F4F" w:rsidP="004A4FE0">
            <w:pPr>
              <w:pStyle w:val="TableText0"/>
              <w:jc w:val="center"/>
              <w:rPr>
                <w:rFonts w:eastAsia="Calibri"/>
                <w:bCs w:val="0"/>
                <w:szCs w:val="20"/>
              </w:rPr>
            </w:pPr>
            <w:r w:rsidRPr="001611DC">
              <w:rPr>
                <w:rFonts w:eastAsia="Calibri"/>
                <w:bCs w:val="0"/>
                <w:szCs w:val="20"/>
              </w:rPr>
              <w:t>-1,379</w:t>
            </w:r>
          </w:p>
        </w:tc>
      </w:tr>
      <w:tr w:rsidR="002E6F4F" w:rsidRPr="001611DC" w14:paraId="75FE6460" w14:textId="77777777" w:rsidTr="00ED36A0">
        <w:trPr>
          <w:cantSplit/>
        </w:trPr>
        <w:tc>
          <w:tcPr>
            <w:tcW w:w="3697" w:type="pct"/>
            <w:gridSpan w:val="3"/>
            <w:tcBorders>
              <w:right w:val="single" w:sz="4" w:space="0" w:color="000000"/>
            </w:tcBorders>
            <w:shd w:val="clear" w:color="auto" w:fill="auto"/>
            <w:vAlign w:val="center"/>
          </w:tcPr>
          <w:p w14:paraId="2BEFEBFD" w14:textId="77777777" w:rsidR="002E6F4F" w:rsidRPr="001611DC" w:rsidRDefault="002E6F4F" w:rsidP="004A4FE0">
            <w:pPr>
              <w:pStyle w:val="TableText0"/>
            </w:pPr>
            <w:r w:rsidRPr="001611DC">
              <w:t>Incremental cost per life year gained</w:t>
            </w:r>
          </w:p>
        </w:tc>
        <w:tc>
          <w:tcPr>
            <w:tcW w:w="1303" w:type="pct"/>
            <w:tcBorders>
              <w:left w:val="single" w:sz="4" w:space="0" w:color="000000"/>
            </w:tcBorders>
            <w:shd w:val="clear" w:color="auto" w:fill="auto"/>
            <w:vAlign w:val="center"/>
          </w:tcPr>
          <w:p w14:paraId="2E3D053B" w14:textId="14409C8E" w:rsidR="002E6F4F" w:rsidRPr="001611DC" w:rsidRDefault="00BD3549" w:rsidP="004A4FE0">
            <w:pPr>
              <w:pStyle w:val="TableText0"/>
              <w:jc w:val="center"/>
            </w:pPr>
            <w:r w:rsidRPr="00BD3549">
              <w:rPr>
                <w:color w:val="000000"/>
                <w:shd w:val="solid" w:color="000000" w:fill="000000"/>
                <w14:textFill>
                  <w14:solidFill>
                    <w14:srgbClr w14:val="000000">
                      <w14:alpha w14:val="100000"/>
                    </w14:srgbClr>
                  </w14:solidFill>
                </w14:textFill>
              </w:rPr>
              <w:t>|</w:t>
            </w:r>
            <w:r w:rsidR="005063E5">
              <w:rPr>
                <w:vertAlign w:val="superscript"/>
              </w:rPr>
              <w:t>5</w:t>
            </w:r>
          </w:p>
        </w:tc>
      </w:tr>
      <w:tr w:rsidR="002E6F4F" w:rsidRPr="001611DC" w14:paraId="1151798A" w14:textId="77777777" w:rsidTr="00ED36A0">
        <w:trPr>
          <w:cantSplit/>
        </w:trPr>
        <w:tc>
          <w:tcPr>
            <w:tcW w:w="5000" w:type="pct"/>
            <w:gridSpan w:val="4"/>
            <w:shd w:val="clear" w:color="auto" w:fill="auto"/>
            <w:vAlign w:val="center"/>
          </w:tcPr>
          <w:p w14:paraId="3B5D9CB4" w14:textId="77777777" w:rsidR="002E6F4F" w:rsidRPr="001611DC" w:rsidRDefault="002E6F4F" w:rsidP="004A4FE0">
            <w:pPr>
              <w:pStyle w:val="TableText0"/>
              <w:rPr>
                <w:b/>
                <w:bCs w:val="0"/>
                <w:vertAlign w:val="superscript"/>
              </w:rPr>
            </w:pPr>
            <w:r w:rsidRPr="001611DC">
              <w:rPr>
                <w:b/>
                <w:bCs w:val="0"/>
              </w:rPr>
              <w:t xml:space="preserve">Step 3: Applied utility values (18 months) </w:t>
            </w:r>
            <w:r w:rsidRPr="001611DC">
              <w:rPr>
                <w:b/>
                <w:bCs w:val="0"/>
                <w:vertAlign w:val="superscript"/>
              </w:rPr>
              <w:t>a</w:t>
            </w:r>
          </w:p>
        </w:tc>
      </w:tr>
      <w:tr w:rsidR="002E6F4F" w:rsidRPr="001611DC" w14:paraId="24457F93" w14:textId="77777777" w:rsidTr="00BD3549">
        <w:trPr>
          <w:cantSplit/>
        </w:trPr>
        <w:tc>
          <w:tcPr>
            <w:tcW w:w="942" w:type="pct"/>
            <w:tcBorders>
              <w:right w:val="single" w:sz="4" w:space="0" w:color="000000"/>
            </w:tcBorders>
            <w:shd w:val="clear" w:color="auto" w:fill="auto"/>
          </w:tcPr>
          <w:p w14:paraId="7DB055EE" w14:textId="2AD91200" w:rsidR="002E6F4F" w:rsidRPr="001611DC" w:rsidDel="00894160" w:rsidRDefault="002E6F4F" w:rsidP="004A4FE0">
            <w:pPr>
              <w:pStyle w:val="TableText0"/>
            </w:pPr>
            <w:r w:rsidRPr="001611DC">
              <w:t>Cost</w:t>
            </w:r>
            <w:r w:rsidR="00BE25CB">
              <w:t xml:space="preserve"> ($)</w:t>
            </w:r>
          </w:p>
        </w:tc>
        <w:tc>
          <w:tcPr>
            <w:tcW w:w="1335" w:type="pct"/>
            <w:tcBorders>
              <w:right w:val="single" w:sz="4" w:space="0" w:color="000000"/>
            </w:tcBorders>
            <w:shd w:val="solid" w:color="000000" w:fill="000000"/>
            <w:vAlign w:val="center"/>
          </w:tcPr>
          <w:p w14:paraId="70DD9181" w14:textId="6A4852C6"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7F24006A" w14:textId="7A5C865A"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2330DAC5" w14:textId="574C0B64"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r>
      <w:tr w:rsidR="002E6F4F" w:rsidRPr="001611DC" w14:paraId="7629BE8D" w14:textId="77777777" w:rsidTr="00ED36A0">
        <w:trPr>
          <w:cantSplit/>
        </w:trPr>
        <w:tc>
          <w:tcPr>
            <w:tcW w:w="942" w:type="pct"/>
            <w:tcBorders>
              <w:right w:val="single" w:sz="4" w:space="0" w:color="000000"/>
            </w:tcBorders>
            <w:shd w:val="clear" w:color="auto" w:fill="auto"/>
          </w:tcPr>
          <w:p w14:paraId="193BF33C" w14:textId="77777777" w:rsidR="002E6F4F" w:rsidRPr="001611DC" w:rsidDel="00894160" w:rsidRDefault="002E6F4F" w:rsidP="004A4FE0">
            <w:pPr>
              <w:pStyle w:val="TableText0"/>
            </w:pPr>
            <w:r w:rsidRPr="001611DC">
              <w:t>QALYs lost</w:t>
            </w:r>
          </w:p>
        </w:tc>
        <w:tc>
          <w:tcPr>
            <w:tcW w:w="1335" w:type="pct"/>
            <w:tcBorders>
              <w:right w:val="single" w:sz="4" w:space="0" w:color="000000"/>
            </w:tcBorders>
            <w:shd w:val="clear" w:color="auto" w:fill="auto"/>
            <w:vAlign w:val="center"/>
          </w:tcPr>
          <w:p w14:paraId="2BEF0D8E" w14:textId="77777777" w:rsidR="002E6F4F" w:rsidRPr="001611DC" w:rsidRDefault="002E6F4F" w:rsidP="004A4FE0">
            <w:pPr>
              <w:pStyle w:val="TableText0"/>
              <w:jc w:val="center"/>
            </w:pPr>
            <w:r w:rsidRPr="001611DC">
              <w:t>2,007</w:t>
            </w:r>
          </w:p>
        </w:tc>
        <w:tc>
          <w:tcPr>
            <w:tcW w:w="1420" w:type="pct"/>
            <w:tcBorders>
              <w:right w:val="single" w:sz="4" w:space="0" w:color="000000"/>
            </w:tcBorders>
            <w:shd w:val="clear" w:color="auto" w:fill="auto"/>
            <w:vAlign w:val="center"/>
          </w:tcPr>
          <w:p w14:paraId="0CE7C260" w14:textId="77777777" w:rsidR="002E6F4F" w:rsidRPr="001611DC" w:rsidRDefault="002E6F4F" w:rsidP="004A4FE0">
            <w:pPr>
              <w:pStyle w:val="TableText0"/>
              <w:jc w:val="center"/>
            </w:pPr>
            <w:r w:rsidRPr="001611DC">
              <w:t>4,989</w:t>
            </w:r>
          </w:p>
        </w:tc>
        <w:tc>
          <w:tcPr>
            <w:tcW w:w="1303" w:type="pct"/>
            <w:tcBorders>
              <w:left w:val="single" w:sz="4" w:space="0" w:color="000000"/>
            </w:tcBorders>
            <w:shd w:val="clear" w:color="auto" w:fill="auto"/>
            <w:vAlign w:val="center"/>
          </w:tcPr>
          <w:p w14:paraId="3218A2C9" w14:textId="77777777" w:rsidR="002E6F4F" w:rsidRPr="001611DC" w:rsidRDefault="002E6F4F" w:rsidP="004A4FE0">
            <w:pPr>
              <w:pStyle w:val="TableText0"/>
              <w:jc w:val="center"/>
            </w:pPr>
          </w:p>
        </w:tc>
      </w:tr>
      <w:tr w:rsidR="002E6F4F" w:rsidRPr="001611DC" w14:paraId="6F4832D1" w14:textId="77777777" w:rsidTr="00ED36A0">
        <w:trPr>
          <w:cantSplit/>
        </w:trPr>
        <w:tc>
          <w:tcPr>
            <w:tcW w:w="3697" w:type="pct"/>
            <w:gridSpan w:val="3"/>
            <w:tcBorders>
              <w:right w:val="single" w:sz="4" w:space="0" w:color="000000"/>
            </w:tcBorders>
            <w:shd w:val="clear" w:color="auto" w:fill="auto"/>
            <w:vAlign w:val="center"/>
          </w:tcPr>
          <w:p w14:paraId="3A8016A4" w14:textId="77777777" w:rsidR="002E6F4F" w:rsidRPr="001611DC" w:rsidRDefault="002E6F4F" w:rsidP="004A4FE0">
            <w:pPr>
              <w:pStyle w:val="TableText0"/>
            </w:pPr>
            <w:r w:rsidRPr="001611DC">
              <w:t>Incremental cost per QALY gained</w:t>
            </w:r>
          </w:p>
        </w:tc>
        <w:tc>
          <w:tcPr>
            <w:tcW w:w="1303" w:type="pct"/>
            <w:tcBorders>
              <w:left w:val="single" w:sz="4" w:space="0" w:color="000000"/>
            </w:tcBorders>
            <w:shd w:val="clear" w:color="auto" w:fill="auto"/>
            <w:vAlign w:val="center"/>
          </w:tcPr>
          <w:p w14:paraId="5EF16F50" w14:textId="2D00CB5B" w:rsidR="002E6F4F" w:rsidRPr="001611DC" w:rsidRDefault="00BD3549" w:rsidP="004A4FE0">
            <w:pPr>
              <w:pStyle w:val="TableText0"/>
              <w:jc w:val="center"/>
            </w:pPr>
            <w:r w:rsidRPr="00BD3549">
              <w:rPr>
                <w:color w:val="000000"/>
                <w:shd w:val="solid" w:color="000000" w:fill="000000"/>
                <w14:textFill>
                  <w14:solidFill>
                    <w14:srgbClr w14:val="000000">
                      <w14:alpha w14:val="100000"/>
                    </w14:srgbClr>
                  </w14:solidFill>
                </w14:textFill>
              </w:rPr>
              <w:t>|</w:t>
            </w:r>
            <w:r w:rsidR="005063E5">
              <w:rPr>
                <w:vertAlign w:val="superscript"/>
              </w:rPr>
              <w:t>6</w:t>
            </w:r>
          </w:p>
        </w:tc>
      </w:tr>
      <w:tr w:rsidR="002E6F4F" w:rsidRPr="001611DC" w14:paraId="05813750" w14:textId="77777777" w:rsidTr="00ED36A0">
        <w:trPr>
          <w:cantSplit/>
        </w:trPr>
        <w:tc>
          <w:tcPr>
            <w:tcW w:w="5000" w:type="pct"/>
            <w:gridSpan w:val="4"/>
            <w:shd w:val="clear" w:color="auto" w:fill="auto"/>
            <w:vAlign w:val="center"/>
          </w:tcPr>
          <w:p w14:paraId="3FD26533" w14:textId="09A44F30" w:rsidR="002E6F4F" w:rsidRPr="001611DC" w:rsidRDefault="002E6F4F" w:rsidP="004A4FE0">
            <w:pPr>
              <w:pStyle w:val="TableText0"/>
            </w:pPr>
            <w:r w:rsidRPr="001611DC">
              <w:rPr>
                <w:b/>
                <w:bCs w:val="0"/>
              </w:rPr>
              <w:t>Step 4:</w:t>
            </w:r>
            <w:r w:rsidR="00E30491" w:rsidRPr="001611DC">
              <w:rPr>
                <w:b/>
                <w:bCs w:val="0"/>
              </w:rPr>
              <w:t xml:space="preserve"> Extrapolate to 3 year time horizon (submission’s</w:t>
            </w:r>
            <w:r w:rsidRPr="001611DC">
              <w:rPr>
                <w:b/>
                <w:bCs w:val="0"/>
              </w:rPr>
              <w:t xml:space="preserve"> </w:t>
            </w:r>
            <w:r w:rsidR="00E30491" w:rsidRPr="001611DC">
              <w:rPr>
                <w:b/>
                <w:bCs w:val="0"/>
              </w:rPr>
              <w:t>b</w:t>
            </w:r>
            <w:r w:rsidRPr="001611DC">
              <w:rPr>
                <w:b/>
                <w:bCs w:val="0"/>
              </w:rPr>
              <w:t>ase case</w:t>
            </w:r>
            <w:r w:rsidR="00E30491" w:rsidRPr="001611DC">
              <w:rPr>
                <w:b/>
                <w:bCs w:val="0"/>
              </w:rPr>
              <w:t>)</w:t>
            </w:r>
          </w:p>
        </w:tc>
      </w:tr>
      <w:tr w:rsidR="002E6F4F" w:rsidRPr="001611DC" w14:paraId="5EF98B1C" w14:textId="77777777" w:rsidTr="00BD3549">
        <w:trPr>
          <w:cantSplit/>
        </w:trPr>
        <w:tc>
          <w:tcPr>
            <w:tcW w:w="942" w:type="pct"/>
            <w:tcBorders>
              <w:right w:val="single" w:sz="4" w:space="0" w:color="000000"/>
            </w:tcBorders>
            <w:shd w:val="clear" w:color="auto" w:fill="auto"/>
          </w:tcPr>
          <w:p w14:paraId="4933AD1D" w14:textId="341E8B9C" w:rsidR="002E6F4F" w:rsidRPr="001611DC" w:rsidRDefault="002E6F4F" w:rsidP="004A4FE0">
            <w:pPr>
              <w:pStyle w:val="TableText0"/>
              <w:rPr>
                <w:b/>
                <w:bCs w:val="0"/>
              </w:rPr>
            </w:pPr>
            <w:r w:rsidRPr="001611DC">
              <w:t>Cost</w:t>
            </w:r>
            <w:r w:rsidR="00BE25CB">
              <w:t xml:space="preserve"> ($)</w:t>
            </w:r>
          </w:p>
        </w:tc>
        <w:tc>
          <w:tcPr>
            <w:tcW w:w="1335" w:type="pct"/>
            <w:tcBorders>
              <w:right w:val="single" w:sz="4" w:space="0" w:color="000000"/>
            </w:tcBorders>
            <w:shd w:val="solid" w:color="000000" w:fill="000000"/>
            <w:vAlign w:val="center"/>
          </w:tcPr>
          <w:p w14:paraId="5E84FC16" w14:textId="620ED71D"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420" w:type="pct"/>
            <w:tcBorders>
              <w:right w:val="single" w:sz="4" w:space="0" w:color="000000"/>
            </w:tcBorders>
            <w:shd w:val="solid" w:color="000000" w:fill="000000"/>
            <w:vAlign w:val="center"/>
          </w:tcPr>
          <w:p w14:paraId="2EC7CDEE" w14:textId="4FD7FD0A"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c>
          <w:tcPr>
            <w:tcW w:w="1303" w:type="pct"/>
            <w:tcBorders>
              <w:left w:val="single" w:sz="4" w:space="0" w:color="000000"/>
            </w:tcBorders>
            <w:shd w:val="solid" w:color="000000" w:fill="000000"/>
            <w:vAlign w:val="center"/>
          </w:tcPr>
          <w:p w14:paraId="4233F98E" w14:textId="08ACC4AF" w:rsidR="002E6F4F" w:rsidRPr="00BE25CB" w:rsidRDefault="00BD3549" w:rsidP="004A4FE0">
            <w:pPr>
              <w:pStyle w:val="TableText0"/>
              <w:jc w:val="center"/>
              <w:rPr>
                <w:highlight w:val="lightGray"/>
              </w:rPr>
            </w:pPr>
            <w:r w:rsidRPr="00BD3549">
              <w:rPr>
                <w:color w:val="000000"/>
                <w14:textFill>
                  <w14:solidFill>
                    <w14:srgbClr w14:val="000000">
                      <w14:alpha w14:val="100000"/>
                    </w14:srgbClr>
                  </w14:solidFill>
                </w14:textFill>
              </w:rPr>
              <w:t>|</w:t>
            </w:r>
          </w:p>
        </w:tc>
      </w:tr>
      <w:tr w:rsidR="002E6F4F" w:rsidRPr="001611DC" w14:paraId="4BABACEA" w14:textId="77777777" w:rsidTr="00ED36A0">
        <w:trPr>
          <w:cantSplit/>
        </w:trPr>
        <w:tc>
          <w:tcPr>
            <w:tcW w:w="942" w:type="pct"/>
            <w:tcBorders>
              <w:right w:val="single" w:sz="4" w:space="0" w:color="000000"/>
            </w:tcBorders>
            <w:shd w:val="clear" w:color="auto" w:fill="auto"/>
          </w:tcPr>
          <w:p w14:paraId="265A98CD" w14:textId="77777777" w:rsidR="002E6F4F" w:rsidRPr="001611DC" w:rsidRDefault="002E6F4F" w:rsidP="004A4FE0">
            <w:pPr>
              <w:pStyle w:val="TableText0"/>
              <w:rPr>
                <w:b/>
                <w:bCs w:val="0"/>
              </w:rPr>
            </w:pPr>
            <w:r w:rsidRPr="001611DC">
              <w:t>QALYs lost</w:t>
            </w:r>
          </w:p>
        </w:tc>
        <w:tc>
          <w:tcPr>
            <w:tcW w:w="1335" w:type="pct"/>
            <w:tcBorders>
              <w:right w:val="single" w:sz="4" w:space="0" w:color="000000"/>
            </w:tcBorders>
            <w:shd w:val="clear" w:color="auto" w:fill="auto"/>
            <w:vAlign w:val="center"/>
          </w:tcPr>
          <w:p w14:paraId="7CA4ABF6" w14:textId="77777777" w:rsidR="002E6F4F" w:rsidRPr="001611DC" w:rsidRDefault="002E6F4F" w:rsidP="004A4FE0">
            <w:pPr>
              <w:pStyle w:val="TableText0"/>
              <w:jc w:val="center"/>
            </w:pPr>
            <w:r w:rsidRPr="001611DC">
              <w:t>13,083</w:t>
            </w:r>
          </w:p>
        </w:tc>
        <w:tc>
          <w:tcPr>
            <w:tcW w:w="1420" w:type="pct"/>
            <w:tcBorders>
              <w:right w:val="single" w:sz="4" w:space="0" w:color="000000"/>
            </w:tcBorders>
            <w:shd w:val="clear" w:color="auto" w:fill="auto"/>
            <w:vAlign w:val="center"/>
          </w:tcPr>
          <w:p w14:paraId="5466051C" w14:textId="77777777" w:rsidR="002E6F4F" w:rsidRPr="001611DC" w:rsidRDefault="002E6F4F" w:rsidP="004A4FE0">
            <w:pPr>
              <w:pStyle w:val="TableText0"/>
              <w:jc w:val="center"/>
            </w:pPr>
            <w:r w:rsidRPr="001611DC">
              <w:t>28,779</w:t>
            </w:r>
          </w:p>
        </w:tc>
        <w:tc>
          <w:tcPr>
            <w:tcW w:w="1303" w:type="pct"/>
            <w:tcBorders>
              <w:left w:val="single" w:sz="4" w:space="0" w:color="000000"/>
            </w:tcBorders>
            <w:shd w:val="clear" w:color="auto" w:fill="auto"/>
            <w:vAlign w:val="center"/>
          </w:tcPr>
          <w:p w14:paraId="68DEF00A" w14:textId="77777777" w:rsidR="002E6F4F" w:rsidRPr="001611DC" w:rsidRDefault="002E6F4F" w:rsidP="004A4FE0">
            <w:pPr>
              <w:pStyle w:val="TableText0"/>
              <w:jc w:val="center"/>
            </w:pPr>
            <w:r w:rsidRPr="001611DC">
              <w:t>-15,697</w:t>
            </w:r>
          </w:p>
        </w:tc>
      </w:tr>
      <w:tr w:rsidR="002E6F4F" w:rsidRPr="001611DC" w14:paraId="66A8A2DF" w14:textId="77777777" w:rsidTr="00ED36A0">
        <w:trPr>
          <w:cantSplit/>
        </w:trPr>
        <w:tc>
          <w:tcPr>
            <w:tcW w:w="3697" w:type="pct"/>
            <w:gridSpan w:val="3"/>
            <w:tcBorders>
              <w:right w:val="single" w:sz="4" w:space="0" w:color="000000"/>
            </w:tcBorders>
            <w:shd w:val="clear" w:color="auto" w:fill="auto"/>
          </w:tcPr>
          <w:p w14:paraId="14155B76" w14:textId="77777777" w:rsidR="002E6F4F" w:rsidRPr="001611DC" w:rsidRDefault="002E6F4F" w:rsidP="004A4FE0">
            <w:pPr>
              <w:pStyle w:val="TableText0"/>
              <w:rPr>
                <w:b/>
                <w:bCs w:val="0"/>
              </w:rPr>
            </w:pPr>
            <w:r w:rsidRPr="001611DC">
              <w:rPr>
                <w:b/>
                <w:bCs w:val="0"/>
              </w:rPr>
              <w:t>Incremental cost per QALY</w:t>
            </w:r>
            <w:r w:rsidRPr="001611DC" w:rsidDel="00894160">
              <w:rPr>
                <w:b/>
                <w:bCs w:val="0"/>
              </w:rPr>
              <w:t xml:space="preserve"> </w:t>
            </w:r>
            <w:r w:rsidRPr="001611DC">
              <w:rPr>
                <w:b/>
                <w:bCs w:val="0"/>
              </w:rPr>
              <w:t>gained</w:t>
            </w:r>
            <w:r w:rsidRPr="001611DC" w:rsidDel="00894160">
              <w:rPr>
                <w:b/>
                <w:bCs w:val="0"/>
              </w:rPr>
              <w:t xml:space="preserve"> </w:t>
            </w:r>
          </w:p>
        </w:tc>
        <w:tc>
          <w:tcPr>
            <w:tcW w:w="1303" w:type="pct"/>
            <w:tcBorders>
              <w:left w:val="single" w:sz="4" w:space="0" w:color="000000"/>
            </w:tcBorders>
            <w:shd w:val="clear" w:color="auto" w:fill="auto"/>
            <w:vAlign w:val="center"/>
          </w:tcPr>
          <w:p w14:paraId="1262782A" w14:textId="0AB3B38F" w:rsidR="002E6F4F" w:rsidRPr="001611DC" w:rsidRDefault="00BD3549" w:rsidP="004A4FE0">
            <w:pPr>
              <w:pStyle w:val="TableText0"/>
              <w:jc w:val="center"/>
              <w:rPr>
                <w:rFonts w:eastAsia="Calibri"/>
                <w:b/>
                <w:bCs w:val="0"/>
                <w:szCs w:val="20"/>
              </w:rPr>
            </w:pPr>
            <w:r w:rsidRPr="00BD3549">
              <w:rPr>
                <w:b/>
                <w:bCs w:val="0"/>
                <w:color w:val="000000"/>
                <w:shd w:val="solid" w:color="000000" w:fill="000000"/>
                <w14:textFill>
                  <w14:solidFill>
                    <w14:srgbClr w14:val="000000">
                      <w14:alpha w14:val="100000"/>
                    </w14:srgbClr>
                  </w14:solidFill>
                </w14:textFill>
              </w:rPr>
              <w:t>|</w:t>
            </w:r>
            <w:r w:rsidR="005063E5">
              <w:rPr>
                <w:b/>
                <w:bCs w:val="0"/>
                <w:vertAlign w:val="superscript"/>
              </w:rPr>
              <w:t>7</w:t>
            </w:r>
            <w:r w:rsidR="00BE25CB">
              <w:rPr>
                <w:b/>
                <w:bCs w:val="0"/>
              </w:rPr>
              <w:t xml:space="preserve"> </w:t>
            </w:r>
          </w:p>
        </w:tc>
      </w:tr>
    </w:tbl>
    <w:p w14:paraId="6E7D2704" w14:textId="2C49CA4A" w:rsidR="002E6F4F" w:rsidRPr="001611DC" w:rsidRDefault="002E6F4F" w:rsidP="004A4FE0">
      <w:pPr>
        <w:pStyle w:val="FooterTableFigure"/>
        <w:keepNext/>
        <w:rPr>
          <w:rStyle w:val="CommentReference"/>
          <w:iCs/>
        </w:rPr>
      </w:pPr>
      <w:r w:rsidRPr="001611DC">
        <w:t xml:space="preserve">Source: </w:t>
      </w:r>
      <w:r w:rsidRPr="001611DC">
        <w:rPr>
          <w:rFonts w:eastAsiaTheme="majorEastAsia"/>
        </w:rPr>
        <w:t xml:space="preserve">Table 3-60, of the submission; attachment ‘RSV OA static model_v16_PBAC_FINAL’ of the submission. </w:t>
      </w:r>
    </w:p>
    <w:p w14:paraId="524EB4C5" w14:textId="77777777" w:rsidR="002E6F4F" w:rsidRPr="001611DC" w:rsidRDefault="002E6F4F" w:rsidP="004A4FE0">
      <w:pPr>
        <w:pStyle w:val="FooterTableFigure"/>
        <w:keepNext/>
        <w:rPr>
          <w:rFonts w:eastAsia="Calibri"/>
          <w:szCs w:val="20"/>
        </w:rPr>
      </w:pPr>
      <w:r w:rsidRPr="001611DC">
        <w:rPr>
          <w:rFonts w:eastAsia="Calibri"/>
          <w:szCs w:val="20"/>
        </w:rPr>
        <w:t>LRTD = lower respiratory tract disease; LY = life-year; RSV = respiratory syncytial virus; RSVPreF3 OA= RSV Pre-fusion protein 3 older adult; QALY = quality adjusted life years; YOA = years of age.</w:t>
      </w:r>
    </w:p>
    <w:p w14:paraId="3079CE32" w14:textId="77777777" w:rsidR="002E6F4F" w:rsidRDefault="002E6F4F" w:rsidP="004A4FE0">
      <w:pPr>
        <w:pStyle w:val="FooterTableFigure"/>
        <w:keepNext/>
        <w:rPr>
          <w:rFonts w:eastAsiaTheme="majorEastAsia"/>
        </w:rPr>
      </w:pPr>
      <w:r w:rsidRPr="001611DC">
        <w:rPr>
          <w:rFonts w:eastAsiaTheme="majorEastAsia"/>
          <w:vertAlign w:val="superscript"/>
        </w:rPr>
        <w:t>a</w:t>
      </w:r>
      <w:r w:rsidRPr="001611DC">
        <w:rPr>
          <w:rFonts w:eastAsiaTheme="majorEastAsia"/>
        </w:rPr>
        <w:t xml:space="preserve"> Deleted cells D40:NF1125 of tabs ‘Age group 4’, ‘Age group 5’, ‘Age group 6’ and ‘Age group 7’.</w:t>
      </w:r>
    </w:p>
    <w:p w14:paraId="46B14CB8" w14:textId="77777777" w:rsidR="00BE25CB" w:rsidRPr="004A4FE0" w:rsidRDefault="00BE25CB" w:rsidP="004A4FE0">
      <w:pPr>
        <w:pStyle w:val="FooterTableFigure"/>
        <w:keepNext/>
        <w:rPr>
          <w:rFonts w:eastAsiaTheme="majorEastAsia"/>
          <w:i/>
          <w:iCs/>
        </w:rPr>
      </w:pPr>
      <w:bookmarkStart w:id="131" w:name="_Hlk176768650"/>
      <w:r w:rsidRPr="004A4FE0">
        <w:rPr>
          <w:rFonts w:eastAsiaTheme="majorEastAsia"/>
          <w:i/>
          <w:iCs/>
        </w:rPr>
        <w:t>The redacted values correspond to the following ranges:</w:t>
      </w:r>
    </w:p>
    <w:p w14:paraId="507FF6E7" w14:textId="7085D7FC" w:rsidR="00D43CC5" w:rsidRPr="004A4FE0" w:rsidRDefault="0091159A" w:rsidP="004A4FE0">
      <w:pPr>
        <w:pStyle w:val="FooterTableFigure"/>
        <w:keepNext/>
        <w:rPr>
          <w:rFonts w:eastAsiaTheme="majorEastAsia"/>
          <w:i/>
          <w:iCs/>
        </w:rPr>
      </w:pPr>
      <w:r w:rsidRPr="004A4FE0">
        <w:rPr>
          <w:rFonts w:eastAsiaTheme="majorEastAsia"/>
          <w:i/>
          <w:iCs/>
          <w:vertAlign w:val="superscript"/>
        </w:rPr>
        <w:t>1</w:t>
      </w:r>
      <w:r w:rsidRPr="004A4FE0">
        <w:rPr>
          <w:rFonts w:eastAsiaTheme="majorEastAsia"/>
          <w:i/>
          <w:iCs/>
        </w:rPr>
        <w:t xml:space="preserve"> </w:t>
      </w:r>
      <w:r w:rsidR="00D43CC5" w:rsidRPr="004A4FE0">
        <w:rPr>
          <w:rFonts w:eastAsiaTheme="majorEastAsia"/>
          <w:i/>
          <w:iCs/>
        </w:rPr>
        <w:t>2,000,000 to &lt; 3,000,000</w:t>
      </w:r>
    </w:p>
    <w:p w14:paraId="00252437" w14:textId="68BA274C" w:rsidR="00FE0ECB" w:rsidRPr="004A4FE0" w:rsidRDefault="00FE0ECB" w:rsidP="004A4FE0">
      <w:pPr>
        <w:pStyle w:val="FooterTableFigure"/>
        <w:keepNext/>
        <w:rPr>
          <w:rFonts w:eastAsiaTheme="majorEastAsia"/>
          <w:i/>
          <w:iCs/>
        </w:rPr>
      </w:pPr>
      <w:r w:rsidRPr="004A4FE0">
        <w:rPr>
          <w:rFonts w:eastAsiaTheme="majorEastAsia"/>
          <w:i/>
          <w:iCs/>
          <w:vertAlign w:val="superscript"/>
        </w:rPr>
        <w:t>2</w:t>
      </w:r>
      <w:r w:rsidRPr="004A4FE0">
        <w:rPr>
          <w:rFonts w:eastAsiaTheme="majorEastAsia"/>
          <w:i/>
          <w:iCs/>
        </w:rPr>
        <w:t xml:space="preserve"> 30,000 to &lt; 40,000</w:t>
      </w:r>
    </w:p>
    <w:p w14:paraId="6086F63C" w14:textId="4EB8CE5B" w:rsidR="00EC619B" w:rsidRPr="004A4FE0" w:rsidRDefault="00EC619B" w:rsidP="004A4FE0">
      <w:pPr>
        <w:pStyle w:val="FooterTableFigure"/>
        <w:keepNext/>
        <w:rPr>
          <w:rFonts w:eastAsiaTheme="majorEastAsia"/>
          <w:i/>
          <w:iCs/>
        </w:rPr>
      </w:pPr>
      <w:r w:rsidRPr="004A4FE0">
        <w:rPr>
          <w:rFonts w:eastAsiaTheme="majorEastAsia"/>
          <w:i/>
          <w:iCs/>
          <w:vertAlign w:val="superscript"/>
        </w:rPr>
        <w:t xml:space="preserve">3 </w:t>
      </w:r>
      <w:r w:rsidR="00BC0759" w:rsidRPr="004A4FE0">
        <w:rPr>
          <w:rFonts w:eastAsiaTheme="majorEastAsia"/>
          <w:i/>
          <w:iCs/>
        </w:rPr>
        <w:t>100,000 to &lt; 200,000</w:t>
      </w:r>
    </w:p>
    <w:p w14:paraId="33041BBB" w14:textId="7702A30F" w:rsidR="00651DC7" w:rsidRPr="004A4FE0" w:rsidRDefault="00651DC7" w:rsidP="004A4FE0">
      <w:pPr>
        <w:pStyle w:val="FooterTableFigure"/>
        <w:keepNext/>
        <w:rPr>
          <w:rFonts w:eastAsiaTheme="majorEastAsia"/>
          <w:i/>
          <w:iCs/>
        </w:rPr>
      </w:pPr>
      <w:r w:rsidRPr="004A4FE0">
        <w:rPr>
          <w:rFonts w:eastAsiaTheme="majorEastAsia"/>
          <w:i/>
          <w:iCs/>
          <w:vertAlign w:val="superscript"/>
        </w:rPr>
        <w:t>4</w:t>
      </w:r>
      <w:r w:rsidRPr="004A4FE0">
        <w:rPr>
          <w:rFonts w:eastAsiaTheme="majorEastAsia"/>
          <w:i/>
          <w:iCs/>
        </w:rPr>
        <w:t xml:space="preserve"> 70,000 to &lt; 80,000</w:t>
      </w:r>
    </w:p>
    <w:p w14:paraId="7E9CDABD" w14:textId="48836D7E" w:rsidR="0091159A" w:rsidRPr="004A4FE0" w:rsidRDefault="005063E5" w:rsidP="004A4FE0">
      <w:pPr>
        <w:pStyle w:val="FooterTableFigure"/>
        <w:keepNext/>
        <w:rPr>
          <w:rFonts w:eastAsiaTheme="majorEastAsia"/>
          <w:i/>
          <w:iCs/>
        </w:rPr>
      </w:pPr>
      <w:r w:rsidRPr="004A4FE0">
        <w:rPr>
          <w:rFonts w:eastAsiaTheme="majorEastAsia"/>
          <w:i/>
          <w:iCs/>
          <w:vertAlign w:val="superscript"/>
        </w:rPr>
        <w:t>5</w:t>
      </w:r>
      <w:r w:rsidRPr="004A4FE0">
        <w:rPr>
          <w:rFonts w:eastAsiaTheme="majorEastAsia"/>
          <w:i/>
          <w:iCs/>
        </w:rPr>
        <w:t xml:space="preserve"> </w:t>
      </w:r>
      <w:r w:rsidR="0091159A" w:rsidRPr="004A4FE0">
        <w:rPr>
          <w:rFonts w:eastAsiaTheme="majorEastAsia"/>
          <w:i/>
          <w:iCs/>
        </w:rPr>
        <w:t>$115,000 to &lt; $135,000</w:t>
      </w:r>
    </w:p>
    <w:p w14:paraId="399CF0E9" w14:textId="0CC7CCEE" w:rsidR="004C10D8" w:rsidRPr="004A4FE0" w:rsidRDefault="003269E7" w:rsidP="004A4FE0">
      <w:pPr>
        <w:pStyle w:val="FooterTableFigure"/>
        <w:keepNext/>
        <w:rPr>
          <w:rFonts w:eastAsiaTheme="majorEastAsia"/>
          <w:i/>
          <w:iCs/>
        </w:rPr>
      </w:pPr>
      <w:r w:rsidRPr="004A4FE0">
        <w:rPr>
          <w:rFonts w:eastAsiaTheme="majorEastAsia"/>
          <w:i/>
          <w:iCs/>
          <w:vertAlign w:val="superscript"/>
        </w:rPr>
        <w:t>6</w:t>
      </w:r>
      <w:r w:rsidR="004C10D8" w:rsidRPr="004A4FE0">
        <w:rPr>
          <w:rFonts w:eastAsiaTheme="majorEastAsia"/>
          <w:i/>
          <w:iCs/>
        </w:rPr>
        <w:t xml:space="preserve"> $55,000 to &lt; $75,000</w:t>
      </w:r>
    </w:p>
    <w:p w14:paraId="5EA3024A" w14:textId="30B7B37F" w:rsidR="00BE25CB" w:rsidRPr="004A4FE0" w:rsidRDefault="005063E5" w:rsidP="002E6F4F">
      <w:pPr>
        <w:pStyle w:val="FooterTableFigure"/>
        <w:rPr>
          <w:rFonts w:eastAsiaTheme="majorEastAsia"/>
          <w:i/>
          <w:iCs/>
        </w:rPr>
      </w:pPr>
      <w:r w:rsidRPr="004A4FE0">
        <w:rPr>
          <w:rFonts w:eastAsiaTheme="majorEastAsia"/>
          <w:i/>
          <w:iCs/>
          <w:vertAlign w:val="superscript"/>
        </w:rPr>
        <w:t>7</w:t>
      </w:r>
      <w:r w:rsidR="009F4CF7" w:rsidRPr="004A4FE0">
        <w:rPr>
          <w:rFonts w:eastAsiaTheme="majorEastAsia"/>
          <w:i/>
          <w:iCs/>
        </w:rPr>
        <w:t xml:space="preserve"> $5,000 to &lt; $15,000</w:t>
      </w:r>
      <w:bookmarkEnd w:id="131"/>
    </w:p>
    <w:bookmarkEnd w:id="129"/>
    <w:bookmarkEnd w:id="130"/>
    <w:p w14:paraId="32DC69D5" w14:textId="7F8D4E93" w:rsidR="002E6F4F" w:rsidRPr="001611DC" w:rsidRDefault="002E6F4F" w:rsidP="002E6F4F">
      <w:pPr>
        <w:pStyle w:val="3-BodyText"/>
      </w:pPr>
      <w:r w:rsidRPr="001611DC">
        <w:t xml:space="preserve">Disaggregated discounted costs presented by the submission for the </w:t>
      </w:r>
      <w:r w:rsidR="00E2719A" w:rsidRPr="001611DC">
        <w:rPr>
          <w:rFonts w:cs="Calibri"/>
        </w:rPr>
        <w:t>≥</w:t>
      </w:r>
      <w:r w:rsidRPr="001611DC">
        <w:t xml:space="preserve">60 YOA population are presented in </w:t>
      </w:r>
      <w:r w:rsidRPr="001611DC">
        <w:fldChar w:fldCharType="begin" w:fldLock="1"/>
      </w:r>
      <w:r w:rsidRPr="001611DC">
        <w:instrText xml:space="preserve"> REF _Ref165406589 \h </w:instrText>
      </w:r>
      <w:r w:rsidRPr="001611DC">
        <w:fldChar w:fldCharType="separate"/>
      </w:r>
      <w:r w:rsidR="00927933" w:rsidRPr="001611DC">
        <w:t>Table 20</w:t>
      </w:r>
      <w:r w:rsidRPr="001611DC">
        <w:fldChar w:fldCharType="end"/>
      </w:r>
      <w:r w:rsidRPr="001611DC">
        <w:t>.</w:t>
      </w:r>
    </w:p>
    <w:p w14:paraId="2EB01918" w14:textId="77777777" w:rsidR="0099155D" w:rsidRPr="001611DC" w:rsidRDefault="0099155D" w:rsidP="002E6F4F">
      <w:pPr>
        <w:pStyle w:val="TableFigureHeading"/>
      </w:pPr>
      <w:r w:rsidRPr="00273B90">
        <w:lastRenderedPageBreak/>
        <w:t xml:space="preserve">Table </w:t>
      </w:r>
      <w:r w:rsidRPr="00273B90">
        <w:fldChar w:fldCharType="begin" w:fldLock="1"/>
      </w:r>
      <w:r w:rsidRPr="00273B90">
        <w:instrText xml:space="preserve"> SEQ Table \* ARABIC </w:instrText>
      </w:r>
      <w:r w:rsidRPr="00273B90">
        <w:fldChar w:fldCharType="separate"/>
      </w:r>
      <w:r w:rsidRPr="00273B90">
        <w:t>20</w:t>
      </w:r>
      <w:r w:rsidRPr="00273B90">
        <w:fldChar w:fldCharType="end"/>
      </w:r>
      <w:r w:rsidRPr="001611DC">
        <w:t xml:space="preserve">: </w:t>
      </w:r>
      <w:r w:rsidRPr="02C99786">
        <w:rPr>
          <w:rStyle w:val="CommentReference"/>
          <w:b/>
          <w:u w:val="single"/>
        </w:rPr>
        <w:t>Health care resource items: disaggregated summary of cost impacts adults ≥60 YOA (discounted</w:t>
      </w:r>
      <w:r w:rsidRPr="02C99786">
        <w:rPr>
          <w:rStyle w:val="CommentReference"/>
          <w:b/>
        </w:rPr>
        <w:t>)</w:t>
      </w:r>
    </w:p>
    <w:tbl>
      <w:tblPr>
        <w:tblW w:w="5000" w:type="pct"/>
        <w:tblLook w:val="04A0" w:firstRow="1" w:lastRow="0" w:firstColumn="1" w:lastColumn="0" w:noHBand="0" w:noVBand="1"/>
        <w:tblCaption w:val="Table 20: Health care resource items: disaggregated summary of cost impacts adults ≥60 YOA (discounted)"/>
      </w:tblPr>
      <w:tblGrid>
        <w:gridCol w:w="2263"/>
        <w:gridCol w:w="1632"/>
        <w:gridCol w:w="1632"/>
        <w:gridCol w:w="1857"/>
        <w:gridCol w:w="1633"/>
      </w:tblGrid>
      <w:tr w:rsidR="0099155D" w:rsidRPr="001611DC" w14:paraId="6E78A447" w14:textId="77777777" w:rsidTr="00547BC4">
        <w:trPr>
          <w:trHeight w:val="20"/>
          <w:tblHeader/>
        </w:trPr>
        <w:tc>
          <w:tcPr>
            <w:tcW w:w="1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F8071" w14:textId="77777777" w:rsidR="0099155D" w:rsidRPr="001611DC" w:rsidRDefault="0099155D" w:rsidP="00ED36A0">
            <w:pPr>
              <w:pStyle w:val="In-tableHeading"/>
              <w:jc w:val="center"/>
              <w:rPr>
                <w:bCs/>
                <w:lang w:val="en-AU"/>
              </w:rPr>
            </w:pPr>
            <w:r w:rsidRPr="001611DC">
              <w:rPr>
                <w:bCs/>
                <w:lang w:val="en-AU"/>
              </w:rPr>
              <w:t>Estimate</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1AF36E9" w14:textId="77777777" w:rsidR="0099155D" w:rsidRPr="001611DC" w:rsidRDefault="0099155D" w:rsidP="00ED36A0">
            <w:pPr>
              <w:pStyle w:val="In-tableHeading"/>
              <w:jc w:val="center"/>
              <w:rPr>
                <w:bCs/>
                <w:lang w:val="en-AU"/>
              </w:rPr>
            </w:pPr>
            <w:r w:rsidRPr="001611DC">
              <w:rPr>
                <w:bCs/>
                <w:lang w:val="en-AU"/>
              </w:rPr>
              <w:t>RSVPreF3 OA</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29DA438A" w14:textId="77777777" w:rsidR="0099155D" w:rsidRPr="001611DC" w:rsidRDefault="0099155D" w:rsidP="00ED36A0">
            <w:pPr>
              <w:pStyle w:val="In-tableHeading"/>
              <w:jc w:val="center"/>
              <w:rPr>
                <w:bCs/>
                <w:lang w:val="en-AU"/>
              </w:rPr>
            </w:pPr>
            <w:r w:rsidRPr="001611DC">
              <w:rPr>
                <w:bCs/>
                <w:lang w:val="en-AU"/>
              </w:rPr>
              <w:t>No vaccine</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55DD622" w14:textId="77777777" w:rsidR="0099155D" w:rsidRPr="001611DC" w:rsidRDefault="0099155D" w:rsidP="00ED36A0">
            <w:pPr>
              <w:pStyle w:val="In-tableHeading"/>
              <w:jc w:val="center"/>
              <w:rPr>
                <w:bCs/>
                <w:lang w:val="en-AU"/>
              </w:rPr>
            </w:pPr>
            <w:r w:rsidRPr="001611DC">
              <w:rPr>
                <w:bCs/>
                <w:lang w:val="en-AU"/>
              </w:rPr>
              <w:t>Incremental costs</w:t>
            </w:r>
            <w:r>
              <w:rPr>
                <w:bCs/>
                <w:lang w:val="en-AU"/>
              </w:rPr>
              <w:t xml:space="preserve"> ($)</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6BEC9763" w14:textId="77777777" w:rsidR="0099155D" w:rsidRPr="001611DC" w:rsidRDefault="0099155D" w:rsidP="00ED36A0">
            <w:pPr>
              <w:pStyle w:val="In-tableHeading"/>
              <w:jc w:val="center"/>
              <w:rPr>
                <w:bCs/>
                <w:lang w:val="en-AU"/>
              </w:rPr>
            </w:pPr>
            <w:r w:rsidRPr="001611DC">
              <w:rPr>
                <w:bCs/>
                <w:lang w:val="en-AU"/>
              </w:rPr>
              <w:t>%</w:t>
            </w:r>
          </w:p>
        </w:tc>
      </w:tr>
      <w:tr w:rsidR="0099155D" w:rsidRPr="001611DC" w14:paraId="71FC4527" w14:textId="77777777" w:rsidTr="00547BC4">
        <w:trPr>
          <w:trHeight w:val="20"/>
          <w:tblHeader/>
        </w:trPr>
        <w:tc>
          <w:tcPr>
            <w:tcW w:w="12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3269D" w14:textId="77777777" w:rsidR="0099155D" w:rsidRPr="001611DC" w:rsidRDefault="0099155D" w:rsidP="00ED36A0">
            <w:pPr>
              <w:pStyle w:val="In-tableHeading"/>
              <w:rPr>
                <w:bCs/>
                <w:lang w:val="en-AU"/>
              </w:rPr>
            </w:pPr>
            <w:r w:rsidRPr="001611DC">
              <w:rPr>
                <w:lang w:val="en-AU"/>
              </w:rPr>
              <w:t>Population</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1C2D2164" w14:textId="618A1739" w:rsidR="0099155D" w:rsidRPr="00A660E9" w:rsidRDefault="00BD3549" w:rsidP="00ED36A0">
            <w:pPr>
              <w:pStyle w:val="In-tableHeading"/>
              <w:jc w:val="center"/>
              <w:rPr>
                <w:bCs/>
                <w:highlight w:val="lightGray"/>
                <w:lang w:val="en-AU"/>
              </w:rPr>
            </w:pPr>
            <w:r w:rsidRPr="00BD3549">
              <w:rPr>
                <w:rStyle w:val="CommentReference"/>
                <w:b/>
                <w:color w:val="000000"/>
                <w:szCs w:val="24"/>
                <w:shd w:val="solid" w:color="000000" w:fill="000000"/>
                <w:lang w:val="en-AU"/>
                <w14:textFill>
                  <w14:solidFill>
                    <w14:srgbClr w14:val="000000">
                      <w14:alpha w14:val="100000"/>
                    </w14:srgbClr>
                  </w14:solidFill>
                </w14:textFill>
              </w:rPr>
              <w:t>|</w:t>
            </w:r>
            <w:r w:rsidR="0099155D" w:rsidRPr="007A7DDF">
              <w:rPr>
                <w:rStyle w:val="CommentReference"/>
                <w:b/>
                <w:szCs w:val="24"/>
                <w:vertAlign w:val="superscript"/>
                <w:lang w:val="en-AU"/>
              </w:rPr>
              <w:t>1</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0A66B054" w14:textId="1D83E719" w:rsidR="0099155D" w:rsidRPr="00A660E9" w:rsidRDefault="00BD3549" w:rsidP="00ED36A0">
            <w:pPr>
              <w:pStyle w:val="In-tableHeading"/>
              <w:jc w:val="center"/>
              <w:rPr>
                <w:bCs/>
                <w:highlight w:val="lightGray"/>
                <w:lang w:val="en-AU"/>
              </w:rPr>
            </w:pPr>
            <w:r w:rsidRPr="00BD3549">
              <w:rPr>
                <w:color w:val="000000"/>
                <w:shd w:val="solid" w:color="000000" w:fill="000000"/>
                <w:lang w:val="en-AU"/>
                <w14:textFill>
                  <w14:solidFill>
                    <w14:srgbClr w14:val="000000">
                      <w14:alpha w14:val="100000"/>
                    </w14:srgbClr>
                  </w14:solidFill>
                </w14:textFill>
              </w:rPr>
              <w:t>|</w:t>
            </w:r>
            <w:r w:rsidR="0099155D" w:rsidRPr="007A7DDF">
              <w:rPr>
                <w:rStyle w:val="CommentReference"/>
                <w:b/>
                <w:szCs w:val="24"/>
                <w:vertAlign w:val="superscript"/>
                <w:lang w:val="en-AU"/>
              </w:rPr>
              <w:t>1</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2087466F" w14:textId="77777777" w:rsidR="0099155D" w:rsidRPr="001611DC" w:rsidRDefault="0099155D" w:rsidP="00ED36A0">
            <w:pPr>
              <w:pStyle w:val="In-tableHeading"/>
              <w:jc w:val="center"/>
              <w:rPr>
                <w:bCs/>
                <w:lang w:val="en-AU"/>
              </w:rPr>
            </w:pPr>
            <w:r w:rsidRPr="001611DC">
              <w:rPr>
                <w:lang w:val="en-AU"/>
              </w:rPr>
              <w:t>-</w:t>
            </w:r>
          </w:p>
        </w:tc>
        <w:tc>
          <w:tcPr>
            <w:tcW w:w="930" w:type="pct"/>
            <w:tcBorders>
              <w:top w:val="single" w:sz="4" w:space="0" w:color="auto"/>
              <w:left w:val="nil"/>
              <w:bottom w:val="single" w:sz="4" w:space="0" w:color="auto"/>
              <w:right w:val="single" w:sz="4" w:space="0" w:color="auto"/>
            </w:tcBorders>
            <w:shd w:val="clear" w:color="auto" w:fill="auto"/>
            <w:noWrap/>
            <w:vAlign w:val="center"/>
          </w:tcPr>
          <w:p w14:paraId="00A5C17B" w14:textId="77777777" w:rsidR="0099155D" w:rsidRPr="001611DC" w:rsidRDefault="0099155D" w:rsidP="00ED36A0">
            <w:pPr>
              <w:pStyle w:val="In-tableHeading"/>
              <w:jc w:val="center"/>
              <w:rPr>
                <w:bCs/>
                <w:lang w:val="en-AU"/>
              </w:rPr>
            </w:pPr>
            <w:r w:rsidRPr="001611DC">
              <w:rPr>
                <w:bCs/>
                <w:lang w:val="en-AU"/>
              </w:rPr>
              <w:t>-</w:t>
            </w:r>
          </w:p>
        </w:tc>
      </w:tr>
      <w:tr w:rsidR="0099155D" w:rsidRPr="001611DC" w14:paraId="721B8BDB" w14:textId="77777777" w:rsidTr="00ED36A0">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5F5CF38" w14:textId="77777777" w:rsidR="0099155D" w:rsidRPr="001611DC" w:rsidRDefault="0099155D" w:rsidP="00ED36A0">
            <w:pPr>
              <w:pStyle w:val="In-tableHeading"/>
              <w:rPr>
                <w:lang w:val="en-AU"/>
              </w:rPr>
            </w:pPr>
            <w:r w:rsidRPr="001611DC">
              <w:rPr>
                <w:lang w:val="en-AU"/>
              </w:rPr>
              <w:t>Vaccine</w:t>
            </w:r>
          </w:p>
        </w:tc>
      </w:tr>
      <w:tr w:rsidR="0099155D" w:rsidRPr="001611DC" w14:paraId="55C4AE19" w14:textId="77777777" w:rsidTr="00547BC4">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25D13BC8" w14:textId="77777777" w:rsidR="0099155D" w:rsidRPr="001611DC" w:rsidRDefault="0099155D" w:rsidP="00ED36A0">
            <w:pPr>
              <w:pStyle w:val="TableText0"/>
            </w:pPr>
            <w:r w:rsidRPr="001611DC">
              <w:t>Vaccine acquisition</w:t>
            </w:r>
          </w:p>
        </w:tc>
        <w:tc>
          <w:tcPr>
            <w:tcW w:w="930" w:type="pct"/>
            <w:tcBorders>
              <w:top w:val="nil"/>
              <w:left w:val="nil"/>
              <w:bottom w:val="single" w:sz="4" w:space="0" w:color="auto"/>
              <w:right w:val="single" w:sz="4" w:space="0" w:color="auto"/>
            </w:tcBorders>
            <w:shd w:val="clear" w:color="auto" w:fill="auto"/>
            <w:noWrap/>
            <w:vAlign w:val="center"/>
          </w:tcPr>
          <w:p w14:paraId="66EF3ECC" w14:textId="65BB2C56"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348FB78" w14:textId="77777777" w:rsidR="0099155D" w:rsidRPr="001611DC" w:rsidRDefault="0099155D" w:rsidP="00ED36A0">
            <w:pPr>
              <w:pStyle w:val="TableText0"/>
              <w:jc w:val="center"/>
            </w:pPr>
            <w:r w:rsidRPr="001611DC">
              <w:t>$0</w:t>
            </w:r>
          </w:p>
        </w:tc>
        <w:tc>
          <w:tcPr>
            <w:tcW w:w="930" w:type="pct"/>
            <w:tcBorders>
              <w:top w:val="nil"/>
              <w:left w:val="nil"/>
              <w:bottom w:val="single" w:sz="4" w:space="0" w:color="auto"/>
              <w:right w:val="single" w:sz="4" w:space="0" w:color="auto"/>
            </w:tcBorders>
            <w:shd w:val="clear" w:color="auto" w:fill="auto"/>
            <w:noWrap/>
            <w:vAlign w:val="center"/>
          </w:tcPr>
          <w:p w14:paraId="21E3D887" w14:textId="58A0CC90"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CF673C9" w14:textId="1CAA0131"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99155D" w:rsidRPr="001611DC">
              <w:t>%</w:t>
            </w:r>
          </w:p>
        </w:tc>
      </w:tr>
      <w:tr w:rsidR="0099155D" w:rsidRPr="001611DC" w14:paraId="7302A01F" w14:textId="77777777" w:rsidTr="00547BC4">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7557EB3E" w14:textId="77777777" w:rsidR="0099155D" w:rsidRPr="001611DC" w:rsidRDefault="0099155D" w:rsidP="00ED36A0">
            <w:pPr>
              <w:pStyle w:val="TableText0"/>
            </w:pPr>
            <w:r w:rsidRPr="001611DC">
              <w:t>Vaccine administration</w:t>
            </w:r>
          </w:p>
        </w:tc>
        <w:tc>
          <w:tcPr>
            <w:tcW w:w="930" w:type="pct"/>
            <w:tcBorders>
              <w:top w:val="nil"/>
              <w:left w:val="nil"/>
              <w:bottom w:val="single" w:sz="4" w:space="0" w:color="auto"/>
              <w:right w:val="single" w:sz="4" w:space="0" w:color="auto"/>
            </w:tcBorders>
            <w:shd w:val="clear" w:color="auto" w:fill="auto"/>
            <w:noWrap/>
            <w:vAlign w:val="center"/>
          </w:tcPr>
          <w:p w14:paraId="48E89485" w14:textId="77777777" w:rsidR="0099155D" w:rsidRPr="001611DC" w:rsidRDefault="0099155D" w:rsidP="00ED36A0">
            <w:pPr>
              <w:pStyle w:val="TableText0"/>
              <w:jc w:val="center"/>
            </w:pPr>
            <w:r w:rsidRPr="001611DC">
              <w:t>$0</w:t>
            </w:r>
          </w:p>
        </w:tc>
        <w:tc>
          <w:tcPr>
            <w:tcW w:w="930" w:type="pct"/>
            <w:tcBorders>
              <w:top w:val="nil"/>
              <w:left w:val="nil"/>
              <w:bottom w:val="single" w:sz="4" w:space="0" w:color="auto"/>
              <w:right w:val="single" w:sz="4" w:space="0" w:color="auto"/>
            </w:tcBorders>
            <w:shd w:val="clear" w:color="auto" w:fill="auto"/>
            <w:noWrap/>
            <w:vAlign w:val="center"/>
          </w:tcPr>
          <w:p w14:paraId="1D969AD8" w14:textId="77777777" w:rsidR="0099155D" w:rsidRPr="001611DC" w:rsidRDefault="0099155D" w:rsidP="00ED36A0">
            <w:pPr>
              <w:pStyle w:val="TableText0"/>
              <w:jc w:val="center"/>
            </w:pPr>
            <w:r w:rsidRPr="001611DC">
              <w:t>$0</w:t>
            </w:r>
          </w:p>
        </w:tc>
        <w:tc>
          <w:tcPr>
            <w:tcW w:w="930" w:type="pct"/>
            <w:tcBorders>
              <w:top w:val="nil"/>
              <w:left w:val="nil"/>
              <w:bottom w:val="single" w:sz="4" w:space="0" w:color="auto"/>
              <w:right w:val="single" w:sz="4" w:space="0" w:color="auto"/>
            </w:tcBorders>
            <w:shd w:val="clear" w:color="auto" w:fill="auto"/>
            <w:noWrap/>
            <w:vAlign w:val="center"/>
          </w:tcPr>
          <w:p w14:paraId="35BF12DB" w14:textId="77777777" w:rsidR="0099155D" w:rsidRPr="001611DC" w:rsidRDefault="0099155D" w:rsidP="00ED36A0">
            <w:pPr>
              <w:pStyle w:val="TableText0"/>
              <w:jc w:val="center"/>
            </w:pPr>
            <w:r w:rsidRPr="001611DC">
              <w:t>$0</w:t>
            </w:r>
          </w:p>
        </w:tc>
        <w:tc>
          <w:tcPr>
            <w:tcW w:w="930" w:type="pct"/>
            <w:tcBorders>
              <w:top w:val="nil"/>
              <w:left w:val="nil"/>
              <w:bottom w:val="single" w:sz="4" w:space="0" w:color="auto"/>
              <w:right w:val="single" w:sz="4" w:space="0" w:color="auto"/>
            </w:tcBorders>
            <w:shd w:val="clear" w:color="auto" w:fill="auto"/>
            <w:noWrap/>
            <w:vAlign w:val="center"/>
          </w:tcPr>
          <w:p w14:paraId="7E4332D9" w14:textId="77777777" w:rsidR="0099155D" w:rsidRPr="001611DC" w:rsidRDefault="0099155D" w:rsidP="00ED36A0">
            <w:pPr>
              <w:pStyle w:val="TableText0"/>
              <w:jc w:val="center"/>
            </w:pPr>
            <w:r w:rsidRPr="001611DC">
              <w:t>0.0%</w:t>
            </w:r>
          </w:p>
        </w:tc>
      </w:tr>
      <w:tr w:rsidR="0099155D" w:rsidRPr="001611DC" w14:paraId="2A244FC6" w14:textId="77777777" w:rsidTr="00ED36A0">
        <w:trPr>
          <w:trHeight w:val="2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tcPr>
          <w:p w14:paraId="46C5B7AD" w14:textId="77777777" w:rsidR="0099155D" w:rsidRPr="001611DC" w:rsidRDefault="0099155D" w:rsidP="00ED36A0">
            <w:pPr>
              <w:pStyle w:val="TableText0"/>
            </w:pPr>
            <w:r w:rsidRPr="001611DC">
              <w:rPr>
                <w:b/>
                <w:bCs w:val="0"/>
              </w:rPr>
              <w:t>Disease management</w:t>
            </w:r>
          </w:p>
        </w:tc>
      </w:tr>
      <w:tr w:rsidR="0099155D" w:rsidRPr="001611DC" w14:paraId="02698F7A"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4E15364C" w14:textId="77777777" w:rsidR="0099155D" w:rsidRPr="001611DC" w:rsidRDefault="0099155D" w:rsidP="00ED36A0">
            <w:pPr>
              <w:pStyle w:val="TableText0"/>
            </w:pPr>
            <w:r w:rsidRPr="001611DC">
              <w:t>Disease management</w:t>
            </w:r>
          </w:p>
        </w:tc>
        <w:tc>
          <w:tcPr>
            <w:tcW w:w="930" w:type="pct"/>
            <w:tcBorders>
              <w:top w:val="nil"/>
              <w:left w:val="nil"/>
              <w:bottom w:val="single" w:sz="4" w:space="0" w:color="auto"/>
              <w:right w:val="single" w:sz="4" w:space="0" w:color="auto"/>
            </w:tcBorders>
            <w:shd w:val="solid" w:color="000000" w:fill="000000"/>
            <w:noWrap/>
            <w:vAlign w:val="center"/>
          </w:tcPr>
          <w:p w14:paraId="1ED0D382" w14:textId="0FFC9F6C"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solid" w:color="000000" w:fill="000000"/>
            <w:noWrap/>
            <w:vAlign w:val="center"/>
          </w:tcPr>
          <w:p w14:paraId="4C4EEA28" w14:textId="24F89428"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A79E8C3" w14:textId="7A3F21E2"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1E3275B" w14:textId="36642237"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107A8524"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26B1DE64" w14:textId="77777777" w:rsidR="0099155D" w:rsidRPr="001611DC" w:rsidRDefault="0099155D" w:rsidP="00ED36A0">
            <w:pPr>
              <w:pStyle w:val="TableText0"/>
              <w:ind w:firstLineChars="100" w:firstLine="200"/>
            </w:pPr>
            <w:r w:rsidRPr="001611DC">
              <w:t>RSV-URTD cases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10AD6D1B" w14:textId="5999587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683F5B48" w14:textId="654F378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19DB504" w14:textId="6BDA01BC"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7A364ED0" w14:textId="52487BBE"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0EB2BB58"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4752680E" w14:textId="77777777" w:rsidR="0099155D" w:rsidRPr="001611DC" w:rsidRDefault="0099155D" w:rsidP="00ED36A0">
            <w:pPr>
              <w:pStyle w:val="TableText0"/>
              <w:ind w:firstLineChars="200" w:firstLine="400"/>
            </w:pPr>
            <w:r w:rsidRPr="001611DC">
              <w:t>GP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3F6EC0D8" w14:textId="1760BBC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16E8FD8E" w14:textId="2175F2E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353F753" w14:textId="35FC285A"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743CA3F" w14:textId="3F7024E5"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52FBF102"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79C9CB06" w14:textId="77777777" w:rsidR="0099155D" w:rsidRPr="001611DC" w:rsidRDefault="0099155D" w:rsidP="00ED36A0">
            <w:pPr>
              <w:pStyle w:val="TableText0"/>
              <w:ind w:firstLineChars="200" w:firstLine="400"/>
            </w:pPr>
            <w:r w:rsidRPr="001611DC">
              <w:t>Specialist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4D7E9DE4" w14:textId="09AEDDB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0D7BFF49" w14:textId="4476D503"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8FD439F" w14:textId="1BF37742"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57181C21" w14:textId="27A88B23"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708E2DE4"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2659BD75" w14:textId="77777777" w:rsidR="0099155D" w:rsidRPr="001611DC" w:rsidRDefault="0099155D" w:rsidP="00ED36A0">
            <w:pPr>
              <w:pStyle w:val="TableText0"/>
              <w:ind w:firstLineChars="200" w:firstLine="400"/>
            </w:pPr>
            <w:r w:rsidRPr="001611DC">
              <w:t>Diagnostics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5BC60246" w14:textId="5BA1DDC7"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5652304A" w14:textId="5D0D7A1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2A136033" w14:textId="5B963C46"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45E4BC9" w14:textId="72F29279"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213E3F8F"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198375CC" w14:textId="77777777" w:rsidR="0099155D" w:rsidRPr="001611DC" w:rsidRDefault="0099155D" w:rsidP="00ED36A0">
            <w:pPr>
              <w:pStyle w:val="TableText0"/>
              <w:ind w:firstLineChars="200" w:firstLine="400"/>
            </w:pPr>
            <w:r w:rsidRPr="001611DC">
              <w:t>Medicines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634AD139" w14:textId="327F0183"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484967CD" w14:textId="5D91B377"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31FF31F" w14:textId="37D86C34"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BBEC953" w14:textId="1CCBACF2"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99155D" w:rsidRPr="001611DC">
              <w:t>%</w:t>
            </w:r>
          </w:p>
        </w:tc>
      </w:tr>
      <w:tr w:rsidR="0099155D" w:rsidRPr="001611DC" w14:paraId="75A6CF6F"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6C191296" w14:textId="77777777" w:rsidR="0099155D" w:rsidRPr="001611DC" w:rsidRDefault="0099155D" w:rsidP="00ED36A0">
            <w:pPr>
              <w:pStyle w:val="TableText0"/>
              <w:ind w:firstLineChars="100" w:firstLine="200"/>
            </w:pPr>
            <w:r w:rsidRPr="001611DC">
              <w:t>RSV-LRTD cases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18EAE2D4" w14:textId="66C6547F"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060CACDF" w14:textId="4FF3DBCF"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2F508FED" w14:textId="7A782C07"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0AE3151" w14:textId="28B3F44A"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2600AAEA"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1B70BB74" w14:textId="77777777" w:rsidR="0099155D" w:rsidRPr="001611DC" w:rsidRDefault="0099155D" w:rsidP="00ED36A0">
            <w:pPr>
              <w:pStyle w:val="TableText0"/>
              <w:ind w:firstLineChars="200" w:firstLine="400"/>
            </w:pPr>
            <w:r w:rsidRPr="001611DC">
              <w:t>GP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4ED41ACB" w14:textId="49307B1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3A14CCCA" w14:textId="7B2C38C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B014291" w14:textId="12C369A0"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A637EB5" w14:textId="0C7A6BDB"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339B0FE5"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02A99F97" w14:textId="77777777" w:rsidR="0099155D" w:rsidRPr="001611DC" w:rsidRDefault="0099155D" w:rsidP="00ED36A0">
            <w:pPr>
              <w:pStyle w:val="TableText0"/>
              <w:ind w:firstLineChars="200" w:firstLine="400"/>
            </w:pPr>
            <w:r w:rsidRPr="001611DC">
              <w:t>Specialist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405C0965" w14:textId="5400504A"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25E1419C" w14:textId="1116F39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4D9EC6F4" w14:textId="1D84E829"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5F434AD7" w14:textId="6714EDB2"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061F747F"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5EBD8C59" w14:textId="77777777" w:rsidR="0099155D" w:rsidRPr="001611DC" w:rsidRDefault="0099155D" w:rsidP="00ED36A0">
            <w:pPr>
              <w:pStyle w:val="TableText0"/>
              <w:ind w:firstLineChars="200" w:firstLine="400"/>
            </w:pPr>
            <w:r w:rsidRPr="001611DC">
              <w:t>ED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28BE091A" w14:textId="2E0D3D8D"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1D6FEAF6" w14:textId="0EDEF66F"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995A1E7" w14:textId="5391CC2F"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2C710026" w14:textId="72260E80"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5F108B5F"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7FC4D292" w14:textId="77777777" w:rsidR="0099155D" w:rsidRPr="001611DC" w:rsidRDefault="0099155D" w:rsidP="00ED36A0">
            <w:pPr>
              <w:pStyle w:val="TableText0"/>
              <w:ind w:firstLineChars="200" w:firstLine="400"/>
            </w:pPr>
            <w:r w:rsidRPr="001611DC">
              <w:t>Hospitalisations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3CCF3236" w14:textId="049C8BDC"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73C60F2A" w14:textId="2BE7094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1040BE63" w14:textId="5AE695E0"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1ED4A6D2" w14:textId="2882F5EF"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463E90C2"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18BFA77C" w14:textId="77777777" w:rsidR="0099155D" w:rsidRPr="001611DC" w:rsidRDefault="0099155D" w:rsidP="00ED36A0">
            <w:pPr>
              <w:pStyle w:val="TableText0"/>
              <w:ind w:firstLineChars="200" w:firstLine="400"/>
            </w:pPr>
            <w:r w:rsidRPr="001611DC">
              <w:t>Diagnostics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0B891013" w14:textId="75E9C3A1"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243A5C15" w14:textId="3F0C178C"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DEB476D" w14:textId="1C541438"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76200A78" w14:textId="12C4104F"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01B7230A"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6944435B" w14:textId="77777777" w:rsidR="0099155D" w:rsidRPr="001611DC" w:rsidRDefault="0099155D" w:rsidP="00ED36A0">
            <w:pPr>
              <w:pStyle w:val="TableText0"/>
              <w:ind w:firstLineChars="200" w:firstLine="400"/>
            </w:pPr>
            <w:r w:rsidRPr="001611DC">
              <w:t>Medicines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7AD8F4F0" w14:textId="48ACAB3E"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70399731" w14:textId="788B17F4" w:rsidR="0099155D" w:rsidRPr="000925F6"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C6A2451" w14:textId="17CCBDE2"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F001875" w14:textId="6419FCF7" w:rsidR="0099155D" w:rsidRPr="001611DC" w:rsidRDefault="0099155D"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99155D" w:rsidRPr="001611DC" w14:paraId="349B2F4A" w14:textId="77777777" w:rsidTr="00ED36A0">
        <w:trPr>
          <w:trHeight w:val="2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tcPr>
          <w:p w14:paraId="69C7E4A3" w14:textId="77777777" w:rsidR="0099155D" w:rsidRPr="001611DC" w:rsidRDefault="0099155D" w:rsidP="00ED36A0">
            <w:pPr>
              <w:pStyle w:val="TableText0"/>
            </w:pPr>
            <w:r w:rsidRPr="001611DC">
              <w:rPr>
                <w:b/>
                <w:bCs w:val="0"/>
              </w:rPr>
              <w:t>Vaccine-related AEs</w:t>
            </w:r>
          </w:p>
        </w:tc>
      </w:tr>
      <w:tr w:rsidR="0099155D" w:rsidRPr="001611DC" w14:paraId="1C055C7D"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4071EDD8" w14:textId="77777777" w:rsidR="0099155D" w:rsidRPr="001611DC" w:rsidRDefault="0099155D" w:rsidP="00ED36A0">
            <w:pPr>
              <w:pStyle w:val="TableText0"/>
            </w:pPr>
            <w:r w:rsidRPr="001611DC">
              <w:t>Vaccine-related AEs</w:t>
            </w:r>
          </w:p>
        </w:tc>
        <w:tc>
          <w:tcPr>
            <w:tcW w:w="930" w:type="pct"/>
            <w:tcBorders>
              <w:top w:val="nil"/>
              <w:left w:val="nil"/>
              <w:bottom w:val="single" w:sz="4" w:space="0" w:color="auto"/>
              <w:right w:val="single" w:sz="4" w:space="0" w:color="auto"/>
            </w:tcBorders>
            <w:shd w:val="solid" w:color="000000" w:fill="000000"/>
            <w:noWrap/>
            <w:vAlign w:val="center"/>
          </w:tcPr>
          <w:p w14:paraId="6DBE47A4" w14:textId="6B88ADDF"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7CF460E" w14:textId="77777777" w:rsidR="0099155D" w:rsidRPr="00FC19AF" w:rsidRDefault="0099155D" w:rsidP="00ED36A0">
            <w:pPr>
              <w:pStyle w:val="TableText0"/>
              <w:jc w:val="center"/>
            </w:pPr>
            <w:r w:rsidRPr="00FC19AF">
              <w:t>$0</w:t>
            </w:r>
          </w:p>
        </w:tc>
        <w:tc>
          <w:tcPr>
            <w:tcW w:w="930" w:type="pct"/>
            <w:tcBorders>
              <w:top w:val="nil"/>
              <w:left w:val="nil"/>
              <w:bottom w:val="single" w:sz="4" w:space="0" w:color="auto"/>
              <w:right w:val="single" w:sz="4" w:space="0" w:color="auto"/>
            </w:tcBorders>
            <w:shd w:val="solid" w:color="000000" w:fill="000000"/>
            <w:noWrap/>
            <w:vAlign w:val="center"/>
          </w:tcPr>
          <w:p w14:paraId="25BF5B15" w14:textId="4DF8E217"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915FFDC" w14:textId="7FCF562D"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99155D" w:rsidRPr="001611DC">
              <w:t>%</w:t>
            </w:r>
          </w:p>
        </w:tc>
      </w:tr>
      <w:tr w:rsidR="0099155D" w:rsidRPr="001611DC" w14:paraId="1E45AD3F"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14B9D86B" w14:textId="77777777" w:rsidR="0099155D" w:rsidRPr="001611DC" w:rsidRDefault="0099155D" w:rsidP="00ED36A0">
            <w:pPr>
              <w:pStyle w:val="TableText0"/>
              <w:ind w:firstLineChars="100" w:firstLine="200"/>
            </w:pPr>
            <w:r w:rsidRPr="001611DC">
              <w:t>GP visits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38B02C68" w14:textId="54D76CBE"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59A459B6" w14:textId="77777777" w:rsidR="0099155D" w:rsidRPr="00FC19AF" w:rsidRDefault="0099155D" w:rsidP="00ED36A0">
            <w:pPr>
              <w:pStyle w:val="TableText0"/>
              <w:jc w:val="center"/>
            </w:pPr>
            <w:r w:rsidRPr="00FC19AF">
              <w:t>$0</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11128358" w14:textId="4B182F60"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E4593D9" w14:textId="34AD6D51"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99155D" w:rsidRPr="001611DC">
              <w:t>%</w:t>
            </w:r>
          </w:p>
        </w:tc>
      </w:tr>
      <w:tr w:rsidR="0099155D" w:rsidRPr="001611DC" w14:paraId="5A7AB3E4"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72141350" w14:textId="77777777" w:rsidR="0099155D" w:rsidRPr="001611DC" w:rsidRDefault="0099155D" w:rsidP="00ED36A0">
            <w:pPr>
              <w:pStyle w:val="TableText0"/>
              <w:ind w:firstLineChars="100" w:firstLine="200"/>
            </w:pPr>
            <w:r w:rsidRPr="001611DC">
              <w:t>Hospitalisations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0735E491" w14:textId="3EC32B8A"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398E55EF" w14:textId="77777777" w:rsidR="0099155D" w:rsidRPr="00FC19AF" w:rsidRDefault="0099155D" w:rsidP="00ED36A0">
            <w:pPr>
              <w:pStyle w:val="TableText0"/>
              <w:jc w:val="center"/>
            </w:pPr>
            <w:r w:rsidRPr="00FC19AF">
              <w:t>$0</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248381B3" w14:textId="347E426F" w:rsidR="0099155D" w:rsidRPr="007A7DDF"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64137BA1" w14:textId="7401317D" w:rsidR="0099155D"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99155D" w:rsidRPr="001611DC">
              <w:t>%</w:t>
            </w:r>
          </w:p>
        </w:tc>
      </w:tr>
      <w:tr w:rsidR="0099155D" w:rsidRPr="001611DC" w14:paraId="5E73A73A" w14:textId="77777777" w:rsidTr="00BD3549">
        <w:trPr>
          <w:trHeight w:val="20"/>
        </w:trPr>
        <w:tc>
          <w:tcPr>
            <w:tcW w:w="1280" w:type="pct"/>
            <w:tcBorders>
              <w:top w:val="nil"/>
              <w:left w:val="single" w:sz="4" w:space="0" w:color="auto"/>
              <w:bottom w:val="single" w:sz="4" w:space="0" w:color="auto"/>
              <w:right w:val="single" w:sz="4" w:space="0" w:color="auto"/>
            </w:tcBorders>
            <w:shd w:val="clear" w:color="auto" w:fill="auto"/>
            <w:noWrap/>
            <w:vAlign w:val="center"/>
            <w:hideMark/>
          </w:tcPr>
          <w:p w14:paraId="30541AF4" w14:textId="77777777" w:rsidR="0099155D" w:rsidRPr="001611DC" w:rsidRDefault="0099155D" w:rsidP="00ED36A0">
            <w:pPr>
              <w:pStyle w:val="TableText0"/>
              <w:rPr>
                <w:b/>
                <w:bCs w:val="0"/>
              </w:rPr>
            </w:pPr>
            <w:r w:rsidRPr="001611DC">
              <w:rPr>
                <w:b/>
                <w:bCs w:val="0"/>
              </w:rPr>
              <w:t>Total costs</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259AD66A" w14:textId="382F39C7" w:rsidR="0099155D" w:rsidRPr="001611DC" w:rsidRDefault="00BD3549" w:rsidP="00ED36A0">
            <w:pPr>
              <w:pStyle w:val="TableText0"/>
              <w:jc w:val="center"/>
              <w:rPr>
                <w:b/>
                <w:bCs w:val="0"/>
              </w:rPr>
            </w:pPr>
            <w:r w:rsidRPr="00BD3549">
              <w:rPr>
                <w:b/>
                <w:bCs w:val="0"/>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402056D5" w14:textId="1CA87466" w:rsidR="0099155D" w:rsidRPr="001611DC" w:rsidRDefault="00BD3549" w:rsidP="00ED36A0">
            <w:pPr>
              <w:pStyle w:val="TableText0"/>
              <w:jc w:val="center"/>
              <w:rPr>
                <w:b/>
                <w:bCs w:val="0"/>
              </w:rPr>
            </w:pPr>
            <w:r w:rsidRPr="00BD3549">
              <w:rPr>
                <w:b/>
                <w:bCs w:val="0"/>
                <w:color w:val="000000"/>
                <w14:textFill>
                  <w14:solidFill>
                    <w14:srgbClr w14:val="000000">
                      <w14:alpha w14:val="100000"/>
                    </w14:srgbClr>
                  </w14:solidFill>
                </w14:textFill>
              </w:rPr>
              <w:t>|</w:t>
            </w:r>
          </w:p>
        </w:tc>
        <w:tc>
          <w:tcPr>
            <w:tcW w:w="930" w:type="pct"/>
            <w:tcBorders>
              <w:top w:val="single" w:sz="4" w:space="0" w:color="auto"/>
              <w:left w:val="nil"/>
              <w:bottom w:val="single" w:sz="4" w:space="0" w:color="auto"/>
              <w:right w:val="single" w:sz="4" w:space="0" w:color="auto"/>
            </w:tcBorders>
            <w:shd w:val="solid" w:color="000000" w:fill="000000"/>
            <w:noWrap/>
            <w:vAlign w:val="center"/>
          </w:tcPr>
          <w:p w14:paraId="33AFF74E" w14:textId="605C4CAA" w:rsidR="0099155D" w:rsidRPr="001611DC" w:rsidRDefault="00BD3549" w:rsidP="00ED36A0">
            <w:pPr>
              <w:pStyle w:val="TableText0"/>
              <w:jc w:val="center"/>
              <w:rPr>
                <w:b/>
                <w:bCs w:val="0"/>
              </w:rPr>
            </w:pPr>
            <w:r w:rsidRPr="00BD3549">
              <w:rPr>
                <w:b/>
                <w:bCs w:val="0"/>
                <w:color w:val="000000"/>
                <w14:textFill>
                  <w14:solidFill>
                    <w14:srgbClr w14:val="000000">
                      <w14:alpha w14:val="100000"/>
                    </w14:srgbClr>
                  </w14:solidFill>
                </w14:textFill>
              </w:rPr>
              <w:t>|</w:t>
            </w:r>
          </w:p>
        </w:tc>
        <w:tc>
          <w:tcPr>
            <w:tcW w:w="930" w:type="pct"/>
            <w:tcBorders>
              <w:top w:val="nil"/>
              <w:left w:val="nil"/>
              <w:bottom w:val="single" w:sz="4" w:space="0" w:color="auto"/>
              <w:right w:val="single" w:sz="4" w:space="0" w:color="auto"/>
            </w:tcBorders>
            <w:shd w:val="clear" w:color="auto" w:fill="auto"/>
            <w:noWrap/>
            <w:vAlign w:val="center"/>
          </w:tcPr>
          <w:p w14:paraId="00AF4195" w14:textId="342D24A6" w:rsidR="0099155D" w:rsidRPr="001611DC" w:rsidRDefault="00BD3549" w:rsidP="00ED36A0">
            <w:pPr>
              <w:pStyle w:val="TableText0"/>
              <w:jc w:val="center"/>
              <w:rPr>
                <w:b/>
                <w:bCs w:val="0"/>
              </w:rPr>
            </w:pPr>
            <w:r w:rsidRPr="00BD3549">
              <w:rPr>
                <w:b/>
                <w:bCs w:val="0"/>
                <w:color w:val="000000"/>
                <w:shd w:val="solid" w:color="000000" w:fill="000000"/>
                <w14:textFill>
                  <w14:solidFill>
                    <w14:srgbClr w14:val="000000">
                      <w14:alpha w14:val="100000"/>
                    </w14:srgbClr>
                  </w14:solidFill>
                </w14:textFill>
              </w:rPr>
              <w:t>|</w:t>
            </w:r>
            <w:r w:rsidR="0099155D" w:rsidRPr="001611DC">
              <w:rPr>
                <w:b/>
                <w:bCs w:val="0"/>
              </w:rPr>
              <w:t>%</w:t>
            </w:r>
          </w:p>
        </w:tc>
      </w:tr>
    </w:tbl>
    <w:p w14:paraId="15E33B75" w14:textId="7DAA7D41" w:rsidR="0099155D" w:rsidRPr="001611DC" w:rsidRDefault="0099155D" w:rsidP="002E6F4F">
      <w:pPr>
        <w:pStyle w:val="FooterTableFigure"/>
        <w:rPr>
          <w:rFonts w:eastAsiaTheme="majorEastAsia"/>
        </w:rPr>
      </w:pPr>
      <w:r w:rsidRPr="001611DC">
        <w:rPr>
          <w:rFonts w:eastAsiaTheme="majorEastAsia"/>
        </w:rPr>
        <w:t>Table 3-55of the submission.</w:t>
      </w:r>
    </w:p>
    <w:p w14:paraId="496CBF36" w14:textId="77777777" w:rsidR="0099155D" w:rsidRDefault="0099155D" w:rsidP="002E6F4F">
      <w:pPr>
        <w:pStyle w:val="FooterTableFigure"/>
        <w:rPr>
          <w:rFonts w:eastAsiaTheme="majorEastAsia"/>
        </w:rPr>
      </w:pPr>
      <w:r w:rsidRPr="001611DC">
        <w:rPr>
          <w:rFonts w:eastAsiaTheme="majorEastAsia"/>
        </w:rPr>
        <w:t xml:space="preserve">AE = adverse event; ED =emergency department; GP = general practitioner; LRTD = lower respiratory tract disease; RSV= respiratory syncytial virus; </w:t>
      </w:r>
      <w:r w:rsidRPr="001611DC">
        <w:t xml:space="preserve">RSVPreF3 OA= RSV Pre-fusion protein 3 older adult; </w:t>
      </w:r>
      <w:r w:rsidRPr="001611DC">
        <w:rPr>
          <w:rFonts w:eastAsiaTheme="majorEastAsia"/>
        </w:rPr>
        <w:t>URTD = upper respiratory tract disease; YOA = years of age.</w:t>
      </w:r>
    </w:p>
    <w:p w14:paraId="6BF04DEF" w14:textId="77777777" w:rsidR="0099155D" w:rsidRPr="004A4FE0" w:rsidRDefault="0099155D" w:rsidP="009175C5">
      <w:pPr>
        <w:pStyle w:val="FooterTableFigure"/>
        <w:rPr>
          <w:i/>
          <w:iCs/>
        </w:rPr>
      </w:pPr>
      <w:r w:rsidRPr="004A4FE0">
        <w:rPr>
          <w:i/>
          <w:iCs/>
        </w:rPr>
        <w:t>The redacted values correspond to the following ranges:</w:t>
      </w:r>
    </w:p>
    <w:p w14:paraId="7CEAC96C" w14:textId="77777777" w:rsidR="0099155D" w:rsidRPr="004A4FE0" w:rsidRDefault="0099155D" w:rsidP="009175C5">
      <w:pPr>
        <w:pStyle w:val="FooterTableFigure"/>
        <w:rPr>
          <w:i/>
          <w:iCs/>
        </w:rPr>
      </w:pPr>
      <w:r w:rsidRPr="004A4FE0">
        <w:rPr>
          <w:i/>
          <w:iCs/>
        </w:rPr>
        <w:t>1 6,000,000 to &lt; 7,000,000</w:t>
      </w:r>
    </w:p>
    <w:p w14:paraId="21DA16BE" w14:textId="4C48CE12" w:rsidR="002E6F4F" w:rsidRPr="001611DC" w:rsidRDefault="002E6F4F" w:rsidP="002E6F4F">
      <w:pPr>
        <w:pStyle w:val="3-BodyText"/>
        <w:rPr>
          <w:iCs/>
        </w:rPr>
      </w:pPr>
      <w:r w:rsidRPr="001611DC">
        <w:rPr>
          <w:iCs/>
        </w:rPr>
        <w:t xml:space="preserve">Costs in the </w:t>
      </w:r>
      <w:r w:rsidR="00E2719A" w:rsidRPr="001611DC">
        <w:rPr>
          <w:iCs/>
        </w:rPr>
        <w:t>≥</w:t>
      </w:r>
      <w:r w:rsidRPr="001611DC">
        <w:rPr>
          <w:iCs/>
        </w:rPr>
        <w:t xml:space="preserve">60 YOA </w:t>
      </w:r>
      <w:r w:rsidRPr="001611DC">
        <w:t xml:space="preserve">population </w:t>
      </w:r>
      <w:r w:rsidRPr="001611DC">
        <w:rPr>
          <w:iCs/>
        </w:rPr>
        <w:t>were mainly driven by RSVPreF3 OA acquisition and hospitalisations due to RSV</w:t>
      </w:r>
      <w:r w:rsidRPr="001611DC">
        <w:rPr>
          <w:iCs/>
        </w:rPr>
        <w:noBreakHyphen/>
        <w:t>LRTD</w:t>
      </w:r>
      <w:r w:rsidR="00E30491" w:rsidRPr="001611DC">
        <w:rPr>
          <w:iCs/>
        </w:rPr>
        <w:t>;</w:t>
      </w:r>
      <w:r w:rsidRPr="001611DC">
        <w:rPr>
          <w:iCs/>
        </w:rPr>
        <w:t xml:space="preserve"> </w:t>
      </w:r>
      <w:bookmarkStart w:id="132" w:name="_Hlk166931252"/>
      <w:r w:rsidR="00BD3549" w:rsidRPr="00101F19">
        <w:rPr>
          <w:iCs/>
          <w:color w:val="000000"/>
          <w:w w:val="15"/>
          <w:shd w:val="solid" w:color="000000" w:fill="000000"/>
          <w:fitText w:val="-20" w:id="-893677312"/>
          <w14:textFill>
            <w14:solidFill>
              <w14:srgbClr w14:val="000000">
                <w14:alpha w14:val="100000"/>
              </w14:srgbClr>
            </w14:solidFill>
          </w14:textFill>
        </w:rPr>
        <w:t xml:space="preserve">|  </w:t>
      </w:r>
      <w:r w:rsidR="00BD3549" w:rsidRPr="00101F19">
        <w:rPr>
          <w:iCs/>
          <w:color w:val="000000"/>
          <w:spacing w:val="-69"/>
          <w:w w:val="15"/>
          <w:shd w:val="solid" w:color="000000" w:fill="000000"/>
          <w:fitText w:val="-20" w:id="-893677312"/>
          <w14:textFill>
            <w14:solidFill>
              <w14:srgbClr w14:val="000000">
                <w14:alpha w14:val="100000"/>
              </w14:srgbClr>
            </w14:solidFill>
          </w14:textFill>
        </w:rPr>
        <w:t>|</w:t>
      </w:r>
      <w:r w:rsidRPr="00786F59">
        <w:rPr>
          <w:iCs/>
        </w:rPr>
        <w:t>%</w:t>
      </w:r>
      <w:r w:rsidRPr="001611DC">
        <w:rPr>
          <w:iCs/>
        </w:rPr>
        <w:t xml:space="preserve"> of vaccine cost was offset by hospitalisations avoided.</w:t>
      </w:r>
      <w:bookmarkEnd w:id="132"/>
      <w:r w:rsidRPr="001611DC">
        <w:rPr>
          <w:iCs/>
        </w:rPr>
        <w:t xml:space="preserve"> </w:t>
      </w:r>
    </w:p>
    <w:p w14:paraId="46A7349D" w14:textId="7064DDA0" w:rsidR="002E6F4F" w:rsidRPr="001611DC" w:rsidRDefault="002E6F4F" w:rsidP="002E6F4F">
      <w:pPr>
        <w:pStyle w:val="3-BodyText"/>
        <w:rPr>
          <w:iCs/>
        </w:rPr>
      </w:pPr>
      <w:r w:rsidRPr="001611DC">
        <w:t xml:space="preserve">Disaggregated discounted costs presented by the submission for the </w:t>
      </w:r>
      <w:r w:rsidR="00E2719A" w:rsidRPr="001611DC">
        <w:rPr>
          <w:rFonts w:cs="Calibri"/>
        </w:rPr>
        <w:t>≥</w:t>
      </w:r>
      <w:r w:rsidRPr="001611DC">
        <w:rPr>
          <w:rFonts w:cs="Calibri"/>
        </w:rPr>
        <w:t>75</w:t>
      </w:r>
      <w:r w:rsidRPr="001611DC">
        <w:t xml:space="preserve"> YOA population are presented in </w:t>
      </w:r>
      <w:r w:rsidRPr="001611DC">
        <w:fldChar w:fldCharType="begin" w:fldLock="1"/>
      </w:r>
      <w:r w:rsidRPr="001611DC">
        <w:instrText xml:space="preserve"> REF _Ref165406755 \h </w:instrText>
      </w:r>
      <w:r w:rsidRPr="001611DC">
        <w:fldChar w:fldCharType="separate"/>
      </w:r>
      <w:r w:rsidR="00927933" w:rsidRPr="001611DC">
        <w:t>Table 21</w:t>
      </w:r>
      <w:r w:rsidRPr="001611DC">
        <w:fldChar w:fldCharType="end"/>
      </w:r>
      <w:r w:rsidRPr="001611DC">
        <w:t>.</w:t>
      </w:r>
    </w:p>
    <w:p w14:paraId="1B650236" w14:textId="77777777" w:rsidR="000D6339" w:rsidRPr="001611DC" w:rsidRDefault="000D6339" w:rsidP="002E6F4F">
      <w:pPr>
        <w:pStyle w:val="TableFigureHeading"/>
        <w:rPr>
          <w:rStyle w:val="CommentReference"/>
          <w:b/>
          <w:szCs w:val="24"/>
        </w:rPr>
      </w:pPr>
      <w:bookmarkStart w:id="133" w:name="_Ref165406755"/>
      <w:r w:rsidRPr="007C3E28">
        <w:lastRenderedPageBreak/>
        <w:t xml:space="preserve">Table </w:t>
      </w:r>
      <w:r w:rsidRPr="007C3E28">
        <w:fldChar w:fldCharType="begin" w:fldLock="1"/>
      </w:r>
      <w:r w:rsidRPr="007C3E28">
        <w:instrText xml:space="preserve"> SEQ Table \* ARABIC </w:instrText>
      </w:r>
      <w:r w:rsidRPr="007C3E28">
        <w:fldChar w:fldCharType="separate"/>
      </w:r>
      <w:r w:rsidRPr="007C3E28">
        <w:t>21</w:t>
      </w:r>
      <w:r w:rsidRPr="007C3E28">
        <w:fldChar w:fldCharType="end"/>
      </w:r>
      <w:bookmarkEnd w:id="133"/>
      <w:r w:rsidRPr="007C3E28">
        <w:t xml:space="preserve">: </w:t>
      </w:r>
      <w:r w:rsidRPr="007C3E28">
        <w:rPr>
          <w:rStyle w:val="CommentReference"/>
          <w:b/>
          <w:szCs w:val="24"/>
        </w:rPr>
        <w:t>Health care resource items: disaggregated summary of cost impacts for adults ≥75 YOA (discounted)</w:t>
      </w:r>
    </w:p>
    <w:tbl>
      <w:tblPr>
        <w:tblW w:w="5000" w:type="pct"/>
        <w:tblLook w:val="04A0" w:firstRow="1" w:lastRow="0" w:firstColumn="1" w:lastColumn="0" w:noHBand="0" w:noVBand="1"/>
        <w:tblCaption w:val="Table 21: Health care resource items: disaggregated summary of cost impacts for adults ≥75 YOA (discounted)"/>
      </w:tblPr>
      <w:tblGrid>
        <w:gridCol w:w="2469"/>
        <w:gridCol w:w="1565"/>
        <w:gridCol w:w="1565"/>
        <w:gridCol w:w="1857"/>
        <w:gridCol w:w="1561"/>
      </w:tblGrid>
      <w:tr w:rsidR="000D6339" w:rsidRPr="001611DC" w14:paraId="328EF9CB" w14:textId="77777777" w:rsidTr="00ED36A0">
        <w:trPr>
          <w:trHeight w:val="20"/>
          <w:tblHeader/>
        </w:trPr>
        <w:tc>
          <w:tcPr>
            <w:tcW w:w="1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2A0AC" w14:textId="77777777" w:rsidR="000D6339" w:rsidRPr="001611DC" w:rsidRDefault="000D6339" w:rsidP="00ED36A0">
            <w:pPr>
              <w:pStyle w:val="In-tableHeading"/>
              <w:jc w:val="center"/>
              <w:rPr>
                <w:bCs/>
                <w:lang w:val="en-AU"/>
              </w:rPr>
            </w:pPr>
            <w:r w:rsidRPr="001611DC">
              <w:rPr>
                <w:bCs/>
                <w:lang w:val="en-AU"/>
              </w:rPr>
              <w:t>Estimate</w:t>
            </w: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1EAA8BCD" w14:textId="77777777" w:rsidR="000D6339" w:rsidRPr="001611DC" w:rsidRDefault="000D6339" w:rsidP="00ED36A0">
            <w:pPr>
              <w:pStyle w:val="In-tableHeading"/>
              <w:jc w:val="center"/>
              <w:rPr>
                <w:bCs/>
                <w:lang w:val="en-AU"/>
              </w:rPr>
            </w:pPr>
            <w:r w:rsidRPr="001611DC">
              <w:rPr>
                <w:bCs/>
                <w:lang w:val="en-AU"/>
              </w:rPr>
              <w:t>RSVPreF3 OA</w:t>
            </w: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0FC1FC7C" w14:textId="77777777" w:rsidR="000D6339" w:rsidRPr="001611DC" w:rsidRDefault="000D6339" w:rsidP="00ED36A0">
            <w:pPr>
              <w:pStyle w:val="In-tableHeading"/>
              <w:jc w:val="center"/>
              <w:rPr>
                <w:bCs/>
                <w:lang w:val="en-AU"/>
              </w:rPr>
            </w:pPr>
            <w:r w:rsidRPr="001611DC">
              <w:rPr>
                <w:bCs/>
                <w:lang w:val="en-AU"/>
              </w:rPr>
              <w:t>No vaccine</w:t>
            </w: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1FFFDFB0" w14:textId="77777777" w:rsidR="000D6339" w:rsidRPr="001611DC" w:rsidRDefault="000D6339" w:rsidP="00ED36A0">
            <w:pPr>
              <w:pStyle w:val="In-tableHeading"/>
              <w:jc w:val="center"/>
              <w:rPr>
                <w:bCs/>
                <w:lang w:val="en-AU"/>
              </w:rPr>
            </w:pPr>
            <w:r w:rsidRPr="001611DC">
              <w:rPr>
                <w:bCs/>
                <w:lang w:val="en-AU"/>
              </w:rPr>
              <w:t>Incremental costs</w:t>
            </w:r>
            <w:r>
              <w:rPr>
                <w:bCs/>
                <w:lang w:val="en-AU"/>
              </w:rPr>
              <w:t xml:space="preserve"> ($)</w:t>
            </w:r>
          </w:p>
        </w:tc>
        <w:tc>
          <w:tcPr>
            <w:tcW w:w="898" w:type="pct"/>
            <w:tcBorders>
              <w:top w:val="single" w:sz="4" w:space="0" w:color="auto"/>
              <w:left w:val="nil"/>
              <w:bottom w:val="single" w:sz="4" w:space="0" w:color="auto"/>
              <w:right w:val="single" w:sz="4" w:space="0" w:color="auto"/>
            </w:tcBorders>
            <w:shd w:val="clear" w:color="auto" w:fill="auto"/>
            <w:noWrap/>
            <w:vAlign w:val="center"/>
            <w:hideMark/>
          </w:tcPr>
          <w:p w14:paraId="36353715" w14:textId="77777777" w:rsidR="000D6339" w:rsidRPr="001611DC" w:rsidRDefault="000D6339" w:rsidP="00ED36A0">
            <w:pPr>
              <w:pStyle w:val="In-tableHeading"/>
              <w:jc w:val="center"/>
              <w:rPr>
                <w:bCs/>
                <w:lang w:val="en-AU"/>
              </w:rPr>
            </w:pPr>
            <w:r w:rsidRPr="001611DC">
              <w:rPr>
                <w:bCs/>
                <w:lang w:val="en-AU"/>
              </w:rPr>
              <w:t>%</w:t>
            </w:r>
          </w:p>
        </w:tc>
      </w:tr>
      <w:tr w:rsidR="000D6339" w:rsidRPr="001611DC" w14:paraId="2231866A" w14:textId="77777777" w:rsidTr="00ED36A0">
        <w:trPr>
          <w:trHeight w:val="20"/>
          <w:tblHeader/>
        </w:trPr>
        <w:tc>
          <w:tcPr>
            <w:tcW w:w="14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1C06E" w14:textId="77777777" w:rsidR="000D6339" w:rsidRPr="001611DC" w:rsidRDefault="000D6339" w:rsidP="00316EC3">
            <w:pPr>
              <w:pStyle w:val="In-tableHeading"/>
              <w:rPr>
                <w:bCs/>
                <w:lang w:val="en-AU"/>
              </w:rPr>
            </w:pPr>
            <w:r w:rsidRPr="001611DC">
              <w:rPr>
                <w:lang w:val="en-AU"/>
              </w:rPr>
              <w:t>Population</w:t>
            </w: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6E101413" w14:textId="39C1480D" w:rsidR="000D6339" w:rsidRPr="000B15AB" w:rsidRDefault="00BD3549" w:rsidP="00316EC3">
            <w:pPr>
              <w:pStyle w:val="In-tableHeading"/>
              <w:jc w:val="center"/>
              <w:rPr>
                <w:bCs/>
                <w:highlight w:val="lightGray"/>
                <w:lang w:val="en-AU"/>
              </w:rPr>
            </w:pPr>
            <w:r w:rsidRPr="00BD3549">
              <w:rPr>
                <w:color w:val="000000"/>
                <w:shd w:val="solid" w:color="000000" w:fill="000000"/>
                <w:lang w:val="en-AU"/>
                <w14:textFill>
                  <w14:solidFill>
                    <w14:srgbClr w14:val="000000">
                      <w14:alpha w14:val="100000"/>
                    </w14:srgbClr>
                  </w14:solidFill>
                </w14:textFill>
              </w:rPr>
              <w:t>|</w:t>
            </w:r>
            <w:r w:rsidR="000D6339" w:rsidRPr="003F4A7D">
              <w:rPr>
                <w:vertAlign w:val="superscript"/>
                <w:lang w:val="en-AU"/>
              </w:rPr>
              <w:t>1</w:t>
            </w: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79DF0E1E" w14:textId="4437A772" w:rsidR="000D6339" w:rsidRPr="000B15AB" w:rsidRDefault="00BD3549" w:rsidP="00316EC3">
            <w:pPr>
              <w:pStyle w:val="In-tableHeading"/>
              <w:jc w:val="center"/>
              <w:rPr>
                <w:bCs/>
                <w:highlight w:val="lightGray"/>
                <w:lang w:val="en-AU"/>
              </w:rPr>
            </w:pPr>
            <w:r w:rsidRPr="00BD3549">
              <w:rPr>
                <w:color w:val="000000"/>
                <w:shd w:val="solid" w:color="000000" w:fill="000000"/>
                <w:lang w:val="en-AU"/>
                <w14:textFill>
                  <w14:solidFill>
                    <w14:srgbClr w14:val="000000">
                      <w14:alpha w14:val="100000"/>
                    </w14:srgbClr>
                  </w14:solidFill>
                </w14:textFill>
              </w:rPr>
              <w:t>|</w:t>
            </w:r>
            <w:r w:rsidR="000D6339" w:rsidRPr="003F4A7D">
              <w:rPr>
                <w:vertAlign w:val="superscript"/>
                <w:lang w:val="en-AU"/>
              </w:rPr>
              <w:t>1</w:t>
            </w: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7D2D806B" w14:textId="77777777" w:rsidR="000D6339" w:rsidRPr="001611DC" w:rsidRDefault="000D6339" w:rsidP="00316EC3">
            <w:pPr>
              <w:pStyle w:val="In-tableHeading"/>
              <w:jc w:val="center"/>
              <w:rPr>
                <w:bCs/>
                <w:lang w:val="en-AU"/>
              </w:rPr>
            </w:pPr>
            <w:r w:rsidRPr="001611DC">
              <w:rPr>
                <w:lang w:val="en-AU"/>
              </w:rPr>
              <w:t>-</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55A47BE3" w14:textId="77777777" w:rsidR="000D6339" w:rsidRPr="001611DC" w:rsidRDefault="000D6339" w:rsidP="00316EC3">
            <w:pPr>
              <w:pStyle w:val="In-tableHeading"/>
              <w:jc w:val="center"/>
              <w:rPr>
                <w:bCs/>
                <w:lang w:val="en-AU"/>
              </w:rPr>
            </w:pPr>
            <w:r w:rsidRPr="001611DC">
              <w:rPr>
                <w:bCs/>
                <w:lang w:val="en-AU"/>
              </w:rPr>
              <w:t>-</w:t>
            </w:r>
          </w:p>
        </w:tc>
      </w:tr>
      <w:tr w:rsidR="000D6339" w:rsidRPr="001611DC" w14:paraId="15F3072E" w14:textId="77777777" w:rsidTr="00ED36A0">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0FE46E7" w14:textId="77777777" w:rsidR="000D6339" w:rsidRPr="001611DC" w:rsidRDefault="000D6339" w:rsidP="00ED36A0">
            <w:pPr>
              <w:pStyle w:val="In-tableHeading"/>
              <w:rPr>
                <w:lang w:val="en-AU"/>
              </w:rPr>
            </w:pPr>
            <w:r w:rsidRPr="001611DC">
              <w:rPr>
                <w:lang w:val="en-AU"/>
              </w:rPr>
              <w:t>Vaccine</w:t>
            </w:r>
          </w:p>
        </w:tc>
      </w:tr>
      <w:tr w:rsidR="000D6339" w:rsidRPr="001611DC" w14:paraId="0F29DD15"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27671B79" w14:textId="77777777" w:rsidR="000D6339" w:rsidRPr="001611DC" w:rsidRDefault="000D6339" w:rsidP="00ED36A0">
            <w:pPr>
              <w:pStyle w:val="TableText0"/>
            </w:pPr>
            <w:r w:rsidRPr="001611DC">
              <w:t>Vaccine acquisition</w:t>
            </w:r>
          </w:p>
        </w:tc>
        <w:tc>
          <w:tcPr>
            <w:tcW w:w="900" w:type="pct"/>
            <w:tcBorders>
              <w:top w:val="nil"/>
              <w:left w:val="nil"/>
              <w:bottom w:val="single" w:sz="4" w:space="0" w:color="auto"/>
              <w:right w:val="single" w:sz="4" w:space="0" w:color="auto"/>
            </w:tcBorders>
            <w:shd w:val="solid" w:color="000000" w:fill="000000"/>
            <w:noWrap/>
            <w:vAlign w:val="center"/>
          </w:tcPr>
          <w:p w14:paraId="3995A76E" w14:textId="10BA682A"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3D4502D3" w14:textId="77777777" w:rsidR="000D6339" w:rsidRPr="001611DC" w:rsidRDefault="000D6339" w:rsidP="00ED36A0">
            <w:pPr>
              <w:pStyle w:val="TableText0"/>
              <w:jc w:val="center"/>
            </w:pPr>
            <w:r w:rsidRPr="001611DC">
              <w:t>$0</w:t>
            </w:r>
          </w:p>
        </w:tc>
        <w:tc>
          <w:tcPr>
            <w:tcW w:w="900" w:type="pct"/>
            <w:tcBorders>
              <w:top w:val="nil"/>
              <w:left w:val="nil"/>
              <w:bottom w:val="single" w:sz="4" w:space="0" w:color="auto"/>
              <w:right w:val="single" w:sz="4" w:space="0" w:color="auto"/>
            </w:tcBorders>
            <w:shd w:val="solid" w:color="000000" w:fill="000000"/>
            <w:noWrap/>
            <w:vAlign w:val="center"/>
          </w:tcPr>
          <w:p w14:paraId="1B8A26A8" w14:textId="45C2E92D" w:rsidR="000D6339" w:rsidRPr="001611DC" w:rsidRDefault="00BD3549" w:rsidP="00ED36A0">
            <w:pPr>
              <w:pStyle w:val="TableText0"/>
              <w:jc w:val="center"/>
            </w:pPr>
            <w:r w:rsidRPr="00BD3549">
              <w:rPr>
                <w:color w:va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1DF9B1E2" w14:textId="29ABE049" w:rsidR="000D6339"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0D6339" w:rsidRPr="001611DC">
              <w:t>%</w:t>
            </w:r>
          </w:p>
        </w:tc>
      </w:tr>
      <w:tr w:rsidR="000D6339" w:rsidRPr="001611DC" w14:paraId="2109E17C" w14:textId="77777777" w:rsidTr="00ED36A0">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54132806" w14:textId="77777777" w:rsidR="000D6339" w:rsidRPr="001611DC" w:rsidRDefault="000D6339" w:rsidP="00ED36A0">
            <w:pPr>
              <w:pStyle w:val="TableText0"/>
            </w:pPr>
            <w:r w:rsidRPr="001611DC">
              <w:t>Vaccine administration</w:t>
            </w:r>
          </w:p>
        </w:tc>
        <w:tc>
          <w:tcPr>
            <w:tcW w:w="900" w:type="pct"/>
            <w:tcBorders>
              <w:top w:val="nil"/>
              <w:left w:val="nil"/>
              <w:bottom w:val="single" w:sz="4" w:space="0" w:color="auto"/>
              <w:right w:val="single" w:sz="4" w:space="0" w:color="auto"/>
            </w:tcBorders>
            <w:shd w:val="clear" w:color="auto" w:fill="auto"/>
            <w:noWrap/>
            <w:vAlign w:val="center"/>
          </w:tcPr>
          <w:p w14:paraId="7DF34D43" w14:textId="77777777" w:rsidR="000D6339" w:rsidRPr="001611DC" w:rsidRDefault="000D6339" w:rsidP="00ED36A0">
            <w:pPr>
              <w:pStyle w:val="TableText0"/>
              <w:jc w:val="center"/>
            </w:pPr>
            <w:r w:rsidRPr="001611DC">
              <w:t>$0</w:t>
            </w:r>
          </w:p>
        </w:tc>
        <w:tc>
          <w:tcPr>
            <w:tcW w:w="900" w:type="pct"/>
            <w:tcBorders>
              <w:top w:val="nil"/>
              <w:left w:val="nil"/>
              <w:bottom w:val="single" w:sz="4" w:space="0" w:color="auto"/>
              <w:right w:val="single" w:sz="4" w:space="0" w:color="auto"/>
            </w:tcBorders>
            <w:shd w:val="clear" w:color="auto" w:fill="auto"/>
            <w:noWrap/>
            <w:vAlign w:val="center"/>
          </w:tcPr>
          <w:p w14:paraId="79E7F06F" w14:textId="77777777" w:rsidR="000D6339" w:rsidRPr="001611DC" w:rsidRDefault="000D6339" w:rsidP="00ED36A0">
            <w:pPr>
              <w:pStyle w:val="TableText0"/>
              <w:jc w:val="center"/>
            </w:pPr>
            <w:r w:rsidRPr="001611DC">
              <w:t>$0</w:t>
            </w:r>
          </w:p>
        </w:tc>
        <w:tc>
          <w:tcPr>
            <w:tcW w:w="900" w:type="pct"/>
            <w:tcBorders>
              <w:top w:val="nil"/>
              <w:left w:val="nil"/>
              <w:bottom w:val="single" w:sz="4" w:space="0" w:color="auto"/>
              <w:right w:val="single" w:sz="4" w:space="0" w:color="auto"/>
            </w:tcBorders>
            <w:shd w:val="clear" w:color="auto" w:fill="auto"/>
            <w:noWrap/>
            <w:vAlign w:val="center"/>
          </w:tcPr>
          <w:p w14:paraId="51FFBE25" w14:textId="77777777" w:rsidR="000D6339" w:rsidRPr="001611DC" w:rsidRDefault="000D6339" w:rsidP="00ED36A0">
            <w:pPr>
              <w:pStyle w:val="TableText0"/>
              <w:jc w:val="center"/>
            </w:pPr>
            <w:r w:rsidRPr="001611DC">
              <w:t>$0</w:t>
            </w:r>
          </w:p>
        </w:tc>
        <w:tc>
          <w:tcPr>
            <w:tcW w:w="898" w:type="pct"/>
            <w:tcBorders>
              <w:top w:val="nil"/>
              <w:left w:val="nil"/>
              <w:bottom w:val="single" w:sz="4" w:space="0" w:color="auto"/>
              <w:right w:val="single" w:sz="4" w:space="0" w:color="auto"/>
            </w:tcBorders>
            <w:shd w:val="clear" w:color="auto" w:fill="auto"/>
            <w:noWrap/>
            <w:vAlign w:val="center"/>
          </w:tcPr>
          <w:p w14:paraId="5B2E79F7" w14:textId="77777777" w:rsidR="000D6339" w:rsidRPr="001611DC" w:rsidRDefault="000D6339" w:rsidP="00ED36A0">
            <w:pPr>
              <w:pStyle w:val="TableText0"/>
              <w:jc w:val="center"/>
            </w:pPr>
            <w:r w:rsidRPr="001611DC">
              <w:t>0.0%</w:t>
            </w:r>
          </w:p>
        </w:tc>
      </w:tr>
      <w:tr w:rsidR="000D6339" w:rsidRPr="001611DC" w14:paraId="34AAFBC0" w14:textId="77777777" w:rsidTr="00ED36A0">
        <w:trPr>
          <w:trHeight w:val="2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tcPr>
          <w:p w14:paraId="131C02FA" w14:textId="77777777" w:rsidR="000D6339" w:rsidRPr="001611DC" w:rsidRDefault="000D6339" w:rsidP="00ED36A0">
            <w:pPr>
              <w:pStyle w:val="TableText0"/>
            </w:pPr>
            <w:r w:rsidRPr="001611DC">
              <w:rPr>
                <w:b/>
                <w:bCs w:val="0"/>
              </w:rPr>
              <w:t>Disease management</w:t>
            </w:r>
          </w:p>
        </w:tc>
      </w:tr>
      <w:tr w:rsidR="000D6339" w:rsidRPr="001611DC" w14:paraId="40226DE7"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1E88C0CE" w14:textId="77777777" w:rsidR="000D6339" w:rsidRPr="001611DC" w:rsidRDefault="000D6339" w:rsidP="00ED36A0">
            <w:pPr>
              <w:pStyle w:val="TableText0"/>
            </w:pPr>
            <w:r w:rsidRPr="001611DC">
              <w:t>Disease management</w:t>
            </w:r>
          </w:p>
        </w:tc>
        <w:tc>
          <w:tcPr>
            <w:tcW w:w="900" w:type="pct"/>
            <w:tcBorders>
              <w:top w:val="nil"/>
              <w:left w:val="nil"/>
              <w:bottom w:val="single" w:sz="4" w:space="0" w:color="auto"/>
              <w:right w:val="single" w:sz="4" w:space="0" w:color="auto"/>
            </w:tcBorders>
            <w:shd w:val="solid" w:color="000000" w:fill="000000"/>
            <w:noWrap/>
            <w:vAlign w:val="center"/>
          </w:tcPr>
          <w:p w14:paraId="7F596052" w14:textId="71CB2E0D"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solid" w:color="000000" w:fill="000000"/>
            <w:noWrap/>
            <w:vAlign w:val="center"/>
          </w:tcPr>
          <w:p w14:paraId="22D1208D" w14:textId="558753CF"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4BDA9751" w14:textId="20C13634"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1BEBCCF4" w14:textId="609307D0"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2BC9C78B"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03DF18C7" w14:textId="77777777" w:rsidR="000D6339" w:rsidRPr="001611DC" w:rsidRDefault="000D6339" w:rsidP="00ED36A0">
            <w:pPr>
              <w:pStyle w:val="TableText0"/>
              <w:ind w:firstLineChars="100" w:firstLine="200"/>
            </w:pPr>
            <w:r w:rsidRPr="001611DC">
              <w:t>RSV-URTD cases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20C64650" w14:textId="24FD8A92"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7184317E" w14:textId="7735544F"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776BA515" w14:textId="22C4836B"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77A90FA3" w14:textId="70032AEE"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048D92BB"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76F8E58D" w14:textId="77777777" w:rsidR="000D6339" w:rsidRPr="001611DC" w:rsidRDefault="000D6339" w:rsidP="00ED36A0">
            <w:pPr>
              <w:pStyle w:val="TableText0"/>
              <w:ind w:firstLineChars="200" w:firstLine="400"/>
            </w:pPr>
            <w:r w:rsidRPr="001611DC">
              <w:t>GP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458B4C0E" w14:textId="26B0E34F"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BF19C6A" w14:textId="7185A5A2"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4F0A547E" w14:textId="0A86C7EE"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5A583246" w14:textId="25FBE29F"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41689BF9"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4642C79B" w14:textId="77777777" w:rsidR="000D6339" w:rsidRPr="001611DC" w:rsidRDefault="000D6339" w:rsidP="00ED36A0">
            <w:pPr>
              <w:pStyle w:val="TableText0"/>
              <w:ind w:firstLineChars="200" w:firstLine="400"/>
            </w:pPr>
            <w:r w:rsidRPr="001611DC">
              <w:t>Specialist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AF05D94" w14:textId="552BA39E"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4242A931" w14:textId="78B150F5"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1261A002" w14:textId="6C49255F"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46443316" w14:textId="225B7514"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74EAD608"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65347626" w14:textId="77777777" w:rsidR="000D6339" w:rsidRPr="001611DC" w:rsidRDefault="000D6339" w:rsidP="00ED36A0">
            <w:pPr>
              <w:pStyle w:val="TableText0"/>
              <w:ind w:firstLineChars="200" w:firstLine="400"/>
            </w:pPr>
            <w:r w:rsidRPr="001611DC">
              <w:t>Diagnostics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28A56FB7" w14:textId="2FBA88EE"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6DBB8623" w14:textId="1F2541AE"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4E15D191" w14:textId="648B1B8A"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36159466" w14:textId="1458E0E1" w:rsidR="000D6339" w:rsidRPr="001611DC" w:rsidRDefault="000D6339" w:rsidP="00ED36A0">
            <w:pPr>
              <w:pStyle w:val="TableText0"/>
              <w:jc w:val="center"/>
            </w:pPr>
            <w:r w:rsidRPr="001611DC">
              <w:t>-1</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4006E981"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7021EDF5" w14:textId="77777777" w:rsidR="000D6339" w:rsidRPr="001611DC" w:rsidRDefault="000D6339" w:rsidP="00ED36A0">
            <w:pPr>
              <w:pStyle w:val="TableText0"/>
              <w:ind w:firstLineChars="200" w:firstLine="400"/>
            </w:pPr>
            <w:r w:rsidRPr="001611DC">
              <w:t>Medicines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60B2D659" w14:textId="605443CA"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47D60865" w14:textId="746D0BB5"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790CF264" w14:textId="61F94744"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00BBCF28" w14:textId="43B43D6B"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55DF300E"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6438C7A3" w14:textId="77777777" w:rsidR="000D6339" w:rsidRPr="001611DC" w:rsidRDefault="000D6339" w:rsidP="00ED36A0">
            <w:pPr>
              <w:pStyle w:val="TableText0"/>
              <w:ind w:firstLineChars="100" w:firstLine="200"/>
            </w:pPr>
            <w:r w:rsidRPr="001611DC">
              <w:t>RSV-LRTD cases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714FB258" w14:textId="111DF3AA"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1979DD05" w14:textId="6E3CB2AA"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7320D6D0" w14:textId="56132E60"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4DDDED23" w14:textId="1B76FD40"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33558C3A"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6E4368D7" w14:textId="77777777" w:rsidR="000D6339" w:rsidRPr="001611DC" w:rsidRDefault="000D6339" w:rsidP="00ED36A0">
            <w:pPr>
              <w:pStyle w:val="TableText0"/>
              <w:ind w:firstLineChars="200" w:firstLine="400"/>
            </w:pPr>
            <w:r w:rsidRPr="001611DC">
              <w:t>GP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2B1A058E" w14:textId="4ABE41CB"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2053DF65" w14:textId="6E56DC68"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4CADF21E" w14:textId="049C1BE4"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482E4D3A" w14:textId="2EAE115E"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3C668B25"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73F164F5" w14:textId="77777777" w:rsidR="000D6339" w:rsidRPr="001611DC" w:rsidRDefault="000D6339" w:rsidP="00ED36A0">
            <w:pPr>
              <w:pStyle w:val="TableText0"/>
              <w:ind w:firstLineChars="200" w:firstLine="400"/>
            </w:pPr>
            <w:r w:rsidRPr="001611DC">
              <w:t>Specialist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EBB0DAF" w14:textId="4DA2F4EF"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39089DA9" w14:textId="4557C19C"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1A9520E2" w14:textId="2533D0BF"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661B3253" w14:textId="0B5AB00A"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0CCDE80B"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44F4E0FC" w14:textId="77777777" w:rsidR="000D6339" w:rsidRPr="001611DC" w:rsidRDefault="000D6339" w:rsidP="00ED36A0">
            <w:pPr>
              <w:pStyle w:val="TableText0"/>
              <w:ind w:firstLineChars="200" w:firstLine="400"/>
            </w:pPr>
            <w:r w:rsidRPr="001611DC">
              <w:t>ED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167F586" w14:textId="13D28095"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C42BE38" w14:textId="78F22FEC"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77882815" w14:textId="37A0DB2B"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3D76ACBF" w14:textId="73268B19"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440CFFBA"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524B9A81" w14:textId="77777777" w:rsidR="000D6339" w:rsidRPr="001611DC" w:rsidRDefault="000D6339" w:rsidP="00ED36A0">
            <w:pPr>
              <w:pStyle w:val="TableText0"/>
              <w:ind w:firstLineChars="200" w:firstLine="400"/>
            </w:pPr>
            <w:r w:rsidRPr="001611DC">
              <w:t>Hospitalisations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39731CA8" w14:textId="0004C6FA"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101F320D" w14:textId="2C4F595F"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17CFC81C" w14:textId="230F785D"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193C942B" w14:textId="10746DBC"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06F4AA35"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41BB4EB3" w14:textId="77777777" w:rsidR="000D6339" w:rsidRPr="001611DC" w:rsidRDefault="000D6339" w:rsidP="00ED36A0">
            <w:pPr>
              <w:pStyle w:val="TableText0"/>
              <w:ind w:firstLineChars="200" w:firstLine="400"/>
            </w:pPr>
            <w:r w:rsidRPr="001611DC">
              <w:t>Diagnostics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49C6F17C" w14:textId="64686C22"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702AEE52" w14:textId="3E2C10FC"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3A05BC8C" w14:textId="3885E594"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091F0AF9" w14:textId="7A00B8ED"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26323FB0"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73326C1F" w14:textId="77777777" w:rsidR="000D6339" w:rsidRPr="001611DC" w:rsidRDefault="000D6339" w:rsidP="00ED36A0">
            <w:pPr>
              <w:pStyle w:val="TableText0"/>
              <w:ind w:firstLineChars="200" w:firstLine="400"/>
            </w:pPr>
            <w:r w:rsidRPr="001611DC">
              <w:t>Medicines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706ADC4B" w14:textId="037AA659"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4E920CFA" w14:textId="3750E9F3"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5408A3AB" w14:textId="1A5DCD73"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6A7BB095" w14:textId="1C1F410B" w:rsidR="000D6339" w:rsidRPr="001611DC" w:rsidRDefault="000D6339" w:rsidP="00ED36A0">
            <w:pPr>
              <w:pStyle w:val="TableText0"/>
              <w:jc w:val="center"/>
            </w:pPr>
            <w:r w:rsidRPr="001611DC">
              <w:t>-</w:t>
            </w:r>
            <w:r w:rsidR="00BD3549" w:rsidRPr="00BD3549">
              <w:rPr>
                <w:color w:val="000000"/>
                <w:shd w:val="solid" w:color="000000" w:fill="000000"/>
                <w14:textFill>
                  <w14:solidFill>
                    <w14:srgbClr w14:val="000000">
                      <w14:alpha w14:val="100000"/>
                    </w14:srgbClr>
                  </w14:solidFill>
                </w14:textFill>
              </w:rPr>
              <w:t>|</w:t>
            </w:r>
            <w:r w:rsidRPr="001611DC">
              <w:t>%</w:t>
            </w:r>
          </w:p>
        </w:tc>
      </w:tr>
      <w:tr w:rsidR="000D6339" w:rsidRPr="001611DC" w14:paraId="5F1C4F64" w14:textId="77777777" w:rsidTr="00ED36A0">
        <w:trPr>
          <w:trHeight w:val="2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tcPr>
          <w:p w14:paraId="70C20A91" w14:textId="77777777" w:rsidR="000D6339" w:rsidRPr="001611DC" w:rsidRDefault="000D6339" w:rsidP="00ED36A0">
            <w:pPr>
              <w:pStyle w:val="TableText0"/>
            </w:pPr>
            <w:r w:rsidRPr="001611DC">
              <w:rPr>
                <w:b/>
                <w:bCs w:val="0"/>
              </w:rPr>
              <w:t>Vaccine-related AEs</w:t>
            </w:r>
          </w:p>
        </w:tc>
      </w:tr>
      <w:tr w:rsidR="000D6339" w:rsidRPr="001611DC" w14:paraId="4BC31152"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5C1E8CC3" w14:textId="77777777" w:rsidR="000D6339" w:rsidRPr="001611DC" w:rsidRDefault="000D6339" w:rsidP="00ED36A0">
            <w:pPr>
              <w:pStyle w:val="TableText0"/>
            </w:pPr>
            <w:r w:rsidRPr="001611DC">
              <w:t>Vaccine-related AEs</w:t>
            </w:r>
          </w:p>
        </w:tc>
        <w:tc>
          <w:tcPr>
            <w:tcW w:w="900" w:type="pct"/>
            <w:tcBorders>
              <w:top w:val="nil"/>
              <w:left w:val="nil"/>
              <w:bottom w:val="single" w:sz="4" w:space="0" w:color="auto"/>
              <w:right w:val="single" w:sz="4" w:space="0" w:color="auto"/>
            </w:tcBorders>
            <w:shd w:val="solid" w:color="000000" w:fill="000000"/>
            <w:noWrap/>
            <w:vAlign w:val="center"/>
          </w:tcPr>
          <w:p w14:paraId="1B0B0216" w14:textId="4641B8D6"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105BD964" w14:textId="77777777" w:rsidR="000D6339" w:rsidRPr="001611DC" w:rsidRDefault="000D6339" w:rsidP="00ED36A0">
            <w:pPr>
              <w:pStyle w:val="TableText0"/>
              <w:jc w:val="center"/>
            </w:pPr>
            <w:r w:rsidRPr="001611DC">
              <w:t>$0</w:t>
            </w:r>
          </w:p>
        </w:tc>
        <w:tc>
          <w:tcPr>
            <w:tcW w:w="900" w:type="pct"/>
            <w:tcBorders>
              <w:top w:val="nil"/>
              <w:left w:val="nil"/>
              <w:bottom w:val="single" w:sz="4" w:space="0" w:color="auto"/>
              <w:right w:val="single" w:sz="4" w:space="0" w:color="auto"/>
            </w:tcBorders>
            <w:shd w:val="solid" w:color="000000" w:fill="000000"/>
            <w:noWrap/>
            <w:vAlign w:val="center"/>
          </w:tcPr>
          <w:p w14:paraId="2EAF8B2D" w14:textId="1805554B"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1F7AF984" w14:textId="4C0340F2" w:rsidR="000D6339"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0D6339" w:rsidRPr="001611DC">
              <w:t>%</w:t>
            </w:r>
          </w:p>
        </w:tc>
      </w:tr>
      <w:tr w:rsidR="000D6339" w:rsidRPr="001611DC" w14:paraId="16F166CC"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157C64DD" w14:textId="77777777" w:rsidR="000D6339" w:rsidRPr="001611DC" w:rsidRDefault="000D6339" w:rsidP="00ED36A0">
            <w:pPr>
              <w:pStyle w:val="TableText0"/>
              <w:ind w:firstLineChars="100" w:firstLine="200"/>
            </w:pPr>
            <w:r w:rsidRPr="001611DC">
              <w:t>GP visits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60361F3E" w14:textId="124ACE68"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175966C4" w14:textId="77777777" w:rsidR="000D6339" w:rsidRPr="001611DC" w:rsidRDefault="000D6339" w:rsidP="00ED36A0">
            <w:pPr>
              <w:pStyle w:val="TableText0"/>
              <w:jc w:val="center"/>
            </w:pPr>
            <w:r w:rsidRPr="001611DC">
              <w:t>$0</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5BC82D7D" w14:textId="19203D50"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29860EC5" w14:textId="4B7E8B9A" w:rsidR="000D6339"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0D6339" w:rsidRPr="001611DC">
              <w:t>%</w:t>
            </w:r>
          </w:p>
        </w:tc>
      </w:tr>
      <w:tr w:rsidR="000D6339" w:rsidRPr="001611DC" w14:paraId="3705A149"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460161AC" w14:textId="77777777" w:rsidR="000D6339" w:rsidRPr="001611DC" w:rsidRDefault="000D6339" w:rsidP="00ED36A0">
            <w:pPr>
              <w:pStyle w:val="TableText0"/>
              <w:ind w:firstLineChars="100" w:firstLine="200"/>
            </w:pPr>
            <w:r w:rsidRPr="001611DC">
              <w:t>Hospitalisations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3E0CDADA" w14:textId="3DB082E7"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900" w:type="pct"/>
            <w:tcBorders>
              <w:top w:val="nil"/>
              <w:left w:val="nil"/>
              <w:bottom w:val="single" w:sz="4" w:space="0" w:color="auto"/>
              <w:right w:val="single" w:sz="4" w:space="0" w:color="auto"/>
            </w:tcBorders>
            <w:shd w:val="clear" w:color="auto" w:fill="auto"/>
            <w:noWrap/>
            <w:vAlign w:val="center"/>
          </w:tcPr>
          <w:p w14:paraId="0E34AF18" w14:textId="77777777" w:rsidR="000D6339" w:rsidRPr="001611DC" w:rsidRDefault="000D6339" w:rsidP="00ED36A0">
            <w:pPr>
              <w:pStyle w:val="TableText0"/>
              <w:jc w:val="center"/>
            </w:pPr>
            <w:r w:rsidRPr="001611DC">
              <w:t>$0</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162DF3A7" w14:textId="486F4946" w:rsidR="000D6339" w:rsidRPr="000B15AB"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7BE90F87" w14:textId="6E9A3DBB" w:rsidR="000D6339"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0D6339" w:rsidRPr="001611DC">
              <w:t>%</w:t>
            </w:r>
          </w:p>
        </w:tc>
      </w:tr>
      <w:tr w:rsidR="000D6339" w:rsidRPr="001611DC" w14:paraId="3C54F1C9" w14:textId="77777777" w:rsidTr="00BD3549">
        <w:trPr>
          <w:trHeight w:val="2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14:paraId="6E092F14" w14:textId="77777777" w:rsidR="000D6339" w:rsidRPr="001611DC" w:rsidRDefault="000D6339" w:rsidP="00ED36A0">
            <w:pPr>
              <w:pStyle w:val="TableText0"/>
              <w:rPr>
                <w:b/>
                <w:bCs w:val="0"/>
              </w:rPr>
            </w:pPr>
            <w:r w:rsidRPr="001611DC">
              <w:rPr>
                <w:b/>
                <w:bCs w:val="0"/>
              </w:rPr>
              <w:t>Total costs</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71600FFE" w14:textId="796BA147" w:rsidR="000D6339" w:rsidRPr="000B15AB" w:rsidRDefault="00BD3549" w:rsidP="00ED36A0">
            <w:pPr>
              <w:pStyle w:val="TableText0"/>
              <w:jc w:val="center"/>
              <w:rPr>
                <w:b/>
                <w:bCs w:val="0"/>
                <w:highlight w:val="lightGray"/>
              </w:rPr>
            </w:pPr>
            <w:r w:rsidRPr="00BD3549">
              <w:rPr>
                <w:b/>
                <w:bCs w:val="0"/>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0D527BB0" w14:textId="12150E81" w:rsidR="000D6339" w:rsidRPr="001611DC" w:rsidRDefault="00BD3549" w:rsidP="00ED36A0">
            <w:pPr>
              <w:pStyle w:val="TableText0"/>
              <w:jc w:val="center"/>
              <w:rPr>
                <w:b/>
                <w:bCs w:val="0"/>
              </w:rPr>
            </w:pPr>
            <w:r w:rsidRPr="00BD3549">
              <w:rPr>
                <w:b/>
                <w:bCs w:val="0"/>
                <w:color w:val="000000"/>
                <w14:textFill>
                  <w14:solidFill>
                    <w14:srgbClr w14:val="000000">
                      <w14:alpha w14:val="100000"/>
                    </w14:srgbClr>
                  </w14:solidFill>
                </w14:textFill>
              </w:rPr>
              <w:t>|</w:t>
            </w:r>
          </w:p>
        </w:tc>
        <w:tc>
          <w:tcPr>
            <w:tcW w:w="900" w:type="pct"/>
            <w:tcBorders>
              <w:top w:val="single" w:sz="4" w:space="0" w:color="auto"/>
              <w:left w:val="nil"/>
              <w:bottom w:val="single" w:sz="4" w:space="0" w:color="auto"/>
              <w:right w:val="single" w:sz="4" w:space="0" w:color="auto"/>
            </w:tcBorders>
            <w:shd w:val="solid" w:color="000000" w:fill="000000"/>
            <w:noWrap/>
            <w:vAlign w:val="center"/>
          </w:tcPr>
          <w:p w14:paraId="305FBE85" w14:textId="2755FE42" w:rsidR="000D6339" w:rsidRPr="000B15AB" w:rsidRDefault="00BD3549" w:rsidP="00ED36A0">
            <w:pPr>
              <w:pStyle w:val="TableText0"/>
              <w:jc w:val="center"/>
              <w:rPr>
                <w:b/>
                <w:bCs w:val="0"/>
                <w:highlight w:val="lightGray"/>
              </w:rPr>
            </w:pPr>
            <w:r w:rsidRPr="00BD3549">
              <w:rPr>
                <w:b/>
                <w:bCs w:val="0"/>
                <w:color w:val="000000"/>
                <w14:textFill>
                  <w14:solidFill>
                    <w14:srgbClr w14:val="000000">
                      <w14:alpha w14:val="100000"/>
                    </w14:srgbClr>
                  </w14:solidFill>
                </w14:textFill>
              </w:rPr>
              <w:t>|</w:t>
            </w:r>
          </w:p>
        </w:tc>
        <w:tc>
          <w:tcPr>
            <w:tcW w:w="898" w:type="pct"/>
            <w:tcBorders>
              <w:top w:val="nil"/>
              <w:left w:val="nil"/>
              <w:bottom w:val="single" w:sz="4" w:space="0" w:color="auto"/>
              <w:right w:val="single" w:sz="4" w:space="0" w:color="auto"/>
            </w:tcBorders>
            <w:shd w:val="clear" w:color="auto" w:fill="auto"/>
            <w:noWrap/>
            <w:vAlign w:val="center"/>
          </w:tcPr>
          <w:p w14:paraId="641CB4E7" w14:textId="4B0E9A92" w:rsidR="000D6339" w:rsidRPr="001611DC" w:rsidRDefault="00BD3549" w:rsidP="00ED36A0">
            <w:pPr>
              <w:pStyle w:val="TableText0"/>
              <w:jc w:val="center"/>
              <w:rPr>
                <w:b/>
                <w:bCs w:val="0"/>
              </w:rPr>
            </w:pPr>
            <w:r w:rsidRPr="00BD3549">
              <w:rPr>
                <w:b/>
                <w:bCs w:val="0"/>
                <w:color w:val="000000"/>
                <w:shd w:val="solid" w:color="000000" w:fill="000000"/>
                <w14:textFill>
                  <w14:solidFill>
                    <w14:srgbClr w14:val="000000">
                      <w14:alpha w14:val="100000"/>
                    </w14:srgbClr>
                  </w14:solidFill>
                </w14:textFill>
              </w:rPr>
              <w:t>|</w:t>
            </w:r>
            <w:r w:rsidR="000D6339" w:rsidRPr="001611DC">
              <w:rPr>
                <w:b/>
                <w:bCs w:val="0"/>
              </w:rPr>
              <w:t>%</w:t>
            </w:r>
          </w:p>
        </w:tc>
      </w:tr>
    </w:tbl>
    <w:p w14:paraId="21CC8D21" w14:textId="5E316610" w:rsidR="000D6339" w:rsidRPr="001611DC" w:rsidRDefault="000D6339" w:rsidP="002E6F4F">
      <w:pPr>
        <w:pStyle w:val="FooterTableFigure"/>
        <w:rPr>
          <w:rFonts w:eastAsiaTheme="majorEastAsia"/>
        </w:rPr>
      </w:pPr>
      <w:r w:rsidRPr="001611DC">
        <w:rPr>
          <w:rFonts w:eastAsiaTheme="majorEastAsia"/>
        </w:rPr>
        <w:t>Source: Table 3-56of the submission.</w:t>
      </w:r>
    </w:p>
    <w:p w14:paraId="3F4EEE0D" w14:textId="77777777" w:rsidR="000D6339" w:rsidRDefault="000D6339" w:rsidP="002E6F4F">
      <w:pPr>
        <w:pStyle w:val="FooterTableFigure"/>
        <w:rPr>
          <w:rFonts w:eastAsiaTheme="majorEastAsia"/>
        </w:rPr>
      </w:pPr>
      <w:r w:rsidRPr="001611DC">
        <w:rPr>
          <w:rFonts w:eastAsiaTheme="majorEastAsia"/>
        </w:rPr>
        <w:t xml:space="preserve">AE = adverse event; ED = emergency department; GP = general practitioner; LRTD = lower respiratory tract disease; RSV= respiratory syncytial virus; </w:t>
      </w:r>
      <w:r w:rsidRPr="001611DC">
        <w:t xml:space="preserve">RSVPreF3 OA= RSV Pre-fusion protein 3 older adult; </w:t>
      </w:r>
      <w:r w:rsidRPr="001611DC">
        <w:rPr>
          <w:rFonts w:eastAsiaTheme="majorEastAsia"/>
        </w:rPr>
        <w:t>URTD = upper respiratory tract disease; YOA = years of age.</w:t>
      </w:r>
    </w:p>
    <w:p w14:paraId="520F3200" w14:textId="77777777" w:rsidR="000D6339" w:rsidRPr="00E85F69" w:rsidRDefault="000D6339" w:rsidP="00322C5A">
      <w:pPr>
        <w:pStyle w:val="FooterTableFigure"/>
        <w:rPr>
          <w:rFonts w:eastAsiaTheme="majorEastAsia"/>
          <w:i/>
          <w:iCs/>
        </w:rPr>
      </w:pPr>
      <w:r w:rsidRPr="00E85F69">
        <w:rPr>
          <w:rFonts w:eastAsiaTheme="majorEastAsia"/>
          <w:i/>
          <w:iCs/>
        </w:rPr>
        <w:t>The redacted values correspond to the following ranges:</w:t>
      </w:r>
    </w:p>
    <w:p w14:paraId="2BFE1C91" w14:textId="3EDAFAE5" w:rsidR="000D6339" w:rsidRPr="00E85F69" w:rsidRDefault="000D6339" w:rsidP="00322C5A">
      <w:pPr>
        <w:pStyle w:val="FooterTableFigure"/>
        <w:rPr>
          <w:rFonts w:eastAsiaTheme="majorEastAsia"/>
          <w:i/>
          <w:iCs/>
        </w:rPr>
      </w:pPr>
      <w:r w:rsidRPr="00E85F69">
        <w:rPr>
          <w:rFonts w:eastAsiaTheme="majorEastAsia"/>
          <w:i/>
          <w:iCs/>
        </w:rPr>
        <w:t xml:space="preserve">1 </w:t>
      </w:r>
      <w:r w:rsidR="00AB6C04" w:rsidRPr="00E85F69">
        <w:rPr>
          <w:rFonts w:eastAsiaTheme="majorEastAsia"/>
          <w:i/>
          <w:iCs/>
        </w:rPr>
        <w:t>2</w:t>
      </w:r>
      <w:r w:rsidRPr="00E85F69">
        <w:rPr>
          <w:rFonts w:eastAsiaTheme="majorEastAsia"/>
          <w:i/>
          <w:iCs/>
        </w:rPr>
        <w:t xml:space="preserve">,000,000 to &lt; </w:t>
      </w:r>
      <w:r w:rsidR="00AB6C04" w:rsidRPr="00E85F69">
        <w:rPr>
          <w:rFonts w:eastAsiaTheme="majorEastAsia"/>
          <w:i/>
          <w:iCs/>
        </w:rPr>
        <w:t>3</w:t>
      </w:r>
      <w:r w:rsidRPr="00E85F69">
        <w:rPr>
          <w:rFonts w:eastAsiaTheme="majorEastAsia"/>
          <w:i/>
          <w:iCs/>
        </w:rPr>
        <w:t>,000,000</w:t>
      </w:r>
    </w:p>
    <w:p w14:paraId="7355D0A8" w14:textId="7BDB607C" w:rsidR="002E6F4F" w:rsidRPr="001611DC" w:rsidRDefault="002E6F4F" w:rsidP="002E6F4F">
      <w:pPr>
        <w:pStyle w:val="3-BodyText"/>
        <w:rPr>
          <w:iCs/>
        </w:rPr>
      </w:pPr>
      <w:r w:rsidRPr="001611DC">
        <w:rPr>
          <w:iCs/>
        </w:rPr>
        <w:t xml:space="preserve">Costs in the </w:t>
      </w:r>
      <w:r w:rsidR="00E2719A" w:rsidRPr="001611DC">
        <w:rPr>
          <w:iCs/>
        </w:rPr>
        <w:t>≥</w:t>
      </w:r>
      <w:r w:rsidRPr="001611DC">
        <w:rPr>
          <w:iCs/>
        </w:rPr>
        <w:t>75 YOA population</w:t>
      </w:r>
      <w:r w:rsidRPr="001611DC">
        <w:t xml:space="preserve"> </w:t>
      </w:r>
      <w:r w:rsidRPr="001611DC">
        <w:rPr>
          <w:iCs/>
        </w:rPr>
        <w:t>were mainly driven by RSVPreF3 OA acquisition and hospitalisations</w:t>
      </w:r>
      <w:r w:rsidR="00E30491" w:rsidRPr="001611DC">
        <w:rPr>
          <w:iCs/>
        </w:rPr>
        <w:t>;</w:t>
      </w:r>
      <w:r w:rsidRPr="001611DC">
        <w:rPr>
          <w:iCs/>
        </w:rPr>
        <w:t xml:space="preserve"> </w:t>
      </w:r>
      <w:bookmarkStart w:id="134" w:name="_Hlk166931275"/>
      <w:r w:rsidR="00BD3549" w:rsidRPr="00101F19">
        <w:rPr>
          <w:iCs/>
          <w:color w:val="000000"/>
          <w:w w:val="15"/>
          <w:shd w:val="solid" w:color="000000" w:fill="000000"/>
          <w:fitText w:val="-20" w:id="-893677311"/>
          <w14:textFill>
            <w14:solidFill>
              <w14:srgbClr w14:val="000000">
                <w14:alpha w14:val="100000"/>
              </w14:srgbClr>
            </w14:solidFill>
          </w14:textFill>
        </w:rPr>
        <w:t xml:space="preserve">|  </w:t>
      </w:r>
      <w:r w:rsidR="00BD3549" w:rsidRPr="00101F19">
        <w:rPr>
          <w:iCs/>
          <w:color w:val="000000"/>
          <w:spacing w:val="-69"/>
          <w:w w:val="15"/>
          <w:shd w:val="solid" w:color="000000" w:fill="000000"/>
          <w:fitText w:val="-20" w:id="-893677311"/>
          <w14:textFill>
            <w14:solidFill>
              <w14:srgbClr w14:val="000000">
                <w14:alpha w14:val="100000"/>
              </w14:srgbClr>
            </w14:solidFill>
          </w14:textFill>
        </w:rPr>
        <w:t>|</w:t>
      </w:r>
      <w:r w:rsidRPr="002F2C81">
        <w:rPr>
          <w:iCs/>
        </w:rPr>
        <w:t>%</w:t>
      </w:r>
      <w:r w:rsidRPr="001611DC">
        <w:rPr>
          <w:iCs/>
        </w:rPr>
        <w:t xml:space="preserve"> of vaccine cost was offset by hospitalisations avoided</w:t>
      </w:r>
      <w:bookmarkEnd w:id="134"/>
      <w:r w:rsidRPr="001611DC">
        <w:rPr>
          <w:iCs/>
        </w:rPr>
        <w:t xml:space="preserve">. Hospitalisation costs had a higher impact on the </w:t>
      </w:r>
      <w:r w:rsidR="00E2719A" w:rsidRPr="001611DC">
        <w:rPr>
          <w:iCs/>
        </w:rPr>
        <w:t>≥</w:t>
      </w:r>
      <w:r w:rsidRPr="001611DC">
        <w:rPr>
          <w:iCs/>
        </w:rPr>
        <w:t xml:space="preserve">75 YOA compared to the </w:t>
      </w:r>
      <w:r w:rsidR="00E2719A" w:rsidRPr="001611DC">
        <w:rPr>
          <w:iCs/>
        </w:rPr>
        <w:t>≥</w:t>
      </w:r>
      <w:r w:rsidRPr="001611DC">
        <w:rPr>
          <w:iCs/>
        </w:rPr>
        <w:t xml:space="preserve">60 YOA population, with a cost per person </w:t>
      </w:r>
      <w:r w:rsidR="005D3C11" w:rsidRPr="001611DC">
        <w:rPr>
          <w:iCs/>
        </w:rPr>
        <w:t xml:space="preserve">vaccinated </w:t>
      </w:r>
      <w:r w:rsidRPr="002F2C81">
        <w:rPr>
          <w:iCs/>
        </w:rPr>
        <w:t>of $</w:t>
      </w:r>
      <w:r w:rsidR="00BD3549" w:rsidRPr="00101F19">
        <w:rPr>
          <w:iCs/>
          <w:color w:val="000000"/>
          <w:w w:val="15"/>
          <w:shd w:val="solid" w:color="000000" w:fill="000000"/>
          <w:fitText w:val="-20" w:id="-893677310"/>
          <w14:textFill>
            <w14:solidFill>
              <w14:srgbClr w14:val="000000">
                <w14:alpha w14:val="100000"/>
              </w14:srgbClr>
            </w14:solidFill>
          </w14:textFill>
        </w:rPr>
        <w:t xml:space="preserve">|  </w:t>
      </w:r>
      <w:r w:rsidR="00BD3549" w:rsidRPr="00101F19">
        <w:rPr>
          <w:iCs/>
          <w:color w:val="000000"/>
          <w:spacing w:val="-69"/>
          <w:w w:val="15"/>
          <w:shd w:val="solid" w:color="000000" w:fill="000000"/>
          <w:fitText w:val="-20" w:id="-893677310"/>
          <w14:textFill>
            <w14:solidFill>
              <w14:srgbClr w14:val="000000">
                <w14:alpha w14:val="100000"/>
              </w14:srgbClr>
            </w14:solidFill>
          </w14:textFill>
        </w:rPr>
        <w:t>|</w:t>
      </w:r>
      <w:r w:rsidRPr="002F2C81">
        <w:rPr>
          <w:iCs/>
        </w:rPr>
        <w:t xml:space="preserve"> and $</w:t>
      </w:r>
      <w:r w:rsidR="00BD3549" w:rsidRPr="00101F19">
        <w:rPr>
          <w:iCs/>
          <w:color w:val="000000"/>
          <w:w w:val="15"/>
          <w:shd w:val="solid" w:color="000000" w:fill="000000"/>
          <w:fitText w:val="-20" w:id="-893677309"/>
          <w14:textFill>
            <w14:solidFill>
              <w14:srgbClr w14:val="000000">
                <w14:alpha w14:val="100000"/>
              </w14:srgbClr>
            </w14:solidFill>
          </w14:textFill>
        </w:rPr>
        <w:t xml:space="preserve">|  </w:t>
      </w:r>
      <w:r w:rsidR="00BD3549" w:rsidRPr="00101F19">
        <w:rPr>
          <w:iCs/>
          <w:color w:val="000000"/>
          <w:spacing w:val="-69"/>
          <w:w w:val="15"/>
          <w:shd w:val="solid" w:color="000000" w:fill="000000"/>
          <w:fitText w:val="-20" w:id="-893677309"/>
          <w14:textFill>
            <w14:solidFill>
              <w14:srgbClr w14:val="000000">
                <w14:alpha w14:val="100000"/>
              </w14:srgbClr>
            </w14:solidFill>
          </w14:textFill>
        </w:rPr>
        <w:t>|</w:t>
      </w:r>
      <w:r w:rsidRPr="001611DC">
        <w:rPr>
          <w:iCs/>
        </w:rPr>
        <w:t xml:space="preserve">, respectively. This was driven by the higher probabilities of hospitalisation in the </w:t>
      </w:r>
      <w:r w:rsidR="00E2719A" w:rsidRPr="001611DC">
        <w:rPr>
          <w:iCs/>
        </w:rPr>
        <w:t>≥</w:t>
      </w:r>
      <w:r w:rsidRPr="001611DC">
        <w:rPr>
          <w:iCs/>
        </w:rPr>
        <w:t>75 YOA population.</w:t>
      </w:r>
    </w:p>
    <w:p w14:paraId="3E32C1CE" w14:textId="118026B9" w:rsidR="002E6F4F" w:rsidRPr="001611DC" w:rsidRDefault="002E6F4F" w:rsidP="002E6F4F">
      <w:pPr>
        <w:pStyle w:val="3-BodyText"/>
        <w:rPr>
          <w:iCs/>
        </w:rPr>
      </w:pPr>
      <w:r w:rsidRPr="001611DC">
        <w:t xml:space="preserve">Disaggregated discounted health outcomes presented by the submission for the </w:t>
      </w:r>
      <w:r w:rsidR="00E2719A" w:rsidRPr="001611DC">
        <w:rPr>
          <w:rFonts w:cs="Calibri"/>
        </w:rPr>
        <w:t>≥</w:t>
      </w:r>
      <w:r w:rsidRPr="001611DC">
        <w:rPr>
          <w:rFonts w:cs="Calibri"/>
        </w:rPr>
        <w:t>60</w:t>
      </w:r>
      <w:r w:rsidRPr="001611DC">
        <w:t xml:space="preserve"> YOA population are presented in </w:t>
      </w:r>
      <w:r w:rsidRPr="001611DC">
        <w:fldChar w:fldCharType="begin" w:fldLock="1"/>
      </w:r>
      <w:r w:rsidRPr="001611DC">
        <w:instrText xml:space="preserve"> REF _Ref165407095 \h </w:instrText>
      </w:r>
      <w:r w:rsidRPr="001611DC">
        <w:fldChar w:fldCharType="separate"/>
      </w:r>
      <w:r w:rsidR="00927933" w:rsidRPr="001611DC">
        <w:t>Table 22</w:t>
      </w:r>
      <w:r w:rsidRPr="001611DC">
        <w:fldChar w:fldCharType="end"/>
      </w:r>
      <w:r w:rsidRPr="001611DC">
        <w:t>.</w:t>
      </w:r>
    </w:p>
    <w:p w14:paraId="51089AE2" w14:textId="77777777" w:rsidR="00EE74FD" w:rsidRPr="001611DC" w:rsidRDefault="00EE74FD" w:rsidP="00CD3945">
      <w:pPr>
        <w:pStyle w:val="TableFigureHeading"/>
        <w:keepLines/>
        <w:rPr>
          <w:rStyle w:val="CommentReference"/>
          <w:b/>
          <w:szCs w:val="24"/>
        </w:rPr>
      </w:pPr>
      <w:bookmarkStart w:id="135" w:name="_Ref165407095"/>
      <w:r w:rsidRPr="001611DC">
        <w:lastRenderedPageBreak/>
        <w:t xml:space="preserve">Table </w:t>
      </w:r>
      <w:r w:rsidRPr="001611DC">
        <w:fldChar w:fldCharType="begin" w:fldLock="1"/>
      </w:r>
      <w:r w:rsidRPr="001611DC">
        <w:instrText xml:space="preserve"> SEQ Table \* ARABIC </w:instrText>
      </w:r>
      <w:r w:rsidRPr="001611DC">
        <w:fldChar w:fldCharType="separate"/>
      </w:r>
      <w:r w:rsidRPr="001611DC">
        <w:t>22</w:t>
      </w:r>
      <w:r w:rsidRPr="001611DC">
        <w:fldChar w:fldCharType="end"/>
      </w:r>
      <w:bookmarkEnd w:id="135"/>
      <w:r w:rsidRPr="001611DC">
        <w:t xml:space="preserve">: </w:t>
      </w:r>
      <w:r w:rsidRPr="001611DC">
        <w:rPr>
          <w:rStyle w:val="CommentReference"/>
          <w:b/>
          <w:szCs w:val="24"/>
        </w:rPr>
        <w:t>Disaggregated summary of health outcomes included in the economic evaluation</w:t>
      </w:r>
      <w:r w:rsidRPr="001611DC">
        <w:rPr>
          <w:rStyle w:val="Heading2Char"/>
          <w:b/>
          <w:i w:val="0"/>
          <w:szCs w:val="24"/>
        </w:rPr>
        <w:t xml:space="preserve"> </w:t>
      </w:r>
      <w:r w:rsidRPr="001611DC">
        <w:rPr>
          <w:rStyle w:val="CommentReference"/>
          <w:b/>
          <w:szCs w:val="24"/>
        </w:rPr>
        <w:t>for adults ≥60 YOA (discounted)</w:t>
      </w:r>
    </w:p>
    <w:tbl>
      <w:tblPr>
        <w:tblW w:w="5000" w:type="pct"/>
        <w:tblLook w:val="04A0" w:firstRow="1" w:lastRow="0" w:firstColumn="1" w:lastColumn="0" w:noHBand="0" w:noVBand="1"/>
        <w:tblCaption w:val="Table 22: Disaggregated summary of health outcomes included in the economic evaluation for adults ≥60 YOA (discounted)"/>
      </w:tblPr>
      <w:tblGrid>
        <w:gridCol w:w="3084"/>
        <w:gridCol w:w="1484"/>
        <w:gridCol w:w="1484"/>
        <w:gridCol w:w="1484"/>
        <w:gridCol w:w="1481"/>
      </w:tblGrid>
      <w:tr w:rsidR="00EE74FD" w:rsidRPr="001611DC" w14:paraId="160D21E7" w14:textId="77777777" w:rsidTr="00ED36A0">
        <w:trPr>
          <w:trHeight w:val="20"/>
          <w:tblHeader/>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AC1C4" w14:textId="77777777" w:rsidR="00EE74FD" w:rsidRPr="001611DC" w:rsidRDefault="00EE74FD" w:rsidP="00CD3945">
            <w:pPr>
              <w:pStyle w:val="TableText0"/>
              <w:keepLines/>
              <w:jc w:val="center"/>
              <w:rPr>
                <w:b/>
              </w:rPr>
            </w:pPr>
            <w:r w:rsidRPr="001611DC">
              <w:rPr>
                <w:b/>
              </w:rPr>
              <w:t>Estimate</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4D586B19" w14:textId="77777777" w:rsidR="00EE74FD" w:rsidRPr="001611DC" w:rsidRDefault="00EE74FD" w:rsidP="00CD3945">
            <w:pPr>
              <w:pStyle w:val="TableText0"/>
              <w:keepLines/>
              <w:jc w:val="center"/>
              <w:rPr>
                <w:b/>
              </w:rPr>
            </w:pPr>
            <w:r w:rsidRPr="001611DC">
              <w:rPr>
                <w:b/>
              </w:rPr>
              <w:t>RSVPreF3 OA</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54117154" w14:textId="77777777" w:rsidR="00EE74FD" w:rsidRPr="001611DC" w:rsidRDefault="00EE74FD" w:rsidP="00CD3945">
            <w:pPr>
              <w:pStyle w:val="TableText0"/>
              <w:keepLines/>
              <w:jc w:val="center"/>
              <w:rPr>
                <w:b/>
              </w:rPr>
            </w:pPr>
            <w:r w:rsidRPr="001611DC">
              <w:rPr>
                <w:b/>
              </w:rPr>
              <w:t>No vaccine</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3C3575CA" w14:textId="77777777" w:rsidR="00EE74FD" w:rsidRPr="001611DC" w:rsidRDefault="00EE74FD" w:rsidP="00CD3945">
            <w:pPr>
              <w:pStyle w:val="TableText0"/>
              <w:keepLines/>
              <w:jc w:val="center"/>
              <w:rPr>
                <w:b/>
              </w:rPr>
            </w:pPr>
            <w:r w:rsidRPr="001611DC">
              <w:rPr>
                <w:b/>
              </w:rPr>
              <w:t xml:space="preserve">Incremental </w:t>
            </w:r>
          </w:p>
          <w:p w14:paraId="69F48ACA" w14:textId="77777777" w:rsidR="00EE74FD" w:rsidRPr="001611DC" w:rsidRDefault="00EE74FD" w:rsidP="00CD3945">
            <w:pPr>
              <w:pStyle w:val="TableText0"/>
              <w:keepLines/>
              <w:jc w:val="center"/>
              <w:rPr>
                <w:b/>
              </w:rPr>
            </w:pPr>
            <w:r w:rsidRPr="001611DC">
              <w:rPr>
                <w:b/>
              </w:rPr>
              <w:t>outcomes</w:t>
            </w:r>
          </w:p>
        </w:tc>
        <w:tc>
          <w:tcPr>
            <w:tcW w:w="822" w:type="pct"/>
            <w:tcBorders>
              <w:top w:val="single" w:sz="4" w:space="0" w:color="auto"/>
              <w:left w:val="nil"/>
              <w:bottom w:val="single" w:sz="4" w:space="0" w:color="auto"/>
              <w:right w:val="single" w:sz="4" w:space="0" w:color="auto"/>
            </w:tcBorders>
            <w:shd w:val="clear" w:color="auto" w:fill="auto"/>
            <w:noWrap/>
            <w:vAlign w:val="center"/>
          </w:tcPr>
          <w:p w14:paraId="657D615D" w14:textId="77777777" w:rsidR="00EE74FD" w:rsidRPr="001611DC" w:rsidRDefault="00EE74FD" w:rsidP="00CD3945">
            <w:pPr>
              <w:pStyle w:val="TableText0"/>
              <w:keepLines/>
              <w:jc w:val="center"/>
              <w:rPr>
                <w:b/>
              </w:rPr>
            </w:pPr>
            <w:r w:rsidRPr="001611DC">
              <w:rPr>
                <w:b/>
              </w:rPr>
              <w:t>%</w:t>
            </w:r>
          </w:p>
        </w:tc>
      </w:tr>
      <w:tr w:rsidR="00EE74FD" w:rsidRPr="001611DC" w14:paraId="217170B4" w14:textId="77777777" w:rsidTr="00ED36A0">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0DA4ABA" w14:textId="77777777" w:rsidR="00EE74FD" w:rsidRPr="001611DC" w:rsidRDefault="00EE74FD" w:rsidP="00CD3945">
            <w:pPr>
              <w:pStyle w:val="TableText0"/>
              <w:keepLines/>
              <w:rPr>
                <w:b/>
              </w:rPr>
            </w:pPr>
            <w:r w:rsidRPr="001611DC">
              <w:rPr>
                <w:b/>
              </w:rPr>
              <w:t>Events</w:t>
            </w:r>
          </w:p>
        </w:tc>
      </w:tr>
      <w:tr w:rsidR="00EE74FD" w:rsidRPr="001611DC" w14:paraId="7816813D" w14:textId="77777777" w:rsidTr="00ED36A0">
        <w:trPr>
          <w:trHeight w:val="20"/>
        </w:trPr>
        <w:tc>
          <w:tcPr>
            <w:tcW w:w="17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D6689" w14:textId="77777777" w:rsidR="00EE74FD" w:rsidRPr="001611DC" w:rsidRDefault="00EE74FD" w:rsidP="00CD3945">
            <w:pPr>
              <w:pStyle w:val="TableText0"/>
              <w:keepLines/>
              <w:rPr>
                <w:b/>
              </w:rPr>
            </w:pPr>
            <w:r w:rsidRPr="001611DC">
              <w:rPr>
                <w:b/>
              </w:rPr>
              <w:t>Population</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6F5351A2" w14:textId="5E619580" w:rsidR="00EE74FD" w:rsidRPr="00517CA1" w:rsidRDefault="00BD3549" w:rsidP="00CD3945">
            <w:pPr>
              <w:pStyle w:val="TableText0"/>
              <w:keepLines/>
              <w:jc w:val="center"/>
              <w:rPr>
                <w:b/>
                <w:highlight w:val="lightGray"/>
              </w:rPr>
            </w:pPr>
            <w:r w:rsidRPr="00BD3549">
              <w:rPr>
                <w:b/>
                <w:color w:val="000000"/>
                <w:shd w:val="solid" w:color="000000" w:fill="000000"/>
                <w14:textFill>
                  <w14:solidFill>
                    <w14:srgbClr w14:val="000000">
                      <w14:alpha w14:val="100000"/>
                    </w14:srgbClr>
                  </w14:solidFill>
                </w14:textFill>
              </w:rPr>
              <w:t>|</w:t>
            </w:r>
            <w:r w:rsidR="00EE74FD" w:rsidRPr="00AA5272">
              <w:rPr>
                <w:b/>
                <w:vertAlign w:val="superscript"/>
              </w:rPr>
              <w:t>1</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6A6FB912" w14:textId="5DA231C9" w:rsidR="00EE74FD" w:rsidRPr="00517CA1" w:rsidRDefault="00BD3549" w:rsidP="00CD3945">
            <w:pPr>
              <w:pStyle w:val="TableText0"/>
              <w:keepLines/>
              <w:jc w:val="center"/>
              <w:rPr>
                <w:b/>
                <w:highlight w:val="lightGray"/>
              </w:rPr>
            </w:pPr>
            <w:r w:rsidRPr="00BD3549">
              <w:rPr>
                <w:b/>
                <w:color w:val="000000"/>
                <w:shd w:val="solid" w:color="000000" w:fill="000000"/>
                <w14:textFill>
                  <w14:solidFill>
                    <w14:srgbClr w14:val="000000">
                      <w14:alpha w14:val="100000"/>
                    </w14:srgbClr>
                  </w14:solidFill>
                </w14:textFill>
              </w:rPr>
              <w:t>|</w:t>
            </w:r>
            <w:r w:rsidR="00EE74FD" w:rsidRPr="00AA5272">
              <w:rPr>
                <w:b/>
                <w:vertAlign w:val="superscript"/>
              </w:rPr>
              <w:t>1</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5B1BE63E" w14:textId="20E611C4" w:rsidR="00EE74FD" w:rsidRPr="000C4CFC" w:rsidRDefault="00BD3549" w:rsidP="00CD3945">
            <w:pPr>
              <w:pStyle w:val="TableText0"/>
              <w:keepLines/>
              <w:jc w:val="center"/>
              <w:rPr>
                <w:b/>
                <w:highlight w:val="lightGray"/>
                <w:vertAlign w:val="superscript"/>
              </w:rPr>
            </w:pPr>
            <w:r w:rsidRPr="00BD3549">
              <w:rPr>
                <w:b/>
                <w:color w:val="000000"/>
                <w:shd w:val="solid" w:color="000000" w:fill="000000"/>
                <w14:textFill>
                  <w14:solidFill>
                    <w14:srgbClr w14:val="000000">
                      <w14:alpha w14:val="100000"/>
                    </w14:srgbClr>
                  </w14:solidFill>
                </w14:textFill>
              </w:rPr>
              <w:t>|</w:t>
            </w:r>
            <w:r w:rsidR="00EE74FD" w:rsidRPr="000C4CFC">
              <w:rPr>
                <w:b/>
                <w:vertAlign w:val="superscript"/>
              </w:rPr>
              <w:t>2</w:t>
            </w:r>
          </w:p>
        </w:tc>
        <w:tc>
          <w:tcPr>
            <w:tcW w:w="822" w:type="pct"/>
            <w:tcBorders>
              <w:top w:val="single" w:sz="4" w:space="0" w:color="auto"/>
              <w:left w:val="nil"/>
              <w:bottom w:val="single" w:sz="4" w:space="0" w:color="auto"/>
              <w:right w:val="single" w:sz="4" w:space="0" w:color="auto"/>
            </w:tcBorders>
            <w:shd w:val="clear" w:color="auto" w:fill="auto"/>
            <w:noWrap/>
            <w:vAlign w:val="center"/>
          </w:tcPr>
          <w:p w14:paraId="585CB848" w14:textId="77777777" w:rsidR="00EE74FD" w:rsidRPr="001611DC" w:rsidRDefault="00EE74FD" w:rsidP="00CD3945">
            <w:pPr>
              <w:pStyle w:val="TableText0"/>
              <w:keepLines/>
              <w:jc w:val="center"/>
              <w:rPr>
                <w:b/>
              </w:rPr>
            </w:pPr>
            <w:r w:rsidRPr="001611DC">
              <w:rPr>
                <w:b/>
              </w:rPr>
              <w:t>-</w:t>
            </w:r>
          </w:p>
        </w:tc>
      </w:tr>
      <w:tr w:rsidR="00EE74FD" w:rsidRPr="001611DC" w14:paraId="71EBDEF5"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1268EE42" w14:textId="77777777" w:rsidR="00EE74FD" w:rsidRPr="001611DC" w:rsidRDefault="00EE74FD" w:rsidP="00CD3945">
            <w:pPr>
              <w:pStyle w:val="TableText0"/>
              <w:keepLines/>
            </w:pPr>
            <w:r w:rsidRPr="001611DC">
              <w:t>Vaccinated population</w:t>
            </w:r>
          </w:p>
        </w:tc>
        <w:tc>
          <w:tcPr>
            <w:tcW w:w="823" w:type="pct"/>
            <w:tcBorders>
              <w:top w:val="nil"/>
              <w:left w:val="nil"/>
              <w:bottom w:val="single" w:sz="4" w:space="0" w:color="auto"/>
              <w:right w:val="single" w:sz="4" w:space="0" w:color="auto"/>
            </w:tcBorders>
            <w:shd w:val="clear" w:color="auto" w:fill="auto"/>
            <w:noWrap/>
            <w:vAlign w:val="center"/>
          </w:tcPr>
          <w:p w14:paraId="5E891F6F" w14:textId="190E67C9"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AA5272">
              <w:rPr>
                <w:b/>
                <w:vertAlign w:val="superscript"/>
              </w:rPr>
              <w:t>1</w:t>
            </w:r>
          </w:p>
        </w:tc>
        <w:tc>
          <w:tcPr>
            <w:tcW w:w="823" w:type="pct"/>
            <w:tcBorders>
              <w:top w:val="nil"/>
              <w:left w:val="nil"/>
              <w:bottom w:val="single" w:sz="4" w:space="0" w:color="auto"/>
              <w:right w:val="single" w:sz="4" w:space="0" w:color="auto"/>
            </w:tcBorders>
            <w:shd w:val="clear" w:color="auto" w:fill="auto"/>
            <w:noWrap/>
            <w:vAlign w:val="center"/>
          </w:tcPr>
          <w:p w14:paraId="4D87CDC6" w14:textId="15B04BB8"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0C4CFC">
              <w:rPr>
                <w:b/>
                <w:vertAlign w:val="superscript"/>
              </w:rPr>
              <w:t>2</w:t>
            </w:r>
          </w:p>
        </w:tc>
        <w:tc>
          <w:tcPr>
            <w:tcW w:w="823" w:type="pct"/>
            <w:tcBorders>
              <w:top w:val="nil"/>
              <w:left w:val="nil"/>
              <w:bottom w:val="single" w:sz="4" w:space="0" w:color="auto"/>
              <w:right w:val="single" w:sz="4" w:space="0" w:color="auto"/>
            </w:tcBorders>
            <w:shd w:val="clear" w:color="auto" w:fill="auto"/>
            <w:noWrap/>
            <w:vAlign w:val="center"/>
          </w:tcPr>
          <w:p w14:paraId="6DEE06B5" w14:textId="219179E4"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AA5272">
              <w:rPr>
                <w:b/>
                <w:vertAlign w:val="superscript"/>
              </w:rPr>
              <w:t>1</w:t>
            </w:r>
          </w:p>
        </w:tc>
        <w:tc>
          <w:tcPr>
            <w:tcW w:w="822" w:type="pct"/>
            <w:tcBorders>
              <w:top w:val="nil"/>
              <w:left w:val="nil"/>
              <w:bottom w:val="single" w:sz="4" w:space="0" w:color="auto"/>
              <w:right w:val="single" w:sz="4" w:space="0" w:color="auto"/>
            </w:tcBorders>
            <w:shd w:val="clear" w:color="auto" w:fill="auto"/>
            <w:noWrap/>
            <w:vAlign w:val="center"/>
          </w:tcPr>
          <w:p w14:paraId="5F844F87" w14:textId="77777777" w:rsidR="00EE74FD" w:rsidRPr="001611DC" w:rsidRDefault="00EE74FD" w:rsidP="00CD3945">
            <w:pPr>
              <w:pStyle w:val="TableText0"/>
              <w:keepLines/>
              <w:jc w:val="center"/>
            </w:pPr>
            <w:r w:rsidRPr="001611DC">
              <w:t>-</w:t>
            </w:r>
          </w:p>
        </w:tc>
      </w:tr>
      <w:tr w:rsidR="00EE74FD" w:rsidRPr="001611DC" w14:paraId="101C89E2"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00D552F2" w14:textId="77777777" w:rsidR="00EE74FD" w:rsidRPr="001611DC" w:rsidRDefault="00EE74FD" w:rsidP="00CD3945">
            <w:pPr>
              <w:pStyle w:val="TableText0"/>
              <w:keepLines/>
            </w:pPr>
            <w:r w:rsidRPr="001611DC">
              <w:t>RSV-ARI cases</w:t>
            </w:r>
          </w:p>
        </w:tc>
        <w:tc>
          <w:tcPr>
            <w:tcW w:w="823" w:type="pct"/>
            <w:tcBorders>
              <w:top w:val="nil"/>
              <w:left w:val="nil"/>
              <w:bottom w:val="single" w:sz="4" w:space="0" w:color="auto"/>
              <w:right w:val="single" w:sz="4" w:space="0" w:color="auto"/>
            </w:tcBorders>
            <w:shd w:val="clear" w:color="auto" w:fill="auto"/>
            <w:noWrap/>
            <w:vAlign w:val="center"/>
          </w:tcPr>
          <w:p w14:paraId="12DBBDCC" w14:textId="429CF97D"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F94DC9">
              <w:rPr>
                <w:vertAlign w:val="superscript"/>
              </w:rPr>
              <w:t>3</w:t>
            </w:r>
          </w:p>
        </w:tc>
        <w:tc>
          <w:tcPr>
            <w:tcW w:w="823" w:type="pct"/>
            <w:tcBorders>
              <w:top w:val="nil"/>
              <w:left w:val="nil"/>
              <w:bottom w:val="single" w:sz="4" w:space="0" w:color="auto"/>
              <w:right w:val="single" w:sz="4" w:space="0" w:color="auto"/>
            </w:tcBorders>
            <w:shd w:val="clear" w:color="auto" w:fill="auto"/>
            <w:noWrap/>
            <w:vAlign w:val="center"/>
          </w:tcPr>
          <w:p w14:paraId="130CF136" w14:textId="62794BE3"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F94DC9">
              <w:rPr>
                <w:vertAlign w:val="superscript"/>
              </w:rPr>
              <w:t>4</w:t>
            </w:r>
          </w:p>
        </w:tc>
        <w:tc>
          <w:tcPr>
            <w:tcW w:w="823" w:type="pct"/>
            <w:tcBorders>
              <w:top w:val="nil"/>
              <w:left w:val="nil"/>
              <w:bottom w:val="single" w:sz="4" w:space="0" w:color="auto"/>
              <w:right w:val="single" w:sz="4" w:space="0" w:color="auto"/>
            </w:tcBorders>
            <w:shd w:val="clear" w:color="auto" w:fill="auto"/>
            <w:noWrap/>
            <w:vAlign w:val="center"/>
          </w:tcPr>
          <w:p w14:paraId="728E6923" w14:textId="333ABD5F"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D835CF">
              <w:rPr>
                <w:vertAlign w:val="superscript"/>
              </w:rPr>
              <w:t>5</w:t>
            </w:r>
          </w:p>
        </w:tc>
        <w:tc>
          <w:tcPr>
            <w:tcW w:w="822" w:type="pct"/>
            <w:tcBorders>
              <w:top w:val="nil"/>
              <w:left w:val="nil"/>
              <w:bottom w:val="single" w:sz="4" w:space="0" w:color="auto"/>
              <w:right w:val="single" w:sz="4" w:space="0" w:color="auto"/>
            </w:tcBorders>
            <w:shd w:val="clear" w:color="auto" w:fill="auto"/>
            <w:noWrap/>
            <w:vAlign w:val="center"/>
          </w:tcPr>
          <w:p w14:paraId="5C6454F8" w14:textId="0A7C5E0A"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0055029B"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31E26A23" w14:textId="77777777" w:rsidR="00EE74FD" w:rsidRPr="001611DC" w:rsidRDefault="00EE74FD" w:rsidP="00CD3945">
            <w:pPr>
              <w:pStyle w:val="TableText0"/>
              <w:keepLines/>
              <w:ind w:firstLineChars="100" w:firstLine="200"/>
            </w:pPr>
            <w:r w:rsidRPr="001611DC">
              <w:t>RSV-URTD cases</w:t>
            </w:r>
          </w:p>
        </w:tc>
        <w:tc>
          <w:tcPr>
            <w:tcW w:w="823" w:type="pct"/>
            <w:tcBorders>
              <w:top w:val="nil"/>
              <w:left w:val="nil"/>
              <w:bottom w:val="single" w:sz="4" w:space="0" w:color="auto"/>
              <w:right w:val="single" w:sz="4" w:space="0" w:color="auto"/>
            </w:tcBorders>
            <w:shd w:val="clear" w:color="auto" w:fill="auto"/>
            <w:noWrap/>
            <w:vAlign w:val="center"/>
          </w:tcPr>
          <w:p w14:paraId="560E7BAF" w14:textId="0A2A83D0"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D835CF">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04ABC08B" w14:textId="0B10025C"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8E2321">
              <w:rPr>
                <w:vertAlign w:val="superscript"/>
              </w:rPr>
              <w:t>6</w:t>
            </w:r>
          </w:p>
        </w:tc>
        <w:tc>
          <w:tcPr>
            <w:tcW w:w="823" w:type="pct"/>
            <w:tcBorders>
              <w:top w:val="nil"/>
              <w:left w:val="nil"/>
              <w:bottom w:val="single" w:sz="4" w:space="0" w:color="auto"/>
              <w:right w:val="single" w:sz="4" w:space="0" w:color="auto"/>
            </w:tcBorders>
            <w:shd w:val="clear" w:color="auto" w:fill="auto"/>
            <w:noWrap/>
            <w:vAlign w:val="center"/>
          </w:tcPr>
          <w:p w14:paraId="4C06516A" w14:textId="2AFEEBBE"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367B68">
              <w:rPr>
                <w:vertAlign w:val="superscript"/>
              </w:rPr>
              <w:t>7</w:t>
            </w:r>
          </w:p>
        </w:tc>
        <w:tc>
          <w:tcPr>
            <w:tcW w:w="822" w:type="pct"/>
            <w:tcBorders>
              <w:top w:val="nil"/>
              <w:left w:val="nil"/>
              <w:bottom w:val="single" w:sz="4" w:space="0" w:color="auto"/>
              <w:right w:val="single" w:sz="4" w:space="0" w:color="auto"/>
            </w:tcBorders>
            <w:shd w:val="clear" w:color="auto" w:fill="auto"/>
            <w:noWrap/>
            <w:vAlign w:val="center"/>
          </w:tcPr>
          <w:p w14:paraId="296E1CD6" w14:textId="395D5433"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2E3E617B"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5851A503" w14:textId="77777777" w:rsidR="00EE74FD" w:rsidRPr="001611DC" w:rsidRDefault="00EE74FD" w:rsidP="00CD3945">
            <w:pPr>
              <w:pStyle w:val="TableText0"/>
              <w:keepLines/>
              <w:ind w:firstLineChars="200" w:firstLine="400"/>
            </w:pPr>
            <w:r w:rsidRPr="001611DC">
              <w:t>First infection</w:t>
            </w:r>
          </w:p>
        </w:tc>
        <w:tc>
          <w:tcPr>
            <w:tcW w:w="823" w:type="pct"/>
            <w:tcBorders>
              <w:top w:val="nil"/>
              <w:left w:val="nil"/>
              <w:bottom w:val="single" w:sz="4" w:space="0" w:color="auto"/>
              <w:right w:val="single" w:sz="4" w:space="0" w:color="auto"/>
            </w:tcBorders>
            <w:shd w:val="clear" w:color="auto" w:fill="auto"/>
            <w:noWrap/>
            <w:vAlign w:val="center"/>
          </w:tcPr>
          <w:p w14:paraId="4F34407A" w14:textId="22BDA80F"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D835CF">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229A6F20" w14:textId="2F25D661"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413DED">
              <w:rPr>
                <w:vertAlign w:val="superscript"/>
              </w:rPr>
              <w:t>6</w:t>
            </w:r>
          </w:p>
        </w:tc>
        <w:tc>
          <w:tcPr>
            <w:tcW w:w="823" w:type="pct"/>
            <w:tcBorders>
              <w:top w:val="nil"/>
              <w:left w:val="nil"/>
              <w:bottom w:val="single" w:sz="4" w:space="0" w:color="auto"/>
              <w:right w:val="single" w:sz="4" w:space="0" w:color="auto"/>
            </w:tcBorders>
            <w:shd w:val="clear" w:color="auto" w:fill="auto"/>
            <w:noWrap/>
            <w:vAlign w:val="center"/>
          </w:tcPr>
          <w:p w14:paraId="19A5DA32" w14:textId="6C6F024C"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367B68">
              <w:rPr>
                <w:vertAlign w:val="superscript"/>
              </w:rPr>
              <w:t>7</w:t>
            </w:r>
          </w:p>
        </w:tc>
        <w:tc>
          <w:tcPr>
            <w:tcW w:w="822" w:type="pct"/>
            <w:tcBorders>
              <w:top w:val="nil"/>
              <w:left w:val="nil"/>
              <w:bottom w:val="single" w:sz="4" w:space="0" w:color="auto"/>
              <w:right w:val="single" w:sz="4" w:space="0" w:color="auto"/>
            </w:tcBorders>
            <w:shd w:val="clear" w:color="auto" w:fill="auto"/>
            <w:noWrap/>
            <w:vAlign w:val="center"/>
          </w:tcPr>
          <w:p w14:paraId="0AB07327" w14:textId="74FE82B2"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70D4C8F0"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2A2E7C02" w14:textId="77777777" w:rsidR="00EE74FD" w:rsidRPr="001611DC" w:rsidRDefault="00EE74FD" w:rsidP="00CD3945">
            <w:pPr>
              <w:pStyle w:val="TableText0"/>
              <w:keepLines/>
              <w:ind w:firstLineChars="200" w:firstLine="400"/>
            </w:pPr>
            <w:r w:rsidRPr="001611DC">
              <w:t>Reinfection</w:t>
            </w:r>
          </w:p>
        </w:tc>
        <w:tc>
          <w:tcPr>
            <w:tcW w:w="823" w:type="pct"/>
            <w:tcBorders>
              <w:top w:val="nil"/>
              <w:left w:val="nil"/>
              <w:bottom w:val="single" w:sz="4" w:space="0" w:color="auto"/>
              <w:right w:val="single" w:sz="4" w:space="0" w:color="auto"/>
            </w:tcBorders>
            <w:shd w:val="clear" w:color="auto" w:fill="auto"/>
            <w:noWrap/>
            <w:vAlign w:val="center"/>
          </w:tcPr>
          <w:p w14:paraId="545827C6" w14:textId="6E8F04DA"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413DED">
              <w:rPr>
                <w:vertAlign w:val="superscript"/>
              </w:rPr>
              <w:t>8</w:t>
            </w:r>
          </w:p>
        </w:tc>
        <w:tc>
          <w:tcPr>
            <w:tcW w:w="823" w:type="pct"/>
            <w:tcBorders>
              <w:top w:val="nil"/>
              <w:left w:val="nil"/>
              <w:bottom w:val="single" w:sz="4" w:space="0" w:color="auto"/>
              <w:right w:val="single" w:sz="4" w:space="0" w:color="auto"/>
            </w:tcBorders>
            <w:shd w:val="clear" w:color="auto" w:fill="auto"/>
            <w:noWrap/>
            <w:vAlign w:val="center"/>
          </w:tcPr>
          <w:p w14:paraId="54FAC8F8" w14:textId="7616FC50"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9079E1">
              <w:rPr>
                <w:vertAlign w:val="superscript"/>
              </w:rPr>
              <w:t>9</w:t>
            </w:r>
          </w:p>
        </w:tc>
        <w:tc>
          <w:tcPr>
            <w:tcW w:w="823" w:type="pct"/>
            <w:tcBorders>
              <w:top w:val="nil"/>
              <w:left w:val="nil"/>
              <w:bottom w:val="single" w:sz="4" w:space="0" w:color="auto"/>
              <w:right w:val="single" w:sz="4" w:space="0" w:color="auto"/>
            </w:tcBorders>
            <w:shd w:val="clear" w:color="auto" w:fill="auto"/>
            <w:noWrap/>
            <w:vAlign w:val="center"/>
          </w:tcPr>
          <w:p w14:paraId="33FCBD78" w14:textId="0BEB60A0"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413DED">
              <w:rPr>
                <w:vertAlign w:val="superscript"/>
              </w:rPr>
              <w:t>8</w:t>
            </w:r>
          </w:p>
        </w:tc>
        <w:tc>
          <w:tcPr>
            <w:tcW w:w="822" w:type="pct"/>
            <w:tcBorders>
              <w:top w:val="nil"/>
              <w:left w:val="nil"/>
              <w:bottom w:val="single" w:sz="4" w:space="0" w:color="auto"/>
              <w:right w:val="single" w:sz="4" w:space="0" w:color="auto"/>
            </w:tcBorders>
            <w:shd w:val="clear" w:color="auto" w:fill="auto"/>
            <w:noWrap/>
            <w:vAlign w:val="center"/>
          </w:tcPr>
          <w:p w14:paraId="01FD633D" w14:textId="19B08D71"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4688B814"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2E2D9EB8" w14:textId="77777777" w:rsidR="00EE74FD" w:rsidRPr="001611DC" w:rsidRDefault="00EE74FD" w:rsidP="00CD3945">
            <w:pPr>
              <w:pStyle w:val="TableText0"/>
              <w:keepLines/>
              <w:ind w:firstLineChars="100" w:firstLine="200"/>
            </w:pPr>
            <w:r w:rsidRPr="001611DC">
              <w:t>RSV-LRTD cases</w:t>
            </w:r>
          </w:p>
        </w:tc>
        <w:tc>
          <w:tcPr>
            <w:tcW w:w="823" w:type="pct"/>
            <w:tcBorders>
              <w:top w:val="nil"/>
              <w:left w:val="nil"/>
              <w:bottom w:val="single" w:sz="4" w:space="0" w:color="auto"/>
              <w:right w:val="single" w:sz="4" w:space="0" w:color="auto"/>
            </w:tcBorders>
            <w:shd w:val="clear" w:color="auto" w:fill="auto"/>
            <w:noWrap/>
            <w:vAlign w:val="center"/>
          </w:tcPr>
          <w:p w14:paraId="272EC93E" w14:textId="0388941D"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F66B88">
              <w:rPr>
                <w:vertAlign w:val="superscript"/>
              </w:rPr>
              <w:t>10</w:t>
            </w:r>
          </w:p>
        </w:tc>
        <w:tc>
          <w:tcPr>
            <w:tcW w:w="823" w:type="pct"/>
            <w:tcBorders>
              <w:top w:val="nil"/>
              <w:left w:val="nil"/>
              <w:bottom w:val="single" w:sz="4" w:space="0" w:color="auto"/>
              <w:right w:val="single" w:sz="4" w:space="0" w:color="auto"/>
            </w:tcBorders>
            <w:shd w:val="clear" w:color="auto" w:fill="auto"/>
            <w:noWrap/>
            <w:vAlign w:val="center"/>
          </w:tcPr>
          <w:p w14:paraId="48EB258A" w14:textId="110921A6"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8E2321">
              <w:rPr>
                <w:vertAlign w:val="superscript"/>
              </w:rPr>
              <w:t>6</w:t>
            </w:r>
          </w:p>
        </w:tc>
        <w:tc>
          <w:tcPr>
            <w:tcW w:w="823" w:type="pct"/>
            <w:tcBorders>
              <w:top w:val="nil"/>
              <w:left w:val="nil"/>
              <w:bottom w:val="single" w:sz="4" w:space="0" w:color="auto"/>
              <w:right w:val="single" w:sz="4" w:space="0" w:color="auto"/>
            </w:tcBorders>
            <w:shd w:val="clear" w:color="auto" w:fill="auto"/>
            <w:noWrap/>
            <w:vAlign w:val="center"/>
          </w:tcPr>
          <w:p w14:paraId="000C0D0F" w14:textId="181946AB"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F66B88">
              <w:rPr>
                <w:vertAlign w:val="superscript"/>
              </w:rPr>
              <w:t>10</w:t>
            </w:r>
          </w:p>
        </w:tc>
        <w:tc>
          <w:tcPr>
            <w:tcW w:w="822" w:type="pct"/>
            <w:tcBorders>
              <w:top w:val="nil"/>
              <w:left w:val="nil"/>
              <w:bottom w:val="single" w:sz="4" w:space="0" w:color="auto"/>
              <w:right w:val="single" w:sz="4" w:space="0" w:color="auto"/>
            </w:tcBorders>
            <w:shd w:val="clear" w:color="auto" w:fill="auto"/>
            <w:noWrap/>
            <w:vAlign w:val="center"/>
          </w:tcPr>
          <w:p w14:paraId="695D9778" w14:textId="51768CE8"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3F2993D0"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060AA472" w14:textId="77777777" w:rsidR="00EE74FD" w:rsidRPr="001611DC" w:rsidRDefault="00EE74FD" w:rsidP="00CD3945">
            <w:pPr>
              <w:pStyle w:val="TableText0"/>
              <w:keepLines/>
              <w:ind w:firstLineChars="200" w:firstLine="400"/>
            </w:pPr>
            <w:r w:rsidRPr="001611DC">
              <w:t>First infection</w:t>
            </w:r>
          </w:p>
        </w:tc>
        <w:tc>
          <w:tcPr>
            <w:tcW w:w="823" w:type="pct"/>
            <w:tcBorders>
              <w:top w:val="nil"/>
              <w:left w:val="nil"/>
              <w:bottom w:val="single" w:sz="4" w:space="0" w:color="auto"/>
              <w:right w:val="single" w:sz="4" w:space="0" w:color="auto"/>
            </w:tcBorders>
            <w:shd w:val="clear" w:color="auto" w:fill="auto"/>
            <w:noWrap/>
            <w:vAlign w:val="center"/>
          </w:tcPr>
          <w:p w14:paraId="61536056" w14:textId="6C0A0FFD"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F66B88">
              <w:rPr>
                <w:vertAlign w:val="superscript"/>
              </w:rPr>
              <w:t>10</w:t>
            </w:r>
          </w:p>
        </w:tc>
        <w:tc>
          <w:tcPr>
            <w:tcW w:w="823" w:type="pct"/>
            <w:tcBorders>
              <w:top w:val="nil"/>
              <w:left w:val="nil"/>
              <w:bottom w:val="single" w:sz="4" w:space="0" w:color="auto"/>
              <w:right w:val="single" w:sz="4" w:space="0" w:color="auto"/>
            </w:tcBorders>
            <w:shd w:val="clear" w:color="auto" w:fill="auto"/>
            <w:noWrap/>
            <w:vAlign w:val="center"/>
          </w:tcPr>
          <w:p w14:paraId="56A3A28D" w14:textId="1EAA6F6A"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D835CF">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5E9FD6DC" w14:textId="4241688C"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F66B88">
              <w:rPr>
                <w:vertAlign w:val="superscript"/>
              </w:rPr>
              <w:t>10</w:t>
            </w:r>
          </w:p>
        </w:tc>
        <w:tc>
          <w:tcPr>
            <w:tcW w:w="822" w:type="pct"/>
            <w:tcBorders>
              <w:top w:val="nil"/>
              <w:left w:val="nil"/>
              <w:bottom w:val="single" w:sz="4" w:space="0" w:color="auto"/>
              <w:right w:val="single" w:sz="4" w:space="0" w:color="auto"/>
            </w:tcBorders>
            <w:shd w:val="clear" w:color="auto" w:fill="auto"/>
            <w:noWrap/>
            <w:vAlign w:val="center"/>
          </w:tcPr>
          <w:p w14:paraId="35029562" w14:textId="6451E0F8"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7427B96B"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391869C8" w14:textId="77777777" w:rsidR="00EE74FD" w:rsidRPr="001611DC" w:rsidRDefault="00EE74FD" w:rsidP="00CD3945">
            <w:pPr>
              <w:pStyle w:val="TableText0"/>
              <w:keepLines/>
              <w:ind w:firstLineChars="200" w:firstLine="400"/>
            </w:pPr>
            <w:r w:rsidRPr="001611DC">
              <w:t>Reinfection</w:t>
            </w:r>
          </w:p>
        </w:tc>
        <w:tc>
          <w:tcPr>
            <w:tcW w:w="823" w:type="pct"/>
            <w:tcBorders>
              <w:top w:val="nil"/>
              <w:left w:val="nil"/>
              <w:bottom w:val="single" w:sz="4" w:space="0" w:color="auto"/>
              <w:right w:val="single" w:sz="4" w:space="0" w:color="auto"/>
            </w:tcBorders>
            <w:shd w:val="clear" w:color="auto" w:fill="auto"/>
            <w:noWrap/>
            <w:vAlign w:val="center"/>
          </w:tcPr>
          <w:p w14:paraId="789EE19D" w14:textId="21544E6A"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413DED">
              <w:rPr>
                <w:vertAlign w:val="superscript"/>
              </w:rPr>
              <w:t>8</w:t>
            </w:r>
          </w:p>
        </w:tc>
        <w:tc>
          <w:tcPr>
            <w:tcW w:w="823" w:type="pct"/>
            <w:tcBorders>
              <w:top w:val="nil"/>
              <w:left w:val="nil"/>
              <w:bottom w:val="single" w:sz="4" w:space="0" w:color="auto"/>
              <w:right w:val="single" w:sz="4" w:space="0" w:color="auto"/>
            </w:tcBorders>
            <w:shd w:val="clear" w:color="auto" w:fill="auto"/>
            <w:noWrap/>
            <w:vAlign w:val="center"/>
          </w:tcPr>
          <w:p w14:paraId="02423A93" w14:textId="6638EAB2"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676494">
              <w:rPr>
                <w:vertAlign w:val="superscript"/>
              </w:rPr>
              <w:t>11</w:t>
            </w:r>
          </w:p>
        </w:tc>
        <w:tc>
          <w:tcPr>
            <w:tcW w:w="823" w:type="pct"/>
            <w:tcBorders>
              <w:top w:val="nil"/>
              <w:left w:val="nil"/>
              <w:bottom w:val="single" w:sz="4" w:space="0" w:color="auto"/>
              <w:right w:val="single" w:sz="4" w:space="0" w:color="auto"/>
            </w:tcBorders>
            <w:shd w:val="clear" w:color="auto" w:fill="auto"/>
            <w:noWrap/>
            <w:vAlign w:val="center"/>
          </w:tcPr>
          <w:p w14:paraId="41CDDAAA" w14:textId="4CC93E77"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6F6D4B">
              <w:rPr>
                <w:vertAlign w:val="superscript"/>
              </w:rPr>
              <w:t>12</w:t>
            </w:r>
          </w:p>
        </w:tc>
        <w:tc>
          <w:tcPr>
            <w:tcW w:w="822" w:type="pct"/>
            <w:tcBorders>
              <w:top w:val="nil"/>
              <w:left w:val="nil"/>
              <w:bottom w:val="single" w:sz="4" w:space="0" w:color="auto"/>
              <w:right w:val="single" w:sz="4" w:space="0" w:color="auto"/>
            </w:tcBorders>
            <w:shd w:val="clear" w:color="auto" w:fill="auto"/>
            <w:noWrap/>
            <w:vAlign w:val="center"/>
          </w:tcPr>
          <w:p w14:paraId="114A8D9F" w14:textId="2BD70DEA" w:rsidR="00EE74FD" w:rsidRPr="001611DC" w:rsidRDefault="00BD3549" w:rsidP="00CD3945">
            <w:pPr>
              <w:pStyle w:val="TableText0"/>
              <w:keepLines/>
              <w:jc w:val="center"/>
            </w:pPr>
            <w:r w:rsidRPr="00BD3549">
              <w:rPr>
                <w:color w:val="000000"/>
                <w:shd w:val="solid" w:color="000000" w:fill="000000"/>
                <w14:textFill>
                  <w14:solidFill>
                    <w14:srgbClr w14:val="000000">
                      <w14:alpha w14:val="100000"/>
                    </w14:srgbClr>
                  </w14:solidFill>
                </w14:textFill>
              </w:rPr>
              <w:t>|</w:t>
            </w:r>
            <w:r w:rsidR="00EE74FD" w:rsidRPr="001611DC">
              <w:t>%</w:t>
            </w:r>
          </w:p>
        </w:tc>
      </w:tr>
      <w:tr w:rsidR="00EE74FD" w:rsidRPr="001611DC" w14:paraId="11D7E785"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3301219A" w14:textId="77777777" w:rsidR="00EE74FD" w:rsidRPr="001611DC" w:rsidRDefault="00EE74FD" w:rsidP="00CD3945">
            <w:pPr>
              <w:pStyle w:val="TableText0"/>
              <w:keepLines/>
            </w:pPr>
            <w:r w:rsidRPr="001611DC">
              <w:t>RSV-related deaths</w:t>
            </w:r>
          </w:p>
        </w:tc>
        <w:tc>
          <w:tcPr>
            <w:tcW w:w="823" w:type="pct"/>
            <w:tcBorders>
              <w:top w:val="nil"/>
              <w:left w:val="nil"/>
              <w:bottom w:val="single" w:sz="4" w:space="0" w:color="auto"/>
              <w:right w:val="single" w:sz="4" w:space="0" w:color="auto"/>
            </w:tcBorders>
            <w:shd w:val="clear" w:color="auto" w:fill="auto"/>
            <w:noWrap/>
            <w:vAlign w:val="center"/>
          </w:tcPr>
          <w:p w14:paraId="4D72E1CB" w14:textId="5BF317FC"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1801D8">
              <w:rPr>
                <w:vertAlign w:val="superscript"/>
              </w:rPr>
              <w:t>13</w:t>
            </w:r>
          </w:p>
        </w:tc>
        <w:tc>
          <w:tcPr>
            <w:tcW w:w="823" w:type="pct"/>
            <w:tcBorders>
              <w:top w:val="nil"/>
              <w:left w:val="nil"/>
              <w:bottom w:val="single" w:sz="4" w:space="0" w:color="auto"/>
              <w:right w:val="single" w:sz="4" w:space="0" w:color="auto"/>
            </w:tcBorders>
            <w:shd w:val="clear" w:color="auto" w:fill="auto"/>
            <w:noWrap/>
            <w:vAlign w:val="center"/>
          </w:tcPr>
          <w:p w14:paraId="4B4D0236" w14:textId="1EEA0D23"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683FC2">
              <w:rPr>
                <w:vertAlign w:val="superscript"/>
              </w:rPr>
              <w:t>14</w:t>
            </w:r>
          </w:p>
        </w:tc>
        <w:tc>
          <w:tcPr>
            <w:tcW w:w="823" w:type="pct"/>
            <w:tcBorders>
              <w:top w:val="nil"/>
              <w:left w:val="nil"/>
              <w:bottom w:val="single" w:sz="4" w:space="0" w:color="auto"/>
              <w:right w:val="single" w:sz="4" w:space="0" w:color="auto"/>
            </w:tcBorders>
            <w:shd w:val="clear" w:color="auto" w:fill="auto"/>
            <w:noWrap/>
            <w:vAlign w:val="center"/>
          </w:tcPr>
          <w:p w14:paraId="645AA6CF" w14:textId="3AB358BB" w:rsidR="00EE74FD" w:rsidRPr="00517CA1" w:rsidRDefault="00EE74FD" w:rsidP="00CD3945">
            <w:pPr>
              <w:pStyle w:val="TableText0"/>
              <w:keepLines/>
              <w:jc w:val="center"/>
              <w:rPr>
                <w:highlight w:val="lightGray"/>
              </w:rPr>
            </w:pPr>
            <w:r w:rsidRPr="00ED4F97">
              <w:t>-</w:t>
            </w:r>
            <w:r w:rsidR="00BD3549" w:rsidRPr="00BD3549">
              <w:rPr>
                <w:color w:val="000000"/>
                <w:shd w:val="solid" w:color="000000" w:fill="000000"/>
                <w14:textFill>
                  <w14:solidFill>
                    <w14:srgbClr w14:val="000000">
                      <w14:alpha w14:val="100000"/>
                    </w14:srgbClr>
                  </w14:solidFill>
                </w14:textFill>
              </w:rPr>
              <w:t>|</w:t>
            </w:r>
            <w:r w:rsidRPr="001801D8">
              <w:rPr>
                <w:vertAlign w:val="superscript"/>
              </w:rPr>
              <w:t>13</w:t>
            </w:r>
          </w:p>
        </w:tc>
        <w:tc>
          <w:tcPr>
            <w:tcW w:w="822" w:type="pct"/>
            <w:tcBorders>
              <w:top w:val="nil"/>
              <w:left w:val="nil"/>
              <w:bottom w:val="single" w:sz="4" w:space="0" w:color="auto"/>
              <w:right w:val="single" w:sz="4" w:space="0" w:color="auto"/>
            </w:tcBorders>
            <w:shd w:val="clear" w:color="auto" w:fill="auto"/>
            <w:noWrap/>
            <w:vAlign w:val="center"/>
          </w:tcPr>
          <w:p w14:paraId="04BE4133" w14:textId="77777777" w:rsidR="00EE74FD" w:rsidRPr="001611DC" w:rsidRDefault="00EE74FD" w:rsidP="00CD3945">
            <w:pPr>
              <w:pStyle w:val="TableText0"/>
              <w:keepLines/>
              <w:jc w:val="center"/>
            </w:pPr>
            <w:r w:rsidRPr="001611DC">
              <w:t>-</w:t>
            </w:r>
          </w:p>
        </w:tc>
      </w:tr>
      <w:tr w:rsidR="00EE74FD" w:rsidRPr="001611DC" w14:paraId="6BE8A98A"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22D99051" w14:textId="77777777" w:rsidR="00EE74FD" w:rsidRPr="001611DC" w:rsidRDefault="00EE74FD" w:rsidP="00CD3945">
            <w:pPr>
              <w:pStyle w:val="TableText0"/>
              <w:keepLines/>
            </w:pPr>
            <w:r w:rsidRPr="001611DC">
              <w:t>Vaccine-related AEs</w:t>
            </w:r>
          </w:p>
        </w:tc>
        <w:tc>
          <w:tcPr>
            <w:tcW w:w="823" w:type="pct"/>
            <w:tcBorders>
              <w:top w:val="nil"/>
              <w:left w:val="nil"/>
              <w:bottom w:val="single" w:sz="4" w:space="0" w:color="auto"/>
              <w:right w:val="single" w:sz="4" w:space="0" w:color="auto"/>
            </w:tcBorders>
            <w:shd w:val="clear" w:color="auto" w:fill="auto"/>
            <w:noWrap/>
            <w:vAlign w:val="center"/>
          </w:tcPr>
          <w:p w14:paraId="0F823358" w14:textId="63AA9C1C"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367B68">
              <w:rPr>
                <w:vertAlign w:val="superscript"/>
              </w:rPr>
              <w:t>7</w:t>
            </w:r>
          </w:p>
        </w:tc>
        <w:tc>
          <w:tcPr>
            <w:tcW w:w="823" w:type="pct"/>
            <w:tcBorders>
              <w:top w:val="nil"/>
              <w:left w:val="nil"/>
              <w:bottom w:val="single" w:sz="4" w:space="0" w:color="auto"/>
              <w:right w:val="single" w:sz="4" w:space="0" w:color="auto"/>
            </w:tcBorders>
            <w:shd w:val="clear" w:color="auto" w:fill="auto"/>
            <w:noWrap/>
            <w:vAlign w:val="center"/>
          </w:tcPr>
          <w:p w14:paraId="10F86820" w14:textId="48FD313C"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0C4CFC">
              <w:rPr>
                <w:b/>
                <w:vertAlign w:val="superscript"/>
              </w:rPr>
              <w:t>2</w:t>
            </w:r>
          </w:p>
        </w:tc>
        <w:tc>
          <w:tcPr>
            <w:tcW w:w="823" w:type="pct"/>
            <w:tcBorders>
              <w:top w:val="nil"/>
              <w:left w:val="nil"/>
              <w:bottom w:val="single" w:sz="4" w:space="0" w:color="auto"/>
              <w:right w:val="single" w:sz="4" w:space="0" w:color="auto"/>
            </w:tcBorders>
            <w:shd w:val="clear" w:color="auto" w:fill="auto"/>
            <w:noWrap/>
            <w:vAlign w:val="center"/>
          </w:tcPr>
          <w:p w14:paraId="24BF4D19" w14:textId="380EBD64" w:rsidR="00EE74FD" w:rsidRPr="00517CA1" w:rsidRDefault="00BD3549" w:rsidP="00CD3945">
            <w:pPr>
              <w:pStyle w:val="TableText0"/>
              <w:keepLines/>
              <w:jc w:val="center"/>
              <w:rPr>
                <w:highlight w:val="lightGray"/>
              </w:rPr>
            </w:pPr>
            <w:r w:rsidRPr="00BD3549">
              <w:rPr>
                <w:color w:val="000000"/>
                <w:shd w:val="solid" w:color="000000" w:fill="000000"/>
                <w14:textFill>
                  <w14:solidFill>
                    <w14:srgbClr w14:val="000000">
                      <w14:alpha w14:val="100000"/>
                    </w14:srgbClr>
                  </w14:solidFill>
                </w14:textFill>
              </w:rPr>
              <w:t>|</w:t>
            </w:r>
            <w:r w:rsidR="00EE74FD" w:rsidRPr="00367B68">
              <w:rPr>
                <w:vertAlign w:val="superscript"/>
              </w:rPr>
              <w:t>7</w:t>
            </w:r>
          </w:p>
        </w:tc>
        <w:tc>
          <w:tcPr>
            <w:tcW w:w="822" w:type="pct"/>
            <w:tcBorders>
              <w:top w:val="nil"/>
              <w:left w:val="nil"/>
              <w:bottom w:val="single" w:sz="4" w:space="0" w:color="auto"/>
              <w:right w:val="single" w:sz="4" w:space="0" w:color="auto"/>
            </w:tcBorders>
            <w:shd w:val="clear" w:color="auto" w:fill="auto"/>
            <w:noWrap/>
            <w:vAlign w:val="center"/>
          </w:tcPr>
          <w:p w14:paraId="59FD77C5" w14:textId="77777777" w:rsidR="00EE74FD" w:rsidRPr="001611DC" w:rsidRDefault="00EE74FD" w:rsidP="00CD3945">
            <w:pPr>
              <w:pStyle w:val="TableText0"/>
              <w:keepLines/>
              <w:jc w:val="center"/>
            </w:pPr>
            <w:r w:rsidRPr="001611DC">
              <w:t>-</w:t>
            </w:r>
          </w:p>
        </w:tc>
      </w:tr>
      <w:tr w:rsidR="00EE74FD" w:rsidRPr="001611DC" w14:paraId="089C1E73" w14:textId="77777777" w:rsidTr="00ED36A0">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BCFF54" w14:textId="77777777" w:rsidR="00EE74FD" w:rsidRPr="001611DC" w:rsidRDefault="00EE74FD" w:rsidP="00CD3945">
            <w:pPr>
              <w:pStyle w:val="TableText0"/>
              <w:keepLines/>
              <w:rPr>
                <w:b/>
                <w:bCs w:val="0"/>
              </w:rPr>
            </w:pPr>
            <w:r w:rsidRPr="001611DC">
              <w:rPr>
                <w:b/>
                <w:bCs w:val="0"/>
              </w:rPr>
              <w:t>Health outcomes</w:t>
            </w:r>
          </w:p>
        </w:tc>
      </w:tr>
      <w:tr w:rsidR="00EE74FD" w:rsidRPr="001611DC" w14:paraId="0D10F2FF"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6848C897" w14:textId="77777777" w:rsidR="00EE74FD" w:rsidRPr="001611DC" w:rsidRDefault="00EE74FD" w:rsidP="00CD3945">
            <w:pPr>
              <w:pStyle w:val="TableText0"/>
              <w:keepLines/>
            </w:pPr>
            <w:r w:rsidRPr="001611DC">
              <w:t>Lys lost</w:t>
            </w:r>
          </w:p>
        </w:tc>
        <w:tc>
          <w:tcPr>
            <w:tcW w:w="823" w:type="pct"/>
            <w:tcBorders>
              <w:top w:val="nil"/>
              <w:left w:val="nil"/>
              <w:bottom w:val="single" w:sz="4" w:space="0" w:color="auto"/>
              <w:right w:val="single" w:sz="4" w:space="0" w:color="auto"/>
            </w:tcBorders>
            <w:shd w:val="clear" w:color="auto" w:fill="auto"/>
            <w:noWrap/>
            <w:vAlign w:val="center"/>
          </w:tcPr>
          <w:p w14:paraId="4B442624" w14:textId="77777777" w:rsidR="00EE74FD" w:rsidRPr="008565A1" w:rsidRDefault="00EE74FD" w:rsidP="00CD3945">
            <w:pPr>
              <w:pStyle w:val="TableText0"/>
              <w:keepLines/>
              <w:jc w:val="center"/>
            </w:pPr>
            <w:r w:rsidRPr="008565A1">
              <w:t>19,389</w:t>
            </w:r>
          </w:p>
        </w:tc>
        <w:tc>
          <w:tcPr>
            <w:tcW w:w="823" w:type="pct"/>
            <w:tcBorders>
              <w:top w:val="nil"/>
              <w:left w:val="nil"/>
              <w:bottom w:val="single" w:sz="4" w:space="0" w:color="auto"/>
              <w:right w:val="single" w:sz="4" w:space="0" w:color="auto"/>
            </w:tcBorders>
            <w:shd w:val="clear" w:color="auto" w:fill="auto"/>
            <w:noWrap/>
            <w:vAlign w:val="center"/>
          </w:tcPr>
          <w:p w14:paraId="10781264" w14:textId="77777777" w:rsidR="00EE74FD" w:rsidRPr="008565A1" w:rsidRDefault="00EE74FD" w:rsidP="00CD3945">
            <w:pPr>
              <w:pStyle w:val="TableText0"/>
              <w:keepLines/>
              <w:jc w:val="center"/>
            </w:pPr>
            <w:r w:rsidRPr="008565A1">
              <w:t>42,358</w:t>
            </w:r>
          </w:p>
        </w:tc>
        <w:tc>
          <w:tcPr>
            <w:tcW w:w="823" w:type="pct"/>
            <w:tcBorders>
              <w:top w:val="nil"/>
              <w:left w:val="nil"/>
              <w:bottom w:val="single" w:sz="4" w:space="0" w:color="auto"/>
              <w:right w:val="single" w:sz="4" w:space="0" w:color="auto"/>
            </w:tcBorders>
            <w:shd w:val="clear" w:color="auto" w:fill="auto"/>
            <w:noWrap/>
            <w:vAlign w:val="center"/>
          </w:tcPr>
          <w:p w14:paraId="69663B9A" w14:textId="77777777" w:rsidR="00EE74FD" w:rsidRPr="008565A1" w:rsidRDefault="00EE74FD" w:rsidP="00CD3945">
            <w:pPr>
              <w:pStyle w:val="TableText0"/>
              <w:keepLines/>
              <w:jc w:val="center"/>
            </w:pPr>
            <w:r w:rsidRPr="008565A1">
              <w:t>-22,969</w:t>
            </w:r>
          </w:p>
        </w:tc>
        <w:tc>
          <w:tcPr>
            <w:tcW w:w="822" w:type="pct"/>
            <w:tcBorders>
              <w:top w:val="nil"/>
              <w:left w:val="nil"/>
              <w:bottom w:val="single" w:sz="4" w:space="0" w:color="auto"/>
              <w:right w:val="single" w:sz="4" w:space="0" w:color="auto"/>
            </w:tcBorders>
            <w:shd w:val="clear" w:color="auto" w:fill="auto"/>
            <w:noWrap/>
            <w:vAlign w:val="center"/>
          </w:tcPr>
          <w:p w14:paraId="12096268" w14:textId="77777777" w:rsidR="00EE74FD" w:rsidRPr="008565A1" w:rsidRDefault="00EE74FD" w:rsidP="00CD3945">
            <w:pPr>
              <w:pStyle w:val="TableText0"/>
              <w:keepLines/>
              <w:jc w:val="center"/>
            </w:pPr>
            <w:r w:rsidRPr="008565A1">
              <w:t>100.0%</w:t>
            </w:r>
          </w:p>
        </w:tc>
      </w:tr>
      <w:tr w:rsidR="00EE74FD" w:rsidRPr="001611DC" w14:paraId="4B6E7A20"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5E46D17D" w14:textId="77777777" w:rsidR="00EE74FD" w:rsidRPr="001611DC" w:rsidRDefault="00EE74FD" w:rsidP="00CD3945">
            <w:pPr>
              <w:pStyle w:val="TableText0"/>
              <w:keepLines/>
            </w:pPr>
            <w:r w:rsidRPr="001611DC">
              <w:t>QALYs lost</w:t>
            </w:r>
          </w:p>
        </w:tc>
        <w:tc>
          <w:tcPr>
            <w:tcW w:w="823" w:type="pct"/>
            <w:tcBorders>
              <w:top w:val="nil"/>
              <w:left w:val="nil"/>
              <w:bottom w:val="single" w:sz="4" w:space="0" w:color="auto"/>
              <w:right w:val="single" w:sz="4" w:space="0" w:color="auto"/>
            </w:tcBorders>
            <w:shd w:val="clear" w:color="auto" w:fill="auto"/>
            <w:noWrap/>
            <w:vAlign w:val="center"/>
          </w:tcPr>
          <w:p w14:paraId="5DDF92BB" w14:textId="77777777" w:rsidR="00EE74FD" w:rsidRPr="008565A1" w:rsidRDefault="00EE74FD" w:rsidP="00CD3945">
            <w:pPr>
              <w:pStyle w:val="TableText0"/>
              <w:keepLines/>
              <w:jc w:val="center"/>
            </w:pPr>
            <w:r w:rsidRPr="008565A1">
              <w:t>25,830</w:t>
            </w:r>
          </w:p>
        </w:tc>
        <w:tc>
          <w:tcPr>
            <w:tcW w:w="823" w:type="pct"/>
            <w:tcBorders>
              <w:top w:val="nil"/>
              <w:left w:val="nil"/>
              <w:bottom w:val="single" w:sz="4" w:space="0" w:color="auto"/>
              <w:right w:val="single" w:sz="4" w:space="0" w:color="auto"/>
            </w:tcBorders>
            <w:shd w:val="clear" w:color="auto" w:fill="auto"/>
            <w:noWrap/>
            <w:vAlign w:val="center"/>
          </w:tcPr>
          <w:p w14:paraId="650D0678" w14:textId="77777777" w:rsidR="00EE74FD" w:rsidRPr="008565A1" w:rsidRDefault="00EE74FD" w:rsidP="00CD3945">
            <w:pPr>
              <w:pStyle w:val="TableText0"/>
              <w:keepLines/>
              <w:jc w:val="center"/>
            </w:pPr>
            <w:r w:rsidRPr="008565A1">
              <w:t>51,317</w:t>
            </w:r>
          </w:p>
        </w:tc>
        <w:tc>
          <w:tcPr>
            <w:tcW w:w="823" w:type="pct"/>
            <w:tcBorders>
              <w:top w:val="nil"/>
              <w:left w:val="nil"/>
              <w:bottom w:val="single" w:sz="4" w:space="0" w:color="auto"/>
              <w:right w:val="single" w:sz="4" w:space="0" w:color="auto"/>
            </w:tcBorders>
            <w:shd w:val="clear" w:color="auto" w:fill="auto"/>
            <w:noWrap/>
            <w:vAlign w:val="center"/>
          </w:tcPr>
          <w:p w14:paraId="3FBE1112" w14:textId="77777777" w:rsidR="00EE74FD" w:rsidRPr="008565A1" w:rsidRDefault="00EE74FD" w:rsidP="00CD3945">
            <w:pPr>
              <w:pStyle w:val="TableText0"/>
              <w:keepLines/>
              <w:jc w:val="center"/>
            </w:pPr>
            <w:r w:rsidRPr="008565A1">
              <w:t>-25,486</w:t>
            </w:r>
          </w:p>
        </w:tc>
        <w:tc>
          <w:tcPr>
            <w:tcW w:w="822" w:type="pct"/>
            <w:tcBorders>
              <w:top w:val="nil"/>
              <w:left w:val="nil"/>
              <w:bottom w:val="single" w:sz="4" w:space="0" w:color="auto"/>
              <w:right w:val="single" w:sz="4" w:space="0" w:color="auto"/>
            </w:tcBorders>
            <w:shd w:val="clear" w:color="auto" w:fill="auto"/>
            <w:noWrap/>
            <w:vAlign w:val="center"/>
          </w:tcPr>
          <w:p w14:paraId="79A1B375" w14:textId="77777777" w:rsidR="00EE74FD" w:rsidRPr="008565A1" w:rsidRDefault="00EE74FD" w:rsidP="00CD3945">
            <w:pPr>
              <w:pStyle w:val="TableText0"/>
              <w:keepLines/>
              <w:jc w:val="center"/>
            </w:pPr>
            <w:r w:rsidRPr="008565A1">
              <w:t>100.0%</w:t>
            </w:r>
          </w:p>
        </w:tc>
      </w:tr>
      <w:tr w:rsidR="00EE74FD" w:rsidRPr="001611DC" w14:paraId="14793759"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685009BF" w14:textId="77777777" w:rsidR="00EE74FD" w:rsidRPr="001611DC" w:rsidRDefault="00EE74FD" w:rsidP="00CD3945">
            <w:pPr>
              <w:pStyle w:val="TableText0"/>
              <w:keepLines/>
              <w:ind w:firstLineChars="200" w:firstLine="400"/>
            </w:pPr>
            <w:r w:rsidRPr="001611DC">
              <w:t>RSV-related deaths</w:t>
            </w:r>
          </w:p>
        </w:tc>
        <w:tc>
          <w:tcPr>
            <w:tcW w:w="823" w:type="pct"/>
            <w:tcBorders>
              <w:top w:val="nil"/>
              <w:left w:val="nil"/>
              <w:bottom w:val="single" w:sz="4" w:space="0" w:color="auto"/>
              <w:right w:val="single" w:sz="4" w:space="0" w:color="auto"/>
            </w:tcBorders>
            <w:shd w:val="clear" w:color="auto" w:fill="auto"/>
            <w:noWrap/>
            <w:vAlign w:val="center"/>
          </w:tcPr>
          <w:p w14:paraId="6192C258" w14:textId="7AEC9269" w:rsidR="00EE74FD" w:rsidRPr="00EF2187" w:rsidRDefault="00EE74FD" w:rsidP="00CD3945">
            <w:pPr>
              <w:pStyle w:val="TableText0"/>
              <w:keepLines/>
              <w:jc w:val="center"/>
            </w:pPr>
            <w:r w:rsidRPr="00EF2187">
              <w:t>16,223</w:t>
            </w:r>
          </w:p>
        </w:tc>
        <w:tc>
          <w:tcPr>
            <w:tcW w:w="823" w:type="pct"/>
            <w:tcBorders>
              <w:top w:val="nil"/>
              <w:left w:val="nil"/>
              <w:bottom w:val="single" w:sz="4" w:space="0" w:color="auto"/>
              <w:right w:val="single" w:sz="4" w:space="0" w:color="auto"/>
            </w:tcBorders>
            <w:shd w:val="clear" w:color="auto" w:fill="auto"/>
            <w:noWrap/>
            <w:vAlign w:val="center"/>
          </w:tcPr>
          <w:p w14:paraId="5636A1A1" w14:textId="60B9D029" w:rsidR="00EE74FD" w:rsidRPr="00EF2187" w:rsidRDefault="00EE74FD" w:rsidP="00CD3945">
            <w:pPr>
              <w:pStyle w:val="TableText0"/>
              <w:keepLines/>
              <w:jc w:val="center"/>
            </w:pPr>
            <w:r w:rsidRPr="00EF2187">
              <w:t>35,448</w:t>
            </w:r>
          </w:p>
        </w:tc>
        <w:tc>
          <w:tcPr>
            <w:tcW w:w="823" w:type="pct"/>
            <w:tcBorders>
              <w:top w:val="nil"/>
              <w:left w:val="nil"/>
              <w:bottom w:val="single" w:sz="4" w:space="0" w:color="auto"/>
              <w:right w:val="single" w:sz="4" w:space="0" w:color="auto"/>
            </w:tcBorders>
            <w:shd w:val="clear" w:color="auto" w:fill="auto"/>
            <w:noWrap/>
            <w:vAlign w:val="center"/>
          </w:tcPr>
          <w:p w14:paraId="08E37A67" w14:textId="5373A536" w:rsidR="00EE74FD" w:rsidRPr="00EF2187" w:rsidRDefault="00EE74FD" w:rsidP="00CD3945">
            <w:pPr>
              <w:pStyle w:val="TableText0"/>
              <w:keepLines/>
              <w:jc w:val="center"/>
            </w:pPr>
            <w:r w:rsidRPr="00EF2187">
              <w:t>-19,225</w:t>
            </w:r>
          </w:p>
        </w:tc>
        <w:tc>
          <w:tcPr>
            <w:tcW w:w="822" w:type="pct"/>
            <w:tcBorders>
              <w:top w:val="nil"/>
              <w:left w:val="nil"/>
              <w:bottom w:val="single" w:sz="4" w:space="0" w:color="auto"/>
              <w:right w:val="single" w:sz="4" w:space="0" w:color="auto"/>
            </w:tcBorders>
            <w:shd w:val="clear" w:color="auto" w:fill="auto"/>
            <w:noWrap/>
            <w:vAlign w:val="center"/>
          </w:tcPr>
          <w:p w14:paraId="19DB7DE3" w14:textId="77777777" w:rsidR="00EE74FD" w:rsidRPr="00EF2187" w:rsidRDefault="00EE74FD" w:rsidP="00CD3945">
            <w:pPr>
              <w:pStyle w:val="TableText0"/>
              <w:keepLines/>
              <w:jc w:val="center"/>
            </w:pPr>
            <w:r w:rsidRPr="00EF2187">
              <w:t>75.4%</w:t>
            </w:r>
          </w:p>
        </w:tc>
      </w:tr>
      <w:tr w:rsidR="00EE74FD" w:rsidRPr="001611DC" w14:paraId="6F22E800"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094D088F" w14:textId="77777777" w:rsidR="00EE74FD" w:rsidRPr="001611DC" w:rsidRDefault="00EE74FD" w:rsidP="00CD3945">
            <w:pPr>
              <w:pStyle w:val="TableText0"/>
              <w:keepLines/>
              <w:ind w:firstLineChars="200" w:firstLine="400"/>
            </w:pPr>
            <w:r w:rsidRPr="001611DC">
              <w:t>Vaccine-related AEs</w:t>
            </w:r>
          </w:p>
        </w:tc>
        <w:tc>
          <w:tcPr>
            <w:tcW w:w="823" w:type="pct"/>
            <w:tcBorders>
              <w:top w:val="nil"/>
              <w:left w:val="nil"/>
              <w:bottom w:val="single" w:sz="4" w:space="0" w:color="auto"/>
              <w:right w:val="single" w:sz="4" w:space="0" w:color="auto"/>
            </w:tcBorders>
            <w:shd w:val="clear" w:color="auto" w:fill="auto"/>
            <w:noWrap/>
            <w:vAlign w:val="center"/>
          </w:tcPr>
          <w:p w14:paraId="6B4E0467" w14:textId="1695ED2C" w:rsidR="00EE74FD" w:rsidRPr="00EF2187" w:rsidRDefault="00EE74FD" w:rsidP="00CD3945">
            <w:pPr>
              <w:pStyle w:val="TableText0"/>
              <w:keepLines/>
              <w:jc w:val="center"/>
            </w:pPr>
            <w:r w:rsidRPr="00EF2187">
              <w:t>100</w:t>
            </w:r>
          </w:p>
        </w:tc>
        <w:tc>
          <w:tcPr>
            <w:tcW w:w="823" w:type="pct"/>
            <w:tcBorders>
              <w:top w:val="nil"/>
              <w:left w:val="nil"/>
              <w:bottom w:val="single" w:sz="4" w:space="0" w:color="auto"/>
              <w:right w:val="single" w:sz="4" w:space="0" w:color="auto"/>
            </w:tcBorders>
            <w:shd w:val="clear" w:color="auto" w:fill="auto"/>
            <w:noWrap/>
            <w:vAlign w:val="center"/>
          </w:tcPr>
          <w:p w14:paraId="2B0BD4F0" w14:textId="10B881AF" w:rsidR="00EE74FD" w:rsidRPr="00EF2187" w:rsidRDefault="00EE74FD" w:rsidP="00CD3945">
            <w:pPr>
              <w:pStyle w:val="TableText0"/>
              <w:keepLines/>
              <w:jc w:val="center"/>
            </w:pPr>
            <w:r w:rsidRPr="00EF2187">
              <w:t>0</w:t>
            </w:r>
          </w:p>
        </w:tc>
        <w:tc>
          <w:tcPr>
            <w:tcW w:w="823" w:type="pct"/>
            <w:tcBorders>
              <w:top w:val="nil"/>
              <w:left w:val="nil"/>
              <w:bottom w:val="single" w:sz="4" w:space="0" w:color="auto"/>
              <w:right w:val="single" w:sz="4" w:space="0" w:color="auto"/>
            </w:tcBorders>
            <w:shd w:val="clear" w:color="auto" w:fill="auto"/>
            <w:noWrap/>
            <w:vAlign w:val="center"/>
          </w:tcPr>
          <w:p w14:paraId="7FF4B5DA" w14:textId="1153E21B" w:rsidR="00EE74FD" w:rsidRPr="00EF2187" w:rsidRDefault="00EE74FD" w:rsidP="00CD3945">
            <w:pPr>
              <w:pStyle w:val="TableText0"/>
              <w:keepLines/>
              <w:jc w:val="center"/>
            </w:pPr>
            <w:r w:rsidRPr="00EF2187">
              <w:t>100</w:t>
            </w:r>
          </w:p>
        </w:tc>
        <w:tc>
          <w:tcPr>
            <w:tcW w:w="822" w:type="pct"/>
            <w:tcBorders>
              <w:top w:val="nil"/>
              <w:left w:val="nil"/>
              <w:bottom w:val="single" w:sz="4" w:space="0" w:color="auto"/>
              <w:right w:val="single" w:sz="4" w:space="0" w:color="auto"/>
            </w:tcBorders>
            <w:shd w:val="clear" w:color="auto" w:fill="auto"/>
            <w:noWrap/>
            <w:vAlign w:val="center"/>
          </w:tcPr>
          <w:p w14:paraId="69F17503" w14:textId="77777777" w:rsidR="00EE74FD" w:rsidRPr="00EF2187" w:rsidRDefault="00EE74FD" w:rsidP="00CD3945">
            <w:pPr>
              <w:pStyle w:val="TableText0"/>
              <w:keepLines/>
              <w:jc w:val="center"/>
            </w:pPr>
            <w:r w:rsidRPr="00EF2187">
              <w:t>-0.4%</w:t>
            </w:r>
          </w:p>
        </w:tc>
      </w:tr>
      <w:tr w:rsidR="00EE74FD" w:rsidRPr="001611DC" w14:paraId="2C343CC2"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292B4821" w14:textId="77777777" w:rsidR="00EE74FD" w:rsidRPr="001611DC" w:rsidRDefault="00EE74FD" w:rsidP="00CD3945">
            <w:pPr>
              <w:pStyle w:val="TableText0"/>
              <w:keepLines/>
              <w:ind w:firstLineChars="200" w:firstLine="400"/>
            </w:pPr>
            <w:r w:rsidRPr="001611DC">
              <w:t>RSV-URTD cases</w:t>
            </w:r>
          </w:p>
        </w:tc>
        <w:tc>
          <w:tcPr>
            <w:tcW w:w="823" w:type="pct"/>
            <w:tcBorders>
              <w:top w:val="nil"/>
              <w:left w:val="nil"/>
              <w:bottom w:val="single" w:sz="4" w:space="0" w:color="auto"/>
              <w:right w:val="single" w:sz="4" w:space="0" w:color="auto"/>
            </w:tcBorders>
            <w:shd w:val="clear" w:color="auto" w:fill="auto"/>
            <w:noWrap/>
            <w:vAlign w:val="center"/>
          </w:tcPr>
          <w:p w14:paraId="7C7AE4D7" w14:textId="5A15DCE1" w:rsidR="00EE74FD" w:rsidRPr="00EF2187" w:rsidRDefault="00EE74FD" w:rsidP="00CD3945">
            <w:pPr>
              <w:pStyle w:val="TableText0"/>
              <w:keepLines/>
              <w:jc w:val="center"/>
            </w:pPr>
            <w:r w:rsidRPr="00EF2187">
              <w:t>5,441</w:t>
            </w:r>
          </w:p>
        </w:tc>
        <w:tc>
          <w:tcPr>
            <w:tcW w:w="823" w:type="pct"/>
            <w:tcBorders>
              <w:top w:val="nil"/>
              <w:left w:val="nil"/>
              <w:bottom w:val="single" w:sz="4" w:space="0" w:color="auto"/>
              <w:right w:val="single" w:sz="4" w:space="0" w:color="auto"/>
            </w:tcBorders>
            <w:shd w:val="clear" w:color="auto" w:fill="auto"/>
            <w:noWrap/>
            <w:vAlign w:val="center"/>
          </w:tcPr>
          <w:p w14:paraId="11A9F78E" w14:textId="13C790FD" w:rsidR="00EE74FD" w:rsidRPr="00EF2187" w:rsidRDefault="00EE74FD" w:rsidP="00CD3945">
            <w:pPr>
              <w:pStyle w:val="TableText0"/>
              <w:keepLines/>
              <w:jc w:val="center"/>
            </w:pPr>
            <w:r w:rsidRPr="00EF2187">
              <w:t>7,161</w:t>
            </w:r>
          </w:p>
        </w:tc>
        <w:tc>
          <w:tcPr>
            <w:tcW w:w="823" w:type="pct"/>
            <w:tcBorders>
              <w:top w:val="nil"/>
              <w:left w:val="nil"/>
              <w:bottom w:val="single" w:sz="4" w:space="0" w:color="auto"/>
              <w:right w:val="single" w:sz="4" w:space="0" w:color="auto"/>
            </w:tcBorders>
            <w:shd w:val="clear" w:color="auto" w:fill="auto"/>
            <w:noWrap/>
            <w:vAlign w:val="center"/>
          </w:tcPr>
          <w:p w14:paraId="408AC858" w14:textId="6A11E6F1" w:rsidR="00EE74FD" w:rsidRPr="00EF2187" w:rsidRDefault="00EE74FD" w:rsidP="00CD3945">
            <w:pPr>
              <w:pStyle w:val="TableText0"/>
              <w:keepLines/>
              <w:jc w:val="center"/>
            </w:pPr>
            <w:r w:rsidRPr="00EF2187">
              <w:t>-1,720</w:t>
            </w:r>
          </w:p>
        </w:tc>
        <w:tc>
          <w:tcPr>
            <w:tcW w:w="822" w:type="pct"/>
            <w:tcBorders>
              <w:top w:val="nil"/>
              <w:left w:val="nil"/>
              <w:bottom w:val="single" w:sz="4" w:space="0" w:color="auto"/>
              <w:right w:val="single" w:sz="4" w:space="0" w:color="auto"/>
            </w:tcBorders>
            <w:shd w:val="clear" w:color="auto" w:fill="auto"/>
            <w:noWrap/>
            <w:vAlign w:val="center"/>
          </w:tcPr>
          <w:p w14:paraId="2734B5EE" w14:textId="77777777" w:rsidR="00EE74FD" w:rsidRPr="00EF2187" w:rsidRDefault="00EE74FD" w:rsidP="00CD3945">
            <w:pPr>
              <w:pStyle w:val="TableText0"/>
              <w:keepLines/>
              <w:jc w:val="center"/>
            </w:pPr>
            <w:r w:rsidRPr="00EF2187">
              <w:t>6.7%</w:t>
            </w:r>
          </w:p>
        </w:tc>
      </w:tr>
      <w:tr w:rsidR="00EE74FD" w:rsidRPr="001611DC" w14:paraId="064C1B5D" w14:textId="77777777" w:rsidTr="00ED36A0">
        <w:trPr>
          <w:trHeight w:val="20"/>
        </w:trPr>
        <w:tc>
          <w:tcPr>
            <w:tcW w:w="1710" w:type="pct"/>
            <w:tcBorders>
              <w:top w:val="nil"/>
              <w:left w:val="single" w:sz="4" w:space="0" w:color="auto"/>
              <w:bottom w:val="single" w:sz="4" w:space="0" w:color="auto"/>
              <w:right w:val="single" w:sz="4" w:space="0" w:color="auto"/>
            </w:tcBorders>
            <w:shd w:val="clear" w:color="auto" w:fill="auto"/>
            <w:noWrap/>
            <w:vAlign w:val="center"/>
            <w:hideMark/>
          </w:tcPr>
          <w:p w14:paraId="6B0BBB63" w14:textId="77777777" w:rsidR="00EE74FD" w:rsidRPr="001611DC" w:rsidRDefault="00EE74FD" w:rsidP="00CD3945">
            <w:pPr>
              <w:pStyle w:val="TableText0"/>
              <w:keepLines/>
              <w:ind w:firstLineChars="200" w:firstLine="400"/>
            </w:pPr>
            <w:r w:rsidRPr="001611DC">
              <w:t>RSV-LRTD cases</w:t>
            </w:r>
          </w:p>
        </w:tc>
        <w:tc>
          <w:tcPr>
            <w:tcW w:w="823" w:type="pct"/>
            <w:tcBorders>
              <w:top w:val="nil"/>
              <w:left w:val="nil"/>
              <w:bottom w:val="single" w:sz="4" w:space="0" w:color="auto"/>
              <w:right w:val="single" w:sz="4" w:space="0" w:color="auto"/>
            </w:tcBorders>
            <w:shd w:val="clear" w:color="auto" w:fill="auto"/>
            <w:noWrap/>
            <w:vAlign w:val="center"/>
          </w:tcPr>
          <w:p w14:paraId="3C20A7CC" w14:textId="4BD58BC2" w:rsidR="00EE74FD" w:rsidRPr="00EF2187" w:rsidRDefault="00EE74FD" w:rsidP="00CD3945">
            <w:pPr>
              <w:pStyle w:val="TableText0"/>
              <w:keepLines/>
              <w:jc w:val="center"/>
            </w:pPr>
            <w:r w:rsidRPr="00EF2187">
              <w:t>4,066</w:t>
            </w:r>
          </w:p>
        </w:tc>
        <w:tc>
          <w:tcPr>
            <w:tcW w:w="823" w:type="pct"/>
            <w:tcBorders>
              <w:top w:val="nil"/>
              <w:left w:val="nil"/>
              <w:bottom w:val="single" w:sz="4" w:space="0" w:color="auto"/>
              <w:right w:val="single" w:sz="4" w:space="0" w:color="auto"/>
            </w:tcBorders>
            <w:shd w:val="clear" w:color="auto" w:fill="auto"/>
            <w:noWrap/>
            <w:vAlign w:val="center"/>
          </w:tcPr>
          <w:p w14:paraId="4BD20710" w14:textId="5A5F7402" w:rsidR="00EE74FD" w:rsidRPr="00EF2187" w:rsidRDefault="00EE74FD" w:rsidP="00CD3945">
            <w:pPr>
              <w:pStyle w:val="TableText0"/>
              <w:keepLines/>
              <w:jc w:val="center"/>
            </w:pPr>
            <w:r w:rsidRPr="00EF2187">
              <w:t>8,707</w:t>
            </w:r>
          </w:p>
        </w:tc>
        <w:tc>
          <w:tcPr>
            <w:tcW w:w="823" w:type="pct"/>
            <w:tcBorders>
              <w:top w:val="nil"/>
              <w:left w:val="nil"/>
              <w:bottom w:val="single" w:sz="4" w:space="0" w:color="auto"/>
              <w:right w:val="single" w:sz="4" w:space="0" w:color="auto"/>
            </w:tcBorders>
            <w:shd w:val="clear" w:color="auto" w:fill="auto"/>
            <w:noWrap/>
            <w:vAlign w:val="center"/>
          </w:tcPr>
          <w:p w14:paraId="5365D55E" w14:textId="1AF24519" w:rsidR="00EE74FD" w:rsidRPr="00EF2187" w:rsidRDefault="00EE74FD" w:rsidP="00CD3945">
            <w:pPr>
              <w:pStyle w:val="TableText0"/>
              <w:keepLines/>
              <w:jc w:val="center"/>
            </w:pPr>
            <w:r w:rsidRPr="00EF2187">
              <w:t>-4,641</w:t>
            </w:r>
          </w:p>
        </w:tc>
        <w:tc>
          <w:tcPr>
            <w:tcW w:w="822" w:type="pct"/>
            <w:tcBorders>
              <w:top w:val="nil"/>
              <w:left w:val="nil"/>
              <w:bottom w:val="single" w:sz="4" w:space="0" w:color="auto"/>
              <w:right w:val="single" w:sz="4" w:space="0" w:color="auto"/>
            </w:tcBorders>
            <w:shd w:val="clear" w:color="auto" w:fill="auto"/>
            <w:noWrap/>
            <w:vAlign w:val="center"/>
          </w:tcPr>
          <w:p w14:paraId="04B747DA" w14:textId="77777777" w:rsidR="00EE74FD" w:rsidRPr="00EF2187" w:rsidRDefault="00EE74FD" w:rsidP="00CD3945">
            <w:pPr>
              <w:pStyle w:val="TableText0"/>
              <w:keepLines/>
              <w:jc w:val="center"/>
            </w:pPr>
            <w:r w:rsidRPr="00EF2187">
              <w:t>18.2%</w:t>
            </w:r>
          </w:p>
        </w:tc>
      </w:tr>
    </w:tbl>
    <w:p w14:paraId="30C275DC" w14:textId="5B5197C9" w:rsidR="00EE74FD" w:rsidRPr="001611DC" w:rsidRDefault="00EE74FD" w:rsidP="00CD3945">
      <w:pPr>
        <w:pStyle w:val="FooterTableFigure"/>
        <w:keepNext/>
        <w:keepLines/>
        <w:rPr>
          <w:rFonts w:eastAsiaTheme="majorEastAsia"/>
        </w:rPr>
      </w:pPr>
      <w:r w:rsidRPr="001611DC">
        <w:rPr>
          <w:rFonts w:eastAsiaTheme="majorEastAsia"/>
        </w:rPr>
        <w:t>Source: Table 3-58of the submission.</w:t>
      </w:r>
    </w:p>
    <w:p w14:paraId="2F303FCE" w14:textId="77777777" w:rsidR="00EE74FD" w:rsidRDefault="00EE74FD" w:rsidP="00CD3945">
      <w:pPr>
        <w:pStyle w:val="FooterTableFigure"/>
        <w:keepNext/>
        <w:keepLines/>
        <w:rPr>
          <w:rFonts w:eastAsiaTheme="majorEastAsia"/>
        </w:rPr>
      </w:pPr>
      <w:r w:rsidRPr="001611DC">
        <w:rPr>
          <w:rFonts w:eastAsiaTheme="majorEastAsia"/>
        </w:rPr>
        <w:t xml:space="preserve">AE = adverse event; ARI = acute respiratory infection; LRTD = lower respiratory tract disease; LY = life years; QALY = quality-adjusted life years; RSV= respiratory syncytial virus; </w:t>
      </w:r>
      <w:r w:rsidRPr="001611DC">
        <w:t>RSVPreF3 OA= RSV Pre-fusion protein 3 older adult;</w:t>
      </w:r>
      <w:r w:rsidRPr="001611DC">
        <w:rPr>
          <w:rFonts w:eastAsiaTheme="majorEastAsia"/>
        </w:rPr>
        <w:t xml:space="preserve"> URTD = upper respiratory tract disease; YOA = years of age.</w:t>
      </w:r>
    </w:p>
    <w:p w14:paraId="690C953B" w14:textId="77777777" w:rsidR="00EE74FD" w:rsidRPr="00E85F69" w:rsidRDefault="00EE74FD" w:rsidP="00CD3945">
      <w:pPr>
        <w:pStyle w:val="FooterTableFigure"/>
        <w:keepNext/>
        <w:keepLines/>
        <w:rPr>
          <w:rFonts w:eastAsiaTheme="majorEastAsia"/>
          <w:i/>
          <w:iCs/>
        </w:rPr>
      </w:pPr>
      <w:r w:rsidRPr="00E85F69">
        <w:rPr>
          <w:rFonts w:eastAsiaTheme="majorEastAsia"/>
          <w:i/>
          <w:iCs/>
        </w:rPr>
        <w:t>The redacted values correspond to the following ranges:</w:t>
      </w:r>
    </w:p>
    <w:p w14:paraId="6C03B230" w14:textId="504B876E" w:rsidR="00E15BA7" w:rsidRPr="00CD3945" w:rsidRDefault="00EE74FD" w:rsidP="00CD3945">
      <w:pPr>
        <w:pStyle w:val="FooterTableFigure"/>
        <w:keepNext/>
        <w:keepLines/>
        <w:rPr>
          <w:rFonts w:eastAsiaTheme="majorEastAsia"/>
          <w:i/>
          <w:iCs/>
        </w:rPr>
      </w:pPr>
      <w:r w:rsidRPr="00CD3945">
        <w:rPr>
          <w:rFonts w:eastAsiaTheme="majorEastAsia"/>
          <w:i/>
          <w:iCs/>
        </w:rPr>
        <w:t>1 6,000,000 to &lt; 7,000,000</w:t>
      </w:r>
    </w:p>
    <w:p w14:paraId="3EFB6C5A" w14:textId="77777777" w:rsidR="00CD3945" w:rsidRPr="00CD3945" w:rsidRDefault="00CD3945" w:rsidP="00CD3945">
      <w:pPr>
        <w:pStyle w:val="FooterTableFigure"/>
        <w:keepNext/>
        <w:keepLines/>
        <w:rPr>
          <w:rFonts w:eastAsiaTheme="majorEastAsia"/>
          <w:i/>
          <w:iCs/>
        </w:rPr>
      </w:pPr>
      <w:r w:rsidRPr="00CD3945">
        <w:rPr>
          <w:rFonts w:eastAsiaTheme="majorEastAsia"/>
          <w:i/>
          <w:iCs/>
        </w:rPr>
        <w:t>2 &lt; 500</w:t>
      </w:r>
    </w:p>
    <w:p w14:paraId="4E788319" w14:textId="77777777" w:rsidR="00CD3945" w:rsidRPr="00CD3945" w:rsidRDefault="00CD3945" w:rsidP="00CD3945">
      <w:pPr>
        <w:pStyle w:val="FooterTableFigure"/>
        <w:keepNext/>
        <w:keepLines/>
        <w:rPr>
          <w:rFonts w:eastAsiaTheme="majorEastAsia"/>
          <w:i/>
          <w:iCs/>
        </w:rPr>
      </w:pPr>
      <w:r w:rsidRPr="00CD3945">
        <w:rPr>
          <w:rFonts w:eastAsiaTheme="majorEastAsia"/>
          <w:i/>
          <w:iCs/>
        </w:rPr>
        <w:t>3 600,000 to &lt; 700,000</w:t>
      </w:r>
    </w:p>
    <w:p w14:paraId="004A3E16" w14:textId="77777777" w:rsidR="00CD3945" w:rsidRPr="00CD3945" w:rsidRDefault="00CD3945" w:rsidP="00CD3945">
      <w:pPr>
        <w:pStyle w:val="FooterTableFigure"/>
        <w:keepNext/>
        <w:keepLines/>
        <w:rPr>
          <w:rFonts w:eastAsiaTheme="majorEastAsia"/>
          <w:i/>
          <w:iCs/>
        </w:rPr>
      </w:pPr>
      <w:r w:rsidRPr="00CD3945">
        <w:rPr>
          <w:rFonts w:eastAsiaTheme="majorEastAsia"/>
          <w:i/>
          <w:iCs/>
        </w:rPr>
        <w:t>4 1,000,000 to &lt; 2,000,000</w:t>
      </w:r>
    </w:p>
    <w:p w14:paraId="3B3C89F7" w14:textId="77777777" w:rsidR="00CD3945" w:rsidRPr="00CD3945" w:rsidRDefault="00CD3945" w:rsidP="00CD3945">
      <w:pPr>
        <w:pStyle w:val="FooterTableFigure"/>
        <w:keepNext/>
        <w:keepLines/>
        <w:rPr>
          <w:rFonts w:eastAsiaTheme="majorEastAsia"/>
          <w:i/>
          <w:iCs/>
        </w:rPr>
      </w:pPr>
      <w:r w:rsidRPr="00CD3945">
        <w:rPr>
          <w:rFonts w:eastAsiaTheme="majorEastAsia"/>
          <w:i/>
          <w:iCs/>
        </w:rPr>
        <w:t>5 400,000 to &lt; 500,000</w:t>
      </w:r>
    </w:p>
    <w:p w14:paraId="1C859683" w14:textId="77777777" w:rsidR="00CD3945" w:rsidRPr="00CD3945" w:rsidRDefault="00CD3945" w:rsidP="00CD3945">
      <w:pPr>
        <w:pStyle w:val="FooterTableFigure"/>
        <w:keepNext/>
        <w:keepLines/>
        <w:rPr>
          <w:rFonts w:eastAsiaTheme="majorEastAsia"/>
          <w:i/>
          <w:iCs/>
        </w:rPr>
      </w:pPr>
      <w:r w:rsidRPr="00CD3945">
        <w:rPr>
          <w:rFonts w:eastAsiaTheme="majorEastAsia"/>
          <w:i/>
          <w:iCs/>
        </w:rPr>
        <w:t>6 500,000 to &lt; 600,000</w:t>
      </w:r>
    </w:p>
    <w:p w14:paraId="4BEBCFEB" w14:textId="77777777" w:rsidR="00CD3945" w:rsidRPr="00CD3945" w:rsidRDefault="00CD3945" w:rsidP="00CD3945">
      <w:pPr>
        <w:pStyle w:val="FooterTableFigure"/>
        <w:keepNext/>
        <w:keepLines/>
        <w:rPr>
          <w:rFonts w:eastAsiaTheme="majorEastAsia"/>
          <w:i/>
          <w:iCs/>
        </w:rPr>
      </w:pPr>
      <w:r w:rsidRPr="00CD3945">
        <w:rPr>
          <w:rFonts w:eastAsiaTheme="majorEastAsia"/>
          <w:i/>
          <w:iCs/>
        </w:rPr>
        <w:t>7 100,000 to &lt; 200,000</w:t>
      </w:r>
    </w:p>
    <w:p w14:paraId="30944A48" w14:textId="77777777" w:rsidR="00CD3945" w:rsidRPr="00CD3945" w:rsidRDefault="00CD3945" w:rsidP="00CD3945">
      <w:pPr>
        <w:pStyle w:val="FooterTableFigure"/>
        <w:keepNext/>
        <w:keepLines/>
        <w:rPr>
          <w:rFonts w:eastAsiaTheme="majorEastAsia"/>
          <w:i/>
          <w:iCs/>
        </w:rPr>
      </w:pPr>
      <w:r w:rsidRPr="00CD3945">
        <w:rPr>
          <w:rFonts w:eastAsiaTheme="majorEastAsia"/>
          <w:i/>
          <w:iCs/>
        </w:rPr>
        <w:t>8 20,000 to &lt; 30,000</w:t>
      </w:r>
    </w:p>
    <w:p w14:paraId="43F272D0" w14:textId="77777777" w:rsidR="00CD3945" w:rsidRPr="00CD3945" w:rsidRDefault="00CD3945" w:rsidP="00CD3945">
      <w:pPr>
        <w:pStyle w:val="FooterTableFigure"/>
        <w:keepNext/>
        <w:keepLines/>
        <w:rPr>
          <w:rFonts w:eastAsiaTheme="majorEastAsia"/>
          <w:i/>
          <w:iCs/>
        </w:rPr>
      </w:pPr>
      <w:r w:rsidRPr="00CD3945">
        <w:rPr>
          <w:rFonts w:eastAsiaTheme="majorEastAsia"/>
          <w:i/>
          <w:iCs/>
        </w:rPr>
        <w:t>9 40,000 to &lt; 50,000</w:t>
      </w:r>
    </w:p>
    <w:p w14:paraId="472B7A6A" w14:textId="77777777" w:rsidR="00CD3945" w:rsidRPr="00CD3945" w:rsidRDefault="00CD3945" w:rsidP="00CD3945">
      <w:pPr>
        <w:pStyle w:val="FooterTableFigure"/>
        <w:keepNext/>
        <w:keepLines/>
        <w:rPr>
          <w:rFonts w:eastAsiaTheme="majorEastAsia"/>
          <w:i/>
          <w:iCs/>
        </w:rPr>
      </w:pPr>
      <w:r w:rsidRPr="00CD3945">
        <w:rPr>
          <w:rFonts w:eastAsiaTheme="majorEastAsia"/>
          <w:i/>
          <w:iCs/>
        </w:rPr>
        <w:t>10 200,000 to &lt; 300,000</w:t>
      </w:r>
    </w:p>
    <w:p w14:paraId="6A042114" w14:textId="77777777" w:rsidR="00CD3945" w:rsidRPr="00CD3945" w:rsidRDefault="00CD3945" w:rsidP="00CD3945">
      <w:pPr>
        <w:pStyle w:val="FooterTableFigure"/>
        <w:keepNext/>
        <w:keepLines/>
        <w:rPr>
          <w:rFonts w:eastAsiaTheme="majorEastAsia"/>
          <w:i/>
          <w:iCs/>
        </w:rPr>
      </w:pPr>
      <w:r w:rsidRPr="00CD3945">
        <w:rPr>
          <w:rFonts w:eastAsiaTheme="majorEastAsia"/>
          <w:i/>
          <w:iCs/>
        </w:rPr>
        <w:t>11 30,000 to &lt; 40,000</w:t>
      </w:r>
    </w:p>
    <w:p w14:paraId="3B75DDAC" w14:textId="77777777" w:rsidR="00CD3945" w:rsidRPr="00CD3945" w:rsidRDefault="00CD3945" w:rsidP="00CD3945">
      <w:pPr>
        <w:pStyle w:val="FooterTableFigure"/>
        <w:keepNext/>
        <w:keepLines/>
        <w:rPr>
          <w:rFonts w:eastAsiaTheme="majorEastAsia"/>
          <w:i/>
          <w:iCs/>
        </w:rPr>
      </w:pPr>
      <w:r w:rsidRPr="00CD3945">
        <w:rPr>
          <w:rFonts w:eastAsiaTheme="majorEastAsia"/>
          <w:i/>
          <w:iCs/>
        </w:rPr>
        <w:t>12 10,000 to &lt; 20,000</w:t>
      </w:r>
    </w:p>
    <w:p w14:paraId="33C5EE6B" w14:textId="77777777" w:rsidR="00CD3945" w:rsidRPr="00CD3945" w:rsidRDefault="00CD3945" w:rsidP="00CD3945">
      <w:pPr>
        <w:pStyle w:val="FooterTableFigure"/>
        <w:keepNext/>
        <w:keepLines/>
        <w:rPr>
          <w:rFonts w:eastAsiaTheme="majorEastAsia"/>
          <w:i/>
          <w:iCs/>
        </w:rPr>
      </w:pPr>
      <w:r w:rsidRPr="00CD3945">
        <w:rPr>
          <w:rFonts w:eastAsiaTheme="majorEastAsia"/>
          <w:i/>
          <w:iCs/>
        </w:rPr>
        <w:t>13 500 to &lt; 5,000</w:t>
      </w:r>
    </w:p>
    <w:p w14:paraId="430C03D2" w14:textId="3D6826C8" w:rsidR="00CD3945" w:rsidRPr="00E85F69" w:rsidRDefault="00CD3945" w:rsidP="00517CA1">
      <w:pPr>
        <w:pStyle w:val="FooterTableFigure"/>
        <w:rPr>
          <w:rFonts w:eastAsiaTheme="majorEastAsia"/>
          <w:i/>
          <w:iCs/>
        </w:rPr>
      </w:pPr>
      <w:r w:rsidRPr="00CD3945">
        <w:rPr>
          <w:rFonts w:eastAsiaTheme="majorEastAsia"/>
          <w:i/>
          <w:iCs/>
        </w:rPr>
        <w:t>14 5,000 to &lt; 10,000</w:t>
      </w:r>
    </w:p>
    <w:p w14:paraId="0902820C" w14:textId="4921D0FB" w:rsidR="002E6F4F" w:rsidRPr="001611DC" w:rsidRDefault="002E6F4F" w:rsidP="002E6F4F">
      <w:pPr>
        <w:pStyle w:val="3-BodyText"/>
        <w:rPr>
          <w:rFonts w:eastAsiaTheme="majorEastAsia"/>
        </w:rPr>
      </w:pPr>
      <w:r w:rsidRPr="001611DC">
        <w:rPr>
          <w:rFonts w:cs="Calibri"/>
          <w:iCs/>
        </w:rPr>
        <w:t>QALYs lost</w:t>
      </w:r>
      <w:r w:rsidRPr="001611DC">
        <w:rPr>
          <w:iCs/>
        </w:rPr>
        <w:t xml:space="preserve"> in the </w:t>
      </w:r>
      <w:r w:rsidR="00E2719A" w:rsidRPr="001611DC">
        <w:rPr>
          <w:iCs/>
        </w:rPr>
        <w:t>≥</w:t>
      </w:r>
      <w:r w:rsidRPr="001611DC">
        <w:rPr>
          <w:iCs/>
        </w:rPr>
        <w:t>60 YOA population</w:t>
      </w:r>
      <w:r w:rsidRPr="001611DC">
        <w:t xml:space="preserve"> </w:t>
      </w:r>
      <w:r w:rsidRPr="001611DC">
        <w:rPr>
          <w:rFonts w:cs="Calibri"/>
          <w:iCs/>
        </w:rPr>
        <w:t>were driven by RSV-related deaths (</w:t>
      </w:r>
      <w:r w:rsidRPr="00EC6E69">
        <w:rPr>
          <w:rFonts w:cs="Calibri"/>
          <w:iCs/>
        </w:rPr>
        <w:t>75.4</w:t>
      </w:r>
      <w:r w:rsidRPr="00444ECB">
        <w:rPr>
          <w:rFonts w:cs="Calibri"/>
          <w:iCs/>
        </w:rPr>
        <w:t>%),</w:t>
      </w:r>
      <w:r w:rsidRPr="001611DC">
        <w:rPr>
          <w:rFonts w:cs="Calibri"/>
          <w:iCs/>
        </w:rPr>
        <w:t xml:space="preserve"> which were estimated using baseline utility and extrapolated over a lifetime time horizon.</w:t>
      </w:r>
    </w:p>
    <w:p w14:paraId="4043BBEF" w14:textId="2703A8F4" w:rsidR="002E6F4F" w:rsidRPr="001611DC" w:rsidRDefault="002E6F4F" w:rsidP="002E6F4F">
      <w:pPr>
        <w:pStyle w:val="3-BodyText"/>
        <w:rPr>
          <w:rFonts w:eastAsiaTheme="majorEastAsia"/>
        </w:rPr>
      </w:pPr>
      <w:r w:rsidRPr="001611DC">
        <w:rPr>
          <w:rFonts w:cs="Calibri"/>
        </w:rPr>
        <w:t xml:space="preserve">Disaggregated discounted health outcomes presented by the submission for the </w:t>
      </w:r>
      <w:r w:rsidR="00E2719A" w:rsidRPr="001611DC">
        <w:rPr>
          <w:rFonts w:cs="Calibri"/>
        </w:rPr>
        <w:t>≥</w:t>
      </w:r>
      <w:r w:rsidRPr="001611DC">
        <w:rPr>
          <w:rFonts w:cs="Calibri"/>
        </w:rPr>
        <w:t xml:space="preserve">75 YOA </w:t>
      </w:r>
      <w:r w:rsidRPr="001611DC">
        <w:t xml:space="preserve">population </w:t>
      </w:r>
      <w:r w:rsidRPr="001611DC">
        <w:rPr>
          <w:rFonts w:cs="Calibri"/>
        </w:rPr>
        <w:t xml:space="preserve">are presented in </w:t>
      </w:r>
      <w:r w:rsidRPr="001611DC">
        <w:rPr>
          <w:rFonts w:cs="Calibri"/>
        </w:rPr>
        <w:fldChar w:fldCharType="begin" w:fldLock="1"/>
      </w:r>
      <w:r w:rsidRPr="001611DC">
        <w:rPr>
          <w:rFonts w:cs="Calibri"/>
        </w:rPr>
        <w:instrText xml:space="preserve"> REF _Ref165472718 \h  \* MERGEFORMAT </w:instrText>
      </w:r>
      <w:r w:rsidRPr="001611DC">
        <w:rPr>
          <w:rFonts w:cs="Calibri"/>
        </w:rPr>
      </w:r>
      <w:r w:rsidRPr="001611DC">
        <w:rPr>
          <w:rFonts w:cs="Calibri"/>
        </w:rPr>
        <w:fldChar w:fldCharType="separate"/>
      </w:r>
      <w:r w:rsidR="00927933" w:rsidRPr="001611DC">
        <w:t>Table 23</w:t>
      </w:r>
      <w:r w:rsidRPr="001611DC">
        <w:rPr>
          <w:rFonts w:cs="Calibri"/>
        </w:rPr>
        <w:fldChar w:fldCharType="end"/>
      </w:r>
      <w:r w:rsidRPr="001611DC">
        <w:rPr>
          <w:rFonts w:cs="Calibri"/>
        </w:rPr>
        <w:t>.</w:t>
      </w:r>
    </w:p>
    <w:p w14:paraId="2E1AC87F" w14:textId="77777777" w:rsidR="00BB4C7A" w:rsidRPr="001611DC" w:rsidRDefault="00BB4C7A" w:rsidP="002E6F4F">
      <w:pPr>
        <w:pStyle w:val="TableFigureHeading"/>
        <w:rPr>
          <w:rStyle w:val="CommentReference"/>
          <w:b/>
          <w:szCs w:val="24"/>
        </w:rPr>
      </w:pPr>
      <w:bookmarkStart w:id="136" w:name="_Ref165472718"/>
      <w:r w:rsidRPr="001611DC">
        <w:lastRenderedPageBreak/>
        <w:t xml:space="preserve">Table </w:t>
      </w:r>
      <w:r w:rsidRPr="001611DC">
        <w:fldChar w:fldCharType="begin" w:fldLock="1"/>
      </w:r>
      <w:r w:rsidRPr="001611DC">
        <w:instrText xml:space="preserve"> SEQ Table \* ARABIC </w:instrText>
      </w:r>
      <w:r w:rsidRPr="001611DC">
        <w:fldChar w:fldCharType="separate"/>
      </w:r>
      <w:r w:rsidRPr="001611DC">
        <w:t>23</w:t>
      </w:r>
      <w:r w:rsidRPr="001611DC">
        <w:fldChar w:fldCharType="end"/>
      </w:r>
      <w:bookmarkEnd w:id="136"/>
      <w:r w:rsidRPr="001611DC">
        <w:t xml:space="preserve">: </w:t>
      </w:r>
      <w:r w:rsidRPr="001611DC">
        <w:rPr>
          <w:rStyle w:val="CommentReference"/>
          <w:b/>
          <w:szCs w:val="24"/>
        </w:rPr>
        <w:t>Disaggregated summary of health outcomes included in the economic evaluation</w:t>
      </w:r>
      <w:r w:rsidRPr="001611DC">
        <w:rPr>
          <w:rStyle w:val="Heading2Char"/>
          <w:b/>
          <w:i w:val="0"/>
          <w:szCs w:val="24"/>
        </w:rPr>
        <w:t xml:space="preserve"> </w:t>
      </w:r>
      <w:r w:rsidRPr="001611DC">
        <w:rPr>
          <w:rStyle w:val="CommentReference"/>
          <w:b/>
          <w:szCs w:val="24"/>
        </w:rPr>
        <w:t>for adults ≥75 YOA (discounted)</w:t>
      </w:r>
    </w:p>
    <w:tbl>
      <w:tblPr>
        <w:tblW w:w="5000" w:type="pct"/>
        <w:tblLook w:val="04A0" w:firstRow="1" w:lastRow="0" w:firstColumn="1" w:lastColumn="0" w:noHBand="0" w:noVBand="1"/>
      </w:tblPr>
      <w:tblGrid>
        <w:gridCol w:w="3083"/>
        <w:gridCol w:w="1484"/>
        <w:gridCol w:w="1484"/>
        <w:gridCol w:w="1484"/>
        <w:gridCol w:w="1482"/>
      </w:tblGrid>
      <w:tr w:rsidR="00BB4C7A" w:rsidRPr="001611DC" w14:paraId="629F6167" w14:textId="77777777" w:rsidTr="00ED36A0">
        <w:trPr>
          <w:trHeight w:val="20"/>
          <w:tblHeader/>
        </w:trPr>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A6ACE" w14:textId="77777777" w:rsidR="00BB4C7A" w:rsidRPr="001611DC" w:rsidRDefault="00BB4C7A" w:rsidP="00ED36A0">
            <w:pPr>
              <w:pStyle w:val="TableText0"/>
              <w:jc w:val="center"/>
              <w:rPr>
                <w:b/>
              </w:rPr>
            </w:pPr>
            <w:r w:rsidRPr="001611DC">
              <w:rPr>
                <w:b/>
              </w:rPr>
              <w:t>Estimate</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5D30434A" w14:textId="77777777" w:rsidR="00BB4C7A" w:rsidRPr="001611DC" w:rsidRDefault="00BB4C7A" w:rsidP="00ED36A0">
            <w:pPr>
              <w:pStyle w:val="TableText0"/>
              <w:jc w:val="center"/>
              <w:rPr>
                <w:b/>
              </w:rPr>
            </w:pPr>
            <w:r w:rsidRPr="001611DC">
              <w:rPr>
                <w:b/>
              </w:rPr>
              <w:t>RSVPreF3 OA</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1F9261A6" w14:textId="77777777" w:rsidR="00BB4C7A" w:rsidRPr="001611DC" w:rsidRDefault="00BB4C7A" w:rsidP="00ED36A0">
            <w:pPr>
              <w:pStyle w:val="TableText0"/>
              <w:jc w:val="center"/>
              <w:rPr>
                <w:b/>
              </w:rPr>
            </w:pPr>
            <w:r w:rsidRPr="001611DC">
              <w:rPr>
                <w:b/>
              </w:rPr>
              <w:t>No Vaccine</w:t>
            </w:r>
          </w:p>
        </w:tc>
        <w:tc>
          <w:tcPr>
            <w:tcW w:w="823" w:type="pct"/>
            <w:tcBorders>
              <w:top w:val="single" w:sz="4" w:space="0" w:color="auto"/>
              <w:left w:val="nil"/>
              <w:bottom w:val="single" w:sz="4" w:space="0" w:color="auto"/>
              <w:right w:val="single" w:sz="4" w:space="0" w:color="auto"/>
            </w:tcBorders>
            <w:shd w:val="clear" w:color="auto" w:fill="auto"/>
            <w:noWrap/>
            <w:vAlign w:val="center"/>
            <w:hideMark/>
          </w:tcPr>
          <w:p w14:paraId="4DB8E922" w14:textId="77777777" w:rsidR="00BB4C7A" w:rsidRPr="001611DC" w:rsidRDefault="00BB4C7A" w:rsidP="00ED36A0">
            <w:pPr>
              <w:pStyle w:val="TableText0"/>
              <w:jc w:val="center"/>
              <w:rPr>
                <w:b/>
              </w:rPr>
            </w:pPr>
            <w:r w:rsidRPr="001611DC">
              <w:rPr>
                <w:b/>
              </w:rPr>
              <w:t xml:space="preserve">Incremental </w:t>
            </w:r>
          </w:p>
          <w:p w14:paraId="49D4904C" w14:textId="77777777" w:rsidR="00BB4C7A" w:rsidRPr="001611DC" w:rsidRDefault="00BB4C7A" w:rsidP="00ED36A0">
            <w:pPr>
              <w:pStyle w:val="TableText0"/>
              <w:jc w:val="center"/>
              <w:rPr>
                <w:b/>
              </w:rPr>
            </w:pPr>
            <w:r w:rsidRPr="001611DC">
              <w:rPr>
                <w:b/>
              </w:rPr>
              <w:t>outcomes</w:t>
            </w:r>
          </w:p>
        </w:tc>
        <w:tc>
          <w:tcPr>
            <w:tcW w:w="822" w:type="pct"/>
            <w:tcBorders>
              <w:top w:val="single" w:sz="4" w:space="0" w:color="auto"/>
              <w:left w:val="nil"/>
              <w:bottom w:val="single" w:sz="4" w:space="0" w:color="auto"/>
              <w:right w:val="single" w:sz="4" w:space="0" w:color="auto"/>
            </w:tcBorders>
            <w:shd w:val="clear" w:color="auto" w:fill="auto"/>
            <w:noWrap/>
            <w:vAlign w:val="center"/>
            <w:hideMark/>
          </w:tcPr>
          <w:p w14:paraId="7AB0905E" w14:textId="77777777" w:rsidR="00BB4C7A" w:rsidRPr="001611DC" w:rsidRDefault="00BB4C7A" w:rsidP="00ED36A0">
            <w:pPr>
              <w:pStyle w:val="TableText0"/>
              <w:jc w:val="center"/>
              <w:rPr>
                <w:b/>
              </w:rPr>
            </w:pPr>
            <w:r w:rsidRPr="001611DC">
              <w:rPr>
                <w:b/>
              </w:rPr>
              <w:t>%</w:t>
            </w:r>
          </w:p>
        </w:tc>
      </w:tr>
      <w:tr w:rsidR="00BB4C7A" w:rsidRPr="001611DC" w14:paraId="248DEEA0" w14:textId="77777777" w:rsidTr="00ED36A0">
        <w:trPr>
          <w:trHeight w:val="2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768A4FB" w14:textId="77777777" w:rsidR="00BB4C7A" w:rsidRPr="001611DC" w:rsidRDefault="00BB4C7A" w:rsidP="00ED36A0">
            <w:pPr>
              <w:pStyle w:val="TableText0"/>
              <w:rPr>
                <w:b/>
              </w:rPr>
            </w:pPr>
            <w:r w:rsidRPr="001611DC">
              <w:rPr>
                <w:b/>
              </w:rPr>
              <w:t>Events</w:t>
            </w:r>
          </w:p>
        </w:tc>
      </w:tr>
      <w:tr w:rsidR="00BB4C7A" w:rsidRPr="001611DC" w14:paraId="65EB970D" w14:textId="77777777" w:rsidTr="00CD3945">
        <w:trPr>
          <w:trHeight w:val="20"/>
        </w:trPr>
        <w:tc>
          <w:tcPr>
            <w:tcW w:w="1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47DD" w14:textId="77777777" w:rsidR="00BB4C7A" w:rsidRPr="001611DC" w:rsidRDefault="00BB4C7A" w:rsidP="00ED36A0">
            <w:pPr>
              <w:pStyle w:val="TableText0"/>
              <w:rPr>
                <w:b/>
              </w:rPr>
            </w:pPr>
            <w:r w:rsidRPr="001611DC">
              <w:rPr>
                <w:b/>
              </w:rPr>
              <w:t>Population</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7CB9DE05" w14:textId="5177AC59" w:rsidR="00BB4C7A" w:rsidRPr="001611DC" w:rsidRDefault="00BD3549" w:rsidP="00ED36A0">
            <w:pPr>
              <w:pStyle w:val="TableText0"/>
              <w:jc w:val="center"/>
              <w:rPr>
                <w:b/>
              </w:rPr>
            </w:pPr>
            <w:r w:rsidRPr="00BD3549">
              <w:rPr>
                <w:b/>
                <w:color w:val="000000"/>
                <w:shd w:val="solid" w:color="000000" w:fill="000000"/>
                <w14:textFill>
                  <w14:solidFill>
                    <w14:srgbClr w14:val="000000">
                      <w14:alpha w14:val="100000"/>
                    </w14:srgbClr>
                  </w14:solidFill>
                </w14:textFill>
              </w:rPr>
              <w:t>|</w:t>
            </w:r>
            <w:r w:rsidR="00BB4C7A" w:rsidRPr="00F343BD">
              <w:rPr>
                <w:b/>
                <w:vertAlign w:val="superscript"/>
              </w:rPr>
              <w:t>1</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01876606" w14:textId="4516C9C4" w:rsidR="00BB4C7A" w:rsidRPr="00F343BD" w:rsidRDefault="00BD3549" w:rsidP="00ED36A0">
            <w:pPr>
              <w:pStyle w:val="TableText0"/>
              <w:jc w:val="center"/>
              <w:rPr>
                <w:b/>
                <w:highlight w:val="lightGray"/>
              </w:rPr>
            </w:pPr>
            <w:r w:rsidRPr="00BD3549">
              <w:rPr>
                <w:b/>
                <w:color w:val="000000"/>
                <w:shd w:val="solid" w:color="000000" w:fill="000000"/>
                <w14:textFill>
                  <w14:solidFill>
                    <w14:srgbClr w14:val="000000">
                      <w14:alpha w14:val="100000"/>
                    </w14:srgbClr>
                  </w14:solidFill>
                </w14:textFill>
              </w:rPr>
              <w:t>|</w:t>
            </w:r>
            <w:r w:rsidR="00BB4C7A" w:rsidRPr="00F343BD">
              <w:rPr>
                <w:b/>
                <w:vertAlign w:val="superscript"/>
              </w:rPr>
              <w:t>1</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42619F90" w14:textId="3672A42F" w:rsidR="00BB4C7A" w:rsidRPr="00F343BD" w:rsidRDefault="00BD3549" w:rsidP="00ED36A0">
            <w:pPr>
              <w:pStyle w:val="TableText0"/>
              <w:jc w:val="center"/>
              <w:rPr>
                <w:b/>
                <w:highlight w:val="lightGray"/>
              </w:rPr>
            </w:pPr>
            <w:r w:rsidRPr="00BD3549">
              <w:rPr>
                <w:b/>
                <w:color w:val="000000"/>
                <w14:textFill>
                  <w14:solidFill>
                    <w14:srgbClr w14:val="000000">
                      <w14:alpha w14:val="100000"/>
                    </w14:srgbClr>
                  </w14:solidFill>
                </w14:textFill>
              </w:rPr>
              <w:t>|</w:t>
            </w:r>
            <w:r w:rsidR="00CD3945" w:rsidRPr="00BD3549">
              <w:rPr>
                <w:color w:val="000000"/>
                <w:shd w:val="solid" w:color="000000" w:fill="000000"/>
                <w14:textFill>
                  <w14:solidFill>
                    <w14:srgbClr w14:val="000000">
                      <w14:alpha w14:val="100000"/>
                    </w14:srgbClr>
                  </w14:solidFill>
                </w14:textFill>
              </w:rPr>
              <w:t>|</w:t>
            </w:r>
            <w:r w:rsidR="00CD3945" w:rsidRPr="00F343BD">
              <w:rPr>
                <w:vertAlign w:val="superscript"/>
              </w:rPr>
              <w:t>2</w:t>
            </w:r>
          </w:p>
        </w:tc>
        <w:tc>
          <w:tcPr>
            <w:tcW w:w="822" w:type="pct"/>
            <w:tcBorders>
              <w:top w:val="single" w:sz="4" w:space="0" w:color="auto"/>
              <w:left w:val="nil"/>
              <w:bottom w:val="single" w:sz="4" w:space="0" w:color="auto"/>
              <w:right w:val="single" w:sz="4" w:space="0" w:color="auto"/>
            </w:tcBorders>
            <w:shd w:val="clear" w:color="auto" w:fill="auto"/>
            <w:noWrap/>
            <w:vAlign w:val="center"/>
          </w:tcPr>
          <w:p w14:paraId="363337AC" w14:textId="77777777" w:rsidR="00BB4C7A" w:rsidRPr="001611DC" w:rsidRDefault="00BB4C7A" w:rsidP="00ED36A0">
            <w:pPr>
              <w:pStyle w:val="TableText0"/>
              <w:jc w:val="center"/>
              <w:rPr>
                <w:b/>
              </w:rPr>
            </w:pPr>
            <w:r w:rsidRPr="001611DC">
              <w:rPr>
                <w:b/>
              </w:rPr>
              <w:t>-</w:t>
            </w:r>
          </w:p>
        </w:tc>
      </w:tr>
      <w:tr w:rsidR="00BB4C7A" w:rsidRPr="001611DC" w14:paraId="7C88DA8C"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1A0EB833" w14:textId="77777777" w:rsidR="00BB4C7A" w:rsidRPr="001611DC" w:rsidRDefault="00BB4C7A" w:rsidP="00ED36A0">
            <w:pPr>
              <w:pStyle w:val="TableText0"/>
            </w:pPr>
            <w:r w:rsidRPr="001611DC">
              <w:t>Vaccinated population</w:t>
            </w:r>
          </w:p>
        </w:tc>
        <w:tc>
          <w:tcPr>
            <w:tcW w:w="823" w:type="pct"/>
            <w:tcBorders>
              <w:top w:val="nil"/>
              <w:left w:val="nil"/>
              <w:bottom w:val="single" w:sz="4" w:space="0" w:color="auto"/>
              <w:right w:val="single" w:sz="4" w:space="0" w:color="auto"/>
            </w:tcBorders>
            <w:shd w:val="clear" w:color="auto" w:fill="auto"/>
            <w:noWrap/>
            <w:vAlign w:val="center"/>
          </w:tcPr>
          <w:p w14:paraId="41BD3446" w14:textId="6FF720C2" w:rsidR="00BB4C7A" w:rsidRPr="001611DC" w:rsidRDefault="00BD3549" w:rsidP="00ED36A0">
            <w:pPr>
              <w:pStyle w:val="TableText0"/>
              <w:jc w:val="center"/>
            </w:pPr>
            <w:r w:rsidRPr="00BD3549">
              <w:rPr>
                <w:color w:val="000000"/>
                <w:shd w:val="solid" w:color="000000" w:fill="000000"/>
                <w14:textFill>
                  <w14:solidFill>
                    <w14:srgbClr w14:val="000000">
                      <w14:alpha w14:val="100000"/>
                    </w14:srgbClr>
                  </w14:solidFill>
                </w14:textFill>
              </w:rPr>
              <w:t>|</w:t>
            </w:r>
            <w:r w:rsidR="00BB4C7A" w:rsidRPr="00F343BD">
              <w:rPr>
                <w:b/>
                <w:vertAlign w:val="superscript"/>
              </w:rPr>
              <w:t>1</w:t>
            </w:r>
          </w:p>
        </w:tc>
        <w:tc>
          <w:tcPr>
            <w:tcW w:w="823" w:type="pct"/>
            <w:tcBorders>
              <w:top w:val="nil"/>
              <w:left w:val="nil"/>
              <w:bottom w:val="single" w:sz="4" w:space="0" w:color="auto"/>
              <w:right w:val="single" w:sz="4" w:space="0" w:color="auto"/>
            </w:tcBorders>
            <w:shd w:val="clear" w:color="auto" w:fill="auto"/>
            <w:noWrap/>
            <w:vAlign w:val="center"/>
          </w:tcPr>
          <w:p w14:paraId="128B40AB" w14:textId="743C8913"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F343BD">
              <w:rPr>
                <w:vertAlign w:val="superscript"/>
              </w:rPr>
              <w:t>2</w:t>
            </w:r>
          </w:p>
        </w:tc>
        <w:tc>
          <w:tcPr>
            <w:tcW w:w="823" w:type="pct"/>
            <w:tcBorders>
              <w:top w:val="nil"/>
              <w:left w:val="nil"/>
              <w:bottom w:val="single" w:sz="4" w:space="0" w:color="auto"/>
              <w:right w:val="single" w:sz="4" w:space="0" w:color="auto"/>
            </w:tcBorders>
            <w:shd w:val="clear" w:color="auto" w:fill="auto"/>
            <w:noWrap/>
            <w:vAlign w:val="center"/>
          </w:tcPr>
          <w:p w14:paraId="033C8E6E" w14:textId="578C0847"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F343BD">
              <w:rPr>
                <w:b/>
                <w:vertAlign w:val="superscript"/>
              </w:rPr>
              <w:t>1</w:t>
            </w:r>
          </w:p>
        </w:tc>
        <w:tc>
          <w:tcPr>
            <w:tcW w:w="822" w:type="pct"/>
            <w:tcBorders>
              <w:top w:val="nil"/>
              <w:left w:val="nil"/>
              <w:bottom w:val="single" w:sz="4" w:space="0" w:color="auto"/>
              <w:right w:val="single" w:sz="4" w:space="0" w:color="auto"/>
            </w:tcBorders>
            <w:shd w:val="clear" w:color="auto" w:fill="auto"/>
            <w:noWrap/>
            <w:vAlign w:val="center"/>
          </w:tcPr>
          <w:p w14:paraId="4530CF2D" w14:textId="77777777" w:rsidR="00BB4C7A" w:rsidRPr="001611DC" w:rsidRDefault="00BB4C7A" w:rsidP="00ED36A0">
            <w:pPr>
              <w:pStyle w:val="TableText0"/>
              <w:jc w:val="center"/>
            </w:pPr>
            <w:r w:rsidRPr="001611DC">
              <w:t>-</w:t>
            </w:r>
          </w:p>
        </w:tc>
      </w:tr>
      <w:tr w:rsidR="00BB4C7A" w:rsidRPr="001611DC" w14:paraId="16447E8C" w14:textId="77777777" w:rsidTr="00CD3945">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29351E9A" w14:textId="77777777" w:rsidR="00BB4C7A" w:rsidRPr="001611DC" w:rsidRDefault="00BB4C7A" w:rsidP="00ED36A0">
            <w:pPr>
              <w:pStyle w:val="TableText0"/>
            </w:pPr>
            <w:r w:rsidRPr="001611DC">
              <w:t>RSV-ARI cases</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75E3C997" w14:textId="13E801F5"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r w:rsidR="00CD3945" w:rsidRPr="00BD3549">
              <w:rPr>
                <w:color w:val="000000"/>
                <w:shd w:val="solid" w:color="000000" w:fill="000000"/>
                <w14:textFill>
                  <w14:solidFill>
                    <w14:srgbClr w14:val="000000">
                      <w14:alpha w14:val="100000"/>
                    </w14:srgbClr>
                  </w14:solidFill>
                </w14:textFill>
              </w:rPr>
              <w:t>|</w:t>
            </w:r>
            <w:r w:rsidR="00CD3945">
              <w:rPr>
                <w:vertAlign w:val="superscript"/>
              </w:rPr>
              <w:t>3</w:t>
            </w:r>
          </w:p>
        </w:tc>
        <w:tc>
          <w:tcPr>
            <w:tcW w:w="823" w:type="pct"/>
            <w:tcBorders>
              <w:top w:val="nil"/>
              <w:left w:val="nil"/>
              <w:bottom w:val="single" w:sz="4" w:space="0" w:color="auto"/>
              <w:right w:val="single" w:sz="4" w:space="0" w:color="auto"/>
            </w:tcBorders>
            <w:shd w:val="clear" w:color="auto" w:fill="auto"/>
            <w:noWrap/>
            <w:vAlign w:val="center"/>
          </w:tcPr>
          <w:p w14:paraId="3EB9A948" w14:textId="030F78AD"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4</w:t>
            </w:r>
          </w:p>
        </w:tc>
        <w:tc>
          <w:tcPr>
            <w:tcW w:w="823" w:type="pct"/>
            <w:tcBorders>
              <w:top w:val="nil"/>
              <w:left w:val="nil"/>
              <w:bottom w:val="single" w:sz="4" w:space="0" w:color="auto"/>
              <w:right w:val="single" w:sz="4" w:space="0" w:color="auto"/>
            </w:tcBorders>
            <w:shd w:val="clear" w:color="auto" w:fill="auto"/>
            <w:noWrap/>
            <w:vAlign w:val="center"/>
          </w:tcPr>
          <w:p w14:paraId="739FF9B5" w14:textId="3C5AD0B0"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E2A84">
              <w:rPr>
                <w:vertAlign w:val="superscript"/>
              </w:rPr>
              <w:t>5</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5B3B8AB1" w14:textId="39714C3C"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3B10F659"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5CB776F5" w14:textId="77777777" w:rsidR="00BB4C7A" w:rsidRPr="001611DC" w:rsidRDefault="00BB4C7A" w:rsidP="00ED36A0">
            <w:pPr>
              <w:pStyle w:val="TableText0"/>
              <w:ind w:firstLineChars="100" w:firstLine="200"/>
            </w:pPr>
            <w:r w:rsidRPr="001611DC">
              <w:t>RSV-URTD cases</w:t>
            </w:r>
          </w:p>
        </w:tc>
        <w:tc>
          <w:tcPr>
            <w:tcW w:w="823" w:type="pct"/>
            <w:tcBorders>
              <w:top w:val="nil"/>
              <w:left w:val="nil"/>
              <w:bottom w:val="single" w:sz="4" w:space="0" w:color="auto"/>
              <w:right w:val="single" w:sz="4" w:space="0" w:color="auto"/>
            </w:tcBorders>
            <w:shd w:val="clear" w:color="auto" w:fill="auto"/>
            <w:noWrap/>
            <w:vAlign w:val="center"/>
          </w:tcPr>
          <w:p w14:paraId="055B7464" w14:textId="29CF85CA"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208CDC93" w14:textId="1FAF5B9E"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56F6A860" w14:textId="06AF9ABD"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E2A84">
              <w:rPr>
                <w:vertAlign w:val="superscript"/>
              </w:rPr>
              <w:t>6</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4FA654D3" w14:textId="345DF01C"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667283E2"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14C78A0E" w14:textId="77777777" w:rsidR="00BB4C7A" w:rsidRPr="001611DC" w:rsidRDefault="00BB4C7A" w:rsidP="00ED36A0">
            <w:pPr>
              <w:pStyle w:val="TableText0"/>
              <w:ind w:firstLineChars="200" w:firstLine="400"/>
            </w:pPr>
            <w:r w:rsidRPr="001611DC">
              <w:t>First infection</w:t>
            </w:r>
          </w:p>
        </w:tc>
        <w:tc>
          <w:tcPr>
            <w:tcW w:w="823" w:type="pct"/>
            <w:tcBorders>
              <w:top w:val="nil"/>
              <w:left w:val="nil"/>
              <w:bottom w:val="single" w:sz="4" w:space="0" w:color="auto"/>
              <w:right w:val="single" w:sz="4" w:space="0" w:color="auto"/>
            </w:tcBorders>
            <w:shd w:val="clear" w:color="auto" w:fill="auto"/>
            <w:noWrap/>
            <w:vAlign w:val="center"/>
          </w:tcPr>
          <w:p w14:paraId="4607E6C5" w14:textId="42423FC9"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382CE96F" w14:textId="30A1A876"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2E04274F" w14:textId="0B083BFA"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D7379">
              <w:rPr>
                <w:vertAlign w:val="superscript"/>
              </w:rPr>
              <w:t>7</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7064CF53" w14:textId="0D084781"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0E60EE2C"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523A621F" w14:textId="77777777" w:rsidR="00BB4C7A" w:rsidRPr="001611DC" w:rsidRDefault="00BB4C7A" w:rsidP="00ED36A0">
            <w:pPr>
              <w:pStyle w:val="TableText0"/>
              <w:ind w:firstLineChars="200" w:firstLine="400"/>
            </w:pPr>
            <w:r w:rsidRPr="001611DC">
              <w:t>Reinfection</w:t>
            </w:r>
          </w:p>
        </w:tc>
        <w:tc>
          <w:tcPr>
            <w:tcW w:w="823" w:type="pct"/>
            <w:tcBorders>
              <w:top w:val="nil"/>
              <w:left w:val="nil"/>
              <w:bottom w:val="single" w:sz="4" w:space="0" w:color="auto"/>
              <w:right w:val="single" w:sz="4" w:space="0" w:color="auto"/>
            </w:tcBorders>
            <w:shd w:val="clear" w:color="auto" w:fill="auto"/>
            <w:noWrap/>
            <w:vAlign w:val="center"/>
          </w:tcPr>
          <w:p w14:paraId="24D3241E" w14:textId="7C0B63D4"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D7379">
              <w:rPr>
                <w:vertAlign w:val="superscript"/>
              </w:rPr>
              <w:t>8</w:t>
            </w:r>
          </w:p>
        </w:tc>
        <w:tc>
          <w:tcPr>
            <w:tcW w:w="823" w:type="pct"/>
            <w:tcBorders>
              <w:top w:val="nil"/>
              <w:left w:val="nil"/>
              <w:bottom w:val="single" w:sz="4" w:space="0" w:color="auto"/>
              <w:right w:val="single" w:sz="4" w:space="0" w:color="auto"/>
            </w:tcBorders>
            <w:shd w:val="clear" w:color="auto" w:fill="auto"/>
            <w:noWrap/>
            <w:vAlign w:val="center"/>
          </w:tcPr>
          <w:p w14:paraId="531D591B" w14:textId="3102A03E"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27F04238" w14:textId="15DE90EF"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D7379">
              <w:rPr>
                <w:vertAlign w:val="superscript"/>
              </w:rPr>
              <w:t>8</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472916EA" w14:textId="1F5E62E7"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57F86067"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379DB553" w14:textId="77777777" w:rsidR="00BB4C7A" w:rsidRPr="001611DC" w:rsidRDefault="00BB4C7A" w:rsidP="00ED36A0">
            <w:pPr>
              <w:pStyle w:val="TableText0"/>
              <w:ind w:firstLineChars="100" w:firstLine="200"/>
            </w:pPr>
            <w:r w:rsidRPr="001611DC">
              <w:t>RSV-LRTD cases</w:t>
            </w:r>
          </w:p>
        </w:tc>
        <w:tc>
          <w:tcPr>
            <w:tcW w:w="823" w:type="pct"/>
            <w:tcBorders>
              <w:top w:val="nil"/>
              <w:left w:val="nil"/>
              <w:bottom w:val="single" w:sz="4" w:space="0" w:color="auto"/>
              <w:right w:val="single" w:sz="4" w:space="0" w:color="auto"/>
            </w:tcBorders>
            <w:shd w:val="clear" w:color="auto" w:fill="auto"/>
            <w:noWrap/>
            <w:vAlign w:val="center"/>
          </w:tcPr>
          <w:p w14:paraId="3841F27E" w14:textId="37C34F3B"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580B3F">
              <w:rPr>
                <w:vertAlign w:val="superscript"/>
              </w:rPr>
              <w:t>9</w:t>
            </w:r>
          </w:p>
        </w:tc>
        <w:tc>
          <w:tcPr>
            <w:tcW w:w="823" w:type="pct"/>
            <w:tcBorders>
              <w:top w:val="nil"/>
              <w:left w:val="nil"/>
              <w:bottom w:val="single" w:sz="4" w:space="0" w:color="auto"/>
              <w:right w:val="single" w:sz="4" w:space="0" w:color="auto"/>
            </w:tcBorders>
            <w:shd w:val="clear" w:color="auto" w:fill="auto"/>
            <w:noWrap/>
            <w:vAlign w:val="center"/>
          </w:tcPr>
          <w:p w14:paraId="55008E3C" w14:textId="2CAE2356"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115D720F" w14:textId="3932CFE7"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956363">
              <w:rPr>
                <w:vertAlign w:val="superscript"/>
              </w:rPr>
              <w:t>10</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48ED7042" w14:textId="133D858C"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2CFAD67D"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6E9733BF" w14:textId="77777777" w:rsidR="00BB4C7A" w:rsidRPr="001611DC" w:rsidRDefault="00BB4C7A" w:rsidP="00ED36A0">
            <w:pPr>
              <w:pStyle w:val="TableText0"/>
              <w:ind w:firstLineChars="200" w:firstLine="400"/>
            </w:pPr>
            <w:r w:rsidRPr="001611DC">
              <w:t>First infection</w:t>
            </w:r>
          </w:p>
        </w:tc>
        <w:tc>
          <w:tcPr>
            <w:tcW w:w="823" w:type="pct"/>
            <w:tcBorders>
              <w:top w:val="nil"/>
              <w:left w:val="nil"/>
              <w:bottom w:val="single" w:sz="4" w:space="0" w:color="auto"/>
              <w:right w:val="single" w:sz="4" w:space="0" w:color="auto"/>
            </w:tcBorders>
            <w:shd w:val="clear" w:color="auto" w:fill="auto"/>
            <w:noWrap/>
            <w:vAlign w:val="center"/>
          </w:tcPr>
          <w:p w14:paraId="39A9088B" w14:textId="053367E8"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9E5F0B">
              <w:rPr>
                <w:vertAlign w:val="superscript"/>
              </w:rPr>
              <w:t>11</w:t>
            </w:r>
          </w:p>
        </w:tc>
        <w:tc>
          <w:tcPr>
            <w:tcW w:w="823" w:type="pct"/>
            <w:tcBorders>
              <w:top w:val="nil"/>
              <w:left w:val="nil"/>
              <w:bottom w:val="single" w:sz="4" w:space="0" w:color="auto"/>
              <w:right w:val="single" w:sz="4" w:space="0" w:color="auto"/>
            </w:tcBorders>
            <w:shd w:val="clear" w:color="auto" w:fill="auto"/>
            <w:noWrap/>
            <w:vAlign w:val="center"/>
          </w:tcPr>
          <w:p w14:paraId="24B9948A" w14:textId="53E91A15"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E2A84">
              <w:rPr>
                <w:vertAlign w:val="superscript"/>
              </w:rPr>
              <w:t>5</w:t>
            </w:r>
          </w:p>
        </w:tc>
        <w:tc>
          <w:tcPr>
            <w:tcW w:w="823" w:type="pct"/>
            <w:tcBorders>
              <w:top w:val="nil"/>
              <w:left w:val="nil"/>
              <w:bottom w:val="single" w:sz="4" w:space="0" w:color="auto"/>
              <w:right w:val="single" w:sz="4" w:space="0" w:color="auto"/>
            </w:tcBorders>
            <w:shd w:val="clear" w:color="auto" w:fill="auto"/>
            <w:noWrap/>
            <w:vAlign w:val="center"/>
          </w:tcPr>
          <w:p w14:paraId="7E843604" w14:textId="60DF4435"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580B3F">
              <w:rPr>
                <w:vertAlign w:val="superscript"/>
              </w:rPr>
              <w:t>9</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31192706" w14:textId="78CA7D94"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48AB616A" w14:textId="77777777" w:rsidTr="00BD3549">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2E0353ED" w14:textId="77777777" w:rsidR="00BB4C7A" w:rsidRPr="001611DC" w:rsidRDefault="00BB4C7A" w:rsidP="00ED36A0">
            <w:pPr>
              <w:pStyle w:val="TableText0"/>
              <w:ind w:firstLineChars="200" w:firstLine="400"/>
            </w:pPr>
            <w:r w:rsidRPr="001611DC">
              <w:t>Reinfection</w:t>
            </w:r>
          </w:p>
        </w:tc>
        <w:tc>
          <w:tcPr>
            <w:tcW w:w="823" w:type="pct"/>
            <w:tcBorders>
              <w:top w:val="nil"/>
              <w:left w:val="nil"/>
              <w:bottom w:val="single" w:sz="4" w:space="0" w:color="auto"/>
              <w:right w:val="single" w:sz="4" w:space="0" w:color="auto"/>
            </w:tcBorders>
            <w:shd w:val="clear" w:color="auto" w:fill="auto"/>
            <w:noWrap/>
            <w:vAlign w:val="center"/>
          </w:tcPr>
          <w:p w14:paraId="50B76EC2" w14:textId="5236AFF8"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D7379">
              <w:rPr>
                <w:vertAlign w:val="superscript"/>
              </w:rPr>
              <w:t>8</w:t>
            </w:r>
          </w:p>
        </w:tc>
        <w:tc>
          <w:tcPr>
            <w:tcW w:w="823" w:type="pct"/>
            <w:tcBorders>
              <w:top w:val="nil"/>
              <w:left w:val="nil"/>
              <w:bottom w:val="single" w:sz="4" w:space="0" w:color="auto"/>
              <w:right w:val="single" w:sz="4" w:space="0" w:color="auto"/>
            </w:tcBorders>
            <w:shd w:val="clear" w:color="auto" w:fill="auto"/>
            <w:noWrap/>
            <w:vAlign w:val="center"/>
          </w:tcPr>
          <w:p w14:paraId="2820E324" w14:textId="272368B3"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720E92">
              <w:rPr>
                <w:vertAlign w:val="superscript"/>
              </w:rPr>
              <w:t>12</w:t>
            </w:r>
          </w:p>
        </w:tc>
        <w:tc>
          <w:tcPr>
            <w:tcW w:w="823" w:type="pct"/>
            <w:tcBorders>
              <w:top w:val="nil"/>
              <w:left w:val="nil"/>
              <w:bottom w:val="single" w:sz="4" w:space="0" w:color="auto"/>
              <w:right w:val="single" w:sz="4" w:space="0" w:color="auto"/>
            </w:tcBorders>
            <w:shd w:val="clear" w:color="auto" w:fill="auto"/>
            <w:noWrap/>
            <w:vAlign w:val="center"/>
          </w:tcPr>
          <w:p w14:paraId="10B6ADAE" w14:textId="2E4FAEA5"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D7379">
              <w:rPr>
                <w:vertAlign w:val="superscript"/>
              </w:rPr>
              <w:t>8</w:t>
            </w:r>
          </w:p>
        </w:tc>
        <w:tc>
          <w:tcPr>
            <w:tcW w:w="822" w:type="pct"/>
            <w:tcBorders>
              <w:top w:val="single" w:sz="4" w:space="0" w:color="auto"/>
              <w:left w:val="nil"/>
              <w:bottom w:val="single" w:sz="4" w:space="0" w:color="auto"/>
              <w:right w:val="single" w:sz="4" w:space="0" w:color="auto"/>
            </w:tcBorders>
            <w:shd w:val="solid" w:color="000000" w:fill="000000"/>
            <w:noWrap/>
            <w:vAlign w:val="center"/>
          </w:tcPr>
          <w:p w14:paraId="4B319845" w14:textId="11F5577B" w:rsidR="00BB4C7A" w:rsidRPr="00F343BD"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r>
      <w:tr w:rsidR="00BB4C7A" w:rsidRPr="001611DC" w14:paraId="598607A8"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71C4EAE2" w14:textId="77777777" w:rsidR="00BB4C7A" w:rsidRPr="001611DC" w:rsidRDefault="00BB4C7A" w:rsidP="00ED36A0">
            <w:pPr>
              <w:pStyle w:val="TableText0"/>
            </w:pPr>
            <w:r w:rsidRPr="001611DC">
              <w:t>RSV-related deaths</w:t>
            </w:r>
          </w:p>
        </w:tc>
        <w:tc>
          <w:tcPr>
            <w:tcW w:w="823" w:type="pct"/>
            <w:tcBorders>
              <w:top w:val="nil"/>
              <w:left w:val="nil"/>
              <w:bottom w:val="single" w:sz="4" w:space="0" w:color="auto"/>
              <w:right w:val="single" w:sz="4" w:space="0" w:color="auto"/>
            </w:tcBorders>
            <w:shd w:val="clear" w:color="auto" w:fill="auto"/>
            <w:noWrap/>
            <w:vAlign w:val="center"/>
          </w:tcPr>
          <w:p w14:paraId="2A73D5F7" w14:textId="4E908D0B"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D4A9A">
              <w:rPr>
                <w:vertAlign w:val="superscript"/>
              </w:rPr>
              <w:t>13</w:t>
            </w:r>
          </w:p>
        </w:tc>
        <w:tc>
          <w:tcPr>
            <w:tcW w:w="823" w:type="pct"/>
            <w:tcBorders>
              <w:top w:val="nil"/>
              <w:left w:val="nil"/>
              <w:bottom w:val="single" w:sz="4" w:space="0" w:color="auto"/>
              <w:right w:val="single" w:sz="4" w:space="0" w:color="auto"/>
            </w:tcBorders>
            <w:shd w:val="clear" w:color="auto" w:fill="auto"/>
            <w:noWrap/>
            <w:vAlign w:val="center"/>
          </w:tcPr>
          <w:p w14:paraId="38E433EE" w14:textId="32038F96"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BD4A9A">
              <w:rPr>
                <w:vertAlign w:val="superscript"/>
              </w:rPr>
              <w:t>13</w:t>
            </w:r>
          </w:p>
        </w:tc>
        <w:tc>
          <w:tcPr>
            <w:tcW w:w="823" w:type="pct"/>
            <w:tcBorders>
              <w:top w:val="nil"/>
              <w:left w:val="nil"/>
              <w:bottom w:val="single" w:sz="4" w:space="0" w:color="auto"/>
              <w:right w:val="single" w:sz="4" w:space="0" w:color="auto"/>
            </w:tcBorders>
            <w:shd w:val="clear" w:color="auto" w:fill="auto"/>
            <w:noWrap/>
            <w:vAlign w:val="center"/>
          </w:tcPr>
          <w:p w14:paraId="25A90B14" w14:textId="2FE1229F" w:rsidR="00BB4C7A" w:rsidRPr="00F343BD" w:rsidRDefault="00BB4C7A" w:rsidP="00ED36A0">
            <w:pPr>
              <w:pStyle w:val="TableText0"/>
              <w:jc w:val="center"/>
              <w:rPr>
                <w:highlight w:val="lightGray"/>
              </w:rPr>
            </w:pPr>
            <w:r w:rsidRPr="002B5CFE">
              <w:t>-</w:t>
            </w:r>
            <w:r w:rsidR="00BD3549" w:rsidRPr="00BD3549">
              <w:rPr>
                <w:color w:val="000000"/>
                <w:shd w:val="solid" w:color="000000" w:fill="000000"/>
                <w14:textFill>
                  <w14:solidFill>
                    <w14:srgbClr w14:val="000000">
                      <w14:alpha w14:val="100000"/>
                    </w14:srgbClr>
                  </w14:solidFill>
                </w14:textFill>
              </w:rPr>
              <w:t>|</w:t>
            </w:r>
            <w:r w:rsidRPr="00BD4A9A">
              <w:rPr>
                <w:vertAlign w:val="superscript"/>
              </w:rPr>
              <w:t>13</w:t>
            </w:r>
          </w:p>
        </w:tc>
        <w:tc>
          <w:tcPr>
            <w:tcW w:w="822" w:type="pct"/>
            <w:tcBorders>
              <w:top w:val="nil"/>
              <w:left w:val="nil"/>
              <w:bottom w:val="single" w:sz="4" w:space="0" w:color="auto"/>
              <w:right w:val="single" w:sz="4" w:space="0" w:color="auto"/>
            </w:tcBorders>
            <w:shd w:val="clear" w:color="auto" w:fill="auto"/>
            <w:noWrap/>
            <w:vAlign w:val="center"/>
          </w:tcPr>
          <w:p w14:paraId="611ABB08" w14:textId="77777777" w:rsidR="00BB4C7A" w:rsidRPr="001611DC" w:rsidRDefault="00BB4C7A" w:rsidP="00ED36A0">
            <w:pPr>
              <w:pStyle w:val="TableText0"/>
              <w:jc w:val="center"/>
            </w:pPr>
            <w:r w:rsidRPr="001611DC">
              <w:t>-</w:t>
            </w:r>
          </w:p>
        </w:tc>
      </w:tr>
      <w:tr w:rsidR="00BB4C7A" w:rsidRPr="001611DC" w14:paraId="36922688"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05E0AB80" w14:textId="77777777" w:rsidR="00BB4C7A" w:rsidRPr="001611DC" w:rsidRDefault="00BB4C7A" w:rsidP="00ED36A0">
            <w:pPr>
              <w:pStyle w:val="TableText0"/>
            </w:pPr>
            <w:r w:rsidRPr="001611DC">
              <w:t>Vaccine-related AEs</w:t>
            </w:r>
          </w:p>
        </w:tc>
        <w:tc>
          <w:tcPr>
            <w:tcW w:w="823" w:type="pct"/>
            <w:tcBorders>
              <w:top w:val="nil"/>
              <w:left w:val="nil"/>
              <w:bottom w:val="single" w:sz="4" w:space="0" w:color="auto"/>
              <w:right w:val="single" w:sz="4" w:space="0" w:color="auto"/>
            </w:tcBorders>
            <w:shd w:val="clear" w:color="auto" w:fill="auto"/>
            <w:noWrap/>
            <w:vAlign w:val="center"/>
          </w:tcPr>
          <w:p w14:paraId="171FFD75" w14:textId="08E88D35"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3043F2">
              <w:rPr>
                <w:vertAlign w:val="superscript"/>
              </w:rPr>
              <w:t>14</w:t>
            </w:r>
          </w:p>
        </w:tc>
        <w:tc>
          <w:tcPr>
            <w:tcW w:w="823" w:type="pct"/>
            <w:tcBorders>
              <w:top w:val="nil"/>
              <w:left w:val="nil"/>
              <w:bottom w:val="single" w:sz="4" w:space="0" w:color="auto"/>
              <w:right w:val="single" w:sz="4" w:space="0" w:color="auto"/>
            </w:tcBorders>
            <w:shd w:val="clear" w:color="auto" w:fill="auto"/>
            <w:noWrap/>
            <w:vAlign w:val="center"/>
          </w:tcPr>
          <w:p w14:paraId="414B2E92" w14:textId="1A71896F"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F343BD">
              <w:rPr>
                <w:vertAlign w:val="superscript"/>
              </w:rPr>
              <w:t>2</w:t>
            </w:r>
          </w:p>
        </w:tc>
        <w:tc>
          <w:tcPr>
            <w:tcW w:w="823" w:type="pct"/>
            <w:tcBorders>
              <w:top w:val="nil"/>
              <w:left w:val="nil"/>
              <w:bottom w:val="single" w:sz="4" w:space="0" w:color="auto"/>
              <w:right w:val="single" w:sz="4" w:space="0" w:color="auto"/>
            </w:tcBorders>
            <w:shd w:val="clear" w:color="auto" w:fill="auto"/>
            <w:noWrap/>
            <w:vAlign w:val="center"/>
          </w:tcPr>
          <w:p w14:paraId="7C46724C" w14:textId="557AF3C8" w:rsidR="00BB4C7A" w:rsidRPr="00F343BD" w:rsidRDefault="00BD3549" w:rsidP="00ED36A0">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BB4C7A" w:rsidRPr="003043F2">
              <w:rPr>
                <w:vertAlign w:val="superscript"/>
              </w:rPr>
              <w:t>14</w:t>
            </w:r>
          </w:p>
        </w:tc>
        <w:tc>
          <w:tcPr>
            <w:tcW w:w="822" w:type="pct"/>
            <w:tcBorders>
              <w:top w:val="nil"/>
              <w:left w:val="nil"/>
              <w:bottom w:val="single" w:sz="4" w:space="0" w:color="auto"/>
              <w:right w:val="single" w:sz="4" w:space="0" w:color="auto"/>
            </w:tcBorders>
            <w:shd w:val="clear" w:color="auto" w:fill="auto"/>
            <w:noWrap/>
            <w:vAlign w:val="center"/>
          </w:tcPr>
          <w:p w14:paraId="359BD6F4" w14:textId="77777777" w:rsidR="00BB4C7A" w:rsidRPr="001611DC" w:rsidRDefault="00BB4C7A" w:rsidP="00ED36A0">
            <w:pPr>
              <w:pStyle w:val="TableText0"/>
              <w:jc w:val="center"/>
            </w:pPr>
            <w:r w:rsidRPr="001611DC">
              <w:t>-</w:t>
            </w:r>
          </w:p>
        </w:tc>
      </w:tr>
      <w:tr w:rsidR="00BB4C7A" w:rsidRPr="001611DC" w14:paraId="7E17634A" w14:textId="77777777" w:rsidTr="00ED36A0">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DD0BB8" w14:textId="77777777" w:rsidR="00BB4C7A" w:rsidRPr="001611DC" w:rsidRDefault="00BB4C7A" w:rsidP="00ED36A0">
            <w:pPr>
              <w:pStyle w:val="TableText0"/>
              <w:rPr>
                <w:b/>
                <w:bCs w:val="0"/>
              </w:rPr>
            </w:pPr>
            <w:r w:rsidRPr="001611DC">
              <w:rPr>
                <w:b/>
                <w:bCs w:val="0"/>
              </w:rPr>
              <w:t>Health outcomes</w:t>
            </w:r>
          </w:p>
        </w:tc>
      </w:tr>
      <w:tr w:rsidR="00BB4C7A" w:rsidRPr="001611DC" w14:paraId="1DB359C7"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6248F8BB" w14:textId="77777777" w:rsidR="00BB4C7A" w:rsidRPr="001611DC" w:rsidRDefault="00BB4C7A" w:rsidP="00ED36A0">
            <w:pPr>
              <w:pStyle w:val="TableText0"/>
            </w:pPr>
            <w:r w:rsidRPr="001611DC">
              <w:t>Lys lost</w:t>
            </w:r>
          </w:p>
        </w:tc>
        <w:tc>
          <w:tcPr>
            <w:tcW w:w="823" w:type="pct"/>
            <w:tcBorders>
              <w:top w:val="nil"/>
              <w:left w:val="nil"/>
              <w:bottom w:val="single" w:sz="4" w:space="0" w:color="auto"/>
              <w:right w:val="single" w:sz="4" w:space="0" w:color="auto"/>
            </w:tcBorders>
            <w:shd w:val="clear" w:color="auto" w:fill="auto"/>
            <w:noWrap/>
            <w:vAlign w:val="center"/>
          </w:tcPr>
          <w:p w14:paraId="247AF8AC" w14:textId="77777777" w:rsidR="00BB4C7A" w:rsidRPr="002D7287" w:rsidRDefault="00BB4C7A" w:rsidP="00ED36A0">
            <w:pPr>
              <w:pStyle w:val="TableText0"/>
              <w:jc w:val="center"/>
            </w:pPr>
            <w:r w:rsidRPr="002D7287">
              <w:t>13,083</w:t>
            </w:r>
          </w:p>
        </w:tc>
        <w:tc>
          <w:tcPr>
            <w:tcW w:w="823" w:type="pct"/>
            <w:tcBorders>
              <w:top w:val="nil"/>
              <w:left w:val="nil"/>
              <w:bottom w:val="single" w:sz="4" w:space="0" w:color="auto"/>
              <w:right w:val="single" w:sz="4" w:space="0" w:color="auto"/>
            </w:tcBorders>
            <w:shd w:val="clear" w:color="auto" w:fill="auto"/>
            <w:noWrap/>
            <w:vAlign w:val="center"/>
          </w:tcPr>
          <w:p w14:paraId="1CA2B70D" w14:textId="77777777" w:rsidR="00BB4C7A" w:rsidRPr="002D7287" w:rsidRDefault="00BB4C7A" w:rsidP="00ED36A0">
            <w:pPr>
              <w:pStyle w:val="TableText0"/>
              <w:jc w:val="center"/>
            </w:pPr>
            <w:r w:rsidRPr="002D7287">
              <w:t>28,779</w:t>
            </w:r>
          </w:p>
        </w:tc>
        <w:tc>
          <w:tcPr>
            <w:tcW w:w="823" w:type="pct"/>
            <w:tcBorders>
              <w:top w:val="nil"/>
              <w:left w:val="nil"/>
              <w:bottom w:val="single" w:sz="4" w:space="0" w:color="auto"/>
              <w:right w:val="single" w:sz="4" w:space="0" w:color="auto"/>
            </w:tcBorders>
            <w:shd w:val="clear" w:color="auto" w:fill="auto"/>
            <w:noWrap/>
            <w:vAlign w:val="center"/>
          </w:tcPr>
          <w:p w14:paraId="29553C06" w14:textId="77777777" w:rsidR="00BB4C7A" w:rsidRPr="002D7287" w:rsidRDefault="00BB4C7A" w:rsidP="00ED36A0">
            <w:pPr>
              <w:pStyle w:val="TableText0"/>
              <w:jc w:val="center"/>
            </w:pPr>
            <w:r w:rsidRPr="002D7287">
              <w:t>-15,697</w:t>
            </w:r>
          </w:p>
        </w:tc>
        <w:tc>
          <w:tcPr>
            <w:tcW w:w="822" w:type="pct"/>
            <w:tcBorders>
              <w:top w:val="nil"/>
              <w:left w:val="nil"/>
              <w:bottom w:val="single" w:sz="4" w:space="0" w:color="auto"/>
              <w:right w:val="single" w:sz="4" w:space="0" w:color="auto"/>
            </w:tcBorders>
            <w:shd w:val="clear" w:color="auto" w:fill="auto"/>
            <w:noWrap/>
            <w:vAlign w:val="center"/>
          </w:tcPr>
          <w:p w14:paraId="45EC84E7" w14:textId="77777777" w:rsidR="00BB4C7A" w:rsidRPr="002D7287" w:rsidRDefault="00BB4C7A" w:rsidP="00ED36A0">
            <w:pPr>
              <w:pStyle w:val="TableText0"/>
              <w:jc w:val="center"/>
            </w:pPr>
            <w:r w:rsidRPr="002D7287">
              <w:t>100.0%</w:t>
            </w:r>
          </w:p>
        </w:tc>
      </w:tr>
      <w:tr w:rsidR="00BB4C7A" w:rsidRPr="001611DC" w14:paraId="0A3C0920"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0487E231" w14:textId="77777777" w:rsidR="00BB4C7A" w:rsidRPr="001611DC" w:rsidRDefault="00BB4C7A" w:rsidP="00ED36A0">
            <w:pPr>
              <w:pStyle w:val="TableText0"/>
            </w:pPr>
            <w:r w:rsidRPr="001611DC">
              <w:t>QALYs lost</w:t>
            </w:r>
          </w:p>
        </w:tc>
        <w:tc>
          <w:tcPr>
            <w:tcW w:w="823" w:type="pct"/>
            <w:tcBorders>
              <w:top w:val="nil"/>
              <w:left w:val="nil"/>
              <w:bottom w:val="single" w:sz="4" w:space="0" w:color="auto"/>
              <w:right w:val="single" w:sz="4" w:space="0" w:color="auto"/>
            </w:tcBorders>
            <w:shd w:val="clear" w:color="auto" w:fill="auto"/>
            <w:noWrap/>
            <w:vAlign w:val="center"/>
          </w:tcPr>
          <w:p w14:paraId="6BFD1C6F" w14:textId="77777777" w:rsidR="00BB4C7A" w:rsidRPr="002D7287" w:rsidRDefault="00BB4C7A" w:rsidP="00ED36A0">
            <w:pPr>
              <w:pStyle w:val="TableText0"/>
              <w:jc w:val="center"/>
            </w:pPr>
            <w:r w:rsidRPr="002D7287">
              <w:t>14,107</w:t>
            </w:r>
          </w:p>
        </w:tc>
        <w:tc>
          <w:tcPr>
            <w:tcW w:w="823" w:type="pct"/>
            <w:tcBorders>
              <w:top w:val="nil"/>
              <w:left w:val="nil"/>
              <w:bottom w:val="single" w:sz="4" w:space="0" w:color="auto"/>
              <w:right w:val="single" w:sz="4" w:space="0" w:color="auto"/>
            </w:tcBorders>
            <w:shd w:val="clear" w:color="auto" w:fill="auto"/>
            <w:noWrap/>
            <w:vAlign w:val="center"/>
          </w:tcPr>
          <w:p w14:paraId="6838B5B9" w14:textId="77777777" w:rsidR="00BB4C7A" w:rsidRPr="002D7287" w:rsidRDefault="00BB4C7A" w:rsidP="00ED36A0">
            <w:pPr>
              <w:pStyle w:val="TableText0"/>
              <w:jc w:val="center"/>
            </w:pPr>
            <w:r w:rsidRPr="002D7287">
              <w:t>29,288</w:t>
            </w:r>
          </w:p>
        </w:tc>
        <w:tc>
          <w:tcPr>
            <w:tcW w:w="823" w:type="pct"/>
            <w:tcBorders>
              <w:top w:val="nil"/>
              <w:left w:val="nil"/>
              <w:bottom w:val="single" w:sz="4" w:space="0" w:color="auto"/>
              <w:right w:val="single" w:sz="4" w:space="0" w:color="auto"/>
            </w:tcBorders>
            <w:shd w:val="clear" w:color="auto" w:fill="auto"/>
            <w:noWrap/>
            <w:vAlign w:val="center"/>
          </w:tcPr>
          <w:p w14:paraId="62A06D85" w14:textId="77777777" w:rsidR="00BB4C7A" w:rsidRPr="002D7287" w:rsidRDefault="00BB4C7A" w:rsidP="00ED36A0">
            <w:pPr>
              <w:pStyle w:val="TableText0"/>
              <w:jc w:val="center"/>
            </w:pPr>
            <w:r w:rsidRPr="002D7287">
              <w:t>-15,182</w:t>
            </w:r>
          </w:p>
        </w:tc>
        <w:tc>
          <w:tcPr>
            <w:tcW w:w="822" w:type="pct"/>
            <w:tcBorders>
              <w:top w:val="nil"/>
              <w:left w:val="nil"/>
              <w:bottom w:val="single" w:sz="4" w:space="0" w:color="auto"/>
              <w:right w:val="single" w:sz="4" w:space="0" w:color="auto"/>
            </w:tcBorders>
            <w:shd w:val="clear" w:color="auto" w:fill="auto"/>
            <w:noWrap/>
            <w:vAlign w:val="center"/>
          </w:tcPr>
          <w:p w14:paraId="3F967610" w14:textId="77777777" w:rsidR="00BB4C7A" w:rsidRPr="002D7287" w:rsidRDefault="00BB4C7A" w:rsidP="00ED36A0">
            <w:pPr>
              <w:pStyle w:val="TableText0"/>
              <w:jc w:val="center"/>
            </w:pPr>
            <w:r w:rsidRPr="002D7287">
              <w:t>100.0%</w:t>
            </w:r>
          </w:p>
        </w:tc>
      </w:tr>
      <w:tr w:rsidR="00BB4C7A" w:rsidRPr="001611DC" w14:paraId="4356F33C"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3C36C4C7" w14:textId="77777777" w:rsidR="00BB4C7A" w:rsidRPr="001611DC" w:rsidRDefault="00BB4C7A" w:rsidP="00ED36A0">
            <w:pPr>
              <w:pStyle w:val="TableText0"/>
              <w:ind w:firstLineChars="200" w:firstLine="400"/>
            </w:pPr>
            <w:r w:rsidRPr="001611DC">
              <w:t>RSV-related deaths</w:t>
            </w:r>
          </w:p>
        </w:tc>
        <w:tc>
          <w:tcPr>
            <w:tcW w:w="823" w:type="pct"/>
            <w:tcBorders>
              <w:top w:val="nil"/>
              <w:left w:val="nil"/>
              <w:bottom w:val="single" w:sz="4" w:space="0" w:color="auto"/>
              <w:right w:val="single" w:sz="4" w:space="0" w:color="auto"/>
            </w:tcBorders>
            <w:shd w:val="clear" w:color="auto" w:fill="auto"/>
            <w:noWrap/>
            <w:vAlign w:val="center"/>
          </w:tcPr>
          <w:p w14:paraId="1C27C9F5" w14:textId="62B169BC" w:rsidR="00BB4C7A" w:rsidRPr="00077C0B" w:rsidRDefault="00BB4C7A" w:rsidP="00ED36A0">
            <w:pPr>
              <w:pStyle w:val="TableText0"/>
              <w:jc w:val="center"/>
            </w:pPr>
            <w:r w:rsidRPr="00077C0B">
              <w:t>10,859</w:t>
            </w:r>
          </w:p>
        </w:tc>
        <w:tc>
          <w:tcPr>
            <w:tcW w:w="823" w:type="pct"/>
            <w:tcBorders>
              <w:top w:val="nil"/>
              <w:left w:val="nil"/>
              <w:bottom w:val="single" w:sz="4" w:space="0" w:color="auto"/>
              <w:right w:val="single" w:sz="4" w:space="0" w:color="auto"/>
            </w:tcBorders>
            <w:shd w:val="clear" w:color="auto" w:fill="auto"/>
            <w:noWrap/>
            <w:vAlign w:val="center"/>
          </w:tcPr>
          <w:p w14:paraId="3D7B704E" w14:textId="4B322AE9" w:rsidR="00BB4C7A" w:rsidRPr="00077C0B" w:rsidRDefault="00BB4C7A" w:rsidP="00ED36A0">
            <w:pPr>
              <w:pStyle w:val="TableText0"/>
              <w:jc w:val="center"/>
            </w:pPr>
            <w:r w:rsidRPr="00077C0B">
              <w:t>23,887</w:t>
            </w:r>
          </w:p>
        </w:tc>
        <w:tc>
          <w:tcPr>
            <w:tcW w:w="823" w:type="pct"/>
            <w:tcBorders>
              <w:top w:val="nil"/>
              <w:left w:val="nil"/>
              <w:bottom w:val="single" w:sz="4" w:space="0" w:color="auto"/>
              <w:right w:val="single" w:sz="4" w:space="0" w:color="auto"/>
            </w:tcBorders>
            <w:shd w:val="clear" w:color="auto" w:fill="auto"/>
            <w:noWrap/>
            <w:vAlign w:val="center"/>
          </w:tcPr>
          <w:p w14:paraId="439031EF" w14:textId="5EA50FC6" w:rsidR="00BB4C7A" w:rsidRPr="00077C0B" w:rsidRDefault="00BB4C7A" w:rsidP="00ED36A0">
            <w:pPr>
              <w:pStyle w:val="TableText0"/>
              <w:jc w:val="center"/>
            </w:pPr>
            <w:r w:rsidRPr="00077C0B">
              <w:t>-13,028</w:t>
            </w:r>
          </w:p>
        </w:tc>
        <w:tc>
          <w:tcPr>
            <w:tcW w:w="822" w:type="pct"/>
            <w:tcBorders>
              <w:top w:val="nil"/>
              <w:left w:val="nil"/>
              <w:bottom w:val="single" w:sz="4" w:space="0" w:color="auto"/>
              <w:right w:val="single" w:sz="4" w:space="0" w:color="auto"/>
            </w:tcBorders>
            <w:shd w:val="clear" w:color="auto" w:fill="auto"/>
            <w:noWrap/>
            <w:vAlign w:val="center"/>
          </w:tcPr>
          <w:p w14:paraId="0DD87040" w14:textId="77777777" w:rsidR="00BB4C7A" w:rsidRPr="00077C0B" w:rsidRDefault="00BB4C7A" w:rsidP="00ED36A0">
            <w:pPr>
              <w:pStyle w:val="TableText0"/>
              <w:jc w:val="center"/>
            </w:pPr>
            <w:r w:rsidRPr="00077C0B">
              <w:t>85.8%</w:t>
            </w:r>
          </w:p>
        </w:tc>
      </w:tr>
      <w:tr w:rsidR="00BB4C7A" w:rsidRPr="001611DC" w14:paraId="54DBE52A"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79BE102C" w14:textId="77777777" w:rsidR="00BB4C7A" w:rsidRPr="001611DC" w:rsidRDefault="00BB4C7A" w:rsidP="00ED36A0">
            <w:pPr>
              <w:pStyle w:val="TableText0"/>
              <w:ind w:firstLineChars="200" w:firstLine="400"/>
            </w:pPr>
            <w:r w:rsidRPr="001611DC">
              <w:t>Vaccine-related AEs</w:t>
            </w:r>
          </w:p>
        </w:tc>
        <w:tc>
          <w:tcPr>
            <w:tcW w:w="823" w:type="pct"/>
            <w:tcBorders>
              <w:top w:val="nil"/>
              <w:left w:val="nil"/>
              <w:bottom w:val="single" w:sz="4" w:space="0" w:color="auto"/>
              <w:right w:val="single" w:sz="4" w:space="0" w:color="auto"/>
            </w:tcBorders>
            <w:shd w:val="clear" w:color="auto" w:fill="auto"/>
            <w:noWrap/>
            <w:vAlign w:val="center"/>
          </w:tcPr>
          <w:p w14:paraId="0B7F5DDA" w14:textId="7D5B04AE" w:rsidR="00BB4C7A" w:rsidRPr="00077C0B" w:rsidRDefault="00BB4C7A" w:rsidP="00ED36A0">
            <w:pPr>
              <w:pStyle w:val="TableText0"/>
              <w:jc w:val="center"/>
            </w:pPr>
            <w:r w:rsidRPr="00077C0B">
              <w:t>35</w:t>
            </w:r>
          </w:p>
        </w:tc>
        <w:tc>
          <w:tcPr>
            <w:tcW w:w="823" w:type="pct"/>
            <w:tcBorders>
              <w:top w:val="nil"/>
              <w:left w:val="nil"/>
              <w:bottom w:val="single" w:sz="4" w:space="0" w:color="auto"/>
              <w:right w:val="single" w:sz="4" w:space="0" w:color="auto"/>
            </w:tcBorders>
            <w:shd w:val="clear" w:color="auto" w:fill="auto"/>
            <w:noWrap/>
            <w:vAlign w:val="center"/>
          </w:tcPr>
          <w:p w14:paraId="30401D08" w14:textId="27CF7AAD" w:rsidR="00BB4C7A" w:rsidRPr="00077C0B" w:rsidRDefault="00BB4C7A" w:rsidP="00ED36A0">
            <w:pPr>
              <w:pStyle w:val="TableText0"/>
              <w:jc w:val="center"/>
            </w:pPr>
            <w:r w:rsidRPr="00077C0B">
              <w:t>0</w:t>
            </w:r>
          </w:p>
        </w:tc>
        <w:tc>
          <w:tcPr>
            <w:tcW w:w="823" w:type="pct"/>
            <w:tcBorders>
              <w:top w:val="nil"/>
              <w:left w:val="nil"/>
              <w:bottom w:val="single" w:sz="4" w:space="0" w:color="auto"/>
              <w:right w:val="single" w:sz="4" w:space="0" w:color="auto"/>
            </w:tcBorders>
            <w:shd w:val="clear" w:color="auto" w:fill="auto"/>
            <w:noWrap/>
            <w:vAlign w:val="center"/>
          </w:tcPr>
          <w:p w14:paraId="26A69586" w14:textId="5DA2153D" w:rsidR="00BB4C7A" w:rsidRPr="00077C0B" w:rsidRDefault="00BB4C7A" w:rsidP="00ED36A0">
            <w:pPr>
              <w:pStyle w:val="TableText0"/>
              <w:jc w:val="center"/>
            </w:pPr>
            <w:r w:rsidRPr="00077C0B">
              <w:t>35</w:t>
            </w:r>
          </w:p>
        </w:tc>
        <w:tc>
          <w:tcPr>
            <w:tcW w:w="822" w:type="pct"/>
            <w:tcBorders>
              <w:top w:val="nil"/>
              <w:left w:val="nil"/>
              <w:bottom w:val="single" w:sz="4" w:space="0" w:color="auto"/>
              <w:right w:val="single" w:sz="4" w:space="0" w:color="auto"/>
            </w:tcBorders>
            <w:shd w:val="clear" w:color="auto" w:fill="auto"/>
            <w:noWrap/>
            <w:vAlign w:val="center"/>
          </w:tcPr>
          <w:p w14:paraId="5FC2F272" w14:textId="77777777" w:rsidR="00BB4C7A" w:rsidRPr="00077C0B" w:rsidRDefault="00BB4C7A" w:rsidP="00ED36A0">
            <w:pPr>
              <w:pStyle w:val="TableText0"/>
              <w:jc w:val="center"/>
            </w:pPr>
            <w:r w:rsidRPr="00077C0B">
              <w:t>-0.2%</w:t>
            </w:r>
          </w:p>
        </w:tc>
      </w:tr>
      <w:tr w:rsidR="00BB4C7A" w:rsidRPr="001611DC" w14:paraId="32786827"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12F36FBA" w14:textId="77777777" w:rsidR="00BB4C7A" w:rsidRPr="001611DC" w:rsidRDefault="00BB4C7A" w:rsidP="00ED36A0">
            <w:pPr>
              <w:pStyle w:val="TableText0"/>
              <w:ind w:firstLineChars="200" w:firstLine="400"/>
            </w:pPr>
            <w:r w:rsidRPr="001611DC">
              <w:t>RSV-URTD cases</w:t>
            </w:r>
          </w:p>
        </w:tc>
        <w:tc>
          <w:tcPr>
            <w:tcW w:w="823" w:type="pct"/>
            <w:tcBorders>
              <w:top w:val="nil"/>
              <w:left w:val="nil"/>
              <w:bottom w:val="single" w:sz="4" w:space="0" w:color="auto"/>
              <w:right w:val="single" w:sz="4" w:space="0" w:color="auto"/>
            </w:tcBorders>
            <w:shd w:val="clear" w:color="auto" w:fill="auto"/>
            <w:noWrap/>
            <w:vAlign w:val="center"/>
          </w:tcPr>
          <w:p w14:paraId="2011E287" w14:textId="2E15AF8F" w:rsidR="00BB4C7A" w:rsidRPr="00077C0B" w:rsidRDefault="00BB4C7A" w:rsidP="00ED36A0">
            <w:pPr>
              <w:pStyle w:val="TableText0"/>
              <w:jc w:val="center"/>
            </w:pPr>
            <w:r w:rsidRPr="00077C0B">
              <w:t>1,841</w:t>
            </w:r>
          </w:p>
        </w:tc>
        <w:tc>
          <w:tcPr>
            <w:tcW w:w="823" w:type="pct"/>
            <w:tcBorders>
              <w:top w:val="nil"/>
              <w:left w:val="nil"/>
              <w:bottom w:val="single" w:sz="4" w:space="0" w:color="auto"/>
              <w:right w:val="single" w:sz="4" w:space="0" w:color="auto"/>
            </w:tcBorders>
            <w:shd w:val="clear" w:color="auto" w:fill="auto"/>
            <w:noWrap/>
            <w:vAlign w:val="center"/>
          </w:tcPr>
          <w:p w14:paraId="692C121B" w14:textId="10FCD818" w:rsidR="00BB4C7A" w:rsidRPr="00077C0B" w:rsidRDefault="00BB4C7A" w:rsidP="00ED36A0">
            <w:pPr>
              <w:pStyle w:val="TableText0"/>
              <w:jc w:val="center"/>
            </w:pPr>
            <w:r w:rsidRPr="00077C0B">
              <w:t>2,438</w:t>
            </w:r>
          </w:p>
        </w:tc>
        <w:tc>
          <w:tcPr>
            <w:tcW w:w="823" w:type="pct"/>
            <w:tcBorders>
              <w:top w:val="nil"/>
              <w:left w:val="nil"/>
              <w:bottom w:val="single" w:sz="4" w:space="0" w:color="auto"/>
              <w:right w:val="single" w:sz="4" w:space="0" w:color="auto"/>
            </w:tcBorders>
            <w:shd w:val="clear" w:color="auto" w:fill="auto"/>
            <w:noWrap/>
            <w:vAlign w:val="center"/>
          </w:tcPr>
          <w:p w14:paraId="5ABF976F" w14:textId="4EFACDB6" w:rsidR="00BB4C7A" w:rsidRPr="00077C0B" w:rsidRDefault="00BB4C7A" w:rsidP="00ED36A0">
            <w:pPr>
              <w:pStyle w:val="TableText0"/>
              <w:jc w:val="center"/>
            </w:pPr>
            <w:r w:rsidRPr="00077C0B">
              <w:t>-596</w:t>
            </w:r>
          </w:p>
        </w:tc>
        <w:tc>
          <w:tcPr>
            <w:tcW w:w="822" w:type="pct"/>
            <w:tcBorders>
              <w:top w:val="nil"/>
              <w:left w:val="nil"/>
              <w:bottom w:val="single" w:sz="4" w:space="0" w:color="auto"/>
              <w:right w:val="single" w:sz="4" w:space="0" w:color="auto"/>
            </w:tcBorders>
            <w:shd w:val="clear" w:color="auto" w:fill="auto"/>
            <w:noWrap/>
            <w:vAlign w:val="center"/>
          </w:tcPr>
          <w:p w14:paraId="0321604F" w14:textId="77777777" w:rsidR="00BB4C7A" w:rsidRPr="00077C0B" w:rsidRDefault="00BB4C7A" w:rsidP="00ED36A0">
            <w:pPr>
              <w:pStyle w:val="TableText0"/>
              <w:jc w:val="center"/>
            </w:pPr>
            <w:r w:rsidRPr="00077C0B">
              <w:t>3.9%</w:t>
            </w:r>
          </w:p>
        </w:tc>
      </w:tr>
      <w:tr w:rsidR="00BB4C7A" w:rsidRPr="001611DC" w14:paraId="6CECF8C0" w14:textId="77777777" w:rsidTr="00ED36A0">
        <w:trPr>
          <w:trHeight w:val="20"/>
        </w:trPr>
        <w:tc>
          <w:tcPr>
            <w:tcW w:w="1709" w:type="pct"/>
            <w:tcBorders>
              <w:top w:val="nil"/>
              <w:left w:val="single" w:sz="4" w:space="0" w:color="auto"/>
              <w:bottom w:val="single" w:sz="4" w:space="0" w:color="auto"/>
              <w:right w:val="single" w:sz="4" w:space="0" w:color="auto"/>
            </w:tcBorders>
            <w:shd w:val="clear" w:color="auto" w:fill="auto"/>
            <w:noWrap/>
            <w:vAlign w:val="center"/>
            <w:hideMark/>
          </w:tcPr>
          <w:p w14:paraId="50407583" w14:textId="77777777" w:rsidR="00BB4C7A" w:rsidRPr="001611DC" w:rsidRDefault="00BB4C7A" w:rsidP="00ED36A0">
            <w:pPr>
              <w:pStyle w:val="TableText0"/>
              <w:ind w:firstLineChars="200" w:firstLine="400"/>
            </w:pPr>
            <w:r w:rsidRPr="001611DC">
              <w:t>RSV-LRTD cases</w:t>
            </w:r>
          </w:p>
        </w:tc>
        <w:tc>
          <w:tcPr>
            <w:tcW w:w="823" w:type="pct"/>
            <w:tcBorders>
              <w:top w:val="nil"/>
              <w:left w:val="nil"/>
              <w:bottom w:val="single" w:sz="4" w:space="0" w:color="auto"/>
              <w:right w:val="single" w:sz="4" w:space="0" w:color="auto"/>
            </w:tcBorders>
            <w:shd w:val="clear" w:color="auto" w:fill="auto"/>
            <w:noWrap/>
            <w:vAlign w:val="center"/>
          </w:tcPr>
          <w:p w14:paraId="53E90F29" w14:textId="06B2936A" w:rsidR="00BB4C7A" w:rsidRPr="00077C0B" w:rsidRDefault="00BB4C7A" w:rsidP="00ED36A0">
            <w:pPr>
              <w:pStyle w:val="TableText0"/>
              <w:jc w:val="center"/>
            </w:pPr>
            <w:r w:rsidRPr="00077C0B">
              <w:t>1,372</w:t>
            </w:r>
          </w:p>
        </w:tc>
        <w:tc>
          <w:tcPr>
            <w:tcW w:w="823" w:type="pct"/>
            <w:tcBorders>
              <w:top w:val="nil"/>
              <w:left w:val="nil"/>
              <w:bottom w:val="single" w:sz="4" w:space="0" w:color="auto"/>
              <w:right w:val="single" w:sz="4" w:space="0" w:color="auto"/>
            </w:tcBorders>
            <w:shd w:val="clear" w:color="auto" w:fill="auto"/>
            <w:noWrap/>
            <w:vAlign w:val="center"/>
          </w:tcPr>
          <w:p w14:paraId="2EF7794D" w14:textId="0BCE0A40" w:rsidR="00BB4C7A" w:rsidRPr="00077C0B" w:rsidRDefault="00BB4C7A" w:rsidP="00ED36A0">
            <w:pPr>
              <w:pStyle w:val="TableText0"/>
              <w:jc w:val="center"/>
            </w:pPr>
            <w:r w:rsidRPr="00077C0B">
              <w:t>2,964</w:t>
            </w:r>
          </w:p>
        </w:tc>
        <w:tc>
          <w:tcPr>
            <w:tcW w:w="823" w:type="pct"/>
            <w:tcBorders>
              <w:top w:val="nil"/>
              <w:left w:val="nil"/>
              <w:bottom w:val="single" w:sz="4" w:space="0" w:color="auto"/>
              <w:right w:val="single" w:sz="4" w:space="0" w:color="auto"/>
            </w:tcBorders>
            <w:shd w:val="clear" w:color="auto" w:fill="auto"/>
            <w:noWrap/>
            <w:vAlign w:val="center"/>
          </w:tcPr>
          <w:p w14:paraId="66F55DE8" w14:textId="7A6BEA53" w:rsidR="00BB4C7A" w:rsidRPr="00077C0B" w:rsidRDefault="00BB4C7A" w:rsidP="00ED36A0">
            <w:pPr>
              <w:pStyle w:val="TableText0"/>
              <w:jc w:val="center"/>
            </w:pPr>
            <w:r w:rsidRPr="00077C0B">
              <w:t>-1,592</w:t>
            </w:r>
          </w:p>
        </w:tc>
        <w:tc>
          <w:tcPr>
            <w:tcW w:w="822" w:type="pct"/>
            <w:tcBorders>
              <w:top w:val="nil"/>
              <w:left w:val="nil"/>
              <w:bottom w:val="single" w:sz="4" w:space="0" w:color="auto"/>
              <w:right w:val="single" w:sz="4" w:space="0" w:color="auto"/>
            </w:tcBorders>
            <w:shd w:val="clear" w:color="auto" w:fill="auto"/>
            <w:noWrap/>
            <w:vAlign w:val="center"/>
          </w:tcPr>
          <w:p w14:paraId="6E206C70" w14:textId="77777777" w:rsidR="00BB4C7A" w:rsidRPr="00077C0B" w:rsidRDefault="00BB4C7A" w:rsidP="00ED36A0">
            <w:pPr>
              <w:pStyle w:val="TableText0"/>
              <w:jc w:val="center"/>
            </w:pPr>
            <w:r w:rsidRPr="00077C0B">
              <w:t>10.5%</w:t>
            </w:r>
          </w:p>
        </w:tc>
      </w:tr>
    </w:tbl>
    <w:p w14:paraId="5A0FC586" w14:textId="19097162" w:rsidR="00BB4C7A" w:rsidRPr="001611DC" w:rsidRDefault="00BB4C7A" w:rsidP="002E6F4F">
      <w:pPr>
        <w:pStyle w:val="FooterTableFigure"/>
        <w:rPr>
          <w:rFonts w:eastAsiaTheme="majorEastAsia"/>
        </w:rPr>
      </w:pPr>
      <w:r w:rsidRPr="001611DC">
        <w:rPr>
          <w:rFonts w:eastAsiaTheme="majorEastAsia"/>
        </w:rPr>
        <w:t>Source: Table 3-59of the submission.</w:t>
      </w:r>
    </w:p>
    <w:p w14:paraId="2A19958D" w14:textId="77777777" w:rsidR="00BB4C7A" w:rsidRDefault="00BB4C7A" w:rsidP="002E6F4F">
      <w:pPr>
        <w:pStyle w:val="FooterTableFigure"/>
        <w:rPr>
          <w:rFonts w:eastAsiaTheme="majorEastAsia"/>
        </w:rPr>
      </w:pPr>
      <w:r w:rsidRPr="001611DC">
        <w:rPr>
          <w:rFonts w:eastAsiaTheme="majorEastAsia"/>
        </w:rPr>
        <w:t xml:space="preserve">AE = adverse event; ARI = acute respiratory infection; LRTD = lower respiratory tract disease; LY = life years; QALY = quality-adjusted life years; RSV= respiratory syncytial virus; </w:t>
      </w:r>
      <w:r w:rsidRPr="001611DC">
        <w:t xml:space="preserve">RSVPreF3 OA= RSV Pre-fusion protein 3 older adult; </w:t>
      </w:r>
      <w:r w:rsidRPr="001611DC">
        <w:rPr>
          <w:rFonts w:eastAsiaTheme="majorEastAsia"/>
        </w:rPr>
        <w:t>URTD = upper respiratory tract disease; YOA = years of age.</w:t>
      </w:r>
    </w:p>
    <w:p w14:paraId="328AFCF8" w14:textId="77777777" w:rsidR="00BB4C7A" w:rsidRPr="00CD3945" w:rsidRDefault="00BB4C7A" w:rsidP="00E65C1C">
      <w:pPr>
        <w:pStyle w:val="FooterTableFigure"/>
        <w:rPr>
          <w:rFonts w:eastAsiaTheme="majorEastAsia"/>
          <w:i/>
          <w:iCs/>
        </w:rPr>
      </w:pPr>
      <w:r w:rsidRPr="00CD3945">
        <w:rPr>
          <w:rFonts w:eastAsiaTheme="majorEastAsia"/>
          <w:i/>
          <w:iCs/>
        </w:rPr>
        <w:t>The redacted values correspond to the following ranges:</w:t>
      </w:r>
    </w:p>
    <w:p w14:paraId="76468BC3" w14:textId="0502D551" w:rsidR="00BB4C7A" w:rsidRPr="00CD3945" w:rsidRDefault="00BB4C7A" w:rsidP="00BB4C7A">
      <w:pPr>
        <w:pStyle w:val="FooterTableFigure"/>
        <w:rPr>
          <w:rFonts w:eastAsiaTheme="majorEastAsia"/>
          <w:i/>
          <w:iCs/>
        </w:rPr>
      </w:pPr>
      <w:r w:rsidRPr="00CD3945">
        <w:rPr>
          <w:rFonts w:eastAsiaTheme="majorEastAsia"/>
          <w:i/>
          <w:iCs/>
        </w:rPr>
        <w:t>1 2,000,000 to &lt; 3,000,000</w:t>
      </w:r>
    </w:p>
    <w:p w14:paraId="08ECF938" w14:textId="77777777" w:rsidR="00CD3945" w:rsidRPr="00CD3945" w:rsidRDefault="00CD3945" w:rsidP="00CD3945">
      <w:pPr>
        <w:pStyle w:val="FooterTableFigure"/>
        <w:rPr>
          <w:rFonts w:eastAsiaTheme="majorEastAsia"/>
          <w:i/>
          <w:iCs/>
        </w:rPr>
      </w:pPr>
      <w:r w:rsidRPr="00CD3945">
        <w:rPr>
          <w:rFonts w:eastAsiaTheme="majorEastAsia"/>
          <w:i/>
          <w:iCs/>
        </w:rPr>
        <w:t>2 &lt; 500</w:t>
      </w:r>
    </w:p>
    <w:p w14:paraId="0621875B" w14:textId="77777777" w:rsidR="00CD3945" w:rsidRPr="00CD3945" w:rsidRDefault="00CD3945" w:rsidP="00CD3945">
      <w:pPr>
        <w:pStyle w:val="FooterTableFigure"/>
        <w:rPr>
          <w:rFonts w:eastAsiaTheme="majorEastAsia"/>
          <w:i/>
          <w:iCs/>
        </w:rPr>
      </w:pPr>
      <w:r w:rsidRPr="00CD3945">
        <w:rPr>
          <w:rFonts w:eastAsiaTheme="majorEastAsia"/>
          <w:i/>
          <w:iCs/>
        </w:rPr>
        <w:t>3 200,000 to &lt; 300,000</w:t>
      </w:r>
    </w:p>
    <w:p w14:paraId="4F524F67" w14:textId="77777777" w:rsidR="00CD3945" w:rsidRPr="00CD3945" w:rsidRDefault="00CD3945" w:rsidP="00CD3945">
      <w:pPr>
        <w:pStyle w:val="FooterTableFigure"/>
        <w:rPr>
          <w:rFonts w:eastAsiaTheme="majorEastAsia"/>
          <w:i/>
          <w:iCs/>
        </w:rPr>
      </w:pPr>
      <w:r w:rsidRPr="00CD3945">
        <w:rPr>
          <w:rFonts w:eastAsiaTheme="majorEastAsia"/>
          <w:i/>
          <w:iCs/>
        </w:rPr>
        <w:t>4 300,000 to &lt; 400,000</w:t>
      </w:r>
    </w:p>
    <w:p w14:paraId="23BCF5BE" w14:textId="77777777" w:rsidR="00CD3945" w:rsidRPr="00CD3945" w:rsidRDefault="00CD3945" w:rsidP="00CD3945">
      <w:pPr>
        <w:pStyle w:val="FooterTableFigure"/>
        <w:rPr>
          <w:rFonts w:eastAsiaTheme="majorEastAsia"/>
          <w:i/>
          <w:iCs/>
        </w:rPr>
      </w:pPr>
      <w:r w:rsidRPr="00CD3945">
        <w:rPr>
          <w:rFonts w:eastAsiaTheme="majorEastAsia"/>
          <w:i/>
          <w:iCs/>
        </w:rPr>
        <w:t>5 100,000 to &lt; 200,000</w:t>
      </w:r>
    </w:p>
    <w:p w14:paraId="232C2CE7" w14:textId="77777777" w:rsidR="00CD3945" w:rsidRPr="00CD3945" w:rsidRDefault="00CD3945" w:rsidP="00CD3945">
      <w:pPr>
        <w:pStyle w:val="FooterTableFigure"/>
        <w:rPr>
          <w:rFonts w:eastAsiaTheme="majorEastAsia"/>
          <w:i/>
          <w:iCs/>
        </w:rPr>
      </w:pPr>
      <w:r w:rsidRPr="00CD3945">
        <w:rPr>
          <w:rFonts w:eastAsiaTheme="majorEastAsia"/>
          <w:i/>
          <w:iCs/>
        </w:rPr>
        <w:t>6 9 40,000 to &lt; 50,000</w:t>
      </w:r>
    </w:p>
    <w:p w14:paraId="70C35A34" w14:textId="77777777" w:rsidR="00CD3945" w:rsidRPr="00CD3945" w:rsidRDefault="00CD3945" w:rsidP="00CD3945">
      <w:pPr>
        <w:pStyle w:val="FooterTableFigure"/>
        <w:rPr>
          <w:rFonts w:eastAsiaTheme="majorEastAsia"/>
          <w:i/>
          <w:iCs/>
        </w:rPr>
      </w:pPr>
      <w:r w:rsidRPr="00CD3945">
        <w:rPr>
          <w:rFonts w:eastAsiaTheme="majorEastAsia"/>
          <w:i/>
          <w:iCs/>
        </w:rPr>
        <w:t>7 30,000 to &lt; 40,000</w:t>
      </w:r>
    </w:p>
    <w:p w14:paraId="11687740" w14:textId="77777777" w:rsidR="00CD3945" w:rsidRPr="00CD3945" w:rsidRDefault="00CD3945" w:rsidP="00CD3945">
      <w:pPr>
        <w:pStyle w:val="FooterTableFigure"/>
        <w:rPr>
          <w:rFonts w:eastAsiaTheme="majorEastAsia"/>
          <w:i/>
          <w:iCs/>
        </w:rPr>
      </w:pPr>
      <w:r w:rsidRPr="00CD3945">
        <w:rPr>
          <w:rFonts w:eastAsiaTheme="majorEastAsia"/>
          <w:i/>
          <w:iCs/>
        </w:rPr>
        <w:t>8 5,000 to &lt; 10,000</w:t>
      </w:r>
    </w:p>
    <w:p w14:paraId="6FB39D8D" w14:textId="77777777" w:rsidR="00CD3945" w:rsidRPr="00CD3945" w:rsidRDefault="00CD3945" w:rsidP="00CD3945">
      <w:pPr>
        <w:pStyle w:val="FooterTableFigure"/>
        <w:rPr>
          <w:rFonts w:eastAsiaTheme="majorEastAsia"/>
          <w:i/>
          <w:iCs/>
        </w:rPr>
      </w:pPr>
      <w:r w:rsidRPr="00CD3945">
        <w:rPr>
          <w:rFonts w:eastAsiaTheme="majorEastAsia"/>
          <w:i/>
          <w:iCs/>
        </w:rPr>
        <w:t>9 80,000 to &lt; 90,000</w:t>
      </w:r>
    </w:p>
    <w:p w14:paraId="58B0191E" w14:textId="77777777" w:rsidR="00CD3945" w:rsidRPr="00CD3945" w:rsidRDefault="00CD3945" w:rsidP="00CD3945">
      <w:pPr>
        <w:pStyle w:val="FooterTableFigure"/>
        <w:rPr>
          <w:rFonts w:eastAsiaTheme="majorEastAsia"/>
          <w:i/>
          <w:iCs/>
        </w:rPr>
      </w:pPr>
      <w:r w:rsidRPr="00CD3945">
        <w:rPr>
          <w:rFonts w:eastAsiaTheme="majorEastAsia"/>
          <w:i/>
          <w:iCs/>
        </w:rPr>
        <w:t xml:space="preserve">10 </w:t>
      </w:r>
      <w:bookmarkStart w:id="137" w:name="_Hlk113629218"/>
      <w:r w:rsidRPr="00CD3945">
        <w:rPr>
          <w:rFonts w:eastAsiaTheme="majorEastAsia"/>
          <w:i/>
          <w:iCs/>
        </w:rPr>
        <w:t>90,000 to &lt; 100,000</w:t>
      </w:r>
    </w:p>
    <w:bookmarkEnd w:id="137"/>
    <w:p w14:paraId="76C06724" w14:textId="77777777" w:rsidR="00CD3945" w:rsidRPr="00CD3945" w:rsidRDefault="00CD3945" w:rsidP="00CD3945">
      <w:pPr>
        <w:pStyle w:val="FooterTableFigure"/>
        <w:rPr>
          <w:rFonts w:eastAsiaTheme="majorEastAsia"/>
          <w:i/>
          <w:iCs/>
        </w:rPr>
      </w:pPr>
      <w:r w:rsidRPr="00CD3945">
        <w:rPr>
          <w:rFonts w:eastAsiaTheme="majorEastAsia"/>
          <w:i/>
          <w:iCs/>
        </w:rPr>
        <w:t xml:space="preserve">11 </w:t>
      </w:r>
      <w:bookmarkStart w:id="138" w:name="_Hlk113629100"/>
      <w:r w:rsidRPr="00CD3945">
        <w:rPr>
          <w:rFonts w:eastAsiaTheme="majorEastAsia"/>
          <w:i/>
          <w:iCs/>
        </w:rPr>
        <w:t>70,000 to &lt; 80,000</w:t>
      </w:r>
    </w:p>
    <w:bookmarkEnd w:id="138"/>
    <w:p w14:paraId="4E41C8B6" w14:textId="77777777" w:rsidR="00CD3945" w:rsidRPr="00CD3945" w:rsidRDefault="00CD3945" w:rsidP="00CD3945">
      <w:pPr>
        <w:pStyle w:val="FooterTableFigure"/>
        <w:rPr>
          <w:rFonts w:eastAsiaTheme="majorEastAsia"/>
          <w:i/>
          <w:iCs/>
        </w:rPr>
      </w:pPr>
      <w:r w:rsidRPr="00CD3945">
        <w:rPr>
          <w:rFonts w:eastAsiaTheme="majorEastAsia"/>
          <w:i/>
          <w:iCs/>
        </w:rPr>
        <w:t>12 10,000 to &lt; 20,000</w:t>
      </w:r>
    </w:p>
    <w:p w14:paraId="4CBDD90A" w14:textId="77777777" w:rsidR="00CD3945" w:rsidRPr="00CD3945" w:rsidRDefault="00CD3945" w:rsidP="00CD3945">
      <w:pPr>
        <w:pStyle w:val="FooterTableFigure"/>
        <w:rPr>
          <w:rFonts w:eastAsiaTheme="majorEastAsia"/>
          <w:i/>
          <w:iCs/>
        </w:rPr>
      </w:pPr>
      <w:r w:rsidRPr="00CD3945">
        <w:rPr>
          <w:rFonts w:eastAsiaTheme="majorEastAsia"/>
          <w:i/>
          <w:iCs/>
        </w:rPr>
        <w:t>13 500 to &lt; 5,000</w:t>
      </w:r>
    </w:p>
    <w:p w14:paraId="47D9C87B" w14:textId="3FAB3FBC" w:rsidR="00CD3945" w:rsidRPr="00CD3945" w:rsidRDefault="00CD3945" w:rsidP="00BB4C7A">
      <w:pPr>
        <w:pStyle w:val="FooterTableFigure"/>
        <w:rPr>
          <w:rFonts w:eastAsiaTheme="majorEastAsia"/>
          <w:i/>
          <w:iCs/>
        </w:rPr>
      </w:pPr>
      <w:r w:rsidRPr="00CD3945">
        <w:rPr>
          <w:rFonts w:eastAsiaTheme="majorEastAsia"/>
          <w:i/>
          <w:iCs/>
        </w:rPr>
        <w:t>14 50,000 to &lt; 60,000</w:t>
      </w:r>
    </w:p>
    <w:p w14:paraId="33B30BD1" w14:textId="672BAF86" w:rsidR="002E6F4F" w:rsidRPr="001611DC" w:rsidRDefault="002E6F4F" w:rsidP="002E6F4F">
      <w:pPr>
        <w:pStyle w:val="3-BodyText"/>
      </w:pPr>
      <w:r w:rsidRPr="001611DC">
        <w:rPr>
          <w:rFonts w:cs="Calibri"/>
          <w:iCs/>
        </w:rPr>
        <w:t>QALYs lost</w:t>
      </w:r>
      <w:r w:rsidRPr="001611DC">
        <w:rPr>
          <w:iCs/>
        </w:rPr>
        <w:t xml:space="preserve"> in the </w:t>
      </w:r>
      <w:r w:rsidR="00E2719A" w:rsidRPr="001611DC">
        <w:rPr>
          <w:iCs/>
        </w:rPr>
        <w:t>≥</w:t>
      </w:r>
      <w:r w:rsidRPr="001611DC">
        <w:rPr>
          <w:iCs/>
        </w:rPr>
        <w:t>75 YOA population</w:t>
      </w:r>
      <w:r w:rsidRPr="001611DC">
        <w:t xml:space="preserve"> </w:t>
      </w:r>
      <w:r w:rsidRPr="001611DC">
        <w:rPr>
          <w:rFonts w:cs="Calibri"/>
          <w:iCs/>
        </w:rPr>
        <w:t>were driven by RSV-related deaths (</w:t>
      </w:r>
      <w:r w:rsidRPr="00E900B8">
        <w:rPr>
          <w:rFonts w:cs="Calibri"/>
          <w:iCs/>
        </w:rPr>
        <w:t>85.8</w:t>
      </w:r>
      <w:r w:rsidRPr="008D2362">
        <w:rPr>
          <w:rFonts w:cs="Calibri"/>
          <w:iCs/>
        </w:rPr>
        <w:t>%),</w:t>
      </w:r>
      <w:r w:rsidRPr="001611DC">
        <w:rPr>
          <w:rFonts w:cs="Calibri"/>
          <w:iCs/>
        </w:rPr>
        <w:t xml:space="preserve"> which were estimated using baseline utility and extrapolated over a lifetime time horizon.</w:t>
      </w:r>
    </w:p>
    <w:p w14:paraId="76D92E5C" w14:textId="2E4305F3" w:rsidR="002E6F4F" w:rsidRPr="001611DC" w:rsidRDefault="002E6F4F" w:rsidP="002E6F4F">
      <w:pPr>
        <w:pStyle w:val="3-BodyText"/>
      </w:pPr>
      <w:r w:rsidRPr="001611DC">
        <w:t xml:space="preserve">Based on the base case economic model presented by the submission, for every 1,000 patients vaccinated with RSVPreF3 OA in comparison with no vaccine for the </w:t>
      </w:r>
      <w:r w:rsidR="00E2719A" w:rsidRPr="001611DC">
        <w:rPr>
          <w:rFonts w:cstheme="minorHAnsi"/>
        </w:rPr>
        <w:t>≥</w:t>
      </w:r>
      <w:r w:rsidRPr="001611DC">
        <w:t>60 YOA population, approximately:</w:t>
      </w:r>
    </w:p>
    <w:p w14:paraId="04D46CAC" w14:textId="61F3A329" w:rsidR="002E6F4F" w:rsidRPr="001611DC" w:rsidRDefault="00316EC3" w:rsidP="002E6F4F">
      <w:pPr>
        <w:pStyle w:val="ListParagraph"/>
        <w:tabs>
          <w:tab w:val="num" w:pos="1134"/>
        </w:tabs>
        <w:ind w:left="1134"/>
      </w:pPr>
      <w:r w:rsidRPr="001611DC">
        <w:t>42 fewer cases of RSV-LRTD will be acquired.</w:t>
      </w:r>
    </w:p>
    <w:p w14:paraId="6459AFAA" w14:textId="54079AE5" w:rsidR="002E6F4F" w:rsidRPr="001611DC" w:rsidRDefault="002E6F4F" w:rsidP="002E6F4F">
      <w:pPr>
        <w:pStyle w:val="ListParagraph"/>
        <w:tabs>
          <w:tab w:val="num" w:pos="1134"/>
        </w:tabs>
        <w:ind w:left="1134"/>
      </w:pPr>
      <w:r w:rsidRPr="001611DC">
        <w:t>4 L</w:t>
      </w:r>
      <w:r w:rsidR="0083552E" w:rsidRPr="001611DC">
        <w:t>y</w:t>
      </w:r>
      <w:r w:rsidRPr="001611DC">
        <w:t>s will be gained.</w:t>
      </w:r>
    </w:p>
    <w:p w14:paraId="5FB4FAE7" w14:textId="77777777" w:rsidR="002E6F4F" w:rsidRPr="001611DC" w:rsidRDefault="002E6F4F" w:rsidP="002E6F4F">
      <w:pPr>
        <w:pStyle w:val="ListParagraph"/>
        <w:tabs>
          <w:tab w:val="num" w:pos="1134"/>
        </w:tabs>
        <w:ind w:left="1134"/>
      </w:pPr>
      <w:r w:rsidRPr="001611DC">
        <w:t>4 QALYs will be gained.</w:t>
      </w:r>
    </w:p>
    <w:p w14:paraId="3D0A4A35" w14:textId="090233BB" w:rsidR="002E6F4F" w:rsidRPr="001611DC" w:rsidRDefault="002E6F4F" w:rsidP="002E6F4F">
      <w:pPr>
        <w:pStyle w:val="ListParagraph"/>
        <w:tabs>
          <w:tab w:val="num" w:pos="1134"/>
        </w:tabs>
        <w:ind w:left="1134"/>
      </w:pPr>
      <w:r w:rsidRPr="001611DC">
        <w:lastRenderedPageBreak/>
        <w:t>$</w:t>
      </w:r>
      <w:r w:rsidR="00FC75A2" w:rsidRPr="00FC75A2">
        <w:t>0 to &lt; $10 million</w:t>
      </w:r>
      <w:r w:rsidR="00E3503D">
        <w:t xml:space="preserve"> </w:t>
      </w:r>
      <w:r w:rsidRPr="001611DC">
        <w:t>will be saved in hospitalisations</w:t>
      </w:r>
      <w:r w:rsidR="00316EC3" w:rsidRPr="001611DC">
        <w:t xml:space="preserve"> due to RSV-LRTD</w:t>
      </w:r>
      <w:r w:rsidRPr="001611DC">
        <w:t>.</w:t>
      </w:r>
    </w:p>
    <w:p w14:paraId="4ECDA85F" w14:textId="2B2833A5" w:rsidR="002E6F4F" w:rsidRPr="001611DC" w:rsidRDefault="002E6F4F" w:rsidP="002E6F4F">
      <w:pPr>
        <w:pStyle w:val="ListParagraph"/>
        <w:tabs>
          <w:tab w:val="num" w:pos="1134"/>
        </w:tabs>
        <w:ind w:left="1134"/>
      </w:pPr>
      <w:r w:rsidRPr="001611DC">
        <w:t xml:space="preserve">0.4 </w:t>
      </w:r>
      <w:r w:rsidR="00316EC3" w:rsidRPr="001611DC">
        <w:t>deaths will be avoided</w:t>
      </w:r>
      <w:r w:rsidRPr="001611DC">
        <w:t>.</w:t>
      </w:r>
    </w:p>
    <w:p w14:paraId="42C12B8A" w14:textId="77777777" w:rsidR="002E6F4F" w:rsidRPr="001611DC" w:rsidRDefault="002E6F4F" w:rsidP="002E6F4F">
      <w:pPr>
        <w:pStyle w:val="ListParagraph"/>
        <w:tabs>
          <w:tab w:val="num" w:pos="1134"/>
        </w:tabs>
        <w:ind w:left="1134"/>
      </w:pPr>
      <w:r w:rsidRPr="001611DC">
        <w:t>23 will have a vaccine-related AE.</w:t>
      </w:r>
    </w:p>
    <w:p w14:paraId="07B01D9C" w14:textId="516533D7" w:rsidR="002E6F4F" w:rsidRPr="001611DC" w:rsidRDefault="002E6F4F" w:rsidP="002E6F4F">
      <w:pPr>
        <w:pStyle w:val="3-BodyText"/>
      </w:pPr>
      <w:r w:rsidRPr="001611DC">
        <w:t xml:space="preserve">Based on the base case economic model presented by the submission, for every 1,000 patients vaccinated with RSVPreF3 OA in comparison with no vaccine for the </w:t>
      </w:r>
      <w:r w:rsidR="00E2719A" w:rsidRPr="001611DC">
        <w:rPr>
          <w:rFonts w:cstheme="minorHAnsi"/>
        </w:rPr>
        <w:t>≥</w:t>
      </w:r>
      <w:r w:rsidRPr="001611DC">
        <w:t>75 YOA population, approximately:</w:t>
      </w:r>
    </w:p>
    <w:p w14:paraId="0A6CA04C" w14:textId="458FA5CC" w:rsidR="002E6F4F" w:rsidRPr="001611DC" w:rsidRDefault="002E6F4F" w:rsidP="002E6F4F">
      <w:pPr>
        <w:pStyle w:val="ListParagraph"/>
        <w:tabs>
          <w:tab w:val="num" w:pos="1134"/>
        </w:tabs>
        <w:ind w:left="1134"/>
      </w:pPr>
      <w:r w:rsidRPr="001611DC">
        <w:t xml:space="preserve">41 fewer </w:t>
      </w:r>
      <w:r w:rsidR="00316EC3" w:rsidRPr="001611DC">
        <w:t>cases of RSV-LRTD will be acquired.</w:t>
      </w:r>
      <w:r w:rsidRPr="001611DC">
        <w:t xml:space="preserve"> </w:t>
      </w:r>
    </w:p>
    <w:p w14:paraId="044E470C" w14:textId="7BC324F7" w:rsidR="002E6F4F" w:rsidRPr="001611DC" w:rsidRDefault="002E6F4F" w:rsidP="002E6F4F">
      <w:pPr>
        <w:pStyle w:val="ListParagraph"/>
        <w:tabs>
          <w:tab w:val="num" w:pos="1134"/>
        </w:tabs>
        <w:ind w:left="1134"/>
      </w:pPr>
      <w:r w:rsidRPr="001611DC">
        <w:t>7 L</w:t>
      </w:r>
      <w:r w:rsidR="0083552E" w:rsidRPr="001611DC">
        <w:t>y</w:t>
      </w:r>
      <w:r w:rsidRPr="001611DC">
        <w:t>s will be gained.</w:t>
      </w:r>
    </w:p>
    <w:p w14:paraId="4A085D1E" w14:textId="77777777" w:rsidR="002E6F4F" w:rsidRPr="001611DC" w:rsidRDefault="002E6F4F" w:rsidP="002E6F4F">
      <w:pPr>
        <w:pStyle w:val="ListParagraph"/>
        <w:tabs>
          <w:tab w:val="num" w:pos="1134"/>
        </w:tabs>
        <w:ind w:left="1134"/>
      </w:pPr>
      <w:r w:rsidRPr="001611DC">
        <w:t>7 QALYs will be gained.</w:t>
      </w:r>
    </w:p>
    <w:p w14:paraId="3DE925DC" w14:textId="58BE2818" w:rsidR="002E6F4F" w:rsidRPr="001611DC" w:rsidRDefault="00A03378" w:rsidP="002E6F4F">
      <w:pPr>
        <w:pStyle w:val="ListParagraph"/>
        <w:tabs>
          <w:tab w:val="num" w:pos="1134"/>
        </w:tabs>
        <w:ind w:left="1134"/>
      </w:pPr>
      <w:r w:rsidRPr="00A03378">
        <w:t xml:space="preserve">$0 to &lt; $10 </w:t>
      </w:r>
      <w:r w:rsidR="00E3503D" w:rsidRPr="00A03378">
        <w:t>million</w:t>
      </w:r>
      <w:r w:rsidR="00E3503D" w:rsidRPr="001611DC">
        <w:t xml:space="preserve"> will</w:t>
      </w:r>
      <w:r w:rsidR="002E6F4F" w:rsidRPr="001611DC">
        <w:t xml:space="preserve"> be saved in hospitalisations</w:t>
      </w:r>
      <w:r w:rsidR="00316EC3" w:rsidRPr="001611DC">
        <w:t xml:space="preserve"> due to RSV-LRTD</w:t>
      </w:r>
      <w:r w:rsidR="002E6F4F" w:rsidRPr="001611DC">
        <w:t>.</w:t>
      </w:r>
    </w:p>
    <w:p w14:paraId="345E3A38" w14:textId="32D851B6" w:rsidR="002E6F4F" w:rsidRPr="001611DC" w:rsidRDefault="002E6F4F" w:rsidP="002E6F4F">
      <w:pPr>
        <w:pStyle w:val="ListParagraph"/>
        <w:tabs>
          <w:tab w:val="num" w:pos="1134"/>
        </w:tabs>
        <w:ind w:left="1134"/>
      </w:pPr>
      <w:r w:rsidRPr="001611DC">
        <w:t xml:space="preserve">1 </w:t>
      </w:r>
      <w:r w:rsidR="00316EC3" w:rsidRPr="001611DC">
        <w:t>death will be avoided.</w:t>
      </w:r>
    </w:p>
    <w:p w14:paraId="1DEC5342" w14:textId="77777777" w:rsidR="002E6F4F" w:rsidRPr="001611DC" w:rsidRDefault="002E6F4F" w:rsidP="002E6F4F">
      <w:pPr>
        <w:pStyle w:val="ListParagraph"/>
        <w:tabs>
          <w:tab w:val="num" w:pos="1134"/>
        </w:tabs>
        <w:ind w:left="1134"/>
      </w:pPr>
      <w:r w:rsidRPr="001611DC">
        <w:t>23 will have a vaccine-related AE.</w:t>
      </w:r>
    </w:p>
    <w:p w14:paraId="0E42C772" w14:textId="356B21E7" w:rsidR="002E6F4F" w:rsidRPr="001611DC" w:rsidRDefault="002E6F4F" w:rsidP="002E6F4F">
      <w:pPr>
        <w:pStyle w:val="3-BodyText"/>
      </w:pPr>
      <w:bookmarkStart w:id="139" w:name="_Ref174362180"/>
      <w:r w:rsidRPr="001611DC">
        <w:t xml:space="preserve">The results of key univariate / multivariate sensitivity analyses are summarised in </w:t>
      </w:r>
      <w:r w:rsidRPr="001611DC">
        <w:fldChar w:fldCharType="begin" w:fldLock="1"/>
      </w:r>
      <w:r w:rsidRPr="001611DC">
        <w:instrText xml:space="preserve"> REF _Ref104804865 \h </w:instrText>
      </w:r>
      <w:r w:rsidRPr="001611DC">
        <w:fldChar w:fldCharType="separate"/>
      </w:r>
      <w:r w:rsidR="00927933" w:rsidRPr="001611DC">
        <w:t>Table 24</w:t>
      </w:r>
      <w:r w:rsidRPr="001611DC">
        <w:fldChar w:fldCharType="end"/>
      </w:r>
      <w:r w:rsidRPr="001611DC">
        <w:t xml:space="preserve">. </w:t>
      </w:r>
      <w:r w:rsidRPr="001611DC">
        <w:rPr>
          <w:iCs/>
        </w:rPr>
        <w:t>Due to the small incremental per person costs and QALYs in the base case evaluation, changes in most parameters had a substantial effect on the ICER when testing alternative inputs.</w:t>
      </w:r>
      <w:bookmarkEnd w:id="139"/>
    </w:p>
    <w:p w14:paraId="32EA2A4B" w14:textId="0056CF97" w:rsidR="002E6F4F" w:rsidRPr="001611DC" w:rsidRDefault="002E6F4F" w:rsidP="002E6F4F">
      <w:pPr>
        <w:pStyle w:val="Caption"/>
        <w:rPr>
          <w:rStyle w:val="CommentReference"/>
          <w:b/>
        </w:rPr>
      </w:pPr>
      <w:bookmarkStart w:id="140" w:name="_Ref104804865"/>
      <w:bookmarkStart w:id="141" w:name="_Ref170076401"/>
      <w:bookmarkStart w:id="142" w:name="_Hlk169883956"/>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24</w:t>
      </w:r>
      <w:r w:rsidR="005473CE" w:rsidRPr="001611DC">
        <w:fldChar w:fldCharType="end"/>
      </w:r>
      <w:bookmarkEnd w:id="140"/>
      <w:r w:rsidRPr="001611DC">
        <w:t>:</w:t>
      </w:r>
      <w:r w:rsidRPr="787D3111">
        <w:rPr>
          <w:rStyle w:val="CommentReference"/>
          <w:b/>
        </w:rPr>
        <w:t xml:space="preserve"> Sensitivity analyses</w:t>
      </w:r>
      <w:bookmarkEnd w:id="1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28" w:type="dxa"/>
          <w:bottom w:w="11" w:type="dxa"/>
          <w:right w:w="28" w:type="dxa"/>
        </w:tblCellMar>
        <w:tblLook w:val="04A0" w:firstRow="1" w:lastRow="0" w:firstColumn="1" w:lastColumn="0" w:noHBand="0" w:noVBand="1"/>
        <w:tblCaption w:val="Table 24: Sensitivity analyses"/>
      </w:tblPr>
      <w:tblGrid>
        <w:gridCol w:w="1695"/>
        <w:gridCol w:w="1277"/>
        <w:gridCol w:w="709"/>
        <w:gridCol w:w="851"/>
        <w:gridCol w:w="853"/>
        <w:gridCol w:w="1232"/>
        <w:gridCol w:w="775"/>
        <w:gridCol w:w="918"/>
        <w:gridCol w:w="707"/>
      </w:tblGrid>
      <w:tr w:rsidR="002E6F4F" w:rsidRPr="001611DC" w14:paraId="6BCAD32A" w14:textId="77777777" w:rsidTr="002404AA">
        <w:trPr>
          <w:trHeight w:val="20"/>
          <w:tblHeader/>
        </w:trPr>
        <w:tc>
          <w:tcPr>
            <w:tcW w:w="940" w:type="pct"/>
            <w:vMerge w:val="restart"/>
            <w:shd w:val="clear" w:color="auto" w:fill="auto"/>
            <w:vAlign w:val="center"/>
          </w:tcPr>
          <w:bookmarkEnd w:id="142"/>
          <w:p w14:paraId="5C655CD5" w14:textId="77777777" w:rsidR="002E6F4F" w:rsidRPr="001611DC" w:rsidRDefault="002E6F4F" w:rsidP="00C762BB">
            <w:pPr>
              <w:pStyle w:val="In-tableHeading"/>
              <w:keepNext w:val="0"/>
              <w:jc w:val="center"/>
              <w:rPr>
                <w:lang w:val="en-AU"/>
              </w:rPr>
            </w:pPr>
            <w:r w:rsidRPr="001611DC">
              <w:rPr>
                <w:lang w:val="en-AU"/>
              </w:rPr>
              <w:t>Model variable</w:t>
            </w:r>
          </w:p>
        </w:tc>
        <w:tc>
          <w:tcPr>
            <w:tcW w:w="2046" w:type="pct"/>
            <w:gridSpan w:val="4"/>
            <w:shd w:val="clear" w:color="auto" w:fill="auto"/>
            <w:vAlign w:val="center"/>
          </w:tcPr>
          <w:p w14:paraId="37A72C33" w14:textId="59D00F74" w:rsidR="002E6F4F" w:rsidRPr="001611DC" w:rsidRDefault="00E2719A" w:rsidP="00C762BB">
            <w:pPr>
              <w:pStyle w:val="In-tableHeading"/>
              <w:keepNext w:val="0"/>
              <w:jc w:val="center"/>
              <w:rPr>
                <w:lang w:val="en-AU"/>
              </w:rPr>
            </w:pPr>
            <w:bookmarkStart w:id="143" w:name="_Hlk174374262"/>
            <w:r w:rsidRPr="001611DC">
              <w:rPr>
                <w:lang w:val="en-AU"/>
              </w:rPr>
              <w:t>≥</w:t>
            </w:r>
            <w:r w:rsidR="002E6F4F" w:rsidRPr="001611DC">
              <w:rPr>
                <w:lang w:val="en-AU"/>
              </w:rPr>
              <w:t>60 YOA</w:t>
            </w:r>
            <w:bookmarkEnd w:id="143"/>
          </w:p>
        </w:tc>
        <w:tc>
          <w:tcPr>
            <w:tcW w:w="2014" w:type="pct"/>
            <w:gridSpan w:val="4"/>
            <w:shd w:val="clear" w:color="auto" w:fill="auto"/>
            <w:vAlign w:val="center"/>
          </w:tcPr>
          <w:p w14:paraId="23576BAF" w14:textId="42224792" w:rsidR="002E6F4F" w:rsidRPr="001611DC" w:rsidRDefault="00E2719A" w:rsidP="00C762BB">
            <w:pPr>
              <w:pStyle w:val="In-tableHeading"/>
              <w:keepNext w:val="0"/>
              <w:jc w:val="center"/>
              <w:rPr>
                <w:lang w:val="en-AU"/>
              </w:rPr>
            </w:pPr>
            <w:bookmarkStart w:id="144" w:name="_Hlk174374308"/>
            <w:r w:rsidRPr="001611DC">
              <w:rPr>
                <w:lang w:val="en-AU"/>
              </w:rPr>
              <w:t>≥</w:t>
            </w:r>
            <w:r w:rsidR="002E6F4F" w:rsidRPr="001611DC">
              <w:rPr>
                <w:lang w:val="en-AU"/>
              </w:rPr>
              <w:t>75 YOA</w:t>
            </w:r>
            <w:bookmarkEnd w:id="144"/>
          </w:p>
        </w:tc>
      </w:tr>
      <w:tr w:rsidR="002E6F4F" w:rsidRPr="001611DC" w14:paraId="2CF090C1" w14:textId="77777777" w:rsidTr="00BD3549">
        <w:trPr>
          <w:trHeight w:val="20"/>
          <w:tblHeader/>
        </w:trPr>
        <w:tc>
          <w:tcPr>
            <w:tcW w:w="940" w:type="pct"/>
            <w:vMerge/>
            <w:shd w:val="clear" w:color="auto" w:fill="auto"/>
            <w:vAlign w:val="center"/>
          </w:tcPr>
          <w:p w14:paraId="5F13F41B" w14:textId="77777777" w:rsidR="002E6F4F" w:rsidRPr="001611DC" w:rsidRDefault="002E6F4F" w:rsidP="00C762BB">
            <w:pPr>
              <w:pStyle w:val="In-tableHeading"/>
              <w:keepNext w:val="0"/>
              <w:jc w:val="center"/>
              <w:rPr>
                <w:lang w:val="en-AU"/>
              </w:rPr>
            </w:pPr>
          </w:p>
        </w:tc>
        <w:tc>
          <w:tcPr>
            <w:tcW w:w="708" w:type="pct"/>
            <w:tcBorders>
              <w:bottom w:val="single" w:sz="4" w:space="0" w:color="auto"/>
            </w:tcBorders>
            <w:shd w:val="clear" w:color="auto" w:fill="auto"/>
            <w:vAlign w:val="center"/>
          </w:tcPr>
          <w:p w14:paraId="1B88A7C5" w14:textId="7A3A89BC" w:rsidR="002E6F4F" w:rsidRPr="001611DC" w:rsidRDefault="002E6F4F" w:rsidP="00C762BB">
            <w:pPr>
              <w:pStyle w:val="In-tableHeading"/>
              <w:keepNext w:val="0"/>
              <w:jc w:val="center"/>
              <w:rPr>
                <w:lang w:val="en-AU"/>
              </w:rPr>
            </w:pPr>
            <w:r w:rsidRPr="001611DC">
              <w:rPr>
                <w:lang w:val="en-AU"/>
              </w:rPr>
              <w:t>Incr. cost</w:t>
            </w:r>
            <w:r w:rsidR="003850DC">
              <w:rPr>
                <w:lang w:val="en-AU"/>
              </w:rPr>
              <w:t xml:space="preserve"> ($)</w:t>
            </w:r>
          </w:p>
        </w:tc>
        <w:tc>
          <w:tcPr>
            <w:tcW w:w="393" w:type="pct"/>
            <w:shd w:val="clear" w:color="auto" w:fill="auto"/>
            <w:vAlign w:val="center"/>
          </w:tcPr>
          <w:p w14:paraId="649902FC" w14:textId="77777777" w:rsidR="002E6F4F" w:rsidRPr="001611DC" w:rsidRDefault="002E6F4F" w:rsidP="00C762BB">
            <w:pPr>
              <w:pStyle w:val="In-tableHeading"/>
              <w:keepNext w:val="0"/>
              <w:jc w:val="center"/>
              <w:rPr>
                <w:lang w:val="en-AU"/>
              </w:rPr>
            </w:pPr>
            <w:r w:rsidRPr="001611DC">
              <w:rPr>
                <w:lang w:val="en-AU"/>
              </w:rPr>
              <w:t>Incr. QALY</w:t>
            </w:r>
          </w:p>
        </w:tc>
        <w:tc>
          <w:tcPr>
            <w:tcW w:w="472" w:type="pct"/>
            <w:shd w:val="clear" w:color="auto" w:fill="auto"/>
            <w:vAlign w:val="center"/>
          </w:tcPr>
          <w:p w14:paraId="5D147641" w14:textId="77777777" w:rsidR="002E6F4F" w:rsidRPr="001611DC" w:rsidRDefault="002E6F4F" w:rsidP="00C762BB">
            <w:pPr>
              <w:pStyle w:val="In-tableHeading"/>
              <w:keepNext w:val="0"/>
              <w:jc w:val="center"/>
              <w:rPr>
                <w:lang w:val="en-AU"/>
              </w:rPr>
            </w:pPr>
            <w:r w:rsidRPr="001611DC">
              <w:rPr>
                <w:lang w:val="en-AU"/>
              </w:rPr>
              <w:t>ICER</w:t>
            </w:r>
          </w:p>
        </w:tc>
        <w:tc>
          <w:tcPr>
            <w:tcW w:w="473" w:type="pct"/>
            <w:shd w:val="clear" w:color="auto" w:fill="auto"/>
            <w:vAlign w:val="center"/>
          </w:tcPr>
          <w:p w14:paraId="75098D5A" w14:textId="77777777" w:rsidR="002E6F4F" w:rsidRPr="001611DC" w:rsidRDefault="002E6F4F" w:rsidP="00C762BB">
            <w:pPr>
              <w:pStyle w:val="In-tableHeading"/>
              <w:keepNext w:val="0"/>
              <w:jc w:val="center"/>
              <w:rPr>
                <w:lang w:val="en-AU"/>
              </w:rPr>
            </w:pPr>
            <w:r w:rsidRPr="001611DC">
              <w:rPr>
                <w:lang w:val="en-AU"/>
              </w:rPr>
              <w:t>%</w:t>
            </w:r>
          </w:p>
        </w:tc>
        <w:tc>
          <w:tcPr>
            <w:tcW w:w="683" w:type="pct"/>
            <w:tcBorders>
              <w:bottom w:val="single" w:sz="4" w:space="0" w:color="auto"/>
            </w:tcBorders>
            <w:shd w:val="clear" w:color="auto" w:fill="auto"/>
            <w:vAlign w:val="center"/>
          </w:tcPr>
          <w:p w14:paraId="0A80AB90" w14:textId="70A9FE12" w:rsidR="002E6F4F" w:rsidRPr="001611DC" w:rsidRDefault="002E6F4F" w:rsidP="00C762BB">
            <w:pPr>
              <w:pStyle w:val="In-tableHeading"/>
              <w:keepNext w:val="0"/>
              <w:jc w:val="center"/>
              <w:rPr>
                <w:lang w:val="en-AU"/>
              </w:rPr>
            </w:pPr>
            <w:r w:rsidRPr="001611DC">
              <w:rPr>
                <w:lang w:val="en-AU"/>
              </w:rPr>
              <w:t>Incr. cost</w:t>
            </w:r>
            <w:r w:rsidR="00FD38B0">
              <w:rPr>
                <w:lang w:val="en-AU"/>
              </w:rPr>
              <w:t xml:space="preserve"> ($)</w:t>
            </w:r>
          </w:p>
        </w:tc>
        <w:tc>
          <w:tcPr>
            <w:tcW w:w="430" w:type="pct"/>
            <w:shd w:val="clear" w:color="auto" w:fill="auto"/>
            <w:vAlign w:val="center"/>
          </w:tcPr>
          <w:p w14:paraId="05425C27" w14:textId="77777777" w:rsidR="002E6F4F" w:rsidRPr="001611DC" w:rsidRDefault="002E6F4F" w:rsidP="00C762BB">
            <w:pPr>
              <w:pStyle w:val="In-tableHeading"/>
              <w:keepNext w:val="0"/>
              <w:jc w:val="center"/>
              <w:rPr>
                <w:lang w:val="en-AU"/>
              </w:rPr>
            </w:pPr>
            <w:r w:rsidRPr="001611DC">
              <w:rPr>
                <w:lang w:val="en-AU"/>
              </w:rPr>
              <w:t>Incr. QALY</w:t>
            </w:r>
          </w:p>
        </w:tc>
        <w:tc>
          <w:tcPr>
            <w:tcW w:w="509" w:type="pct"/>
            <w:shd w:val="clear" w:color="auto" w:fill="auto"/>
            <w:vAlign w:val="center"/>
          </w:tcPr>
          <w:p w14:paraId="5DD5F76B" w14:textId="77777777" w:rsidR="002E6F4F" w:rsidRPr="001611DC" w:rsidRDefault="002E6F4F" w:rsidP="00C762BB">
            <w:pPr>
              <w:pStyle w:val="In-tableHeading"/>
              <w:keepNext w:val="0"/>
              <w:jc w:val="center"/>
              <w:rPr>
                <w:lang w:val="en-AU"/>
              </w:rPr>
            </w:pPr>
            <w:r w:rsidRPr="001611DC">
              <w:rPr>
                <w:lang w:val="en-AU"/>
              </w:rPr>
              <w:t>ICER</w:t>
            </w:r>
          </w:p>
        </w:tc>
        <w:tc>
          <w:tcPr>
            <w:tcW w:w="392" w:type="pct"/>
            <w:shd w:val="clear" w:color="auto" w:fill="auto"/>
            <w:vAlign w:val="center"/>
          </w:tcPr>
          <w:p w14:paraId="7481A700" w14:textId="77777777" w:rsidR="002E6F4F" w:rsidRPr="001611DC" w:rsidRDefault="002E6F4F" w:rsidP="00C762BB">
            <w:pPr>
              <w:pStyle w:val="In-tableHeading"/>
              <w:keepNext w:val="0"/>
              <w:jc w:val="center"/>
              <w:rPr>
                <w:lang w:val="en-AU"/>
              </w:rPr>
            </w:pPr>
            <w:r w:rsidRPr="001611DC">
              <w:rPr>
                <w:lang w:val="en-AU"/>
              </w:rPr>
              <w:t>%</w:t>
            </w:r>
          </w:p>
        </w:tc>
      </w:tr>
      <w:tr w:rsidR="002E6F4F" w:rsidRPr="001611DC" w14:paraId="4906CD4E" w14:textId="77777777" w:rsidTr="00BD3549">
        <w:trPr>
          <w:trHeight w:val="20"/>
        </w:trPr>
        <w:tc>
          <w:tcPr>
            <w:tcW w:w="940" w:type="pct"/>
            <w:shd w:val="clear" w:color="auto" w:fill="auto"/>
            <w:vAlign w:val="center"/>
          </w:tcPr>
          <w:p w14:paraId="23EE095E" w14:textId="77777777" w:rsidR="002E6F4F" w:rsidRPr="001611DC" w:rsidRDefault="002E6F4F" w:rsidP="00C762BB">
            <w:pPr>
              <w:pStyle w:val="In-tableHeading"/>
              <w:keepNext w:val="0"/>
              <w:rPr>
                <w:lang w:val="en-AU"/>
              </w:rPr>
            </w:pPr>
            <w:bookmarkStart w:id="145" w:name="_Hlk174395107"/>
            <w:r w:rsidRPr="001611DC">
              <w:rPr>
                <w:lang w:val="en-AU"/>
              </w:rPr>
              <w:t>Base case</w:t>
            </w:r>
          </w:p>
        </w:tc>
        <w:tc>
          <w:tcPr>
            <w:tcW w:w="708" w:type="pct"/>
            <w:shd w:val="solid" w:color="000000" w:fill="000000"/>
            <w:vAlign w:val="center"/>
          </w:tcPr>
          <w:p w14:paraId="7DEA1909" w14:textId="3460EFE7" w:rsidR="002E6F4F" w:rsidRPr="001611DC" w:rsidRDefault="00BD3549" w:rsidP="00C762BB">
            <w:pPr>
              <w:pStyle w:val="In-tableHeading"/>
              <w:keepNext w:val="0"/>
              <w:jc w:val="center"/>
              <w:rPr>
                <w:lang w:val="en-AU"/>
              </w:rPr>
            </w:pPr>
            <w:r w:rsidRPr="00BD3549">
              <w:rPr>
                <w:color w:val="000000"/>
                <w:lang w:val="en-AU"/>
                <w14:textFill>
                  <w14:solidFill>
                    <w14:srgbClr w14:val="000000">
                      <w14:alpha w14:val="100000"/>
                    </w14:srgbClr>
                  </w14:solidFill>
                </w14:textFill>
              </w:rPr>
              <w:t>|</w:t>
            </w:r>
          </w:p>
        </w:tc>
        <w:tc>
          <w:tcPr>
            <w:tcW w:w="393" w:type="pct"/>
            <w:shd w:val="clear" w:color="auto" w:fill="auto"/>
            <w:vAlign w:val="center"/>
          </w:tcPr>
          <w:p w14:paraId="18CF6FD3" w14:textId="77777777" w:rsidR="002E6F4F" w:rsidRPr="001611DC" w:rsidRDefault="002E6F4F" w:rsidP="00C762BB">
            <w:pPr>
              <w:pStyle w:val="In-tableHeading"/>
              <w:keepNext w:val="0"/>
              <w:jc w:val="center"/>
              <w:rPr>
                <w:lang w:val="en-AU"/>
              </w:rPr>
            </w:pPr>
            <w:r w:rsidRPr="001611DC">
              <w:rPr>
                <w:lang w:val="en-AU"/>
              </w:rPr>
              <w:t>25,486</w:t>
            </w:r>
          </w:p>
        </w:tc>
        <w:tc>
          <w:tcPr>
            <w:tcW w:w="472" w:type="pct"/>
            <w:shd w:val="clear" w:color="auto" w:fill="auto"/>
            <w:vAlign w:val="center"/>
          </w:tcPr>
          <w:p w14:paraId="6901A760" w14:textId="08CB42C1" w:rsidR="002E6F4F" w:rsidRPr="001611DC" w:rsidRDefault="00BD3549" w:rsidP="00C762BB">
            <w:pPr>
              <w:pStyle w:val="In-tableHeading"/>
              <w:keepNext w:val="0"/>
              <w:jc w:val="center"/>
              <w:rPr>
                <w:lang w:val="en-AU"/>
              </w:rPr>
            </w:pPr>
            <w:r w:rsidRPr="00BD3549">
              <w:rPr>
                <w:color w:val="000000"/>
                <w:spacing w:val="36"/>
                <w:shd w:val="solid" w:color="000000" w:fill="000000"/>
                <w:fitText w:val="210" w:id="-893677056"/>
                <w:lang w:val="en-AU"/>
                <w14:textFill>
                  <w14:solidFill>
                    <w14:srgbClr w14:val="000000">
                      <w14:alpha w14:val="100000"/>
                    </w14:srgbClr>
                  </w14:solidFill>
                </w14:textFill>
              </w:rPr>
              <w:t>||</w:t>
            </w:r>
            <w:r w:rsidRPr="00BD3549">
              <w:rPr>
                <w:color w:val="000000"/>
                <w:spacing w:val="1"/>
                <w:shd w:val="solid" w:color="000000" w:fill="000000"/>
                <w:fitText w:val="210" w:id="-893677056"/>
                <w:lang w:val="en-AU"/>
                <w14:textFill>
                  <w14:solidFill>
                    <w14:srgbClr w14:val="000000">
                      <w14:alpha w14:val="100000"/>
                    </w14:srgbClr>
                  </w14:solidFill>
                </w14:textFill>
              </w:rPr>
              <w:t>|</w:t>
            </w:r>
            <w:r w:rsidR="00603E33" w:rsidRPr="00603E33">
              <w:rPr>
                <w:vertAlign w:val="superscript"/>
                <w:lang w:val="en-AU"/>
              </w:rPr>
              <w:t>1</w:t>
            </w:r>
          </w:p>
        </w:tc>
        <w:tc>
          <w:tcPr>
            <w:tcW w:w="473" w:type="pct"/>
            <w:shd w:val="clear" w:color="auto" w:fill="auto"/>
            <w:vAlign w:val="center"/>
          </w:tcPr>
          <w:p w14:paraId="7F7EF0C7" w14:textId="77777777" w:rsidR="002E6F4F" w:rsidRPr="001611DC" w:rsidRDefault="002E6F4F" w:rsidP="00C762BB">
            <w:pPr>
              <w:pStyle w:val="In-tableHeading"/>
              <w:keepNext w:val="0"/>
              <w:jc w:val="center"/>
              <w:rPr>
                <w:lang w:val="en-AU"/>
              </w:rPr>
            </w:pPr>
            <w:r w:rsidRPr="001611DC">
              <w:rPr>
                <w:lang w:val="en-AU"/>
              </w:rPr>
              <w:t>-</w:t>
            </w:r>
          </w:p>
        </w:tc>
        <w:tc>
          <w:tcPr>
            <w:tcW w:w="683" w:type="pct"/>
            <w:shd w:val="solid" w:color="000000" w:fill="000000"/>
            <w:vAlign w:val="center"/>
          </w:tcPr>
          <w:p w14:paraId="43E7F981" w14:textId="5BE84BFB" w:rsidR="002E6F4F" w:rsidRPr="001611DC" w:rsidRDefault="00BD3549" w:rsidP="00C762BB">
            <w:pPr>
              <w:pStyle w:val="In-tableHeading"/>
              <w:keepNext w:val="0"/>
              <w:jc w:val="center"/>
              <w:rPr>
                <w:lang w:val="en-AU"/>
              </w:rPr>
            </w:pPr>
            <w:r w:rsidRPr="00101F19">
              <w:rPr>
                <w:rFonts w:hint="eastAsia"/>
                <w:color w:val="000000"/>
                <w:w w:val="15"/>
                <w:fitText w:val="15" w:id="-893677055"/>
                <w:lang w:val="en-AU"/>
                <w14:textFill>
                  <w14:solidFill>
                    <w14:srgbClr w14:val="000000">
                      <w14:alpha w14:val="100000"/>
                    </w14:srgbClr>
                  </w14:solidFill>
                </w14:textFill>
              </w:rPr>
              <w:t xml:space="preserve">　</w:t>
            </w:r>
            <w:r w:rsidRPr="00101F19">
              <w:rPr>
                <w:color w:val="000000"/>
                <w:w w:val="15"/>
                <w:fitText w:val="15" w:id="-893677055"/>
                <w:lang w:val="en-AU"/>
                <w14:textFill>
                  <w14:solidFill>
                    <w14:srgbClr w14:val="000000">
                      <w14:alpha w14:val="100000"/>
                    </w14:srgbClr>
                  </w14:solidFill>
                </w14:textFill>
              </w:rPr>
              <w:t>|</w:t>
            </w:r>
            <w:r w:rsidRPr="00101F19">
              <w:rPr>
                <w:rFonts w:hint="eastAsia"/>
                <w:color w:val="000000"/>
                <w:spacing w:val="-51"/>
                <w:w w:val="15"/>
                <w:fitText w:val="15" w:id="-893677055"/>
                <w:lang w:val="en-AU"/>
                <w14:textFill>
                  <w14:solidFill>
                    <w14:srgbClr w14:val="000000">
                      <w14:alpha w14:val="100000"/>
                    </w14:srgbClr>
                  </w14:solidFill>
                </w14:textFill>
              </w:rPr>
              <w:t xml:space="preserve">　</w:t>
            </w:r>
          </w:p>
        </w:tc>
        <w:tc>
          <w:tcPr>
            <w:tcW w:w="430" w:type="pct"/>
            <w:shd w:val="clear" w:color="auto" w:fill="auto"/>
            <w:vAlign w:val="center"/>
          </w:tcPr>
          <w:p w14:paraId="355BA367" w14:textId="77777777" w:rsidR="002E6F4F" w:rsidRPr="001611DC" w:rsidRDefault="002E6F4F" w:rsidP="00C762BB">
            <w:pPr>
              <w:pStyle w:val="In-tableHeading"/>
              <w:keepNext w:val="0"/>
              <w:jc w:val="center"/>
              <w:rPr>
                <w:lang w:val="en-AU"/>
              </w:rPr>
            </w:pPr>
            <w:r w:rsidRPr="001611DC">
              <w:rPr>
                <w:lang w:val="en-AU"/>
              </w:rPr>
              <w:t>15,182</w:t>
            </w:r>
          </w:p>
        </w:tc>
        <w:tc>
          <w:tcPr>
            <w:tcW w:w="509" w:type="pct"/>
            <w:shd w:val="clear" w:color="auto" w:fill="auto"/>
            <w:vAlign w:val="center"/>
          </w:tcPr>
          <w:p w14:paraId="17988295" w14:textId="00262C17" w:rsidR="002E6F4F" w:rsidRPr="001611DC" w:rsidRDefault="00BD3549" w:rsidP="00C762BB">
            <w:pPr>
              <w:pStyle w:val="In-tableHeading"/>
              <w:keepNext w:val="0"/>
              <w:jc w:val="center"/>
              <w:rPr>
                <w:lang w:val="en-AU"/>
              </w:rPr>
            </w:pPr>
            <w:r w:rsidRPr="00BD3549">
              <w:rPr>
                <w:color w:val="000000"/>
                <w:spacing w:val="103"/>
                <w:shd w:val="solid" w:color="000000" w:fill="000000"/>
                <w:fitText w:val="195" w:id="-893677054"/>
                <w:lang w:val="en-AU"/>
                <w14:textFill>
                  <w14:solidFill>
                    <w14:srgbClr w14:val="000000">
                      <w14:alpha w14:val="100000"/>
                    </w14:srgbClr>
                  </w14:solidFill>
                </w14:textFill>
              </w:rPr>
              <w:t>|</w:t>
            </w:r>
            <w:r w:rsidRPr="00BD3549">
              <w:rPr>
                <w:color w:val="000000"/>
                <w:spacing w:val="1"/>
                <w:shd w:val="solid" w:color="000000" w:fill="000000"/>
                <w:fitText w:val="195" w:id="-893677054"/>
                <w:lang w:val="en-AU"/>
                <w14:textFill>
                  <w14:solidFill>
                    <w14:srgbClr w14:val="000000">
                      <w14:alpha w14:val="100000"/>
                    </w14:srgbClr>
                  </w14:solidFill>
                </w14:textFill>
              </w:rPr>
              <w:t>|</w:t>
            </w:r>
            <w:r w:rsidR="00603E33" w:rsidRPr="00603E33">
              <w:rPr>
                <w:vertAlign w:val="superscript"/>
                <w:lang w:val="en-AU"/>
              </w:rPr>
              <w:t>2</w:t>
            </w:r>
          </w:p>
        </w:tc>
        <w:tc>
          <w:tcPr>
            <w:tcW w:w="392" w:type="pct"/>
            <w:shd w:val="clear" w:color="auto" w:fill="auto"/>
            <w:vAlign w:val="center"/>
          </w:tcPr>
          <w:p w14:paraId="50D651A3" w14:textId="77777777" w:rsidR="002E6F4F" w:rsidRPr="001611DC" w:rsidRDefault="002E6F4F" w:rsidP="00C762BB">
            <w:pPr>
              <w:pStyle w:val="In-tableHeading"/>
              <w:keepNext w:val="0"/>
              <w:jc w:val="center"/>
              <w:rPr>
                <w:lang w:val="en-AU"/>
              </w:rPr>
            </w:pPr>
            <w:r w:rsidRPr="001611DC">
              <w:rPr>
                <w:lang w:val="en-AU"/>
              </w:rPr>
              <w:t>-</w:t>
            </w:r>
          </w:p>
        </w:tc>
      </w:tr>
      <w:bookmarkEnd w:id="145"/>
      <w:tr w:rsidR="002E6F4F" w:rsidRPr="001611DC" w14:paraId="6629A704" w14:textId="77777777" w:rsidTr="00ED36A0">
        <w:trPr>
          <w:trHeight w:val="20"/>
        </w:trPr>
        <w:tc>
          <w:tcPr>
            <w:tcW w:w="5000" w:type="pct"/>
            <w:gridSpan w:val="9"/>
            <w:shd w:val="clear" w:color="auto" w:fill="auto"/>
            <w:vAlign w:val="center"/>
          </w:tcPr>
          <w:p w14:paraId="24FF032D" w14:textId="77777777" w:rsidR="002E6F4F" w:rsidRPr="001611DC" w:rsidRDefault="002E6F4F" w:rsidP="00C762BB">
            <w:pPr>
              <w:pStyle w:val="In-tableHeading"/>
              <w:keepNext w:val="0"/>
              <w:rPr>
                <w:lang w:val="en-AU"/>
              </w:rPr>
            </w:pPr>
            <w:r w:rsidRPr="001611DC">
              <w:rPr>
                <w:lang w:val="en-AU"/>
              </w:rPr>
              <w:t>Discount rate: 5%</w:t>
            </w:r>
          </w:p>
        </w:tc>
      </w:tr>
      <w:tr w:rsidR="002E6F4F" w:rsidRPr="001611DC" w14:paraId="0296F76E" w14:textId="77777777" w:rsidTr="00BD3549">
        <w:trPr>
          <w:trHeight w:val="20"/>
        </w:trPr>
        <w:tc>
          <w:tcPr>
            <w:tcW w:w="940" w:type="pct"/>
            <w:shd w:val="clear" w:color="auto" w:fill="auto"/>
            <w:vAlign w:val="center"/>
          </w:tcPr>
          <w:p w14:paraId="66F94434" w14:textId="77777777" w:rsidR="002E6F4F" w:rsidRPr="001611DC" w:rsidRDefault="002E6F4F" w:rsidP="00C762BB">
            <w:pPr>
              <w:pStyle w:val="In-tableHeading"/>
              <w:keepNext w:val="0"/>
              <w:rPr>
                <w:b w:val="0"/>
                <w:bCs/>
                <w:lang w:val="en-AU"/>
              </w:rPr>
            </w:pPr>
            <w:r w:rsidRPr="001611DC">
              <w:rPr>
                <w:b w:val="0"/>
                <w:bCs/>
                <w:lang w:val="en-AU"/>
              </w:rPr>
              <w:t>3.5%</w:t>
            </w:r>
          </w:p>
        </w:tc>
        <w:tc>
          <w:tcPr>
            <w:tcW w:w="708" w:type="pct"/>
            <w:tcBorders>
              <w:bottom w:val="single" w:sz="4" w:space="0" w:color="auto"/>
            </w:tcBorders>
            <w:shd w:val="solid" w:color="000000" w:fill="000000"/>
            <w:vAlign w:val="center"/>
          </w:tcPr>
          <w:p w14:paraId="03BA737C" w14:textId="618EC16B" w:rsidR="002E6F4F" w:rsidRPr="00FD38B0" w:rsidRDefault="00BD3549" w:rsidP="00C762BB">
            <w:pPr>
              <w:pStyle w:val="In-tableHeading"/>
              <w:keepNext w:val="0"/>
              <w:jc w:val="center"/>
              <w:rPr>
                <w:b w:val="0"/>
                <w:bCs/>
                <w:highlight w:val="lightGray"/>
                <w:lang w:val="en-AU"/>
              </w:rPr>
            </w:pPr>
            <w:r w:rsidRPr="00BD3549">
              <w:rPr>
                <w:b w:val="0"/>
                <w:bCs/>
                <w:color w:val="000000"/>
                <w:lang w:val="en-AU"/>
                <w14:textFill>
                  <w14:solidFill>
                    <w14:srgbClr w14:val="000000">
                      <w14:alpha w14:val="100000"/>
                    </w14:srgbClr>
                  </w14:solidFill>
                </w14:textFill>
              </w:rPr>
              <w:t>|</w:t>
            </w:r>
          </w:p>
        </w:tc>
        <w:tc>
          <w:tcPr>
            <w:tcW w:w="393" w:type="pct"/>
            <w:shd w:val="clear" w:color="auto" w:fill="auto"/>
            <w:vAlign w:val="center"/>
          </w:tcPr>
          <w:p w14:paraId="22ED0170" w14:textId="77777777" w:rsidR="002E6F4F" w:rsidRPr="001611DC" w:rsidRDefault="002E6F4F" w:rsidP="00C762BB">
            <w:pPr>
              <w:pStyle w:val="In-tableHeading"/>
              <w:keepNext w:val="0"/>
              <w:jc w:val="center"/>
              <w:rPr>
                <w:b w:val="0"/>
                <w:bCs/>
                <w:lang w:val="en-AU"/>
              </w:rPr>
            </w:pPr>
            <w:r w:rsidRPr="001611DC">
              <w:rPr>
                <w:b w:val="0"/>
                <w:bCs/>
                <w:lang w:val="en-AU"/>
              </w:rPr>
              <w:t>27,752</w:t>
            </w:r>
          </w:p>
        </w:tc>
        <w:tc>
          <w:tcPr>
            <w:tcW w:w="472" w:type="pct"/>
            <w:shd w:val="clear" w:color="auto" w:fill="auto"/>
            <w:vAlign w:val="center"/>
          </w:tcPr>
          <w:p w14:paraId="795CF1A9" w14:textId="684D2C24" w:rsidR="002E6F4F" w:rsidRPr="00FD38B0" w:rsidRDefault="00BD3549" w:rsidP="00C762BB">
            <w:pPr>
              <w:pStyle w:val="In-tableHeading"/>
              <w:keepNext w:val="0"/>
              <w:jc w:val="center"/>
              <w:rPr>
                <w:b w:val="0"/>
                <w:bCs/>
                <w:highlight w:val="lightGray"/>
                <w:lang w:val="en-AU"/>
              </w:rPr>
            </w:pPr>
            <w:r w:rsidRPr="00BD3549">
              <w:rPr>
                <w:b w:val="0"/>
                <w:bCs/>
                <w:color w:val="000000"/>
                <w:spacing w:val="94"/>
                <w:shd w:val="solid" w:color="000000" w:fill="000000"/>
                <w:fitText w:val="180" w:id="-893677053"/>
                <w:lang w:val="en-AU"/>
                <w14:textFill>
                  <w14:solidFill>
                    <w14:srgbClr w14:val="000000">
                      <w14:alpha w14:val="100000"/>
                    </w14:srgbClr>
                  </w14:solidFill>
                </w14:textFill>
              </w:rPr>
              <w:t>|</w:t>
            </w:r>
            <w:r w:rsidRPr="00BD3549">
              <w:rPr>
                <w:b w:val="0"/>
                <w:bCs/>
                <w:color w:val="000000"/>
                <w:spacing w:val="1"/>
                <w:shd w:val="solid" w:color="000000" w:fill="000000"/>
                <w:fitText w:val="180" w:id="-893677053"/>
                <w:lang w:val="en-AU"/>
                <w14:textFill>
                  <w14:solidFill>
                    <w14:srgbClr w14:val="000000">
                      <w14:alpha w14:val="100000"/>
                    </w14:srgbClr>
                  </w14:solidFill>
                </w14:textFill>
              </w:rPr>
              <w:t>|</w:t>
            </w:r>
            <w:r w:rsidR="008D77F8" w:rsidRPr="00603E33">
              <w:rPr>
                <w:vertAlign w:val="superscript"/>
                <w:lang w:val="en-AU"/>
              </w:rPr>
              <w:t>1</w:t>
            </w:r>
          </w:p>
        </w:tc>
        <w:tc>
          <w:tcPr>
            <w:tcW w:w="473" w:type="pct"/>
            <w:shd w:val="clear" w:color="auto" w:fill="auto"/>
            <w:vAlign w:val="center"/>
          </w:tcPr>
          <w:p w14:paraId="7DAFE7A3" w14:textId="06F4029F" w:rsidR="002E6F4F" w:rsidRPr="001611DC" w:rsidRDefault="002E6F4F" w:rsidP="00C762BB">
            <w:pPr>
              <w:pStyle w:val="In-tableHeading"/>
              <w:keepNext w:val="0"/>
              <w:jc w:val="center"/>
              <w:rPr>
                <w:b w:val="0"/>
                <w:bCs/>
                <w:lang w:val="en-AU"/>
              </w:rPr>
            </w:pPr>
            <w:r w:rsidRPr="001611DC">
              <w:rPr>
                <w:b w:val="0"/>
                <w:bCs/>
                <w:lang w:val="en-AU"/>
              </w:rPr>
              <w:t>-</w:t>
            </w:r>
            <w:r w:rsidR="00BD3549" w:rsidRPr="00BD3549">
              <w:rPr>
                <w:b w:val="0"/>
                <w:bCs/>
                <w:color w:val="000000"/>
                <w:spacing w:val="169"/>
                <w:shd w:val="solid" w:color="000000" w:fill="000000"/>
                <w:fitText w:val="255" w:id="-893677052"/>
                <w:lang w:val="en-AU"/>
                <w14:textFill>
                  <w14:solidFill>
                    <w14:srgbClr w14:val="000000">
                      <w14:alpha w14:val="100000"/>
                    </w14:srgbClr>
                  </w14:solidFill>
                </w14:textFill>
              </w:rPr>
              <w:t>|</w:t>
            </w:r>
            <w:r w:rsidR="00BD3549" w:rsidRPr="00BD3549">
              <w:rPr>
                <w:b w:val="0"/>
                <w:bCs/>
                <w:color w:val="000000"/>
                <w:spacing w:val="1"/>
                <w:shd w:val="solid" w:color="000000" w:fill="000000"/>
                <w:fitText w:val="255" w:id="-893677052"/>
                <w:lang w:val="en-AU"/>
                <w14:textFill>
                  <w14:solidFill>
                    <w14:srgbClr w14:val="000000">
                      <w14:alpha w14:val="100000"/>
                    </w14:srgbClr>
                  </w14:solidFill>
                </w14:textFill>
              </w:rPr>
              <w:t>|</w:t>
            </w:r>
            <w:r w:rsidRPr="001611DC">
              <w:rPr>
                <w:b w:val="0"/>
                <w:bCs/>
                <w:lang w:val="en-AU"/>
              </w:rPr>
              <w:t>%</w:t>
            </w:r>
          </w:p>
        </w:tc>
        <w:tc>
          <w:tcPr>
            <w:tcW w:w="683" w:type="pct"/>
            <w:tcBorders>
              <w:bottom w:val="single" w:sz="4" w:space="0" w:color="auto"/>
            </w:tcBorders>
            <w:shd w:val="solid" w:color="000000" w:fill="000000"/>
            <w:vAlign w:val="center"/>
          </w:tcPr>
          <w:p w14:paraId="6056532C" w14:textId="32022626" w:rsidR="002E6F4F" w:rsidRPr="00F678A9" w:rsidRDefault="00BD3549" w:rsidP="00C762BB">
            <w:pPr>
              <w:pStyle w:val="In-tableHeading"/>
              <w:keepNext w:val="0"/>
              <w:jc w:val="center"/>
              <w:rPr>
                <w:b w:val="0"/>
                <w:bCs/>
                <w:highlight w:val="lightGray"/>
                <w:lang w:val="en-AU"/>
              </w:rPr>
            </w:pPr>
            <w:r w:rsidRPr="00BD3549">
              <w:rPr>
                <w:b w:val="0"/>
                <w:bCs/>
                <w:color w:val="000000"/>
                <w:lang w:val="en-AU"/>
                <w14:textFill>
                  <w14:solidFill>
                    <w14:srgbClr w14:val="000000">
                      <w14:alpha w14:val="100000"/>
                    </w14:srgbClr>
                  </w14:solidFill>
                </w14:textFill>
              </w:rPr>
              <w:t>|</w:t>
            </w:r>
          </w:p>
        </w:tc>
        <w:tc>
          <w:tcPr>
            <w:tcW w:w="430" w:type="pct"/>
            <w:shd w:val="clear" w:color="auto" w:fill="auto"/>
            <w:vAlign w:val="center"/>
          </w:tcPr>
          <w:p w14:paraId="6AC19BAB" w14:textId="77777777" w:rsidR="002E6F4F" w:rsidRPr="001611DC" w:rsidRDefault="002E6F4F" w:rsidP="00C762BB">
            <w:pPr>
              <w:pStyle w:val="In-tableHeading"/>
              <w:keepNext w:val="0"/>
              <w:jc w:val="center"/>
              <w:rPr>
                <w:b w:val="0"/>
                <w:bCs/>
                <w:lang w:val="en-AU"/>
              </w:rPr>
            </w:pPr>
            <w:r w:rsidRPr="001611DC">
              <w:rPr>
                <w:b w:val="0"/>
                <w:bCs/>
                <w:lang w:val="en-AU"/>
              </w:rPr>
              <w:t>16,456</w:t>
            </w:r>
          </w:p>
        </w:tc>
        <w:tc>
          <w:tcPr>
            <w:tcW w:w="509" w:type="pct"/>
            <w:shd w:val="clear" w:color="auto" w:fill="auto"/>
            <w:vAlign w:val="center"/>
          </w:tcPr>
          <w:p w14:paraId="207DE369" w14:textId="21CFD117" w:rsidR="002E6F4F" w:rsidRPr="00F678A9" w:rsidRDefault="00BD3549" w:rsidP="00C762BB">
            <w:pPr>
              <w:pStyle w:val="In-tableHeading"/>
              <w:keepNext w:val="0"/>
              <w:jc w:val="center"/>
              <w:rPr>
                <w:b w:val="0"/>
                <w:bCs/>
                <w:highlight w:val="lightGray"/>
                <w:lang w:val="en-AU"/>
              </w:rPr>
            </w:pPr>
            <w:r w:rsidRPr="00BD3549">
              <w:rPr>
                <w:rFonts w:hint="eastAsia"/>
                <w:b w:val="0"/>
                <w:bCs/>
                <w:color w:val="000000"/>
                <w:w w:val="33"/>
                <w:shd w:val="solid" w:color="000000" w:fill="000000"/>
                <w:fitText w:val="150" w:id="-893677051"/>
                <w:lang w:val="en-AU"/>
                <w14:textFill>
                  <w14:solidFill>
                    <w14:srgbClr w14:val="000000">
                      <w14:alpha w14:val="100000"/>
                    </w14:srgbClr>
                  </w14:solidFill>
                </w14:textFill>
              </w:rPr>
              <w:t xml:space="preserve">　</w:t>
            </w:r>
            <w:r w:rsidRPr="00BD3549">
              <w:rPr>
                <w:b w:val="0"/>
                <w:bCs/>
                <w:color w:val="000000"/>
                <w:w w:val="33"/>
                <w:shd w:val="solid" w:color="000000" w:fill="000000"/>
                <w:fitText w:val="150" w:id="-893677051"/>
                <w:lang w:val="en-AU"/>
                <w14:textFill>
                  <w14:solidFill>
                    <w14:srgbClr w14:val="000000">
                      <w14:alpha w14:val="100000"/>
                    </w14:srgbClr>
                  </w14:solidFill>
                </w14:textFill>
              </w:rPr>
              <w:t>|</w:t>
            </w:r>
            <w:r w:rsidRPr="00BD3549">
              <w:rPr>
                <w:rFonts w:hint="eastAsia"/>
                <w:b w:val="0"/>
                <w:bCs/>
                <w:color w:val="000000"/>
                <w:spacing w:val="4"/>
                <w:w w:val="33"/>
                <w:shd w:val="solid" w:color="000000" w:fill="000000"/>
                <w:fitText w:val="150" w:id="-893677051"/>
                <w:lang w:val="en-AU"/>
                <w14:textFill>
                  <w14:solidFill>
                    <w14:srgbClr w14:val="000000">
                      <w14:alpha w14:val="100000"/>
                    </w14:srgbClr>
                  </w14:solidFill>
                </w14:textFill>
              </w:rPr>
              <w:t xml:space="preserve">　</w:t>
            </w:r>
            <w:r w:rsidR="00004C6E" w:rsidRPr="00004C6E">
              <w:rPr>
                <w:b w:val="0"/>
                <w:bCs/>
                <w:vertAlign w:val="superscript"/>
                <w:lang w:val="en-AU"/>
              </w:rPr>
              <w:t>3</w:t>
            </w:r>
          </w:p>
        </w:tc>
        <w:tc>
          <w:tcPr>
            <w:tcW w:w="392" w:type="pct"/>
            <w:shd w:val="clear" w:color="auto" w:fill="auto"/>
            <w:vAlign w:val="center"/>
          </w:tcPr>
          <w:p w14:paraId="188A0964" w14:textId="3C5BC956" w:rsidR="002E6F4F" w:rsidRPr="001611DC" w:rsidRDefault="002E6F4F" w:rsidP="00C762BB">
            <w:pPr>
              <w:pStyle w:val="In-tableHeading"/>
              <w:keepNext w:val="0"/>
              <w:jc w:val="center"/>
              <w:rPr>
                <w:b w:val="0"/>
                <w:bCs/>
                <w:lang w:val="en-AU"/>
              </w:rPr>
            </w:pPr>
            <w:r w:rsidRPr="001611DC">
              <w:rPr>
                <w:b w:val="0"/>
                <w:bCs/>
                <w:lang w:val="en-AU"/>
              </w:rPr>
              <w:t>-</w:t>
            </w:r>
            <w:r w:rsidR="00BD3549" w:rsidRPr="00BD3549">
              <w:rPr>
                <w:b w:val="0"/>
                <w:bCs/>
                <w:color w:val="000000"/>
                <w:spacing w:val="48"/>
                <w:shd w:val="solid" w:color="000000" w:fill="000000"/>
                <w:fitText w:val="315" w:id="-893677050"/>
                <w:lang w:val="en-AU"/>
                <w14:textFill>
                  <w14:solidFill>
                    <w14:srgbClr w14:val="000000">
                      <w14:alpha w14:val="100000"/>
                    </w14:srgbClr>
                  </w14:solidFill>
                </w14:textFill>
              </w:rPr>
              <w:t>|||</w:t>
            </w:r>
            <w:r w:rsidR="00BD3549" w:rsidRPr="00BD3549">
              <w:rPr>
                <w:b w:val="0"/>
                <w:bCs/>
                <w:color w:val="000000"/>
                <w:spacing w:val="1"/>
                <w:shd w:val="solid" w:color="000000" w:fill="000000"/>
                <w:fitText w:val="315" w:id="-893677050"/>
                <w:lang w:val="en-AU"/>
                <w14:textFill>
                  <w14:solidFill>
                    <w14:srgbClr w14:val="000000">
                      <w14:alpha w14:val="100000"/>
                    </w14:srgbClr>
                  </w14:solidFill>
                </w14:textFill>
              </w:rPr>
              <w:t>|</w:t>
            </w:r>
            <w:r w:rsidRPr="001611DC">
              <w:rPr>
                <w:b w:val="0"/>
                <w:bCs/>
                <w:lang w:val="en-AU"/>
              </w:rPr>
              <w:t>%</w:t>
            </w:r>
          </w:p>
        </w:tc>
      </w:tr>
      <w:tr w:rsidR="002E6F4F" w:rsidRPr="001611DC" w14:paraId="7E1E74EE" w14:textId="77777777" w:rsidTr="00BD3549">
        <w:trPr>
          <w:trHeight w:val="20"/>
        </w:trPr>
        <w:tc>
          <w:tcPr>
            <w:tcW w:w="940" w:type="pct"/>
            <w:shd w:val="clear" w:color="auto" w:fill="auto"/>
            <w:vAlign w:val="center"/>
          </w:tcPr>
          <w:p w14:paraId="749EEFFA" w14:textId="77777777" w:rsidR="002E6F4F" w:rsidRPr="001611DC" w:rsidRDefault="002E6F4F" w:rsidP="00C762BB">
            <w:pPr>
              <w:pStyle w:val="In-tableHeading"/>
              <w:keepNext w:val="0"/>
              <w:rPr>
                <w:b w:val="0"/>
                <w:bCs/>
                <w:lang w:val="en-AU"/>
              </w:rPr>
            </w:pPr>
            <w:r w:rsidRPr="001611DC">
              <w:rPr>
                <w:b w:val="0"/>
                <w:bCs/>
                <w:lang w:val="en-AU"/>
              </w:rPr>
              <w:t>0%</w:t>
            </w:r>
          </w:p>
        </w:tc>
        <w:tc>
          <w:tcPr>
            <w:tcW w:w="708" w:type="pct"/>
            <w:shd w:val="solid" w:color="000000" w:fill="000000"/>
            <w:vAlign w:val="center"/>
          </w:tcPr>
          <w:p w14:paraId="106952CB" w14:textId="597B6998" w:rsidR="002E6F4F" w:rsidRPr="00FD38B0" w:rsidRDefault="00BD3549" w:rsidP="00C762BB">
            <w:pPr>
              <w:pStyle w:val="In-tableHeading"/>
              <w:keepNext w:val="0"/>
              <w:jc w:val="center"/>
              <w:rPr>
                <w:b w:val="0"/>
                <w:bCs/>
                <w:highlight w:val="lightGray"/>
                <w:lang w:val="en-AU"/>
              </w:rPr>
            </w:pPr>
            <w:r w:rsidRPr="00BD3549">
              <w:rPr>
                <w:b w:val="0"/>
                <w:bCs/>
                <w:color w:val="000000"/>
                <w:lang w:val="en-AU"/>
                <w14:textFill>
                  <w14:solidFill>
                    <w14:srgbClr w14:val="000000">
                      <w14:alpha w14:val="100000"/>
                    </w14:srgbClr>
                  </w14:solidFill>
                </w14:textFill>
              </w:rPr>
              <w:t>|</w:t>
            </w:r>
          </w:p>
        </w:tc>
        <w:tc>
          <w:tcPr>
            <w:tcW w:w="393" w:type="pct"/>
            <w:shd w:val="clear" w:color="auto" w:fill="auto"/>
            <w:vAlign w:val="center"/>
          </w:tcPr>
          <w:p w14:paraId="339A01CD" w14:textId="77777777" w:rsidR="002E6F4F" w:rsidRPr="001611DC" w:rsidRDefault="002E6F4F" w:rsidP="00C762BB">
            <w:pPr>
              <w:pStyle w:val="In-tableHeading"/>
              <w:keepNext w:val="0"/>
              <w:jc w:val="center"/>
              <w:rPr>
                <w:b w:val="0"/>
                <w:bCs/>
                <w:lang w:val="en-AU"/>
              </w:rPr>
            </w:pPr>
            <w:r w:rsidRPr="001611DC">
              <w:rPr>
                <w:b w:val="0"/>
                <w:bCs/>
                <w:lang w:val="en-AU"/>
              </w:rPr>
              <w:t>35,269</w:t>
            </w:r>
          </w:p>
        </w:tc>
        <w:tc>
          <w:tcPr>
            <w:tcW w:w="472" w:type="pct"/>
            <w:shd w:val="clear" w:color="auto" w:fill="auto"/>
            <w:vAlign w:val="center"/>
          </w:tcPr>
          <w:p w14:paraId="3643D6F6" w14:textId="4482787D" w:rsidR="002E6F4F" w:rsidRPr="00FD38B0" w:rsidRDefault="00BD3549" w:rsidP="00C762BB">
            <w:pPr>
              <w:pStyle w:val="In-tableHeading"/>
              <w:keepNext w:val="0"/>
              <w:jc w:val="center"/>
              <w:rPr>
                <w:b w:val="0"/>
                <w:bCs/>
                <w:highlight w:val="lightGray"/>
                <w:lang w:val="en-AU"/>
              </w:rPr>
            </w:pPr>
            <w:r w:rsidRPr="00BD3549">
              <w:rPr>
                <w:b w:val="0"/>
                <w:bCs/>
                <w:color w:val="000000"/>
                <w:spacing w:val="94"/>
                <w:shd w:val="solid" w:color="000000" w:fill="000000"/>
                <w:fitText w:val="180" w:id="-893677049"/>
                <w:lang w:val="en-AU"/>
                <w14:textFill>
                  <w14:solidFill>
                    <w14:srgbClr w14:val="000000">
                      <w14:alpha w14:val="100000"/>
                    </w14:srgbClr>
                  </w14:solidFill>
                </w14:textFill>
              </w:rPr>
              <w:t>|</w:t>
            </w:r>
            <w:r w:rsidRPr="00BD3549">
              <w:rPr>
                <w:b w:val="0"/>
                <w:bCs/>
                <w:color w:val="000000"/>
                <w:spacing w:val="1"/>
                <w:shd w:val="solid" w:color="000000" w:fill="000000"/>
                <w:fitText w:val="180" w:id="-893677049"/>
                <w:lang w:val="en-AU"/>
                <w14:textFill>
                  <w14:solidFill>
                    <w14:srgbClr w14:val="000000">
                      <w14:alpha w14:val="100000"/>
                    </w14:srgbClr>
                  </w14:solidFill>
                </w14:textFill>
              </w:rPr>
              <w:t>|</w:t>
            </w:r>
            <w:r w:rsidR="008D77F8" w:rsidRPr="00603E33">
              <w:rPr>
                <w:vertAlign w:val="superscript"/>
                <w:lang w:val="en-AU"/>
              </w:rPr>
              <w:t>1</w:t>
            </w:r>
          </w:p>
        </w:tc>
        <w:tc>
          <w:tcPr>
            <w:tcW w:w="473" w:type="pct"/>
            <w:shd w:val="clear" w:color="auto" w:fill="auto"/>
            <w:vAlign w:val="center"/>
          </w:tcPr>
          <w:p w14:paraId="639A6BC3" w14:textId="07CF0260" w:rsidR="002E6F4F" w:rsidRPr="001611DC" w:rsidRDefault="002E6F4F" w:rsidP="00C762BB">
            <w:pPr>
              <w:pStyle w:val="In-tableHeading"/>
              <w:keepNext w:val="0"/>
              <w:jc w:val="center"/>
              <w:rPr>
                <w:b w:val="0"/>
                <w:bCs/>
                <w:lang w:val="en-AU"/>
              </w:rPr>
            </w:pPr>
            <w:r w:rsidRPr="001611DC">
              <w:rPr>
                <w:b w:val="0"/>
                <w:bCs/>
                <w:lang w:val="en-AU"/>
              </w:rPr>
              <w:t>-</w:t>
            </w:r>
            <w:r w:rsidR="00BD3549" w:rsidRPr="00BD3549">
              <w:rPr>
                <w:b w:val="0"/>
                <w:bCs/>
                <w:color w:val="000000"/>
                <w:spacing w:val="169"/>
                <w:shd w:val="solid" w:color="000000" w:fill="000000"/>
                <w:fitText w:val="255" w:id="-893677048"/>
                <w:lang w:val="en-AU"/>
                <w14:textFill>
                  <w14:solidFill>
                    <w14:srgbClr w14:val="000000">
                      <w14:alpha w14:val="100000"/>
                    </w14:srgbClr>
                  </w14:solidFill>
                </w14:textFill>
              </w:rPr>
              <w:t>|</w:t>
            </w:r>
            <w:r w:rsidR="00BD3549" w:rsidRPr="00BD3549">
              <w:rPr>
                <w:b w:val="0"/>
                <w:bCs/>
                <w:color w:val="000000"/>
                <w:spacing w:val="1"/>
                <w:shd w:val="solid" w:color="000000" w:fill="000000"/>
                <w:fitText w:val="255" w:id="-893677048"/>
                <w:lang w:val="en-AU"/>
                <w14:textFill>
                  <w14:solidFill>
                    <w14:srgbClr w14:val="000000">
                      <w14:alpha w14:val="100000"/>
                    </w14:srgbClr>
                  </w14:solidFill>
                </w14:textFill>
              </w:rPr>
              <w:t>|</w:t>
            </w:r>
            <w:r w:rsidRPr="001611DC">
              <w:rPr>
                <w:b w:val="0"/>
                <w:bCs/>
                <w:lang w:val="en-AU"/>
              </w:rPr>
              <w:t>%</w:t>
            </w:r>
          </w:p>
        </w:tc>
        <w:tc>
          <w:tcPr>
            <w:tcW w:w="683" w:type="pct"/>
            <w:shd w:val="solid" w:color="000000" w:fill="000000"/>
            <w:vAlign w:val="center"/>
          </w:tcPr>
          <w:p w14:paraId="36251439" w14:textId="2B5A3A68" w:rsidR="002E6F4F" w:rsidRPr="00F678A9" w:rsidRDefault="00BD3549" w:rsidP="00C762BB">
            <w:pPr>
              <w:pStyle w:val="In-tableHeading"/>
              <w:keepNext w:val="0"/>
              <w:jc w:val="center"/>
              <w:rPr>
                <w:b w:val="0"/>
                <w:bCs/>
                <w:highlight w:val="lightGray"/>
                <w:lang w:val="en-AU"/>
              </w:rPr>
            </w:pPr>
            <w:r w:rsidRPr="00BD3549">
              <w:rPr>
                <w:b w:val="0"/>
                <w:bCs/>
                <w:color w:val="000000"/>
                <w:lang w:val="en-AU"/>
                <w14:textFill>
                  <w14:solidFill>
                    <w14:srgbClr w14:val="000000">
                      <w14:alpha w14:val="100000"/>
                    </w14:srgbClr>
                  </w14:solidFill>
                </w14:textFill>
              </w:rPr>
              <w:t>|</w:t>
            </w:r>
          </w:p>
        </w:tc>
        <w:tc>
          <w:tcPr>
            <w:tcW w:w="430" w:type="pct"/>
            <w:shd w:val="clear" w:color="auto" w:fill="auto"/>
            <w:vAlign w:val="center"/>
          </w:tcPr>
          <w:p w14:paraId="47859643" w14:textId="77777777" w:rsidR="002E6F4F" w:rsidRPr="001611DC" w:rsidRDefault="002E6F4F" w:rsidP="00C762BB">
            <w:pPr>
              <w:pStyle w:val="In-tableHeading"/>
              <w:keepNext w:val="0"/>
              <w:jc w:val="center"/>
              <w:rPr>
                <w:b w:val="0"/>
                <w:bCs/>
                <w:lang w:val="en-AU"/>
              </w:rPr>
            </w:pPr>
            <w:r w:rsidRPr="001611DC">
              <w:rPr>
                <w:b w:val="0"/>
                <w:bCs/>
                <w:lang w:val="en-AU"/>
              </w:rPr>
              <w:t>20,422</w:t>
            </w:r>
          </w:p>
        </w:tc>
        <w:tc>
          <w:tcPr>
            <w:tcW w:w="509" w:type="pct"/>
            <w:shd w:val="clear" w:color="auto" w:fill="auto"/>
            <w:vAlign w:val="center"/>
          </w:tcPr>
          <w:p w14:paraId="6AE27416" w14:textId="1CE52FD4" w:rsidR="002E6F4F" w:rsidRPr="00F678A9" w:rsidRDefault="00BD3549" w:rsidP="00C762BB">
            <w:pPr>
              <w:pStyle w:val="In-tableHeading"/>
              <w:keepNext w:val="0"/>
              <w:jc w:val="center"/>
              <w:rPr>
                <w:b w:val="0"/>
                <w:bCs/>
                <w:highlight w:val="lightGray"/>
                <w:lang w:val="en-AU"/>
              </w:rPr>
            </w:pPr>
            <w:r w:rsidRPr="00BD3549">
              <w:rPr>
                <w:rFonts w:hint="eastAsia"/>
                <w:b w:val="0"/>
                <w:bCs/>
                <w:color w:val="000000"/>
                <w:w w:val="33"/>
                <w:shd w:val="solid" w:color="000000" w:fill="000000"/>
                <w:fitText w:val="150" w:id="-893677047"/>
                <w:lang w:val="en-AU"/>
                <w14:textFill>
                  <w14:solidFill>
                    <w14:srgbClr w14:val="000000">
                      <w14:alpha w14:val="100000"/>
                    </w14:srgbClr>
                  </w14:solidFill>
                </w14:textFill>
              </w:rPr>
              <w:t xml:space="preserve">　</w:t>
            </w:r>
            <w:r w:rsidRPr="00BD3549">
              <w:rPr>
                <w:b w:val="0"/>
                <w:bCs/>
                <w:color w:val="000000"/>
                <w:w w:val="33"/>
                <w:shd w:val="solid" w:color="000000" w:fill="000000"/>
                <w:fitText w:val="150" w:id="-893677047"/>
                <w:lang w:val="en-AU"/>
                <w14:textFill>
                  <w14:solidFill>
                    <w14:srgbClr w14:val="000000">
                      <w14:alpha w14:val="100000"/>
                    </w14:srgbClr>
                  </w14:solidFill>
                </w14:textFill>
              </w:rPr>
              <w:t>|</w:t>
            </w:r>
            <w:r w:rsidRPr="00BD3549">
              <w:rPr>
                <w:rFonts w:hint="eastAsia"/>
                <w:b w:val="0"/>
                <w:bCs/>
                <w:color w:val="000000"/>
                <w:spacing w:val="4"/>
                <w:w w:val="33"/>
                <w:shd w:val="solid" w:color="000000" w:fill="000000"/>
                <w:fitText w:val="150" w:id="-893677047"/>
                <w:lang w:val="en-AU"/>
                <w14:textFill>
                  <w14:solidFill>
                    <w14:srgbClr w14:val="000000">
                      <w14:alpha w14:val="100000"/>
                    </w14:srgbClr>
                  </w14:solidFill>
                </w14:textFill>
              </w:rPr>
              <w:t xml:space="preserve">　</w:t>
            </w:r>
            <w:r w:rsidR="00390E03" w:rsidRPr="00004C6E">
              <w:rPr>
                <w:b w:val="0"/>
                <w:bCs/>
                <w:vertAlign w:val="superscript"/>
                <w:lang w:val="en-AU"/>
              </w:rPr>
              <w:t>3</w:t>
            </w:r>
          </w:p>
        </w:tc>
        <w:tc>
          <w:tcPr>
            <w:tcW w:w="392" w:type="pct"/>
            <w:shd w:val="clear" w:color="auto" w:fill="auto"/>
            <w:vAlign w:val="center"/>
          </w:tcPr>
          <w:p w14:paraId="0C8C517A" w14:textId="54041210" w:rsidR="002E6F4F" w:rsidRPr="001611DC" w:rsidRDefault="002E6F4F" w:rsidP="00C762BB">
            <w:pPr>
              <w:pStyle w:val="In-tableHeading"/>
              <w:keepNext w:val="0"/>
              <w:jc w:val="center"/>
              <w:rPr>
                <w:b w:val="0"/>
                <w:bCs/>
                <w:lang w:val="en-AU"/>
              </w:rPr>
            </w:pPr>
            <w:r w:rsidRPr="001611DC">
              <w:rPr>
                <w:b w:val="0"/>
                <w:bCs/>
                <w:lang w:val="en-AU"/>
              </w:rPr>
              <w:t>-</w:t>
            </w:r>
            <w:r w:rsidR="00BD3549" w:rsidRPr="00BD3549">
              <w:rPr>
                <w:b w:val="0"/>
                <w:bCs/>
                <w:color w:val="000000"/>
                <w:spacing w:val="48"/>
                <w:shd w:val="solid" w:color="000000" w:fill="000000"/>
                <w:fitText w:val="315" w:id="-893677046"/>
                <w:lang w:val="en-AU"/>
                <w14:textFill>
                  <w14:solidFill>
                    <w14:srgbClr w14:val="000000">
                      <w14:alpha w14:val="100000"/>
                    </w14:srgbClr>
                  </w14:solidFill>
                </w14:textFill>
              </w:rPr>
              <w:t>|||</w:t>
            </w:r>
            <w:r w:rsidR="00BD3549" w:rsidRPr="00BD3549">
              <w:rPr>
                <w:b w:val="0"/>
                <w:bCs/>
                <w:color w:val="000000"/>
                <w:spacing w:val="1"/>
                <w:shd w:val="solid" w:color="000000" w:fill="000000"/>
                <w:fitText w:val="315" w:id="-893677046"/>
                <w:lang w:val="en-AU"/>
                <w14:textFill>
                  <w14:solidFill>
                    <w14:srgbClr w14:val="000000">
                      <w14:alpha w14:val="100000"/>
                    </w14:srgbClr>
                  </w14:solidFill>
                </w14:textFill>
              </w:rPr>
              <w:t>|</w:t>
            </w:r>
            <w:r w:rsidRPr="001611DC">
              <w:rPr>
                <w:b w:val="0"/>
                <w:bCs/>
                <w:lang w:val="en-AU"/>
              </w:rPr>
              <w:t>%</w:t>
            </w:r>
          </w:p>
        </w:tc>
      </w:tr>
      <w:tr w:rsidR="00CE71D8" w:rsidRPr="001611DC" w14:paraId="47C07568" w14:textId="77777777" w:rsidTr="00ED36A0">
        <w:trPr>
          <w:trHeight w:val="20"/>
        </w:trPr>
        <w:tc>
          <w:tcPr>
            <w:tcW w:w="5000" w:type="pct"/>
            <w:gridSpan w:val="9"/>
            <w:shd w:val="clear" w:color="auto" w:fill="auto"/>
            <w:vAlign w:val="center"/>
          </w:tcPr>
          <w:p w14:paraId="7178D6D4" w14:textId="77777777" w:rsidR="002E6F4F" w:rsidRPr="001611DC" w:rsidRDefault="002E6F4F" w:rsidP="00C762BB">
            <w:pPr>
              <w:pStyle w:val="In-tableHeading"/>
              <w:keepNext w:val="0"/>
              <w:rPr>
                <w:b w:val="0"/>
                <w:bCs/>
                <w:lang w:val="en-AU"/>
              </w:rPr>
            </w:pPr>
            <w:r w:rsidRPr="001611DC">
              <w:rPr>
                <w:lang w:val="en-AU"/>
              </w:rPr>
              <w:t>Timing of vaccination: March</w:t>
            </w:r>
          </w:p>
        </w:tc>
      </w:tr>
      <w:tr w:rsidR="00CE71D8" w:rsidRPr="001611DC" w14:paraId="0082070E" w14:textId="77777777" w:rsidTr="00BD3549">
        <w:trPr>
          <w:trHeight w:val="20"/>
        </w:trPr>
        <w:tc>
          <w:tcPr>
            <w:tcW w:w="940" w:type="pct"/>
            <w:shd w:val="clear" w:color="auto" w:fill="auto"/>
            <w:vAlign w:val="center"/>
          </w:tcPr>
          <w:p w14:paraId="15136883" w14:textId="77777777" w:rsidR="002E6F4F" w:rsidRPr="001611DC" w:rsidRDefault="002E6F4F" w:rsidP="00C762BB">
            <w:pPr>
              <w:pStyle w:val="In-tableHeading"/>
              <w:keepNext w:val="0"/>
              <w:rPr>
                <w:b w:val="0"/>
                <w:bCs/>
                <w:lang w:val="en-AU"/>
              </w:rPr>
            </w:pPr>
            <w:r w:rsidRPr="001611DC">
              <w:rPr>
                <w:b w:val="0"/>
                <w:bCs/>
                <w:lang w:val="en-AU"/>
              </w:rPr>
              <w:t>May</w:t>
            </w:r>
          </w:p>
        </w:tc>
        <w:tc>
          <w:tcPr>
            <w:tcW w:w="708" w:type="pct"/>
            <w:shd w:val="solid" w:color="000000" w:fill="000000"/>
            <w:vAlign w:val="center"/>
          </w:tcPr>
          <w:p w14:paraId="249D1AE5" w14:textId="1F8C1CF5" w:rsidR="002E6F4F" w:rsidRPr="001611DC" w:rsidRDefault="00BD3549" w:rsidP="00C762BB">
            <w:pPr>
              <w:pStyle w:val="In-tableHeading"/>
              <w:keepNext w:val="0"/>
              <w:jc w:val="center"/>
              <w:rPr>
                <w:b w:val="0"/>
                <w:bCs/>
                <w:lang w:val="en-AU"/>
              </w:rPr>
            </w:pPr>
            <w:r w:rsidRPr="00BD3549">
              <w:rPr>
                <w:b w:val="0"/>
                <w:bCs/>
                <w:color w:val="000000"/>
                <w:lang w:val="en-AU"/>
                <w14:textFill>
                  <w14:solidFill>
                    <w14:srgbClr w14:val="000000">
                      <w14:alpha w14:val="100000"/>
                    </w14:srgbClr>
                  </w14:solidFill>
                </w14:textFill>
              </w:rPr>
              <w:t>|</w:t>
            </w:r>
          </w:p>
        </w:tc>
        <w:tc>
          <w:tcPr>
            <w:tcW w:w="393" w:type="pct"/>
            <w:shd w:val="clear" w:color="auto" w:fill="auto"/>
            <w:vAlign w:val="center"/>
          </w:tcPr>
          <w:p w14:paraId="3A1D8A99" w14:textId="77777777" w:rsidR="002E6F4F" w:rsidRPr="001611DC" w:rsidRDefault="002E6F4F" w:rsidP="00C762BB">
            <w:pPr>
              <w:pStyle w:val="In-tableHeading"/>
              <w:keepNext w:val="0"/>
              <w:jc w:val="center"/>
              <w:rPr>
                <w:b w:val="0"/>
                <w:bCs/>
                <w:lang w:val="en-AU"/>
              </w:rPr>
            </w:pPr>
            <w:r w:rsidRPr="001611DC">
              <w:rPr>
                <w:b w:val="0"/>
                <w:bCs/>
                <w:lang w:val="en-AU"/>
              </w:rPr>
              <w:t>24,583</w:t>
            </w:r>
          </w:p>
        </w:tc>
        <w:tc>
          <w:tcPr>
            <w:tcW w:w="472" w:type="pct"/>
            <w:shd w:val="clear" w:color="auto" w:fill="auto"/>
            <w:vAlign w:val="center"/>
          </w:tcPr>
          <w:p w14:paraId="1A5AED65" w14:textId="307A7361" w:rsidR="002E6F4F" w:rsidRPr="001611DC" w:rsidRDefault="00BD3549" w:rsidP="00C762BB">
            <w:pPr>
              <w:pStyle w:val="In-tableHeading"/>
              <w:keepNext w:val="0"/>
              <w:jc w:val="center"/>
              <w:rPr>
                <w:b w:val="0"/>
                <w:bCs/>
                <w:lang w:val="en-AU"/>
              </w:rPr>
            </w:pPr>
            <w:r w:rsidRPr="00BD3549">
              <w:rPr>
                <w:b w:val="0"/>
                <w:bCs/>
                <w:color w:val="000000"/>
                <w:spacing w:val="94"/>
                <w:shd w:val="solid" w:color="000000" w:fill="000000"/>
                <w:fitText w:val="180" w:id="-893677045"/>
                <w:lang w:val="en-AU"/>
                <w14:textFill>
                  <w14:solidFill>
                    <w14:srgbClr w14:val="000000">
                      <w14:alpha w14:val="100000"/>
                    </w14:srgbClr>
                  </w14:solidFill>
                </w14:textFill>
              </w:rPr>
              <w:t>|</w:t>
            </w:r>
            <w:r w:rsidRPr="00BD3549">
              <w:rPr>
                <w:b w:val="0"/>
                <w:bCs/>
                <w:color w:val="000000"/>
                <w:spacing w:val="1"/>
                <w:shd w:val="solid" w:color="000000" w:fill="000000"/>
                <w:fitText w:val="180" w:id="-893677045"/>
                <w:lang w:val="en-AU"/>
                <w14:textFill>
                  <w14:solidFill>
                    <w14:srgbClr w14:val="000000">
                      <w14:alpha w14:val="100000"/>
                    </w14:srgbClr>
                  </w14:solidFill>
                </w14:textFill>
              </w:rPr>
              <w:t>|</w:t>
            </w:r>
            <w:r w:rsidR="00603E33" w:rsidRPr="00603E33">
              <w:rPr>
                <w:vertAlign w:val="superscript"/>
                <w:lang w:val="en-AU"/>
              </w:rPr>
              <w:t>1</w:t>
            </w:r>
          </w:p>
        </w:tc>
        <w:tc>
          <w:tcPr>
            <w:tcW w:w="473" w:type="pct"/>
            <w:shd w:val="clear" w:color="auto" w:fill="auto"/>
            <w:vAlign w:val="center"/>
          </w:tcPr>
          <w:p w14:paraId="2D51FF0E" w14:textId="31169A41" w:rsidR="002E6F4F" w:rsidRPr="001611DC" w:rsidRDefault="00BD3549" w:rsidP="00C762BB">
            <w:pPr>
              <w:pStyle w:val="In-tableHeading"/>
              <w:keepNext w:val="0"/>
              <w:jc w:val="center"/>
              <w:rPr>
                <w:b w:val="0"/>
                <w:bCs/>
                <w:lang w:val="en-AU"/>
              </w:rPr>
            </w:pPr>
            <w:r w:rsidRPr="00BD3549">
              <w:rPr>
                <w:b w:val="0"/>
                <w:bCs/>
                <w:color w:val="000000"/>
                <w:spacing w:val="48"/>
                <w:shd w:val="solid" w:color="000000" w:fill="000000"/>
                <w:fitText w:val="225" w:id="-893677044"/>
                <w:lang w:val="en-AU"/>
                <w14:textFill>
                  <w14:solidFill>
                    <w14:srgbClr w14:val="000000">
                      <w14:alpha w14:val="100000"/>
                    </w14:srgbClr>
                  </w14:solidFill>
                </w14:textFill>
              </w:rPr>
              <w:t>||</w:t>
            </w:r>
            <w:r w:rsidRPr="00BD3549">
              <w:rPr>
                <w:b w:val="0"/>
                <w:bCs/>
                <w:color w:val="000000"/>
                <w:spacing w:val="2"/>
                <w:shd w:val="solid" w:color="000000" w:fill="000000"/>
                <w:fitText w:val="225" w:id="-893677044"/>
                <w:lang w:val="en-AU"/>
                <w14:textFill>
                  <w14:solidFill>
                    <w14:srgbClr w14:val="000000">
                      <w14:alpha w14:val="100000"/>
                    </w14:srgbClr>
                  </w14:solidFill>
                </w14:textFill>
              </w:rPr>
              <w:t>|</w:t>
            </w:r>
            <w:r w:rsidR="002E6F4F" w:rsidRPr="001611DC">
              <w:rPr>
                <w:b w:val="0"/>
                <w:bCs/>
                <w:lang w:val="en-AU"/>
              </w:rPr>
              <w:t>%</w:t>
            </w:r>
          </w:p>
        </w:tc>
        <w:tc>
          <w:tcPr>
            <w:tcW w:w="683" w:type="pct"/>
            <w:shd w:val="solid" w:color="000000" w:fill="000000"/>
            <w:vAlign w:val="center"/>
          </w:tcPr>
          <w:p w14:paraId="3DB27AE0" w14:textId="1A0A7B31" w:rsidR="002E6F4F" w:rsidRPr="001611DC" w:rsidRDefault="00BD3549" w:rsidP="00C762BB">
            <w:pPr>
              <w:pStyle w:val="In-tableHeading"/>
              <w:keepNext w:val="0"/>
              <w:jc w:val="center"/>
              <w:rPr>
                <w:b w:val="0"/>
                <w:bCs/>
                <w:lang w:val="en-AU"/>
              </w:rPr>
            </w:pPr>
            <w:r w:rsidRPr="00BD3549">
              <w:rPr>
                <w:b w:val="0"/>
                <w:bCs/>
                <w:color w:val="000000"/>
                <w:lang w:val="en-AU"/>
                <w14:textFill>
                  <w14:solidFill>
                    <w14:srgbClr w14:val="000000">
                      <w14:alpha w14:val="100000"/>
                    </w14:srgbClr>
                  </w14:solidFill>
                </w14:textFill>
              </w:rPr>
              <w:t>|</w:t>
            </w:r>
          </w:p>
        </w:tc>
        <w:tc>
          <w:tcPr>
            <w:tcW w:w="430" w:type="pct"/>
            <w:shd w:val="clear" w:color="auto" w:fill="auto"/>
            <w:vAlign w:val="center"/>
          </w:tcPr>
          <w:p w14:paraId="0320C576" w14:textId="77777777" w:rsidR="002E6F4F" w:rsidRPr="001611DC" w:rsidRDefault="002E6F4F" w:rsidP="00C762BB">
            <w:pPr>
              <w:pStyle w:val="In-tableHeading"/>
              <w:keepNext w:val="0"/>
              <w:jc w:val="center"/>
              <w:rPr>
                <w:b w:val="0"/>
                <w:bCs/>
                <w:lang w:val="en-AU"/>
              </w:rPr>
            </w:pPr>
            <w:r w:rsidRPr="001611DC">
              <w:rPr>
                <w:b w:val="0"/>
                <w:bCs/>
                <w:lang w:val="en-AU"/>
              </w:rPr>
              <w:t>14,645</w:t>
            </w:r>
          </w:p>
        </w:tc>
        <w:tc>
          <w:tcPr>
            <w:tcW w:w="509" w:type="pct"/>
            <w:shd w:val="clear" w:color="auto" w:fill="auto"/>
            <w:vAlign w:val="center"/>
          </w:tcPr>
          <w:p w14:paraId="1B43EA6E" w14:textId="19D0E53F" w:rsidR="002E6F4F" w:rsidRPr="001611DC" w:rsidRDefault="00BD3549" w:rsidP="00C762BB">
            <w:pPr>
              <w:pStyle w:val="In-tableHeading"/>
              <w:keepNext w:val="0"/>
              <w:jc w:val="center"/>
              <w:rPr>
                <w:b w:val="0"/>
                <w:bCs/>
                <w:lang w:val="en-AU"/>
              </w:rPr>
            </w:pPr>
            <w:r w:rsidRPr="00BD3549">
              <w:rPr>
                <w:rFonts w:hint="eastAsia"/>
                <w:b w:val="0"/>
                <w:bCs/>
                <w:color w:val="000000"/>
                <w:w w:val="33"/>
                <w:shd w:val="solid" w:color="000000" w:fill="000000"/>
                <w:fitText w:val="150" w:id="-893677043"/>
                <w:lang w:val="en-AU"/>
                <w14:textFill>
                  <w14:solidFill>
                    <w14:srgbClr w14:val="000000">
                      <w14:alpha w14:val="100000"/>
                    </w14:srgbClr>
                  </w14:solidFill>
                </w14:textFill>
              </w:rPr>
              <w:t xml:space="preserve">　</w:t>
            </w:r>
            <w:r w:rsidRPr="00BD3549">
              <w:rPr>
                <w:b w:val="0"/>
                <w:bCs/>
                <w:color w:val="000000"/>
                <w:w w:val="33"/>
                <w:shd w:val="solid" w:color="000000" w:fill="000000"/>
                <w:fitText w:val="150" w:id="-893677043"/>
                <w:lang w:val="en-AU"/>
                <w14:textFill>
                  <w14:solidFill>
                    <w14:srgbClr w14:val="000000">
                      <w14:alpha w14:val="100000"/>
                    </w14:srgbClr>
                  </w14:solidFill>
                </w14:textFill>
              </w:rPr>
              <w:t>|</w:t>
            </w:r>
            <w:r w:rsidRPr="00BD3549">
              <w:rPr>
                <w:rFonts w:hint="eastAsia"/>
                <w:b w:val="0"/>
                <w:bCs/>
                <w:color w:val="000000"/>
                <w:spacing w:val="4"/>
                <w:w w:val="33"/>
                <w:shd w:val="solid" w:color="000000" w:fill="000000"/>
                <w:fitText w:val="150" w:id="-893677043"/>
                <w:lang w:val="en-AU"/>
                <w14:textFill>
                  <w14:solidFill>
                    <w14:srgbClr w14:val="000000">
                      <w14:alpha w14:val="100000"/>
                    </w14:srgbClr>
                  </w14:solidFill>
                </w14:textFill>
              </w:rPr>
              <w:t xml:space="preserve">　</w:t>
            </w:r>
            <w:r w:rsidR="00606F86" w:rsidRPr="00603E33">
              <w:rPr>
                <w:vertAlign w:val="superscript"/>
                <w:lang w:val="en-AU"/>
              </w:rPr>
              <w:t>2</w:t>
            </w:r>
          </w:p>
        </w:tc>
        <w:tc>
          <w:tcPr>
            <w:tcW w:w="392" w:type="pct"/>
            <w:shd w:val="clear" w:color="auto" w:fill="auto"/>
            <w:vAlign w:val="center"/>
          </w:tcPr>
          <w:p w14:paraId="17853809" w14:textId="670D895D" w:rsidR="002E6F4F" w:rsidRPr="001611DC" w:rsidRDefault="00BD3549" w:rsidP="00C762BB">
            <w:pPr>
              <w:pStyle w:val="In-tableHeading"/>
              <w:keepNext w:val="0"/>
              <w:jc w:val="center"/>
              <w:rPr>
                <w:b w:val="0"/>
                <w:bCs/>
                <w:lang w:val="en-AU"/>
              </w:rPr>
            </w:pPr>
            <w:r w:rsidRPr="00BD3549">
              <w:rPr>
                <w:b w:val="0"/>
                <w:bCs/>
                <w:color w:val="000000"/>
                <w:spacing w:val="199"/>
                <w:shd w:val="solid" w:color="000000" w:fill="000000"/>
                <w:fitText w:val="285" w:id="-893677042"/>
                <w:lang w:val="en-AU"/>
                <w14:textFill>
                  <w14:solidFill>
                    <w14:srgbClr w14:val="000000">
                      <w14:alpha w14:val="100000"/>
                    </w14:srgbClr>
                  </w14:solidFill>
                </w14:textFill>
              </w:rPr>
              <w:t>|</w:t>
            </w:r>
            <w:r w:rsidRPr="00BD3549">
              <w:rPr>
                <w:b w:val="0"/>
                <w:bCs/>
                <w:color w:val="000000"/>
                <w:spacing w:val="1"/>
                <w:shd w:val="solid" w:color="000000" w:fill="000000"/>
                <w:fitText w:val="285" w:id="-893677042"/>
                <w:lang w:val="en-AU"/>
                <w14:textFill>
                  <w14:solidFill>
                    <w14:srgbClr w14:val="000000">
                      <w14:alpha w14:val="100000"/>
                    </w14:srgbClr>
                  </w14:solidFill>
                </w14:textFill>
              </w:rPr>
              <w:t>|</w:t>
            </w:r>
            <w:r w:rsidR="002E6F4F" w:rsidRPr="001611DC">
              <w:rPr>
                <w:b w:val="0"/>
                <w:bCs/>
                <w:lang w:val="en-AU"/>
              </w:rPr>
              <w:t>%</w:t>
            </w:r>
          </w:p>
        </w:tc>
      </w:tr>
      <w:tr w:rsidR="002E6F4F" w:rsidRPr="001611DC" w14:paraId="3A634111" w14:textId="77777777" w:rsidTr="00ED36A0">
        <w:trPr>
          <w:trHeight w:val="20"/>
        </w:trPr>
        <w:tc>
          <w:tcPr>
            <w:tcW w:w="5000" w:type="pct"/>
            <w:gridSpan w:val="9"/>
            <w:shd w:val="clear" w:color="auto" w:fill="auto"/>
            <w:vAlign w:val="center"/>
          </w:tcPr>
          <w:p w14:paraId="211EEC7D" w14:textId="77777777" w:rsidR="002E6F4F" w:rsidRPr="001611DC" w:rsidRDefault="002E6F4F" w:rsidP="00C762BB">
            <w:pPr>
              <w:pStyle w:val="TableText0"/>
              <w:keepNext w:val="0"/>
              <w:rPr>
                <w:b/>
                <w:bCs w:val="0"/>
                <w:vertAlign w:val="superscript"/>
              </w:rPr>
            </w:pPr>
            <w:r w:rsidRPr="001611DC">
              <w:rPr>
                <w:b/>
                <w:bCs w:val="0"/>
              </w:rPr>
              <w:t xml:space="preserve">Probability RSV-LRTD hospitalised </w:t>
            </w:r>
            <w:r w:rsidRPr="001611DC">
              <w:rPr>
                <w:b/>
                <w:bCs w:val="0"/>
                <w:vertAlign w:val="superscript"/>
              </w:rPr>
              <w:t>a</w:t>
            </w:r>
          </w:p>
        </w:tc>
      </w:tr>
      <w:tr w:rsidR="002E6F4F" w:rsidRPr="001611DC" w14:paraId="69FAC747" w14:textId="77777777" w:rsidTr="00BD3549">
        <w:trPr>
          <w:trHeight w:val="20"/>
        </w:trPr>
        <w:tc>
          <w:tcPr>
            <w:tcW w:w="940" w:type="pct"/>
            <w:shd w:val="clear" w:color="auto" w:fill="auto"/>
            <w:vAlign w:val="center"/>
          </w:tcPr>
          <w:p w14:paraId="0CC3F1DC" w14:textId="77777777" w:rsidR="002E6F4F" w:rsidRPr="001611DC" w:rsidRDefault="002E6F4F" w:rsidP="00C762BB">
            <w:pPr>
              <w:pStyle w:val="TableText0"/>
              <w:keepNext w:val="0"/>
            </w:pPr>
            <w:r w:rsidRPr="001611DC">
              <w:t>Lower CI</w:t>
            </w:r>
          </w:p>
        </w:tc>
        <w:tc>
          <w:tcPr>
            <w:tcW w:w="708" w:type="pct"/>
            <w:shd w:val="solid" w:color="000000" w:fill="000000"/>
            <w:vAlign w:val="center"/>
          </w:tcPr>
          <w:p w14:paraId="54223FBD" w14:textId="33B5A18B"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40F4260E" w14:textId="77777777" w:rsidR="002E6F4F" w:rsidRPr="001611DC" w:rsidRDefault="002E6F4F" w:rsidP="00C762BB">
            <w:pPr>
              <w:pStyle w:val="TableText0"/>
              <w:keepNext w:val="0"/>
              <w:jc w:val="center"/>
            </w:pPr>
            <w:r w:rsidRPr="001611DC">
              <w:t>19,739</w:t>
            </w:r>
          </w:p>
        </w:tc>
        <w:tc>
          <w:tcPr>
            <w:tcW w:w="472" w:type="pct"/>
            <w:shd w:val="clear" w:color="auto" w:fill="auto"/>
            <w:vAlign w:val="center"/>
          </w:tcPr>
          <w:p w14:paraId="7164AC3E" w14:textId="1E5EC7DE" w:rsidR="002E6F4F" w:rsidRPr="001611DC" w:rsidRDefault="00BD3549" w:rsidP="00C762BB">
            <w:pPr>
              <w:pStyle w:val="TableText0"/>
              <w:keepNext w:val="0"/>
              <w:jc w:val="center"/>
            </w:pPr>
            <w:r w:rsidRPr="00BD3549">
              <w:rPr>
                <w:color w:val="000000"/>
                <w:spacing w:val="94"/>
                <w:shd w:val="solid" w:color="000000" w:fill="000000"/>
                <w:fitText w:val="180" w:id="-893677041"/>
                <w14:textFill>
                  <w14:solidFill>
                    <w14:srgbClr w14:val="000000">
                      <w14:alpha w14:val="100000"/>
                    </w14:srgbClr>
                  </w14:solidFill>
                </w14:textFill>
              </w:rPr>
              <w:t>|</w:t>
            </w:r>
            <w:r w:rsidRPr="00BD3549">
              <w:rPr>
                <w:color w:val="000000"/>
                <w:spacing w:val="1"/>
                <w:shd w:val="solid" w:color="000000" w:fill="000000"/>
                <w:fitText w:val="180" w:id="-893677041"/>
                <w14:textFill>
                  <w14:solidFill>
                    <w14:srgbClr w14:val="000000">
                      <w14:alpha w14:val="100000"/>
                    </w14:srgbClr>
                  </w14:solidFill>
                </w14:textFill>
              </w:rPr>
              <w:t>|</w:t>
            </w:r>
            <w:r w:rsidR="00AA386D" w:rsidRPr="00AA386D">
              <w:rPr>
                <w:vertAlign w:val="superscript"/>
              </w:rPr>
              <w:t>4</w:t>
            </w:r>
          </w:p>
        </w:tc>
        <w:tc>
          <w:tcPr>
            <w:tcW w:w="473" w:type="pct"/>
            <w:shd w:val="clear" w:color="auto" w:fill="auto"/>
            <w:vAlign w:val="center"/>
          </w:tcPr>
          <w:p w14:paraId="3E30B977" w14:textId="45366546" w:rsidR="002E6F4F" w:rsidRPr="001611DC" w:rsidRDefault="00BD3549" w:rsidP="00C762BB">
            <w:pPr>
              <w:pStyle w:val="TableText0"/>
              <w:keepNext w:val="0"/>
              <w:jc w:val="center"/>
            </w:pPr>
            <w:r w:rsidRPr="00BD3549">
              <w:rPr>
                <w:color w:val="000000"/>
                <w:spacing w:val="48"/>
                <w:shd w:val="solid" w:color="000000" w:fill="000000"/>
                <w:fitText w:val="225" w:id="-893677040"/>
                <w14:textFill>
                  <w14:solidFill>
                    <w14:srgbClr w14:val="000000">
                      <w14:alpha w14:val="100000"/>
                    </w14:srgbClr>
                  </w14:solidFill>
                </w14:textFill>
              </w:rPr>
              <w:t>||</w:t>
            </w:r>
            <w:r w:rsidRPr="00BD3549">
              <w:rPr>
                <w:color w:val="000000"/>
                <w:spacing w:val="2"/>
                <w:shd w:val="solid" w:color="000000" w:fill="000000"/>
                <w:fitText w:val="225" w:id="-893677040"/>
                <w14:textFill>
                  <w14:solidFill>
                    <w14:srgbClr w14:val="000000">
                      <w14:alpha w14:val="100000"/>
                    </w14:srgbClr>
                  </w14:solidFill>
                </w14:textFill>
              </w:rPr>
              <w:t>|</w:t>
            </w:r>
            <w:r w:rsidR="002E6F4F" w:rsidRPr="001611DC">
              <w:t>%</w:t>
            </w:r>
          </w:p>
        </w:tc>
        <w:tc>
          <w:tcPr>
            <w:tcW w:w="683" w:type="pct"/>
            <w:shd w:val="solid" w:color="000000" w:fill="000000"/>
            <w:vAlign w:val="center"/>
          </w:tcPr>
          <w:p w14:paraId="6E47D648" w14:textId="76A16960"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54F47002" w14:textId="77777777" w:rsidR="002E6F4F" w:rsidRPr="001611DC" w:rsidRDefault="002E6F4F" w:rsidP="00C762BB">
            <w:pPr>
              <w:pStyle w:val="TableText0"/>
              <w:keepNext w:val="0"/>
              <w:jc w:val="center"/>
            </w:pPr>
            <w:r w:rsidRPr="001611DC">
              <w:t>11,291</w:t>
            </w:r>
          </w:p>
        </w:tc>
        <w:tc>
          <w:tcPr>
            <w:tcW w:w="509" w:type="pct"/>
            <w:shd w:val="clear" w:color="auto" w:fill="auto"/>
            <w:vAlign w:val="center"/>
          </w:tcPr>
          <w:p w14:paraId="4079CD46" w14:textId="42A92D0C" w:rsidR="002E6F4F" w:rsidRPr="001611DC" w:rsidRDefault="00BD3549" w:rsidP="00C762BB">
            <w:pPr>
              <w:pStyle w:val="TableText0"/>
              <w:keepNext w:val="0"/>
              <w:jc w:val="center"/>
            </w:pPr>
            <w:r w:rsidRPr="00BD3549">
              <w:rPr>
                <w:rFonts w:hint="eastAsia"/>
                <w:color w:val="000000"/>
                <w:w w:val="33"/>
                <w:shd w:val="solid" w:color="000000" w:fill="000000"/>
                <w:fitText w:val="150" w:id="-893677056"/>
                <w14:textFill>
                  <w14:solidFill>
                    <w14:srgbClr w14:val="000000">
                      <w14:alpha w14:val="100000"/>
                    </w14:srgbClr>
                  </w14:solidFill>
                </w14:textFill>
              </w:rPr>
              <w:t xml:space="preserve">　</w:t>
            </w:r>
            <w:r w:rsidRPr="00BD3549">
              <w:rPr>
                <w:color w:val="000000"/>
                <w:w w:val="33"/>
                <w:shd w:val="solid" w:color="000000" w:fill="000000"/>
                <w:fitText w:val="150" w:id="-893677056"/>
                <w14:textFill>
                  <w14:solidFill>
                    <w14:srgbClr w14:val="000000">
                      <w14:alpha w14:val="100000"/>
                    </w14:srgbClr>
                  </w14:solidFill>
                </w14:textFill>
              </w:rPr>
              <w:t>|</w:t>
            </w:r>
            <w:r w:rsidRPr="00BD3549">
              <w:rPr>
                <w:rFonts w:hint="eastAsia"/>
                <w:color w:val="000000"/>
                <w:spacing w:val="4"/>
                <w:w w:val="33"/>
                <w:shd w:val="solid" w:color="000000" w:fill="000000"/>
                <w:fitText w:val="150" w:id="-893677056"/>
                <w14:textFill>
                  <w14:solidFill>
                    <w14:srgbClr w14:val="000000">
                      <w14:alpha w14:val="100000"/>
                    </w14:srgbClr>
                  </w14:solidFill>
                </w14:textFill>
              </w:rPr>
              <w:t xml:space="preserve">　</w:t>
            </w:r>
            <w:r w:rsidR="00484198" w:rsidRPr="00484198">
              <w:rPr>
                <w:vertAlign w:val="superscript"/>
              </w:rPr>
              <w:t>5</w:t>
            </w:r>
          </w:p>
        </w:tc>
        <w:tc>
          <w:tcPr>
            <w:tcW w:w="392" w:type="pct"/>
            <w:shd w:val="clear" w:color="auto" w:fill="auto"/>
            <w:vAlign w:val="center"/>
          </w:tcPr>
          <w:p w14:paraId="1BC4DA63" w14:textId="17A104FF" w:rsidR="002E6F4F" w:rsidRPr="001611DC" w:rsidRDefault="00BD3549" w:rsidP="00C762BB">
            <w:pPr>
              <w:pStyle w:val="TableText0"/>
              <w:keepNext w:val="0"/>
              <w:jc w:val="center"/>
            </w:pPr>
            <w:r w:rsidRPr="00BD3549">
              <w:rPr>
                <w:color w:val="000000"/>
                <w:spacing w:val="199"/>
                <w:shd w:val="solid" w:color="000000" w:fill="000000"/>
                <w:fitText w:val="285" w:id="-893677055"/>
                <w14:textFill>
                  <w14:solidFill>
                    <w14:srgbClr w14:val="000000">
                      <w14:alpha w14:val="100000"/>
                    </w14:srgbClr>
                  </w14:solidFill>
                </w14:textFill>
              </w:rPr>
              <w:t>|</w:t>
            </w:r>
            <w:r w:rsidRPr="00BD3549">
              <w:rPr>
                <w:color w:val="000000"/>
                <w:spacing w:val="1"/>
                <w:shd w:val="solid" w:color="000000" w:fill="000000"/>
                <w:fitText w:val="285" w:id="-893677055"/>
                <w14:textFill>
                  <w14:solidFill>
                    <w14:srgbClr w14:val="000000">
                      <w14:alpha w14:val="100000"/>
                    </w14:srgbClr>
                  </w14:solidFill>
                </w14:textFill>
              </w:rPr>
              <w:t>|</w:t>
            </w:r>
            <w:r w:rsidR="002E6F4F" w:rsidRPr="001611DC">
              <w:t>%</w:t>
            </w:r>
          </w:p>
        </w:tc>
      </w:tr>
      <w:tr w:rsidR="002E6F4F" w:rsidRPr="001611DC" w14:paraId="45D88052" w14:textId="77777777" w:rsidTr="00ED36A0">
        <w:trPr>
          <w:trHeight w:val="20"/>
        </w:trPr>
        <w:tc>
          <w:tcPr>
            <w:tcW w:w="5000" w:type="pct"/>
            <w:gridSpan w:val="9"/>
            <w:shd w:val="clear" w:color="auto" w:fill="auto"/>
            <w:vAlign w:val="center"/>
          </w:tcPr>
          <w:p w14:paraId="54BBDB4A" w14:textId="77777777" w:rsidR="002E6F4F" w:rsidRPr="001611DC" w:rsidRDefault="002E6F4F" w:rsidP="00C762BB">
            <w:pPr>
              <w:pStyle w:val="TableText0"/>
              <w:keepNext w:val="0"/>
              <w:rPr>
                <w:b/>
                <w:bCs w:val="0"/>
                <w:vertAlign w:val="superscript"/>
              </w:rPr>
            </w:pPr>
            <w:r w:rsidRPr="001611DC">
              <w:rPr>
                <w:b/>
                <w:bCs w:val="0"/>
              </w:rPr>
              <w:t xml:space="preserve">Probability RSV-LRTD hospitalised (based on Branche et al. 2021) </w:t>
            </w:r>
            <w:r w:rsidRPr="001611DC">
              <w:rPr>
                <w:b/>
                <w:bCs w:val="0"/>
                <w:vertAlign w:val="superscript"/>
              </w:rPr>
              <w:t>b</w:t>
            </w:r>
          </w:p>
        </w:tc>
      </w:tr>
      <w:tr w:rsidR="002E6F4F" w:rsidRPr="001611DC" w14:paraId="521F10C4" w14:textId="77777777" w:rsidTr="00BD3549">
        <w:trPr>
          <w:trHeight w:val="20"/>
        </w:trPr>
        <w:tc>
          <w:tcPr>
            <w:tcW w:w="940" w:type="pct"/>
            <w:shd w:val="clear" w:color="auto" w:fill="auto"/>
            <w:vAlign w:val="center"/>
          </w:tcPr>
          <w:p w14:paraId="1DBFACD9" w14:textId="63674B28" w:rsidR="002E6F4F" w:rsidRPr="001611DC" w:rsidRDefault="002E6F4F" w:rsidP="00C762BB">
            <w:pPr>
              <w:pStyle w:val="TableText0"/>
              <w:keepNext w:val="0"/>
            </w:pPr>
            <w:r w:rsidRPr="001611DC">
              <w:t>AIHW data; McRae et al. 2023: 2019 rates</w:t>
            </w:r>
          </w:p>
        </w:tc>
        <w:tc>
          <w:tcPr>
            <w:tcW w:w="708" w:type="pct"/>
            <w:shd w:val="solid" w:color="000000" w:fill="000000"/>
            <w:vAlign w:val="center"/>
          </w:tcPr>
          <w:p w14:paraId="5D56B940" w14:textId="68A7842A"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630DC3D5" w14:textId="77777777" w:rsidR="002E6F4F" w:rsidRPr="001611DC" w:rsidRDefault="002E6F4F" w:rsidP="00C762BB">
            <w:pPr>
              <w:pStyle w:val="TableText0"/>
              <w:keepNext w:val="0"/>
              <w:jc w:val="center"/>
            </w:pPr>
            <w:r w:rsidRPr="001611DC">
              <w:t>24,583</w:t>
            </w:r>
          </w:p>
        </w:tc>
        <w:tc>
          <w:tcPr>
            <w:tcW w:w="472" w:type="pct"/>
            <w:shd w:val="clear" w:color="auto" w:fill="auto"/>
            <w:vAlign w:val="center"/>
          </w:tcPr>
          <w:p w14:paraId="221EBEB0" w14:textId="3BB3B6ED" w:rsidR="002E6F4F" w:rsidRPr="001611DC" w:rsidRDefault="00BD3549" w:rsidP="00C762BB">
            <w:pPr>
              <w:pStyle w:val="TableText0"/>
              <w:keepNext w:val="0"/>
              <w:jc w:val="center"/>
            </w:pPr>
            <w:r w:rsidRPr="00BD3549">
              <w:rPr>
                <w:color w:val="000000"/>
                <w:spacing w:val="94"/>
                <w:shd w:val="solid" w:color="000000" w:fill="000000"/>
                <w:fitText w:val="180" w:id="-893677054"/>
                <w14:textFill>
                  <w14:solidFill>
                    <w14:srgbClr w14:val="000000">
                      <w14:alpha w14:val="100000"/>
                    </w14:srgbClr>
                  </w14:solidFill>
                </w14:textFill>
              </w:rPr>
              <w:t>|</w:t>
            </w:r>
            <w:r w:rsidRPr="00BD3549">
              <w:rPr>
                <w:color w:val="000000"/>
                <w:spacing w:val="1"/>
                <w:shd w:val="solid" w:color="000000" w:fill="000000"/>
                <w:fitText w:val="180" w:id="-893677054"/>
                <w14:textFill>
                  <w14:solidFill>
                    <w14:srgbClr w14:val="000000">
                      <w14:alpha w14:val="100000"/>
                    </w14:srgbClr>
                  </w14:solidFill>
                </w14:textFill>
              </w:rPr>
              <w:t>|</w:t>
            </w:r>
            <w:r w:rsidR="00484198" w:rsidRPr="00484198">
              <w:rPr>
                <w:vertAlign w:val="superscript"/>
              </w:rPr>
              <w:t>6</w:t>
            </w:r>
          </w:p>
        </w:tc>
        <w:tc>
          <w:tcPr>
            <w:tcW w:w="473" w:type="pct"/>
            <w:shd w:val="clear" w:color="auto" w:fill="auto"/>
            <w:vAlign w:val="center"/>
          </w:tcPr>
          <w:p w14:paraId="10862687" w14:textId="5FA345EF" w:rsidR="002E6F4F" w:rsidRPr="001611DC" w:rsidRDefault="00BD3549" w:rsidP="00C762BB">
            <w:pPr>
              <w:pStyle w:val="TableText0"/>
              <w:keepNext w:val="0"/>
              <w:jc w:val="center"/>
            </w:pPr>
            <w:r w:rsidRPr="00BD3549">
              <w:rPr>
                <w:color w:val="000000"/>
                <w:spacing w:val="48"/>
                <w:shd w:val="solid" w:color="000000" w:fill="000000"/>
                <w:fitText w:val="225" w:id="-893677053"/>
                <w14:textFill>
                  <w14:solidFill>
                    <w14:srgbClr w14:val="000000">
                      <w14:alpha w14:val="100000"/>
                    </w14:srgbClr>
                  </w14:solidFill>
                </w14:textFill>
              </w:rPr>
              <w:t>||</w:t>
            </w:r>
            <w:r w:rsidRPr="00BD3549">
              <w:rPr>
                <w:color w:val="000000"/>
                <w:spacing w:val="2"/>
                <w:shd w:val="solid" w:color="000000" w:fill="000000"/>
                <w:fitText w:val="225" w:id="-893677053"/>
                <w14:textFill>
                  <w14:solidFill>
                    <w14:srgbClr w14:val="000000">
                      <w14:alpha w14:val="100000"/>
                    </w14:srgbClr>
                  </w14:solidFill>
                </w14:textFill>
              </w:rPr>
              <w:t>|</w:t>
            </w:r>
            <w:r w:rsidR="002E6F4F" w:rsidRPr="001611DC">
              <w:t>%</w:t>
            </w:r>
          </w:p>
        </w:tc>
        <w:tc>
          <w:tcPr>
            <w:tcW w:w="683" w:type="pct"/>
            <w:shd w:val="solid" w:color="000000" w:fill="000000"/>
            <w:vAlign w:val="center"/>
          </w:tcPr>
          <w:p w14:paraId="0580D28D" w14:textId="1AA70358"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3A1A25F8" w14:textId="77777777" w:rsidR="002E6F4F" w:rsidRPr="001611DC" w:rsidRDefault="002E6F4F" w:rsidP="00C762BB">
            <w:pPr>
              <w:pStyle w:val="TableText0"/>
              <w:keepNext w:val="0"/>
              <w:jc w:val="center"/>
            </w:pPr>
            <w:r w:rsidRPr="001611DC">
              <w:t>15,971</w:t>
            </w:r>
          </w:p>
        </w:tc>
        <w:tc>
          <w:tcPr>
            <w:tcW w:w="509" w:type="pct"/>
            <w:shd w:val="clear" w:color="auto" w:fill="auto"/>
            <w:vAlign w:val="center"/>
          </w:tcPr>
          <w:p w14:paraId="182F5E28" w14:textId="3BD70B6D" w:rsidR="002E6F4F" w:rsidRPr="001611DC" w:rsidRDefault="00BD3549" w:rsidP="00C762BB">
            <w:pPr>
              <w:pStyle w:val="TableText0"/>
              <w:keepNext w:val="0"/>
              <w:jc w:val="center"/>
            </w:pPr>
            <w:r w:rsidRPr="00BD3549">
              <w:rPr>
                <w:rFonts w:hint="eastAsia"/>
                <w:color w:val="000000"/>
                <w:w w:val="33"/>
                <w:shd w:val="solid" w:color="000000" w:fill="000000"/>
                <w:fitText w:val="150" w:id="-893677052"/>
                <w14:textFill>
                  <w14:solidFill>
                    <w14:srgbClr w14:val="000000">
                      <w14:alpha w14:val="100000"/>
                    </w14:srgbClr>
                  </w14:solidFill>
                </w14:textFill>
              </w:rPr>
              <w:t xml:space="preserve">　</w:t>
            </w:r>
            <w:r w:rsidRPr="00BD3549">
              <w:rPr>
                <w:color w:val="000000"/>
                <w:w w:val="33"/>
                <w:shd w:val="solid" w:color="000000" w:fill="000000"/>
                <w:fitText w:val="150" w:id="-893677052"/>
                <w14:textFill>
                  <w14:solidFill>
                    <w14:srgbClr w14:val="000000">
                      <w14:alpha w14:val="100000"/>
                    </w14:srgbClr>
                  </w14:solidFill>
                </w14:textFill>
              </w:rPr>
              <w:t>|</w:t>
            </w:r>
            <w:r w:rsidRPr="00BD3549">
              <w:rPr>
                <w:rFonts w:hint="eastAsia"/>
                <w:color w:val="000000"/>
                <w:spacing w:val="4"/>
                <w:w w:val="33"/>
                <w:shd w:val="solid" w:color="000000" w:fill="000000"/>
                <w:fitText w:val="150" w:id="-893677052"/>
                <w14:textFill>
                  <w14:solidFill>
                    <w14:srgbClr w14:val="000000">
                      <w14:alpha w14:val="100000"/>
                    </w14:srgbClr>
                  </w14:solidFill>
                </w14:textFill>
              </w:rPr>
              <w:t xml:space="preserve">　</w:t>
            </w:r>
            <w:r w:rsidR="00390E03" w:rsidRPr="00004C6E">
              <w:rPr>
                <w:b/>
                <w:bCs w:val="0"/>
                <w:vertAlign w:val="superscript"/>
              </w:rPr>
              <w:t>3</w:t>
            </w:r>
          </w:p>
        </w:tc>
        <w:tc>
          <w:tcPr>
            <w:tcW w:w="392" w:type="pct"/>
            <w:shd w:val="clear" w:color="auto" w:fill="auto"/>
            <w:vAlign w:val="center"/>
          </w:tcPr>
          <w:p w14:paraId="6C3BEDCF" w14:textId="0B647DEA" w:rsidR="002E6F4F" w:rsidRPr="001611DC" w:rsidRDefault="002E6F4F" w:rsidP="00C762BB">
            <w:pPr>
              <w:pStyle w:val="TableText0"/>
              <w:keepNext w:val="0"/>
              <w:jc w:val="center"/>
            </w:pPr>
            <w:r w:rsidRPr="001611DC">
              <w:t>-</w:t>
            </w:r>
            <w:r w:rsidR="00BD3549" w:rsidRPr="00BD3549">
              <w:rPr>
                <w:color w:val="000000"/>
                <w:spacing w:val="48"/>
                <w:shd w:val="solid" w:color="000000" w:fill="000000"/>
                <w:fitText w:val="315" w:id="-893677051"/>
                <w14:textFill>
                  <w14:solidFill>
                    <w14:srgbClr w14:val="000000">
                      <w14:alpha w14:val="100000"/>
                    </w14:srgbClr>
                  </w14:solidFill>
                </w14:textFill>
              </w:rPr>
              <w:t>|||</w:t>
            </w:r>
            <w:r w:rsidR="00BD3549" w:rsidRPr="00BD3549">
              <w:rPr>
                <w:color w:val="000000"/>
                <w:spacing w:val="1"/>
                <w:shd w:val="solid" w:color="000000" w:fill="000000"/>
                <w:fitText w:val="315" w:id="-893677051"/>
                <w14:textFill>
                  <w14:solidFill>
                    <w14:srgbClr w14:val="000000">
                      <w14:alpha w14:val="100000"/>
                    </w14:srgbClr>
                  </w14:solidFill>
                </w14:textFill>
              </w:rPr>
              <w:t>|</w:t>
            </w:r>
            <w:r w:rsidRPr="001611DC">
              <w:t>%</w:t>
            </w:r>
          </w:p>
        </w:tc>
      </w:tr>
      <w:tr w:rsidR="002E6F4F" w:rsidRPr="001611DC" w14:paraId="15820E85" w14:textId="77777777" w:rsidTr="00ED36A0">
        <w:trPr>
          <w:trHeight w:val="20"/>
        </w:trPr>
        <w:tc>
          <w:tcPr>
            <w:tcW w:w="5000" w:type="pct"/>
            <w:gridSpan w:val="9"/>
            <w:shd w:val="clear" w:color="auto" w:fill="auto"/>
            <w:vAlign w:val="center"/>
          </w:tcPr>
          <w:p w14:paraId="0CD2FEB5" w14:textId="0CBB2456" w:rsidR="002E6F4F" w:rsidRPr="001611DC" w:rsidRDefault="002E6F4F" w:rsidP="00C762BB">
            <w:pPr>
              <w:pStyle w:val="TableText0"/>
              <w:keepNext w:val="0"/>
              <w:rPr>
                <w:b/>
                <w:bCs w:val="0"/>
                <w:vertAlign w:val="superscript"/>
              </w:rPr>
            </w:pPr>
            <w:r w:rsidRPr="001611DC">
              <w:rPr>
                <w:b/>
                <w:bCs w:val="0"/>
              </w:rPr>
              <w:t xml:space="preserve">RSV-LRTD waning rate (2.1%/month) </w:t>
            </w:r>
            <w:r w:rsidR="00A16C35" w:rsidRPr="001611DC">
              <w:rPr>
                <w:b/>
                <w:bCs w:val="0"/>
                <w:vertAlign w:val="superscript"/>
              </w:rPr>
              <w:t>c</w:t>
            </w:r>
          </w:p>
        </w:tc>
      </w:tr>
      <w:tr w:rsidR="002E6F4F" w:rsidRPr="001611DC" w14:paraId="5761366E" w14:textId="77777777" w:rsidTr="00BD3549">
        <w:trPr>
          <w:trHeight w:val="20"/>
        </w:trPr>
        <w:tc>
          <w:tcPr>
            <w:tcW w:w="940" w:type="pct"/>
            <w:shd w:val="clear" w:color="auto" w:fill="auto"/>
            <w:vAlign w:val="center"/>
          </w:tcPr>
          <w:p w14:paraId="3973B09A" w14:textId="77777777" w:rsidR="002E6F4F" w:rsidRPr="001611DC" w:rsidRDefault="002E6F4F" w:rsidP="00C762BB">
            <w:pPr>
              <w:pStyle w:val="TableText0"/>
              <w:keepNext w:val="0"/>
            </w:pPr>
            <w:r w:rsidRPr="001611DC">
              <w:t>Upper CI = 4.3%</w:t>
            </w:r>
          </w:p>
        </w:tc>
        <w:tc>
          <w:tcPr>
            <w:tcW w:w="708" w:type="pct"/>
            <w:shd w:val="solid" w:color="000000" w:fill="000000"/>
            <w:vAlign w:val="center"/>
          </w:tcPr>
          <w:p w14:paraId="264AC4D6" w14:textId="1208F38F"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1D6E04C2" w14:textId="77777777" w:rsidR="002E6F4F" w:rsidRPr="001611DC" w:rsidRDefault="002E6F4F" w:rsidP="00C762BB">
            <w:pPr>
              <w:pStyle w:val="TableText0"/>
              <w:keepNext w:val="0"/>
              <w:jc w:val="center"/>
            </w:pPr>
            <w:r w:rsidRPr="001611DC">
              <w:t>17,203</w:t>
            </w:r>
          </w:p>
        </w:tc>
        <w:tc>
          <w:tcPr>
            <w:tcW w:w="472" w:type="pct"/>
            <w:shd w:val="clear" w:color="auto" w:fill="auto"/>
            <w:vAlign w:val="center"/>
          </w:tcPr>
          <w:p w14:paraId="20B9571A" w14:textId="45B71EE2" w:rsidR="002E6F4F" w:rsidRPr="001611DC" w:rsidRDefault="00BD3549" w:rsidP="00C762BB">
            <w:pPr>
              <w:pStyle w:val="TableText0"/>
              <w:keepNext w:val="0"/>
              <w:jc w:val="center"/>
            </w:pPr>
            <w:r w:rsidRPr="00BD3549">
              <w:rPr>
                <w:color w:val="000000"/>
                <w:spacing w:val="94"/>
                <w:shd w:val="solid" w:color="000000" w:fill="000000"/>
                <w:fitText w:val="180" w:id="-893677050"/>
                <w14:textFill>
                  <w14:solidFill>
                    <w14:srgbClr w14:val="000000">
                      <w14:alpha w14:val="100000"/>
                    </w14:srgbClr>
                  </w14:solidFill>
                </w14:textFill>
              </w:rPr>
              <w:t>|</w:t>
            </w:r>
            <w:r w:rsidRPr="00BD3549">
              <w:rPr>
                <w:color w:val="000000"/>
                <w:spacing w:val="1"/>
                <w:shd w:val="solid" w:color="000000" w:fill="000000"/>
                <w:fitText w:val="180" w:id="-893677050"/>
                <w14:textFill>
                  <w14:solidFill>
                    <w14:srgbClr w14:val="000000">
                      <w14:alpha w14:val="100000"/>
                    </w14:srgbClr>
                  </w14:solidFill>
                </w14:textFill>
              </w:rPr>
              <w:t>|</w:t>
            </w:r>
            <w:r w:rsidR="006A7308" w:rsidRPr="006A7308">
              <w:rPr>
                <w:vertAlign w:val="superscript"/>
              </w:rPr>
              <w:t>7</w:t>
            </w:r>
          </w:p>
        </w:tc>
        <w:tc>
          <w:tcPr>
            <w:tcW w:w="473" w:type="pct"/>
            <w:shd w:val="clear" w:color="auto" w:fill="auto"/>
            <w:vAlign w:val="center"/>
          </w:tcPr>
          <w:p w14:paraId="014F4502" w14:textId="0DD785A9" w:rsidR="002E6F4F" w:rsidRPr="001611DC" w:rsidRDefault="00BD3549" w:rsidP="00C762BB">
            <w:pPr>
              <w:pStyle w:val="TableText0"/>
              <w:keepNext w:val="0"/>
              <w:jc w:val="center"/>
            </w:pPr>
            <w:r w:rsidRPr="00BD3549">
              <w:rPr>
                <w:color w:val="000000"/>
                <w:spacing w:val="48"/>
                <w:shd w:val="solid" w:color="000000" w:fill="000000"/>
                <w:fitText w:val="225" w:id="-893677049"/>
                <w14:textFill>
                  <w14:solidFill>
                    <w14:srgbClr w14:val="000000">
                      <w14:alpha w14:val="100000"/>
                    </w14:srgbClr>
                  </w14:solidFill>
                </w14:textFill>
              </w:rPr>
              <w:t>||</w:t>
            </w:r>
            <w:r w:rsidRPr="00BD3549">
              <w:rPr>
                <w:color w:val="000000"/>
                <w:spacing w:val="2"/>
                <w:shd w:val="solid" w:color="000000" w:fill="000000"/>
                <w:fitText w:val="225" w:id="-893677049"/>
                <w14:textFill>
                  <w14:solidFill>
                    <w14:srgbClr w14:val="000000">
                      <w14:alpha w14:val="100000"/>
                    </w14:srgbClr>
                  </w14:solidFill>
                </w14:textFill>
              </w:rPr>
              <w:t>|</w:t>
            </w:r>
            <w:r w:rsidR="002E6F4F" w:rsidRPr="001611DC">
              <w:t>%</w:t>
            </w:r>
          </w:p>
        </w:tc>
        <w:tc>
          <w:tcPr>
            <w:tcW w:w="683" w:type="pct"/>
            <w:shd w:val="solid" w:color="000000" w:fill="000000"/>
            <w:vAlign w:val="center"/>
          </w:tcPr>
          <w:p w14:paraId="591718EB" w14:textId="0C9811FE"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6623DC3E" w14:textId="77777777" w:rsidR="002E6F4F" w:rsidRPr="001611DC" w:rsidRDefault="002E6F4F" w:rsidP="00C762BB">
            <w:pPr>
              <w:pStyle w:val="TableText0"/>
              <w:keepNext w:val="0"/>
              <w:jc w:val="center"/>
            </w:pPr>
            <w:r w:rsidRPr="001611DC">
              <w:t>9,796</w:t>
            </w:r>
          </w:p>
        </w:tc>
        <w:tc>
          <w:tcPr>
            <w:tcW w:w="509" w:type="pct"/>
            <w:shd w:val="clear" w:color="auto" w:fill="auto"/>
            <w:vAlign w:val="center"/>
          </w:tcPr>
          <w:p w14:paraId="08C518E8" w14:textId="0A61365F" w:rsidR="002E6F4F" w:rsidRPr="001611DC" w:rsidRDefault="00BD3549" w:rsidP="00C762BB">
            <w:pPr>
              <w:pStyle w:val="TableText0"/>
              <w:keepNext w:val="0"/>
              <w:jc w:val="center"/>
            </w:pPr>
            <w:r w:rsidRPr="00BD3549">
              <w:rPr>
                <w:rFonts w:hint="eastAsia"/>
                <w:color w:val="000000"/>
                <w:w w:val="33"/>
                <w:shd w:val="solid" w:color="000000" w:fill="000000"/>
                <w:fitText w:val="150" w:id="-893677048"/>
                <w14:textFill>
                  <w14:solidFill>
                    <w14:srgbClr w14:val="000000">
                      <w14:alpha w14:val="100000"/>
                    </w14:srgbClr>
                  </w14:solidFill>
                </w14:textFill>
              </w:rPr>
              <w:t xml:space="preserve">　</w:t>
            </w:r>
            <w:r w:rsidRPr="00BD3549">
              <w:rPr>
                <w:color w:val="000000"/>
                <w:w w:val="33"/>
                <w:shd w:val="solid" w:color="000000" w:fill="000000"/>
                <w:fitText w:val="150" w:id="-893677048"/>
                <w14:textFill>
                  <w14:solidFill>
                    <w14:srgbClr w14:val="000000">
                      <w14:alpha w14:val="100000"/>
                    </w14:srgbClr>
                  </w14:solidFill>
                </w14:textFill>
              </w:rPr>
              <w:t>|</w:t>
            </w:r>
            <w:r w:rsidRPr="00BD3549">
              <w:rPr>
                <w:rFonts w:hint="eastAsia"/>
                <w:color w:val="000000"/>
                <w:spacing w:val="4"/>
                <w:w w:val="33"/>
                <w:shd w:val="solid" w:color="000000" w:fill="000000"/>
                <w:fitText w:val="150" w:id="-893677048"/>
                <w14:textFill>
                  <w14:solidFill>
                    <w14:srgbClr w14:val="000000">
                      <w14:alpha w14:val="100000"/>
                    </w14:srgbClr>
                  </w14:solidFill>
                </w14:textFill>
              </w:rPr>
              <w:t xml:space="preserve">　</w:t>
            </w:r>
            <w:r w:rsidR="00603E33" w:rsidRPr="00603E33">
              <w:rPr>
                <w:vertAlign w:val="superscript"/>
              </w:rPr>
              <w:t>1</w:t>
            </w:r>
          </w:p>
        </w:tc>
        <w:tc>
          <w:tcPr>
            <w:tcW w:w="392" w:type="pct"/>
            <w:shd w:val="clear" w:color="auto" w:fill="auto"/>
            <w:vAlign w:val="center"/>
          </w:tcPr>
          <w:p w14:paraId="0C5942B8" w14:textId="4D674E3E" w:rsidR="002E6F4F" w:rsidRPr="001611DC" w:rsidRDefault="00BD3549" w:rsidP="00C762BB">
            <w:pPr>
              <w:pStyle w:val="TableText0"/>
              <w:keepNext w:val="0"/>
              <w:jc w:val="center"/>
            </w:pPr>
            <w:r w:rsidRPr="00BD3549">
              <w:rPr>
                <w:color w:val="000000"/>
                <w:spacing w:val="199"/>
                <w:shd w:val="solid" w:color="000000" w:fill="000000"/>
                <w:fitText w:val="285" w:id="-893677047"/>
                <w14:textFill>
                  <w14:solidFill>
                    <w14:srgbClr w14:val="000000">
                      <w14:alpha w14:val="100000"/>
                    </w14:srgbClr>
                  </w14:solidFill>
                </w14:textFill>
              </w:rPr>
              <w:t>|</w:t>
            </w:r>
            <w:r w:rsidRPr="00BD3549">
              <w:rPr>
                <w:color w:val="000000"/>
                <w:spacing w:val="1"/>
                <w:shd w:val="solid" w:color="000000" w:fill="000000"/>
                <w:fitText w:val="285" w:id="-893677047"/>
                <w14:textFill>
                  <w14:solidFill>
                    <w14:srgbClr w14:val="000000">
                      <w14:alpha w14:val="100000"/>
                    </w14:srgbClr>
                  </w14:solidFill>
                </w14:textFill>
              </w:rPr>
              <w:t>|</w:t>
            </w:r>
            <w:r w:rsidR="002E6F4F" w:rsidRPr="001611DC">
              <w:t>%</w:t>
            </w:r>
          </w:p>
        </w:tc>
      </w:tr>
      <w:tr w:rsidR="002E6F4F" w:rsidRPr="001611DC" w14:paraId="788BFDB0" w14:textId="77777777" w:rsidTr="00ED36A0">
        <w:trPr>
          <w:trHeight w:val="20"/>
        </w:trPr>
        <w:tc>
          <w:tcPr>
            <w:tcW w:w="5000" w:type="pct"/>
            <w:gridSpan w:val="9"/>
            <w:shd w:val="clear" w:color="auto" w:fill="auto"/>
            <w:vAlign w:val="center"/>
          </w:tcPr>
          <w:p w14:paraId="4771EC88" w14:textId="119F1E41" w:rsidR="002E6F4F" w:rsidRPr="001611DC" w:rsidRDefault="002E6F4F" w:rsidP="00C762BB">
            <w:pPr>
              <w:pStyle w:val="TableText0"/>
              <w:keepNext w:val="0"/>
              <w:rPr>
                <w:b/>
                <w:bCs w:val="0"/>
                <w:vertAlign w:val="superscript"/>
              </w:rPr>
            </w:pPr>
            <w:r w:rsidRPr="001611DC">
              <w:rPr>
                <w:b/>
                <w:bCs w:val="0"/>
              </w:rPr>
              <w:t xml:space="preserve">Peak % efficacy after first vaccination against RSV-LRTD caused by first RSV infection (88.02%) </w:t>
            </w:r>
            <w:r w:rsidRPr="001611DC">
              <w:rPr>
                <w:b/>
                <w:bCs w:val="0"/>
                <w:vertAlign w:val="superscript"/>
              </w:rPr>
              <w:t>c</w:t>
            </w:r>
          </w:p>
        </w:tc>
      </w:tr>
      <w:tr w:rsidR="002E6F4F" w:rsidRPr="001611DC" w14:paraId="2B646735" w14:textId="77777777" w:rsidTr="00BD3549">
        <w:trPr>
          <w:trHeight w:val="20"/>
        </w:trPr>
        <w:tc>
          <w:tcPr>
            <w:tcW w:w="940" w:type="pct"/>
            <w:shd w:val="clear" w:color="auto" w:fill="auto"/>
            <w:vAlign w:val="center"/>
          </w:tcPr>
          <w:p w14:paraId="2D903270" w14:textId="77777777" w:rsidR="002E6F4F" w:rsidRPr="001611DC" w:rsidRDefault="002E6F4F" w:rsidP="00C762BB">
            <w:pPr>
              <w:pStyle w:val="TableText0"/>
              <w:keepNext w:val="0"/>
            </w:pPr>
            <w:r w:rsidRPr="001611DC">
              <w:t>Lower CI = 65.8%</w:t>
            </w:r>
          </w:p>
        </w:tc>
        <w:tc>
          <w:tcPr>
            <w:tcW w:w="708" w:type="pct"/>
            <w:shd w:val="solid" w:color="000000" w:fill="000000"/>
            <w:vAlign w:val="center"/>
          </w:tcPr>
          <w:p w14:paraId="0FEBC2F0" w14:textId="4D565CFB"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62A23944" w14:textId="77777777" w:rsidR="002E6F4F" w:rsidRPr="001611DC" w:rsidRDefault="002E6F4F" w:rsidP="00C762BB">
            <w:pPr>
              <w:pStyle w:val="TableText0"/>
              <w:keepNext w:val="0"/>
              <w:jc w:val="center"/>
            </w:pPr>
            <w:r w:rsidRPr="001611DC">
              <w:t>17,613</w:t>
            </w:r>
          </w:p>
        </w:tc>
        <w:tc>
          <w:tcPr>
            <w:tcW w:w="472" w:type="pct"/>
            <w:shd w:val="clear" w:color="auto" w:fill="auto"/>
            <w:vAlign w:val="center"/>
          </w:tcPr>
          <w:p w14:paraId="047BDBDE" w14:textId="4B205AB9" w:rsidR="002E6F4F" w:rsidRPr="001611DC" w:rsidRDefault="00BD3549" w:rsidP="00C762BB">
            <w:pPr>
              <w:pStyle w:val="TableText0"/>
              <w:keepNext w:val="0"/>
              <w:jc w:val="center"/>
            </w:pPr>
            <w:r w:rsidRPr="00BD3549">
              <w:rPr>
                <w:color w:val="000000"/>
                <w:spacing w:val="94"/>
                <w:shd w:val="solid" w:color="000000" w:fill="000000"/>
                <w:fitText w:val="180" w:id="-893677046"/>
                <w14:textFill>
                  <w14:solidFill>
                    <w14:srgbClr w14:val="000000">
                      <w14:alpha w14:val="100000"/>
                    </w14:srgbClr>
                  </w14:solidFill>
                </w14:textFill>
              </w:rPr>
              <w:t>|</w:t>
            </w:r>
            <w:r w:rsidRPr="00BD3549">
              <w:rPr>
                <w:color w:val="000000"/>
                <w:spacing w:val="1"/>
                <w:shd w:val="solid" w:color="000000" w:fill="000000"/>
                <w:fitText w:val="180" w:id="-893677046"/>
                <w14:textFill>
                  <w14:solidFill>
                    <w14:srgbClr w14:val="000000">
                      <w14:alpha w14:val="100000"/>
                    </w14:srgbClr>
                  </w14:solidFill>
                </w14:textFill>
              </w:rPr>
              <w:t>|</w:t>
            </w:r>
            <w:r w:rsidR="006A7308" w:rsidRPr="006A7308">
              <w:rPr>
                <w:vertAlign w:val="superscript"/>
              </w:rPr>
              <w:t>7</w:t>
            </w:r>
          </w:p>
        </w:tc>
        <w:tc>
          <w:tcPr>
            <w:tcW w:w="473" w:type="pct"/>
            <w:shd w:val="clear" w:color="auto" w:fill="auto"/>
            <w:vAlign w:val="center"/>
          </w:tcPr>
          <w:p w14:paraId="1EAE9849" w14:textId="1889027F" w:rsidR="002E6F4F" w:rsidRPr="001611DC" w:rsidRDefault="00BD3549" w:rsidP="00C762BB">
            <w:pPr>
              <w:pStyle w:val="TableText0"/>
              <w:keepNext w:val="0"/>
              <w:jc w:val="center"/>
            </w:pPr>
            <w:r w:rsidRPr="00BD3549">
              <w:rPr>
                <w:color w:val="000000"/>
                <w:spacing w:val="48"/>
                <w:shd w:val="solid" w:color="000000" w:fill="000000"/>
                <w:fitText w:val="225" w:id="-893677045"/>
                <w14:textFill>
                  <w14:solidFill>
                    <w14:srgbClr w14:val="000000">
                      <w14:alpha w14:val="100000"/>
                    </w14:srgbClr>
                  </w14:solidFill>
                </w14:textFill>
              </w:rPr>
              <w:t>||</w:t>
            </w:r>
            <w:r w:rsidRPr="00BD3549">
              <w:rPr>
                <w:color w:val="000000"/>
                <w:spacing w:val="2"/>
                <w:shd w:val="solid" w:color="000000" w:fill="000000"/>
                <w:fitText w:val="225" w:id="-893677045"/>
                <w14:textFill>
                  <w14:solidFill>
                    <w14:srgbClr w14:val="000000">
                      <w14:alpha w14:val="100000"/>
                    </w14:srgbClr>
                  </w14:solidFill>
                </w14:textFill>
              </w:rPr>
              <w:t>|</w:t>
            </w:r>
            <w:r w:rsidR="002E6F4F" w:rsidRPr="001611DC">
              <w:t>%</w:t>
            </w:r>
          </w:p>
        </w:tc>
        <w:tc>
          <w:tcPr>
            <w:tcW w:w="683" w:type="pct"/>
            <w:shd w:val="solid" w:color="000000" w:fill="000000"/>
            <w:vAlign w:val="center"/>
          </w:tcPr>
          <w:p w14:paraId="2B14EAAF" w14:textId="2AE0D6F8"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5C7BFDF6" w14:textId="77777777" w:rsidR="002E6F4F" w:rsidRPr="001611DC" w:rsidRDefault="002E6F4F" w:rsidP="00C762BB">
            <w:pPr>
              <w:pStyle w:val="TableText0"/>
              <w:keepNext w:val="0"/>
              <w:jc w:val="center"/>
            </w:pPr>
            <w:r w:rsidRPr="001611DC">
              <w:t>10,028</w:t>
            </w:r>
          </w:p>
        </w:tc>
        <w:tc>
          <w:tcPr>
            <w:tcW w:w="509" w:type="pct"/>
            <w:shd w:val="clear" w:color="auto" w:fill="auto"/>
            <w:vAlign w:val="center"/>
          </w:tcPr>
          <w:p w14:paraId="1BCA9DA9" w14:textId="09C7AE25" w:rsidR="002E6F4F" w:rsidRPr="001611DC" w:rsidRDefault="00BD3549" w:rsidP="00C762BB">
            <w:pPr>
              <w:pStyle w:val="TableText0"/>
              <w:keepNext w:val="0"/>
              <w:jc w:val="center"/>
            </w:pPr>
            <w:r w:rsidRPr="00BD3549">
              <w:rPr>
                <w:rFonts w:hint="eastAsia"/>
                <w:color w:val="000000"/>
                <w:w w:val="33"/>
                <w:shd w:val="solid" w:color="000000" w:fill="000000"/>
                <w:fitText w:val="150" w:id="-893677044"/>
                <w14:textFill>
                  <w14:solidFill>
                    <w14:srgbClr w14:val="000000">
                      <w14:alpha w14:val="100000"/>
                    </w14:srgbClr>
                  </w14:solidFill>
                </w14:textFill>
              </w:rPr>
              <w:t xml:space="preserve">　</w:t>
            </w:r>
            <w:r w:rsidRPr="00BD3549">
              <w:rPr>
                <w:color w:val="000000"/>
                <w:w w:val="33"/>
                <w:shd w:val="solid" w:color="000000" w:fill="000000"/>
                <w:fitText w:val="150" w:id="-893677044"/>
                <w14:textFill>
                  <w14:solidFill>
                    <w14:srgbClr w14:val="000000">
                      <w14:alpha w14:val="100000"/>
                    </w14:srgbClr>
                  </w14:solidFill>
                </w14:textFill>
              </w:rPr>
              <w:t>|</w:t>
            </w:r>
            <w:r w:rsidRPr="00BD3549">
              <w:rPr>
                <w:rFonts w:hint="eastAsia"/>
                <w:color w:val="000000"/>
                <w:spacing w:val="4"/>
                <w:w w:val="33"/>
                <w:shd w:val="solid" w:color="000000" w:fill="000000"/>
                <w:fitText w:val="150" w:id="-893677044"/>
                <w14:textFill>
                  <w14:solidFill>
                    <w14:srgbClr w14:val="000000">
                      <w14:alpha w14:val="100000"/>
                    </w14:srgbClr>
                  </w14:solidFill>
                </w14:textFill>
              </w:rPr>
              <w:t xml:space="preserve">　</w:t>
            </w:r>
            <w:r w:rsidR="00603E33" w:rsidRPr="00603E33">
              <w:rPr>
                <w:vertAlign w:val="superscript"/>
              </w:rPr>
              <w:t>1</w:t>
            </w:r>
          </w:p>
        </w:tc>
        <w:tc>
          <w:tcPr>
            <w:tcW w:w="392" w:type="pct"/>
            <w:shd w:val="clear" w:color="auto" w:fill="auto"/>
            <w:vAlign w:val="center"/>
          </w:tcPr>
          <w:p w14:paraId="470F2753" w14:textId="15388C47" w:rsidR="002E6F4F" w:rsidRPr="001611DC" w:rsidRDefault="00BD3549" w:rsidP="00C762BB">
            <w:pPr>
              <w:pStyle w:val="TableText0"/>
              <w:keepNext w:val="0"/>
              <w:jc w:val="center"/>
            </w:pPr>
            <w:r w:rsidRPr="00BD3549">
              <w:rPr>
                <w:color w:val="000000"/>
                <w:spacing w:val="199"/>
                <w:shd w:val="solid" w:color="000000" w:fill="000000"/>
                <w:fitText w:val="285" w:id="-893677043"/>
                <w14:textFill>
                  <w14:solidFill>
                    <w14:srgbClr w14:val="000000">
                      <w14:alpha w14:val="100000"/>
                    </w14:srgbClr>
                  </w14:solidFill>
                </w14:textFill>
              </w:rPr>
              <w:t>|</w:t>
            </w:r>
            <w:r w:rsidRPr="00BD3549">
              <w:rPr>
                <w:color w:val="000000"/>
                <w:spacing w:val="1"/>
                <w:shd w:val="solid" w:color="000000" w:fill="000000"/>
                <w:fitText w:val="285" w:id="-893677043"/>
                <w14:textFill>
                  <w14:solidFill>
                    <w14:srgbClr w14:val="000000">
                      <w14:alpha w14:val="100000"/>
                    </w14:srgbClr>
                  </w14:solidFill>
                </w14:textFill>
              </w:rPr>
              <w:t>|</w:t>
            </w:r>
            <w:r w:rsidR="002E6F4F" w:rsidRPr="001611DC">
              <w:t>%</w:t>
            </w:r>
          </w:p>
        </w:tc>
      </w:tr>
      <w:tr w:rsidR="002E6F4F" w:rsidRPr="001611DC" w14:paraId="0EF9D26D" w14:textId="77777777" w:rsidTr="00ED36A0">
        <w:trPr>
          <w:trHeight w:val="20"/>
        </w:trPr>
        <w:tc>
          <w:tcPr>
            <w:tcW w:w="5000" w:type="pct"/>
            <w:gridSpan w:val="9"/>
            <w:shd w:val="clear" w:color="auto" w:fill="auto"/>
            <w:vAlign w:val="center"/>
          </w:tcPr>
          <w:p w14:paraId="45D81DBE" w14:textId="77777777" w:rsidR="002E6F4F" w:rsidRPr="001611DC" w:rsidRDefault="002E6F4F" w:rsidP="00C762BB">
            <w:pPr>
              <w:pStyle w:val="TableText0"/>
              <w:keepNext w:val="0"/>
              <w:rPr>
                <w:b/>
                <w:bCs w:val="0"/>
                <w:vertAlign w:val="superscript"/>
              </w:rPr>
            </w:pPr>
            <w:r w:rsidRPr="001611DC">
              <w:rPr>
                <w:b/>
                <w:bCs w:val="0"/>
              </w:rPr>
              <w:t xml:space="preserve">Under-ascertainment multiplier (2.19) </w:t>
            </w:r>
            <w:r w:rsidRPr="001611DC">
              <w:rPr>
                <w:b/>
                <w:bCs w:val="0"/>
                <w:vertAlign w:val="superscript"/>
              </w:rPr>
              <w:t>c,d</w:t>
            </w:r>
          </w:p>
        </w:tc>
      </w:tr>
      <w:tr w:rsidR="002E6F4F" w:rsidRPr="001611DC" w14:paraId="67C370B5" w14:textId="77777777" w:rsidTr="00BD3549">
        <w:trPr>
          <w:trHeight w:val="20"/>
        </w:trPr>
        <w:tc>
          <w:tcPr>
            <w:tcW w:w="940" w:type="pct"/>
            <w:shd w:val="clear" w:color="auto" w:fill="auto"/>
            <w:vAlign w:val="center"/>
          </w:tcPr>
          <w:p w14:paraId="210A4F41" w14:textId="77777777" w:rsidR="002E6F4F" w:rsidRPr="001611DC" w:rsidRDefault="002E6F4F" w:rsidP="00C762BB">
            <w:pPr>
              <w:pStyle w:val="TableText0"/>
              <w:keepNext w:val="0"/>
            </w:pPr>
            <w:r w:rsidRPr="001611DC">
              <w:t>Lower CI = 1.720</w:t>
            </w:r>
          </w:p>
        </w:tc>
        <w:tc>
          <w:tcPr>
            <w:tcW w:w="708" w:type="pct"/>
            <w:shd w:val="solid" w:color="000000" w:fill="000000"/>
            <w:vAlign w:val="center"/>
          </w:tcPr>
          <w:p w14:paraId="238F382C" w14:textId="7072B3EA"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486AB55E" w14:textId="77777777" w:rsidR="002E6F4F" w:rsidRPr="001611DC" w:rsidRDefault="002E6F4F" w:rsidP="00C762BB">
            <w:pPr>
              <w:pStyle w:val="TableText0"/>
              <w:keepNext w:val="0"/>
              <w:jc w:val="center"/>
            </w:pPr>
            <w:r w:rsidRPr="001611DC">
              <w:t>20,123</w:t>
            </w:r>
          </w:p>
        </w:tc>
        <w:tc>
          <w:tcPr>
            <w:tcW w:w="472" w:type="pct"/>
            <w:shd w:val="clear" w:color="auto" w:fill="auto"/>
            <w:vAlign w:val="center"/>
          </w:tcPr>
          <w:p w14:paraId="40BCB8A1" w14:textId="432F1E2E" w:rsidR="002E6F4F" w:rsidRPr="001611DC" w:rsidRDefault="00BD3549" w:rsidP="00C762BB">
            <w:pPr>
              <w:pStyle w:val="TableText0"/>
              <w:keepNext w:val="0"/>
              <w:jc w:val="center"/>
            </w:pPr>
            <w:r w:rsidRPr="00BD3549">
              <w:rPr>
                <w:color w:val="000000"/>
                <w:spacing w:val="94"/>
                <w:shd w:val="solid" w:color="000000" w:fill="000000"/>
                <w:fitText w:val="180" w:id="-893677042"/>
                <w14:textFill>
                  <w14:solidFill>
                    <w14:srgbClr w14:val="000000">
                      <w14:alpha w14:val="100000"/>
                    </w14:srgbClr>
                  </w14:solidFill>
                </w14:textFill>
              </w:rPr>
              <w:t>|</w:t>
            </w:r>
            <w:r w:rsidRPr="00BD3549">
              <w:rPr>
                <w:color w:val="000000"/>
                <w:spacing w:val="1"/>
                <w:shd w:val="solid" w:color="000000" w:fill="000000"/>
                <w:fitText w:val="180" w:id="-893677042"/>
                <w14:textFill>
                  <w14:solidFill>
                    <w14:srgbClr w14:val="000000">
                      <w14:alpha w14:val="100000"/>
                    </w14:srgbClr>
                  </w14:solidFill>
                </w14:textFill>
              </w:rPr>
              <w:t>|</w:t>
            </w:r>
            <w:r w:rsidR="00AA386D" w:rsidRPr="00AA386D">
              <w:rPr>
                <w:vertAlign w:val="superscript"/>
              </w:rPr>
              <w:t>4</w:t>
            </w:r>
          </w:p>
        </w:tc>
        <w:tc>
          <w:tcPr>
            <w:tcW w:w="473" w:type="pct"/>
            <w:shd w:val="clear" w:color="auto" w:fill="auto"/>
            <w:vAlign w:val="center"/>
          </w:tcPr>
          <w:p w14:paraId="2303DE65" w14:textId="564A325E" w:rsidR="002E6F4F" w:rsidRPr="001611DC" w:rsidRDefault="00BD3549" w:rsidP="00C762BB">
            <w:pPr>
              <w:pStyle w:val="TableText0"/>
              <w:keepNext w:val="0"/>
              <w:jc w:val="center"/>
            </w:pPr>
            <w:r w:rsidRPr="00BD3549">
              <w:rPr>
                <w:color w:val="000000"/>
                <w:spacing w:val="48"/>
                <w:shd w:val="solid" w:color="000000" w:fill="000000"/>
                <w:fitText w:val="225" w:id="-893677041"/>
                <w14:textFill>
                  <w14:solidFill>
                    <w14:srgbClr w14:val="000000">
                      <w14:alpha w14:val="100000"/>
                    </w14:srgbClr>
                  </w14:solidFill>
                </w14:textFill>
              </w:rPr>
              <w:t>||</w:t>
            </w:r>
            <w:r w:rsidRPr="00BD3549">
              <w:rPr>
                <w:color w:val="000000"/>
                <w:spacing w:val="2"/>
                <w:shd w:val="solid" w:color="000000" w:fill="000000"/>
                <w:fitText w:val="225" w:id="-893677041"/>
                <w14:textFill>
                  <w14:solidFill>
                    <w14:srgbClr w14:val="000000">
                      <w14:alpha w14:val="100000"/>
                    </w14:srgbClr>
                  </w14:solidFill>
                </w14:textFill>
              </w:rPr>
              <w:t>|</w:t>
            </w:r>
            <w:r w:rsidR="002E6F4F" w:rsidRPr="001611DC">
              <w:t>%</w:t>
            </w:r>
          </w:p>
        </w:tc>
        <w:tc>
          <w:tcPr>
            <w:tcW w:w="683" w:type="pct"/>
            <w:shd w:val="solid" w:color="000000" w:fill="000000"/>
            <w:vAlign w:val="center"/>
          </w:tcPr>
          <w:p w14:paraId="66777D5D" w14:textId="0F515806"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11114D3A" w14:textId="77777777" w:rsidR="002E6F4F" w:rsidRPr="001611DC" w:rsidRDefault="002E6F4F" w:rsidP="00C762BB">
            <w:pPr>
              <w:pStyle w:val="TableText0"/>
              <w:keepNext w:val="0"/>
              <w:jc w:val="center"/>
            </w:pPr>
            <w:r w:rsidRPr="001611DC">
              <w:t>11,993</w:t>
            </w:r>
          </w:p>
        </w:tc>
        <w:tc>
          <w:tcPr>
            <w:tcW w:w="509" w:type="pct"/>
            <w:shd w:val="clear" w:color="auto" w:fill="auto"/>
            <w:vAlign w:val="center"/>
          </w:tcPr>
          <w:p w14:paraId="5FCC67E2" w14:textId="5DD98414" w:rsidR="002E6F4F" w:rsidRPr="001611DC" w:rsidRDefault="00BD3549" w:rsidP="00C762BB">
            <w:pPr>
              <w:pStyle w:val="TableText0"/>
              <w:keepNext w:val="0"/>
              <w:jc w:val="center"/>
            </w:pPr>
            <w:r w:rsidRPr="00BD3549">
              <w:rPr>
                <w:rFonts w:hint="eastAsia"/>
                <w:color w:val="000000"/>
                <w:w w:val="33"/>
                <w:shd w:val="solid" w:color="000000" w:fill="000000"/>
                <w:fitText w:val="150" w:id="-893677040"/>
                <w14:textFill>
                  <w14:solidFill>
                    <w14:srgbClr w14:val="000000">
                      <w14:alpha w14:val="100000"/>
                    </w14:srgbClr>
                  </w14:solidFill>
                </w14:textFill>
              </w:rPr>
              <w:t xml:space="preserve">　</w:t>
            </w:r>
            <w:r w:rsidRPr="00BD3549">
              <w:rPr>
                <w:color w:val="000000"/>
                <w:w w:val="33"/>
                <w:shd w:val="solid" w:color="000000" w:fill="000000"/>
                <w:fitText w:val="150" w:id="-893677040"/>
                <w14:textFill>
                  <w14:solidFill>
                    <w14:srgbClr w14:val="000000">
                      <w14:alpha w14:val="100000"/>
                    </w14:srgbClr>
                  </w14:solidFill>
                </w14:textFill>
              </w:rPr>
              <w:t>|</w:t>
            </w:r>
            <w:r w:rsidRPr="00BD3549">
              <w:rPr>
                <w:rFonts w:hint="eastAsia"/>
                <w:color w:val="000000"/>
                <w:spacing w:val="4"/>
                <w:w w:val="33"/>
                <w:shd w:val="solid" w:color="000000" w:fill="000000"/>
                <w:fitText w:val="150" w:id="-893677040"/>
                <w14:textFill>
                  <w14:solidFill>
                    <w14:srgbClr w14:val="000000">
                      <w14:alpha w14:val="100000"/>
                    </w14:srgbClr>
                  </w14:solidFill>
                </w14:textFill>
              </w:rPr>
              <w:t xml:space="preserve">　</w:t>
            </w:r>
            <w:r w:rsidR="00484198" w:rsidRPr="00484198">
              <w:rPr>
                <w:vertAlign w:val="superscript"/>
              </w:rPr>
              <w:t>5</w:t>
            </w:r>
          </w:p>
        </w:tc>
        <w:tc>
          <w:tcPr>
            <w:tcW w:w="392" w:type="pct"/>
            <w:shd w:val="clear" w:color="auto" w:fill="auto"/>
            <w:vAlign w:val="center"/>
          </w:tcPr>
          <w:p w14:paraId="3FBA43AF" w14:textId="5D96BBDB" w:rsidR="002E6F4F" w:rsidRPr="001611DC" w:rsidRDefault="00BD3549" w:rsidP="00C762BB">
            <w:pPr>
              <w:pStyle w:val="TableText0"/>
              <w:keepNext w:val="0"/>
              <w:jc w:val="center"/>
            </w:pPr>
            <w:r w:rsidRPr="00BD3549">
              <w:rPr>
                <w:color w:val="000000"/>
                <w:spacing w:val="199"/>
                <w:shd w:val="solid" w:color="000000" w:fill="000000"/>
                <w:fitText w:val="285" w:id="-893677056"/>
                <w14:textFill>
                  <w14:solidFill>
                    <w14:srgbClr w14:val="000000">
                      <w14:alpha w14:val="100000"/>
                    </w14:srgbClr>
                  </w14:solidFill>
                </w14:textFill>
              </w:rPr>
              <w:t>|</w:t>
            </w:r>
            <w:r w:rsidRPr="00BD3549">
              <w:rPr>
                <w:color w:val="000000"/>
                <w:spacing w:val="1"/>
                <w:shd w:val="solid" w:color="000000" w:fill="000000"/>
                <w:fitText w:val="285" w:id="-893677056"/>
                <w14:textFill>
                  <w14:solidFill>
                    <w14:srgbClr w14:val="000000">
                      <w14:alpha w14:val="100000"/>
                    </w14:srgbClr>
                  </w14:solidFill>
                </w14:textFill>
              </w:rPr>
              <w:t>|</w:t>
            </w:r>
            <w:r w:rsidR="002E6F4F" w:rsidRPr="001611DC">
              <w:t>%</w:t>
            </w:r>
          </w:p>
        </w:tc>
      </w:tr>
      <w:tr w:rsidR="002E6F4F" w:rsidRPr="001611DC" w14:paraId="3A041AEB" w14:textId="77777777" w:rsidTr="00ED36A0">
        <w:trPr>
          <w:trHeight w:val="20"/>
        </w:trPr>
        <w:tc>
          <w:tcPr>
            <w:tcW w:w="5000" w:type="pct"/>
            <w:gridSpan w:val="9"/>
            <w:shd w:val="clear" w:color="auto" w:fill="auto"/>
            <w:vAlign w:val="center"/>
          </w:tcPr>
          <w:p w14:paraId="4FC7AB51" w14:textId="77777777" w:rsidR="002E6F4F" w:rsidRPr="001611DC" w:rsidRDefault="002E6F4F" w:rsidP="00C762BB">
            <w:pPr>
              <w:pStyle w:val="TableText0"/>
              <w:keepNext w:val="0"/>
            </w:pPr>
            <w:r w:rsidRPr="001611DC">
              <w:rPr>
                <w:b/>
              </w:rPr>
              <w:t>Time horizon: 3 years</w:t>
            </w:r>
          </w:p>
        </w:tc>
      </w:tr>
      <w:tr w:rsidR="002E6F4F" w:rsidRPr="001611DC" w14:paraId="7A516F85" w14:textId="77777777" w:rsidTr="00BD3549">
        <w:trPr>
          <w:trHeight w:val="20"/>
        </w:trPr>
        <w:tc>
          <w:tcPr>
            <w:tcW w:w="940" w:type="pct"/>
            <w:shd w:val="clear" w:color="auto" w:fill="auto"/>
            <w:vAlign w:val="center"/>
          </w:tcPr>
          <w:p w14:paraId="4A8970B4" w14:textId="77777777" w:rsidR="002E6F4F" w:rsidRPr="001611DC" w:rsidRDefault="002E6F4F" w:rsidP="00C762BB">
            <w:pPr>
              <w:pStyle w:val="TableText0"/>
              <w:keepNext w:val="0"/>
            </w:pPr>
            <w:r w:rsidRPr="001611DC">
              <w:t xml:space="preserve">2 years </w:t>
            </w:r>
            <w:r w:rsidRPr="001611DC">
              <w:rPr>
                <w:b/>
                <w:bCs w:val="0"/>
              </w:rPr>
              <w:t>#1</w:t>
            </w:r>
          </w:p>
        </w:tc>
        <w:tc>
          <w:tcPr>
            <w:tcW w:w="708" w:type="pct"/>
            <w:shd w:val="solid" w:color="000000" w:fill="000000"/>
            <w:vAlign w:val="center"/>
          </w:tcPr>
          <w:p w14:paraId="15B5803C" w14:textId="6247A6B3"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6F054547" w14:textId="77777777" w:rsidR="002E6F4F" w:rsidRPr="001611DC" w:rsidRDefault="002E6F4F" w:rsidP="00C762BB">
            <w:pPr>
              <w:pStyle w:val="TableText0"/>
              <w:keepNext w:val="0"/>
              <w:jc w:val="center"/>
            </w:pPr>
            <w:r w:rsidRPr="001611DC">
              <w:t>21,959</w:t>
            </w:r>
          </w:p>
        </w:tc>
        <w:tc>
          <w:tcPr>
            <w:tcW w:w="472" w:type="pct"/>
            <w:shd w:val="clear" w:color="auto" w:fill="auto"/>
            <w:vAlign w:val="center"/>
          </w:tcPr>
          <w:p w14:paraId="383F9993" w14:textId="1A25E854" w:rsidR="002E6F4F" w:rsidRPr="001611DC" w:rsidRDefault="00BD3549" w:rsidP="00C762BB">
            <w:pPr>
              <w:pStyle w:val="TableText0"/>
              <w:keepNext w:val="0"/>
              <w:jc w:val="center"/>
            </w:pPr>
            <w:r w:rsidRPr="00BD3549">
              <w:rPr>
                <w:color w:val="000000"/>
                <w:spacing w:val="94"/>
                <w:shd w:val="solid" w:color="000000" w:fill="000000"/>
                <w:fitText w:val="180" w:id="-893677055"/>
                <w14:textFill>
                  <w14:solidFill>
                    <w14:srgbClr w14:val="000000">
                      <w14:alpha w14:val="100000"/>
                    </w14:srgbClr>
                  </w14:solidFill>
                </w14:textFill>
              </w:rPr>
              <w:t>|</w:t>
            </w:r>
            <w:r w:rsidRPr="00BD3549">
              <w:rPr>
                <w:color w:val="000000"/>
                <w:spacing w:val="1"/>
                <w:shd w:val="solid" w:color="000000" w:fill="000000"/>
                <w:fitText w:val="180" w:id="-893677055"/>
                <w14:textFill>
                  <w14:solidFill>
                    <w14:srgbClr w14:val="000000">
                      <w14:alpha w14:val="100000"/>
                    </w14:srgbClr>
                  </w14:solidFill>
                </w14:textFill>
              </w:rPr>
              <w:t>|</w:t>
            </w:r>
            <w:r w:rsidR="00484198" w:rsidRPr="00484198">
              <w:rPr>
                <w:vertAlign w:val="superscript"/>
              </w:rPr>
              <w:t>6</w:t>
            </w:r>
          </w:p>
        </w:tc>
        <w:tc>
          <w:tcPr>
            <w:tcW w:w="473" w:type="pct"/>
            <w:shd w:val="clear" w:color="auto" w:fill="auto"/>
            <w:vAlign w:val="center"/>
          </w:tcPr>
          <w:p w14:paraId="7AF35BB7" w14:textId="759D8193" w:rsidR="002E6F4F" w:rsidRPr="001611DC" w:rsidRDefault="00BD3549" w:rsidP="00C762BB">
            <w:pPr>
              <w:pStyle w:val="TableText0"/>
              <w:keepNext w:val="0"/>
              <w:jc w:val="center"/>
            </w:pPr>
            <w:r w:rsidRPr="00BD3549">
              <w:rPr>
                <w:color w:val="000000"/>
                <w:spacing w:val="48"/>
                <w:shd w:val="solid" w:color="000000" w:fill="000000"/>
                <w:fitText w:val="225" w:id="-893677054"/>
                <w14:textFill>
                  <w14:solidFill>
                    <w14:srgbClr w14:val="000000">
                      <w14:alpha w14:val="100000"/>
                    </w14:srgbClr>
                  </w14:solidFill>
                </w14:textFill>
              </w:rPr>
              <w:t>||</w:t>
            </w:r>
            <w:r w:rsidRPr="00BD3549">
              <w:rPr>
                <w:color w:val="000000"/>
                <w:spacing w:val="2"/>
                <w:shd w:val="solid" w:color="000000" w:fill="000000"/>
                <w:fitText w:val="225" w:id="-893677054"/>
                <w14:textFill>
                  <w14:solidFill>
                    <w14:srgbClr w14:val="000000">
                      <w14:alpha w14:val="100000"/>
                    </w14:srgbClr>
                  </w14:solidFill>
                </w14:textFill>
              </w:rPr>
              <w:t>|</w:t>
            </w:r>
            <w:r w:rsidR="002E6F4F" w:rsidRPr="001611DC">
              <w:t>%</w:t>
            </w:r>
          </w:p>
        </w:tc>
        <w:tc>
          <w:tcPr>
            <w:tcW w:w="683" w:type="pct"/>
            <w:shd w:val="solid" w:color="000000" w:fill="000000"/>
            <w:vAlign w:val="center"/>
          </w:tcPr>
          <w:p w14:paraId="651267FA" w14:textId="24E3CA62"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0E2BBC43" w14:textId="77777777" w:rsidR="002E6F4F" w:rsidRPr="001611DC" w:rsidRDefault="002E6F4F" w:rsidP="00C762BB">
            <w:pPr>
              <w:pStyle w:val="TableText0"/>
              <w:keepNext w:val="0"/>
              <w:jc w:val="center"/>
            </w:pPr>
            <w:r w:rsidRPr="001611DC">
              <w:t>13,067</w:t>
            </w:r>
          </w:p>
        </w:tc>
        <w:tc>
          <w:tcPr>
            <w:tcW w:w="509" w:type="pct"/>
            <w:shd w:val="clear" w:color="auto" w:fill="auto"/>
            <w:vAlign w:val="center"/>
          </w:tcPr>
          <w:p w14:paraId="3EE21308" w14:textId="09A92BBE" w:rsidR="002E6F4F" w:rsidRPr="001611DC" w:rsidRDefault="00BD3549" w:rsidP="00C762BB">
            <w:pPr>
              <w:pStyle w:val="TableText0"/>
              <w:keepNext w:val="0"/>
              <w:jc w:val="center"/>
            </w:pPr>
            <w:r w:rsidRPr="00BD3549">
              <w:rPr>
                <w:rFonts w:hint="eastAsia"/>
                <w:color w:val="000000"/>
                <w:w w:val="33"/>
                <w:shd w:val="solid" w:color="000000" w:fill="000000"/>
                <w:fitText w:val="150" w:id="-893676800"/>
                <w14:textFill>
                  <w14:solidFill>
                    <w14:srgbClr w14:val="000000">
                      <w14:alpha w14:val="100000"/>
                    </w14:srgbClr>
                  </w14:solidFill>
                </w14:textFill>
              </w:rPr>
              <w:t xml:space="preserve">　</w:t>
            </w:r>
            <w:r w:rsidRPr="00BD3549">
              <w:rPr>
                <w:color w:val="000000"/>
                <w:w w:val="33"/>
                <w:shd w:val="solid" w:color="000000" w:fill="000000"/>
                <w:fitText w:val="150" w:id="-893676800"/>
                <w14:textFill>
                  <w14:solidFill>
                    <w14:srgbClr w14:val="000000">
                      <w14:alpha w14:val="100000"/>
                    </w14:srgbClr>
                  </w14:solidFill>
                </w14:textFill>
              </w:rPr>
              <w:t>|</w:t>
            </w:r>
            <w:r w:rsidRPr="00BD3549">
              <w:rPr>
                <w:rFonts w:hint="eastAsia"/>
                <w:color w:val="000000"/>
                <w:spacing w:val="4"/>
                <w:w w:val="33"/>
                <w:shd w:val="solid" w:color="000000" w:fill="000000"/>
                <w:fitText w:val="150" w:id="-893676800"/>
                <w14:textFill>
                  <w14:solidFill>
                    <w14:srgbClr w14:val="000000">
                      <w14:alpha w14:val="100000"/>
                    </w14:srgbClr>
                  </w14:solidFill>
                </w14:textFill>
              </w:rPr>
              <w:t xml:space="preserve">　</w:t>
            </w:r>
            <w:r w:rsidR="00606F86" w:rsidRPr="00603E33">
              <w:rPr>
                <w:vertAlign w:val="superscript"/>
              </w:rPr>
              <w:t>2</w:t>
            </w:r>
          </w:p>
        </w:tc>
        <w:tc>
          <w:tcPr>
            <w:tcW w:w="392" w:type="pct"/>
            <w:shd w:val="clear" w:color="auto" w:fill="auto"/>
            <w:vAlign w:val="center"/>
          </w:tcPr>
          <w:p w14:paraId="0200F8B2" w14:textId="3CB942CA" w:rsidR="002E6F4F" w:rsidRPr="001611DC" w:rsidRDefault="00BD3549" w:rsidP="00C762BB">
            <w:pPr>
              <w:pStyle w:val="TableText0"/>
              <w:keepNext w:val="0"/>
              <w:jc w:val="center"/>
            </w:pPr>
            <w:r w:rsidRPr="00BD3549">
              <w:rPr>
                <w:color w:val="000000"/>
                <w:spacing w:val="199"/>
                <w:shd w:val="solid" w:color="000000" w:fill="000000"/>
                <w:fitText w:val="285" w:id="-893676799"/>
                <w14:textFill>
                  <w14:solidFill>
                    <w14:srgbClr w14:val="000000">
                      <w14:alpha w14:val="100000"/>
                    </w14:srgbClr>
                  </w14:solidFill>
                </w14:textFill>
              </w:rPr>
              <w:t>|</w:t>
            </w:r>
            <w:r w:rsidRPr="00BD3549">
              <w:rPr>
                <w:color w:val="000000"/>
                <w:spacing w:val="1"/>
                <w:shd w:val="solid" w:color="000000" w:fill="000000"/>
                <w:fitText w:val="285" w:id="-893676799"/>
                <w14:textFill>
                  <w14:solidFill>
                    <w14:srgbClr w14:val="000000">
                      <w14:alpha w14:val="100000"/>
                    </w14:srgbClr>
                  </w14:solidFill>
                </w14:textFill>
              </w:rPr>
              <w:t>|</w:t>
            </w:r>
            <w:r w:rsidR="002E6F4F" w:rsidRPr="001611DC">
              <w:t>%</w:t>
            </w:r>
          </w:p>
        </w:tc>
      </w:tr>
      <w:tr w:rsidR="002E6F4F" w:rsidRPr="001611DC" w14:paraId="76D98F97" w14:textId="77777777" w:rsidTr="00ED36A0">
        <w:trPr>
          <w:trHeight w:val="20"/>
        </w:trPr>
        <w:tc>
          <w:tcPr>
            <w:tcW w:w="5000" w:type="pct"/>
            <w:gridSpan w:val="9"/>
            <w:shd w:val="clear" w:color="auto" w:fill="auto"/>
            <w:vAlign w:val="center"/>
          </w:tcPr>
          <w:p w14:paraId="27B571C0" w14:textId="77777777" w:rsidR="002E6F4F" w:rsidRPr="001611DC" w:rsidRDefault="002E6F4F" w:rsidP="00C762BB">
            <w:pPr>
              <w:pStyle w:val="TableText0"/>
              <w:keepNext w:val="0"/>
              <w:rPr>
                <w:vertAlign w:val="superscript"/>
              </w:rPr>
            </w:pPr>
            <w:r w:rsidRPr="001611DC">
              <w:rPr>
                <w:b/>
                <w:bCs w:val="0"/>
              </w:rPr>
              <w:t xml:space="preserve">Benefits over a lifetime time horizon </w:t>
            </w:r>
            <w:r w:rsidRPr="001611DC">
              <w:rPr>
                <w:b/>
                <w:bCs w:val="0"/>
                <w:vertAlign w:val="superscript"/>
              </w:rPr>
              <w:t>e</w:t>
            </w:r>
          </w:p>
        </w:tc>
      </w:tr>
      <w:tr w:rsidR="002E6F4F" w:rsidRPr="001611DC" w14:paraId="7E701264" w14:textId="77777777" w:rsidTr="00BD3549">
        <w:trPr>
          <w:trHeight w:val="20"/>
        </w:trPr>
        <w:tc>
          <w:tcPr>
            <w:tcW w:w="940" w:type="pct"/>
            <w:shd w:val="clear" w:color="auto" w:fill="auto"/>
            <w:vAlign w:val="center"/>
          </w:tcPr>
          <w:p w14:paraId="13668094" w14:textId="0F714374" w:rsidR="002E6F4F" w:rsidRPr="001611DC" w:rsidRDefault="002E6F4F" w:rsidP="00C762BB">
            <w:pPr>
              <w:pStyle w:val="TableText0"/>
              <w:keepNext w:val="0"/>
            </w:pPr>
            <w:r w:rsidRPr="001611DC">
              <w:lastRenderedPageBreak/>
              <w:t>No benefits exceeding time horizon</w:t>
            </w:r>
            <w:r w:rsidRPr="001611DC">
              <w:rPr>
                <w:vertAlign w:val="superscript"/>
              </w:rPr>
              <w:t xml:space="preserve"> </w:t>
            </w:r>
            <w:r w:rsidRPr="001611DC">
              <w:t xml:space="preserve"> </w:t>
            </w:r>
            <w:r w:rsidRPr="001611DC">
              <w:rPr>
                <w:b/>
                <w:bCs w:val="0"/>
              </w:rPr>
              <w:t>#2</w:t>
            </w:r>
          </w:p>
        </w:tc>
        <w:tc>
          <w:tcPr>
            <w:tcW w:w="708" w:type="pct"/>
            <w:shd w:val="solid" w:color="000000" w:fill="000000"/>
            <w:vAlign w:val="center"/>
          </w:tcPr>
          <w:p w14:paraId="5E5F76D2" w14:textId="62099FF7"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0F5E33F4" w14:textId="77777777" w:rsidR="002E6F4F" w:rsidRPr="001611DC" w:rsidRDefault="002E6F4F" w:rsidP="00C762BB">
            <w:pPr>
              <w:pStyle w:val="TableText0"/>
              <w:keepNext w:val="0"/>
              <w:jc w:val="center"/>
            </w:pPr>
            <w:r w:rsidRPr="001611DC">
              <w:t>10,537</w:t>
            </w:r>
          </w:p>
        </w:tc>
        <w:tc>
          <w:tcPr>
            <w:tcW w:w="472" w:type="pct"/>
            <w:shd w:val="clear" w:color="auto" w:fill="auto"/>
            <w:vAlign w:val="center"/>
          </w:tcPr>
          <w:p w14:paraId="2BFBCD11" w14:textId="793CC857" w:rsidR="002E6F4F" w:rsidRPr="001611DC" w:rsidRDefault="00BD3549" w:rsidP="00C762BB">
            <w:pPr>
              <w:pStyle w:val="TableText0"/>
              <w:keepNext w:val="0"/>
              <w:jc w:val="center"/>
            </w:pPr>
            <w:r w:rsidRPr="00BD3549">
              <w:rPr>
                <w:color w:val="000000"/>
                <w:spacing w:val="94"/>
                <w:shd w:val="solid" w:color="000000" w:fill="000000"/>
                <w:fitText w:val="180" w:id="-893676798"/>
                <w14:textFill>
                  <w14:solidFill>
                    <w14:srgbClr w14:val="000000">
                      <w14:alpha w14:val="100000"/>
                    </w14:srgbClr>
                  </w14:solidFill>
                </w14:textFill>
              </w:rPr>
              <w:t>|</w:t>
            </w:r>
            <w:r w:rsidRPr="00BD3549">
              <w:rPr>
                <w:color w:val="000000"/>
                <w:spacing w:val="1"/>
                <w:shd w:val="solid" w:color="000000" w:fill="000000"/>
                <w:fitText w:val="180" w:id="-893676798"/>
                <w14:textFill>
                  <w14:solidFill>
                    <w14:srgbClr w14:val="000000">
                      <w14:alpha w14:val="100000"/>
                    </w14:srgbClr>
                  </w14:solidFill>
                </w14:textFill>
              </w:rPr>
              <w:t>|</w:t>
            </w:r>
            <w:r w:rsidR="006A7308" w:rsidRPr="006A7308">
              <w:rPr>
                <w:vertAlign w:val="superscript"/>
              </w:rPr>
              <w:t>8</w:t>
            </w:r>
          </w:p>
        </w:tc>
        <w:tc>
          <w:tcPr>
            <w:tcW w:w="473" w:type="pct"/>
            <w:shd w:val="clear" w:color="auto" w:fill="auto"/>
            <w:vAlign w:val="center"/>
          </w:tcPr>
          <w:p w14:paraId="75F6CC34" w14:textId="67E92D6B" w:rsidR="002E6F4F" w:rsidRPr="001611DC" w:rsidRDefault="00BD3549" w:rsidP="00C762BB">
            <w:pPr>
              <w:pStyle w:val="TableText0"/>
              <w:keepNext w:val="0"/>
              <w:jc w:val="center"/>
            </w:pPr>
            <w:r w:rsidRPr="00BD3549">
              <w:rPr>
                <w:color w:val="000000"/>
                <w:spacing w:val="48"/>
                <w:shd w:val="solid" w:color="000000" w:fill="000000"/>
                <w:fitText w:val="225" w:id="-893676797"/>
                <w14:textFill>
                  <w14:solidFill>
                    <w14:srgbClr w14:val="000000">
                      <w14:alpha w14:val="100000"/>
                    </w14:srgbClr>
                  </w14:solidFill>
                </w14:textFill>
              </w:rPr>
              <w:t>||</w:t>
            </w:r>
            <w:r w:rsidRPr="00BD3549">
              <w:rPr>
                <w:color w:val="000000"/>
                <w:spacing w:val="2"/>
                <w:shd w:val="solid" w:color="000000" w:fill="000000"/>
                <w:fitText w:val="225" w:id="-893676797"/>
                <w14:textFill>
                  <w14:solidFill>
                    <w14:srgbClr w14:val="000000">
                      <w14:alpha w14:val="100000"/>
                    </w14:srgbClr>
                  </w14:solidFill>
                </w14:textFill>
              </w:rPr>
              <w:t>|</w:t>
            </w:r>
            <w:r w:rsidR="002E6F4F" w:rsidRPr="001611DC">
              <w:t>%</w:t>
            </w:r>
          </w:p>
        </w:tc>
        <w:tc>
          <w:tcPr>
            <w:tcW w:w="683" w:type="pct"/>
            <w:shd w:val="solid" w:color="000000" w:fill="000000"/>
            <w:vAlign w:val="center"/>
          </w:tcPr>
          <w:p w14:paraId="1804EE97" w14:textId="5BE9F16F"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1041C889" w14:textId="77777777" w:rsidR="002E6F4F" w:rsidRPr="001611DC" w:rsidRDefault="002E6F4F" w:rsidP="00C762BB">
            <w:pPr>
              <w:pStyle w:val="TableText0"/>
              <w:keepNext w:val="0"/>
              <w:jc w:val="center"/>
            </w:pPr>
            <w:r w:rsidRPr="001611DC">
              <w:t>5,447</w:t>
            </w:r>
          </w:p>
        </w:tc>
        <w:tc>
          <w:tcPr>
            <w:tcW w:w="509" w:type="pct"/>
            <w:shd w:val="clear" w:color="auto" w:fill="auto"/>
            <w:vAlign w:val="center"/>
          </w:tcPr>
          <w:p w14:paraId="46B6F3A8" w14:textId="5A712592" w:rsidR="002E6F4F" w:rsidRPr="001611DC" w:rsidRDefault="00BD3549" w:rsidP="00C762BB">
            <w:pPr>
              <w:pStyle w:val="TableText0"/>
              <w:keepNext w:val="0"/>
              <w:jc w:val="center"/>
            </w:pPr>
            <w:r w:rsidRPr="00BD3549">
              <w:rPr>
                <w:rFonts w:hint="eastAsia"/>
                <w:color w:val="000000"/>
                <w:w w:val="33"/>
                <w:shd w:val="solid" w:color="000000" w:fill="000000"/>
                <w:fitText w:val="150" w:id="-893676796"/>
                <w14:textFill>
                  <w14:solidFill>
                    <w14:srgbClr w14:val="000000">
                      <w14:alpha w14:val="100000"/>
                    </w14:srgbClr>
                  </w14:solidFill>
                </w14:textFill>
              </w:rPr>
              <w:t xml:space="preserve">　</w:t>
            </w:r>
            <w:r w:rsidRPr="00BD3549">
              <w:rPr>
                <w:color w:val="000000"/>
                <w:w w:val="33"/>
                <w:shd w:val="solid" w:color="000000" w:fill="000000"/>
                <w:fitText w:val="150" w:id="-893676796"/>
                <w14:textFill>
                  <w14:solidFill>
                    <w14:srgbClr w14:val="000000">
                      <w14:alpha w14:val="100000"/>
                    </w14:srgbClr>
                  </w14:solidFill>
                </w14:textFill>
              </w:rPr>
              <w:t>|</w:t>
            </w:r>
            <w:r w:rsidRPr="00BD3549">
              <w:rPr>
                <w:rFonts w:hint="eastAsia"/>
                <w:color w:val="000000"/>
                <w:spacing w:val="4"/>
                <w:w w:val="33"/>
                <w:shd w:val="solid" w:color="000000" w:fill="000000"/>
                <w:fitText w:val="150" w:id="-893676796"/>
                <w14:textFill>
                  <w14:solidFill>
                    <w14:srgbClr w14:val="000000">
                      <w14:alpha w14:val="100000"/>
                    </w14:srgbClr>
                  </w14:solidFill>
                </w14:textFill>
              </w:rPr>
              <w:t xml:space="preserve">　</w:t>
            </w:r>
            <w:r w:rsidR="00484198" w:rsidRPr="00484198">
              <w:rPr>
                <w:vertAlign w:val="superscript"/>
              </w:rPr>
              <w:t>5</w:t>
            </w:r>
          </w:p>
        </w:tc>
        <w:tc>
          <w:tcPr>
            <w:tcW w:w="392" w:type="pct"/>
            <w:shd w:val="clear" w:color="auto" w:fill="auto"/>
            <w:vAlign w:val="center"/>
          </w:tcPr>
          <w:p w14:paraId="73AE3D3C" w14:textId="0955FE94" w:rsidR="002E6F4F" w:rsidRPr="001611DC" w:rsidRDefault="00BD3549" w:rsidP="00C762BB">
            <w:pPr>
              <w:pStyle w:val="TableText0"/>
              <w:keepNext w:val="0"/>
              <w:jc w:val="center"/>
            </w:pPr>
            <w:r w:rsidRPr="00BD3549">
              <w:rPr>
                <w:color w:val="000000"/>
                <w:spacing w:val="199"/>
                <w:shd w:val="solid" w:color="000000" w:fill="000000"/>
                <w:fitText w:val="285" w:id="-893676795"/>
                <w14:textFill>
                  <w14:solidFill>
                    <w14:srgbClr w14:val="000000">
                      <w14:alpha w14:val="100000"/>
                    </w14:srgbClr>
                  </w14:solidFill>
                </w14:textFill>
              </w:rPr>
              <w:t>|</w:t>
            </w:r>
            <w:r w:rsidRPr="00BD3549">
              <w:rPr>
                <w:color w:val="000000"/>
                <w:spacing w:val="1"/>
                <w:shd w:val="solid" w:color="000000" w:fill="000000"/>
                <w:fitText w:val="285" w:id="-893676795"/>
                <w14:textFill>
                  <w14:solidFill>
                    <w14:srgbClr w14:val="000000">
                      <w14:alpha w14:val="100000"/>
                    </w14:srgbClr>
                  </w14:solidFill>
                </w14:textFill>
              </w:rPr>
              <w:t>|</w:t>
            </w:r>
            <w:r w:rsidR="002E6F4F" w:rsidRPr="001611DC">
              <w:t>%</w:t>
            </w:r>
          </w:p>
        </w:tc>
      </w:tr>
      <w:tr w:rsidR="002E6F4F" w:rsidRPr="001611DC" w14:paraId="0C0A6C05" w14:textId="77777777" w:rsidTr="00ED36A0">
        <w:trPr>
          <w:trHeight w:val="20"/>
        </w:trPr>
        <w:tc>
          <w:tcPr>
            <w:tcW w:w="5000" w:type="pct"/>
            <w:gridSpan w:val="9"/>
            <w:shd w:val="clear" w:color="auto" w:fill="auto"/>
            <w:vAlign w:val="center"/>
          </w:tcPr>
          <w:p w14:paraId="2C7E803D" w14:textId="77777777" w:rsidR="002E6F4F" w:rsidRPr="001611DC" w:rsidRDefault="002E6F4F" w:rsidP="00C762BB">
            <w:pPr>
              <w:pStyle w:val="TableText0"/>
              <w:keepNext w:val="0"/>
            </w:pPr>
            <w:r w:rsidRPr="001611DC">
              <w:rPr>
                <w:b/>
              </w:rPr>
              <w:t>Vaccine administration costs: not included</w:t>
            </w:r>
          </w:p>
        </w:tc>
      </w:tr>
      <w:tr w:rsidR="002E6F4F" w:rsidRPr="001611DC" w14:paraId="43FA4175" w14:textId="77777777" w:rsidTr="00BD3549">
        <w:trPr>
          <w:trHeight w:val="20"/>
        </w:trPr>
        <w:tc>
          <w:tcPr>
            <w:tcW w:w="940" w:type="pct"/>
            <w:shd w:val="clear" w:color="auto" w:fill="auto"/>
            <w:vAlign w:val="center"/>
          </w:tcPr>
          <w:p w14:paraId="06DEB6B7" w14:textId="77777777" w:rsidR="002E6F4F" w:rsidRPr="001611DC" w:rsidRDefault="002E6F4F" w:rsidP="00C762BB">
            <w:pPr>
              <w:pStyle w:val="TableText0"/>
              <w:keepNext w:val="0"/>
            </w:pPr>
            <w:r w:rsidRPr="001611DC">
              <w:t xml:space="preserve">$9.50 </w:t>
            </w:r>
            <w:r w:rsidRPr="001611DC">
              <w:rPr>
                <w:b/>
                <w:bCs w:val="0"/>
              </w:rPr>
              <w:t>#3</w:t>
            </w:r>
          </w:p>
        </w:tc>
        <w:tc>
          <w:tcPr>
            <w:tcW w:w="708" w:type="pct"/>
            <w:shd w:val="solid" w:color="000000" w:fill="000000"/>
            <w:vAlign w:val="center"/>
          </w:tcPr>
          <w:p w14:paraId="2914351E" w14:textId="01C740C3"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074680F1" w14:textId="77777777" w:rsidR="002E6F4F" w:rsidRPr="001611DC" w:rsidRDefault="002E6F4F" w:rsidP="00C762BB">
            <w:pPr>
              <w:pStyle w:val="TableText0"/>
              <w:keepNext w:val="0"/>
              <w:jc w:val="center"/>
            </w:pPr>
            <w:r w:rsidRPr="001611DC">
              <w:t>25,486</w:t>
            </w:r>
          </w:p>
        </w:tc>
        <w:tc>
          <w:tcPr>
            <w:tcW w:w="472" w:type="pct"/>
            <w:shd w:val="clear" w:color="auto" w:fill="auto"/>
            <w:vAlign w:val="center"/>
          </w:tcPr>
          <w:p w14:paraId="36CD4424" w14:textId="0217C7C4" w:rsidR="002E6F4F" w:rsidRPr="001611DC" w:rsidRDefault="00BD3549" w:rsidP="00C762BB">
            <w:pPr>
              <w:pStyle w:val="TableText0"/>
              <w:keepNext w:val="0"/>
              <w:jc w:val="center"/>
            </w:pPr>
            <w:r w:rsidRPr="00BD3549">
              <w:rPr>
                <w:color w:val="000000"/>
                <w:spacing w:val="94"/>
                <w:shd w:val="solid" w:color="000000" w:fill="000000"/>
                <w:fitText w:val="180" w:id="-893676794"/>
                <w14:textFill>
                  <w14:solidFill>
                    <w14:srgbClr w14:val="000000">
                      <w14:alpha w14:val="100000"/>
                    </w14:srgbClr>
                  </w14:solidFill>
                </w14:textFill>
              </w:rPr>
              <w:t>|</w:t>
            </w:r>
            <w:r w:rsidRPr="00BD3549">
              <w:rPr>
                <w:color w:val="000000"/>
                <w:spacing w:val="1"/>
                <w:shd w:val="solid" w:color="000000" w:fill="000000"/>
                <w:fitText w:val="180" w:id="-893676794"/>
                <w14:textFill>
                  <w14:solidFill>
                    <w14:srgbClr w14:val="000000">
                      <w14:alpha w14:val="100000"/>
                    </w14:srgbClr>
                  </w14:solidFill>
                </w14:textFill>
              </w:rPr>
              <w:t>|</w:t>
            </w:r>
            <w:r w:rsidR="00603E33" w:rsidRPr="00603E33">
              <w:rPr>
                <w:vertAlign w:val="superscript"/>
              </w:rPr>
              <w:t>1</w:t>
            </w:r>
          </w:p>
        </w:tc>
        <w:tc>
          <w:tcPr>
            <w:tcW w:w="473" w:type="pct"/>
            <w:shd w:val="clear" w:color="auto" w:fill="auto"/>
            <w:vAlign w:val="center"/>
          </w:tcPr>
          <w:p w14:paraId="7BBBE175" w14:textId="74B3D639" w:rsidR="002E6F4F" w:rsidRPr="001611DC" w:rsidRDefault="00BD3549" w:rsidP="00C762BB">
            <w:pPr>
              <w:pStyle w:val="TableText0"/>
              <w:keepNext w:val="0"/>
              <w:jc w:val="center"/>
            </w:pPr>
            <w:r w:rsidRPr="00BD3549">
              <w:rPr>
                <w:color w:val="000000"/>
                <w:spacing w:val="48"/>
                <w:shd w:val="solid" w:color="000000" w:fill="000000"/>
                <w:fitText w:val="225" w:id="-893676793"/>
                <w14:textFill>
                  <w14:solidFill>
                    <w14:srgbClr w14:val="000000">
                      <w14:alpha w14:val="100000"/>
                    </w14:srgbClr>
                  </w14:solidFill>
                </w14:textFill>
              </w:rPr>
              <w:t>||</w:t>
            </w:r>
            <w:r w:rsidRPr="00BD3549">
              <w:rPr>
                <w:color w:val="000000"/>
                <w:spacing w:val="2"/>
                <w:shd w:val="solid" w:color="000000" w:fill="000000"/>
                <w:fitText w:val="225" w:id="-893676793"/>
                <w14:textFill>
                  <w14:solidFill>
                    <w14:srgbClr w14:val="000000">
                      <w14:alpha w14:val="100000"/>
                    </w14:srgbClr>
                  </w14:solidFill>
                </w14:textFill>
              </w:rPr>
              <w:t>|</w:t>
            </w:r>
            <w:r w:rsidR="002E6F4F" w:rsidRPr="001611DC">
              <w:t>%</w:t>
            </w:r>
          </w:p>
        </w:tc>
        <w:tc>
          <w:tcPr>
            <w:tcW w:w="683" w:type="pct"/>
            <w:shd w:val="solid" w:color="000000" w:fill="000000"/>
            <w:vAlign w:val="center"/>
          </w:tcPr>
          <w:p w14:paraId="71C5312C" w14:textId="277C8009"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34FC65F0" w14:textId="77777777" w:rsidR="002E6F4F" w:rsidRPr="001611DC" w:rsidRDefault="002E6F4F" w:rsidP="00C762BB">
            <w:pPr>
              <w:pStyle w:val="TableText0"/>
              <w:keepNext w:val="0"/>
              <w:jc w:val="center"/>
            </w:pPr>
            <w:r w:rsidRPr="001611DC">
              <w:t>15,182</w:t>
            </w:r>
          </w:p>
        </w:tc>
        <w:tc>
          <w:tcPr>
            <w:tcW w:w="509" w:type="pct"/>
            <w:shd w:val="clear" w:color="auto" w:fill="auto"/>
            <w:vAlign w:val="center"/>
          </w:tcPr>
          <w:p w14:paraId="51DF72E4" w14:textId="0C716D96" w:rsidR="002E6F4F" w:rsidRPr="001611DC" w:rsidRDefault="00BD3549" w:rsidP="00C762BB">
            <w:pPr>
              <w:pStyle w:val="TableText0"/>
              <w:keepNext w:val="0"/>
              <w:jc w:val="center"/>
            </w:pPr>
            <w:r w:rsidRPr="00BD3549">
              <w:rPr>
                <w:rFonts w:hint="eastAsia"/>
                <w:color w:val="000000"/>
                <w:w w:val="33"/>
                <w:shd w:val="solid" w:color="000000" w:fill="000000"/>
                <w:fitText w:val="150" w:id="-893676792"/>
                <w14:textFill>
                  <w14:solidFill>
                    <w14:srgbClr w14:val="000000">
                      <w14:alpha w14:val="100000"/>
                    </w14:srgbClr>
                  </w14:solidFill>
                </w14:textFill>
              </w:rPr>
              <w:t xml:space="preserve">　</w:t>
            </w:r>
            <w:r w:rsidRPr="00BD3549">
              <w:rPr>
                <w:color w:val="000000"/>
                <w:w w:val="33"/>
                <w:shd w:val="solid" w:color="000000" w:fill="000000"/>
                <w:fitText w:val="150" w:id="-893676792"/>
                <w14:textFill>
                  <w14:solidFill>
                    <w14:srgbClr w14:val="000000">
                      <w14:alpha w14:val="100000"/>
                    </w14:srgbClr>
                  </w14:solidFill>
                </w14:textFill>
              </w:rPr>
              <w:t>|</w:t>
            </w:r>
            <w:r w:rsidRPr="00BD3549">
              <w:rPr>
                <w:rFonts w:hint="eastAsia"/>
                <w:color w:val="000000"/>
                <w:spacing w:val="4"/>
                <w:w w:val="33"/>
                <w:shd w:val="solid" w:color="000000" w:fill="000000"/>
                <w:fitText w:val="150" w:id="-893676792"/>
                <w14:textFill>
                  <w14:solidFill>
                    <w14:srgbClr w14:val="000000">
                      <w14:alpha w14:val="100000"/>
                    </w14:srgbClr>
                  </w14:solidFill>
                </w14:textFill>
              </w:rPr>
              <w:t xml:space="preserve">　</w:t>
            </w:r>
            <w:r w:rsidR="00606F86" w:rsidRPr="00603E33">
              <w:rPr>
                <w:vertAlign w:val="superscript"/>
              </w:rPr>
              <w:t>2</w:t>
            </w:r>
          </w:p>
        </w:tc>
        <w:tc>
          <w:tcPr>
            <w:tcW w:w="392" w:type="pct"/>
            <w:shd w:val="clear" w:color="auto" w:fill="auto"/>
            <w:vAlign w:val="center"/>
          </w:tcPr>
          <w:p w14:paraId="04477258" w14:textId="12698433" w:rsidR="002E6F4F" w:rsidRPr="001611DC" w:rsidRDefault="00BD3549" w:rsidP="00C762BB">
            <w:pPr>
              <w:pStyle w:val="TableText0"/>
              <w:keepNext w:val="0"/>
              <w:jc w:val="center"/>
            </w:pPr>
            <w:r w:rsidRPr="00BD3549">
              <w:rPr>
                <w:color w:val="000000"/>
                <w:spacing w:val="199"/>
                <w:shd w:val="solid" w:color="000000" w:fill="000000"/>
                <w:fitText w:val="285" w:id="-893676791"/>
                <w14:textFill>
                  <w14:solidFill>
                    <w14:srgbClr w14:val="000000">
                      <w14:alpha w14:val="100000"/>
                    </w14:srgbClr>
                  </w14:solidFill>
                </w14:textFill>
              </w:rPr>
              <w:t>|</w:t>
            </w:r>
            <w:r w:rsidRPr="00BD3549">
              <w:rPr>
                <w:color w:val="000000"/>
                <w:spacing w:val="1"/>
                <w:shd w:val="solid" w:color="000000" w:fill="000000"/>
                <w:fitText w:val="285" w:id="-893676791"/>
                <w14:textFill>
                  <w14:solidFill>
                    <w14:srgbClr w14:val="000000">
                      <w14:alpha w14:val="100000"/>
                    </w14:srgbClr>
                  </w14:solidFill>
                </w14:textFill>
              </w:rPr>
              <w:t>|</w:t>
            </w:r>
            <w:r w:rsidR="002E6F4F" w:rsidRPr="001611DC">
              <w:t>%</w:t>
            </w:r>
          </w:p>
        </w:tc>
      </w:tr>
      <w:tr w:rsidR="002E6F4F" w:rsidRPr="001611DC" w14:paraId="169456E1" w14:textId="77777777" w:rsidTr="00ED36A0">
        <w:trPr>
          <w:trHeight w:val="20"/>
        </w:trPr>
        <w:tc>
          <w:tcPr>
            <w:tcW w:w="5000" w:type="pct"/>
            <w:gridSpan w:val="9"/>
            <w:shd w:val="clear" w:color="auto" w:fill="auto"/>
            <w:vAlign w:val="center"/>
          </w:tcPr>
          <w:p w14:paraId="72ADF4C6" w14:textId="77777777" w:rsidR="002E6F4F" w:rsidRPr="001611DC" w:rsidRDefault="002E6F4F" w:rsidP="00C762BB">
            <w:pPr>
              <w:pStyle w:val="TableText0"/>
              <w:keepNext w:val="0"/>
              <w:rPr>
                <w:vertAlign w:val="superscript"/>
              </w:rPr>
            </w:pPr>
            <w:r w:rsidRPr="001611DC">
              <w:rPr>
                <w:b/>
                <w:bCs w:val="0"/>
              </w:rPr>
              <w:t xml:space="preserve">NHCDC cost weights adjusted by ICU stays and LOS </w:t>
            </w:r>
            <w:r w:rsidRPr="001611DC">
              <w:rPr>
                <w:b/>
                <w:bCs w:val="0"/>
                <w:vertAlign w:val="superscript"/>
              </w:rPr>
              <w:t>f, g</w:t>
            </w:r>
          </w:p>
        </w:tc>
      </w:tr>
      <w:tr w:rsidR="002E6F4F" w:rsidRPr="001611DC" w14:paraId="35A185D0" w14:textId="77777777" w:rsidTr="00BD3549">
        <w:trPr>
          <w:trHeight w:val="20"/>
        </w:trPr>
        <w:tc>
          <w:tcPr>
            <w:tcW w:w="940" w:type="pct"/>
            <w:shd w:val="clear" w:color="auto" w:fill="auto"/>
            <w:vAlign w:val="center"/>
          </w:tcPr>
          <w:p w14:paraId="53D5AE75" w14:textId="0A81AA4C" w:rsidR="002E6F4F" w:rsidRPr="001611DC" w:rsidRDefault="002E6F4F" w:rsidP="00C762BB">
            <w:pPr>
              <w:pStyle w:val="TableText0"/>
              <w:keepNext w:val="0"/>
            </w:pPr>
            <w:r w:rsidRPr="001611DC">
              <w:t>Not adjusted by ICU and LOS</w:t>
            </w:r>
            <w:r w:rsidR="00040E7A" w:rsidRPr="001611DC">
              <w:t xml:space="preserve">. Hospitalisation cost </w:t>
            </w:r>
            <w:r w:rsidRPr="001611DC">
              <w:t xml:space="preserve">= </w:t>
            </w:r>
            <w:r w:rsidRPr="006B7937">
              <w:t>$</w:t>
            </w:r>
            <w:r w:rsidR="00BD3549" w:rsidRPr="00BD3549">
              <w:rPr>
                <w:color w:val="000000"/>
                <w:spacing w:val="53"/>
                <w:shd w:val="solid" w:color="000000" w:fill="000000"/>
                <w:fitText w:val="330" w:id="-893676790"/>
                <w14:textFill>
                  <w14:solidFill>
                    <w14:srgbClr w14:val="000000">
                      <w14:alpha w14:val="100000"/>
                    </w14:srgbClr>
                  </w14:solidFill>
                </w14:textFill>
              </w:rPr>
              <w:t>|||</w:t>
            </w:r>
            <w:r w:rsidR="00BD3549" w:rsidRPr="00BD3549">
              <w:rPr>
                <w:color w:val="000000"/>
                <w:spacing w:val="1"/>
                <w:shd w:val="solid" w:color="000000" w:fill="000000"/>
                <w:fitText w:val="330" w:id="-893676790"/>
                <w14:textFill>
                  <w14:solidFill>
                    <w14:srgbClr w14:val="000000">
                      <w14:alpha w14:val="100000"/>
                    </w14:srgbClr>
                  </w14:solidFill>
                </w14:textFill>
              </w:rPr>
              <w:t>|</w:t>
            </w:r>
            <w:r w:rsidRPr="001611DC">
              <w:rPr>
                <w:b/>
                <w:bCs w:val="0"/>
              </w:rPr>
              <w:t>#4</w:t>
            </w:r>
          </w:p>
        </w:tc>
        <w:tc>
          <w:tcPr>
            <w:tcW w:w="708" w:type="pct"/>
            <w:shd w:val="solid" w:color="000000" w:fill="000000"/>
            <w:vAlign w:val="center"/>
          </w:tcPr>
          <w:p w14:paraId="4792AB99" w14:textId="10665B81"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60CDF867" w14:textId="77777777" w:rsidR="002E6F4F" w:rsidRPr="001611DC" w:rsidRDefault="002E6F4F" w:rsidP="00C762BB">
            <w:pPr>
              <w:pStyle w:val="TableText0"/>
              <w:keepNext w:val="0"/>
              <w:jc w:val="center"/>
            </w:pPr>
            <w:r w:rsidRPr="001611DC">
              <w:t>25,486</w:t>
            </w:r>
          </w:p>
        </w:tc>
        <w:tc>
          <w:tcPr>
            <w:tcW w:w="472" w:type="pct"/>
            <w:shd w:val="clear" w:color="auto" w:fill="auto"/>
            <w:vAlign w:val="center"/>
          </w:tcPr>
          <w:p w14:paraId="58BF6FDE" w14:textId="3CAFB10F" w:rsidR="002E6F4F" w:rsidRPr="001611DC" w:rsidRDefault="00BD3549" w:rsidP="00C762BB">
            <w:pPr>
              <w:pStyle w:val="TableText0"/>
              <w:keepNext w:val="0"/>
              <w:jc w:val="center"/>
            </w:pPr>
            <w:r w:rsidRPr="00BD3549">
              <w:rPr>
                <w:color w:val="000000"/>
                <w:spacing w:val="94"/>
                <w:shd w:val="solid" w:color="000000" w:fill="000000"/>
                <w:fitText w:val="180" w:id="-893676789"/>
                <w14:textFill>
                  <w14:solidFill>
                    <w14:srgbClr w14:val="000000">
                      <w14:alpha w14:val="100000"/>
                    </w14:srgbClr>
                  </w14:solidFill>
                </w14:textFill>
              </w:rPr>
              <w:t>|</w:t>
            </w:r>
            <w:r w:rsidRPr="00BD3549">
              <w:rPr>
                <w:color w:val="000000"/>
                <w:spacing w:val="1"/>
                <w:shd w:val="solid" w:color="000000" w:fill="000000"/>
                <w:fitText w:val="180" w:id="-893676789"/>
                <w14:textFill>
                  <w14:solidFill>
                    <w14:srgbClr w14:val="000000">
                      <w14:alpha w14:val="100000"/>
                    </w14:srgbClr>
                  </w14:solidFill>
                </w14:textFill>
              </w:rPr>
              <w:t>|</w:t>
            </w:r>
            <w:r w:rsidR="00AA386D" w:rsidRPr="00AA386D">
              <w:rPr>
                <w:vertAlign w:val="superscript"/>
              </w:rPr>
              <w:t>4</w:t>
            </w:r>
          </w:p>
        </w:tc>
        <w:tc>
          <w:tcPr>
            <w:tcW w:w="473" w:type="pct"/>
            <w:shd w:val="clear" w:color="auto" w:fill="auto"/>
            <w:vAlign w:val="center"/>
          </w:tcPr>
          <w:p w14:paraId="4333796E" w14:textId="4C028868" w:rsidR="002E6F4F" w:rsidRPr="001611DC" w:rsidRDefault="00BD3549" w:rsidP="00C762BB">
            <w:pPr>
              <w:pStyle w:val="TableText0"/>
              <w:keepNext w:val="0"/>
              <w:jc w:val="center"/>
            </w:pPr>
            <w:r w:rsidRPr="00BD3549">
              <w:rPr>
                <w:color w:val="000000"/>
                <w:spacing w:val="48"/>
                <w:shd w:val="solid" w:color="000000" w:fill="000000"/>
                <w:fitText w:val="225" w:id="-893676788"/>
                <w14:textFill>
                  <w14:solidFill>
                    <w14:srgbClr w14:val="000000">
                      <w14:alpha w14:val="100000"/>
                    </w14:srgbClr>
                  </w14:solidFill>
                </w14:textFill>
              </w:rPr>
              <w:t>||</w:t>
            </w:r>
            <w:r w:rsidRPr="00BD3549">
              <w:rPr>
                <w:color w:val="000000"/>
                <w:spacing w:val="2"/>
                <w:shd w:val="solid" w:color="000000" w:fill="000000"/>
                <w:fitText w:val="225" w:id="-893676788"/>
                <w14:textFill>
                  <w14:solidFill>
                    <w14:srgbClr w14:val="000000">
                      <w14:alpha w14:val="100000"/>
                    </w14:srgbClr>
                  </w14:solidFill>
                </w14:textFill>
              </w:rPr>
              <w:t>|</w:t>
            </w:r>
            <w:r w:rsidR="002E6F4F" w:rsidRPr="001611DC">
              <w:t>%</w:t>
            </w:r>
          </w:p>
        </w:tc>
        <w:tc>
          <w:tcPr>
            <w:tcW w:w="683" w:type="pct"/>
            <w:shd w:val="solid" w:color="000000" w:fill="000000"/>
            <w:vAlign w:val="center"/>
          </w:tcPr>
          <w:p w14:paraId="28C64C60" w14:textId="4671B70F"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5A6CC96D" w14:textId="77777777" w:rsidR="002E6F4F" w:rsidRPr="001611DC" w:rsidRDefault="002E6F4F" w:rsidP="00C762BB">
            <w:pPr>
              <w:pStyle w:val="TableText0"/>
              <w:keepNext w:val="0"/>
              <w:jc w:val="center"/>
            </w:pPr>
            <w:r w:rsidRPr="001611DC">
              <w:t>15,182</w:t>
            </w:r>
          </w:p>
        </w:tc>
        <w:tc>
          <w:tcPr>
            <w:tcW w:w="509" w:type="pct"/>
            <w:shd w:val="clear" w:color="auto" w:fill="auto"/>
            <w:vAlign w:val="center"/>
          </w:tcPr>
          <w:p w14:paraId="1A78508A" w14:textId="45804FCA" w:rsidR="002E6F4F" w:rsidRPr="001611DC" w:rsidRDefault="00BD3549" w:rsidP="00C762BB">
            <w:pPr>
              <w:pStyle w:val="TableText0"/>
              <w:keepNext w:val="0"/>
              <w:jc w:val="center"/>
            </w:pPr>
            <w:r w:rsidRPr="00BD3549">
              <w:rPr>
                <w:rFonts w:hint="eastAsia"/>
                <w:color w:val="000000"/>
                <w:w w:val="33"/>
                <w:shd w:val="solid" w:color="000000" w:fill="000000"/>
                <w:fitText w:val="150" w:id="-893676787"/>
                <w14:textFill>
                  <w14:solidFill>
                    <w14:srgbClr w14:val="000000">
                      <w14:alpha w14:val="100000"/>
                    </w14:srgbClr>
                  </w14:solidFill>
                </w14:textFill>
              </w:rPr>
              <w:t xml:space="preserve">　</w:t>
            </w:r>
            <w:r w:rsidRPr="00BD3549">
              <w:rPr>
                <w:color w:val="000000"/>
                <w:w w:val="33"/>
                <w:shd w:val="solid" w:color="000000" w:fill="000000"/>
                <w:fitText w:val="150" w:id="-893676787"/>
                <w14:textFill>
                  <w14:solidFill>
                    <w14:srgbClr w14:val="000000">
                      <w14:alpha w14:val="100000"/>
                    </w14:srgbClr>
                  </w14:solidFill>
                </w14:textFill>
              </w:rPr>
              <w:t>|</w:t>
            </w:r>
            <w:r w:rsidRPr="00BD3549">
              <w:rPr>
                <w:rFonts w:hint="eastAsia"/>
                <w:color w:val="000000"/>
                <w:spacing w:val="4"/>
                <w:w w:val="33"/>
                <w:shd w:val="solid" w:color="000000" w:fill="000000"/>
                <w:fitText w:val="150" w:id="-893676787"/>
                <w14:textFill>
                  <w14:solidFill>
                    <w14:srgbClr w14:val="000000">
                      <w14:alpha w14:val="100000"/>
                    </w14:srgbClr>
                  </w14:solidFill>
                </w14:textFill>
              </w:rPr>
              <w:t xml:space="preserve">　</w:t>
            </w:r>
            <w:r w:rsidR="00484198" w:rsidRPr="00484198">
              <w:rPr>
                <w:vertAlign w:val="superscript"/>
              </w:rPr>
              <w:t>5</w:t>
            </w:r>
          </w:p>
        </w:tc>
        <w:tc>
          <w:tcPr>
            <w:tcW w:w="392" w:type="pct"/>
            <w:shd w:val="clear" w:color="auto" w:fill="auto"/>
            <w:vAlign w:val="center"/>
          </w:tcPr>
          <w:p w14:paraId="14B66DDD" w14:textId="3A554C46" w:rsidR="002E6F4F" w:rsidRPr="001611DC" w:rsidRDefault="00BD3549" w:rsidP="00C762BB">
            <w:pPr>
              <w:pStyle w:val="TableText0"/>
              <w:keepNext w:val="0"/>
              <w:jc w:val="center"/>
            </w:pPr>
            <w:r w:rsidRPr="00BD3549">
              <w:rPr>
                <w:color w:val="000000"/>
                <w:spacing w:val="199"/>
                <w:shd w:val="solid" w:color="000000" w:fill="000000"/>
                <w:fitText w:val="285" w:id="-893676786"/>
                <w14:textFill>
                  <w14:solidFill>
                    <w14:srgbClr w14:val="000000">
                      <w14:alpha w14:val="100000"/>
                    </w14:srgbClr>
                  </w14:solidFill>
                </w14:textFill>
              </w:rPr>
              <w:t>|</w:t>
            </w:r>
            <w:r w:rsidRPr="00BD3549">
              <w:rPr>
                <w:color w:val="000000"/>
                <w:spacing w:val="1"/>
                <w:shd w:val="solid" w:color="000000" w:fill="000000"/>
                <w:fitText w:val="285" w:id="-893676786"/>
                <w14:textFill>
                  <w14:solidFill>
                    <w14:srgbClr w14:val="000000">
                      <w14:alpha w14:val="100000"/>
                    </w14:srgbClr>
                  </w14:solidFill>
                </w14:textFill>
              </w:rPr>
              <w:t>|</w:t>
            </w:r>
            <w:r w:rsidR="002E6F4F" w:rsidRPr="001611DC">
              <w:t>%</w:t>
            </w:r>
          </w:p>
        </w:tc>
      </w:tr>
      <w:tr w:rsidR="002E6F4F" w:rsidRPr="001611DC" w14:paraId="152BA983" w14:textId="77777777" w:rsidTr="00ED36A0">
        <w:trPr>
          <w:trHeight w:val="20"/>
        </w:trPr>
        <w:tc>
          <w:tcPr>
            <w:tcW w:w="5000" w:type="pct"/>
            <w:gridSpan w:val="9"/>
            <w:shd w:val="clear" w:color="auto" w:fill="auto"/>
            <w:vAlign w:val="center"/>
          </w:tcPr>
          <w:p w14:paraId="10973DD4" w14:textId="2A0327CC" w:rsidR="002E6F4F" w:rsidRPr="001611DC" w:rsidRDefault="002E6F4F" w:rsidP="00C762BB">
            <w:pPr>
              <w:pStyle w:val="TableText0"/>
              <w:keepNext w:val="0"/>
              <w:rPr>
                <w:b/>
              </w:rPr>
            </w:pPr>
            <w:r w:rsidRPr="001611DC">
              <w:rPr>
                <w:b/>
                <w:bCs w:val="0"/>
              </w:rPr>
              <w:t>Multivariate sensitivity analyses</w:t>
            </w:r>
            <w:r w:rsidR="00C8735B" w:rsidRPr="001611DC">
              <w:rPr>
                <w:b/>
                <w:bCs w:val="0"/>
              </w:rPr>
              <w:t xml:space="preserve"> presented in the commentary</w:t>
            </w:r>
          </w:p>
        </w:tc>
      </w:tr>
      <w:tr w:rsidR="002E6F4F" w:rsidRPr="001611DC" w14:paraId="53BA2C8B" w14:textId="77777777" w:rsidTr="00BD3549">
        <w:trPr>
          <w:trHeight w:val="20"/>
        </w:trPr>
        <w:tc>
          <w:tcPr>
            <w:tcW w:w="940" w:type="pct"/>
            <w:shd w:val="clear" w:color="auto" w:fill="auto"/>
            <w:vAlign w:val="center"/>
          </w:tcPr>
          <w:p w14:paraId="4712C29B" w14:textId="77777777" w:rsidR="002E6F4F" w:rsidRPr="001611DC" w:rsidRDefault="002E6F4F" w:rsidP="00C762BB">
            <w:pPr>
              <w:pStyle w:val="TableText0"/>
              <w:keepNext w:val="0"/>
            </w:pPr>
            <w:bookmarkStart w:id="146" w:name="_Hlk174374278"/>
            <w:r w:rsidRPr="001611DC">
              <w:t>AND (#1, #2)</w:t>
            </w:r>
          </w:p>
        </w:tc>
        <w:tc>
          <w:tcPr>
            <w:tcW w:w="708" w:type="pct"/>
            <w:tcBorders>
              <w:bottom w:val="single" w:sz="4" w:space="0" w:color="auto"/>
            </w:tcBorders>
            <w:shd w:val="solid" w:color="000000" w:fill="000000"/>
            <w:vAlign w:val="center"/>
          </w:tcPr>
          <w:p w14:paraId="35C0A11B" w14:textId="1FD2FCE6" w:rsidR="002E6F4F" w:rsidRPr="00FD38B0" w:rsidRDefault="00BD3549" w:rsidP="00C762BB">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39F158C2" w14:textId="1FA96E30" w:rsidR="002E6F4F" w:rsidRPr="001611DC" w:rsidRDefault="002E6F4F" w:rsidP="00C762BB">
            <w:pPr>
              <w:pStyle w:val="TableText0"/>
              <w:keepNext w:val="0"/>
              <w:jc w:val="center"/>
            </w:pPr>
            <w:r w:rsidRPr="001611DC">
              <w:t>7,968</w:t>
            </w:r>
          </w:p>
        </w:tc>
        <w:tc>
          <w:tcPr>
            <w:tcW w:w="472" w:type="pct"/>
            <w:shd w:val="clear" w:color="auto" w:fill="auto"/>
            <w:vAlign w:val="center"/>
          </w:tcPr>
          <w:p w14:paraId="7AE6DD0B" w14:textId="3E46F46C" w:rsidR="002E6F4F" w:rsidRPr="001611DC" w:rsidRDefault="00BD3549" w:rsidP="00C762BB">
            <w:pPr>
              <w:pStyle w:val="TableText0"/>
              <w:keepNext w:val="0"/>
              <w:jc w:val="center"/>
            </w:pPr>
            <w:r w:rsidRPr="00BD3549">
              <w:rPr>
                <w:color w:val="000000"/>
                <w:spacing w:val="94"/>
                <w:shd w:val="solid" w:color="000000" w:fill="000000"/>
                <w:fitText w:val="180" w:id="-893676785"/>
                <w14:textFill>
                  <w14:solidFill>
                    <w14:srgbClr w14:val="000000">
                      <w14:alpha w14:val="100000"/>
                    </w14:srgbClr>
                  </w14:solidFill>
                </w14:textFill>
              </w:rPr>
              <w:t>|</w:t>
            </w:r>
            <w:r w:rsidRPr="00BD3549">
              <w:rPr>
                <w:color w:val="000000"/>
                <w:spacing w:val="1"/>
                <w:shd w:val="solid" w:color="000000" w:fill="000000"/>
                <w:fitText w:val="180" w:id="-893676785"/>
                <w14:textFill>
                  <w14:solidFill>
                    <w14:srgbClr w14:val="000000">
                      <w14:alpha w14:val="100000"/>
                    </w14:srgbClr>
                  </w14:solidFill>
                </w14:textFill>
              </w:rPr>
              <w:t>|</w:t>
            </w:r>
            <w:r w:rsidR="00007DE4" w:rsidRPr="00342284">
              <w:rPr>
                <w:vertAlign w:val="superscript"/>
              </w:rPr>
              <w:t>9</w:t>
            </w:r>
          </w:p>
        </w:tc>
        <w:tc>
          <w:tcPr>
            <w:tcW w:w="473" w:type="pct"/>
            <w:shd w:val="clear" w:color="auto" w:fill="auto"/>
            <w:vAlign w:val="center"/>
          </w:tcPr>
          <w:p w14:paraId="05BAF5A5" w14:textId="6D583A9C" w:rsidR="002E6F4F" w:rsidRPr="001611DC" w:rsidRDefault="00BD3549" w:rsidP="00C762BB">
            <w:pPr>
              <w:pStyle w:val="TableText0"/>
              <w:keepNext w:val="0"/>
              <w:jc w:val="center"/>
            </w:pPr>
            <w:r w:rsidRPr="00BD3549">
              <w:rPr>
                <w:color w:val="000000"/>
                <w:spacing w:val="48"/>
                <w:shd w:val="solid" w:color="000000" w:fill="000000"/>
                <w:fitText w:val="225" w:id="-893676784"/>
                <w14:textFill>
                  <w14:solidFill>
                    <w14:srgbClr w14:val="000000">
                      <w14:alpha w14:val="100000"/>
                    </w14:srgbClr>
                  </w14:solidFill>
                </w14:textFill>
              </w:rPr>
              <w:t>||</w:t>
            </w:r>
            <w:r w:rsidRPr="00BD3549">
              <w:rPr>
                <w:color w:val="000000"/>
                <w:spacing w:val="2"/>
                <w:shd w:val="solid" w:color="000000" w:fill="000000"/>
                <w:fitText w:val="225" w:id="-893676784"/>
                <w14:textFill>
                  <w14:solidFill>
                    <w14:srgbClr w14:val="000000">
                      <w14:alpha w14:val="100000"/>
                    </w14:srgbClr>
                  </w14:solidFill>
                </w14:textFill>
              </w:rPr>
              <w:t>|</w:t>
            </w:r>
            <w:r w:rsidR="002E6F4F" w:rsidRPr="001611DC">
              <w:t>%</w:t>
            </w:r>
          </w:p>
        </w:tc>
        <w:tc>
          <w:tcPr>
            <w:tcW w:w="683" w:type="pct"/>
            <w:tcBorders>
              <w:bottom w:val="single" w:sz="4" w:space="0" w:color="auto"/>
            </w:tcBorders>
            <w:shd w:val="solid" w:color="000000" w:fill="000000"/>
            <w:vAlign w:val="center"/>
          </w:tcPr>
          <w:p w14:paraId="706E7E26" w14:textId="5C8DFBAE" w:rsidR="002E6F4F" w:rsidRPr="001611DC" w:rsidRDefault="00BD3549" w:rsidP="00C762BB">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59EA7562" w14:textId="7E92A32C" w:rsidR="002E6F4F" w:rsidRPr="001611DC" w:rsidRDefault="002E6F4F" w:rsidP="00C762BB">
            <w:pPr>
              <w:pStyle w:val="TableText0"/>
              <w:keepNext w:val="0"/>
              <w:jc w:val="center"/>
            </w:pPr>
            <w:r w:rsidRPr="001611DC">
              <w:t>3,765</w:t>
            </w:r>
          </w:p>
        </w:tc>
        <w:tc>
          <w:tcPr>
            <w:tcW w:w="509" w:type="pct"/>
            <w:shd w:val="clear" w:color="auto" w:fill="auto"/>
            <w:vAlign w:val="center"/>
          </w:tcPr>
          <w:p w14:paraId="12A61AEE" w14:textId="6C673618" w:rsidR="002E6F4F" w:rsidRPr="001611DC" w:rsidRDefault="00BD3549" w:rsidP="00C762BB">
            <w:pPr>
              <w:pStyle w:val="TableText0"/>
              <w:keepNext w:val="0"/>
              <w:jc w:val="center"/>
            </w:pPr>
            <w:r w:rsidRPr="00BD3549">
              <w:rPr>
                <w:rFonts w:hint="eastAsia"/>
                <w:color w:val="000000"/>
                <w:w w:val="33"/>
                <w:shd w:val="solid" w:color="000000" w:fill="000000"/>
                <w:fitText w:val="150" w:id="-893676800"/>
                <w14:textFill>
                  <w14:solidFill>
                    <w14:srgbClr w14:val="000000">
                      <w14:alpha w14:val="100000"/>
                    </w14:srgbClr>
                  </w14:solidFill>
                </w14:textFill>
              </w:rPr>
              <w:t xml:space="preserve">　</w:t>
            </w:r>
            <w:r w:rsidRPr="00BD3549">
              <w:rPr>
                <w:color w:val="000000"/>
                <w:w w:val="33"/>
                <w:shd w:val="solid" w:color="000000" w:fill="000000"/>
                <w:fitText w:val="150" w:id="-893676800"/>
                <w14:textFill>
                  <w14:solidFill>
                    <w14:srgbClr w14:val="000000">
                      <w14:alpha w14:val="100000"/>
                    </w14:srgbClr>
                  </w14:solidFill>
                </w14:textFill>
              </w:rPr>
              <w:t>|</w:t>
            </w:r>
            <w:r w:rsidRPr="00BD3549">
              <w:rPr>
                <w:rFonts w:hint="eastAsia"/>
                <w:color w:val="000000"/>
                <w:spacing w:val="4"/>
                <w:w w:val="33"/>
                <w:shd w:val="solid" w:color="000000" w:fill="000000"/>
                <w:fitText w:val="150" w:id="-893676800"/>
                <w14:textFill>
                  <w14:solidFill>
                    <w14:srgbClr w14:val="000000">
                      <w14:alpha w14:val="100000"/>
                    </w14:srgbClr>
                  </w14:solidFill>
                </w14:textFill>
              </w:rPr>
              <w:t xml:space="preserve">　</w:t>
            </w:r>
            <w:r w:rsidR="003E55BC" w:rsidRPr="00484198">
              <w:rPr>
                <w:vertAlign w:val="superscript"/>
              </w:rPr>
              <w:t>6</w:t>
            </w:r>
          </w:p>
        </w:tc>
        <w:tc>
          <w:tcPr>
            <w:tcW w:w="392" w:type="pct"/>
            <w:shd w:val="clear" w:color="auto" w:fill="auto"/>
            <w:vAlign w:val="center"/>
          </w:tcPr>
          <w:p w14:paraId="0963C646" w14:textId="5B85AF2E" w:rsidR="002E6F4F" w:rsidRPr="001611DC" w:rsidRDefault="00BD3549" w:rsidP="00C762BB">
            <w:pPr>
              <w:pStyle w:val="TableText0"/>
              <w:keepNext w:val="0"/>
              <w:jc w:val="center"/>
            </w:pPr>
            <w:r w:rsidRPr="00BD3549">
              <w:rPr>
                <w:color w:val="000000"/>
                <w:spacing w:val="199"/>
                <w:shd w:val="solid" w:color="000000" w:fill="000000"/>
                <w:fitText w:val="285" w:id="-893676799"/>
                <w14:textFill>
                  <w14:solidFill>
                    <w14:srgbClr w14:val="000000">
                      <w14:alpha w14:val="100000"/>
                    </w14:srgbClr>
                  </w14:solidFill>
                </w14:textFill>
              </w:rPr>
              <w:t>|</w:t>
            </w:r>
            <w:r w:rsidRPr="00BD3549">
              <w:rPr>
                <w:color w:val="000000"/>
                <w:spacing w:val="1"/>
                <w:shd w:val="solid" w:color="000000" w:fill="000000"/>
                <w:fitText w:val="285" w:id="-893676799"/>
                <w14:textFill>
                  <w14:solidFill>
                    <w14:srgbClr w14:val="000000">
                      <w14:alpha w14:val="100000"/>
                    </w14:srgbClr>
                  </w14:solidFill>
                </w14:textFill>
              </w:rPr>
              <w:t>|</w:t>
            </w:r>
            <w:r w:rsidR="002E6F4F" w:rsidRPr="001611DC">
              <w:t>%</w:t>
            </w:r>
          </w:p>
        </w:tc>
      </w:tr>
      <w:bookmarkEnd w:id="146"/>
      <w:tr w:rsidR="002E6F4F" w:rsidRPr="001611DC" w14:paraId="6907479F" w14:textId="77777777" w:rsidTr="00BD3549">
        <w:trPr>
          <w:trHeight w:val="20"/>
        </w:trPr>
        <w:tc>
          <w:tcPr>
            <w:tcW w:w="940" w:type="pct"/>
            <w:shd w:val="clear" w:color="auto" w:fill="auto"/>
            <w:vAlign w:val="center"/>
          </w:tcPr>
          <w:p w14:paraId="284BA46B" w14:textId="77777777" w:rsidR="002E6F4F" w:rsidRPr="001611DC" w:rsidRDefault="002E6F4F" w:rsidP="00C762BB">
            <w:pPr>
              <w:pStyle w:val="TableText0"/>
              <w:keepNext w:val="0"/>
            </w:pPr>
            <w:r w:rsidRPr="001611DC">
              <w:t>AND (#1, #2, #3)</w:t>
            </w:r>
          </w:p>
        </w:tc>
        <w:tc>
          <w:tcPr>
            <w:tcW w:w="708" w:type="pct"/>
            <w:tcBorders>
              <w:bottom w:val="single" w:sz="4" w:space="0" w:color="auto"/>
            </w:tcBorders>
            <w:shd w:val="solid" w:color="000000" w:fill="000000"/>
            <w:vAlign w:val="center"/>
          </w:tcPr>
          <w:p w14:paraId="78EF6121" w14:textId="1C354C5A" w:rsidR="002E6F4F" w:rsidRPr="00FD38B0" w:rsidRDefault="00BD3549" w:rsidP="00C762BB">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126E1B0A" w14:textId="77777777" w:rsidR="002E6F4F" w:rsidRPr="001611DC" w:rsidRDefault="002E6F4F" w:rsidP="00C762BB">
            <w:pPr>
              <w:pStyle w:val="TableText0"/>
              <w:keepNext w:val="0"/>
              <w:jc w:val="center"/>
            </w:pPr>
            <w:r w:rsidRPr="001611DC">
              <w:t>7,968</w:t>
            </w:r>
          </w:p>
        </w:tc>
        <w:tc>
          <w:tcPr>
            <w:tcW w:w="472" w:type="pct"/>
            <w:shd w:val="clear" w:color="auto" w:fill="auto"/>
            <w:vAlign w:val="center"/>
          </w:tcPr>
          <w:p w14:paraId="250FFF6A" w14:textId="693C43C8" w:rsidR="002E6F4F" w:rsidRPr="003B6E94" w:rsidRDefault="00BD3549" w:rsidP="00C762BB">
            <w:pPr>
              <w:pStyle w:val="TableText0"/>
              <w:keepNext w:val="0"/>
              <w:jc w:val="center"/>
              <w:rPr>
                <w:highlight w:val="lightGray"/>
              </w:rPr>
            </w:pPr>
            <w:r w:rsidRPr="00BD3549">
              <w:rPr>
                <w:color w:val="000000"/>
                <w:spacing w:val="94"/>
                <w:shd w:val="solid" w:color="000000" w:fill="000000"/>
                <w:fitText w:val="180" w:id="-893676798"/>
                <w14:textFill>
                  <w14:solidFill>
                    <w14:srgbClr w14:val="000000">
                      <w14:alpha w14:val="100000"/>
                    </w14:srgbClr>
                  </w14:solidFill>
                </w14:textFill>
              </w:rPr>
              <w:t>|</w:t>
            </w:r>
            <w:r w:rsidRPr="00BD3549">
              <w:rPr>
                <w:color w:val="000000"/>
                <w:spacing w:val="1"/>
                <w:shd w:val="solid" w:color="000000" w:fill="000000"/>
                <w:fitText w:val="180" w:id="-893676798"/>
                <w14:textFill>
                  <w14:solidFill>
                    <w14:srgbClr w14:val="000000">
                      <w14:alpha w14:val="100000"/>
                    </w14:srgbClr>
                  </w14:solidFill>
                </w14:textFill>
              </w:rPr>
              <w:t>|</w:t>
            </w:r>
            <w:r w:rsidR="00404250" w:rsidRPr="00342284">
              <w:rPr>
                <w:vertAlign w:val="superscript"/>
              </w:rPr>
              <w:t>9</w:t>
            </w:r>
          </w:p>
        </w:tc>
        <w:tc>
          <w:tcPr>
            <w:tcW w:w="473" w:type="pct"/>
            <w:shd w:val="clear" w:color="auto" w:fill="auto"/>
            <w:vAlign w:val="center"/>
          </w:tcPr>
          <w:p w14:paraId="71C6427F" w14:textId="0A03DFA0" w:rsidR="002E6F4F" w:rsidRPr="001611DC" w:rsidRDefault="00BD3549" w:rsidP="00C762BB">
            <w:pPr>
              <w:pStyle w:val="TableText0"/>
              <w:keepNext w:val="0"/>
              <w:jc w:val="center"/>
            </w:pPr>
            <w:r w:rsidRPr="00BD3549">
              <w:rPr>
                <w:color w:val="000000"/>
                <w:spacing w:val="48"/>
                <w:shd w:val="solid" w:color="000000" w:fill="000000"/>
                <w:fitText w:val="225" w:id="-893676797"/>
                <w14:textFill>
                  <w14:solidFill>
                    <w14:srgbClr w14:val="000000">
                      <w14:alpha w14:val="100000"/>
                    </w14:srgbClr>
                  </w14:solidFill>
                </w14:textFill>
              </w:rPr>
              <w:t>||</w:t>
            </w:r>
            <w:r w:rsidRPr="00BD3549">
              <w:rPr>
                <w:color w:val="000000"/>
                <w:spacing w:val="2"/>
                <w:shd w:val="solid" w:color="000000" w:fill="000000"/>
                <w:fitText w:val="225" w:id="-893676797"/>
                <w14:textFill>
                  <w14:solidFill>
                    <w14:srgbClr w14:val="000000">
                      <w14:alpha w14:val="100000"/>
                    </w14:srgbClr>
                  </w14:solidFill>
                </w14:textFill>
              </w:rPr>
              <w:t>|</w:t>
            </w:r>
            <w:r w:rsidR="002E6F4F" w:rsidRPr="001611DC">
              <w:t>%</w:t>
            </w:r>
          </w:p>
        </w:tc>
        <w:tc>
          <w:tcPr>
            <w:tcW w:w="683" w:type="pct"/>
            <w:tcBorders>
              <w:bottom w:val="single" w:sz="4" w:space="0" w:color="auto"/>
            </w:tcBorders>
            <w:shd w:val="solid" w:color="000000" w:fill="000000"/>
            <w:vAlign w:val="center"/>
          </w:tcPr>
          <w:p w14:paraId="5DF1FCCB" w14:textId="71B5CAEE" w:rsidR="002E6F4F" w:rsidRPr="003B6E94" w:rsidRDefault="00BD3549" w:rsidP="00C762BB">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277BDEED" w14:textId="77777777" w:rsidR="002E6F4F" w:rsidRPr="001611DC" w:rsidRDefault="002E6F4F" w:rsidP="00C762BB">
            <w:pPr>
              <w:pStyle w:val="TableText0"/>
              <w:keepNext w:val="0"/>
              <w:jc w:val="center"/>
            </w:pPr>
            <w:r w:rsidRPr="001611DC">
              <w:t>3,765</w:t>
            </w:r>
          </w:p>
        </w:tc>
        <w:tc>
          <w:tcPr>
            <w:tcW w:w="509" w:type="pct"/>
            <w:shd w:val="clear" w:color="auto" w:fill="auto"/>
            <w:vAlign w:val="center"/>
          </w:tcPr>
          <w:p w14:paraId="5623E225" w14:textId="7840D883" w:rsidR="002E6F4F" w:rsidRPr="003B6E94" w:rsidRDefault="00BD3549" w:rsidP="00C762BB">
            <w:pPr>
              <w:pStyle w:val="TableText0"/>
              <w:keepNext w:val="0"/>
              <w:jc w:val="center"/>
              <w:rPr>
                <w:highlight w:val="lightGray"/>
              </w:rPr>
            </w:pPr>
            <w:r w:rsidRPr="00BD3549">
              <w:rPr>
                <w:rFonts w:hint="eastAsia"/>
                <w:color w:val="000000"/>
                <w:w w:val="33"/>
                <w:shd w:val="solid" w:color="000000" w:fill="000000"/>
                <w:fitText w:val="150" w:id="-893676796"/>
                <w14:textFill>
                  <w14:solidFill>
                    <w14:srgbClr w14:val="000000">
                      <w14:alpha w14:val="100000"/>
                    </w14:srgbClr>
                  </w14:solidFill>
                </w14:textFill>
              </w:rPr>
              <w:t xml:space="preserve">　</w:t>
            </w:r>
            <w:r w:rsidRPr="00BD3549">
              <w:rPr>
                <w:color w:val="000000"/>
                <w:w w:val="33"/>
                <w:shd w:val="solid" w:color="000000" w:fill="000000"/>
                <w:fitText w:val="150" w:id="-893676796"/>
                <w14:textFill>
                  <w14:solidFill>
                    <w14:srgbClr w14:val="000000">
                      <w14:alpha w14:val="100000"/>
                    </w14:srgbClr>
                  </w14:solidFill>
                </w14:textFill>
              </w:rPr>
              <w:t>|</w:t>
            </w:r>
            <w:r w:rsidRPr="00BD3549">
              <w:rPr>
                <w:rFonts w:hint="eastAsia"/>
                <w:color w:val="000000"/>
                <w:spacing w:val="4"/>
                <w:w w:val="33"/>
                <w:shd w:val="solid" w:color="000000" w:fill="000000"/>
                <w:fitText w:val="150" w:id="-893676796"/>
                <w14:textFill>
                  <w14:solidFill>
                    <w14:srgbClr w14:val="000000">
                      <w14:alpha w14:val="100000"/>
                    </w14:srgbClr>
                  </w14:solidFill>
                </w14:textFill>
              </w:rPr>
              <w:t xml:space="preserve">　</w:t>
            </w:r>
            <w:r w:rsidR="00AA386D" w:rsidRPr="00AA386D">
              <w:rPr>
                <w:vertAlign w:val="superscript"/>
              </w:rPr>
              <w:t>4</w:t>
            </w:r>
          </w:p>
        </w:tc>
        <w:tc>
          <w:tcPr>
            <w:tcW w:w="392" w:type="pct"/>
            <w:shd w:val="clear" w:color="auto" w:fill="auto"/>
            <w:vAlign w:val="center"/>
          </w:tcPr>
          <w:p w14:paraId="39A77A30" w14:textId="34632227" w:rsidR="002E6F4F" w:rsidRPr="001611DC" w:rsidRDefault="00BD3549" w:rsidP="00C762BB">
            <w:pPr>
              <w:pStyle w:val="TableText0"/>
              <w:keepNext w:val="0"/>
              <w:jc w:val="center"/>
            </w:pPr>
            <w:r w:rsidRPr="00BD3549">
              <w:rPr>
                <w:color w:val="000000"/>
                <w:spacing w:val="199"/>
                <w:shd w:val="solid" w:color="000000" w:fill="000000"/>
                <w:fitText w:val="285" w:id="-893676795"/>
                <w14:textFill>
                  <w14:solidFill>
                    <w14:srgbClr w14:val="000000">
                      <w14:alpha w14:val="100000"/>
                    </w14:srgbClr>
                  </w14:solidFill>
                </w14:textFill>
              </w:rPr>
              <w:t>|</w:t>
            </w:r>
            <w:r w:rsidRPr="00BD3549">
              <w:rPr>
                <w:color w:val="000000"/>
                <w:spacing w:val="1"/>
                <w:shd w:val="solid" w:color="000000" w:fill="000000"/>
                <w:fitText w:val="285" w:id="-893676795"/>
                <w14:textFill>
                  <w14:solidFill>
                    <w14:srgbClr w14:val="000000">
                      <w14:alpha w14:val="100000"/>
                    </w14:srgbClr>
                  </w14:solidFill>
                </w14:textFill>
              </w:rPr>
              <w:t>|</w:t>
            </w:r>
            <w:r w:rsidR="002E6F4F" w:rsidRPr="001611DC">
              <w:t>%</w:t>
            </w:r>
          </w:p>
        </w:tc>
      </w:tr>
      <w:tr w:rsidR="002E6F4F" w:rsidRPr="001611DC" w14:paraId="521C9C5D" w14:textId="77777777" w:rsidTr="00BD3549">
        <w:trPr>
          <w:trHeight w:val="20"/>
        </w:trPr>
        <w:tc>
          <w:tcPr>
            <w:tcW w:w="940" w:type="pct"/>
            <w:shd w:val="clear" w:color="auto" w:fill="auto"/>
            <w:vAlign w:val="center"/>
          </w:tcPr>
          <w:p w14:paraId="575383D7" w14:textId="77777777" w:rsidR="002E6F4F" w:rsidRPr="001611DC" w:rsidRDefault="002E6F4F" w:rsidP="00C762BB">
            <w:pPr>
              <w:pStyle w:val="TableText0"/>
              <w:keepNext w:val="0"/>
            </w:pPr>
            <w:r w:rsidRPr="001611DC">
              <w:t>AND (#1, #2, #3, #4)</w:t>
            </w:r>
          </w:p>
        </w:tc>
        <w:tc>
          <w:tcPr>
            <w:tcW w:w="708" w:type="pct"/>
            <w:shd w:val="solid" w:color="000000" w:fill="000000"/>
            <w:vAlign w:val="center"/>
          </w:tcPr>
          <w:p w14:paraId="39F5AA38" w14:textId="344C6B10" w:rsidR="002E6F4F" w:rsidRPr="00FD38B0" w:rsidRDefault="00BD3549" w:rsidP="00C762BB">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vAlign w:val="center"/>
          </w:tcPr>
          <w:p w14:paraId="208FFB64" w14:textId="77777777" w:rsidR="002E6F4F" w:rsidRPr="001611DC" w:rsidRDefault="002E6F4F" w:rsidP="00C762BB">
            <w:pPr>
              <w:pStyle w:val="TableText0"/>
              <w:keepNext w:val="0"/>
              <w:jc w:val="center"/>
            </w:pPr>
            <w:r w:rsidRPr="001611DC">
              <w:t>7,968</w:t>
            </w:r>
          </w:p>
        </w:tc>
        <w:tc>
          <w:tcPr>
            <w:tcW w:w="472" w:type="pct"/>
            <w:shd w:val="clear" w:color="auto" w:fill="auto"/>
            <w:vAlign w:val="center"/>
          </w:tcPr>
          <w:p w14:paraId="4EABE506" w14:textId="14DF7A2D" w:rsidR="002E6F4F" w:rsidRPr="003B6E94" w:rsidRDefault="00BD3549" w:rsidP="00C762BB">
            <w:pPr>
              <w:pStyle w:val="TableText0"/>
              <w:keepNext w:val="0"/>
              <w:jc w:val="center"/>
              <w:rPr>
                <w:highlight w:val="lightGray"/>
              </w:rPr>
            </w:pPr>
            <w:r w:rsidRPr="00BD3549">
              <w:rPr>
                <w:color w:val="000000"/>
                <w:spacing w:val="41"/>
                <w:shd w:val="solid" w:color="000000" w:fill="000000"/>
                <w:fitText w:val="210" w:id="-893676794"/>
                <w14:textFill>
                  <w14:solidFill>
                    <w14:srgbClr w14:val="000000">
                      <w14:alpha w14:val="100000"/>
                    </w14:srgbClr>
                  </w14:solidFill>
                </w14:textFill>
              </w:rPr>
              <w:t>||</w:t>
            </w:r>
            <w:r w:rsidRPr="00BD3549">
              <w:rPr>
                <w:color w:val="000000"/>
                <w:spacing w:val="1"/>
                <w:shd w:val="solid" w:color="000000" w:fill="000000"/>
                <w:fitText w:val="210" w:id="-893676794"/>
                <w14:textFill>
                  <w14:solidFill>
                    <w14:srgbClr w14:val="000000">
                      <w14:alpha w14:val="100000"/>
                    </w14:srgbClr>
                  </w14:solidFill>
                </w14:textFill>
              </w:rPr>
              <w:t>|</w:t>
            </w:r>
            <w:r w:rsidR="00F112B5" w:rsidRPr="00801840">
              <w:rPr>
                <w:vertAlign w:val="superscript"/>
              </w:rPr>
              <w:t>10</w:t>
            </w:r>
          </w:p>
        </w:tc>
        <w:tc>
          <w:tcPr>
            <w:tcW w:w="473" w:type="pct"/>
            <w:shd w:val="clear" w:color="auto" w:fill="auto"/>
            <w:vAlign w:val="center"/>
          </w:tcPr>
          <w:p w14:paraId="337DEBC6" w14:textId="0DF32118" w:rsidR="002E6F4F" w:rsidRPr="001611DC" w:rsidRDefault="00BD3549" w:rsidP="00C762BB">
            <w:pPr>
              <w:pStyle w:val="TableText0"/>
              <w:keepNext w:val="0"/>
              <w:jc w:val="center"/>
            </w:pPr>
            <w:r w:rsidRPr="00BD3549">
              <w:rPr>
                <w:color w:val="000000"/>
                <w:spacing w:val="48"/>
                <w:shd w:val="solid" w:color="000000" w:fill="000000"/>
                <w:fitText w:val="225" w:id="-893676793"/>
                <w14:textFill>
                  <w14:solidFill>
                    <w14:srgbClr w14:val="000000">
                      <w14:alpha w14:val="100000"/>
                    </w14:srgbClr>
                  </w14:solidFill>
                </w14:textFill>
              </w:rPr>
              <w:t>||</w:t>
            </w:r>
            <w:r w:rsidRPr="00BD3549">
              <w:rPr>
                <w:color w:val="000000"/>
                <w:spacing w:val="2"/>
                <w:shd w:val="solid" w:color="000000" w:fill="000000"/>
                <w:fitText w:val="225" w:id="-893676793"/>
                <w14:textFill>
                  <w14:solidFill>
                    <w14:srgbClr w14:val="000000">
                      <w14:alpha w14:val="100000"/>
                    </w14:srgbClr>
                  </w14:solidFill>
                </w14:textFill>
              </w:rPr>
              <w:t>|</w:t>
            </w:r>
            <w:r w:rsidR="002E6F4F" w:rsidRPr="001611DC">
              <w:t>%</w:t>
            </w:r>
          </w:p>
        </w:tc>
        <w:tc>
          <w:tcPr>
            <w:tcW w:w="683" w:type="pct"/>
            <w:shd w:val="solid" w:color="000000" w:fill="000000"/>
            <w:vAlign w:val="center"/>
          </w:tcPr>
          <w:p w14:paraId="00CAE78C" w14:textId="2BD6718E" w:rsidR="002E6F4F" w:rsidRPr="003B6E94" w:rsidRDefault="00BD3549" w:rsidP="00C762BB">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vAlign w:val="center"/>
          </w:tcPr>
          <w:p w14:paraId="03218675" w14:textId="77777777" w:rsidR="002E6F4F" w:rsidRPr="001611DC" w:rsidRDefault="002E6F4F" w:rsidP="00C762BB">
            <w:pPr>
              <w:pStyle w:val="TableText0"/>
              <w:keepNext w:val="0"/>
              <w:jc w:val="center"/>
            </w:pPr>
            <w:r w:rsidRPr="001611DC">
              <w:t>3,765</w:t>
            </w:r>
          </w:p>
        </w:tc>
        <w:tc>
          <w:tcPr>
            <w:tcW w:w="509" w:type="pct"/>
            <w:shd w:val="clear" w:color="auto" w:fill="auto"/>
            <w:vAlign w:val="center"/>
          </w:tcPr>
          <w:p w14:paraId="382FEA82" w14:textId="6EE953D2" w:rsidR="002E6F4F" w:rsidRPr="003B6E94" w:rsidRDefault="00BD3549" w:rsidP="00C762BB">
            <w:pPr>
              <w:pStyle w:val="TableText0"/>
              <w:keepNext w:val="0"/>
              <w:jc w:val="center"/>
              <w:rPr>
                <w:highlight w:val="lightGray"/>
              </w:rPr>
            </w:pPr>
            <w:r w:rsidRPr="00BD3549">
              <w:rPr>
                <w:color w:val="000000"/>
                <w:spacing w:val="94"/>
                <w:shd w:val="solid" w:color="000000" w:fill="000000"/>
                <w:fitText w:val="180" w:id="-893676792"/>
                <w14:textFill>
                  <w14:solidFill>
                    <w14:srgbClr w14:val="000000">
                      <w14:alpha w14:val="100000"/>
                    </w14:srgbClr>
                  </w14:solidFill>
                </w14:textFill>
              </w:rPr>
              <w:t>|</w:t>
            </w:r>
            <w:r w:rsidRPr="00BD3549">
              <w:rPr>
                <w:color w:val="000000"/>
                <w:spacing w:val="1"/>
                <w:shd w:val="solid" w:color="000000" w:fill="000000"/>
                <w:fitText w:val="180" w:id="-893676792"/>
                <w14:textFill>
                  <w14:solidFill>
                    <w14:srgbClr w14:val="000000">
                      <w14:alpha w14:val="100000"/>
                    </w14:srgbClr>
                  </w14:solidFill>
                </w14:textFill>
              </w:rPr>
              <w:t>|</w:t>
            </w:r>
            <w:r w:rsidR="00801840" w:rsidRPr="00801840">
              <w:rPr>
                <w:vertAlign w:val="superscript"/>
              </w:rPr>
              <w:t>11</w:t>
            </w:r>
          </w:p>
        </w:tc>
        <w:tc>
          <w:tcPr>
            <w:tcW w:w="392" w:type="pct"/>
            <w:shd w:val="clear" w:color="auto" w:fill="auto"/>
            <w:vAlign w:val="center"/>
          </w:tcPr>
          <w:p w14:paraId="21443E74" w14:textId="7495967D" w:rsidR="002E6F4F" w:rsidRPr="001611DC" w:rsidRDefault="00BD3549" w:rsidP="00C762BB">
            <w:pPr>
              <w:pStyle w:val="TableText0"/>
              <w:keepNext w:val="0"/>
              <w:jc w:val="center"/>
            </w:pPr>
            <w:r w:rsidRPr="00BD3549">
              <w:rPr>
                <w:color w:val="000000"/>
                <w:spacing w:val="199"/>
                <w:shd w:val="solid" w:color="000000" w:fill="000000"/>
                <w:fitText w:val="285" w:id="-893676791"/>
                <w14:textFill>
                  <w14:solidFill>
                    <w14:srgbClr w14:val="000000">
                      <w14:alpha w14:val="100000"/>
                    </w14:srgbClr>
                  </w14:solidFill>
                </w14:textFill>
              </w:rPr>
              <w:t>|</w:t>
            </w:r>
            <w:r w:rsidRPr="00BD3549">
              <w:rPr>
                <w:color w:val="000000"/>
                <w:spacing w:val="1"/>
                <w:shd w:val="solid" w:color="000000" w:fill="000000"/>
                <w:fitText w:val="285" w:id="-893676791"/>
                <w14:textFill>
                  <w14:solidFill>
                    <w14:srgbClr w14:val="000000">
                      <w14:alpha w14:val="100000"/>
                    </w14:srgbClr>
                  </w14:solidFill>
                </w14:textFill>
              </w:rPr>
              <w:t>|</w:t>
            </w:r>
            <w:r w:rsidR="002E6F4F" w:rsidRPr="001611DC">
              <w:t>%</w:t>
            </w:r>
          </w:p>
        </w:tc>
      </w:tr>
      <w:tr w:rsidR="00C8735B" w:rsidRPr="001611DC" w14:paraId="5B4393EB" w14:textId="77777777" w:rsidTr="00C8735B">
        <w:trPr>
          <w:trHeight w:val="20"/>
        </w:trPr>
        <w:tc>
          <w:tcPr>
            <w:tcW w:w="5000" w:type="pct"/>
            <w:gridSpan w:val="9"/>
            <w:shd w:val="clear" w:color="auto" w:fill="auto"/>
            <w:vAlign w:val="center"/>
          </w:tcPr>
          <w:p w14:paraId="54CD18F7" w14:textId="232B2D13" w:rsidR="00C8735B" w:rsidRPr="001611DC" w:rsidRDefault="00C8735B" w:rsidP="00C762BB">
            <w:pPr>
              <w:pStyle w:val="TableText0"/>
              <w:keepNext w:val="0"/>
              <w:rPr>
                <w:b/>
                <w:bCs w:val="0"/>
              </w:rPr>
            </w:pPr>
            <w:r w:rsidRPr="001611DC">
              <w:rPr>
                <w:b/>
                <w:bCs w:val="0"/>
              </w:rPr>
              <w:t>Revised analyses presented in PSCR</w:t>
            </w:r>
          </w:p>
        </w:tc>
      </w:tr>
      <w:tr w:rsidR="004E6FF1" w:rsidRPr="001611DC" w14:paraId="22428702" w14:textId="77777777" w:rsidTr="00BD3549">
        <w:trPr>
          <w:trHeight w:val="20"/>
        </w:trPr>
        <w:tc>
          <w:tcPr>
            <w:tcW w:w="940" w:type="pct"/>
            <w:shd w:val="clear" w:color="auto" w:fill="auto"/>
            <w:vAlign w:val="center"/>
          </w:tcPr>
          <w:p w14:paraId="300DB105" w14:textId="5C02ED45" w:rsidR="004E6FF1" w:rsidRPr="001611DC" w:rsidRDefault="004E6FF1" w:rsidP="004E6FF1">
            <w:pPr>
              <w:pStyle w:val="TableText0"/>
              <w:keepNext w:val="0"/>
            </w:pPr>
            <w:r w:rsidRPr="001611DC">
              <w:t>Revised base case including Updated VE regression and hospitalisation cost</w:t>
            </w:r>
          </w:p>
        </w:tc>
        <w:tc>
          <w:tcPr>
            <w:tcW w:w="708" w:type="pct"/>
            <w:tcBorders>
              <w:bottom w:val="single" w:sz="4" w:space="0" w:color="auto"/>
            </w:tcBorders>
            <w:shd w:val="solid" w:color="000000" w:fill="000000"/>
          </w:tcPr>
          <w:p w14:paraId="184CE589" w14:textId="5C216407" w:rsidR="004E6FF1" w:rsidRPr="00FD38B0" w:rsidRDefault="00BD3549" w:rsidP="00ED4BE2">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tcPr>
          <w:p w14:paraId="590E6EA4" w14:textId="645685D2" w:rsidR="004E6FF1" w:rsidRPr="001611DC" w:rsidRDefault="004E6FF1" w:rsidP="00ED4BE2">
            <w:pPr>
              <w:pStyle w:val="TableText0"/>
              <w:keepNext w:val="0"/>
              <w:jc w:val="center"/>
            </w:pPr>
            <w:r w:rsidRPr="001611DC">
              <w:t>26,713</w:t>
            </w:r>
          </w:p>
        </w:tc>
        <w:tc>
          <w:tcPr>
            <w:tcW w:w="472" w:type="pct"/>
            <w:shd w:val="clear" w:color="auto" w:fill="auto"/>
          </w:tcPr>
          <w:p w14:paraId="19B77A6C" w14:textId="59764219" w:rsidR="004E6FF1" w:rsidRPr="00FD38B0" w:rsidRDefault="00BD3549" w:rsidP="00ED4BE2">
            <w:pPr>
              <w:pStyle w:val="TableText0"/>
              <w:keepNext w:val="0"/>
              <w:jc w:val="center"/>
              <w:rPr>
                <w:highlight w:val="lightGray"/>
              </w:rPr>
            </w:pPr>
            <w:r w:rsidRPr="00BD3549">
              <w:rPr>
                <w:color w:val="000000"/>
                <w:spacing w:val="94"/>
                <w:shd w:val="solid" w:color="000000" w:fill="000000"/>
                <w:fitText w:val="180" w:id="-893676790"/>
                <w14:textFill>
                  <w14:solidFill>
                    <w14:srgbClr w14:val="000000">
                      <w14:alpha w14:val="100000"/>
                    </w14:srgbClr>
                  </w14:solidFill>
                </w14:textFill>
              </w:rPr>
              <w:t>|</w:t>
            </w:r>
            <w:r w:rsidRPr="00BD3549">
              <w:rPr>
                <w:color w:val="000000"/>
                <w:spacing w:val="1"/>
                <w:shd w:val="solid" w:color="000000" w:fill="000000"/>
                <w:fitText w:val="180" w:id="-893676790"/>
                <w14:textFill>
                  <w14:solidFill>
                    <w14:srgbClr w14:val="000000">
                      <w14:alpha w14:val="100000"/>
                    </w14:srgbClr>
                  </w14:solidFill>
                </w14:textFill>
              </w:rPr>
              <w:t>|</w:t>
            </w:r>
            <w:r w:rsidR="00603E33" w:rsidRPr="00603E33">
              <w:rPr>
                <w:vertAlign w:val="superscript"/>
              </w:rPr>
              <w:t>1</w:t>
            </w:r>
          </w:p>
        </w:tc>
        <w:tc>
          <w:tcPr>
            <w:tcW w:w="473" w:type="pct"/>
            <w:shd w:val="clear" w:color="auto" w:fill="auto"/>
          </w:tcPr>
          <w:p w14:paraId="2EE049D7" w14:textId="5B310B58" w:rsidR="004E6FF1" w:rsidRPr="001611DC" w:rsidRDefault="004E6FF1" w:rsidP="00ED4BE2">
            <w:pPr>
              <w:pStyle w:val="TableText0"/>
              <w:keepNext w:val="0"/>
              <w:jc w:val="center"/>
            </w:pPr>
            <w:r w:rsidRPr="001611DC">
              <w:rPr>
                <w:rFonts w:cs="Calibri"/>
                <w:color w:val="000000"/>
                <w:szCs w:val="20"/>
              </w:rPr>
              <w:t>-</w:t>
            </w:r>
            <w:r w:rsidR="00BD3549" w:rsidRPr="00BD3549">
              <w:rPr>
                <w:rFonts w:cs="Calibri"/>
                <w:color w:val="000000"/>
                <w:spacing w:val="169"/>
                <w:szCs w:val="20"/>
                <w:shd w:val="solid" w:color="000000" w:fill="000000"/>
                <w:fitText w:val="255" w:id="-893676789"/>
                <w14:textFill>
                  <w14:solidFill>
                    <w14:srgbClr w14:val="000000">
                      <w14:alpha w14:val="100000"/>
                    </w14:srgbClr>
                  </w14:solidFill>
                </w14:textFill>
              </w:rPr>
              <w:t>|</w:t>
            </w:r>
            <w:r w:rsidR="00BD3549" w:rsidRPr="00BD3549">
              <w:rPr>
                <w:rFonts w:cs="Calibri"/>
                <w:color w:val="000000"/>
                <w:spacing w:val="1"/>
                <w:szCs w:val="20"/>
                <w:shd w:val="solid" w:color="000000" w:fill="000000"/>
                <w:fitText w:val="255" w:id="-893676789"/>
                <w14:textFill>
                  <w14:solidFill>
                    <w14:srgbClr w14:val="000000">
                      <w14:alpha w14:val="100000"/>
                    </w14:srgbClr>
                  </w14:solidFill>
                </w14:textFill>
              </w:rPr>
              <w:t>|</w:t>
            </w:r>
            <w:r w:rsidRPr="001611DC">
              <w:rPr>
                <w:rFonts w:cs="Calibri"/>
                <w:color w:val="000000"/>
                <w:szCs w:val="20"/>
              </w:rPr>
              <w:t>%</w:t>
            </w:r>
          </w:p>
        </w:tc>
        <w:tc>
          <w:tcPr>
            <w:tcW w:w="683" w:type="pct"/>
            <w:tcBorders>
              <w:bottom w:val="single" w:sz="4" w:space="0" w:color="auto"/>
            </w:tcBorders>
            <w:shd w:val="solid" w:color="000000" w:fill="000000"/>
          </w:tcPr>
          <w:p w14:paraId="6D7D9751" w14:textId="11552E6B" w:rsidR="004E6FF1" w:rsidRPr="00FD38B0" w:rsidRDefault="00BD3549" w:rsidP="00ED4BE2">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tcPr>
          <w:p w14:paraId="0622F2F1" w14:textId="60D07EDC" w:rsidR="004E6FF1" w:rsidRPr="001611DC" w:rsidRDefault="004E6FF1" w:rsidP="00ED4BE2">
            <w:pPr>
              <w:pStyle w:val="TableText0"/>
              <w:keepNext w:val="0"/>
              <w:jc w:val="center"/>
            </w:pPr>
            <w:r w:rsidRPr="001611DC">
              <w:t>15,911</w:t>
            </w:r>
          </w:p>
        </w:tc>
        <w:tc>
          <w:tcPr>
            <w:tcW w:w="509" w:type="pct"/>
            <w:shd w:val="clear" w:color="auto" w:fill="auto"/>
          </w:tcPr>
          <w:p w14:paraId="05CECC6A" w14:textId="03316538" w:rsidR="004E6FF1" w:rsidRPr="00FD38B0" w:rsidRDefault="00BD3549" w:rsidP="00ED4BE2">
            <w:pPr>
              <w:pStyle w:val="TableText0"/>
              <w:keepNext w:val="0"/>
              <w:jc w:val="center"/>
              <w:rPr>
                <w:highlight w:val="lightGray"/>
              </w:rPr>
            </w:pPr>
            <w:r w:rsidRPr="00BD3549">
              <w:rPr>
                <w:rFonts w:hint="eastAsia"/>
                <w:color w:val="000000"/>
                <w:w w:val="33"/>
                <w:shd w:val="solid" w:color="000000" w:fill="000000"/>
                <w:fitText w:val="150" w:id="-893676788"/>
                <w14:textFill>
                  <w14:solidFill>
                    <w14:srgbClr w14:val="000000">
                      <w14:alpha w14:val="100000"/>
                    </w14:srgbClr>
                  </w14:solidFill>
                </w14:textFill>
              </w:rPr>
              <w:t xml:space="preserve">　</w:t>
            </w:r>
            <w:r w:rsidRPr="00BD3549">
              <w:rPr>
                <w:color w:val="000000"/>
                <w:w w:val="33"/>
                <w:shd w:val="solid" w:color="000000" w:fill="000000"/>
                <w:fitText w:val="150" w:id="-893676788"/>
                <w14:textFill>
                  <w14:solidFill>
                    <w14:srgbClr w14:val="000000">
                      <w14:alpha w14:val="100000"/>
                    </w14:srgbClr>
                  </w14:solidFill>
                </w14:textFill>
              </w:rPr>
              <w:t>|</w:t>
            </w:r>
            <w:r w:rsidRPr="00BD3549">
              <w:rPr>
                <w:rFonts w:hint="eastAsia"/>
                <w:color w:val="000000"/>
                <w:spacing w:val="4"/>
                <w:w w:val="33"/>
                <w:shd w:val="solid" w:color="000000" w:fill="000000"/>
                <w:fitText w:val="150" w:id="-893676788"/>
                <w14:textFill>
                  <w14:solidFill>
                    <w14:srgbClr w14:val="000000">
                      <w14:alpha w14:val="100000"/>
                    </w14:srgbClr>
                  </w14:solidFill>
                </w14:textFill>
              </w:rPr>
              <w:t xml:space="preserve">　</w:t>
            </w:r>
            <w:r w:rsidR="00AA386D" w:rsidRPr="00004C6E">
              <w:rPr>
                <w:b/>
                <w:bCs w:val="0"/>
                <w:vertAlign w:val="superscript"/>
              </w:rPr>
              <w:t>3</w:t>
            </w:r>
          </w:p>
        </w:tc>
        <w:tc>
          <w:tcPr>
            <w:tcW w:w="392" w:type="pct"/>
            <w:shd w:val="clear" w:color="auto" w:fill="auto"/>
          </w:tcPr>
          <w:p w14:paraId="6984AF36" w14:textId="3C57BA29" w:rsidR="004E6FF1" w:rsidRPr="001611DC" w:rsidRDefault="004E6FF1" w:rsidP="00ED4BE2">
            <w:pPr>
              <w:pStyle w:val="TableText0"/>
              <w:keepNext w:val="0"/>
              <w:jc w:val="center"/>
            </w:pPr>
            <w:r w:rsidRPr="001611DC">
              <w:rPr>
                <w:rFonts w:cs="Calibri"/>
                <w:color w:val="000000"/>
                <w:szCs w:val="20"/>
              </w:rPr>
              <w:t>-</w:t>
            </w:r>
            <w:r w:rsidR="00BD3549" w:rsidRPr="00BD3549">
              <w:rPr>
                <w:rFonts w:cs="Calibri"/>
                <w:color w:val="000000"/>
                <w:spacing w:val="48"/>
                <w:szCs w:val="20"/>
                <w:shd w:val="solid" w:color="000000" w:fill="000000"/>
                <w:fitText w:val="315" w:id="-893676787"/>
                <w14:textFill>
                  <w14:solidFill>
                    <w14:srgbClr w14:val="000000">
                      <w14:alpha w14:val="100000"/>
                    </w14:srgbClr>
                  </w14:solidFill>
                </w14:textFill>
              </w:rPr>
              <w:t>|||</w:t>
            </w:r>
            <w:r w:rsidR="00BD3549" w:rsidRPr="00BD3549">
              <w:rPr>
                <w:rFonts w:cs="Calibri"/>
                <w:color w:val="000000"/>
                <w:spacing w:val="1"/>
                <w:szCs w:val="20"/>
                <w:shd w:val="solid" w:color="000000" w:fill="000000"/>
                <w:fitText w:val="315" w:id="-893676787"/>
                <w14:textFill>
                  <w14:solidFill>
                    <w14:srgbClr w14:val="000000">
                      <w14:alpha w14:val="100000"/>
                    </w14:srgbClr>
                  </w14:solidFill>
                </w14:textFill>
              </w:rPr>
              <w:t>|</w:t>
            </w:r>
            <w:r w:rsidRPr="001611DC">
              <w:rPr>
                <w:rFonts w:cs="Calibri"/>
                <w:color w:val="000000"/>
                <w:szCs w:val="20"/>
              </w:rPr>
              <w:t>%</w:t>
            </w:r>
          </w:p>
        </w:tc>
      </w:tr>
      <w:tr w:rsidR="004E6FF1" w:rsidRPr="001611DC" w14:paraId="30AAE87D" w14:textId="77777777" w:rsidTr="00BD3549">
        <w:trPr>
          <w:trHeight w:val="20"/>
        </w:trPr>
        <w:tc>
          <w:tcPr>
            <w:tcW w:w="940" w:type="pct"/>
            <w:shd w:val="clear" w:color="auto" w:fill="auto"/>
            <w:vAlign w:val="center"/>
          </w:tcPr>
          <w:p w14:paraId="6BA975E1" w14:textId="5BE495EC" w:rsidR="004E6FF1" w:rsidRPr="001611DC" w:rsidRDefault="004E6FF1" w:rsidP="004E6FF1">
            <w:pPr>
              <w:pStyle w:val="TableText0"/>
              <w:keepNext w:val="0"/>
            </w:pPr>
            <w:r w:rsidRPr="001611DC">
              <w:t xml:space="preserve">Scenario-A: PSCR base case and Updated NEP &amp; Cost Weights: LOS only </w:t>
            </w:r>
            <w:r w:rsidRPr="001611DC">
              <w:rPr>
                <w:vertAlign w:val="superscript"/>
              </w:rPr>
              <w:t>h</w:t>
            </w:r>
          </w:p>
        </w:tc>
        <w:tc>
          <w:tcPr>
            <w:tcW w:w="708" w:type="pct"/>
            <w:tcBorders>
              <w:bottom w:val="single" w:sz="4" w:space="0" w:color="auto"/>
            </w:tcBorders>
            <w:shd w:val="solid" w:color="000000" w:fill="000000"/>
          </w:tcPr>
          <w:p w14:paraId="5F1C1F9D" w14:textId="1098264C" w:rsidR="004E6FF1" w:rsidRPr="00FD38B0" w:rsidRDefault="00BD3549" w:rsidP="00ED4BE2">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tcPr>
          <w:p w14:paraId="54F5B302" w14:textId="43A3C547" w:rsidR="004E6FF1" w:rsidRPr="001611DC" w:rsidRDefault="004E6FF1" w:rsidP="00ED4BE2">
            <w:pPr>
              <w:pStyle w:val="TableText0"/>
              <w:keepNext w:val="0"/>
              <w:jc w:val="center"/>
            </w:pPr>
            <w:r w:rsidRPr="001611DC">
              <w:t>26,713</w:t>
            </w:r>
          </w:p>
        </w:tc>
        <w:tc>
          <w:tcPr>
            <w:tcW w:w="472" w:type="pct"/>
            <w:shd w:val="clear" w:color="auto" w:fill="auto"/>
          </w:tcPr>
          <w:p w14:paraId="70E13FEC" w14:textId="52F448EC" w:rsidR="004E6FF1" w:rsidRPr="00FD38B0" w:rsidRDefault="00BD3549" w:rsidP="00ED4BE2">
            <w:pPr>
              <w:pStyle w:val="TableText0"/>
              <w:keepNext w:val="0"/>
              <w:jc w:val="center"/>
              <w:rPr>
                <w:highlight w:val="lightGray"/>
              </w:rPr>
            </w:pPr>
            <w:r w:rsidRPr="00BD3549">
              <w:rPr>
                <w:color w:val="000000"/>
                <w:spacing w:val="94"/>
                <w:shd w:val="solid" w:color="000000" w:fill="000000"/>
                <w:fitText w:val="180" w:id="-893676786"/>
                <w14:textFill>
                  <w14:solidFill>
                    <w14:srgbClr w14:val="000000">
                      <w14:alpha w14:val="100000"/>
                    </w14:srgbClr>
                  </w14:solidFill>
                </w14:textFill>
              </w:rPr>
              <w:t>|</w:t>
            </w:r>
            <w:r w:rsidRPr="00BD3549">
              <w:rPr>
                <w:color w:val="000000"/>
                <w:spacing w:val="1"/>
                <w:shd w:val="solid" w:color="000000" w:fill="000000"/>
                <w:fitText w:val="180" w:id="-893676786"/>
                <w14:textFill>
                  <w14:solidFill>
                    <w14:srgbClr w14:val="000000">
                      <w14:alpha w14:val="100000"/>
                    </w14:srgbClr>
                  </w14:solidFill>
                </w14:textFill>
              </w:rPr>
              <w:t>|</w:t>
            </w:r>
            <w:r w:rsidR="003E55BC" w:rsidRPr="00484198">
              <w:rPr>
                <w:vertAlign w:val="superscript"/>
              </w:rPr>
              <w:t>6</w:t>
            </w:r>
          </w:p>
        </w:tc>
        <w:tc>
          <w:tcPr>
            <w:tcW w:w="473" w:type="pct"/>
            <w:shd w:val="clear" w:color="auto" w:fill="auto"/>
          </w:tcPr>
          <w:p w14:paraId="0C5E25AB" w14:textId="3E3EC0F8" w:rsidR="004E6FF1" w:rsidRPr="001611DC" w:rsidRDefault="00BD3549" w:rsidP="00ED4BE2">
            <w:pPr>
              <w:pStyle w:val="TableText0"/>
              <w:keepNext w:val="0"/>
              <w:jc w:val="center"/>
            </w:pPr>
            <w:r w:rsidRPr="00BD3549">
              <w:rPr>
                <w:rFonts w:cs="Calibri"/>
                <w:color w:val="000000"/>
                <w:spacing w:val="48"/>
                <w:szCs w:val="20"/>
                <w:shd w:val="solid" w:color="000000" w:fill="000000"/>
                <w:fitText w:val="225" w:id="-893676785"/>
                <w14:textFill>
                  <w14:solidFill>
                    <w14:srgbClr w14:val="000000">
                      <w14:alpha w14:val="100000"/>
                    </w14:srgbClr>
                  </w14:solidFill>
                </w14:textFill>
              </w:rPr>
              <w:t>||</w:t>
            </w:r>
            <w:r w:rsidRPr="00BD3549">
              <w:rPr>
                <w:rFonts w:cs="Calibri"/>
                <w:color w:val="000000"/>
                <w:spacing w:val="2"/>
                <w:szCs w:val="20"/>
                <w:shd w:val="solid" w:color="000000" w:fill="000000"/>
                <w:fitText w:val="225" w:id="-893676785"/>
                <w14:textFill>
                  <w14:solidFill>
                    <w14:srgbClr w14:val="000000">
                      <w14:alpha w14:val="100000"/>
                    </w14:srgbClr>
                  </w14:solidFill>
                </w14:textFill>
              </w:rPr>
              <w:t>|</w:t>
            </w:r>
            <w:r w:rsidR="004E6FF1" w:rsidRPr="001611DC">
              <w:rPr>
                <w:rFonts w:cs="Calibri"/>
                <w:color w:val="000000"/>
                <w:szCs w:val="20"/>
              </w:rPr>
              <w:t>%</w:t>
            </w:r>
          </w:p>
        </w:tc>
        <w:tc>
          <w:tcPr>
            <w:tcW w:w="683" w:type="pct"/>
            <w:tcBorders>
              <w:bottom w:val="single" w:sz="4" w:space="0" w:color="auto"/>
            </w:tcBorders>
            <w:shd w:val="solid" w:color="000000" w:fill="000000"/>
          </w:tcPr>
          <w:p w14:paraId="12D7B803" w14:textId="284B39D7" w:rsidR="004E6FF1" w:rsidRPr="00FD38B0" w:rsidRDefault="00BD3549" w:rsidP="00ED4BE2">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tcPr>
          <w:p w14:paraId="78BB08FA" w14:textId="7D7C5899" w:rsidR="004E6FF1" w:rsidRPr="001611DC" w:rsidRDefault="004E6FF1" w:rsidP="00ED4BE2">
            <w:pPr>
              <w:pStyle w:val="TableText0"/>
              <w:keepNext w:val="0"/>
              <w:jc w:val="center"/>
            </w:pPr>
            <w:r w:rsidRPr="001611DC">
              <w:t>15,911</w:t>
            </w:r>
          </w:p>
        </w:tc>
        <w:tc>
          <w:tcPr>
            <w:tcW w:w="509" w:type="pct"/>
            <w:shd w:val="clear" w:color="auto" w:fill="auto"/>
          </w:tcPr>
          <w:p w14:paraId="3A54605F" w14:textId="66DC10F2" w:rsidR="004E6FF1" w:rsidRPr="00FD38B0" w:rsidRDefault="00BD3549" w:rsidP="00ED4BE2">
            <w:pPr>
              <w:pStyle w:val="TableText0"/>
              <w:keepNext w:val="0"/>
              <w:jc w:val="center"/>
              <w:rPr>
                <w:highlight w:val="lightGray"/>
              </w:rPr>
            </w:pPr>
            <w:r w:rsidRPr="00BD3549">
              <w:rPr>
                <w:rFonts w:hint="eastAsia"/>
                <w:color w:val="000000"/>
                <w:w w:val="33"/>
                <w:shd w:val="solid" w:color="000000" w:fill="000000"/>
                <w:fitText w:val="150" w:id="-893676784"/>
                <w14:textFill>
                  <w14:solidFill>
                    <w14:srgbClr w14:val="000000">
                      <w14:alpha w14:val="100000"/>
                    </w14:srgbClr>
                  </w14:solidFill>
                </w14:textFill>
              </w:rPr>
              <w:t xml:space="preserve">　</w:t>
            </w:r>
            <w:r w:rsidRPr="00BD3549">
              <w:rPr>
                <w:color w:val="000000"/>
                <w:w w:val="33"/>
                <w:shd w:val="solid" w:color="000000" w:fill="000000"/>
                <w:fitText w:val="150" w:id="-893676784"/>
                <w14:textFill>
                  <w14:solidFill>
                    <w14:srgbClr w14:val="000000">
                      <w14:alpha w14:val="100000"/>
                    </w14:srgbClr>
                  </w14:solidFill>
                </w14:textFill>
              </w:rPr>
              <w:t>|</w:t>
            </w:r>
            <w:r w:rsidRPr="00BD3549">
              <w:rPr>
                <w:rFonts w:hint="eastAsia"/>
                <w:color w:val="000000"/>
                <w:spacing w:val="4"/>
                <w:w w:val="33"/>
                <w:shd w:val="solid" w:color="000000" w:fill="000000"/>
                <w:fitText w:val="150" w:id="-893676784"/>
                <w14:textFill>
                  <w14:solidFill>
                    <w14:srgbClr w14:val="000000">
                      <w14:alpha w14:val="100000"/>
                    </w14:srgbClr>
                  </w14:solidFill>
                </w14:textFill>
              </w:rPr>
              <w:t xml:space="preserve">　</w:t>
            </w:r>
            <w:r w:rsidR="009673D9" w:rsidRPr="009673D9">
              <w:rPr>
                <w:vertAlign w:val="superscript"/>
              </w:rPr>
              <w:t>2</w:t>
            </w:r>
          </w:p>
        </w:tc>
        <w:tc>
          <w:tcPr>
            <w:tcW w:w="392" w:type="pct"/>
            <w:shd w:val="clear" w:color="auto" w:fill="auto"/>
          </w:tcPr>
          <w:p w14:paraId="5201F899" w14:textId="73C32787" w:rsidR="004E6FF1" w:rsidRPr="001611DC" w:rsidRDefault="00BD3549" w:rsidP="00ED4BE2">
            <w:pPr>
              <w:pStyle w:val="TableText0"/>
              <w:keepNext w:val="0"/>
              <w:jc w:val="center"/>
            </w:pPr>
            <w:r w:rsidRPr="00BD3549">
              <w:rPr>
                <w:rFonts w:cs="Calibri"/>
                <w:color w:val="000000"/>
                <w:spacing w:val="199"/>
                <w:szCs w:val="20"/>
                <w:shd w:val="solid" w:color="000000" w:fill="000000"/>
                <w:fitText w:val="285" w:id="-893676800"/>
                <w14:textFill>
                  <w14:solidFill>
                    <w14:srgbClr w14:val="000000">
                      <w14:alpha w14:val="100000"/>
                    </w14:srgbClr>
                  </w14:solidFill>
                </w14:textFill>
              </w:rPr>
              <w:t>|</w:t>
            </w:r>
            <w:r w:rsidRPr="00BD3549">
              <w:rPr>
                <w:rFonts w:cs="Calibri"/>
                <w:color w:val="000000"/>
                <w:spacing w:val="1"/>
                <w:szCs w:val="20"/>
                <w:shd w:val="solid" w:color="000000" w:fill="000000"/>
                <w:fitText w:val="285" w:id="-893676800"/>
                <w14:textFill>
                  <w14:solidFill>
                    <w14:srgbClr w14:val="000000">
                      <w14:alpha w14:val="100000"/>
                    </w14:srgbClr>
                  </w14:solidFill>
                </w14:textFill>
              </w:rPr>
              <w:t>|</w:t>
            </w:r>
            <w:r w:rsidR="004E6FF1" w:rsidRPr="001611DC">
              <w:rPr>
                <w:rFonts w:cs="Calibri"/>
                <w:color w:val="000000"/>
                <w:szCs w:val="20"/>
              </w:rPr>
              <w:t>%</w:t>
            </w:r>
          </w:p>
        </w:tc>
      </w:tr>
      <w:tr w:rsidR="004E6FF1" w:rsidRPr="001611DC" w14:paraId="424F1689" w14:textId="77777777" w:rsidTr="00BD3549">
        <w:trPr>
          <w:trHeight w:val="20"/>
        </w:trPr>
        <w:tc>
          <w:tcPr>
            <w:tcW w:w="940" w:type="pct"/>
            <w:shd w:val="clear" w:color="auto" w:fill="auto"/>
            <w:vAlign w:val="center"/>
          </w:tcPr>
          <w:p w14:paraId="1522475E" w14:textId="3AA4C691" w:rsidR="004E6FF1" w:rsidRPr="001611DC" w:rsidRDefault="004E6FF1" w:rsidP="004E6FF1">
            <w:pPr>
              <w:pStyle w:val="TableText0"/>
              <w:keepNext w:val="0"/>
            </w:pPr>
            <w:r w:rsidRPr="001611DC">
              <w:t xml:space="preserve">Scenario-A: PSCR base case and Updated NEP &amp; Cost Weights: LOS and comorbidities </w:t>
            </w:r>
            <w:r w:rsidRPr="001611DC">
              <w:rPr>
                <w:vertAlign w:val="superscript"/>
              </w:rPr>
              <w:t>i</w:t>
            </w:r>
          </w:p>
        </w:tc>
        <w:tc>
          <w:tcPr>
            <w:tcW w:w="708" w:type="pct"/>
            <w:shd w:val="solid" w:color="000000" w:fill="000000"/>
          </w:tcPr>
          <w:p w14:paraId="5F18978B" w14:textId="59E0331E" w:rsidR="004E6FF1" w:rsidRPr="00FD38B0" w:rsidRDefault="00BD3549" w:rsidP="00ED4BE2">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tcPr>
          <w:p w14:paraId="4D7AAAC1" w14:textId="29337EF9" w:rsidR="004E6FF1" w:rsidRPr="001611DC" w:rsidRDefault="004E6FF1" w:rsidP="00ED4BE2">
            <w:pPr>
              <w:pStyle w:val="TableText0"/>
              <w:keepNext w:val="0"/>
              <w:jc w:val="center"/>
            </w:pPr>
            <w:r w:rsidRPr="001611DC">
              <w:t>26,713</w:t>
            </w:r>
          </w:p>
        </w:tc>
        <w:tc>
          <w:tcPr>
            <w:tcW w:w="472" w:type="pct"/>
            <w:shd w:val="clear" w:color="auto" w:fill="auto"/>
          </w:tcPr>
          <w:p w14:paraId="75F5803B" w14:textId="61E899E8" w:rsidR="004E6FF1" w:rsidRPr="001611DC" w:rsidRDefault="00BD3549" w:rsidP="00ED4BE2">
            <w:pPr>
              <w:pStyle w:val="TableText0"/>
              <w:keepNext w:val="0"/>
              <w:jc w:val="center"/>
            </w:pPr>
            <w:r w:rsidRPr="00BD3549">
              <w:rPr>
                <w:color w:val="000000"/>
                <w:spacing w:val="94"/>
                <w:shd w:val="solid" w:color="000000" w:fill="000000"/>
                <w:fitText w:val="180" w:id="-893676799"/>
                <w14:textFill>
                  <w14:solidFill>
                    <w14:srgbClr w14:val="000000">
                      <w14:alpha w14:val="100000"/>
                    </w14:srgbClr>
                  </w14:solidFill>
                </w14:textFill>
              </w:rPr>
              <w:t>|</w:t>
            </w:r>
            <w:r w:rsidRPr="00BD3549">
              <w:rPr>
                <w:color w:val="000000"/>
                <w:spacing w:val="1"/>
                <w:shd w:val="solid" w:color="000000" w:fill="000000"/>
                <w:fitText w:val="180" w:id="-893676799"/>
                <w14:textFill>
                  <w14:solidFill>
                    <w14:srgbClr w14:val="000000">
                      <w14:alpha w14:val="100000"/>
                    </w14:srgbClr>
                  </w14:solidFill>
                </w14:textFill>
              </w:rPr>
              <w:t>|</w:t>
            </w:r>
            <w:r w:rsidR="003E55BC" w:rsidRPr="00484198">
              <w:rPr>
                <w:vertAlign w:val="superscript"/>
              </w:rPr>
              <w:t>6</w:t>
            </w:r>
          </w:p>
        </w:tc>
        <w:tc>
          <w:tcPr>
            <w:tcW w:w="473" w:type="pct"/>
            <w:shd w:val="clear" w:color="auto" w:fill="auto"/>
          </w:tcPr>
          <w:p w14:paraId="66455AA2" w14:textId="3C539A98" w:rsidR="004E6FF1" w:rsidRPr="001611DC" w:rsidRDefault="00BD3549" w:rsidP="00ED4BE2">
            <w:pPr>
              <w:pStyle w:val="TableText0"/>
              <w:keepNext w:val="0"/>
              <w:jc w:val="center"/>
            </w:pPr>
            <w:r w:rsidRPr="00BD3549">
              <w:rPr>
                <w:rFonts w:cs="Calibri"/>
                <w:color w:val="000000"/>
                <w:spacing w:val="48"/>
                <w:szCs w:val="20"/>
                <w:shd w:val="solid" w:color="000000" w:fill="000000"/>
                <w:fitText w:val="225" w:id="-893676798"/>
                <w14:textFill>
                  <w14:solidFill>
                    <w14:srgbClr w14:val="000000">
                      <w14:alpha w14:val="100000"/>
                    </w14:srgbClr>
                  </w14:solidFill>
                </w14:textFill>
              </w:rPr>
              <w:t>||</w:t>
            </w:r>
            <w:r w:rsidRPr="00BD3549">
              <w:rPr>
                <w:rFonts w:cs="Calibri"/>
                <w:color w:val="000000"/>
                <w:spacing w:val="2"/>
                <w:szCs w:val="20"/>
                <w:shd w:val="solid" w:color="000000" w:fill="000000"/>
                <w:fitText w:val="225" w:id="-893676798"/>
                <w14:textFill>
                  <w14:solidFill>
                    <w14:srgbClr w14:val="000000">
                      <w14:alpha w14:val="100000"/>
                    </w14:srgbClr>
                  </w14:solidFill>
                </w14:textFill>
              </w:rPr>
              <w:t>|</w:t>
            </w:r>
            <w:r w:rsidR="004E6FF1" w:rsidRPr="001611DC">
              <w:rPr>
                <w:rFonts w:cs="Calibri"/>
                <w:color w:val="000000"/>
                <w:szCs w:val="20"/>
              </w:rPr>
              <w:t>%</w:t>
            </w:r>
          </w:p>
        </w:tc>
        <w:tc>
          <w:tcPr>
            <w:tcW w:w="683" w:type="pct"/>
            <w:shd w:val="solid" w:color="000000" w:fill="000000"/>
          </w:tcPr>
          <w:p w14:paraId="0DB2D4CB" w14:textId="1F561967" w:rsidR="004E6FF1" w:rsidRPr="001611DC" w:rsidRDefault="00BD3549" w:rsidP="00ED4BE2">
            <w:pPr>
              <w:pStyle w:val="TableText0"/>
              <w:keepNext w:val="0"/>
              <w:jc w:val="center"/>
            </w:pPr>
            <w:r w:rsidRPr="00BD3549">
              <w:rPr>
                <w:color w:val="000000"/>
                <w14:textFill>
                  <w14:solidFill>
                    <w14:srgbClr w14:val="000000">
                      <w14:alpha w14:val="100000"/>
                    </w14:srgbClr>
                  </w14:solidFill>
                </w14:textFill>
              </w:rPr>
              <w:t>|</w:t>
            </w:r>
          </w:p>
        </w:tc>
        <w:tc>
          <w:tcPr>
            <w:tcW w:w="430" w:type="pct"/>
            <w:shd w:val="clear" w:color="auto" w:fill="auto"/>
          </w:tcPr>
          <w:p w14:paraId="209A1E5B" w14:textId="70BD99AE" w:rsidR="004E6FF1" w:rsidRPr="001611DC" w:rsidRDefault="004E6FF1" w:rsidP="00ED4BE2">
            <w:pPr>
              <w:pStyle w:val="TableText0"/>
              <w:keepNext w:val="0"/>
              <w:jc w:val="center"/>
            </w:pPr>
            <w:r w:rsidRPr="001611DC">
              <w:t>15,911</w:t>
            </w:r>
          </w:p>
        </w:tc>
        <w:tc>
          <w:tcPr>
            <w:tcW w:w="509" w:type="pct"/>
            <w:shd w:val="clear" w:color="auto" w:fill="auto"/>
          </w:tcPr>
          <w:p w14:paraId="538B3BC9" w14:textId="37148BF7" w:rsidR="004E6FF1" w:rsidRPr="001611DC" w:rsidRDefault="00BD3549" w:rsidP="00ED4BE2">
            <w:pPr>
              <w:pStyle w:val="TableText0"/>
              <w:keepNext w:val="0"/>
              <w:jc w:val="center"/>
            </w:pPr>
            <w:r w:rsidRPr="00BD3549">
              <w:rPr>
                <w:rFonts w:hint="eastAsia"/>
                <w:color w:val="000000"/>
                <w:w w:val="33"/>
                <w:shd w:val="solid" w:color="000000" w:fill="000000"/>
                <w:fitText w:val="150" w:id="-893676797"/>
                <w14:textFill>
                  <w14:solidFill>
                    <w14:srgbClr w14:val="000000">
                      <w14:alpha w14:val="100000"/>
                    </w14:srgbClr>
                  </w14:solidFill>
                </w14:textFill>
              </w:rPr>
              <w:t xml:space="preserve">　</w:t>
            </w:r>
            <w:r w:rsidRPr="00BD3549">
              <w:rPr>
                <w:color w:val="000000"/>
                <w:w w:val="33"/>
                <w:shd w:val="solid" w:color="000000" w:fill="000000"/>
                <w:fitText w:val="150" w:id="-893676797"/>
                <w14:textFill>
                  <w14:solidFill>
                    <w14:srgbClr w14:val="000000">
                      <w14:alpha w14:val="100000"/>
                    </w14:srgbClr>
                  </w14:solidFill>
                </w14:textFill>
              </w:rPr>
              <w:t>|</w:t>
            </w:r>
            <w:r w:rsidRPr="00BD3549">
              <w:rPr>
                <w:rFonts w:hint="eastAsia"/>
                <w:color w:val="000000"/>
                <w:spacing w:val="4"/>
                <w:w w:val="33"/>
                <w:shd w:val="solid" w:color="000000" w:fill="000000"/>
                <w:fitText w:val="150" w:id="-893676797"/>
                <w14:textFill>
                  <w14:solidFill>
                    <w14:srgbClr w14:val="000000">
                      <w14:alpha w14:val="100000"/>
                    </w14:srgbClr>
                  </w14:solidFill>
                </w14:textFill>
              </w:rPr>
              <w:t xml:space="preserve">　</w:t>
            </w:r>
            <w:r w:rsidR="00606F86" w:rsidRPr="00603E33">
              <w:rPr>
                <w:vertAlign w:val="superscript"/>
              </w:rPr>
              <w:t>2</w:t>
            </w:r>
          </w:p>
        </w:tc>
        <w:tc>
          <w:tcPr>
            <w:tcW w:w="392" w:type="pct"/>
            <w:shd w:val="clear" w:color="auto" w:fill="auto"/>
          </w:tcPr>
          <w:p w14:paraId="1F8166BD" w14:textId="660D24CF" w:rsidR="004E6FF1" w:rsidRPr="001611DC" w:rsidRDefault="00BD3549" w:rsidP="00ED4BE2">
            <w:pPr>
              <w:pStyle w:val="TableText0"/>
              <w:keepNext w:val="0"/>
              <w:jc w:val="center"/>
            </w:pPr>
            <w:r w:rsidRPr="00BD3549">
              <w:rPr>
                <w:rFonts w:cs="Calibri"/>
                <w:color w:val="000000"/>
                <w:spacing w:val="199"/>
                <w:szCs w:val="20"/>
                <w:shd w:val="solid" w:color="000000" w:fill="000000"/>
                <w:fitText w:val="285" w:id="-893676796"/>
                <w14:textFill>
                  <w14:solidFill>
                    <w14:srgbClr w14:val="000000">
                      <w14:alpha w14:val="100000"/>
                    </w14:srgbClr>
                  </w14:solidFill>
                </w14:textFill>
              </w:rPr>
              <w:t>|</w:t>
            </w:r>
            <w:r w:rsidRPr="00BD3549">
              <w:rPr>
                <w:rFonts w:cs="Calibri"/>
                <w:color w:val="000000"/>
                <w:spacing w:val="1"/>
                <w:szCs w:val="20"/>
                <w:shd w:val="solid" w:color="000000" w:fill="000000"/>
                <w:fitText w:val="285" w:id="-893676796"/>
                <w14:textFill>
                  <w14:solidFill>
                    <w14:srgbClr w14:val="000000">
                      <w14:alpha w14:val="100000"/>
                    </w14:srgbClr>
                  </w14:solidFill>
                </w14:textFill>
              </w:rPr>
              <w:t>|</w:t>
            </w:r>
            <w:r w:rsidR="004E6FF1" w:rsidRPr="001611DC">
              <w:rPr>
                <w:rFonts w:cs="Calibri"/>
                <w:color w:val="000000"/>
                <w:szCs w:val="20"/>
              </w:rPr>
              <w:t>%</w:t>
            </w:r>
          </w:p>
        </w:tc>
      </w:tr>
      <w:tr w:rsidR="0095174E" w:rsidRPr="001611DC" w14:paraId="12F0448C" w14:textId="77777777">
        <w:trPr>
          <w:trHeight w:val="20"/>
        </w:trPr>
        <w:tc>
          <w:tcPr>
            <w:tcW w:w="5000" w:type="pct"/>
            <w:gridSpan w:val="9"/>
            <w:shd w:val="clear" w:color="auto" w:fill="auto"/>
            <w:vAlign w:val="center"/>
          </w:tcPr>
          <w:p w14:paraId="4A622E1E" w14:textId="169FA885" w:rsidR="00A6605D" w:rsidRPr="001611DC" w:rsidRDefault="00A6605D">
            <w:pPr>
              <w:pStyle w:val="TableText0"/>
              <w:keepNext w:val="0"/>
              <w:rPr>
                <w:b/>
                <w:bCs w:val="0"/>
              </w:rPr>
            </w:pPr>
            <w:r w:rsidRPr="001611DC">
              <w:rPr>
                <w:b/>
                <w:bCs w:val="0"/>
              </w:rPr>
              <w:t xml:space="preserve">Revised analyses </w:t>
            </w:r>
            <w:r w:rsidR="00713575" w:rsidRPr="001611DC">
              <w:rPr>
                <w:b/>
                <w:bCs w:val="0"/>
              </w:rPr>
              <w:t>based on model provided with</w:t>
            </w:r>
            <w:r w:rsidRPr="001611DC">
              <w:rPr>
                <w:b/>
                <w:bCs w:val="0"/>
              </w:rPr>
              <w:t xml:space="preserve"> </w:t>
            </w:r>
            <w:r w:rsidR="0069770C" w:rsidRPr="001611DC">
              <w:rPr>
                <w:b/>
                <w:bCs w:val="0"/>
              </w:rPr>
              <w:t>pre-PBAC response</w:t>
            </w:r>
          </w:p>
        </w:tc>
      </w:tr>
      <w:tr w:rsidR="0046379C" w:rsidRPr="001611DC" w14:paraId="0078049E" w14:textId="77777777" w:rsidTr="00BD3549">
        <w:trPr>
          <w:trHeight w:val="20"/>
        </w:trPr>
        <w:tc>
          <w:tcPr>
            <w:tcW w:w="940" w:type="pct"/>
            <w:shd w:val="clear" w:color="auto" w:fill="auto"/>
            <w:vAlign w:val="center"/>
          </w:tcPr>
          <w:p w14:paraId="39F6AA4C" w14:textId="5A001CD9" w:rsidR="0046379C" w:rsidRPr="001611DC" w:rsidRDefault="0046379C" w:rsidP="0046379C">
            <w:pPr>
              <w:pStyle w:val="TableText0"/>
              <w:keepNext w:val="0"/>
            </w:pPr>
            <w:r w:rsidRPr="001611DC">
              <w:t>(A) Sponsor’s revised base case using VE analysis 4 (as for PSCR) and additional changes to hospitalisation costs; assumed dosing in April (rather than March), and administration cost of $6.32.</w:t>
            </w:r>
          </w:p>
        </w:tc>
        <w:tc>
          <w:tcPr>
            <w:tcW w:w="708" w:type="pct"/>
            <w:tcBorders>
              <w:bottom w:val="single" w:sz="4" w:space="0" w:color="auto"/>
            </w:tcBorders>
            <w:shd w:val="solid" w:color="000000" w:fill="000000"/>
          </w:tcPr>
          <w:p w14:paraId="46EFF2B6" w14:textId="13F3DE01" w:rsidR="0046379C" w:rsidRPr="00FD38B0" w:rsidRDefault="00BD3549" w:rsidP="0046379C">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tcPr>
          <w:p w14:paraId="7E3F066E" w14:textId="402B2567" w:rsidR="0046379C" w:rsidRPr="001611DC" w:rsidRDefault="0046379C" w:rsidP="0046379C">
            <w:pPr>
              <w:pStyle w:val="TableText0"/>
              <w:keepNext w:val="0"/>
              <w:jc w:val="center"/>
            </w:pPr>
            <w:r w:rsidRPr="001611DC">
              <w:t>26,450</w:t>
            </w:r>
          </w:p>
        </w:tc>
        <w:tc>
          <w:tcPr>
            <w:tcW w:w="472" w:type="pct"/>
            <w:shd w:val="clear" w:color="auto" w:fill="auto"/>
          </w:tcPr>
          <w:p w14:paraId="52E6B3C1" w14:textId="17A75576" w:rsidR="0046379C" w:rsidRPr="00FD38B0" w:rsidRDefault="00BD3549" w:rsidP="0046379C">
            <w:pPr>
              <w:pStyle w:val="TableText0"/>
              <w:keepNext w:val="0"/>
              <w:jc w:val="center"/>
              <w:rPr>
                <w:highlight w:val="lightGray"/>
              </w:rPr>
            </w:pPr>
            <w:r w:rsidRPr="00BD3549">
              <w:rPr>
                <w:color w:val="000000"/>
                <w:spacing w:val="94"/>
                <w:shd w:val="solid" w:color="000000" w:fill="000000"/>
                <w:fitText w:val="180" w:id="-893676795"/>
                <w14:textFill>
                  <w14:solidFill>
                    <w14:srgbClr w14:val="000000">
                      <w14:alpha w14:val="100000"/>
                    </w14:srgbClr>
                  </w14:solidFill>
                </w14:textFill>
              </w:rPr>
              <w:t>|</w:t>
            </w:r>
            <w:r w:rsidRPr="00BD3549">
              <w:rPr>
                <w:color w:val="000000"/>
                <w:spacing w:val="1"/>
                <w:shd w:val="solid" w:color="000000" w:fill="000000"/>
                <w:fitText w:val="180" w:id="-893676795"/>
                <w14:textFill>
                  <w14:solidFill>
                    <w14:srgbClr w14:val="000000">
                      <w14:alpha w14:val="100000"/>
                    </w14:srgbClr>
                  </w14:solidFill>
                </w14:textFill>
              </w:rPr>
              <w:t>|</w:t>
            </w:r>
            <w:r w:rsidR="003E55BC" w:rsidRPr="00484198">
              <w:rPr>
                <w:vertAlign w:val="superscript"/>
              </w:rPr>
              <w:t>6</w:t>
            </w:r>
          </w:p>
        </w:tc>
        <w:tc>
          <w:tcPr>
            <w:tcW w:w="473" w:type="pct"/>
            <w:shd w:val="clear" w:color="auto" w:fill="auto"/>
          </w:tcPr>
          <w:p w14:paraId="778ACE73" w14:textId="74D50C80" w:rsidR="0046379C" w:rsidRPr="001611DC" w:rsidRDefault="00BD3549" w:rsidP="0046379C">
            <w:pPr>
              <w:pStyle w:val="TableText0"/>
              <w:keepNext w:val="0"/>
              <w:jc w:val="center"/>
            </w:pPr>
            <w:r w:rsidRPr="00BD3549">
              <w:rPr>
                <w:color w:val="000000"/>
                <w:spacing w:val="48"/>
                <w:shd w:val="solid" w:color="000000" w:fill="000000"/>
                <w:fitText w:val="225" w:id="-893676794"/>
                <w14:textFill>
                  <w14:solidFill>
                    <w14:srgbClr w14:val="000000">
                      <w14:alpha w14:val="100000"/>
                    </w14:srgbClr>
                  </w14:solidFill>
                </w14:textFill>
              </w:rPr>
              <w:t>||</w:t>
            </w:r>
            <w:r w:rsidRPr="00BD3549">
              <w:rPr>
                <w:color w:val="000000"/>
                <w:spacing w:val="2"/>
                <w:shd w:val="solid" w:color="000000" w:fill="000000"/>
                <w:fitText w:val="225" w:id="-893676794"/>
                <w14:textFill>
                  <w14:solidFill>
                    <w14:srgbClr w14:val="000000">
                      <w14:alpha w14:val="100000"/>
                    </w14:srgbClr>
                  </w14:solidFill>
                </w14:textFill>
              </w:rPr>
              <w:t>|</w:t>
            </w:r>
            <w:r w:rsidR="0046379C" w:rsidRPr="001611DC">
              <w:t>%</w:t>
            </w:r>
          </w:p>
        </w:tc>
        <w:tc>
          <w:tcPr>
            <w:tcW w:w="683" w:type="pct"/>
            <w:tcBorders>
              <w:bottom w:val="single" w:sz="4" w:space="0" w:color="auto"/>
            </w:tcBorders>
            <w:shd w:val="solid" w:color="000000" w:fill="000000"/>
          </w:tcPr>
          <w:p w14:paraId="231EFBBA" w14:textId="16A5644C" w:rsidR="0046379C" w:rsidRPr="00FD38B0" w:rsidRDefault="00BD3549" w:rsidP="0046379C">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tcPr>
          <w:p w14:paraId="76ABE269" w14:textId="7529B74E" w:rsidR="0046379C" w:rsidRPr="001611DC" w:rsidRDefault="0046379C" w:rsidP="0046379C">
            <w:pPr>
              <w:pStyle w:val="TableText0"/>
              <w:keepNext w:val="0"/>
              <w:jc w:val="center"/>
            </w:pPr>
            <w:r w:rsidRPr="001611DC">
              <w:t xml:space="preserve"> 15,758 </w:t>
            </w:r>
          </w:p>
        </w:tc>
        <w:tc>
          <w:tcPr>
            <w:tcW w:w="509" w:type="pct"/>
            <w:shd w:val="clear" w:color="auto" w:fill="auto"/>
          </w:tcPr>
          <w:p w14:paraId="3B19E02A" w14:textId="3D12ABC6" w:rsidR="0046379C" w:rsidRPr="00FD38B0" w:rsidRDefault="00BD3549" w:rsidP="0046379C">
            <w:pPr>
              <w:pStyle w:val="TableText0"/>
              <w:keepNext w:val="0"/>
              <w:jc w:val="center"/>
              <w:rPr>
                <w:highlight w:val="lightGray"/>
              </w:rPr>
            </w:pPr>
            <w:r w:rsidRPr="00BD3549">
              <w:rPr>
                <w:rFonts w:hint="eastAsia"/>
                <w:color w:val="000000"/>
                <w:w w:val="33"/>
                <w:shd w:val="solid" w:color="000000" w:fill="000000"/>
                <w:fitText w:val="150" w:id="-893676793"/>
                <w14:textFill>
                  <w14:solidFill>
                    <w14:srgbClr w14:val="000000">
                      <w14:alpha w14:val="100000"/>
                    </w14:srgbClr>
                  </w14:solidFill>
                </w14:textFill>
              </w:rPr>
              <w:t xml:space="preserve">　</w:t>
            </w:r>
            <w:r w:rsidRPr="00BD3549">
              <w:rPr>
                <w:color w:val="000000"/>
                <w:w w:val="33"/>
                <w:shd w:val="solid" w:color="000000" w:fill="000000"/>
                <w:fitText w:val="150" w:id="-893676793"/>
                <w14:textFill>
                  <w14:solidFill>
                    <w14:srgbClr w14:val="000000">
                      <w14:alpha w14:val="100000"/>
                    </w14:srgbClr>
                  </w14:solidFill>
                </w14:textFill>
              </w:rPr>
              <w:t>|</w:t>
            </w:r>
            <w:r w:rsidRPr="00BD3549">
              <w:rPr>
                <w:rFonts w:hint="eastAsia"/>
                <w:color w:val="000000"/>
                <w:spacing w:val="4"/>
                <w:w w:val="33"/>
                <w:shd w:val="solid" w:color="000000" w:fill="000000"/>
                <w:fitText w:val="150" w:id="-893676793"/>
                <w14:textFill>
                  <w14:solidFill>
                    <w14:srgbClr w14:val="000000">
                      <w14:alpha w14:val="100000"/>
                    </w14:srgbClr>
                  </w14:solidFill>
                </w14:textFill>
              </w:rPr>
              <w:t xml:space="preserve">　</w:t>
            </w:r>
            <w:r w:rsidR="00606F86" w:rsidRPr="00603E33">
              <w:rPr>
                <w:vertAlign w:val="superscript"/>
              </w:rPr>
              <w:t>2</w:t>
            </w:r>
          </w:p>
        </w:tc>
        <w:tc>
          <w:tcPr>
            <w:tcW w:w="392" w:type="pct"/>
            <w:shd w:val="clear" w:color="auto" w:fill="auto"/>
          </w:tcPr>
          <w:p w14:paraId="6AB97536" w14:textId="45EFF0CA" w:rsidR="0046379C" w:rsidRPr="001611DC" w:rsidRDefault="00BD3549" w:rsidP="0046379C">
            <w:pPr>
              <w:pStyle w:val="TableText0"/>
              <w:keepNext w:val="0"/>
              <w:jc w:val="center"/>
            </w:pPr>
            <w:r w:rsidRPr="00BD3549">
              <w:rPr>
                <w:rFonts w:cs="Calibri"/>
                <w:color w:val="000000"/>
                <w:spacing w:val="199"/>
                <w:szCs w:val="20"/>
                <w:shd w:val="solid" w:color="000000" w:fill="000000"/>
                <w:fitText w:val="285" w:id="-893676792"/>
                <w14:textFill>
                  <w14:solidFill>
                    <w14:srgbClr w14:val="000000">
                      <w14:alpha w14:val="100000"/>
                    </w14:srgbClr>
                  </w14:solidFill>
                </w14:textFill>
              </w:rPr>
              <w:t>|</w:t>
            </w:r>
            <w:r w:rsidRPr="00BD3549">
              <w:rPr>
                <w:rFonts w:cs="Calibri"/>
                <w:color w:val="000000"/>
                <w:spacing w:val="1"/>
                <w:szCs w:val="20"/>
                <w:shd w:val="solid" w:color="000000" w:fill="000000"/>
                <w:fitText w:val="285" w:id="-893676792"/>
                <w14:textFill>
                  <w14:solidFill>
                    <w14:srgbClr w14:val="000000">
                      <w14:alpha w14:val="100000"/>
                    </w14:srgbClr>
                  </w14:solidFill>
                </w14:textFill>
              </w:rPr>
              <w:t>|</w:t>
            </w:r>
            <w:r w:rsidR="0046379C" w:rsidRPr="001611DC">
              <w:rPr>
                <w:rFonts w:cs="Calibri"/>
                <w:color w:val="000000"/>
                <w:szCs w:val="20"/>
              </w:rPr>
              <w:t>%</w:t>
            </w:r>
          </w:p>
        </w:tc>
      </w:tr>
      <w:tr w:rsidR="0046379C" w:rsidRPr="001611DC" w14:paraId="45486D14" w14:textId="77777777" w:rsidTr="00BD3549">
        <w:trPr>
          <w:trHeight w:val="20"/>
        </w:trPr>
        <w:tc>
          <w:tcPr>
            <w:tcW w:w="940" w:type="pct"/>
            <w:shd w:val="clear" w:color="auto" w:fill="auto"/>
            <w:vAlign w:val="center"/>
          </w:tcPr>
          <w:p w14:paraId="726BD649" w14:textId="75C437C5" w:rsidR="0046379C" w:rsidRPr="001611DC" w:rsidRDefault="0046379C" w:rsidP="0046379C">
            <w:pPr>
              <w:pStyle w:val="TableText0"/>
              <w:keepNext w:val="0"/>
            </w:pPr>
            <w:r w:rsidRPr="001611DC">
              <w:t xml:space="preserve">(B) Revised MSA, as described in (A) and assuming VE over 2 years using VE analysis 4, and unadjusted hospitalisation cost based on ESC Advice </w:t>
            </w:r>
            <w:r w:rsidRPr="00D33145">
              <w:t>($</w:t>
            </w:r>
            <w:r w:rsidR="00BD3549" w:rsidRPr="00BD3549">
              <w:rPr>
                <w:color w:val="000000"/>
                <w:spacing w:val="53"/>
                <w:shd w:val="solid" w:color="000000" w:fill="000000"/>
                <w:fitText w:val="330" w:id="-893676791"/>
                <w14:textFill>
                  <w14:solidFill>
                    <w14:srgbClr w14:val="000000">
                      <w14:alpha w14:val="100000"/>
                    </w14:srgbClr>
                  </w14:solidFill>
                </w14:textFill>
              </w:rPr>
              <w:t>|||</w:t>
            </w:r>
            <w:r w:rsidR="00BD3549" w:rsidRPr="00BD3549">
              <w:rPr>
                <w:color w:val="000000"/>
                <w:spacing w:val="1"/>
                <w:shd w:val="solid" w:color="000000" w:fill="000000"/>
                <w:fitText w:val="330" w:id="-893676791"/>
                <w14:textFill>
                  <w14:solidFill>
                    <w14:srgbClr w14:val="000000">
                      <w14:alpha w14:val="100000"/>
                    </w14:srgbClr>
                  </w14:solidFill>
                </w14:textFill>
              </w:rPr>
              <w:t>|</w:t>
            </w:r>
            <w:r w:rsidRPr="00D33145">
              <w:t>)</w:t>
            </w:r>
          </w:p>
        </w:tc>
        <w:tc>
          <w:tcPr>
            <w:tcW w:w="708" w:type="pct"/>
            <w:shd w:val="solid" w:color="000000" w:fill="000000"/>
          </w:tcPr>
          <w:p w14:paraId="2E08B671" w14:textId="2AEE5772" w:rsidR="0046379C" w:rsidRPr="00FD38B0" w:rsidRDefault="00BD3549" w:rsidP="0046379C">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393" w:type="pct"/>
            <w:shd w:val="clear" w:color="auto" w:fill="auto"/>
          </w:tcPr>
          <w:p w14:paraId="1F4BD3B6" w14:textId="5AE63AB4" w:rsidR="0046379C" w:rsidRPr="001611DC" w:rsidRDefault="0046379C" w:rsidP="0046379C">
            <w:pPr>
              <w:pStyle w:val="TableText0"/>
              <w:keepNext w:val="0"/>
              <w:jc w:val="center"/>
            </w:pPr>
            <w:r w:rsidRPr="001611DC">
              <w:t>22,078</w:t>
            </w:r>
          </w:p>
        </w:tc>
        <w:tc>
          <w:tcPr>
            <w:tcW w:w="472" w:type="pct"/>
            <w:shd w:val="clear" w:color="auto" w:fill="auto"/>
          </w:tcPr>
          <w:p w14:paraId="3B05AB9C" w14:textId="7976BDEC" w:rsidR="0046379C" w:rsidRPr="00FD38B0" w:rsidRDefault="00BD3549" w:rsidP="0046379C">
            <w:pPr>
              <w:pStyle w:val="TableText0"/>
              <w:keepNext w:val="0"/>
              <w:jc w:val="center"/>
              <w:rPr>
                <w:highlight w:val="lightGray"/>
              </w:rPr>
            </w:pPr>
            <w:r w:rsidRPr="00BD3549">
              <w:rPr>
                <w:color w:val="000000"/>
                <w:spacing w:val="94"/>
                <w:shd w:val="solid" w:color="000000" w:fill="000000"/>
                <w:fitText w:val="180" w:id="-893676790"/>
                <w14:textFill>
                  <w14:solidFill>
                    <w14:srgbClr w14:val="000000">
                      <w14:alpha w14:val="100000"/>
                    </w14:srgbClr>
                  </w14:solidFill>
                </w14:textFill>
              </w:rPr>
              <w:t>|</w:t>
            </w:r>
            <w:r w:rsidRPr="00BD3549">
              <w:rPr>
                <w:color w:val="000000"/>
                <w:spacing w:val="1"/>
                <w:shd w:val="solid" w:color="000000" w:fill="000000"/>
                <w:fitText w:val="180" w:id="-893676790"/>
                <w14:textFill>
                  <w14:solidFill>
                    <w14:srgbClr w14:val="000000">
                      <w14:alpha w14:val="100000"/>
                    </w14:srgbClr>
                  </w14:solidFill>
                </w14:textFill>
              </w:rPr>
              <w:t>|</w:t>
            </w:r>
            <w:r w:rsidR="006A7308" w:rsidRPr="006A7308">
              <w:rPr>
                <w:vertAlign w:val="superscript"/>
              </w:rPr>
              <w:t>7</w:t>
            </w:r>
          </w:p>
        </w:tc>
        <w:tc>
          <w:tcPr>
            <w:tcW w:w="473" w:type="pct"/>
            <w:shd w:val="clear" w:color="auto" w:fill="auto"/>
          </w:tcPr>
          <w:p w14:paraId="639545E1" w14:textId="0069B3A1" w:rsidR="0046379C" w:rsidRPr="001611DC" w:rsidRDefault="00BD3549" w:rsidP="0046379C">
            <w:pPr>
              <w:pStyle w:val="TableText0"/>
              <w:keepNext w:val="0"/>
              <w:jc w:val="center"/>
              <w:rPr>
                <w:rFonts w:cs="Calibri"/>
                <w:color w:val="000000"/>
                <w:szCs w:val="20"/>
              </w:rPr>
            </w:pPr>
            <w:r w:rsidRPr="00BD3549">
              <w:rPr>
                <w:color w:val="000000"/>
                <w:spacing w:val="48"/>
                <w:shd w:val="solid" w:color="000000" w:fill="000000"/>
                <w:fitText w:val="225" w:id="-893676789"/>
                <w14:textFill>
                  <w14:solidFill>
                    <w14:srgbClr w14:val="000000">
                      <w14:alpha w14:val="100000"/>
                    </w14:srgbClr>
                  </w14:solidFill>
                </w14:textFill>
              </w:rPr>
              <w:t>||</w:t>
            </w:r>
            <w:r w:rsidRPr="00BD3549">
              <w:rPr>
                <w:color w:val="000000"/>
                <w:spacing w:val="2"/>
                <w:shd w:val="solid" w:color="000000" w:fill="000000"/>
                <w:fitText w:val="225" w:id="-893676789"/>
                <w14:textFill>
                  <w14:solidFill>
                    <w14:srgbClr w14:val="000000">
                      <w14:alpha w14:val="100000"/>
                    </w14:srgbClr>
                  </w14:solidFill>
                </w14:textFill>
              </w:rPr>
              <w:t>|</w:t>
            </w:r>
            <w:r w:rsidR="0046379C" w:rsidRPr="001611DC">
              <w:t>%</w:t>
            </w:r>
          </w:p>
        </w:tc>
        <w:tc>
          <w:tcPr>
            <w:tcW w:w="683" w:type="pct"/>
            <w:shd w:val="solid" w:color="000000" w:fill="000000"/>
          </w:tcPr>
          <w:p w14:paraId="70A6AA24" w14:textId="7ED8FEEB" w:rsidR="0046379C" w:rsidRPr="00FD38B0" w:rsidRDefault="00BD3549" w:rsidP="0046379C">
            <w:pPr>
              <w:pStyle w:val="TableText0"/>
              <w:keepNext w:val="0"/>
              <w:jc w:val="center"/>
              <w:rPr>
                <w:highlight w:val="lightGray"/>
              </w:rPr>
            </w:pPr>
            <w:r w:rsidRPr="00BD3549">
              <w:rPr>
                <w:color w:val="000000"/>
                <w14:textFill>
                  <w14:solidFill>
                    <w14:srgbClr w14:val="000000">
                      <w14:alpha w14:val="100000"/>
                    </w14:srgbClr>
                  </w14:solidFill>
                </w14:textFill>
              </w:rPr>
              <w:t>|</w:t>
            </w:r>
          </w:p>
        </w:tc>
        <w:tc>
          <w:tcPr>
            <w:tcW w:w="430" w:type="pct"/>
            <w:shd w:val="clear" w:color="auto" w:fill="auto"/>
          </w:tcPr>
          <w:p w14:paraId="44DA2C60" w14:textId="3915EA20" w:rsidR="0046379C" w:rsidRPr="001611DC" w:rsidRDefault="0046379C" w:rsidP="0046379C">
            <w:pPr>
              <w:pStyle w:val="TableText0"/>
              <w:keepNext w:val="0"/>
              <w:jc w:val="center"/>
            </w:pPr>
            <w:r w:rsidRPr="001611DC">
              <w:t xml:space="preserve"> 13,143 </w:t>
            </w:r>
          </w:p>
        </w:tc>
        <w:tc>
          <w:tcPr>
            <w:tcW w:w="509" w:type="pct"/>
            <w:shd w:val="clear" w:color="auto" w:fill="auto"/>
          </w:tcPr>
          <w:p w14:paraId="00E53E1D" w14:textId="7B3AEFBC" w:rsidR="0046379C" w:rsidRPr="00FD38B0" w:rsidRDefault="00BD3549" w:rsidP="0046379C">
            <w:pPr>
              <w:pStyle w:val="TableText0"/>
              <w:keepNext w:val="0"/>
              <w:jc w:val="center"/>
              <w:rPr>
                <w:highlight w:val="lightGray"/>
              </w:rPr>
            </w:pPr>
            <w:r w:rsidRPr="00BD3549">
              <w:rPr>
                <w:rFonts w:hint="eastAsia"/>
                <w:color w:val="000000"/>
                <w:w w:val="33"/>
                <w:shd w:val="solid" w:color="000000" w:fill="000000"/>
                <w:fitText w:val="150" w:id="-893676788"/>
                <w14:textFill>
                  <w14:solidFill>
                    <w14:srgbClr w14:val="000000">
                      <w14:alpha w14:val="100000"/>
                    </w14:srgbClr>
                  </w14:solidFill>
                </w14:textFill>
              </w:rPr>
              <w:t xml:space="preserve">　</w:t>
            </w:r>
            <w:r w:rsidRPr="00BD3549">
              <w:rPr>
                <w:color w:val="000000"/>
                <w:w w:val="33"/>
                <w:shd w:val="solid" w:color="000000" w:fill="000000"/>
                <w:fitText w:val="150" w:id="-893676788"/>
                <w14:textFill>
                  <w14:solidFill>
                    <w14:srgbClr w14:val="000000">
                      <w14:alpha w14:val="100000"/>
                    </w14:srgbClr>
                  </w14:solidFill>
                </w14:textFill>
              </w:rPr>
              <w:t>|</w:t>
            </w:r>
            <w:r w:rsidRPr="00BD3549">
              <w:rPr>
                <w:rFonts w:hint="eastAsia"/>
                <w:color w:val="000000"/>
                <w:spacing w:val="4"/>
                <w:w w:val="33"/>
                <w:shd w:val="solid" w:color="000000" w:fill="000000"/>
                <w:fitText w:val="150" w:id="-893676788"/>
                <w14:textFill>
                  <w14:solidFill>
                    <w14:srgbClr w14:val="000000">
                      <w14:alpha w14:val="100000"/>
                    </w14:srgbClr>
                  </w14:solidFill>
                </w14:textFill>
              </w:rPr>
              <w:t xml:space="preserve">　</w:t>
            </w:r>
            <w:r w:rsidR="00603E33" w:rsidRPr="00603E33">
              <w:rPr>
                <w:vertAlign w:val="superscript"/>
              </w:rPr>
              <w:t>1</w:t>
            </w:r>
          </w:p>
        </w:tc>
        <w:tc>
          <w:tcPr>
            <w:tcW w:w="392" w:type="pct"/>
            <w:shd w:val="clear" w:color="auto" w:fill="auto"/>
          </w:tcPr>
          <w:p w14:paraId="758C8CD7" w14:textId="59242825" w:rsidR="0046379C" w:rsidRPr="001611DC" w:rsidRDefault="00BD3549" w:rsidP="0046379C">
            <w:pPr>
              <w:pStyle w:val="TableText0"/>
              <w:keepNext w:val="0"/>
              <w:jc w:val="center"/>
              <w:rPr>
                <w:rFonts w:cs="Calibri"/>
                <w:color w:val="000000"/>
                <w:szCs w:val="20"/>
              </w:rPr>
            </w:pPr>
            <w:r w:rsidRPr="00BD3549">
              <w:rPr>
                <w:color w:val="000000"/>
                <w:spacing w:val="199"/>
                <w:shd w:val="solid" w:color="000000" w:fill="000000"/>
                <w:fitText w:val="285" w:id="-893676787"/>
                <w14:textFill>
                  <w14:solidFill>
                    <w14:srgbClr w14:val="000000">
                      <w14:alpha w14:val="100000"/>
                    </w14:srgbClr>
                  </w14:solidFill>
                </w14:textFill>
              </w:rPr>
              <w:t>|</w:t>
            </w:r>
            <w:r w:rsidRPr="00BD3549">
              <w:rPr>
                <w:color w:val="000000"/>
                <w:spacing w:val="1"/>
                <w:shd w:val="solid" w:color="000000" w:fill="000000"/>
                <w:fitText w:val="285" w:id="-893676787"/>
                <w14:textFill>
                  <w14:solidFill>
                    <w14:srgbClr w14:val="000000">
                      <w14:alpha w14:val="100000"/>
                    </w14:srgbClr>
                  </w14:solidFill>
                </w14:textFill>
              </w:rPr>
              <w:t>|</w:t>
            </w:r>
            <w:r w:rsidR="0046379C" w:rsidRPr="001611DC">
              <w:t>%</w:t>
            </w:r>
          </w:p>
        </w:tc>
      </w:tr>
    </w:tbl>
    <w:p w14:paraId="2EA78CC7" w14:textId="0009A913" w:rsidR="002E6F4F" w:rsidRPr="001611DC" w:rsidRDefault="002E6F4F" w:rsidP="002E6F4F">
      <w:pPr>
        <w:pStyle w:val="FooterTableFigure"/>
        <w:rPr>
          <w:iCs/>
        </w:rPr>
      </w:pPr>
      <w:r w:rsidRPr="001611DC">
        <w:t xml:space="preserve">Source: Table 3-69 of the submission; Attachment ‘RSV OA static model_v16_PBAC_FINAL’ of the submission. </w:t>
      </w:r>
    </w:p>
    <w:p w14:paraId="6CD084D5" w14:textId="77777777" w:rsidR="002E6F4F" w:rsidRPr="001611DC" w:rsidRDefault="002E6F4F" w:rsidP="002E6F4F">
      <w:pPr>
        <w:pStyle w:val="FooterTableFigure"/>
      </w:pPr>
      <w:r w:rsidRPr="001611DC">
        <w:lastRenderedPageBreak/>
        <w:t xml:space="preserve">CI = confidence interval; ICER = incremental cost-effectiveness ratio; </w:t>
      </w:r>
      <w:r w:rsidRPr="001611DC">
        <w:rPr>
          <w:rFonts w:eastAsiaTheme="majorEastAsia"/>
        </w:rPr>
        <w:t xml:space="preserve">ICU = intensive care unit; LOS = length of stay; </w:t>
      </w:r>
      <w:r w:rsidRPr="001611DC">
        <w:t xml:space="preserve">LRTD = lower respiratory tract disease; </w:t>
      </w:r>
      <w:r w:rsidRPr="001611DC">
        <w:rPr>
          <w:rFonts w:eastAsiaTheme="majorEastAsia"/>
        </w:rPr>
        <w:t>NHCDC =</w:t>
      </w:r>
      <w:r w:rsidRPr="001611DC">
        <w:t xml:space="preserve"> </w:t>
      </w:r>
      <w:r w:rsidRPr="001611DC">
        <w:rPr>
          <w:rFonts w:eastAsiaTheme="majorEastAsia"/>
        </w:rPr>
        <w:t>National Hospital Cost Data Collection;</w:t>
      </w:r>
      <w:r w:rsidRPr="001611DC">
        <w:t xml:space="preserve"> RSV= respiratory syncytial virus; QALY = quality-adjusted life years; YOA = years of age.</w:t>
      </w:r>
    </w:p>
    <w:p w14:paraId="1684D7B7" w14:textId="77777777" w:rsidR="002E6F4F" w:rsidRPr="001611DC" w:rsidRDefault="002E6F4F" w:rsidP="002E6F4F">
      <w:pPr>
        <w:pStyle w:val="FooterTableFigure"/>
      </w:pPr>
      <w:r w:rsidRPr="001611DC">
        <w:rPr>
          <w:vertAlign w:val="superscript"/>
        </w:rPr>
        <w:t>a</w:t>
      </w:r>
      <w:r w:rsidRPr="001611DC">
        <w:t xml:space="preserve"> See Table 3.6.8 of the Commentary for CI values.</w:t>
      </w:r>
    </w:p>
    <w:p w14:paraId="01545689" w14:textId="77777777" w:rsidR="002E6F4F" w:rsidRPr="001611DC" w:rsidRDefault="002E6F4F" w:rsidP="002E6F4F">
      <w:pPr>
        <w:pStyle w:val="FooterTableFigure"/>
        <w:rPr>
          <w:rFonts w:eastAsiaTheme="majorEastAsia"/>
        </w:rPr>
      </w:pPr>
      <w:r w:rsidRPr="001611DC">
        <w:rPr>
          <w:rFonts w:eastAsiaTheme="majorEastAsia"/>
          <w:vertAlign w:val="superscript"/>
        </w:rPr>
        <w:t xml:space="preserve">b </w:t>
      </w:r>
      <w:r w:rsidRPr="001611DC">
        <w:rPr>
          <w:rFonts w:eastAsiaTheme="majorEastAsia"/>
        </w:rPr>
        <w:t>Replaced cells Y8:12 with 32, 162 (mean of 63, 98, 155, and 330), 81 (mean of 63 and 98), 243 (mean of 155 and 330), and 330 respectively of the tab ‘RSV Hospital Burden’.</w:t>
      </w:r>
    </w:p>
    <w:p w14:paraId="1B886B16" w14:textId="77777777" w:rsidR="002E6F4F" w:rsidRPr="001611DC" w:rsidRDefault="002E6F4F" w:rsidP="002E6F4F">
      <w:pPr>
        <w:pStyle w:val="FooterTableFigure"/>
      </w:pPr>
      <w:r w:rsidRPr="001611DC">
        <w:rPr>
          <w:vertAlign w:val="superscript"/>
        </w:rPr>
        <w:t xml:space="preserve">c </w:t>
      </w:r>
      <w:r w:rsidRPr="001611DC">
        <w:t>Sourced from tab ‘UDSA’, cells AA77:AD111, attachment ‘RSV OA static model_v16_PBAC_FINAL’ of the submission.</w:t>
      </w:r>
    </w:p>
    <w:p w14:paraId="5B80F000" w14:textId="77777777" w:rsidR="002E6F4F" w:rsidRPr="001611DC" w:rsidRDefault="002E6F4F" w:rsidP="002E6F4F">
      <w:pPr>
        <w:pStyle w:val="FooterTableFigure"/>
        <w:rPr>
          <w:iCs/>
        </w:rPr>
      </w:pPr>
      <w:r w:rsidRPr="001611DC">
        <w:rPr>
          <w:iCs/>
          <w:vertAlign w:val="superscript"/>
        </w:rPr>
        <w:t>d</w:t>
      </w:r>
      <w:r w:rsidRPr="001611DC">
        <w:rPr>
          <w:iCs/>
        </w:rPr>
        <w:t xml:space="preserve"> Replaced cells I284 with 1.720 of the ‘Sensitivity’ tab.</w:t>
      </w:r>
    </w:p>
    <w:p w14:paraId="7C842080" w14:textId="77777777" w:rsidR="002E6F4F" w:rsidRPr="001611DC" w:rsidRDefault="002E6F4F" w:rsidP="002E6F4F">
      <w:pPr>
        <w:pStyle w:val="FooterTableFigure"/>
        <w:rPr>
          <w:rFonts w:eastAsiaTheme="majorEastAsia"/>
        </w:rPr>
      </w:pPr>
      <w:r w:rsidRPr="001611DC">
        <w:rPr>
          <w:vertAlign w:val="superscript"/>
        </w:rPr>
        <w:t>e</w:t>
      </w:r>
      <w:r w:rsidRPr="001611DC">
        <w:t xml:space="preserve"> </w:t>
      </w:r>
      <w:r w:rsidRPr="001611DC">
        <w:rPr>
          <w:rFonts w:eastAsiaTheme="majorEastAsia"/>
        </w:rPr>
        <w:t xml:space="preserve">Deleted cells D58:NF1125 of tabs ‘Age group 1’, ‘Age group 2’, ‘Age group 3’, ‘Age group 4’, ‘Age group 5’, ‘Age group 6’ and ‘Age group 7’. </w:t>
      </w:r>
    </w:p>
    <w:p w14:paraId="73DFD79E" w14:textId="29C0331B" w:rsidR="002E6F4F" w:rsidRPr="001611DC" w:rsidRDefault="002E6F4F" w:rsidP="002E6F4F">
      <w:pPr>
        <w:pStyle w:val="FooterTableFigure"/>
        <w:rPr>
          <w:rFonts w:eastAsiaTheme="majorEastAsia"/>
        </w:rPr>
      </w:pPr>
      <w:r w:rsidRPr="001611DC">
        <w:rPr>
          <w:rFonts w:eastAsiaTheme="majorEastAsia"/>
          <w:vertAlign w:val="superscript"/>
        </w:rPr>
        <w:t xml:space="preserve">f </w:t>
      </w:r>
      <w:r w:rsidRPr="001611DC">
        <w:rPr>
          <w:rFonts w:eastAsiaTheme="majorEastAsia"/>
        </w:rPr>
        <w:t xml:space="preserve">Replaced cells L140:146 for </w:t>
      </w:r>
      <w:r w:rsidRPr="007522AA">
        <w:rPr>
          <w:rFonts w:eastAsiaTheme="majorEastAsia"/>
        </w:rPr>
        <w:t>$</w:t>
      </w:r>
      <w:r w:rsidR="00BD3549" w:rsidRPr="001F4410">
        <w:rPr>
          <w:rFonts w:eastAsiaTheme="majorEastAsia"/>
          <w:color w:val="000000"/>
          <w:spacing w:val="40"/>
          <w:shd w:val="solid" w:color="000000" w:fill="000000"/>
          <w:fitText w:val="280" w:id="-893676786"/>
          <w14:textFill>
            <w14:solidFill>
              <w14:srgbClr w14:val="000000">
                <w14:alpha w14:val="100000"/>
              </w14:srgbClr>
            </w14:solidFill>
          </w14:textFill>
        </w:rPr>
        <w:t xml:space="preserve">|  </w:t>
      </w:r>
      <w:r w:rsidR="00BD3549" w:rsidRPr="001F4410">
        <w:rPr>
          <w:rFonts w:eastAsiaTheme="majorEastAsia"/>
          <w:color w:val="000000"/>
          <w:spacing w:val="2"/>
          <w:shd w:val="solid" w:color="000000" w:fill="000000"/>
          <w:fitText w:val="280" w:id="-893676786"/>
          <w14:textFill>
            <w14:solidFill>
              <w14:srgbClr w14:val="000000">
                <w14:alpha w14:val="100000"/>
              </w14:srgbClr>
            </w14:solidFill>
          </w14:textFill>
        </w:rPr>
        <w:t>|</w:t>
      </w:r>
      <w:r w:rsidRPr="007522AA">
        <w:rPr>
          <w:rFonts w:eastAsiaTheme="majorEastAsia"/>
        </w:rPr>
        <w:t xml:space="preserve"> (</w:t>
      </w:r>
      <w:r w:rsidR="00BD3549" w:rsidRPr="001F4410">
        <w:rPr>
          <w:rFonts w:eastAsiaTheme="majorEastAsia"/>
          <w:color w:val="000000"/>
          <w:spacing w:val="40"/>
          <w:shd w:val="solid" w:color="000000" w:fill="000000"/>
          <w:fitText w:val="280" w:id="-893676785"/>
          <w14:textFill>
            <w14:solidFill>
              <w14:srgbClr w14:val="000000">
                <w14:alpha w14:val="100000"/>
              </w14:srgbClr>
            </w14:solidFill>
          </w14:textFill>
        </w:rPr>
        <w:t xml:space="preserve">|  </w:t>
      </w:r>
      <w:r w:rsidR="00BD3549" w:rsidRPr="001F4410">
        <w:rPr>
          <w:rFonts w:eastAsiaTheme="majorEastAsia"/>
          <w:color w:val="000000"/>
          <w:spacing w:val="2"/>
          <w:shd w:val="solid" w:color="000000" w:fill="000000"/>
          <w:fitText w:val="280" w:id="-893676785"/>
          <w14:textFill>
            <w14:solidFill>
              <w14:srgbClr w14:val="000000">
                <w14:alpha w14:val="100000"/>
              </w14:srgbClr>
            </w14:solidFill>
          </w14:textFill>
        </w:rPr>
        <w:t>|</w:t>
      </w:r>
      <w:r w:rsidRPr="007522AA">
        <w:rPr>
          <w:rFonts w:eastAsiaTheme="majorEastAsia"/>
        </w:rPr>
        <w:t>*</w:t>
      </w:r>
      <w:r w:rsidR="00BD3549" w:rsidRPr="001F4410">
        <w:rPr>
          <w:rFonts w:eastAsiaTheme="majorEastAsia"/>
          <w:color w:val="000000"/>
          <w:spacing w:val="35"/>
          <w:shd w:val="solid" w:color="000000" w:fill="000000"/>
          <w:fitText w:val="265" w:id="-893676784"/>
          <w14:textFill>
            <w14:solidFill>
              <w14:srgbClr w14:val="000000">
                <w14:alpha w14:val="100000"/>
              </w14:srgbClr>
            </w14:solidFill>
          </w14:textFill>
        </w:rPr>
        <w:t xml:space="preserve">|  </w:t>
      </w:r>
      <w:r w:rsidR="00BD3549" w:rsidRPr="001F4410">
        <w:rPr>
          <w:rFonts w:eastAsiaTheme="majorEastAsia"/>
          <w:color w:val="000000"/>
          <w:spacing w:val="2"/>
          <w:shd w:val="solid" w:color="000000" w:fill="000000"/>
          <w:fitText w:val="265" w:id="-893676784"/>
          <w14:textFill>
            <w14:solidFill>
              <w14:srgbClr w14:val="000000">
                <w14:alpha w14:val="100000"/>
              </w14:srgbClr>
            </w14:solidFill>
          </w14:textFill>
        </w:rPr>
        <w:t>|</w:t>
      </w:r>
      <w:r w:rsidRPr="001611DC">
        <w:rPr>
          <w:rFonts w:eastAsiaTheme="majorEastAsia"/>
        </w:rPr>
        <w:t>, i.e., NEP * separation weighted cost weight from the NHCDC 2019-20).</w:t>
      </w:r>
    </w:p>
    <w:p w14:paraId="6D5FB1D2" w14:textId="746EE09D" w:rsidR="002E6F4F" w:rsidRPr="001611DC" w:rsidRDefault="002E6F4F" w:rsidP="002E6F4F">
      <w:pPr>
        <w:pStyle w:val="FooterTableFigure"/>
        <w:rPr>
          <w:rFonts w:eastAsiaTheme="majorEastAsia"/>
        </w:rPr>
      </w:pPr>
      <w:r w:rsidRPr="001611DC">
        <w:rPr>
          <w:rFonts w:eastAsiaTheme="majorEastAsia"/>
          <w:vertAlign w:val="superscript"/>
        </w:rPr>
        <w:t>g</w:t>
      </w:r>
      <w:r w:rsidRPr="001611DC">
        <w:rPr>
          <w:rFonts w:eastAsiaTheme="majorEastAsia"/>
        </w:rPr>
        <w:t xml:space="preserve"> See </w:t>
      </w:r>
      <w:r w:rsidRPr="001611DC">
        <w:rPr>
          <w:rFonts w:eastAsiaTheme="majorEastAsia"/>
        </w:rPr>
        <w:fldChar w:fldCharType="begin" w:fldLock="1"/>
      </w:r>
      <w:r w:rsidRPr="001611DC">
        <w:rPr>
          <w:rFonts w:eastAsiaTheme="majorEastAsia"/>
        </w:rPr>
        <w:instrText xml:space="preserve"> REF _Ref165393784 \h </w:instrText>
      </w:r>
      <w:r w:rsidRPr="001611DC">
        <w:rPr>
          <w:rFonts w:eastAsiaTheme="majorEastAsia"/>
        </w:rPr>
      </w:r>
      <w:r w:rsidRPr="001611DC">
        <w:rPr>
          <w:rFonts w:eastAsiaTheme="majorEastAsia"/>
        </w:rPr>
        <w:fldChar w:fldCharType="separate"/>
      </w:r>
      <w:r w:rsidR="00927933" w:rsidRPr="001611DC">
        <w:t>Table 14</w:t>
      </w:r>
      <w:r w:rsidRPr="001611DC">
        <w:rPr>
          <w:rFonts w:eastAsiaTheme="majorEastAsia"/>
        </w:rPr>
        <w:fldChar w:fldCharType="end"/>
      </w:r>
      <w:r w:rsidRPr="001611DC">
        <w:rPr>
          <w:rFonts w:eastAsiaTheme="majorEastAsia"/>
        </w:rPr>
        <w:t xml:space="preserve"> for base case values.</w:t>
      </w:r>
    </w:p>
    <w:p w14:paraId="57AEB974" w14:textId="34A1B1C7" w:rsidR="002F6E88" w:rsidRPr="001611DC" w:rsidRDefault="0050118E" w:rsidP="002E6F4F">
      <w:pPr>
        <w:pStyle w:val="FooterTableFigure"/>
        <w:rPr>
          <w:rFonts w:eastAsiaTheme="majorEastAsia"/>
        </w:rPr>
      </w:pPr>
      <w:r w:rsidRPr="001611DC">
        <w:rPr>
          <w:rFonts w:eastAsiaTheme="majorEastAsia"/>
          <w:vertAlign w:val="superscript"/>
        </w:rPr>
        <w:t>h</w:t>
      </w:r>
      <w:r w:rsidR="002F6E88" w:rsidRPr="001611DC">
        <w:rPr>
          <w:rFonts w:eastAsiaTheme="majorEastAsia"/>
        </w:rPr>
        <w:t xml:space="preserve"> </w:t>
      </w:r>
      <w:r w:rsidR="009E5E9D" w:rsidRPr="001611DC">
        <w:rPr>
          <w:rFonts w:eastAsiaTheme="majorEastAsia"/>
        </w:rPr>
        <w:t xml:space="preserve">Based on the hospitalisation cost for PSCR Scenario analysis-A shown in column </w:t>
      </w:r>
      <w:r w:rsidR="009E5E9D" w:rsidRPr="001611DC">
        <w:rPr>
          <w:rFonts w:eastAsiaTheme="majorEastAsia"/>
        </w:rPr>
        <w:fldChar w:fldCharType="begin" w:fldLock="1"/>
      </w:r>
      <w:r w:rsidR="009E5E9D" w:rsidRPr="001611DC">
        <w:rPr>
          <w:rFonts w:eastAsiaTheme="majorEastAsia"/>
        </w:rPr>
        <w:instrText xml:space="preserve"> REF _Ref170072588 \h </w:instrText>
      </w:r>
      <w:r w:rsidR="009826F9" w:rsidRPr="001611DC">
        <w:rPr>
          <w:rFonts w:eastAsiaTheme="majorEastAsia"/>
        </w:rPr>
        <w:instrText xml:space="preserve"> \* MERGEFORMAT </w:instrText>
      </w:r>
      <w:r w:rsidR="009E5E9D" w:rsidRPr="001611DC">
        <w:rPr>
          <w:rFonts w:eastAsiaTheme="majorEastAsia"/>
        </w:rPr>
      </w:r>
      <w:r w:rsidR="009E5E9D" w:rsidRPr="001611DC">
        <w:rPr>
          <w:rFonts w:eastAsiaTheme="majorEastAsia"/>
        </w:rPr>
        <w:fldChar w:fldCharType="separate"/>
      </w:r>
      <w:r w:rsidR="00927933" w:rsidRPr="001611DC">
        <w:t>Table 16</w:t>
      </w:r>
      <w:r w:rsidR="009E5E9D" w:rsidRPr="001611DC">
        <w:rPr>
          <w:rFonts w:eastAsiaTheme="majorEastAsia"/>
        </w:rPr>
        <w:fldChar w:fldCharType="end"/>
      </w:r>
      <w:r w:rsidR="009E5E9D" w:rsidRPr="001611DC">
        <w:rPr>
          <w:rFonts w:eastAsiaTheme="majorEastAsia"/>
        </w:rPr>
        <w:t>.</w:t>
      </w:r>
    </w:p>
    <w:p w14:paraId="3F1D91BC" w14:textId="694C77D9" w:rsidR="009E5E9D" w:rsidRDefault="002F6E88" w:rsidP="009E5E9D">
      <w:pPr>
        <w:pStyle w:val="FooterTableFigure"/>
        <w:rPr>
          <w:rFonts w:eastAsiaTheme="majorEastAsia"/>
        </w:rPr>
      </w:pPr>
      <w:r w:rsidRPr="001611DC">
        <w:rPr>
          <w:rFonts w:eastAsiaTheme="majorEastAsia"/>
          <w:vertAlign w:val="superscript"/>
        </w:rPr>
        <w:t>i</w:t>
      </w:r>
      <w:r w:rsidRPr="001611DC">
        <w:rPr>
          <w:rFonts w:eastAsiaTheme="majorEastAsia"/>
        </w:rPr>
        <w:t xml:space="preserve"> </w:t>
      </w:r>
      <w:r w:rsidR="009E5E9D" w:rsidRPr="001611DC">
        <w:rPr>
          <w:rFonts w:eastAsiaTheme="majorEastAsia"/>
        </w:rPr>
        <w:t xml:space="preserve">Based on the hospitalisation cost for PSCR Scenario analysis-B shown in column </w:t>
      </w:r>
      <w:r w:rsidR="009E5E9D" w:rsidRPr="001611DC">
        <w:rPr>
          <w:rFonts w:eastAsiaTheme="majorEastAsia"/>
        </w:rPr>
        <w:fldChar w:fldCharType="begin" w:fldLock="1"/>
      </w:r>
      <w:r w:rsidR="009E5E9D" w:rsidRPr="001611DC">
        <w:rPr>
          <w:rFonts w:eastAsiaTheme="majorEastAsia"/>
        </w:rPr>
        <w:instrText xml:space="preserve"> REF _Ref170072588 \h </w:instrText>
      </w:r>
      <w:r w:rsidR="009826F9" w:rsidRPr="001611DC">
        <w:rPr>
          <w:rFonts w:eastAsiaTheme="majorEastAsia"/>
        </w:rPr>
        <w:instrText xml:space="preserve"> \* MERGEFORMAT </w:instrText>
      </w:r>
      <w:r w:rsidR="009E5E9D" w:rsidRPr="001611DC">
        <w:rPr>
          <w:rFonts w:eastAsiaTheme="majorEastAsia"/>
        </w:rPr>
      </w:r>
      <w:r w:rsidR="009E5E9D" w:rsidRPr="001611DC">
        <w:rPr>
          <w:rFonts w:eastAsiaTheme="majorEastAsia"/>
        </w:rPr>
        <w:fldChar w:fldCharType="separate"/>
      </w:r>
      <w:r w:rsidR="00927933" w:rsidRPr="001611DC">
        <w:t>Table 16</w:t>
      </w:r>
      <w:r w:rsidR="009E5E9D" w:rsidRPr="001611DC">
        <w:rPr>
          <w:rFonts w:eastAsiaTheme="majorEastAsia"/>
        </w:rPr>
        <w:fldChar w:fldCharType="end"/>
      </w:r>
      <w:r w:rsidR="009E5E9D" w:rsidRPr="001611DC">
        <w:rPr>
          <w:rFonts w:eastAsiaTheme="majorEastAsia"/>
        </w:rPr>
        <w:t>.</w:t>
      </w:r>
    </w:p>
    <w:p w14:paraId="43B33967" w14:textId="77777777" w:rsidR="00F678A9" w:rsidRPr="00E85F69" w:rsidRDefault="00F678A9" w:rsidP="00F678A9">
      <w:pPr>
        <w:pStyle w:val="FooterTableFigure"/>
        <w:rPr>
          <w:rFonts w:eastAsiaTheme="majorEastAsia"/>
          <w:i/>
          <w:iCs/>
        </w:rPr>
      </w:pPr>
      <w:bookmarkStart w:id="147" w:name="_Hlk176772708"/>
      <w:r w:rsidRPr="00E85F69">
        <w:rPr>
          <w:rFonts w:eastAsiaTheme="majorEastAsia"/>
          <w:i/>
          <w:iCs/>
        </w:rPr>
        <w:t>The redacted values correspond to the following ranges:</w:t>
      </w:r>
    </w:p>
    <w:p w14:paraId="4FAB28ED" w14:textId="77777777" w:rsidR="00603E33" w:rsidRPr="00E85F69" w:rsidRDefault="00603E33" w:rsidP="00603E33">
      <w:pPr>
        <w:pStyle w:val="FooterTableFigure"/>
        <w:rPr>
          <w:rFonts w:eastAsiaTheme="majorEastAsia"/>
          <w:i/>
          <w:iCs/>
        </w:rPr>
      </w:pPr>
      <w:r w:rsidRPr="00E85F69">
        <w:rPr>
          <w:rFonts w:eastAsiaTheme="majorEastAsia"/>
          <w:i/>
          <w:iCs/>
        </w:rPr>
        <w:t>1 $25,000 to &lt; $35,000</w:t>
      </w:r>
    </w:p>
    <w:p w14:paraId="6EF1CB7E" w14:textId="38B2DE22" w:rsidR="00BE14B2" w:rsidRPr="00E85F69" w:rsidRDefault="00606F86" w:rsidP="00BE14B2">
      <w:pPr>
        <w:pStyle w:val="FooterTableFigure"/>
        <w:rPr>
          <w:rFonts w:eastAsiaTheme="majorEastAsia"/>
          <w:i/>
          <w:iCs/>
        </w:rPr>
      </w:pPr>
      <w:r w:rsidRPr="00E85F69">
        <w:rPr>
          <w:rFonts w:eastAsiaTheme="majorEastAsia"/>
          <w:i/>
          <w:iCs/>
        </w:rPr>
        <w:t xml:space="preserve">2 </w:t>
      </w:r>
      <w:r w:rsidR="00BE14B2" w:rsidRPr="00E85F69">
        <w:rPr>
          <w:rFonts w:eastAsiaTheme="majorEastAsia"/>
          <w:i/>
          <w:iCs/>
        </w:rPr>
        <w:t xml:space="preserve">$5,000 to &lt; $15,000 </w:t>
      </w:r>
    </w:p>
    <w:p w14:paraId="6C3D7BF3" w14:textId="7DDDE580" w:rsidR="00390E03" w:rsidRPr="00E85F69" w:rsidRDefault="00390E03" w:rsidP="00BE14B2">
      <w:pPr>
        <w:pStyle w:val="FooterTableFigure"/>
        <w:rPr>
          <w:rFonts w:eastAsiaTheme="majorEastAsia"/>
          <w:i/>
          <w:iCs/>
        </w:rPr>
      </w:pPr>
      <w:r w:rsidRPr="00E85F69">
        <w:rPr>
          <w:rFonts w:eastAsiaTheme="majorEastAsia"/>
          <w:i/>
          <w:iCs/>
        </w:rPr>
        <w:t>3 $0 to &lt; $5,000</w:t>
      </w:r>
    </w:p>
    <w:p w14:paraId="23C8E617" w14:textId="219D43B3" w:rsidR="00AA386D" w:rsidRPr="00E85F69" w:rsidRDefault="00AA386D" w:rsidP="00BE14B2">
      <w:pPr>
        <w:pStyle w:val="FooterTableFigure"/>
        <w:rPr>
          <w:rFonts w:eastAsiaTheme="majorEastAsia"/>
          <w:i/>
          <w:iCs/>
        </w:rPr>
      </w:pPr>
      <w:r w:rsidRPr="00E85F69">
        <w:rPr>
          <w:rFonts w:eastAsiaTheme="majorEastAsia"/>
          <w:i/>
          <w:iCs/>
        </w:rPr>
        <w:t>4</w:t>
      </w:r>
      <w:r w:rsidR="001F4410" w:rsidRPr="00E85F69">
        <w:rPr>
          <w:rFonts w:eastAsiaTheme="majorEastAsia"/>
          <w:i/>
          <w:iCs/>
        </w:rPr>
        <w:t xml:space="preserve"> </w:t>
      </w:r>
      <w:r w:rsidRPr="00E85F69">
        <w:rPr>
          <w:rFonts w:eastAsiaTheme="majorEastAsia"/>
          <w:i/>
          <w:iCs/>
        </w:rPr>
        <w:t xml:space="preserve">$45,000 to &lt; $55,000 </w:t>
      </w:r>
    </w:p>
    <w:bookmarkEnd w:id="147"/>
    <w:p w14:paraId="4D189D4E" w14:textId="7AB03160" w:rsidR="00BE14B2" w:rsidRPr="00E85F69" w:rsidRDefault="004E1714" w:rsidP="00BE14B2">
      <w:pPr>
        <w:pStyle w:val="FooterTableFigure"/>
        <w:rPr>
          <w:rFonts w:eastAsiaTheme="majorEastAsia"/>
          <w:i/>
          <w:iCs/>
        </w:rPr>
      </w:pPr>
      <w:r w:rsidRPr="00E85F69">
        <w:rPr>
          <w:rFonts w:eastAsiaTheme="majorEastAsia"/>
          <w:i/>
          <w:iCs/>
        </w:rPr>
        <w:t xml:space="preserve">5 </w:t>
      </w:r>
      <w:r w:rsidR="00BE14B2" w:rsidRPr="00E85F69">
        <w:rPr>
          <w:rFonts w:eastAsiaTheme="majorEastAsia"/>
          <w:i/>
          <w:iCs/>
        </w:rPr>
        <w:t>$15,000 to &lt; $25,000</w:t>
      </w:r>
    </w:p>
    <w:p w14:paraId="6E14FE42" w14:textId="463DC86D" w:rsidR="00BE14B2" w:rsidRPr="00E85F69" w:rsidRDefault="00484198" w:rsidP="00BE14B2">
      <w:pPr>
        <w:pStyle w:val="FooterTableFigure"/>
        <w:rPr>
          <w:rFonts w:eastAsiaTheme="majorEastAsia"/>
          <w:i/>
          <w:iCs/>
        </w:rPr>
      </w:pPr>
      <w:r w:rsidRPr="00E85F69">
        <w:rPr>
          <w:rFonts w:eastAsiaTheme="majorEastAsia"/>
          <w:i/>
          <w:iCs/>
        </w:rPr>
        <w:t xml:space="preserve">6 </w:t>
      </w:r>
      <w:r w:rsidR="00BE14B2" w:rsidRPr="00E85F69">
        <w:rPr>
          <w:rFonts w:eastAsiaTheme="majorEastAsia"/>
          <w:i/>
          <w:iCs/>
        </w:rPr>
        <w:t>$35,000 to &lt; $45,000</w:t>
      </w:r>
    </w:p>
    <w:p w14:paraId="4843B833" w14:textId="51061FED" w:rsidR="00BE14B2" w:rsidRPr="00E85F69" w:rsidRDefault="006A7308" w:rsidP="00BE14B2">
      <w:pPr>
        <w:pStyle w:val="FooterTableFigure"/>
        <w:rPr>
          <w:rFonts w:eastAsiaTheme="majorEastAsia"/>
          <w:i/>
          <w:iCs/>
        </w:rPr>
      </w:pPr>
      <w:r w:rsidRPr="00E85F69">
        <w:rPr>
          <w:rFonts w:eastAsiaTheme="majorEastAsia"/>
          <w:i/>
          <w:iCs/>
        </w:rPr>
        <w:t xml:space="preserve">7 </w:t>
      </w:r>
      <w:r w:rsidR="00BE14B2" w:rsidRPr="00E85F69">
        <w:rPr>
          <w:rFonts w:eastAsiaTheme="majorEastAsia"/>
          <w:i/>
          <w:iCs/>
        </w:rPr>
        <w:t xml:space="preserve">$55,000 to &lt; $75,000 </w:t>
      </w:r>
    </w:p>
    <w:p w14:paraId="68FE54A4" w14:textId="67BE7B76" w:rsidR="00BE14B2" w:rsidRPr="00E85F69" w:rsidRDefault="006A7308" w:rsidP="00BE14B2">
      <w:pPr>
        <w:pStyle w:val="FooterTableFigure"/>
        <w:rPr>
          <w:rFonts w:eastAsiaTheme="majorEastAsia"/>
          <w:i/>
          <w:iCs/>
        </w:rPr>
      </w:pPr>
      <w:r w:rsidRPr="00E85F69">
        <w:rPr>
          <w:rFonts w:eastAsiaTheme="majorEastAsia"/>
          <w:i/>
          <w:iCs/>
        </w:rPr>
        <w:t xml:space="preserve">8 </w:t>
      </w:r>
      <w:r w:rsidR="00BE14B2" w:rsidRPr="00E85F69">
        <w:rPr>
          <w:rFonts w:eastAsiaTheme="majorEastAsia"/>
          <w:i/>
          <w:iCs/>
        </w:rPr>
        <w:t>$75,000 to &lt; $95,000</w:t>
      </w:r>
    </w:p>
    <w:p w14:paraId="6BDFC348" w14:textId="1F5F204A" w:rsidR="00342284" w:rsidRPr="00E85F69" w:rsidRDefault="00342284" w:rsidP="00BE14B2">
      <w:pPr>
        <w:pStyle w:val="FooterTableFigure"/>
        <w:rPr>
          <w:rFonts w:eastAsiaTheme="majorEastAsia"/>
          <w:i/>
          <w:iCs/>
        </w:rPr>
      </w:pPr>
      <w:r w:rsidRPr="00E85F69">
        <w:rPr>
          <w:rFonts w:eastAsiaTheme="majorEastAsia"/>
          <w:i/>
          <w:iCs/>
        </w:rPr>
        <w:t>9 $115,000 to &lt; $135,000</w:t>
      </w:r>
    </w:p>
    <w:p w14:paraId="43E61C03" w14:textId="1BA31E2A" w:rsidR="00F112B5" w:rsidRPr="00E85F69" w:rsidRDefault="00F112B5" w:rsidP="00BE14B2">
      <w:pPr>
        <w:pStyle w:val="FooterTableFigure"/>
        <w:rPr>
          <w:rFonts w:eastAsiaTheme="majorEastAsia"/>
          <w:i/>
          <w:iCs/>
        </w:rPr>
      </w:pPr>
      <w:r w:rsidRPr="00E85F69">
        <w:rPr>
          <w:rFonts w:eastAsiaTheme="majorEastAsia"/>
          <w:i/>
          <w:iCs/>
        </w:rPr>
        <w:t>10 $155,000 to &lt; $255,000</w:t>
      </w:r>
    </w:p>
    <w:p w14:paraId="000208CD" w14:textId="1AFF1F4A" w:rsidR="00BE14B2" w:rsidRPr="00E85F69" w:rsidRDefault="00801840" w:rsidP="00BE14B2">
      <w:pPr>
        <w:pStyle w:val="FooterTableFigure"/>
        <w:rPr>
          <w:rFonts w:eastAsiaTheme="majorEastAsia"/>
          <w:i/>
          <w:iCs/>
        </w:rPr>
      </w:pPr>
      <w:r w:rsidRPr="00E85F69">
        <w:rPr>
          <w:rFonts w:eastAsiaTheme="majorEastAsia"/>
          <w:i/>
          <w:iCs/>
        </w:rPr>
        <w:t xml:space="preserve">11 </w:t>
      </w:r>
      <w:r w:rsidR="00BE14B2" w:rsidRPr="00E85F69">
        <w:rPr>
          <w:rFonts w:eastAsiaTheme="majorEastAsia"/>
          <w:i/>
          <w:iCs/>
        </w:rPr>
        <w:t xml:space="preserve">$95,000 to &lt; $115,000 </w:t>
      </w:r>
    </w:p>
    <w:p w14:paraId="543965CB" w14:textId="3DD9732A" w:rsidR="0053618C" w:rsidRPr="001611DC" w:rsidRDefault="00C8735B" w:rsidP="0053618C">
      <w:pPr>
        <w:pStyle w:val="3-BodyText"/>
        <w:rPr>
          <w:iCs/>
        </w:rPr>
      </w:pPr>
      <w:bookmarkStart w:id="148" w:name="_Ref170152183"/>
      <w:bookmarkStart w:id="149" w:name="_Hlk166931407"/>
      <w:r w:rsidRPr="001611DC">
        <w:rPr>
          <w:iCs/>
        </w:rPr>
        <w:t>The PSCR presented a revised base case applying updated VE regression analyses based on follow-up data from VE Analysis 4 (median follow-up: 23.3 months) and hospitalisation costs (NHCDC National Efficient Price for 2024 and public sector cost weights for 2021-22).</w:t>
      </w:r>
      <w:r w:rsidR="001F4410">
        <w:rPr>
          <w:iCs/>
        </w:rPr>
        <w:t xml:space="preserve"> </w:t>
      </w:r>
      <w:r w:rsidR="0053618C" w:rsidRPr="001611DC">
        <w:rPr>
          <w:iCs/>
        </w:rPr>
        <w:t>The PSCR reported that RSV-LRTD and RSV ARI VE and monthly waning estimates decreased compared to VE analysis 3. It was stated that based on VE analysis 4, VE would reach 0% at month 50 for RSV-LRTD, and at month 36 for RSV-ARI (in VE analysis 3 the respective estimates were month 43 and month 34).</w:t>
      </w:r>
      <w:bookmarkEnd w:id="148"/>
    </w:p>
    <w:p w14:paraId="1E2943B1" w14:textId="602E06AB" w:rsidR="00C8735B" w:rsidRPr="001611DC" w:rsidRDefault="00EA41EF">
      <w:pPr>
        <w:pStyle w:val="3-BodyText"/>
        <w:rPr>
          <w:iCs/>
        </w:rPr>
      </w:pPr>
      <w:bookmarkStart w:id="150" w:name="_Ref170152451"/>
      <w:r w:rsidRPr="001611DC">
        <w:rPr>
          <w:iCs/>
        </w:rPr>
        <w:t>The revised base case yielded an ICER of $</w:t>
      </w:r>
      <w:r w:rsidR="00084F2B" w:rsidRPr="00084F2B">
        <w:rPr>
          <w:iCs/>
        </w:rPr>
        <w:t>0</w:t>
      </w:r>
      <w:r w:rsidR="00CD3945">
        <w:rPr>
          <w:iCs/>
        </w:rPr>
        <w:t> </w:t>
      </w:r>
      <w:r w:rsidR="00084F2B" w:rsidRPr="00084F2B">
        <w:rPr>
          <w:iCs/>
        </w:rPr>
        <w:t>to</w:t>
      </w:r>
      <w:r w:rsidR="00CD3945">
        <w:rPr>
          <w:iCs/>
        </w:rPr>
        <w:t> </w:t>
      </w:r>
      <w:r w:rsidR="00084F2B" w:rsidRPr="00084F2B">
        <w:rPr>
          <w:iCs/>
        </w:rPr>
        <w:t>&lt;</w:t>
      </w:r>
      <w:r w:rsidR="00CD3945">
        <w:rPr>
          <w:iCs/>
        </w:rPr>
        <w:t> </w:t>
      </w:r>
      <w:r w:rsidR="00084F2B" w:rsidRPr="00084F2B">
        <w:rPr>
          <w:iCs/>
        </w:rPr>
        <w:t>$5,000</w:t>
      </w:r>
      <w:r w:rsidR="0083552E" w:rsidRPr="001611DC">
        <w:rPr>
          <w:iCs/>
        </w:rPr>
        <w:t>/QALY</w:t>
      </w:r>
      <w:r w:rsidRPr="001611DC">
        <w:rPr>
          <w:iCs/>
        </w:rPr>
        <w:t xml:space="preserve"> and </w:t>
      </w:r>
      <w:r w:rsidR="00AA1F53" w:rsidRPr="00AA1F53">
        <w:rPr>
          <w:iCs/>
        </w:rPr>
        <w:t>$25,000</w:t>
      </w:r>
      <w:r w:rsidR="00E85F69">
        <w:rPr>
          <w:iCs/>
        </w:rPr>
        <w:t> </w:t>
      </w:r>
      <w:r w:rsidR="00AA1F53" w:rsidRPr="00AA1F53">
        <w:rPr>
          <w:iCs/>
        </w:rPr>
        <w:t>to &lt;</w:t>
      </w:r>
      <w:r w:rsidR="00E85F69">
        <w:rPr>
          <w:iCs/>
        </w:rPr>
        <w:t> </w:t>
      </w:r>
      <w:r w:rsidR="00AA1F53" w:rsidRPr="00AA1F53">
        <w:rPr>
          <w:iCs/>
        </w:rPr>
        <w:t>$35,000</w:t>
      </w:r>
      <w:r w:rsidR="0083552E" w:rsidRPr="001611DC">
        <w:rPr>
          <w:iCs/>
        </w:rPr>
        <w:t>/QALY</w:t>
      </w:r>
      <w:r w:rsidRPr="001611DC">
        <w:rPr>
          <w:iCs/>
        </w:rPr>
        <w:t xml:space="preserve"> for the </w:t>
      </w:r>
      <w:r w:rsidR="00E2719A" w:rsidRPr="001611DC">
        <w:rPr>
          <w:iCs/>
        </w:rPr>
        <w:t>≥</w:t>
      </w:r>
      <w:r w:rsidRPr="001611DC">
        <w:rPr>
          <w:iCs/>
        </w:rPr>
        <w:t xml:space="preserve">75 YOA and </w:t>
      </w:r>
      <w:r w:rsidR="00E2719A" w:rsidRPr="001611DC">
        <w:rPr>
          <w:iCs/>
        </w:rPr>
        <w:t>≥</w:t>
      </w:r>
      <w:r w:rsidRPr="001611DC">
        <w:rPr>
          <w:iCs/>
        </w:rPr>
        <w:t xml:space="preserve">60 YOA populations, respectively. </w:t>
      </w:r>
      <w:r w:rsidR="002F6E88" w:rsidRPr="001611DC">
        <w:rPr>
          <w:iCs/>
        </w:rPr>
        <w:t xml:space="preserve">The results are presented in </w:t>
      </w:r>
      <w:r w:rsidR="002F6E88" w:rsidRPr="001611DC">
        <w:rPr>
          <w:iCs/>
        </w:rPr>
        <w:fldChar w:fldCharType="begin" w:fldLock="1"/>
      </w:r>
      <w:r w:rsidR="002F6E88" w:rsidRPr="001611DC">
        <w:rPr>
          <w:iCs/>
        </w:rPr>
        <w:instrText xml:space="preserve"> REF _Ref104804865 \h  \* MERGEFORMAT </w:instrText>
      </w:r>
      <w:r w:rsidR="002F6E88" w:rsidRPr="001611DC">
        <w:rPr>
          <w:iCs/>
        </w:rPr>
      </w:r>
      <w:r w:rsidR="002F6E88" w:rsidRPr="001611DC">
        <w:rPr>
          <w:iCs/>
        </w:rPr>
        <w:fldChar w:fldCharType="separate"/>
      </w:r>
      <w:r w:rsidR="00927933" w:rsidRPr="001611DC">
        <w:rPr>
          <w:iCs/>
        </w:rPr>
        <w:t>Table 24</w:t>
      </w:r>
      <w:r w:rsidR="002F6E88" w:rsidRPr="001611DC">
        <w:rPr>
          <w:iCs/>
        </w:rPr>
        <w:fldChar w:fldCharType="end"/>
      </w:r>
      <w:r w:rsidR="002F6E88" w:rsidRPr="001611DC">
        <w:rPr>
          <w:iCs/>
        </w:rPr>
        <w:t xml:space="preserve"> </w:t>
      </w:r>
      <w:r w:rsidR="002F6E88" w:rsidRPr="001611DC">
        <w:rPr>
          <w:iCs/>
        </w:rPr>
        <w:fldChar w:fldCharType="begin" w:fldLock="1"/>
      </w:r>
      <w:r w:rsidR="002F6E88" w:rsidRPr="001611DC">
        <w:rPr>
          <w:iCs/>
        </w:rPr>
        <w:instrText xml:space="preserve"> REF _Ref170076401 \p \h  \* MERGEFORMAT </w:instrText>
      </w:r>
      <w:r w:rsidR="002F6E88" w:rsidRPr="001611DC">
        <w:rPr>
          <w:iCs/>
        </w:rPr>
      </w:r>
      <w:r w:rsidR="002F6E88" w:rsidRPr="001611DC">
        <w:rPr>
          <w:iCs/>
        </w:rPr>
        <w:fldChar w:fldCharType="separate"/>
      </w:r>
      <w:r w:rsidR="00927933" w:rsidRPr="001611DC">
        <w:rPr>
          <w:iCs/>
        </w:rPr>
        <w:t>above</w:t>
      </w:r>
      <w:r w:rsidR="002F6E88" w:rsidRPr="001611DC">
        <w:rPr>
          <w:iCs/>
        </w:rPr>
        <w:fldChar w:fldCharType="end"/>
      </w:r>
      <w:r w:rsidR="002F6E88" w:rsidRPr="001611DC">
        <w:rPr>
          <w:iCs/>
        </w:rPr>
        <w:t>.</w:t>
      </w:r>
      <w:r w:rsidR="001F4410">
        <w:rPr>
          <w:iCs/>
        </w:rPr>
        <w:t xml:space="preserve"> </w:t>
      </w:r>
      <w:r w:rsidR="002F6E88" w:rsidRPr="001611DC">
        <w:rPr>
          <w:iCs/>
        </w:rPr>
        <w:t xml:space="preserve">A summary of changes applied in the PSCR is provided in </w:t>
      </w:r>
      <w:r w:rsidR="002F6E88" w:rsidRPr="001611DC">
        <w:rPr>
          <w:iCs/>
        </w:rPr>
        <w:fldChar w:fldCharType="begin" w:fldLock="1"/>
      </w:r>
      <w:r w:rsidR="002F6E88" w:rsidRPr="001611DC">
        <w:rPr>
          <w:iCs/>
        </w:rPr>
        <w:instrText xml:space="preserve"> REF _Ref170076436 \h  \* MERGEFORMAT </w:instrText>
      </w:r>
      <w:r w:rsidR="002F6E88" w:rsidRPr="001611DC">
        <w:rPr>
          <w:iCs/>
        </w:rPr>
      </w:r>
      <w:r w:rsidR="002F6E88" w:rsidRPr="001611DC">
        <w:rPr>
          <w:iCs/>
        </w:rPr>
        <w:fldChar w:fldCharType="separate"/>
      </w:r>
      <w:r w:rsidR="00927933" w:rsidRPr="001611DC">
        <w:rPr>
          <w:iCs/>
        </w:rPr>
        <w:t>Table 25</w:t>
      </w:r>
      <w:r w:rsidR="002F6E88" w:rsidRPr="001611DC">
        <w:rPr>
          <w:iCs/>
        </w:rPr>
        <w:fldChar w:fldCharType="end"/>
      </w:r>
      <w:r w:rsidR="002F6E88" w:rsidRPr="001611DC">
        <w:rPr>
          <w:iCs/>
        </w:rPr>
        <w:t>.</w:t>
      </w:r>
      <w:r w:rsidR="0053618C" w:rsidRPr="001611DC">
        <w:rPr>
          <w:iCs/>
        </w:rPr>
        <w:t xml:space="preserve"> </w:t>
      </w:r>
      <w:r w:rsidR="00D242A3" w:rsidRPr="001611DC">
        <w:rPr>
          <w:iCs/>
        </w:rPr>
        <w:t xml:space="preserve">The ESC noted that that revised estimates of peak VE and monthly VE waning from VE Analysis 4 were more favourable to RSVPreF3 OA compared with VE Analysis 3. The ESC considered that the analysis with longer duration of follow-up was informative, however the </w:t>
      </w:r>
      <w:bookmarkStart w:id="151" w:name="_Hlk170083013"/>
      <w:r w:rsidR="00D242A3" w:rsidRPr="001611DC">
        <w:rPr>
          <w:iCs/>
        </w:rPr>
        <w:t>estimates of effect beyond the trial follow-up remained uncertain</w:t>
      </w:r>
      <w:bookmarkEnd w:id="151"/>
      <w:r w:rsidR="00D242A3" w:rsidRPr="001611DC">
        <w:rPr>
          <w:iCs/>
        </w:rPr>
        <w:t>.</w:t>
      </w:r>
      <w:bookmarkEnd w:id="150"/>
    </w:p>
    <w:p w14:paraId="3E95830D" w14:textId="294ED8F5" w:rsidR="002F6E88" w:rsidRPr="001611DC" w:rsidRDefault="002F6E88" w:rsidP="002F6E88">
      <w:pPr>
        <w:pStyle w:val="Caption"/>
        <w:rPr>
          <w:szCs w:val="24"/>
        </w:rPr>
      </w:pPr>
      <w:bookmarkStart w:id="152" w:name="_Ref170076436"/>
      <w:r w:rsidRPr="00797EC1">
        <w:lastRenderedPageBreak/>
        <w:t xml:space="preserve">Table </w:t>
      </w:r>
      <w:r w:rsidR="005473CE" w:rsidRPr="00797EC1">
        <w:fldChar w:fldCharType="begin" w:fldLock="1"/>
      </w:r>
      <w:r w:rsidR="005473CE" w:rsidRPr="00797EC1">
        <w:instrText xml:space="preserve"> SEQ Table \* ARABIC </w:instrText>
      </w:r>
      <w:r w:rsidR="005473CE" w:rsidRPr="00797EC1">
        <w:fldChar w:fldCharType="separate"/>
      </w:r>
      <w:r w:rsidR="00927933" w:rsidRPr="00797EC1">
        <w:t>25</w:t>
      </w:r>
      <w:r w:rsidR="005473CE" w:rsidRPr="00797EC1">
        <w:fldChar w:fldCharType="end"/>
      </w:r>
      <w:bookmarkEnd w:id="152"/>
      <w:r w:rsidRPr="00797EC1">
        <w:t>:</w:t>
      </w:r>
      <w:r w:rsidRPr="00797EC1">
        <w:rPr>
          <w:rStyle w:val="CommentReference"/>
          <w:b/>
          <w:szCs w:val="24"/>
        </w:rPr>
        <w:t xml:space="preserve"> </w:t>
      </w:r>
      <w:r w:rsidRPr="00797EC1">
        <w:t>Summary of changes applied in the model for revised base case cost-utility analysis in PSCR</w:t>
      </w:r>
    </w:p>
    <w:tbl>
      <w:tblPr>
        <w:tblStyle w:val="ASDTable1"/>
        <w:tblW w:w="5000" w:type="pct"/>
        <w:tblInd w:w="0" w:type="dxa"/>
        <w:tblLook w:val="04A0" w:firstRow="1" w:lastRow="0" w:firstColumn="1" w:lastColumn="0" w:noHBand="0" w:noVBand="1"/>
        <w:tblCaption w:val="Table 25: Summary of changes applied in the model for revised base case cost-utility analysis in PSCR"/>
      </w:tblPr>
      <w:tblGrid>
        <w:gridCol w:w="2987"/>
        <w:gridCol w:w="1508"/>
        <w:gridCol w:w="1508"/>
        <w:gridCol w:w="1508"/>
        <w:gridCol w:w="1506"/>
      </w:tblGrid>
      <w:tr w:rsidR="002F6E88" w:rsidRPr="001611DC" w14:paraId="6C496D6E" w14:textId="77777777" w:rsidTr="009C2295">
        <w:tc>
          <w:tcPr>
            <w:tcW w:w="1657" w:type="pct"/>
          </w:tcPr>
          <w:p w14:paraId="08D1697C" w14:textId="77777777" w:rsidR="002F6E88" w:rsidRPr="001611DC" w:rsidRDefault="002F6E88" w:rsidP="009C2295">
            <w:pPr>
              <w:pStyle w:val="TableText0"/>
              <w:rPr>
                <w:b/>
                <w:bCs w:val="0"/>
                <w:sz w:val="20"/>
                <w:szCs w:val="20"/>
              </w:rPr>
            </w:pPr>
            <w:r w:rsidRPr="001611DC">
              <w:rPr>
                <w:b/>
                <w:bCs w:val="0"/>
                <w:sz w:val="20"/>
                <w:szCs w:val="20"/>
              </w:rPr>
              <w:t>Input</w:t>
            </w:r>
          </w:p>
        </w:tc>
        <w:tc>
          <w:tcPr>
            <w:tcW w:w="1671" w:type="pct"/>
            <w:gridSpan w:val="2"/>
          </w:tcPr>
          <w:p w14:paraId="64C872C4" w14:textId="6FFDEA56" w:rsidR="002F6E88" w:rsidRPr="001611DC" w:rsidRDefault="002F6E88" w:rsidP="009C2295">
            <w:pPr>
              <w:pStyle w:val="TableText0"/>
              <w:jc w:val="center"/>
              <w:rPr>
                <w:b/>
                <w:bCs w:val="0"/>
                <w:sz w:val="20"/>
                <w:szCs w:val="20"/>
              </w:rPr>
            </w:pPr>
            <w:r w:rsidRPr="001611DC">
              <w:rPr>
                <w:b/>
                <w:bCs w:val="0"/>
                <w:sz w:val="20"/>
                <w:szCs w:val="20"/>
              </w:rPr>
              <w:t>Submission</w:t>
            </w:r>
          </w:p>
        </w:tc>
        <w:tc>
          <w:tcPr>
            <w:tcW w:w="1671" w:type="pct"/>
            <w:gridSpan w:val="2"/>
          </w:tcPr>
          <w:p w14:paraId="78E7B64C" w14:textId="220EC398" w:rsidR="002F6E88" w:rsidRPr="001611DC" w:rsidRDefault="002F6E88" w:rsidP="009C2295">
            <w:pPr>
              <w:pStyle w:val="TableText0"/>
              <w:jc w:val="center"/>
              <w:rPr>
                <w:b/>
                <w:bCs w:val="0"/>
                <w:sz w:val="20"/>
                <w:szCs w:val="20"/>
              </w:rPr>
            </w:pPr>
            <w:r w:rsidRPr="001611DC">
              <w:rPr>
                <w:b/>
                <w:bCs w:val="0"/>
                <w:sz w:val="20"/>
                <w:szCs w:val="20"/>
              </w:rPr>
              <w:t>PSCR</w:t>
            </w:r>
          </w:p>
        </w:tc>
      </w:tr>
      <w:tr w:rsidR="002F6E88" w:rsidRPr="001611DC" w14:paraId="3284A5D3" w14:textId="77777777" w:rsidTr="009C2295">
        <w:tc>
          <w:tcPr>
            <w:tcW w:w="1657" w:type="pct"/>
          </w:tcPr>
          <w:p w14:paraId="57F7FD7C" w14:textId="77777777" w:rsidR="002F6E88" w:rsidRPr="001611DC" w:rsidRDefault="002F6E88" w:rsidP="009C2295">
            <w:pPr>
              <w:pStyle w:val="TableText0"/>
              <w:rPr>
                <w:sz w:val="20"/>
                <w:szCs w:val="20"/>
              </w:rPr>
            </w:pPr>
            <w:r w:rsidRPr="001611DC">
              <w:rPr>
                <w:sz w:val="20"/>
                <w:szCs w:val="20"/>
              </w:rPr>
              <w:t>Vaccine efficacy, % (95% CI)</w:t>
            </w:r>
          </w:p>
        </w:tc>
        <w:tc>
          <w:tcPr>
            <w:tcW w:w="836" w:type="pct"/>
          </w:tcPr>
          <w:p w14:paraId="5FC466DF" w14:textId="77777777" w:rsidR="002F6E88" w:rsidRPr="001611DC" w:rsidRDefault="002F6E88" w:rsidP="009C2295">
            <w:pPr>
              <w:pStyle w:val="TableText0"/>
              <w:jc w:val="center"/>
              <w:rPr>
                <w:sz w:val="20"/>
                <w:szCs w:val="20"/>
              </w:rPr>
            </w:pPr>
            <w:r w:rsidRPr="001611DC">
              <w:rPr>
                <w:sz w:val="20"/>
                <w:szCs w:val="20"/>
              </w:rPr>
              <w:t>RSV-LRTD</w:t>
            </w:r>
          </w:p>
        </w:tc>
        <w:tc>
          <w:tcPr>
            <w:tcW w:w="836" w:type="pct"/>
          </w:tcPr>
          <w:p w14:paraId="0CAB5746" w14:textId="77777777" w:rsidR="002F6E88" w:rsidRPr="001611DC" w:rsidRDefault="002F6E88" w:rsidP="009C2295">
            <w:pPr>
              <w:pStyle w:val="TableText0"/>
              <w:jc w:val="center"/>
              <w:rPr>
                <w:sz w:val="20"/>
                <w:szCs w:val="20"/>
              </w:rPr>
            </w:pPr>
            <w:r w:rsidRPr="001611DC">
              <w:rPr>
                <w:sz w:val="20"/>
                <w:szCs w:val="20"/>
              </w:rPr>
              <w:t>RSV-ARI</w:t>
            </w:r>
          </w:p>
        </w:tc>
        <w:tc>
          <w:tcPr>
            <w:tcW w:w="836" w:type="pct"/>
          </w:tcPr>
          <w:p w14:paraId="243FDF3D" w14:textId="77777777" w:rsidR="002F6E88" w:rsidRPr="001611DC" w:rsidRDefault="002F6E88" w:rsidP="009C2295">
            <w:pPr>
              <w:pStyle w:val="TableText0"/>
              <w:jc w:val="center"/>
              <w:rPr>
                <w:sz w:val="20"/>
                <w:szCs w:val="20"/>
              </w:rPr>
            </w:pPr>
            <w:r w:rsidRPr="001611DC">
              <w:rPr>
                <w:sz w:val="20"/>
                <w:szCs w:val="20"/>
              </w:rPr>
              <w:t>RSV-LRTD</w:t>
            </w:r>
          </w:p>
        </w:tc>
        <w:tc>
          <w:tcPr>
            <w:tcW w:w="836" w:type="pct"/>
          </w:tcPr>
          <w:p w14:paraId="4163F396" w14:textId="77777777" w:rsidR="002F6E88" w:rsidRPr="001611DC" w:rsidRDefault="002F6E88" w:rsidP="009C2295">
            <w:pPr>
              <w:pStyle w:val="TableText0"/>
              <w:jc w:val="center"/>
              <w:rPr>
                <w:sz w:val="20"/>
                <w:szCs w:val="20"/>
              </w:rPr>
            </w:pPr>
            <w:r w:rsidRPr="001611DC">
              <w:rPr>
                <w:sz w:val="20"/>
                <w:szCs w:val="20"/>
              </w:rPr>
              <w:t>RSV-ARI</w:t>
            </w:r>
          </w:p>
        </w:tc>
      </w:tr>
      <w:tr w:rsidR="002F6E88" w:rsidRPr="001611DC" w14:paraId="177D592C" w14:textId="77777777" w:rsidTr="009C2295">
        <w:tc>
          <w:tcPr>
            <w:tcW w:w="1657" w:type="pct"/>
          </w:tcPr>
          <w:p w14:paraId="25DA4B72" w14:textId="77777777" w:rsidR="002F6E88" w:rsidRPr="001611DC" w:rsidRDefault="002F6E88" w:rsidP="009C2295">
            <w:pPr>
              <w:pStyle w:val="TableText0"/>
              <w:rPr>
                <w:sz w:val="20"/>
                <w:szCs w:val="20"/>
              </w:rPr>
            </w:pPr>
            <w:r w:rsidRPr="001611DC">
              <w:rPr>
                <w:sz w:val="20"/>
                <w:szCs w:val="20"/>
              </w:rPr>
              <w:t>Peak VE (Efficacy!AH15:AJ16)</w:t>
            </w:r>
          </w:p>
        </w:tc>
        <w:tc>
          <w:tcPr>
            <w:tcW w:w="836" w:type="pct"/>
          </w:tcPr>
          <w:p w14:paraId="428D2C4E" w14:textId="77777777" w:rsidR="002F6E88" w:rsidRPr="001611DC" w:rsidRDefault="002F6E88" w:rsidP="009C2295">
            <w:pPr>
              <w:pStyle w:val="TableText0"/>
              <w:jc w:val="center"/>
              <w:rPr>
                <w:sz w:val="20"/>
                <w:szCs w:val="20"/>
              </w:rPr>
            </w:pPr>
            <w:r w:rsidRPr="001611DC">
              <w:rPr>
                <w:sz w:val="20"/>
                <w:szCs w:val="20"/>
              </w:rPr>
              <w:t>88.02 (65.80 - 99.20)</w:t>
            </w:r>
          </w:p>
        </w:tc>
        <w:tc>
          <w:tcPr>
            <w:tcW w:w="836" w:type="pct"/>
          </w:tcPr>
          <w:p w14:paraId="3CE988A6" w14:textId="77777777" w:rsidR="002F6E88" w:rsidRPr="001611DC" w:rsidRDefault="002F6E88" w:rsidP="009C2295">
            <w:pPr>
              <w:pStyle w:val="TableText0"/>
              <w:jc w:val="center"/>
              <w:rPr>
                <w:sz w:val="20"/>
                <w:szCs w:val="20"/>
              </w:rPr>
            </w:pPr>
            <w:r w:rsidRPr="001611DC">
              <w:rPr>
                <w:sz w:val="20"/>
                <w:szCs w:val="20"/>
              </w:rPr>
              <w:t>74.17 (56.39 - 94.01)</w:t>
            </w:r>
          </w:p>
        </w:tc>
        <w:tc>
          <w:tcPr>
            <w:tcW w:w="836" w:type="pct"/>
          </w:tcPr>
          <w:p w14:paraId="662C19C0" w14:textId="77777777" w:rsidR="002F6E88" w:rsidRPr="001611DC" w:rsidRDefault="002F6E88" w:rsidP="009C2295">
            <w:pPr>
              <w:pStyle w:val="TableText0"/>
              <w:jc w:val="center"/>
              <w:rPr>
                <w:sz w:val="20"/>
                <w:szCs w:val="20"/>
              </w:rPr>
            </w:pPr>
            <w:r w:rsidRPr="001611DC">
              <w:rPr>
                <w:sz w:val="20"/>
                <w:szCs w:val="20"/>
              </w:rPr>
              <w:t>86.50 (67.70 - 98.70)</w:t>
            </w:r>
          </w:p>
        </w:tc>
        <w:tc>
          <w:tcPr>
            <w:tcW w:w="836" w:type="pct"/>
          </w:tcPr>
          <w:p w14:paraId="44E4C599" w14:textId="77777777" w:rsidR="002F6E88" w:rsidRPr="001611DC" w:rsidRDefault="002F6E88" w:rsidP="009C2295">
            <w:pPr>
              <w:pStyle w:val="TableText0"/>
              <w:jc w:val="center"/>
              <w:rPr>
                <w:sz w:val="20"/>
                <w:szCs w:val="20"/>
              </w:rPr>
            </w:pPr>
            <w:r w:rsidRPr="001611DC">
              <w:rPr>
                <w:sz w:val="20"/>
                <w:szCs w:val="20"/>
              </w:rPr>
              <w:t>73.30 (57.90 - 87.40)</w:t>
            </w:r>
          </w:p>
        </w:tc>
      </w:tr>
      <w:tr w:rsidR="002F6E88" w:rsidRPr="001611DC" w14:paraId="1DD3EC57" w14:textId="77777777" w:rsidTr="009C2295">
        <w:tc>
          <w:tcPr>
            <w:tcW w:w="1657" w:type="pct"/>
          </w:tcPr>
          <w:p w14:paraId="3ED2B79D" w14:textId="77777777" w:rsidR="002F6E88" w:rsidRPr="001611DC" w:rsidRDefault="002F6E88" w:rsidP="009C2295">
            <w:pPr>
              <w:pStyle w:val="TableText0"/>
              <w:rPr>
                <w:sz w:val="20"/>
                <w:szCs w:val="20"/>
              </w:rPr>
            </w:pPr>
            <w:r w:rsidRPr="001611DC">
              <w:rPr>
                <w:sz w:val="20"/>
                <w:szCs w:val="20"/>
              </w:rPr>
              <w:t>Monthly VE waning (Efficacy!AH19:AJ20)</w:t>
            </w:r>
          </w:p>
        </w:tc>
        <w:tc>
          <w:tcPr>
            <w:tcW w:w="836" w:type="pct"/>
          </w:tcPr>
          <w:p w14:paraId="34DAD894" w14:textId="77777777" w:rsidR="002F6E88" w:rsidRPr="001611DC" w:rsidRDefault="002F6E88" w:rsidP="009C2295">
            <w:pPr>
              <w:pStyle w:val="TableText0"/>
              <w:jc w:val="center"/>
              <w:rPr>
                <w:sz w:val="20"/>
                <w:szCs w:val="20"/>
              </w:rPr>
            </w:pPr>
            <w:r w:rsidRPr="001611DC">
              <w:rPr>
                <w:sz w:val="20"/>
                <w:szCs w:val="20"/>
              </w:rPr>
              <w:t>2.10 (0.14 - 4.30)</w:t>
            </w:r>
          </w:p>
        </w:tc>
        <w:tc>
          <w:tcPr>
            <w:tcW w:w="836" w:type="pct"/>
          </w:tcPr>
          <w:p w14:paraId="4AB377BD" w14:textId="77777777" w:rsidR="002F6E88" w:rsidRPr="001611DC" w:rsidRDefault="002F6E88" w:rsidP="009C2295">
            <w:pPr>
              <w:pStyle w:val="TableText0"/>
              <w:jc w:val="center"/>
              <w:rPr>
                <w:sz w:val="20"/>
                <w:szCs w:val="20"/>
              </w:rPr>
            </w:pPr>
            <w:r w:rsidRPr="001611DC">
              <w:rPr>
                <w:sz w:val="20"/>
                <w:szCs w:val="20"/>
              </w:rPr>
              <w:t>2.26 (0.30 - 4.32)</w:t>
            </w:r>
          </w:p>
        </w:tc>
        <w:tc>
          <w:tcPr>
            <w:tcW w:w="836" w:type="pct"/>
          </w:tcPr>
          <w:p w14:paraId="62055C8F" w14:textId="77777777" w:rsidR="002F6E88" w:rsidRPr="001611DC" w:rsidRDefault="002F6E88" w:rsidP="009C2295">
            <w:pPr>
              <w:pStyle w:val="TableText0"/>
              <w:jc w:val="center"/>
              <w:rPr>
                <w:sz w:val="20"/>
                <w:szCs w:val="20"/>
              </w:rPr>
            </w:pPr>
            <w:r w:rsidRPr="001611DC">
              <w:rPr>
                <w:sz w:val="20"/>
                <w:szCs w:val="20"/>
              </w:rPr>
              <w:t>1.80 (0.30 - 3.51)</w:t>
            </w:r>
          </w:p>
        </w:tc>
        <w:tc>
          <w:tcPr>
            <w:tcW w:w="836" w:type="pct"/>
          </w:tcPr>
          <w:p w14:paraId="02BCBE0F" w14:textId="77777777" w:rsidR="002F6E88" w:rsidRPr="001611DC" w:rsidRDefault="002F6E88" w:rsidP="009C2295">
            <w:pPr>
              <w:pStyle w:val="TableText0"/>
              <w:jc w:val="center"/>
              <w:rPr>
                <w:sz w:val="20"/>
                <w:szCs w:val="20"/>
              </w:rPr>
            </w:pPr>
            <w:r w:rsidRPr="001611DC">
              <w:rPr>
                <w:sz w:val="20"/>
                <w:szCs w:val="20"/>
              </w:rPr>
              <w:t>2.10 (0.67 - 3.69)</w:t>
            </w:r>
          </w:p>
        </w:tc>
      </w:tr>
      <w:tr w:rsidR="002F6E88" w:rsidRPr="001611DC" w14:paraId="3BA79154" w14:textId="77777777" w:rsidTr="009C2295">
        <w:tc>
          <w:tcPr>
            <w:tcW w:w="5000" w:type="pct"/>
            <w:gridSpan w:val="5"/>
          </w:tcPr>
          <w:p w14:paraId="661E837F" w14:textId="77777777" w:rsidR="002F6E88" w:rsidRPr="001611DC" w:rsidRDefault="002F6E88" w:rsidP="009C2295">
            <w:pPr>
              <w:pStyle w:val="TableText0"/>
              <w:rPr>
                <w:sz w:val="20"/>
                <w:szCs w:val="20"/>
              </w:rPr>
            </w:pPr>
            <w:r w:rsidRPr="001611DC">
              <w:rPr>
                <w:sz w:val="20"/>
                <w:szCs w:val="20"/>
              </w:rPr>
              <w:t>Hospitalisation costs (AR-DRG E62A-B)</w:t>
            </w:r>
          </w:p>
        </w:tc>
      </w:tr>
      <w:tr w:rsidR="002F6E88" w:rsidRPr="001611DC" w14:paraId="2C2C13CD" w14:textId="77777777" w:rsidTr="009C2295">
        <w:tc>
          <w:tcPr>
            <w:tcW w:w="1657" w:type="pct"/>
          </w:tcPr>
          <w:p w14:paraId="267F1677" w14:textId="77777777" w:rsidR="002F6E88" w:rsidRPr="001611DC" w:rsidRDefault="002F6E88" w:rsidP="009C2295">
            <w:pPr>
              <w:pStyle w:val="TableText0"/>
              <w:rPr>
                <w:sz w:val="20"/>
                <w:szCs w:val="20"/>
              </w:rPr>
            </w:pPr>
            <w:r w:rsidRPr="001611DC">
              <w:rPr>
                <w:sz w:val="20"/>
                <w:szCs w:val="20"/>
              </w:rPr>
              <w:t>National Efficient Price</w:t>
            </w:r>
          </w:p>
        </w:tc>
        <w:tc>
          <w:tcPr>
            <w:tcW w:w="1671" w:type="pct"/>
            <w:gridSpan w:val="2"/>
          </w:tcPr>
          <w:p w14:paraId="748D89A0" w14:textId="1A8E15AA" w:rsidR="002F6E88" w:rsidRPr="001611DC" w:rsidRDefault="002F6E88" w:rsidP="009C2295">
            <w:pPr>
              <w:pStyle w:val="TableText0"/>
              <w:jc w:val="center"/>
              <w:rPr>
                <w:sz w:val="20"/>
                <w:szCs w:val="20"/>
              </w:rPr>
            </w:pPr>
            <w:r w:rsidRPr="001611DC">
              <w:rPr>
                <w:sz w:val="20"/>
                <w:szCs w:val="20"/>
              </w:rPr>
              <w:t>$</w:t>
            </w:r>
            <w:r w:rsidR="00BD3549" w:rsidRPr="00BD3549">
              <w:rPr>
                <w:color w:val="000000"/>
                <w:sz w:val="20"/>
                <w:szCs w:val="20"/>
                <w:shd w:val="solid" w:color="000000" w:fill="000000"/>
                <w14:textFill>
                  <w14:solidFill>
                    <w14:srgbClr w14:val="000000">
                      <w14:alpha w14:val="100000"/>
                    </w14:srgbClr>
                  </w14:solidFill>
                </w14:textFill>
              </w:rPr>
              <w:t>|</w:t>
            </w:r>
          </w:p>
        </w:tc>
        <w:tc>
          <w:tcPr>
            <w:tcW w:w="1671" w:type="pct"/>
            <w:gridSpan w:val="2"/>
          </w:tcPr>
          <w:p w14:paraId="74E5BA61" w14:textId="6C3F4026" w:rsidR="002F6E88" w:rsidRPr="001611DC" w:rsidRDefault="002F6E88" w:rsidP="009C2295">
            <w:pPr>
              <w:pStyle w:val="TableText0"/>
              <w:jc w:val="center"/>
              <w:rPr>
                <w:sz w:val="20"/>
                <w:szCs w:val="20"/>
              </w:rPr>
            </w:pPr>
            <w:r w:rsidRPr="001611DC">
              <w:rPr>
                <w:sz w:val="20"/>
                <w:szCs w:val="20"/>
              </w:rPr>
              <w:t>$</w:t>
            </w:r>
            <w:r w:rsidR="00BD3549" w:rsidRPr="00BD3549">
              <w:rPr>
                <w:color w:val="000000"/>
                <w:sz w:val="20"/>
                <w:szCs w:val="20"/>
                <w:shd w:val="solid" w:color="000000" w:fill="000000"/>
                <w14:textFill>
                  <w14:solidFill>
                    <w14:srgbClr w14:val="000000">
                      <w14:alpha w14:val="100000"/>
                    </w14:srgbClr>
                  </w14:solidFill>
                </w14:textFill>
              </w:rPr>
              <w:t>|</w:t>
            </w:r>
          </w:p>
        </w:tc>
      </w:tr>
      <w:tr w:rsidR="002F6E88" w:rsidRPr="001611DC" w14:paraId="0D37AD85" w14:textId="77777777" w:rsidTr="009C2295">
        <w:tc>
          <w:tcPr>
            <w:tcW w:w="1657" w:type="pct"/>
          </w:tcPr>
          <w:p w14:paraId="32005CFD" w14:textId="77777777" w:rsidR="002F6E88" w:rsidRPr="001611DC" w:rsidRDefault="002F6E88" w:rsidP="009C2295">
            <w:pPr>
              <w:pStyle w:val="TableText0"/>
              <w:rPr>
                <w:sz w:val="20"/>
                <w:szCs w:val="20"/>
              </w:rPr>
            </w:pPr>
            <w:r w:rsidRPr="001611DC">
              <w:rPr>
                <w:sz w:val="20"/>
                <w:szCs w:val="20"/>
              </w:rPr>
              <w:t>Cost weights (“Direct costs”!F154)</w:t>
            </w:r>
          </w:p>
        </w:tc>
        <w:tc>
          <w:tcPr>
            <w:tcW w:w="1671" w:type="pct"/>
            <w:gridSpan w:val="2"/>
          </w:tcPr>
          <w:p w14:paraId="52FC349E" w14:textId="77777777" w:rsidR="002F6E88" w:rsidRPr="001611DC" w:rsidRDefault="002F6E88" w:rsidP="009C2295">
            <w:pPr>
              <w:pStyle w:val="TableText0"/>
              <w:jc w:val="center"/>
              <w:rPr>
                <w:sz w:val="20"/>
                <w:szCs w:val="20"/>
              </w:rPr>
            </w:pPr>
            <w:r w:rsidRPr="001611DC">
              <w:rPr>
                <w:sz w:val="20"/>
                <w:szCs w:val="20"/>
              </w:rPr>
              <w:t>1.34</w:t>
            </w:r>
          </w:p>
        </w:tc>
        <w:tc>
          <w:tcPr>
            <w:tcW w:w="1671" w:type="pct"/>
            <w:gridSpan w:val="2"/>
          </w:tcPr>
          <w:p w14:paraId="307B8204" w14:textId="77777777" w:rsidR="002F6E88" w:rsidRPr="001611DC" w:rsidRDefault="002F6E88" w:rsidP="009C2295">
            <w:pPr>
              <w:pStyle w:val="TableText0"/>
              <w:jc w:val="center"/>
              <w:rPr>
                <w:sz w:val="20"/>
                <w:szCs w:val="20"/>
              </w:rPr>
            </w:pPr>
            <w:r w:rsidRPr="001611DC">
              <w:rPr>
                <w:sz w:val="20"/>
                <w:szCs w:val="20"/>
              </w:rPr>
              <w:t>1.43</w:t>
            </w:r>
          </w:p>
        </w:tc>
      </w:tr>
      <w:tr w:rsidR="002F6E88" w:rsidRPr="001611DC" w14:paraId="3C447C09" w14:textId="77777777" w:rsidTr="009C2295">
        <w:tc>
          <w:tcPr>
            <w:tcW w:w="1657" w:type="pct"/>
          </w:tcPr>
          <w:p w14:paraId="2C088788" w14:textId="77777777" w:rsidR="002F6E88" w:rsidRPr="001611DC" w:rsidRDefault="002F6E88" w:rsidP="009C2295">
            <w:pPr>
              <w:pStyle w:val="TableText0"/>
              <w:rPr>
                <w:sz w:val="20"/>
                <w:szCs w:val="20"/>
              </w:rPr>
            </w:pPr>
            <w:r w:rsidRPr="001611DC">
              <w:rPr>
                <w:sz w:val="20"/>
                <w:szCs w:val="20"/>
              </w:rPr>
              <w:t>Length of stay (LOS) (“Direct costs”!I154)</w:t>
            </w:r>
          </w:p>
        </w:tc>
        <w:tc>
          <w:tcPr>
            <w:tcW w:w="1671" w:type="pct"/>
            <w:gridSpan w:val="2"/>
          </w:tcPr>
          <w:p w14:paraId="5E44396E" w14:textId="77777777" w:rsidR="002F6E88" w:rsidRPr="001611DC" w:rsidRDefault="002F6E88" w:rsidP="009C2295">
            <w:pPr>
              <w:pStyle w:val="TableText0"/>
              <w:jc w:val="center"/>
              <w:rPr>
                <w:sz w:val="20"/>
                <w:szCs w:val="20"/>
              </w:rPr>
            </w:pPr>
            <w:r w:rsidRPr="001611DC">
              <w:rPr>
                <w:sz w:val="20"/>
                <w:szCs w:val="20"/>
              </w:rPr>
              <w:t>4.13</w:t>
            </w:r>
          </w:p>
        </w:tc>
        <w:tc>
          <w:tcPr>
            <w:tcW w:w="1671" w:type="pct"/>
            <w:gridSpan w:val="2"/>
          </w:tcPr>
          <w:p w14:paraId="7A5C26AC" w14:textId="77777777" w:rsidR="002F6E88" w:rsidRPr="001611DC" w:rsidRDefault="002F6E88" w:rsidP="009C2295">
            <w:pPr>
              <w:pStyle w:val="TableText0"/>
              <w:jc w:val="center"/>
              <w:rPr>
                <w:sz w:val="20"/>
                <w:szCs w:val="20"/>
              </w:rPr>
            </w:pPr>
            <w:r w:rsidRPr="001611DC">
              <w:rPr>
                <w:sz w:val="20"/>
                <w:szCs w:val="20"/>
              </w:rPr>
              <w:t>4.40</w:t>
            </w:r>
          </w:p>
        </w:tc>
      </w:tr>
    </w:tbl>
    <w:p w14:paraId="66F1427B" w14:textId="7FC04D83" w:rsidR="002F6E88" w:rsidRPr="001611DC" w:rsidRDefault="002F6E88" w:rsidP="002F6E88">
      <w:pPr>
        <w:pStyle w:val="FooterTableFigure"/>
      </w:pPr>
      <w:r w:rsidRPr="001611DC">
        <w:t>Source: Table 8, PSCR.</w:t>
      </w:r>
    </w:p>
    <w:p w14:paraId="2E7F72A3" w14:textId="5B8B7D56" w:rsidR="00C8735B" w:rsidRPr="001611DC" w:rsidRDefault="002F6E88" w:rsidP="008F7E57">
      <w:pPr>
        <w:pStyle w:val="FooterTableFigure"/>
      </w:pPr>
      <w:r w:rsidRPr="001611DC">
        <w:t xml:space="preserve">ARI = acute respiratory infection; AR-DRG = Australian refined diagnosis-related groups; CI = confidence interval; LRTD = lower respiratory tract disease; NHCDC = National Hospital Cost Data Collection; RSV= respiratory syncytial virus; VE = vaccine efficacy. </w:t>
      </w:r>
    </w:p>
    <w:p w14:paraId="13374F47" w14:textId="07F713FA" w:rsidR="00F626CA" w:rsidRPr="001611DC" w:rsidRDefault="00A00DD8">
      <w:pPr>
        <w:pStyle w:val="3-BodyText"/>
        <w:rPr>
          <w:iCs/>
        </w:rPr>
      </w:pPr>
      <w:r w:rsidRPr="001611DC">
        <w:rPr>
          <w:iCs/>
        </w:rPr>
        <w:t>T</w:t>
      </w:r>
      <w:r w:rsidR="00626435" w:rsidRPr="001611DC">
        <w:rPr>
          <w:iCs/>
        </w:rPr>
        <w:t>he</w:t>
      </w:r>
      <w:r w:rsidRPr="001611DC">
        <w:rPr>
          <w:iCs/>
        </w:rPr>
        <w:t xml:space="preserve"> results of the economic evaluation are presented in </w:t>
      </w:r>
      <w:r w:rsidR="008E3EC7" w:rsidRPr="001611DC">
        <w:rPr>
          <w:iCs/>
        </w:rPr>
        <w:fldChar w:fldCharType="begin" w:fldLock="1"/>
      </w:r>
      <w:r w:rsidR="008E3EC7" w:rsidRPr="001611DC">
        <w:rPr>
          <w:iCs/>
        </w:rPr>
        <w:instrText xml:space="preserve"> REF _Ref170068599 \h </w:instrText>
      </w:r>
      <w:r w:rsidR="0050118E" w:rsidRPr="001611DC">
        <w:rPr>
          <w:iCs/>
        </w:rPr>
        <w:instrText xml:space="preserve"> \* MERGEFORMAT </w:instrText>
      </w:r>
      <w:r w:rsidR="008E3EC7" w:rsidRPr="001611DC">
        <w:rPr>
          <w:iCs/>
        </w:rPr>
      </w:r>
      <w:r w:rsidR="008E3EC7" w:rsidRPr="001611DC">
        <w:rPr>
          <w:iCs/>
        </w:rPr>
        <w:fldChar w:fldCharType="separate"/>
      </w:r>
      <w:r w:rsidR="00927933" w:rsidRPr="001611DC">
        <w:rPr>
          <w:iCs/>
        </w:rPr>
        <w:t>Table 26</w:t>
      </w:r>
      <w:r w:rsidR="008E3EC7" w:rsidRPr="001611DC">
        <w:rPr>
          <w:iCs/>
        </w:rPr>
        <w:fldChar w:fldCharType="end"/>
      </w:r>
      <w:r w:rsidRPr="001611DC">
        <w:rPr>
          <w:iCs/>
        </w:rPr>
        <w:t xml:space="preserve"> by age cohorts</w:t>
      </w:r>
      <w:r w:rsidR="00FE65FF" w:rsidRPr="001611DC">
        <w:rPr>
          <w:iCs/>
        </w:rPr>
        <w:t xml:space="preserve"> using the submission’s base case settings</w:t>
      </w:r>
      <w:r w:rsidRPr="001611DC">
        <w:rPr>
          <w:iCs/>
        </w:rPr>
        <w:t>.</w:t>
      </w:r>
      <w:r w:rsidR="001F4410">
        <w:rPr>
          <w:iCs/>
        </w:rPr>
        <w:t xml:space="preserve"> </w:t>
      </w:r>
      <w:r w:rsidR="00F626CA" w:rsidRPr="001611DC">
        <w:rPr>
          <w:iCs/>
        </w:rPr>
        <w:t>The ESC noted that the results ranged from $</w:t>
      </w:r>
      <w:r w:rsidR="00A95398" w:rsidRPr="00A95398">
        <w:rPr>
          <w:iCs/>
        </w:rPr>
        <w:t>0</w:t>
      </w:r>
      <w:r w:rsidR="001F4410">
        <w:rPr>
          <w:iCs/>
        </w:rPr>
        <w:t> </w:t>
      </w:r>
      <w:r w:rsidR="00A95398" w:rsidRPr="00A95398">
        <w:rPr>
          <w:iCs/>
        </w:rPr>
        <w:t>to</w:t>
      </w:r>
      <w:r w:rsidR="001F4410">
        <w:rPr>
          <w:iCs/>
        </w:rPr>
        <w:t> </w:t>
      </w:r>
      <w:r w:rsidR="00A95398" w:rsidRPr="00A95398">
        <w:rPr>
          <w:iCs/>
        </w:rPr>
        <w:t>&lt; $5,000</w:t>
      </w:r>
      <w:r w:rsidR="00F626CA" w:rsidRPr="001611DC">
        <w:rPr>
          <w:iCs/>
        </w:rPr>
        <w:t xml:space="preserve">/QALY for the </w:t>
      </w:r>
      <w:r w:rsidR="00E2719A" w:rsidRPr="001611DC">
        <w:rPr>
          <w:iCs/>
        </w:rPr>
        <w:t>≥</w:t>
      </w:r>
      <w:r w:rsidR="00F626CA" w:rsidRPr="001611DC">
        <w:rPr>
          <w:iCs/>
        </w:rPr>
        <w:t>80 YOA age group, to $</w:t>
      </w:r>
      <w:r w:rsidR="004F7DDA" w:rsidRPr="004F7DDA">
        <w:rPr>
          <w:iCs/>
        </w:rPr>
        <w:t>25,000 to &lt; $35,000</w:t>
      </w:r>
      <w:r w:rsidR="00F626CA" w:rsidRPr="001611DC">
        <w:rPr>
          <w:iCs/>
        </w:rPr>
        <w:t xml:space="preserve">/QALY for the </w:t>
      </w:r>
      <w:r w:rsidR="00E2719A" w:rsidRPr="001611DC">
        <w:rPr>
          <w:iCs/>
        </w:rPr>
        <w:t>≥</w:t>
      </w:r>
      <w:r w:rsidR="00F626CA" w:rsidRPr="001611DC">
        <w:rPr>
          <w:iCs/>
        </w:rPr>
        <w:t>60 YOA age group.</w:t>
      </w:r>
      <w:r w:rsidR="001F4410">
        <w:rPr>
          <w:iCs/>
        </w:rPr>
        <w:t xml:space="preserve"> </w:t>
      </w:r>
      <w:r w:rsidR="00F626CA" w:rsidRPr="001611DC">
        <w:rPr>
          <w:iCs/>
        </w:rPr>
        <w:t>The ESC noted that the ICERs declined with increasing age</w:t>
      </w:r>
      <w:r w:rsidR="00631B18" w:rsidRPr="001611DC">
        <w:rPr>
          <w:iCs/>
        </w:rPr>
        <w:t xml:space="preserve"> and </w:t>
      </w:r>
      <w:r w:rsidR="000A1266" w:rsidRPr="001611DC">
        <w:rPr>
          <w:iCs/>
        </w:rPr>
        <w:t>that it was</w:t>
      </w:r>
      <w:r w:rsidR="00631B18" w:rsidRPr="001611DC">
        <w:rPr>
          <w:iCs/>
        </w:rPr>
        <w:t xml:space="preserve"> appropriate to </w:t>
      </w:r>
      <w:r w:rsidR="000A1266" w:rsidRPr="001611DC">
        <w:rPr>
          <w:iCs/>
        </w:rPr>
        <w:t xml:space="preserve">consider </w:t>
      </w:r>
      <w:r w:rsidR="000C011E" w:rsidRPr="001611DC">
        <w:rPr>
          <w:iCs/>
        </w:rPr>
        <w:t xml:space="preserve">the incremental population when considering the cost-effectiveness for a </w:t>
      </w:r>
      <w:r w:rsidR="003D147D" w:rsidRPr="001611DC">
        <w:rPr>
          <w:iCs/>
        </w:rPr>
        <w:t>broader</w:t>
      </w:r>
      <w:r w:rsidR="000C011E" w:rsidRPr="001611DC">
        <w:rPr>
          <w:iCs/>
        </w:rPr>
        <w:t xml:space="preserve"> group</w:t>
      </w:r>
      <w:r w:rsidR="00997CF8" w:rsidRPr="001611DC">
        <w:rPr>
          <w:iCs/>
        </w:rPr>
        <w:t xml:space="preserve"> </w:t>
      </w:r>
      <w:r w:rsidR="0049211D" w:rsidRPr="001611DC">
        <w:rPr>
          <w:iCs/>
        </w:rPr>
        <w:t xml:space="preserve">(see </w:t>
      </w:r>
      <w:r w:rsidR="008E3EC7" w:rsidRPr="001611DC">
        <w:rPr>
          <w:iCs/>
        </w:rPr>
        <w:fldChar w:fldCharType="begin" w:fldLock="1"/>
      </w:r>
      <w:r w:rsidR="008E3EC7" w:rsidRPr="001611DC">
        <w:rPr>
          <w:iCs/>
        </w:rPr>
        <w:instrText xml:space="preserve"> REF _Ref169885114 \h </w:instrText>
      </w:r>
      <w:r w:rsidR="0050118E" w:rsidRPr="001611DC">
        <w:rPr>
          <w:iCs/>
        </w:rPr>
        <w:instrText xml:space="preserve"> \* MERGEFORMAT </w:instrText>
      </w:r>
      <w:r w:rsidR="008E3EC7" w:rsidRPr="001611DC">
        <w:rPr>
          <w:iCs/>
        </w:rPr>
      </w:r>
      <w:r w:rsidR="008E3EC7" w:rsidRPr="001611DC">
        <w:rPr>
          <w:iCs/>
        </w:rPr>
        <w:fldChar w:fldCharType="separate"/>
      </w:r>
      <w:r w:rsidR="00927933" w:rsidRPr="001611DC">
        <w:rPr>
          <w:iCs/>
        </w:rPr>
        <w:t>Table 27</w:t>
      </w:r>
      <w:r w:rsidR="008E3EC7" w:rsidRPr="001611DC">
        <w:rPr>
          <w:iCs/>
        </w:rPr>
        <w:fldChar w:fldCharType="end"/>
      </w:r>
      <w:r w:rsidR="0049211D" w:rsidRPr="001611DC">
        <w:rPr>
          <w:iCs/>
        </w:rPr>
        <w:t>)</w:t>
      </w:r>
      <w:r w:rsidR="00FF1546" w:rsidRPr="001611DC">
        <w:rPr>
          <w:iCs/>
        </w:rPr>
        <w:t>.</w:t>
      </w:r>
      <w:r w:rsidR="001F4410">
        <w:rPr>
          <w:iCs/>
        </w:rPr>
        <w:t xml:space="preserve"> </w:t>
      </w:r>
      <w:r w:rsidR="00FF1546" w:rsidRPr="001611DC">
        <w:rPr>
          <w:iCs/>
        </w:rPr>
        <w:t xml:space="preserve">The ESC noted that the ICERs presented in </w:t>
      </w:r>
      <w:r w:rsidR="00FF1546" w:rsidRPr="001611DC">
        <w:rPr>
          <w:iCs/>
        </w:rPr>
        <w:fldChar w:fldCharType="begin" w:fldLock="1"/>
      </w:r>
      <w:r w:rsidR="00FF1546" w:rsidRPr="001611DC">
        <w:rPr>
          <w:iCs/>
        </w:rPr>
        <w:instrText xml:space="preserve"> REF _Ref104804865 \h  \* MERGEFORMAT </w:instrText>
      </w:r>
      <w:r w:rsidR="00FF1546" w:rsidRPr="001611DC">
        <w:rPr>
          <w:iCs/>
        </w:rPr>
      </w:r>
      <w:r w:rsidR="00FF1546" w:rsidRPr="001611DC">
        <w:rPr>
          <w:iCs/>
        </w:rPr>
        <w:fldChar w:fldCharType="separate"/>
      </w:r>
      <w:r w:rsidR="00927933" w:rsidRPr="001611DC">
        <w:rPr>
          <w:iCs/>
        </w:rPr>
        <w:t>Table 24</w:t>
      </w:r>
      <w:r w:rsidR="00FF1546" w:rsidRPr="001611DC">
        <w:rPr>
          <w:iCs/>
        </w:rPr>
        <w:fldChar w:fldCharType="end"/>
      </w:r>
      <w:r w:rsidR="00FF1546" w:rsidRPr="001611DC">
        <w:rPr>
          <w:iCs/>
        </w:rPr>
        <w:t xml:space="preserve"> all included the most cost-effective (oldest </w:t>
      </w:r>
      <w:r w:rsidR="00F57280" w:rsidRPr="001611DC">
        <w:rPr>
          <w:iCs/>
        </w:rPr>
        <w:t>age group</w:t>
      </w:r>
      <w:r w:rsidR="00FF1546" w:rsidRPr="001611DC">
        <w:rPr>
          <w:iCs/>
        </w:rPr>
        <w:t>)</w:t>
      </w:r>
      <w:r w:rsidR="0049211D" w:rsidRPr="001611DC">
        <w:rPr>
          <w:iCs/>
        </w:rPr>
        <w:t xml:space="preserve">, </w:t>
      </w:r>
      <w:r w:rsidR="006F275E" w:rsidRPr="001611DC">
        <w:rPr>
          <w:iCs/>
        </w:rPr>
        <w:t>and do not consider the incremental</w:t>
      </w:r>
      <w:r w:rsidR="0049211D" w:rsidRPr="001611DC">
        <w:rPr>
          <w:iCs/>
        </w:rPr>
        <w:t xml:space="preserve"> impact of including younger </w:t>
      </w:r>
      <w:r w:rsidR="00F57280" w:rsidRPr="001611DC">
        <w:rPr>
          <w:iCs/>
        </w:rPr>
        <w:t>age groups</w:t>
      </w:r>
      <w:r w:rsidR="00FF1546" w:rsidRPr="001611DC">
        <w:rPr>
          <w:iCs/>
        </w:rPr>
        <w:t>.</w:t>
      </w:r>
      <w:r w:rsidR="00261D99" w:rsidRPr="001611DC">
        <w:rPr>
          <w:iCs/>
        </w:rPr>
        <w:t xml:space="preserve"> </w:t>
      </w:r>
    </w:p>
    <w:p w14:paraId="43788763" w14:textId="3F43A495" w:rsidR="00626435" w:rsidRPr="001611DC" w:rsidRDefault="00626435" w:rsidP="00626435">
      <w:pPr>
        <w:pStyle w:val="Caption"/>
        <w:rPr>
          <w:rStyle w:val="CommentReference"/>
          <w:b/>
        </w:rPr>
      </w:pPr>
      <w:bookmarkStart w:id="153" w:name="_Ref170068599"/>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26</w:t>
      </w:r>
      <w:r w:rsidR="005473CE" w:rsidRPr="001611DC">
        <w:fldChar w:fldCharType="end"/>
      </w:r>
      <w:bookmarkEnd w:id="153"/>
      <w:r w:rsidRPr="001611DC">
        <w:t>:</w:t>
      </w:r>
      <w:r w:rsidRPr="6230B819">
        <w:rPr>
          <w:rStyle w:val="CommentReference"/>
          <w:b/>
        </w:rPr>
        <w:t xml:space="preserve"> Results of the economic evaluation</w:t>
      </w:r>
      <w:r w:rsidR="002F736F" w:rsidRPr="6230B819">
        <w:rPr>
          <w:rStyle w:val="CommentReference"/>
          <w:b/>
        </w:rPr>
        <w:t xml:space="preserve"> by age cohorts, </w:t>
      </w:r>
      <w:r w:rsidR="00E2719A" w:rsidRPr="001611DC">
        <w:t>≥</w:t>
      </w:r>
      <w:r w:rsidR="002F736F" w:rsidRPr="001611DC">
        <w:t xml:space="preserve">60 YOA, </w:t>
      </w:r>
      <w:r w:rsidR="00E2719A" w:rsidRPr="001611DC">
        <w:t>≥</w:t>
      </w:r>
      <w:r w:rsidR="002F736F" w:rsidRPr="001611DC">
        <w:t xml:space="preserve">65 YOA, </w:t>
      </w:r>
      <w:r w:rsidR="00E2719A" w:rsidRPr="001611DC">
        <w:t>≥</w:t>
      </w:r>
      <w:r w:rsidR="002F736F" w:rsidRPr="001611DC">
        <w:t xml:space="preserve">70 YOA, </w:t>
      </w:r>
      <w:r w:rsidR="00E2719A" w:rsidRPr="001611DC">
        <w:t>≥</w:t>
      </w:r>
      <w:r w:rsidR="002F736F" w:rsidRPr="001611DC">
        <w:t xml:space="preserve">75 YOA, </w:t>
      </w:r>
      <w:r w:rsidR="00E2719A" w:rsidRPr="001611DC">
        <w:t>≥</w:t>
      </w:r>
      <w:r w:rsidR="002F736F" w:rsidRPr="001611DC">
        <w:t>80 YOA</w:t>
      </w:r>
      <w:r w:rsidR="00FE65FF" w:rsidRPr="001611DC">
        <w:t xml:space="preserve"> (submission base case settings)</w:t>
      </w:r>
    </w:p>
    <w:tbl>
      <w:tblPr>
        <w:tblW w:w="5000" w:type="pct"/>
        <w:tblLook w:val="04A0" w:firstRow="1" w:lastRow="0" w:firstColumn="1" w:lastColumn="0" w:noHBand="0" w:noVBand="1"/>
        <w:tblCaption w:val="Table 26: Results of the economic evaluation by age cohorts, ≥60 YOA, ≥65 YOA, ≥70 YOA, ≥75 YOA, ≥80 YOA (submission base case settings)"/>
      </w:tblPr>
      <w:tblGrid>
        <w:gridCol w:w="3135"/>
        <w:gridCol w:w="1958"/>
        <w:gridCol w:w="1958"/>
        <w:gridCol w:w="1966"/>
      </w:tblGrid>
      <w:tr w:rsidR="00626435" w:rsidRPr="001611DC" w14:paraId="77719F37" w14:textId="77777777" w:rsidTr="00626435">
        <w:trPr>
          <w:trHeight w:val="276"/>
          <w:tblHeader/>
        </w:trPr>
        <w:tc>
          <w:tcPr>
            <w:tcW w:w="17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E55C9" w14:textId="77777777" w:rsidR="00626435" w:rsidRPr="001611DC" w:rsidRDefault="00626435" w:rsidP="00F626CA">
            <w:pPr>
              <w:pStyle w:val="TableText0"/>
              <w:rPr>
                <w:b/>
                <w:bCs w:val="0"/>
              </w:rPr>
            </w:pPr>
            <w:r w:rsidRPr="001611DC">
              <w:rPr>
                <w:b/>
                <w:bCs w:val="0"/>
              </w:rPr>
              <w:t>Estimate</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14:paraId="607DB73D" w14:textId="77777777" w:rsidR="00626435" w:rsidRPr="001611DC" w:rsidRDefault="00626435" w:rsidP="00F626CA">
            <w:pPr>
              <w:pStyle w:val="TableText0"/>
              <w:rPr>
                <w:b/>
                <w:bCs w:val="0"/>
              </w:rPr>
            </w:pPr>
            <w:r w:rsidRPr="001611DC">
              <w:rPr>
                <w:b/>
                <w:bCs w:val="0"/>
              </w:rPr>
              <w:t>RSVPreF3 OA</w:t>
            </w:r>
          </w:p>
        </w:tc>
        <w:tc>
          <w:tcPr>
            <w:tcW w:w="1086" w:type="pct"/>
            <w:tcBorders>
              <w:top w:val="single" w:sz="4" w:space="0" w:color="auto"/>
              <w:left w:val="nil"/>
              <w:bottom w:val="single" w:sz="4" w:space="0" w:color="auto"/>
              <w:right w:val="single" w:sz="4" w:space="0" w:color="auto"/>
            </w:tcBorders>
            <w:shd w:val="clear" w:color="auto" w:fill="auto"/>
            <w:noWrap/>
            <w:vAlign w:val="center"/>
            <w:hideMark/>
          </w:tcPr>
          <w:p w14:paraId="51EB9A57" w14:textId="77777777" w:rsidR="00626435" w:rsidRPr="001611DC" w:rsidRDefault="00626435" w:rsidP="00F626CA">
            <w:pPr>
              <w:pStyle w:val="TableText0"/>
              <w:rPr>
                <w:b/>
                <w:bCs w:val="0"/>
              </w:rPr>
            </w:pPr>
            <w:r w:rsidRPr="001611DC">
              <w:rPr>
                <w:b/>
                <w:bCs w:val="0"/>
              </w:rPr>
              <w:t>No vaccine</w:t>
            </w:r>
          </w:p>
        </w:tc>
        <w:tc>
          <w:tcPr>
            <w:tcW w:w="1090" w:type="pct"/>
            <w:tcBorders>
              <w:top w:val="single" w:sz="4" w:space="0" w:color="auto"/>
              <w:left w:val="nil"/>
              <w:bottom w:val="single" w:sz="4" w:space="0" w:color="auto"/>
              <w:right w:val="single" w:sz="4" w:space="0" w:color="auto"/>
            </w:tcBorders>
            <w:shd w:val="clear" w:color="auto" w:fill="auto"/>
            <w:noWrap/>
            <w:vAlign w:val="center"/>
            <w:hideMark/>
          </w:tcPr>
          <w:p w14:paraId="568CED1F" w14:textId="77777777" w:rsidR="00626435" w:rsidRPr="001611DC" w:rsidRDefault="00626435" w:rsidP="00F626CA">
            <w:pPr>
              <w:pStyle w:val="TableText0"/>
              <w:rPr>
                <w:b/>
                <w:bCs w:val="0"/>
              </w:rPr>
            </w:pPr>
            <w:r w:rsidRPr="001611DC">
              <w:rPr>
                <w:b/>
                <w:bCs w:val="0"/>
              </w:rPr>
              <w:t>Incremental difference</w:t>
            </w:r>
          </w:p>
        </w:tc>
      </w:tr>
      <w:tr w:rsidR="00626435" w:rsidRPr="001611DC" w14:paraId="64D776F9" w14:textId="77777777" w:rsidTr="008F5D30">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CF602D4" w14:textId="77777777" w:rsidR="00626435" w:rsidRPr="001611DC" w:rsidRDefault="00626435" w:rsidP="00F626CA">
            <w:pPr>
              <w:pStyle w:val="TableText0"/>
              <w:rPr>
                <w:b/>
                <w:bCs w:val="0"/>
              </w:rPr>
            </w:pPr>
            <w:r w:rsidRPr="001611DC">
              <w:rPr>
                <w:b/>
                <w:bCs w:val="0"/>
              </w:rPr>
              <w:t>Base-case populations</w:t>
            </w:r>
          </w:p>
        </w:tc>
      </w:tr>
      <w:tr w:rsidR="00626435" w:rsidRPr="001611DC" w14:paraId="3C7A47DF" w14:textId="77777777">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FC273E" w14:textId="77C2BF38" w:rsidR="00626435" w:rsidRPr="001611DC" w:rsidRDefault="00626435" w:rsidP="00F626CA">
            <w:pPr>
              <w:pStyle w:val="TableText0"/>
              <w:rPr>
                <w:b/>
                <w:bCs w:val="0"/>
              </w:rPr>
            </w:pPr>
            <w:r w:rsidRPr="001611DC">
              <w:rPr>
                <w:b/>
                <w:bCs w:val="0"/>
              </w:rPr>
              <w:t xml:space="preserve">TGA indication: </w:t>
            </w:r>
            <w:r w:rsidR="00E2719A" w:rsidRPr="001611DC">
              <w:rPr>
                <w:b/>
                <w:bCs w:val="0"/>
              </w:rPr>
              <w:t>≥</w:t>
            </w:r>
            <w:r w:rsidRPr="001611DC">
              <w:rPr>
                <w:b/>
                <w:bCs w:val="0"/>
              </w:rPr>
              <w:t>60 YOA</w:t>
            </w:r>
          </w:p>
        </w:tc>
      </w:tr>
      <w:tr w:rsidR="00626435" w:rsidRPr="001611DC" w14:paraId="73239775"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tcPr>
          <w:p w14:paraId="3A240164" w14:textId="77777777" w:rsidR="00626435" w:rsidRPr="001611DC" w:rsidRDefault="00626435" w:rsidP="00F626CA">
            <w:pPr>
              <w:pStyle w:val="TableText0"/>
            </w:pPr>
            <w:r w:rsidRPr="001611DC">
              <w:t>Population</w:t>
            </w:r>
          </w:p>
        </w:tc>
        <w:tc>
          <w:tcPr>
            <w:tcW w:w="1086" w:type="pct"/>
            <w:tcBorders>
              <w:top w:val="nil"/>
              <w:left w:val="nil"/>
              <w:bottom w:val="single" w:sz="4" w:space="0" w:color="auto"/>
              <w:right w:val="single" w:sz="4" w:space="0" w:color="auto"/>
            </w:tcBorders>
            <w:shd w:val="solid" w:color="000000" w:fill="000000"/>
            <w:noWrap/>
            <w:vAlign w:val="center"/>
          </w:tcPr>
          <w:p w14:paraId="125628D5" w14:textId="76431690" w:rsidR="00626435" w:rsidRPr="00C019ED" w:rsidRDefault="00BD3549" w:rsidP="00F626CA">
            <w:pPr>
              <w:pStyle w:val="TableText0"/>
              <w:rPr>
                <w:highlight w:val="lightGray"/>
              </w:rPr>
            </w:pPr>
            <w:r w:rsidRPr="00BD3549">
              <w:rPr>
                <w:color w:val="000000"/>
                <w:spacing w:val="53"/>
                <w:fitText w:val="330" w:id="-893676800"/>
                <w14:textFill>
                  <w14:solidFill>
                    <w14:srgbClr w14:val="000000">
                      <w14:alpha w14:val="100000"/>
                    </w14:srgbClr>
                  </w14:solidFill>
                </w14:textFill>
              </w:rPr>
              <w:t>|||</w:t>
            </w:r>
            <w:r w:rsidRPr="00BD3549">
              <w:rPr>
                <w:color w:val="000000"/>
                <w:spacing w:val="1"/>
                <w:fitText w:val="330" w:id="-893676800"/>
                <w14:textFill>
                  <w14:solidFill>
                    <w14:srgbClr w14:val="000000">
                      <w14:alpha w14:val="100000"/>
                    </w14:srgbClr>
                  </w14:solidFill>
                </w14:textFill>
              </w:rPr>
              <w:t>|</w:t>
            </w:r>
          </w:p>
        </w:tc>
        <w:tc>
          <w:tcPr>
            <w:tcW w:w="1086" w:type="pct"/>
            <w:tcBorders>
              <w:top w:val="nil"/>
              <w:left w:val="nil"/>
              <w:bottom w:val="single" w:sz="4" w:space="0" w:color="auto"/>
              <w:right w:val="single" w:sz="4" w:space="0" w:color="auto"/>
            </w:tcBorders>
            <w:shd w:val="solid" w:color="000000" w:fill="000000"/>
            <w:noWrap/>
            <w:vAlign w:val="center"/>
          </w:tcPr>
          <w:p w14:paraId="0E691C25" w14:textId="67E6FE1B" w:rsidR="00626435" w:rsidRPr="00C019ED" w:rsidRDefault="00BD3549" w:rsidP="00F626CA">
            <w:pPr>
              <w:pStyle w:val="TableText0"/>
              <w:rPr>
                <w:highlight w:val="lightGray"/>
              </w:rPr>
            </w:pPr>
            <w:r w:rsidRPr="00BD3549">
              <w:rPr>
                <w:color w:val="000000"/>
                <w:spacing w:val="53"/>
                <w:fitText w:val="330" w:id="-893676799"/>
                <w14:textFill>
                  <w14:solidFill>
                    <w14:srgbClr w14:val="000000">
                      <w14:alpha w14:val="100000"/>
                    </w14:srgbClr>
                  </w14:solidFill>
                </w14:textFill>
              </w:rPr>
              <w:t>|||</w:t>
            </w:r>
            <w:r w:rsidRPr="00BD3549">
              <w:rPr>
                <w:color w:val="000000"/>
                <w:spacing w:val="1"/>
                <w:fitText w:val="330" w:id="-893676799"/>
                <w14:textFill>
                  <w14:solidFill>
                    <w14:srgbClr w14:val="000000">
                      <w14:alpha w14:val="100000"/>
                    </w14:srgbClr>
                  </w14:solidFill>
                </w14:textFill>
              </w:rPr>
              <w:t>|</w:t>
            </w:r>
          </w:p>
        </w:tc>
        <w:tc>
          <w:tcPr>
            <w:tcW w:w="1090" w:type="pct"/>
            <w:tcBorders>
              <w:top w:val="nil"/>
              <w:left w:val="nil"/>
              <w:bottom w:val="single" w:sz="4" w:space="0" w:color="auto"/>
              <w:right w:val="single" w:sz="4" w:space="0" w:color="auto"/>
            </w:tcBorders>
            <w:shd w:val="clear" w:color="auto" w:fill="auto"/>
            <w:noWrap/>
            <w:vAlign w:val="center"/>
          </w:tcPr>
          <w:p w14:paraId="716963B9" w14:textId="77777777" w:rsidR="00626435" w:rsidRPr="001611DC" w:rsidRDefault="00626435" w:rsidP="00F626CA">
            <w:pPr>
              <w:pStyle w:val="TableText0"/>
            </w:pPr>
            <w:r w:rsidRPr="001611DC">
              <w:t>-</w:t>
            </w:r>
          </w:p>
        </w:tc>
      </w:tr>
      <w:tr w:rsidR="00626435" w:rsidRPr="001611DC" w14:paraId="1EDA594F"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37764908" w14:textId="2B2E2235" w:rsidR="00626435" w:rsidRPr="001611DC" w:rsidRDefault="00626435" w:rsidP="00F626CA">
            <w:pPr>
              <w:pStyle w:val="TableText0"/>
            </w:pPr>
            <w:r w:rsidRPr="001611DC">
              <w:t>Direct costs</w:t>
            </w:r>
            <w:r w:rsidR="00C019ED">
              <w:t xml:space="preserve"> ($)</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4FDC968A" w14:textId="320FAAC5" w:rsidR="00626435" w:rsidRPr="00C019ED" w:rsidRDefault="00BD3549" w:rsidP="00F626CA">
            <w:pPr>
              <w:pStyle w:val="TableText0"/>
              <w:rPr>
                <w:highlight w:val="lightGray"/>
              </w:rPr>
            </w:pPr>
            <w:r w:rsidRPr="00BD3549">
              <w:rPr>
                <w:color w:val="000000"/>
                <w:spacing w:val="53"/>
                <w:fitText w:val="330" w:id="-893676798"/>
                <w14:textFill>
                  <w14:solidFill>
                    <w14:srgbClr w14:val="000000">
                      <w14:alpha w14:val="100000"/>
                    </w14:srgbClr>
                  </w14:solidFill>
                </w14:textFill>
              </w:rPr>
              <w:t>|||</w:t>
            </w:r>
            <w:r w:rsidRPr="00BD3549">
              <w:rPr>
                <w:color w:val="000000"/>
                <w:spacing w:val="1"/>
                <w:fitText w:val="330" w:id="-893676798"/>
                <w14:textFill>
                  <w14:solidFill>
                    <w14:srgbClr w14:val="000000">
                      <w14:alpha w14:val="100000"/>
                    </w14:srgbClr>
                  </w14:solidFill>
                </w14:textFill>
              </w:rPr>
              <w:t>|</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5C8815C8" w14:textId="2E795161" w:rsidR="00626435" w:rsidRPr="00C019ED" w:rsidRDefault="00BD3549" w:rsidP="00F626CA">
            <w:pPr>
              <w:pStyle w:val="TableText0"/>
              <w:rPr>
                <w:highlight w:val="lightGray"/>
              </w:rPr>
            </w:pPr>
            <w:r w:rsidRPr="00BD3549">
              <w:rPr>
                <w:color w:val="000000"/>
                <w:spacing w:val="53"/>
                <w:fitText w:val="330" w:id="-893676797"/>
                <w14:textFill>
                  <w14:solidFill>
                    <w14:srgbClr w14:val="000000">
                      <w14:alpha w14:val="100000"/>
                    </w14:srgbClr>
                  </w14:solidFill>
                </w14:textFill>
              </w:rPr>
              <w:t>|||</w:t>
            </w:r>
            <w:r w:rsidRPr="00BD3549">
              <w:rPr>
                <w:color w:val="000000"/>
                <w:spacing w:val="1"/>
                <w:fitText w:val="330" w:id="-893676797"/>
                <w14:textFill>
                  <w14:solidFill>
                    <w14:srgbClr w14:val="000000">
                      <w14:alpha w14:val="100000"/>
                    </w14:srgbClr>
                  </w14:solidFill>
                </w14:textFill>
              </w:rPr>
              <w:t>|</w:t>
            </w:r>
          </w:p>
        </w:tc>
        <w:tc>
          <w:tcPr>
            <w:tcW w:w="1090" w:type="pct"/>
            <w:tcBorders>
              <w:top w:val="single" w:sz="4" w:space="0" w:color="auto"/>
              <w:left w:val="nil"/>
              <w:bottom w:val="single" w:sz="4" w:space="0" w:color="auto"/>
              <w:right w:val="single" w:sz="4" w:space="0" w:color="auto"/>
            </w:tcBorders>
            <w:shd w:val="solid" w:color="000000" w:fill="000000"/>
            <w:noWrap/>
            <w:vAlign w:val="center"/>
          </w:tcPr>
          <w:p w14:paraId="6BB877D7" w14:textId="23506575" w:rsidR="00626435" w:rsidRPr="00C019ED" w:rsidRDefault="00BD3549" w:rsidP="00F626CA">
            <w:pPr>
              <w:pStyle w:val="TableText0"/>
              <w:rPr>
                <w:highlight w:val="lightGray"/>
              </w:rPr>
            </w:pPr>
            <w:r w:rsidRPr="00BD3549">
              <w:rPr>
                <w:color w:val="000000"/>
                <w:spacing w:val="53"/>
                <w:fitText w:val="330" w:id="-893676796"/>
                <w14:textFill>
                  <w14:solidFill>
                    <w14:srgbClr w14:val="000000">
                      <w14:alpha w14:val="100000"/>
                    </w14:srgbClr>
                  </w14:solidFill>
                </w14:textFill>
              </w:rPr>
              <w:t>|||</w:t>
            </w:r>
            <w:r w:rsidRPr="00BD3549">
              <w:rPr>
                <w:color w:val="000000"/>
                <w:spacing w:val="1"/>
                <w:fitText w:val="330" w:id="-893676796"/>
                <w14:textFill>
                  <w14:solidFill>
                    <w14:srgbClr w14:val="000000">
                      <w14:alpha w14:val="100000"/>
                    </w14:srgbClr>
                  </w14:solidFill>
                </w14:textFill>
              </w:rPr>
              <w:t>|</w:t>
            </w:r>
          </w:p>
        </w:tc>
      </w:tr>
      <w:tr w:rsidR="00626435" w:rsidRPr="001611DC" w14:paraId="265EE87B"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39A0FC3F" w14:textId="77777777" w:rsidR="00626435" w:rsidRPr="001611DC" w:rsidRDefault="00626435" w:rsidP="00F626CA">
            <w:pPr>
              <w:pStyle w:val="TableText0"/>
            </w:pPr>
            <w:r w:rsidRPr="001611DC">
              <w:t>LYS lost</w:t>
            </w:r>
          </w:p>
        </w:tc>
        <w:tc>
          <w:tcPr>
            <w:tcW w:w="1086" w:type="pct"/>
            <w:tcBorders>
              <w:top w:val="nil"/>
              <w:left w:val="nil"/>
              <w:bottom w:val="single" w:sz="4" w:space="0" w:color="auto"/>
              <w:right w:val="single" w:sz="4" w:space="0" w:color="auto"/>
            </w:tcBorders>
            <w:shd w:val="clear" w:color="auto" w:fill="auto"/>
            <w:noWrap/>
            <w:vAlign w:val="center"/>
          </w:tcPr>
          <w:p w14:paraId="6FF9E0D7" w14:textId="77777777" w:rsidR="00626435" w:rsidRPr="001611DC" w:rsidRDefault="00626435" w:rsidP="00F626CA">
            <w:pPr>
              <w:pStyle w:val="TableText0"/>
            </w:pPr>
            <w:r w:rsidRPr="001611DC">
              <w:t>19,389</w:t>
            </w:r>
          </w:p>
        </w:tc>
        <w:tc>
          <w:tcPr>
            <w:tcW w:w="1086" w:type="pct"/>
            <w:tcBorders>
              <w:top w:val="nil"/>
              <w:left w:val="nil"/>
              <w:bottom w:val="single" w:sz="4" w:space="0" w:color="auto"/>
              <w:right w:val="single" w:sz="4" w:space="0" w:color="auto"/>
            </w:tcBorders>
            <w:shd w:val="clear" w:color="auto" w:fill="auto"/>
            <w:noWrap/>
            <w:vAlign w:val="center"/>
          </w:tcPr>
          <w:p w14:paraId="60337DC8" w14:textId="77777777" w:rsidR="00626435" w:rsidRPr="001611DC" w:rsidRDefault="00626435" w:rsidP="00F626CA">
            <w:pPr>
              <w:pStyle w:val="TableText0"/>
            </w:pPr>
            <w:r w:rsidRPr="001611DC">
              <w:t>42,358</w:t>
            </w:r>
          </w:p>
        </w:tc>
        <w:tc>
          <w:tcPr>
            <w:tcW w:w="1090" w:type="pct"/>
            <w:tcBorders>
              <w:top w:val="nil"/>
              <w:left w:val="nil"/>
              <w:bottom w:val="single" w:sz="4" w:space="0" w:color="auto"/>
              <w:right w:val="single" w:sz="4" w:space="0" w:color="auto"/>
            </w:tcBorders>
            <w:shd w:val="clear" w:color="auto" w:fill="auto"/>
            <w:noWrap/>
            <w:vAlign w:val="center"/>
          </w:tcPr>
          <w:p w14:paraId="326D4E3A" w14:textId="77777777" w:rsidR="00626435" w:rsidRPr="001611DC" w:rsidRDefault="00626435" w:rsidP="00F626CA">
            <w:pPr>
              <w:pStyle w:val="TableText0"/>
            </w:pPr>
            <w:r w:rsidRPr="001611DC">
              <w:t>-22,969</w:t>
            </w:r>
          </w:p>
        </w:tc>
      </w:tr>
      <w:tr w:rsidR="00626435" w:rsidRPr="001611DC" w14:paraId="2813AE44"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22096F42" w14:textId="77777777" w:rsidR="00626435" w:rsidRPr="001611DC" w:rsidRDefault="00626435" w:rsidP="00F626CA">
            <w:pPr>
              <w:pStyle w:val="TableText0"/>
            </w:pPr>
            <w:r w:rsidRPr="001611DC">
              <w:t>QALYs lost</w:t>
            </w:r>
          </w:p>
        </w:tc>
        <w:tc>
          <w:tcPr>
            <w:tcW w:w="1086" w:type="pct"/>
            <w:tcBorders>
              <w:top w:val="nil"/>
              <w:left w:val="nil"/>
              <w:bottom w:val="single" w:sz="4" w:space="0" w:color="auto"/>
              <w:right w:val="single" w:sz="4" w:space="0" w:color="auto"/>
            </w:tcBorders>
            <w:shd w:val="clear" w:color="auto" w:fill="auto"/>
            <w:noWrap/>
            <w:vAlign w:val="center"/>
          </w:tcPr>
          <w:p w14:paraId="5EFDEFC5" w14:textId="77777777" w:rsidR="00626435" w:rsidRPr="001611DC" w:rsidRDefault="00626435" w:rsidP="00F626CA">
            <w:pPr>
              <w:pStyle w:val="TableText0"/>
            </w:pPr>
            <w:r w:rsidRPr="001611DC">
              <w:t>25,830</w:t>
            </w:r>
          </w:p>
        </w:tc>
        <w:tc>
          <w:tcPr>
            <w:tcW w:w="1086" w:type="pct"/>
            <w:tcBorders>
              <w:top w:val="nil"/>
              <w:left w:val="nil"/>
              <w:bottom w:val="single" w:sz="4" w:space="0" w:color="auto"/>
              <w:right w:val="single" w:sz="4" w:space="0" w:color="auto"/>
            </w:tcBorders>
            <w:shd w:val="clear" w:color="auto" w:fill="auto"/>
            <w:noWrap/>
            <w:vAlign w:val="center"/>
          </w:tcPr>
          <w:p w14:paraId="4EE44CA1" w14:textId="77777777" w:rsidR="00626435" w:rsidRPr="001611DC" w:rsidRDefault="00626435" w:rsidP="00F626CA">
            <w:pPr>
              <w:pStyle w:val="TableText0"/>
            </w:pPr>
            <w:r w:rsidRPr="001611DC">
              <w:t>51,317</w:t>
            </w:r>
          </w:p>
        </w:tc>
        <w:tc>
          <w:tcPr>
            <w:tcW w:w="1090" w:type="pct"/>
            <w:tcBorders>
              <w:top w:val="nil"/>
              <w:left w:val="nil"/>
              <w:bottom w:val="single" w:sz="4" w:space="0" w:color="auto"/>
              <w:right w:val="single" w:sz="4" w:space="0" w:color="auto"/>
            </w:tcBorders>
            <w:shd w:val="clear" w:color="auto" w:fill="auto"/>
            <w:noWrap/>
            <w:vAlign w:val="center"/>
          </w:tcPr>
          <w:p w14:paraId="275CA431" w14:textId="77777777" w:rsidR="00626435" w:rsidRPr="001611DC" w:rsidRDefault="00626435" w:rsidP="00F626CA">
            <w:pPr>
              <w:pStyle w:val="TableText0"/>
            </w:pPr>
            <w:r w:rsidRPr="001611DC">
              <w:t>-25,486</w:t>
            </w:r>
          </w:p>
        </w:tc>
      </w:tr>
      <w:tr w:rsidR="00626435" w:rsidRPr="001611DC" w14:paraId="39A4D306"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16111E9A" w14:textId="77777777" w:rsidR="00626435" w:rsidRPr="001611DC" w:rsidRDefault="00626435" w:rsidP="00F626CA">
            <w:pPr>
              <w:pStyle w:val="TableText0"/>
            </w:pPr>
            <w:r w:rsidRPr="001611DC">
              <w:t>Cost per LY gained</w:t>
            </w:r>
          </w:p>
        </w:tc>
        <w:tc>
          <w:tcPr>
            <w:tcW w:w="1086" w:type="pct"/>
            <w:tcBorders>
              <w:top w:val="nil"/>
              <w:left w:val="nil"/>
              <w:bottom w:val="single" w:sz="4" w:space="0" w:color="auto"/>
              <w:right w:val="single" w:sz="4" w:space="0" w:color="auto"/>
            </w:tcBorders>
            <w:shd w:val="clear" w:color="auto" w:fill="auto"/>
            <w:noWrap/>
            <w:vAlign w:val="center"/>
          </w:tcPr>
          <w:p w14:paraId="29CFC0C1"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2222788B"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1F772A77" w14:textId="56D88640" w:rsidR="00626435" w:rsidRPr="002F57B3" w:rsidRDefault="00BD3549" w:rsidP="00F626CA">
            <w:pPr>
              <w:pStyle w:val="TableText0"/>
              <w:rPr>
                <w:highlight w:val="lightGray"/>
              </w:rPr>
            </w:pPr>
            <w:r w:rsidRPr="00BD3549">
              <w:rPr>
                <w:color w:val="000000"/>
                <w:spacing w:val="53"/>
                <w:shd w:val="solid" w:color="000000" w:fill="000000"/>
                <w:fitText w:val="330" w:id="-893676795"/>
                <w14:textFill>
                  <w14:solidFill>
                    <w14:srgbClr w14:val="000000">
                      <w14:alpha w14:val="100000"/>
                    </w14:srgbClr>
                  </w14:solidFill>
                </w14:textFill>
              </w:rPr>
              <w:t>|||</w:t>
            </w:r>
            <w:r w:rsidRPr="00BD3549">
              <w:rPr>
                <w:color w:val="000000"/>
                <w:spacing w:val="1"/>
                <w:shd w:val="solid" w:color="000000" w:fill="000000"/>
                <w:fitText w:val="330" w:id="-893676795"/>
                <w14:textFill>
                  <w14:solidFill>
                    <w14:srgbClr w14:val="000000">
                      <w14:alpha w14:val="100000"/>
                    </w14:srgbClr>
                  </w14:solidFill>
                </w14:textFill>
              </w:rPr>
              <w:t>|</w:t>
            </w:r>
            <w:r w:rsidR="00052402" w:rsidRPr="00052402">
              <w:rPr>
                <w:vertAlign w:val="superscript"/>
              </w:rPr>
              <w:t>1</w:t>
            </w:r>
          </w:p>
        </w:tc>
      </w:tr>
      <w:tr w:rsidR="00626435" w:rsidRPr="001611DC" w14:paraId="6398057B"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03406513" w14:textId="77777777" w:rsidR="00626435" w:rsidRPr="001611DC" w:rsidRDefault="00626435" w:rsidP="00F626CA">
            <w:pPr>
              <w:pStyle w:val="TableText0"/>
            </w:pPr>
            <w:r w:rsidRPr="001611DC">
              <w:t>Cost per QALY gained</w:t>
            </w:r>
          </w:p>
        </w:tc>
        <w:tc>
          <w:tcPr>
            <w:tcW w:w="1086" w:type="pct"/>
            <w:tcBorders>
              <w:top w:val="nil"/>
              <w:left w:val="nil"/>
              <w:bottom w:val="single" w:sz="4" w:space="0" w:color="auto"/>
              <w:right w:val="single" w:sz="4" w:space="0" w:color="auto"/>
            </w:tcBorders>
            <w:shd w:val="clear" w:color="auto" w:fill="auto"/>
            <w:noWrap/>
            <w:vAlign w:val="center"/>
          </w:tcPr>
          <w:p w14:paraId="58723FD9"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32085FA5"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064A186F" w14:textId="332ADE0B" w:rsidR="00626435" w:rsidRPr="002F57B3" w:rsidRDefault="00BD3549" w:rsidP="00F626CA">
            <w:pPr>
              <w:pStyle w:val="TableText0"/>
              <w:rPr>
                <w:highlight w:val="lightGray"/>
              </w:rPr>
            </w:pPr>
            <w:r w:rsidRPr="00BD3549">
              <w:rPr>
                <w:color w:val="000000"/>
                <w:spacing w:val="53"/>
                <w:shd w:val="solid" w:color="000000" w:fill="000000"/>
                <w:fitText w:val="330" w:id="-893676794"/>
                <w14:textFill>
                  <w14:solidFill>
                    <w14:srgbClr w14:val="000000">
                      <w14:alpha w14:val="100000"/>
                    </w14:srgbClr>
                  </w14:solidFill>
                </w14:textFill>
              </w:rPr>
              <w:t>|||</w:t>
            </w:r>
            <w:r w:rsidRPr="00BD3549">
              <w:rPr>
                <w:color w:val="000000"/>
                <w:spacing w:val="1"/>
                <w:shd w:val="solid" w:color="000000" w:fill="000000"/>
                <w:fitText w:val="330" w:id="-893676794"/>
                <w14:textFill>
                  <w14:solidFill>
                    <w14:srgbClr w14:val="000000">
                      <w14:alpha w14:val="100000"/>
                    </w14:srgbClr>
                  </w14:solidFill>
                </w14:textFill>
              </w:rPr>
              <w:t>|</w:t>
            </w:r>
            <w:r w:rsidR="002D0213" w:rsidRPr="002D0213">
              <w:rPr>
                <w:vertAlign w:val="superscript"/>
              </w:rPr>
              <w:t>2</w:t>
            </w:r>
          </w:p>
        </w:tc>
      </w:tr>
      <w:tr w:rsidR="00626435" w:rsidRPr="001611DC" w14:paraId="46D2D1F8" w14:textId="77777777">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73180" w14:textId="7036C5C2" w:rsidR="00626435" w:rsidRPr="001611DC" w:rsidRDefault="00626435" w:rsidP="00F626CA">
            <w:pPr>
              <w:pStyle w:val="TableText0"/>
              <w:rPr>
                <w:b/>
                <w:bCs w:val="0"/>
              </w:rPr>
            </w:pPr>
            <w:r w:rsidRPr="001611DC">
              <w:rPr>
                <w:b/>
                <w:bCs w:val="0"/>
              </w:rPr>
              <w:t xml:space="preserve">ATAGI base-case: </w:t>
            </w:r>
            <w:r w:rsidR="00E2719A" w:rsidRPr="001611DC">
              <w:rPr>
                <w:b/>
                <w:bCs w:val="0"/>
              </w:rPr>
              <w:t>≥</w:t>
            </w:r>
            <w:r w:rsidRPr="001611DC">
              <w:rPr>
                <w:b/>
                <w:bCs w:val="0"/>
              </w:rPr>
              <w:t>75 YOA</w:t>
            </w:r>
          </w:p>
        </w:tc>
      </w:tr>
      <w:tr w:rsidR="00626435" w:rsidRPr="001611DC" w14:paraId="215F97C3"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tcPr>
          <w:p w14:paraId="20CDE219" w14:textId="77777777" w:rsidR="00626435" w:rsidRPr="001611DC" w:rsidRDefault="00626435" w:rsidP="00F626CA">
            <w:pPr>
              <w:pStyle w:val="TableText0"/>
            </w:pPr>
            <w:r w:rsidRPr="001611DC">
              <w:t>Population</w:t>
            </w:r>
          </w:p>
        </w:tc>
        <w:tc>
          <w:tcPr>
            <w:tcW w:w="1086" w:type="pct"/>
            <w:tcBorders>
              <w:top w:val="nil"/>
              <w:left w:val="nil"/>
              <w:bottom w:val="single" w:sz="4" w:space="0" w:color="auto"/>
              <w:right w:val="single" w:sz="4" w:space="0" w:color="auto"/>
            </w:tcBorders>
            <w:shd w:val="solid" w:color="000000" w:fill="000000"/>
            <w:noWrap/>
            <w:vAlign w:val="center"/>
          </w:tcPr>
          <w:p w14:paraId="1567AC1B" w14:textId="6D313624" w:rsidR="00626435" w:rsidRPr="002F57B3" w:rsidRDefault="00BD3549" w:rsidP="00F626CA">
            <w:pPr>
              <w:pStyle w:val="TableText0"/>
              <w:rPr>
                <w:highlight w:val="lightGray"/>
              </w:rPr>
            </w:pPr>
            <w:r w:rsidRPr="00BD3549">
              <w:rPr>
                <w:color w:val="000000"/>
                <w:spacing w:val="53"/>
                <w:fitText w:val="330" w:id="-893676793"/>
                <w14:textFill>
                  <w14:solidFill>
                    <w14:srgbClr w14:val="000000">
                      <w14:alpha w14:val="100000"/>
                    </w14:srgbClr>
                  </w14:solidFill>
                </w14:textFill>
              </w:rPr>
              <w:t>|||</w:t>
            </w:r>
            <w:r w:rsidRPr="00BD3549">
              <w:rPr>
                <w:color w:val="000000"/>
                <w:spacing w:val="1"/>
                <w:fitText w:val="330" w:id="-893676793"/>
                <w14:textFill>
                  <w14:solidFill>
                    <w14:srgbClr w14:val="000000">
                      <w14:alpha w14:val="100000"/>
                    </w14:srgbClr>
                  </w14:solidFill>
                </w14:textFill>
              </w:rPr>
              <w:t>|</w:t>
            </w:r>
          </w:p>
        </w:tc>
        <w:tc>
          <w:tcPr>
            <w:tcW w:w="1086" w:type="pct"/>
            <w:tcBorders>
              <w:top w:val="nil"/>
              <w:left w:val="nil"/>
              <w:bottom w:val="single" w:sz="4" w:space="0" w:color="auto"/>
              <w:right w:val="single" w:sz="4" w:space="0" w:color="auto"/>
            </w:tcBorders>
            <w:shd w:val="solid" w:color="000000" w:fill="000000"/>
            <w:noWrap/>
            <w:vAlign w:val="center"/>
          </w:tcPr>
          <w:p w14:paraId="4542452D" w14:textId="52B02AC1" w:rsidR="00626435" w:rsidRPr="001611DC" w:rsidRDefault="00BD3549" w:rsidP="00F626CA">
            <w:pPr>
              <w:pStyle w:val="TableText0"/>
            </w:pPr>
            <w:r w:rsidRPr="00BD3549">
              <w:rPr>
                <w:color w:val="000000"/>
                <w:spacing w:val="53"/>
                <w:fitText w:val="330" w:id="-893676792"/>
                <w14:textFill>
                  <w14:solidFill>
                    <w14:srgbClr w14:val="000000">
                      <w14:alpha w14:val="100000"/>
                    </w14:srgbClr>
                  </w14:solidFill>
                </w14:textFill>
              </w:rPr>
              <w:t>|||</w:t>
            </w:r>
            <w:r w:rsidRPr="00BD3549">
              <w:rPr>
                <w:color w:val="000000"/>
                <w:spacing w:val="1"/>
                <w:fitText w:val="330" w:id="-893676792"/>
                <w14:textFill>
                  <w14:solidFill>
                    <w14:srgbClr w14:val="000000">
                      <w14:alpha w14:val="100000"/>
                    </w14:srgbClr>
                  </w14:solidFill>
                </w14:textFill>
              </w:rPr>
              <w:t>|</w:t>
            </w:r>
          </w:p>
        </w:tc>
        <w:tc>
          <w:tcPr>
            <w:tcW w:w="1090" w:type="pct"/>
            <w:tcBorders>
              <w:top w:val="nil"/>
              <w:left w:val="nil"/>
              <w:bottom w:val="single" w:sz="4" w:space="0" w:color="auto"/>
              <w:right w:val="single" w:sz="4" w:space="0" w:color="auto"/>
            </w:tcBorders>
            <w:shd w:val="clear" w:color="auto" w:fill="auto"/>
            <w:noWrap/>
            <w:vAlign w:val="center"/>
          </w:tcPr>
          <w:p w14:paraId="1A64A01F" w14:textId="77777777" w:rsidR="00626435" w:rsidRPr="001611DC" w:rsidRDefault="00626435" w:rsidP="00F626CA">
            <w:pPr>
              <w:pStyle w:val="TableText0"/>
            </w:pPr>
            <w:r w:rsidRPr="001611DC">
              <w:t>-</w:t>
            </w:r>
          </w:p>
        </w:tc>
      </w:tr>
      <w:tr w:rsidR="00626435" w:rsidRPr="001611DC" w14:paraId="70862522"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B4DC6CA" w14:textId="75B8CA4C" w:rsidR="00626435" w:rsidRPr="001611DC" w:rsidRDefault="00626435" w:rsidP="00F626CA">
            <w:pPr>
              <w:pStyle w:val="TableText0"/>
            </w:pPr>
            <w:r w:rsidRPr="001611DC">
              <w:t>Direct costs</w:t>
            </w:r>
            <w:r w:rsidR="00052402">
              <w:t xml:space="preserve"> ($)</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21D02101" w14:textId="10C64A9E" w:rsidR="00626435" w:rsidRPr="002F57B3" w:rsidRDefault="00BD3549" w:rsidP="00F626CA">
            <w:pPr>
              <w:pStyle w:val="TableText0"/>
              <w:rPr>
                <w:highlight w:val="lightGray"/>
              </w:rPr>
            </w:pPr>
            <w:r w:rsidRPr="00BD3549">
              <w:rPr>
                <w:color w:val="000000"/>
                <w:spacing w:val="53"/>
                <w:fitText w:val="330" w:id="-893676791"/>
                <w14:textFill>
                  <w14:solidFill>
                    <w14:srgbClr w14:val="000000">
                      <w14:alpha w14:val="100000"/>
                    </w14:srgbClr>
                  </w14:solidFill>
                </w14:textFill>
              </w:rPr>
              <w:t>|||</w:t>
            </w:r>
            <w:r w:rsidRPr="00BD3549">
              <w:rPr>
                <w:color w:val="000000"/>
                <w:spacing w:val="1"/>
                <w:fitText w:val="330" w:id="-893676791"/>
                <w14:textFill>
                  <w14:solidFill>
                    <w14:srgbClr w14:val="000000">
                      <w14:alpha w14:val="100000"/>
                    </w14:srgbClr>
                  </w14:solidFill>
                </w14:textFill>
              </w:rPr>
              <w:t>|</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488EF350" w14:textId="6A6D8991" w:rsidR="00626435" w:rsidRPr="002F57B3" w:rsidRDefault="00BD3549" w:rsidP="00F626CA">
            <w:pPr>
              <w:pStyle w:val="TableText0"/>
              <w:rPr>
                <w:highlight w:val="lightGray"/>
              </w:rPr>
            </w:pPr>
            <w:r w:rsidRPr="00BD3549">
              <w:rPr>
                <w:color w:val="000000"/>
                <w:spacing w:val="53"/>
                <w:fitText w:val="330" w:id="-893676790"/>
                <w14:textFill>
                  <w14:solidFill>
                    <w14:srgbClr w14:val="000000">
                      <w14:alpha w14:val="100000"/>
                    </w14:srgbClr>
                  </w14:solidFill>
                </w14:textFill>
              </w:rPr>
              <w:t>|||</w:t>
            </w:r>
            <w:r w:rsidRPr="00BD3549">
              <w:rPr>
                <w:color w:val="000000"/>
                <w:spacing w:val="1"/>
                <w:fitText w:val="330" w:id="-893676790"/>
                <w14:textFill>
                  <w14:solidFill>
                    <w14:srgbClr w14:val="000000">
                      <w14:alpha w14:val="100000"/>
                    </w14:srgbClr>
                  </w14:solidFill>
                </w14:textFill>
              </w:rPr>
              <w:t>|</w:t>
            </w:r>
          </w:p>
        </w:tc>
        <w:tc>
          <w:tcPr>
            <w:tcW w:w="1090" w:type="pct"/>
            <w:tcBorders>
              <w:top w:val="single" w:sz="4" w:space="0" w:color="auto"/>
              <w:left w:val="nil"/>
              <w:bottom w:val="single" w:sz="4" w:space="0" w:color="auto"/>
              <w:right w:val="single" w:sz="4" w:space="0" w:color="auto"/>
            </w:tcBorders>
            <w:shd w:val="solid" w:color="000000" w:fill="000000"/>
            <w:noWrap/>
            <w:vAlign w:val="center"/>
          </w:tcPr>
          <w:p w14:paraId="2F1916A3" w14:textId="793F0C7E" w:rsidR="00626435" w:rsidRPr="002F57B3" w:rsidRDefault="00BD3549" w:rsidP="00F626CA">
            <w:pPr>
              <w:pStyle w:val="TableText0"/>
              <w:rPr>
                <w:highlight w:val="lightGray"/>
              </w:rPr>
            </w:pPr>
            <w:r w:rsidRPr="00BD3549">
              <w:rPr>
                <w:color w:val="000000"/>
                <w:spacing w:val="53"/>
                <w:fitText w:val="330" w:id="-893676789"/>
                <w14:textFill>
                  <w14:solidFill>
                    <w14:srgbClr w14:val="000000">
                      <w14:alpha w14:val="100000"/>
                    </w14:srgbClr>
                  </w14:solidFill>
                </w14:textFill>
              </w:rPr>
              <w:t>|||</w:t>
            </w:r>
            <w:r w:rsidRPr="00BD3549">
              <w:rPr>
                <w:color w:val="000000"/>
                <w:spacing w:val="1"/>
                <w:fitText w:val="330" w:id="-893676789"/>
                <w14:textFill>
                  <w14:solidFill>
                    <w14:srgbClr w14:val="000000">
                      <w14:alpha w14:val="100000"/>
                    </w14:srgbClr>
                  </w14:solidFill>
                </w14:textFill>
              </w:rPr>
              <w:t>|</w:t>
            </w:r>
          </w:p>
        </w:tc>
      </w:tr>
      <w:tr w:rsidR="00626435" w:rsidRPr="001611DC" w14:paraId="27B8D4D3"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54B72D9" w14:textId="77777777" w:rsidR="00626435" w:rsidRPr="001611DC" w:rsidRDefault="00626435" w:rsidP="00F626CA">
            <w:pPr>
              <w:pStyle w:val="TableText0"/>
            </w:pPr>
            <w:r w:rsidRPr="001611DC">
              <w:t>LYS lost</w:t>
            </w:r>
          </w:p>
        </w:tc>
        <w:tc>
          <w:tcPr>
            <w:tcW w:w="1086" w:type="pct"/>
            <w:tcBorders>
              <w:top w:val="nil"/>
              <w:left w:val="nil"/>
              <w:bottom w:val="single" w:sz="4" w:space="0" w:color="auto"/>
              <w:right w:val="single" w:sz="4" w:space="0" w:color="auto"/>
            </w:tcBorders>
            <w:shd w:val="clear" w:color="auto" w:fill="auto"/>
            <w:noWrap/>
            <w:vAlign w:val="center"/>
          </w:tcPr>
          <w:p w14:paraId="1A81E572" w14:textId="77777777" w:rsidR="00626435" w:rsidRPr="001611DC" w:rsidRDefault="00626435" w:rsidP="00F626CA">
            <w:pPr>
              <w:pStyle w:val="TableText0"/>
            </w:pPr>
            <w:r w:rsidRPr="001611DC">
              <w:t>13,083</w:t>
            </w:r>
          </w:p>
        </w:tc>
        <w:tc>
          <w:tcPr>
            <w:tcW w:w="1086" w:type="pct"/>
            <w:tcBorders>
              <w:top w:val="nil"/>
              <w:left w:val="nil"/>
              <w:bottom w:val="single" w:sz="4" w:space="0" w:color="auto"/>
              <w:right w:val="single" w:sz="4" w:space="0" w:color="auto"/>
            </w:tcBorders>
            <w:shd w:val="clear" w:color="auto" w:fill="auto"/>
            <w:noWrap/>
            <w:vAlign w:val="center"/>
          </w:tcPr>
          <w:p w14:paraId="044C0E80" w14:textId="77777777" w:rsidR="00626435" w:rsidRPr="001611DC" w:rsidRDefault="00626435" w:rsidP="00F626CA">
            <w:pPr>
              <w:pStyle w:val="TableText0"/>
            </w:pPr>
            <w:r w:rsidRPr="001611DC">
              <w:t>28,779</w:t>
            </w:r>
          </w:p>
        </w:tc>
        <w:tc>
          <w:tcPr>
            <w:tcW w:w="1090" w:type="pct"/>
            <w:tcBorders>
              <w:top w:val="nil"/>
              <w:left w:val="nil"/>
              <w:bottom w:val="single" w:sz="4" w:space="0" w:color="auto"/>
              <w:right w:val="single" w:sz="4" w:space="0" w:color="auto"/>
            </w:tcBorders>
            <w:shd w:val="clear" w:color="auto" w:fill="auto"/>
            <w:noWrap/>
            <w:vAlign w:val="center"/>
          </w:tcPr>
          <w:p w14:paraId="74D4EDEF" w14:textId="77777777" w:rsidR="00626435" w:rsidRPr="001611DC" w:rsidRDefault="00626435" w:rsidP="00F626CA">
            <w:pPr>
              <w:pStyle w:val="TableText0"/>
            </w:pPr>
            <w:r w:rsidRPr="001611DC">
              <w:t>-15,697</w:t>
            </w:r>
          </w:p>
        </w:tc>
      </w:tr>
      <w:tr w:rsidR="00626435" w:rsidRPr="001611DC" w14:paraId="1AAC9EBF"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78C964D0" w14:textId="77777777" w:rsidR="00626435" w:rsidRPr="001611DC" w:rsidRDefault="00626435" w:rsidP="00F626CA">
            <w:pPr>
              <w:pStyle w:val="TableText0"/>
            </w:pPr>
            <w:r w:rsidRPr="001611DC">
              <w:t>QALYs lost</w:t>
            </w:r>
          </w:p>
        </w:tc>
        <w:tc>
          <w:tcPr>
            <w:tcW w:w="1086" w:type="pct"/>
            <w:tcBorders>
              <w:top w:val="nil"/>
              <w:left w:val="nil"/>
              <w:bottom w:val="single" w:sz="4" w:space="0" w:color="auto"/>
              <w:right w:val="single" w:sz="4" w:space="0" w:color="auto"/>
            </w:tcBorders>
            <w:shd w:val="clear" w:color="auto" w:fill="auto"/>
            <w:noWrap/>
            <w:vAlign w:val="center"/>
          </w:tcPr>
          <w:p w14:paraId="612D6850" w14:textId="77777777" w:rsidR="00626435" w:rsidRPr="001611DC" w:rsidRDefault="00626435" w:rsidP="00F626CA">
            <w:pPr>
              <w:pStyle w:val="TableText0"/>
            </w:pPr>
            <w:r w:rsidRPr="001611DC">
              <w:t>14,107</w:t>
            </w:r>
          </w:p>
        </w:tc>
        <w:tc>
          <w:tcPr>
            <w:tcW w:w="1086" w:type="pct"/>
            <w:tcBorders>
              <w:top w:val="nil"/>
              <w:left w:val="nil"/>
              <w:bottom w:val="single" w:sz="4" w:space="0" w:color="auto"/>
              <w:right w:val="single" w:sz="4" w:space="0" w:color="auto"/>
            </w:tcBorders>
            <w:shd w:val="clear" w:color="auto" w:fill="auto"/>
            <w:noWrap/>
            <w:vAlign w:val="center"/>
          </w:tcPr>
          <w:p w14:paraId="26079C81" w14:textId="77777777" w:rsidR="00626435" w:rsidRPr="001611DC" w:rsidRDefault="00626435" w:rsidP="00F626CA">
            <w:pPr>
              <w:pStyle w:val="TableText0"/>
            </w:pPr>
            <w:r w:rsidRPr="001611DC">
              <w:t>29,288</w:t>
            </w:r>
          </w:p>
        </w:tc>
        <w:tc>
          <w:tcPr>
            <w:tcW w:w="1090" w:type="pct"/>
            <w:tcBorders>
              <w:top w:val="nil"/>
              <w:left w:val="nil"/>
              <w:bottom w:val="single" w:sz="4" w:space="0" w:color="auto"/>
              <w:right w:val="single" w:sz="4" w:space="0" w:color="auto"/>
            </w:tcBorders>
            <w:shd w:val="clear" w:color="auto" w:fill="auto"/>
            <w:noWrap/>
            <w:vAlign w:val="center"/>
          </w:tcPr>
          <w:p w14:paraId="0D0BD9BB" w14:textId="77777777" w:rsidR="00626435" w:rsidRPr="001611DC" w:rsidRDefault="00626435" w:rsidP="00F626CA">
            <w:pPr>
              <w:pStyle w:val="TableText0"/>
            </w:pPr>
            <w:r w:rsidRPr="001611DC">
              <w:t>-15,182</w:t>
            </w:r>
          </w:p>
        </w:tc>
      </w:tr>
      <w:tr w:rsidR="00626435" w:rsidRPr="001611DC" w14:paraId="516A4BB5"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B52C79F" w14:textId="77777777" w:rsidR="00626435" w:rsidRPr="001611DC" w:rsidRDefault="00626435" w:rsidP="00F626CA">
            <w:pPr>
              <w:pStyle w:val="TableText0"/>
            </w:pPr>
            <w:r w:rsidRPr="001611DC">
              <w:t>Cost per LY gained</w:t>
            </w:r>
          </w:p>
        </w:tc>
        <w:tc>
          <w:tcPr>
            <w:tcW w:w="1086" w:type="pct"/>
            <w:tcBorders>
              <w:top w:val="nil"/>
              <w:left w:val="nil"/>
              <w:bottom w:val="single" w:sz="4" w:space="0" w:color="auto"/>
              <w:right w:val="single" w:sz="4" w:space="0" w:color="auto"/>
            </w:tcBorders>
            <w:shd w:val="clear" w:color="auto" w:fill="auto"/>
            <w:noWrap/>
            <w:vAlign w:val="center"/>
          </w:tcPr>
          <w:p w14:paraId="61C10E7A"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465557EE"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531B17BB" w14:textId="52E910A9" w:rsidR="00626435" w:rsidRPr="002F57B3" w:rsidRDefault="00BD3549" w:rsidP="00F626CA">
            <w:pPr>
              <w:pStyle w:val="TableText0"/>
              <w:rPr>
                <w:highlight w:val="lightGray"/>
              </w:rPr>
            </w:pPr>
            <w:r w:rsidRPr="00BD3549">
              <w:rPr>
                <w:color w:val="000000"/>
                <w:spacing w:val="53"/>
                <w:shd w:val="solid" w:color="000000" w:fill="000000"/>
                <w:fitText w:val="330" w:id="-893676788"/>
                <w14:textFill>
                  <w14:solidFill>
                    <w14:srgbClr w14:val="000000">
                      <w14:alpha w14:val="100000"/>
                    </w14:srgbClr>
                  </w14:solidFill>
                </w14:textFill>
              </w:rPr>
              <w:t>|||</w:t>
            </w:r>
            <w:r w:rsidRPr="00BD3549">
              <w:rPr>
                <w:color w:val="000000"/>
                <w:spacing w:val="1"/>
                <w:shd w:val="solid" w:color="000000" w:fill="000000"/>
                <w:fitText w:val="330" w:id="-893676788"/>
                <w14:textFill>
                  <w14:solidFill>
                    <w14:srgbClr w14:val="000000">
                      <w14:alpha w14:val="100000"/>
                    </w14:srgbClr>
                  </w14:solidFill>
                </w14:textFill>
              </w:rPr>
              <w:t>|</w:t>
            </w:r>
            <w:r w:rsidR="002D0213" w:rsidRPr="002D0213">
              <w:rPr>
                <w:vertAlign w:val="superscript"/>
              </w:rPr>
              <w:t>3</w:t>
            </w:r>
          </w:p>
        </w:tc>
      </w:tr>
      <w:tr w:rsidR="00626435" w:rsidRPr="001611DC" w14:paraId="50FF410E"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75E7325F" w14:textId="77777777" w:rsidR="00626435" w:rsidRPr="001611DC" w:rsidRDefault="00626435" w:rsidP="00F626CA">
            <w:pPr>
              <w:pStyle w:val="TableText0"/>
            </w:pPr>
            <w:r w:rsidRPr="001611DC">
              <w:t>Cost per QALY gained</w:t>
            </w:r>
          </w:p>
        </w:tc>
        <w:tc>
          <w:tcPr>
            <w:tcW w:w="1086" w:type="pct"/>
            <w:tcBorders>
              <w:top w:val="nil"/>
              <w:left w:val="nil"/>
              <w:bottom w:val="single" w:sz="4" w:space="0" w:color="auto"/>
              <w:right w:val="single" w:sz="4" w:space="0" w:color="auto"/>
            </w:tcBorders>
            <w:shd w:val="clear" w:color="auto" w:fill="auto"/>
            <w:noWrap/>
            <w:vAlign w:val="center"/>
          </w:tcPr>
          <w:p w14:paraId="41845BA0"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0DBBDF5F"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7B74F59B" w14:textId="38A9EFBD" w:rsidR="00626435" w:rsidRPr="002F57B3" w:rsidRDefault="00BD3549" w:rsidP="00F626CA">
            <w:pPr>
              <w:pStyle w:val="TableText0"/>
              <w:rPr>
                <w:highlight w:val="lightGray"/>
              </w:rPr>
            </w:pPr>
            <w:r w:rsidRPr="00BD3549">
              <w:rPr>
                <w:color w:val="000000"/>
                <w:spacing w:val="53"/>
                <w:shd w:val="solid" w:color="000000" w:fill="000000"/>
                <w:fitText w:val="330" w:id="-893676787"/>
                <w14:textFill>
                  <w14:solidFill>
                    <w14:srgbClr w14:val="000000">
                      <w14:alpha w14:val="100000"/>
                    </w14:srgbClr>
                  </w14:solidFill>
                </w14:textFill>
              </w:rPr>
              <w:t>|||</w:t>
            </w:r>
            <w:r w:rsidRPr="00BD3549">
              <w:rPr>
                <w:color w:val="000000"/>
                <w:spacing w:val="1"/>
                <w:shd w:val="solid" w:color="000000" w:fill="000000"/>
                <w:fitText w:val="330" w:id="-893676787"/>
                <w14:textFill>
                  <w14:solidFill>
                    <w14:srgbClr w14:val="000000">
                      <w14:alpha w14:val="100000"/>
                    </w14:srgbClr>
                  </w14:solidFill>
                </w14:textFill>
              </w:rPr>
              <w:t>|</w:t>
            </w:r>
            <w:r w:rsidR="002D0213" w:rsidRPr="002D0213">
              <w:rPr>
                <w:vertAlign w:val="superscript"/>
              </w:rPr>
              <w:t>3</w:t>
            </w:r>
          </w:p>
        </w:tc>
      </w:tr>
      <w:tr w:rsidR="00626435" w:rsidRPr="001611DC" w14:paraId="33447983" w14:textId="77777777" w:rsidTr="008F5D30">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6B6F98C4" w14:textId="77777777" w:rsidR="00626435" w:rsidRPr="001611DC" w:rsidRDefault="00626435" w:rsidP="00F626CA">
            <w:pPr>
              <w:pStyle w:val="TableText0"/>
              <w:rPr>
                <w:b/>
                <w:bCs w:val="0"/>
              </w:rPr>
            </w:pPr>
            <w:r w:rsidRPr="001611DC">
              <w:rPr>
                <w:b/>
                <w:bCs w:val="0"/>
              </w:rPr>
              <w:t>ATAGI alternative populations</w:t>
            </w:r>
          </w:p>
        </w:tc>
      </w:tr>
      <w:tr w:rsidR="00626435" w:rsidRPr="001611DC" w14:paraId="59502B27" w14:textId="77777777">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F6560D" w14:textId="39CA2735" w:rsidR="00626435" w:rsidRPr="001611DC" w:rsidRDefault="00E2719A" w:rsidP="00F626CA">
            <w:pPr>
              <w:pStyle w:val="TableText0"/>
              <w:rPr>
                <w:b/>
                <w:bCs w:val="0"/>
              </w:rPr>
            </w:pPr>
            <w:r w:rsidRPr="001611DC">
              <w:rPr>
                <w:b/>
                <w:bCs w:val="0"/>
              </w:rPr>
              <w:t>≥</w:t>
            </w:r>
            <w:r w:rsidR="00626435" w:rsidRPr="001611DC">
              <w:rPr>
                <w:b/>
                <w:bCs w:val="0"/>
              </w:rPr>
              <w:t>65 YOA</w:t>
            </w:r>
          </w:p>
        </w:tc>
      </w:tr>
      <w:tr w:rsidR="00626435" w:rsidRPr="001611DC" w14:paraId="17DB2C9F"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tcPr>
          <w:p w14:paraId="73946FBA" w14:textId="77777777" w:rsidR="00626435" w:rsidRPr="001611DC" w:rsidRDefault="00626435" w:rsidP="00F626CA">
            <w:pPr>
              <w:pStyle w:val="TableText0"/>
            </w:pPr>
            <w:r w:rsidRPr="001611DC">
              <w:t>Population</w:t>
            </w:r>
          </w:p>
        </w:tc>
        <w:tc>
          <w:tcPr>
            <w:tcW w:w="1086" w:type="pct"/>
            <w:tcBorders>
              <w:top w:val="nil"/>
              <w:left w:val="nil"/>
              <w:bottom w:val="single" w:sz="4" w:space="0" w:color="auto"/>
              <w:right w:val="single" w:sz="4" w:space="0" w:color="auto"/>
            </w:tcBorders>
            <w:shd w:val="solid" w:color="000000" w:fill="000000"/>
            <w:noWrap/>
            <w:vAlign w:val="center"/>
          </w:tcPr>
          <w:p w14:paraId="208F1661" w14:textId="3583FE64" w:rsidR="00626435" w:rsidRPr="002F57B3" w:rsidRDefault="00BD3549" w:rsidP="00F626CA">
            <w:pPr>
              <w:pStyle w:val="TableText0"/>
              <w:rPr>
                <w:highlight w:val="lightGray"/>
              </w:rPr>
            </w:pPr>
            <w:r w:rsidRPr="00BD3549">
              <w:rPr>
                <w:color w:val="000000"/>
                <w:spacing w:val="53"/>
                <w:fitText w:val="330" w:id="-893676786"/>
                <w14:textFill>
                  <w14:solidFill>
                    <w14:srgbClr w14:val="000000">
                      <w14:alpha w14:val="100000"/>
                    </w14:srgbClr>
                  </w14:solidFill>
                </w14:textFill>
              </w:rPr>
              <w:t>|||</w:t>
            </w:r>
            <w:r w:rsidRPr="00BD3549">
              <w:rPr>
                <w:color w:val="000000"/>
                <w:spacing w:val="1"/>
                <w:fitText w:val="330" w:id="-893676786"/>
                <w14:textFill>
                  <w14:solidFill>
                    <w14:srgbClr w14:val="000000">
                      <w14:alpha w14:val="100000"/>
                    </w14:srgbClr>
                  </w14:solidFill>
                </w14:textFill>
              </w:rPr>
              <w:t>|</w:t>
            </w:r>
          </w:p>
        </w:tc>
        <w:tc>
          <w:tcPr>
            <w:tcW w:w="1086" w:type="pct"/>
            <w:tcBorders>
              <w:top w:val="nil"/>
              <w:left w:val="nil"/>
              <w:bottom w:val="single" w:sz="4" w:space="0" w:color="auto"/>
              <w:right w:val="single" w:sz="4" w:space="0" w:color="auto"/>
            </w:tcBorders>
            <w:shd w:val="solid" w:color="000000" w:fill="000000"/>
            <w:noWrap/>
            <w:vAlign w:val="center"/>
          </w:tcPr>
          <w:p w14:paraId="2C5A389E" w14:textId="194EFA8E" w:rsidR="00626435" w:rsidRPr="002F57B3" w:rsidRDefault="00BD3549" w:rsidP="00F626CA">
            <w:pPr>
              <w:pStyle w:val="TableText0"/>
              <w:rPr>
                <w:highlight w:val="lightGray"/>
              </w:rPr>
            </w:pPr>
            <w:r w:rsidRPr="00BD3549">
              <w:rPr>
                <w:color w:val="000000"/>
                <w:spacing w:val="53"/>
                <w:fitText w:val="330" w:id="-893676785"/>
                <w14:textFill>
                  <w14:solidFill>
                    <w14:srgbClr w14:val="000000">
                      <w14:alpha w14:val="100000"/>
                    </w14:srgbClr>
                  </w14:solidFill>
                </w14:textFill>
              </w:rPr>
              <w:t>|||</w:t>
            </w:r>
            <w:r w:rsidRPr="00BD3549">
              <w:rPr>
                <w:color w:val="000000"/>
                <w:spacing w:val="1"/>
                <w:fitText w:val="330" w:id="-893676785"/>
                <w14:textFill>
                  <w14:solidFill>
                    <w14:srgbClr w14:val="000000">
                      <w14:alpha w14:val="100000"/>
                    </w14:srgbClr>
                  </w14:solidFill>
                </w14:textFill>
              </w:rPr>
              <w:t>|</w:t>
            </w:r>
          </w:p>
        </w:tc>
        <w:tc>
          <w:tcPr>
            <w:tcW w:w="1090" w:type="pct"/>
            <w:tcBorders>
              <w:top w:val="nil"/>
              <w:left w:val="nil"/>
              <w:bottom w:val="single" w:sz="4" w:space="0" w:color="auto"/>
              <w:right w:val="single" w:sz="4" w:space="0" w:color="auto"/>
            </w:tcBorders>
            <w:shd w:val="clear" w:color="auto" w:fill="auto"/>
            <w:noWrap/>
            <w:vAlign w:val="center"/>
          </w:tcPr>
          <w:p w14:paraId="1C3AD3C7" w14:textId="77777777" w:rsidR="00626435" w:rsidRPr="001611DC" w:rsidRDefault="00626435" w:rsidP="00F626CA">
            <w:pPr>
              <w:pStyle w:val="TableText0"/>
            </w:pPr>
            <w:r w:rsidRPr="001611DC">
              <w:t>-</w:t>
            </w:r>
          </w:p>
        </w:tc>
      </w:tr>
      <w:tr w:rsidR="00626435" w:rsidRPr="001611DC" w14:paraId="4A3E8D92"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4E4B937F" w14:textId="5BA8552B" w:rsidR="00626435" w:rsidRPr="001611DC" w:rsidRDefault="00626435" w:rsidP="00F626CA">
            <w:pPr>
              <w:pStyle w:val="TableText0"/>
            </w:pPr>
            <w:r w:rsidRPr="001611DC">
              <w:t>Direct costs</w:t>
            </w:r>
            <w:r w:rsidR="00052402">
              <w:t xml:space="preserve"> ($)</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446650C5" w14:textId="32079DE8" w:rsidR="00626435" w:rsidRPr="00052402" w:rsidRDefault="00BD3549" w:rsidP="00F626CA">
            <w:pPr>
              <w:pStyle w:val="TableText0"/>
              <w:rPr>
                <w:highlight w:val="lightGray"/>
              </w:rPr>
            </w:pPr>
            <w:r w:rsidRPr="00BD3549">
              <w:rPr>
                <w:color w:val="000000"/>
                <w:spacing w:val="53"/>
                <w:fitText w:val="330" w:id="-893676784"/>
                <w14:textFill>
                  <w14:solidFill>
                    <w14:srgbClr w14:val="000000">
                      <w14:alpha w14:val="100000"/>
                    </w14:srgbClr>
                  </w14:solidFill>
                </w14:textFill>
              </w:rPr>
              <w:t>|||</w:t>
            </w:r>
            <w:r w:rsidRPr="00BD3549">
              <w:rPr>
                <w:color w:val="000000"/>
                <w:spacing w:val="1"/>
                <w:fitText w:val="330" w:id="-893676784"/>
                <w14:textFill>
                  <w14:solidFill>
                    <w14:srgbClr w14:val="000000">
                      <w14:alpha w14:val="100000"/>
                    </w14:srgbClr>
                  </w14:solidFill>
                </w14:textFill>
              </w:rPr>
              <w:t>|</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2435630B" w14:textId="2BF61373" w:rsidR="00626435" w:rsidRPr="00052402" w:rsidRDefault="00BD3549" w:rsidP="00F626CA">
            <w:pPr>
              <w:pStyle w:val="TableText0"/>
              <w:rPr>
                <w:highlight w:val="lightGray"/>
              </w:rPr>
            </w:pPr>
            <w:r w:rsidRPr="00BD3549">
              <w:rPr>
                <w:color w:val="000000"/>
                <w:spacing w:val="53"/>
                <w:fitText w:val="330" w:id="-893676800"/>
                <w14:textFill>
                  <w14:solidFill>
                    <w14:srgbClr w14:val="000000">
                      <w14:alpha w14:val="100000"/>
                    </w14:srgbClr>
                  </w14:solidFill>
                </w14:textFill>
              </w:rPr>
              <w:t>|||</w:t>
            </w:r>
            <w:r w:rsidRPr="00BD3549">
              <w:rPr>
                <w:color w:val="000000"/>
                <w:spacing w:val="1"/>
                <w:fitText w:val="330" w:id="-893676800"/>
                <w14:textFill>
                  <w14:solidFill>
                    <w14:srgbClr w14:val="000000">
                      <w14:alpha w14:val="100000"/>
                    </w14:srgbClr>
                  </w14:solidFill>
                </w14:textFill>
              </w:rPr>
              <w:t>|</w:t>
            </w:r>
          </w:p>
        </w:tc>
        <w:tc>
          <w:tcPr>
            <w:tcW w:w="1090" w:type="pct"/>
            <w:tcBorders>
              <w:top w:val="single" w:sz="4" w:space="0" w:color="auto"/>
              <w:left w:val="nil"/>
              <w:bottom w:val="single" w:sz="4" w:space="0" w:color="auto"/>
              <w:right w:val="single" w:sz="4" w:space="0" w:color="auto"/>
            </w:tcBorders>
            <w:shd w:val="solid" w:color="000000" w:fill="000000"/>
            <w:noWrap/>
            <w:vAlign w:val="center"/>
          </w:tcPr>
          <w:p w14:paraId="2F256FCB" w14:textId="1FBF1290" w:rsidR="00626435" w:rsidRPr="00052402" w:rsidRDefault="00BD3549" w:rsidP="00F626CA">
            <w:pPr>
              <w:pStyle w:val="TableText0"/>
              <w:rPr>
                <w:highlight w:val="lightGray"/>
              </w:rPr>
            </w:pPr>
            <w:r w:rsidRPr="00BD3549">
              <w:rPr>
                <w:color w:val="000000"/>
                <w:spacing w:val="53"/>
                <w:fitText w:val="330" w:id="-893676799"/>
                <w14:textFill>
                  <w14:solidFill>
                    <w14:srgbClr w14:val="000000">
                      <w14:alpha w14:val="100000"/>
                    </w14:srgbClr>
                  </w14:solidFill>
                </w14:textFill>
              </w:rPr>
              <w:t>|||</w:t>
            </w:r>
            <w:r w:rsidRPr="00BD3549">
              <w:rPr>
                <w:color w:val="000000"/>
                <w:spacing w:val="1"/>
                <w:fitText w:val="330" w:id="-893676799"/>
                <w14:textFill>
                  <w14:solidFill>
                    <w14:srgbClr w14:val="000000">
                      <w14:alpha w14:val="100000"/>
                    </w14:srgbClr>
                  </w14:solidFill>
                </w14:textFill>
              </w:rPr>
              <w:t>|</w:t>
            </w:r>
          </w:p>
        </w:tc>
      </w:tr>
      <w:tr w:rsidR="00626435" w:rsidRPr="001611DC" w14:paraId="4A98F4A0"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5CC9F72C" w14:textId="77777777" w:rsidR="00626435" w:rsidRPr="001611DC" w:rsidRDefault="00626435" w:rsidP="00F626CA">
            <w:pPr>
              <w:pStyle w:val="TableText0"/>
            </w:pPr>
            <w:r w:rsidRPr="001611DC">
              <w:t>LYS lost</w:t>
            </w:r>
          </w:p>
        </w:tc>
        <w:tc>
          <w:tcPr>
            <w:tcW w:w="1086" w:type="pct"/>
            <w:tcBorders>
              <w:top w:val="nil"/>
              <w:left w:val="nil"/>
              <w:bottom w:val="single" w:sz="4" w:space="0" w:color="auto"/>
              <w:right w:val="single" w:sz="4" w:space="0" w:color="auto"/>
            </w:tcBorders>
            <w:shd w:val="clear" w:color="auto" w:fill="auto"/>
            <w:noWrap/>
            <w:vAlign w:val="center"/>
          </w:tcPr>
          <w:p w14:paraId="4B1C4AB8" w14:textId="77777777" w:rsidR="00626435" w:rsidRPr="001611DC" w:rsidRDefault="00626435" w:rsidP="00F626CA">
            <w:pPr>
              <w:pStyle w:val="TableText0"/>
            </w:pPr>
            <w:r w:rsidRPr="001611DC">
              <w:t>17,814</w:t>
            </w:r>
          </w:p>
        </w:tc>
        <w:tc>
          <w:tcPr>
            <w:tcW w:w="1086" w:type="pct"/>
            <w:tcBorders>
              <w:top w:val="nil"/>
              <w:left w:val="nil"/>
              <w:bottom w:val="single" w:sz="4" w:space="0" w:color="auto"/>
              <w:right w:val="single" w:sz="4" w:space="0" w:color="auto"/>
            </w:tcBorders>
            <w:shd w:val="clear" w:color="auto" w:fill="auto"/>
            <w:noWrap/>
            <w:vAlign w:val="center"/>
          </w:tcPr>
          <w:p w14:paraId="176B58BA" w14:textId="77777777" w:rsidR="00626435" w:rsidRPr="001611DC" w:rsidRDefault="00626435" w:rsidP="00F626CA">
            <w:pPr>
              <w:pStyle w:val="TableText0"/>
            </w:pPr>
            <w:r w:rsidRPr="001611DC">
              <w:t>38,980</w:t>
            </w:r>
          </w:p>
        </w:tc>
        <w:tc>
          <w:tcPr>
            <w:tcW w:w="1090" w:type="pct"/>
            <w:tcBorders>
              <w:top w:val="nil"/>
              <w:left w:val="nil"/>
              <w:bottom w:val="single" w:sz="4" w:space="0" w:color="auto"/>
              <w:right w:val="single" w:sz="4" w:space="0" w:color="auto"/>
            </w:tcBorders>
            <w:shd w:val="clear" w:color="auto" w:fill="auto"/>
            <w:noWrap/>
            <w:vAlign w:val="center"/>
          </w:tcPr>
          <w:p w14:paraId="0C378FEB" w14:textId="77777777" w:rsidR="00626435" w:rsidRPr="001611DC" w:rsidRDefault="00626435" w:rsidP="00F626CA">
            <w:pPr>
              <w:pStyle w:val="TableText0"/>
            </w:pPr>
            <w:r w:rsidRPr="001611DC">
              <w:t>-21,166</w:t>
            </w:r>
          </w:p>
        </w:tc>
      </w:tr>
      <w:tr w:rsidR="00626435" w:rsidRPr="001611DC" w14:paraId="0BBA2676"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8ED7830" w14:textId="77777777" w:rsidR="00626435" w:rsidRPr="001611DC" w:rsidRDefault="00626435" w:rsidP="00F626CA">
            <w:pPr>
              <w:pStyle w:val="TableText0"/>
            </w:pPr>
            <w:r w:rsidRPr="001611DC">
              <w:t>QALYs lost</w:t>
            </w:r>
          </w:p>
        </w:tc>
        <w:tc>
          <w:tcPr>
            <w:tcW w:w="1086" w:type="pct"/>
            <w:tcBorders>
              <w:top w:val="nil"/>
              <w:left w:val="nil"/>
              <w:bottom w:val="single" w:sz="4" w:space="0" w:color="auto"/>
              <w:right w:val="single" w:sz="4" w:space="0" w:color="auto"/>
            </w:tcBorders>
            <w:shd w:val="clear" w:color="auto" w:fill="auto"/>
            <w:noWrap/>
            <w:vAlign w:val="center"/>
          </w:tcPr>
          <w:p w14:paraId="7928B003" w14:textId="77777777" w:rsidR="00626435" w:rsidRPr="001611DC" w:rsidRDefault="00626435" w:rsidP="00F626CA">
            <w:pPr>
              <w:pStyle w:val="TableText0"/>
            </w:pPr>
            <w:r w:rsidRPr="001611DC">
              <w:t>22,087</w:t>
            </w:r>
          </w:p>
        </w:tc>
        <w:tc>
          <w:tcPr>
            <w:tcW w:w="1086" w:type="pct"/>
            <w:tcBorders>
              <w:top w:val="nil"/>
              <w:left w:val="nil"/>
              <w:bottom w:val="single" w:sz="4" w:space="0" w:color="auto"/>
              <w:right w:val="single" w:sz="4" w:space="0" w:color="auto"/>
            </w:tcBorders>
            <w:shd w:val="clear" w:color="auto" w:fill="auto"/>
            <w:noWrap/>
            <w:vAlign w:val="center"/>
          </w:tcPr>
          <w:p w14:paraId="28F5567B" w14:textId="77777777" w:rsidR="00626435" w:rsidRPr="001611DC" w:rsidRDefault="00626435" w:rsidP="00F626CA">
            <w:pPr>
              <w:pStyle w:val="TableText0"/>
            </w:pPr>
            <w:r w:rsidRPr="001611DC">
              <w:t>44,478</w:t>
            </w:r>
          </w:p>
        </w:tc>
        <w:tc>
          <w:tcPr>
            <w:tcW w:w="1090" w:type="pct"/>
            <w:tcBorders>
              <w:top w:val="nil"/>
              <w:left w:val="nil"/>
              <w:bottom w:val="single" w:sz="4" w:space="0" w:color="auto"/>
              <w:right w:val="single" w:sz="4" w:space="0" w:color="auto"/>
            </w:tcBorders>
            <w:shd w:val="clear" w:color="auto" w:fill="auto"/>
            <w:noWrap/>
            <w:vAlign w:val="center"/>
          </w:tcPr>
          <w:p w14:paraId="67037C08" w14:textId="77777777" w:rsidR="00626435" w:rsidRPr="001611DC" w:rsidRDefault="00626435" w:rsidP="00F626CA">
            <w:pPr>
              <w:pStyle w:val="TableText0"/>
            </w:pPr>
            <w:r w:rsidRPr="001611DC">
              <w:t>-22,391</w:t>
            </w:r>
          </w:p>
        </w:tc>
      </w:tr>
      <w:tr w:rsidR="00626435" w:rsidRPr="001611DC" w14:paraId="74BFD593" w14:textId="77777777" w:rsidTr="00626435">
        <w:trPr>
          <w:trHeight w:val="64"/>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7F623163" w14:textId="77777777" w:rsidR="00626435" w:rsidRPr="001611DC" w:rsidRDefault="00626435" w:rsidP="00F626CA">
            <w:pPr>
              <w:pStyle w:val="TableText0"/>
            </w:pPr>
            <w:r w:rsidRPr="001611DC">
              <w:t>Cost per LY gained</w:t>
            </w:r>
          </w:p>
        </w:tc>
        <w:tc>
          <w:tcPr>
            <w:tcW w:w="1086" w:type="pct"/>
            <w:tcBorders>
              <w:top w:val="nil"/>
              <w:left w:val="nil"/>
              <w:bottom w:val="single" w:sz="4" w:space="0" w:color="auto"/>
              <w:right w:val="single" w:sz="4" w:space="0" w:color="auto"/>
            </w:tcBorders>
            <w:shd w:val="clear" w:color="auto" w:fill="auto"/>
            <w:noWrap/>
            <w:vAlign w:val="center"/>
          </w:tcPr>
          <w:p w14:paraId="750DAFD4"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291F4470"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2F91503C" w14:textId="3B78940A" w:rsidR="00626435" w:rsidRPr="00052402" w:rsidRDefault="00BD3549" w:rsidP="00F626CA">
            <w:pPr>
              <w:pStyle w:val="TableText0"/>
              <w:rPr>
                <w:highlight w:val="lightGray"/>
              </w:rPr>
            </w:pPr>
            <w:r w:rsidRPr="00BD3549">
              <w:rPr>
                <w:color w:val="000000"/>
                <w:spacing w:val="53"/>
                <w:shd w:val="solid" w:color="000000" w:fill="000000"/>
                <w:fitText w:val="330" w:id="-893676798"/>
                <w14:textFill>
                  <w14:solidFill>
                    <w14:srgbClr w14:val="000000">
                      <w14:alpha w14:val="100000"/>
                    </w14:srgbClr>
                  </w14:solidFill>
                </w14:textFill>
              </w:rPr>
              <w:t>|||</w:t>
            </w:r>
            <w:r w:rsidRPr="00BD3549">
              <w:rPr>
                <w:color w:val="000000"/>
                <w:spacing w:val="1"/>
                <w:shd w:val="solid" w:color="000000" w:fill="000000"/>
                <w:fitText w:val="330" w:id="-893676798"/>
                <w14:textFill>
                  <w14:solidFill>
                    <w14:srgbClr w14:val="000000">
                      <w14:alpha w14:val="100000"/>
                    </w14:srgbClr>
                  </w14:solidFill>
                </w14:textFill>
              </w:rPr>
              <w:t>|</w:t>
            </w:r>
            <w:r w:rsidR="0043214D" w:rsidRPr="0043214D">
              <w:rPr>
                <w:vertAlign w:val="superscript"/>
              </w:rPr>
              <w:t>4</w:t>
            </w:r>
          </w:p>
        </w:tc>
      </w:tr>
      <w:tr w:rsidR="00626435" w:rsidRPr="001611DC" w14:paraId="7E38D88B"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7E71690D" w14:textId="77777777" w:rsidR="00626435" w:rsidRPr="001611DC" w:rsidRDefault="00626435" w:rsidP="00F626CA">
            <w:pPr>
              <w:pStyle w:val="TableText0"/>
            </w:pPr>
            <w:r w:rsidRPr="001611DC">
              <w:t>Cost per QALY gained</w:t>
            </w:r>
          </w:p>
        </w:tc>
        <w:tc>
          <w:tcPr>
            <w:tcW w:w="1086" w:type="pct"/>
            <w:tcBorders>
              <w:top w:val="nil"/>
              <w:left w:val="nil"/>
              <w:bottom w:val="single" w:sz="4" w:space="0" w:color="auto"/>
              <w:right w:val="single" w:sz="4" w:space="0" w:color="auto"/>
            </w:tcBorders>
            <w:shd w:val="clear" w:color="auto" w:fill="auto"/>
            <w:noWrap/>
            <w:vAlign w:val="center"/>
          </w:tcPr>
          <w:p w14:paraId="5FD81347"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7F6878DC"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65F1899A" w14:textId="28CE1CE0" w:rsidR="00626435" w:rsidRPr="00052402" w:rsidRDefault="00BD3549" w:rsidP="00F626CA">
            <w:pPr>
              <w:pStyle w:val="TableText0"/>
              <w:rPr>
                <w:highlight w:val="lightGray"/>
              </w:rPr>
            </w:pPr>
            <w:r w:rsidRPr="00BD3549">
              <w:rPr>
                <w:color w:val="000000"/>
                <w:spacing w:val="53"/>
                <w:shd w:val="solid" w:color="000000" w:fill="000000"/>
                <w:fitText w:val="330" w:id="-893676797"/>
                <w14:textFill>
                  <w14:solidFill>
                    <w14:srgbClr w14:val="000000">
                      <w14:alpha w14:val="100000"/>
                    </w14:srgbClr>
                  </w14:solidFill>
                </w14:textFill>
              </w:rPr>
              <w:t>|||</w:t>
            </w:r>
            <w:r w:rsidRPr="00BD3549">
              <w:rPr>
                <w:color w:val="000000"/>
                <w:spacing w:val="1"/>
                <w:shd w:val="solid" w:color="000000" w:fill="000000"/>
                <w:fitText w:val="330" w:id="-893676797"/>
                <w14:textFill>
                  <w14:solidFill>
                    <w14:srgbClr w14:val="000000">
                      <w14:alpha w14:val="100000"/>
                    </w14:srgbClr>
                  </w14:solidFill>
                </w14:textFill>
              </w:rPr>
              <w:t>|</w:t>
            </w:r>
            <w:r w:rsidR="0043214D" w:rsidRPr="0043214D">
              <w:rPr>
                <w:vertAlign w:val="superscript"/>
              </w:rPr>
              <w:t>4</w:t>
            </w:r>
          </w:p>
        </w:tc>
      </w:tr>
      <w:tr w:rsidR="00626435" w:rsidRPr="001611DC" w14:paraId="37EECABC" w14:textId="77777777">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D85982" w14:textId="3F1E7875" w:rsidR="00626435" w:rsidRPr="001611DC" w:rsidRDefault="00E2719A" w:rsidP="00F626CA">
            <w:pPr>
              <w:pStyle w:val="TableText0"/>
              <w:rPr>
                <w:b/>
                <w:bCs w:val="0"/>
              </w:rPr>
            </w:pPr>
            <w:r w:rsidRPr="001611DC">
              <w:rPr>
                <w:b/>
                <w:bCs w:val="0"/>
              </w:rPr>
              <w:t>≥</w:t>
            </w:r>
            <w:r w:rsidR="00626435" w:rsidRPr="001611DC">
              <w:rPr>
                <w:b/>
                <w:bCs w:val="0"/>
              </w:rPr>
              <w:t>70 YOA</w:t>
            </w:r>
          </w:p>
        </w:tc>
      </w:tr>
      <w:tr w:rsidR="00626435" w:rsidRPr="001611DC" w14:paraId="20EBD607"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tcPr>
          <w:p w14:paraId="5EE46776" w14:textId="77777777" w:rsidR="00626435" w:rsidRPr="001611DC" w:rsidRDefault="00626435" w:rsidP="00F626CA">
            <w:pPr>
              <w:pStyle w:val="TableText0"/>
            </w:pPr>
            <w:r w:rsidRPr="001611DC">
              <w:t>Population</w:t>
            </w:r>
          </w:p>
        </w:tc>
        <w:tc>
          <w:tcPr>
            <w:tcW w:w="1086" w:type="pct"/>
            <w:tcBorders>
              <w:top w:val="nil"/>
              <w:left w:val="nil"/>
              <w:bottom w:val="single" w:sz="4" w:space="0" w:color="auto"/>
              <w:right w:val="single" w:sz="4" w:space="0" w:color="auto"/>
            </w:tcBorders>
            <w:shd w:val="solid" w:color="000000" w:fill="000000"/>
            <w:noWrap/>
            <w:vAlign w:val="center"/>
          </w:tcPr>
          <w:p w14:paraId="7B61F98C" w14:textId="6A1542C9" w:rsidR="00626435" w:rsidRPr="00245EF7" w:rsidRDefault="00BD3549" w:rsidP="00F626CA">
            <w:pPr>
              <w:pStyle w:val="TableText0"/>
              <w:rPr>
                <w:highlight w:val="lightGray"/>
              </w:rPr>
            </w:pPr>
            <w:r w:rsidRPr="00BD3549">
              <w:rPr>
                <w:color w:val="000000"/>
                <w:spacing w:val="53"/>
                <w:fitText w:val="330" w:id="-893676796"/>
                <w14:textFill>
                  <w14:solidFill>
                    <w14:srgbClr w14:val="000000">
                      <w14:alpha w14:val="100000"/>
                    </w14:srgbClr>
                  </w14:solidFill>
                </w14:textFill>
              </w:rPr>
              <w:t>|||</w:t>
            </w:r>
            <w:r w:rsidRPr="00BD3549">
              <w:rPr>
                <w:color w:val="000000"/>
                <w:spacing w:val="1"/>
                <w:fitText w:val="330" w:id="-893676796"/>
                <w14:textFill>
                  <w14:solidFill>
                    <w14:srgbClr w14:val="000000">
                      <w14:alpha w14:val="100000"/>
                    </w14:srgbClr>
                  </w14:solidFill>
                </w14:textFill>
              </w:rPr>
              <w:t>|</w:t>
            </w:r>
          </w:p>
        </w:tc>
        <w:tc>
          <w:tcPr>
            <w:tcW w:w="1086" w:type="pct"/>
            <w:tcBorders>
              <w:top w:val="nil"/>
              <w:left w:val="nil"/>
              <w:bottom w:val="single" w:sz="4" w:space="0" w:color="auto"/>
              <w:right w:val="single" w:sz="4" w:space="0" w:color="auto"/>
            </w:tcBorders>
            <w:shd w:val="solid" w:color="000000" w:fill="000000"/>
            <w:noWrap/>
            <w:vAlign w:val="center"/>
          </w:tcPr>
          <w:p w14:paraId="78AF6E56" w14:textId="4BF107EE" w:rsidR="00626435" w:rsidRPr="00245EF7" w:rsidRDefault="00BD3549" w:rsidP="00F626CA">
            <w:pPr>
              <w:pStyle w:val="TableText0"/>
              <w:rPr>
                <w:highlight w:val="lightGray"/>
              </w:rPr>
            </w:pPr>
            <w:r w:rsidRPr="00BD3549">
              <w:rPr>
                <w:color w:val="000000"/>
                <w:spacing w:val="53"/>
                <w:fitText w:val="330" w:id="-893676795"/>
                <w14:textFill>
                  <w14:solidFill>
                    <w14:srgbClr w14:val="000000">
                      <w14:alpha w14:val="100000"/>
                    </w14:srgbClr>
                  </w14:solidFill>
                </w14:textFill>
              </w:rPr>
              <w:t>|||</w:t>
            </w:r>
            <w:r w:rsidRPr="00BD3549">
              <w:rPr>
                <w:color w:val="000000"/>
                <w:spacing w:val="1"/>
                <w:fitText w:val="330" w:id="-893676795"/>
                <w14:textFill>
                  <w14:solidFill>
                    <w14:srgbClr w14:val="000000">
                      <w14:alpha w14:val="100000"/>
                    </w14:srgbClr>
                  </w14:solidFill>
                </w14:textFill>
              </w:rPr>
              <w:t>|</w:t>
            </w:r>
          </w:p>
        </w:tc>
        <w:tc>
          <w:tcPr>
            <w:tcW w:w="1090" w:type="pct"/>
            <w:tcBorders>
              <w:top w:val="nil"/>
              <w:left w:val="nil"/>
              <w:bottom w:val="single" w:sz="4" w:space="0" w:color="auto"/>
              <w:right w:val="single" w:sz="4" w:space="0" w:color="auto"/>
            </w:tcBorders>
            <w:shd w:val="clear" w:color="auto" w:fill="auto"/>
            <w:noWrap/>
            <w:vAlign w:val="center"/>
          </w:tcPr>
          <w:p w14:paraId="7D28CA75" w14:textId="77777777" w:rsidR="00626435" w:rsidRPr="001611DC" w:rsidRDefault="00626435" w:rsidP="00F626CA">
            <w:pPr>
              <w:pStyle w:val="TableText0"/>
            </w:pPr>
            <w:r w:rsidRPr="001611DC">
              <w:t>-</w:t>
            </w:r>
          </w:p>
        </w:tc>
      </w:tr>
      <w:tr w:rsidR="00626435" w:rsidRPr="001611DC" w14:paraId="0C87DFC4"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127E9733" w14:textId="52D87532" w:rsidR="00626435" w:rsidRPr="001611DC" w:rsidRDefault="00626435" w:rsidP="00F626CA">
            <w:pPr>
              <w:pStyle w:val="TableText0"/>
            </w:pPr>
            <w:r w:rsidRPr="001611DC">
              <w:t>Direct costs</w:t>
            </w:r>
            <w:r w:rsidR="00052402">
              <w:t xml:space="preserve"> ($)</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1D7B2C0A" w14:textId="27AAA69F" w:rsidR="00626435" w:rsidRPr="00052402" w:rsidRDefault="00BD3549" w:rsidP="00F626CA">
            <w:pPr>
              <w:pStyle w:val="TableText0"/>
              <w:rPr>
                <w:highlight w:val="lightGray"/>
              </w:rPr>
            </w:pPr>
            <w:r w:rsidRPr="00BD3549">
              <w:rPr>
                <w:color w:val="000000"/>
                <w:spacing w:val="53"/>
                <w:fitText w:val="330" w:id="-893676794"/>
                <w14:textFill>
                  <w14:solidFill>
                    <w14:srgbClr w14:val="000000">
                      <w14:alpha w14:val="100000"/>
                    </w14:srgbClr>
                  </w14:solidFill>
                </w14:textFill>
              </w:rPr>
              <w:t>|||</w:t>
            </w:r>
            <w:r w:rsidRPr="00BD3549">
              <w:rPr>
                <w:color w:val="000000"/>
                <w:spacing w:val="1"/>
                <w:fitText w:val="330" w:id="-893676794"/>
                <w14:textFill>
                  <w14:solidFill>
                    <w14:srgbClr w14:val="000000">
                      <w14:alpha w14:val="100000"/>
                    </w14:srgbClr>
                  </w14:solidFill>
                </w14:textFill>
              </w:rPr>
              <w:t>|</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19552B11" w14:textId="325B8117" w:rsidR="00626435" w:rsidRPr="00052402" w:rsidRDefault="00BD3549" w:rsidP="00F626CA">
            <w:pPr>
              <w:pStyle w:val="TableText0"/>
              <w:rPr>
                <w:highlight w:val="lightGray"/>
              </w:rPr>
            </w:pPr>
            <w:r w:rsidRPr="00BD3549">
              <w:rPr>
                <w:color w:val="000000"/>
                <w:spacing w:val="53"/>
                <w:fitText w:val="330" w:id="-893676793"/>
                <w14:textFill>
                  <w14:solidFill>
                    <w14:srgbClr w14:val="000000">
                      <w14:alpha w14:val="100000"/>
                    </w14:srgbClr>
                  </w14:solidFill>
                </w14:textFill>
              </w:rPr>
              <w:t>|||</w:t>
            </w:r>
            <w:r w:rsidRPr="00BD3549">
              <w:rPr>
                <w:color w:val="000000"/>
                <w:spacing w:val="1"/>
                <w:fitText w:val="330" w:id="-893676793"/>
                <w14:textFill>
                  <w14:solidFill>
                    <w14:srgbClr w14:val="000000">
                      <w14:alpha w14:val="100000"/>
                    </w14:srgbClr>
                  </w14:solidFill>
                </w14:textFill>
              </w:rPr>
              <w:t>|</w:t>
            </w:r>
          </w:p>
        </w:tc>
        <w:tc>
          <w:tcPr>
            <w:tcW w:w="1090" w:type="pct"/>
            <w:tcBorders>
              <w:top w:val="single" w:sz="4" w:space="0" w:color="auto"/>
              <w:left w:val="nil"/>
              <w:bottom w:val="single" w:sz="4" w:space="0" w:color="auto"/>
              <w:right w:val="single" w:sz="4" w:space="0" w:color="auto"/>
            </w:tcBorders>
            <w:shd w:val="solid" w:color="000000" w:fill="000000"/>
            <w:noWrap/>
            <w:vAlign w:val="center"/>
          </w:tcPr>
          <w:p w14:paraId="7361DDD3" w14:textId="7219E5E3" w:rsidR="00626435" w:rsidRPr="00052402" w:rsidRDefault="00BD3549" w:rsidP="00F626CA">
            <w:pPr>
              <w:pStyle w:val="TableText0"/>
              <w:rPr>
                <w:highlight w:val="lightGray"/>
              </w:rPr>
            </w:pPr>
            <w:r w:rsidRPr="00BD3549">
              <w:rPr>
                <w:color w:val="000000"/>
                <w:spacing w:val="53"/>
                <w:fitText w:val="330" w:id="-893676792"/>
                <w14:textFill>
                  <w14:solidFill>
                    <w14:srgbClr w14:val="000000">
                      <w14:alpha w14:val="100000"/>
                    </w14:srgbClr>
                  </w14:solidFill>
                </w14:textFill>
              </w:rPr>
              <w:t>|||</w:t>
            </w:r>
            <w:r w:rsidRPr="00BD3549">
              <w:rPr>
                <w:color w:val="000000"/>
                <w:spacing w:val="1"/>
                <w:fitText w:val="330" w:id="-893676792"/>
                <w14:textFill>
                  <w14:solidFill>
                    <w14:srgbClr w14:val="000000">
                      <w14:alpha w14:val="100000"/>
                    </w14:srgbClr>
                  </w14:solidFill>
                </w14:textFill>
              </w:rPr>
              <w:t>|</w:t>
            </w:r>
          </w:p>
        </w:tc>
      </w:tr>
      <w:tr w:rsidR="00626435" w:rsidRPr="001611DC" w14:paraId="72C90C39"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53A01C46" w14:textId="77777777" w:rsidR="00626435" w:rsidRPr="001611DC" w:rsidRDefault="00626435" w:rsidP="00F626CA">
            <w:pPr>
              <w:pStyle w:val="TableText0"/>
            </w:pPr>
            <w:r w:rsidRPr="001611DC">
              <w:t>LYS lost</w:t>
            </w:r>
          </w:p>
        </w:tc>
        <w:tc>
          <w:tcPr>
            <w:tcW w:w="1086" w:type="pct"/>
            <w:tcBorders>
              <w:top w:val="nil"/>
              <w:left w:val="nil"/>
              <w:bottom w:val="single" w:sz="4" w:space="0" w:color="auto"/>
              <w:right w:val="single" w:sz="4" w:space="0" w:color="auto"/>
            </w:tcBorders>
            <w:shd w:val="clear" w:color="auto" w:fill="auto"/>
            <w:noWrap/>
            <w:vAlign w:val="center"/>
          </w:tcPr>
          <w:p w14:paraId="40697A81" w14:textId="77777777" w:rsidR="00626435" w:rsidRPr="001611DC" w:rsidRDefault="00626435" w:rsidP="00F626CA">
            <w:pPr>
              <w:pStyle w:val="TableText0"/>
            </w:pPr>
            <w:r w:rsidRPr="001611DC">
              <w:t>15,090</w:t>
            </w:r>
          </w:p>
        </w:tc>
        <w:tc>
          <w:tcPr>
            <w:tcW w:w="1086" w:type="pct"/>
            <w:tcBorders>
              <w:top w:val="nil"/>
              <w:left w:val="nil"/>
              <w:bottom w:val="single" w:sz="4" w:space="0" w:color="auto"/>
              <w:right w:val="single" w:sz="4" w:space="0" w:color="auto"/>
            </w:tcBorders>
            <w:shd w:val="clear" w:color="auto" w:fill="auto"/>
            <w:noWrap/>
            <w:vAlign w:val="center"/>
          </w:tcPr>
          <w:p w14:paraId="298D6EDF" w14:textId="77777777" w:rsidR="00626435" w:rsidRPr="001611DC" w:rsidRDefault="00626435" w:rsidP="00F626CA">
            <w:pPr>
              <w:pStyle w:val="TableText0"/>
            </w:pPr>
            <w:r w:rsidRPr="001611DC">
              <w:t>33,118</w:t>
            </w:r>
          </w:p>
        </w:tc>
        <w:tc>
          <w:tcPr>
            <w:tcW w:w="1090" w:type="pct"/>
            <w:tcBorders>
              <w:top w:val="nil"/>
              <w:left w:val="nil"/>
              <w:bottom w:val="single" w:sz="4" w:space="0" w:color="auto"/>
              <w:right w:val="single" w:sz="4" w:space="0" w:color="auto"/>
            </w:tcBorders>
            <w:shd w:val="clear" w:color="auto" w:fill="auto"/>
            <w:noWrap/>
            <w:vAlign w:val="center"/>
          </w:tcPr>
          <w:p w14:paraId="31E329D8" w14:textId="77777777" w:rsidR="00626435" w:rsidRPr="001611DC" w:rsidRDefault="00626435" w:rsidP="00F626CA">
            <w:pPr>
              <w:pStyle w:val="TableText0"/>
            </w:pPr>
            <w:r w:rsidRPr="001611DC">
              <w:t>-18,028</w:t>
            </w:r>
          </w:p>
        </w:tc>
      </w:tr>
      <w:tr w:rsidR="00626435" w:rsidRPr="001611DC" w14:paraId="594924E1"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25E6CEDC" w14:textId="77777777" w:rsidR="00626435" w:rsidRPr="001611DC" w:rsidRDefault="00626435" w:rsidP="00F626CA">
            <w:pPr>
              <w:pStyle w:val="TableText0"/>
            </w:pPr>
            <w:r w:rsidRPr="001611DC">
              <w:t>QALYs lost</w:t>
            </w:r>
          </w:p>
        </w:tc>
        <w:tc>
          <w:tcPr>
            <w:tcW w:w="1086" w:type="pct"/>
            <w:tcBorders>
              <w:top w:val="nil"/>
              <w:left w:val="nil"/>
              <w:bottom w:val="single" w:sz="4" w:space="0" w:color="auto"/>
              <w:right w:val="single" w:sz="4" w:space="0" w:color="auto"/>
            </w:tcBorders>
            <w:shd w:val="clear" w:color="auto" w:fill="auto"/>
            <w:noWrap/>
            <w:vAlign w:val="center"/>
          </w:tcPr>
          <w:p w14:paraId="229A93FB" w14:textId="77777777" w:rsidR="00626435" w:rsidRPr="001611DC" w:rsidRDefault="00626435" w:rsidP="00F626CA">
            <w:pPr>
              <w:pStyle w:val="TableText0"/>
            </w:pPr>
            <w:r w:rsidRPr="001611DC">
              <w:t>17,617</w:t>
            </w:r>
          </w:p>
        </w:tc>
        <w:tc>
          <w:tcPr>
            <w:tcW w:w="1086" w:type="pct"/>
            <w:tcBorders>
              <w:top w:val="nil"/>
              <w:left w:val="nil"/>
              <w:bottom w:val="single" w:sz="4" w:space="0" w:color="auto"/>
              <w:right w:val="single" w:sz="4" w:space="0" w:color="auto"/>
            </w:tcBorders>
            <w:shd w:val="clear" w:color="auto" w:fill="auto"/>
            <w:noWrap/>
            <w:vAlign w:val="center"/>
          </w:tcPr>
          <w:p w14:paraId="1F2BD7A8" w14:textId="77777777" w:rsidR="00626435" w:rsidRPr="001611DC" w:rsidRDefault="00626435" w:rsidP="00F626CA">
            <w:pPr>
              <w:pStyle w:val="TableText0"/>
            </w:pPr>
            <w:r w:rsidRPr="001611DC">
              <w:t>35,944</w:t>
            </w:r>
          </w:p>
        </w:tc>
        <w:tc>
          <w:tcPr>
            <w:tcW w:w="1090" w:type="pct"/>
            <w:tcBorders>
              <w:top w:val="nil"/>
              <w:left w:val="nil"/>
              <w:bottom w:val="single" w:sz="4" w:space="0" w:color="auto"/>
              <w:right w:val="single" w:sz="4" w:space="0" w:color="auto"/>
            </w:tcBorders>
            <w:shd w:val="clear" w:color="auto" w:fill="auto"/>
            <w:noWrap/>
            <w:vAlign w:val="center"/>
          </w:tcPr>
          <w:p w14:paraId="6FFD08D7" w14:textId="77777777" w:rsidR="00626435" w:rsidRPr="001611DC" w:rsidRDefault="00626435" w:rsidP="00F626CA">
            <w:pPr>
              <w:pStyle w:val="TableText0"/>
            </w:pPr>
            <w:r w:rsidRPr="001611DC">
              <w:t>-18,327</w:t>
            </w:r>
          </w:p>
        </w:tc>
      </w:tr>
      <w:tr w:rsidR="00626435" w:rsidRPr="001611DC" w14:paraId="7ED8D36E"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618A07B" w14:textId="77777777" w:rsidR="00626435" w:rsidRPr="001611DC" w:rsidRDefault="00626435" w:rsidP="00F626CA">
            <w:pPr>
              <w:pStyle w:val="TableText0"/>
            </w:pPr>
            <w:r w:rsidRPr="001611DC">
              <w:t>Cost per LY gained</w:t>
            </w:r>
          </w:p>
        </w:tc>
        <w:tc>
          <w:tcPr>
            <w:tcW w:w="1086" w:type="pct"/>
            <w:tcBorders>
              <w:top w:val="nil"/>
              <w:left w:val="nil"/>
              <w:bottom w:val="single" w:sz="4" w:space="0" w:color="auto"/>
              <w:right w:val="single" w:sz="4" w:space="0" w:color="auto"/>
            </w:tcBorders>
            <w:shd w:val="clear" w:color="auto" w:fill="auto"/>
            <w:noWrap/>
            <w:vAlign w:val="center"/>
          </w:tcPr>
          <w:p w14:paraId="59D1793B"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5424B183"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1EBAC9B4" w14:textId="64D3B2E8" w:rsidR="00626435" w:rsidRPr="00052402" w:rsidRDefault="00BD3549" w:rsidP="00F626CA">
            <w:pPr>
              <w:pStyle w:val="TableText0"/>
              <w:rPr>
                <w:highlight w:val="lightGray"/>
              </w:rPr>
            </w:pPr>
            <w:r w:rsidRPr="00BD3549">
              <w:rPr>
                <w:color w:val="000000"/>
                <w:spacing w:val="53"/>
                <w:shd w:val="solid" w:color="000000" w:fill="000000"/>
                <w:fitText w:val="330" w:id="-893676791"/>
                <w14:textFill>
                  <w14:solidFill>
                    <w14:srgbClr w14:val="000000">
                      <w14:alpha w14:val="100000"/>
                    </w14:srgbClr>
                  </w14:solidFill>
                </w14:textFill>
              </w:rPr>
              <w:t>|||</w:t>
            </w:r>
            <w:r w:rsidRPr="00BD3549">
              <w:rPr>
                <w:color w:val="000000"/>
                <w:spacing w:val="1"/>
                <w:shd w:val="solid" w:color="000000" w:fill="000000"/>
                <w:fitText w:val="330" w:id="-893676791"/>
                <w14:textFill>
                  <w14:solidFill>
                    <w14:srgbClr w14:val="000000">
                      <w14:alpha w14:val="100000"/>
                    </w14:srgbClr>
                  </w14:solidFill>
                </w14:textFill>
              </w:rPr>
              <w:t>|</w:t>
            </w:r>
            <w:r w:rsidR="008E14DD" w:rsidRPr="008E14DD">
              <w:rPr>
                <w:vertAlign w:val="superscript"/>
              </w:rPr>
              <w:t>4</w:t>
            </w:r>
          </w:p>
        </w:tc>
      </w:tr>
      <w:tr w:rsidR="00626435" w:rsidRPr="001611DC" w14:paraId="6B0F1DC2"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5F342961" w14:textId="77777777" w:rsidR="00626435" w:rsidRPr="001611DC" w:rsidRDefault="00626435" w:rsidP="00F626CA">
            <w:pPr>
              <w:pStyle w:val="TableText0"/>
            </w:pPr>
            <w:r w:rsidRPr="001611DC">
              <w:t>Cost per QALY gained</w:t>
            </w:r>
          </w:p>
        </w:tc>
        <w:tc>
          <w:tcPr>
            <w:tcW w:w="1086" w:type="pct"/>
            <w:tcBorders>
              <w:top w:val="nil"/>
              <w:left w:val="nil"/>
              <w:bottom w:val="single" w:sz="4" w:space="0" w:color="auto"/>
              <w:right w:val="single" w:sz="4" w:space="0" w:color="auto"/>
            </w:tcBorders>
            <w:shd w:val="clear" w:color="auto" w:fill="auto"/>
            <w:noWrap/>
            <w:vAlign w:val="center"/>
          </w:tcPr>
          <w:p w14:paraId="6F246958"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62EA3F84"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4F93902E" w14:textId="24E9D100" w:rsidR="00626435" w:rsidRPr="00052402" w:rsidRDefault="00BD3549" w:rsidP="00F626CA">
            <w:pPr>
              <w:pStyle w:val="TableText0"/>
              <w:rPr>
                <w:highlight w:val="lightGray"/>
              </w:rPr>
            </w:pPr>
            <w:r w:rsidRPr="00BD3549">
              <w:rPr>
                <w:color w:val="000000"/>
                <w:spacing w:val="53"/>
                <w:shd w:val="solid" w:color="000000" w:fill="000000"/>
                <w:fitText w:val="330" w:id="-893676790"/>
                <w14:textFill>
                  <w14:solidFill>
                    <w14:srgbClr w14:val="000000">
                      <w14:alpha w14:val="100000"/>
                    </w14:srgbClr>
                  </w14:solidFill>
                </w14:textFill>
              </w:rPr>
              <w:t>|||</w:t>
            </w:r>
            <w:r w:rsidRPr="00BD3549">
              <w:rPr>
                <w:color w:val="000000"/>
                <w:spacing w:val="1"/>
                <w:shd w:val="solid" w:color="000000" w:fill="000000"/>
                <w:fitText w:val="330" w:id="-893676790"/>
                <w14:textFill>
                  <w14:solidFill>
                    <w14:srgbClr w14:val="000000">
                      <w14:alpha w14:val="100000"/>
                    </w14:srgbClr>
                  </w14:solidFill>
                </w14:textFill>
              </w:rPr>
              <w:t>|</w:t>
            </w:r>
            <w:r w:rsidR="000D7FA2" w:rsidRPr="000D7FA2">
              <w:rPr>
                <w:vertAlign w:val="superscript"/>
              </w:rPr>
              <w:t>3</w:t>
            </w:r>
          </w:p>
        </w:tc>
      </w:tr>
      <w:tr w:rsidR="00626435" w:rsidRPr="001611DC" w14:paraId="106E0A77" w14:textId="77777777">
        <w:trPr>
          <w:trHeight w:val="276"/>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F58EA4" w14:textId="0EB22272" w:rsidR="00626435" w:rsidRPr="001611DC" w:rsidRDefault="00E2719A" w:rsidP="00F626CA">
            <w:pPr>
              <w:pStyle w:val="TableText0"/>
              <w:rPr>
                <w:b/>
                <w:bCs w:val="0"/>
              </w:rPr>
            </w:pPr>
            <w:r w:rsidRPr="001611DC">
              <w:rPr>
                <w:b/>
                <w:bCs w:val="0"/>
              </w:rPr>
              <w:t>≥</w:t>
            </w:r>
            <w:r w:rsidR="00626435" w:rsidRPr="001611DC">
              <w:rPr>
                <w:b/>
                <w:bCs w:val="0"/>
              </w:rPr>
              <w:t>80 YOA</w:t>
            </w:r>
          </w:p>
        </w:tc>
      </w:tr>
      <w:tr w:rsidR="00626435" w:rsidRPr="001611DC" w14:paraId="70FE4444"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tcPr>
          <w:p w14:paraId="68942562" w14:textId="77777777" w:rsidR="00626435" w:rsidRPr="001611DC" w:rsidRDefault="00626435" w:rsidP="00F626CA">
            <w:pPr>
              <w:pStyle w:val="TableText0"/>
            </w:pPr>
            <w:r w:rsidRPr="001611DC">
              <w:t>Population</w:t>
            </w:r>
          </w:p>
        </w:tc>
        <w:tc>
          <w:tcPr>
            <w:tcW w:w="1086" w:type="pct"/>
            <w:tcBorders>
              <w:top w:val="nil"/>
              <w:left w:val="nil"/>
              <w:bottom w:val="single" w:sz="4" w:space="0" w:color="auto"/>
              <w:right w:val="single" w:sz="4" w:space="0" w:color="auto"/>
            </w:tcBorders>
            <w:shd w:val="solid" w:color="000000" w:fill="000000"/>
            <w:noWrap/>
            <w:vAlign w:val="center"/>
          </w:tcPr>
          <w:p w14:paraId="166B1C9C" w14:textId="5D0CA2AC" w:rsidR="00626435" w:rsidRPr="00052402" w:rsidRDefault="00BD3549" w:rsidP="00F626CA">
            <w:pPr>
              <w:pStyle w:val="TableText0"/>
              <w:rPr>
                <w:highlight w:val="lightGray"/>
              </w:rPr>
            </w:pPr>
            <w:r w:rsidRPr="00BD3549">
              <w:rPr>
                <w:color w:val="000000"/>
                <w:spacing w:val="53"/>
                <w:fitText w:val="330" w:id="-893676789"/>
                <w14:textFill>
                  <w14:solidFill>
                    <w14:srgbClr w14:val="000000">
                      <w14:alpha w14:val="100000"/>
                    </w14:srgbClr>
                  </w14:solidFill>
                </w14:textFill>
              </w:rPr>
              <w:t>|||</w:t>
            </w:r>
            <w:r w:rsidRPr="00BD3549">
              <w:rPr>
                <w:color w:val="000000"/>
                <w:spacing w:val="1"/>
                <w:fitText w:val="330" w:id="-893676789"/>
                <w14:textFill>
                  <w14:solidFill>
                    <w14:srgbClr w14:val="000000">
                      <w14:alpha w14:val="100000"/>
                    </w14:srgbClr>
                  </w14:solidFill>
                </w14:textFill>
              </w:rPr>
              <w:t>|</w:t>
            </w:r>
          </w:p>
        </w:tc>
        <w:tc>
          <w:tcPr>
            <w:tcW w:w="1086" w:type="pct"/>
            <w:tcBorders>
              <w:top w:val="nil"/>
              <w:left w:val="nil"/>
              <w:bottom w:val="single" w:sz="4" w:space="0" w:color="auto"/>
              <w:right w:val="single" w:sz="4" w:space="0" w:color="auto"/>
            </w:tcBorders>
            <w:shd w:val="solid" w:color="000000" w:fill="000000"/>
            <w:noWrap/>
            <w:vAlign w:val="center"/>
          </w:tcPr>
          <w:p w14:paraId="263557C0" w14:textId="26E7CD06" w:rsidR="00626435" w:rsidRPr="00052402" w:rsidRDefault="00BD3549" w:rsidP="00F626CA">
            <w:pPr>
              <w:pStyle w:val="TableText0"/>
              <w:rPr>
                <w:highlight w:val="lightGray"/>
              </w:rPr>
            </w:pPr>
            <w:r w:rsidRPr="00BD3549">
              <w:rPr>
                <w:color w:val="000000"/>
                <w:spacing w:val="53"/>
                <w:fitText w:val="330" w:id="-893676788"/>
                <w14:textFill>
                  <w14:solidFill>
                    <w14:srgbClr w14:val="000000">
                      <w14:alpha w14:val="100000"/>
                    </w14:srgbClr>
                  </w14:solidFill>
                </w14:textFill>
              </w:rPr>
              <w:t>|||</w:t>
            </w:r>
            <w:r w:rsidRPr="00BD3549">
              <w:rPr>
                <w:color w:val="000000"/>
                <w:spacing w:val="1"/>
                <w:fitText w:val="330" w:id="-893676788"/>
                <w14:textFill>
                  <w14:solidFill>
                    <w14:srgbClr w14:val="000000">
                      <w14:alpha w14:val="100000"/>
                    </w14:srgbClr>
                  </w14:solidFill>
                </w14:textFill>
              </w:rPr>
              <w:t>|</w:t>
            </w:r>
          </w:p>
        </w:tc>
        <w:tc>
          <w:tcPr>
            <w:tcW w:w="1090" w:type="pct"/>
            <w:tcBorders>
              <w:top w:val="nil"/>
              <w:left w:val="nil"/>
              <w:bottom w:val="single" w:sz="4" w:space="0" w:color="auto"/>
              <w:right w:val="single" w:sz="4" w:space="0" w:color="auto"/>
            </w:tcBorders>
            <w:shd w:val="clear" w:color="auto" w:fill="auto"/>
            <w:noWrap/>
            <w:vAlign w:val="center"/>
          </w:tcPr>
          <w:p w14:paraId="67743ABD" w14:textId="77777777" w:rsidR="00626435" w:rsidRPr="001611DC" w:rsidRDefault="00626435" w:rsidP="00F626CA">
            <w:pPr>
              <w:pStyle w:val="TableText0"/>
            </w:pPr>
            <w:r w:rsidRPr="001611DC">
              <w:t>-</w:t>
            </w:r>
          </w:p>
        </w:tc>
      </w:tr>
      <w:tr w:rsidR="00626435" w:rsidRPr="001611DC" w14:paraId="73B04180" w14:textId="77777777" w:rsidTr="00BD3549">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58DDC36" w14:textId="1CDF6218" w:rsidR="00626435" w:rsidRPr="001611DC" w:rsidRDefault="00626435" w:rsidP="00F626CA">
            <w:pPr>
              <w:pStyle w:val="TableText0"/>
            </w:pPr>
            <w:r w:rsidRPr="001611DC">
              <w:t>Direct costs</w:t>
            </w:r>
            <w:r w:rsidR="00052402">
              <w:t xml:space="preserve"> ($)</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0E45F908" w14:textId="31299F4D" w:rsidR="00626435" w:rsidRPr="00052402" w:rsidRDefault="00BD3549" w:rsidP="00F626CA">
            <w:pPr>
              <w:pStyle w:val="TableText0"/>
              <w:rPr>
                <w:highlight w:val="lightGray"/>
              </w:rPr>
            </w:pPr>
            <w:r w:rsidRPr="00BD3549">
              <w:rPr>
                <w:color w:val="000000"/>
                <w:spacing w:val="53"/>
                <w:fitText w:val="330" w:id="-893676787"/>
                <w14:textFill>
                  <w14:solidFill>
                    <w14:srgbClr w14:val="000000">
                      <w14:alpha w14:val="100000"/>
                    </w14:srgbClr>
                  </w14:solidFill>
                </w14:textFill>
              </w:rPr>
              <w:t>|||</w:t>
            </w:r>
            <w:r w:rsidRPr="00BD3549">
              <w:rPr>
                <w:color w:val="000000"/>
                <w:spacing w:val="1"/>
                <w:fitText w:val="330" w:id="-893676787"/>
                <w14:textFill>
                  <w14:solidFill>
                    <w14:srgbClr w14:val="000000">
                      <w14:alpha w14:val="100000"/>
                    </w14:srgbClr>
                  </w14:solidFill>
                </w14:textFill>
              </w:rPr>
              <w:t>|</w:t>
            </w:r>
          </w:p>
        </w:tc>
        <w:tc>
          <w:tcPr>
            <w:tcW w:w="1086" w:type="pct"/>
            <w:tcBorders>
              <w:top w:val="single" w:sz="4" w:space="0" w:color="auto"/>
              <w:left w:val="nil"/>
              <w:bottom w:val="single" w:sz="4" w:space="0" w:color="auto"/>
              <w:right w:val="single" w:sz="4" w:space="0" w:color="auto"/>
            </w:tcBorders>
            <w:shd w:val="solid" w:color="000000" w:fill="000000"/>
            <w:noWrap/>
            <w:vAlign w:val="center"/>
          </w:tcPr>
          <w:p w14:paraId="2D6F7396" w14:textId="4E9269E7" w:rsidR="00626435" w:rsidRPr="00052402" w:rsidRDefault="00BD3549" w:rsidP="00F626CA">
            <w:pPr>
              <w:pStyle w:val="TableText0"/>
              <w:rPr>
                <w:highlight w:val="lightGray"/>
              </w:rPr>
            </w:pPr>
            <w:r w:rsidRPr="00BD3549">
              <w:rPr>
                <w:color w:val="000000"/>
                <w:spacing w:val="53"/>
                <w:fitText w:val="330" w:id="-893676786"/>
                <w14:textFill>
                  <w14:solidFill>
                    <w14:srgbClr w14:val="000000">
                      <w14:alpha w14:val="100000"/>
                    </w14:srgbClr>
                  </w14:solidFill>
                </w14:textFill>
              </w:rPr>
              <w:t>|||</w:t>
            </w:r>
            <w:r w:rsidRPr="00BD3549">
              <w:rPr>
                <w:color w:val="000000"/>
                <w:spacing w:val="1"/>
                <w:fitText w:val="330" w:id="-893676786"/>
                <w14:textFill>
                  <w14:solidFill>
                    <w14:srgbClr w14:val="000000">
                      <w14:alpha w14:val="100000"/>
                    </w14:srgbClr>
                  </w14:solidFill>
                </w14:textFill>
              </w:rPr>
              <w:t>|</w:t>
            </w:r>
          </w:p>
        </w:tc>
        <w:tc>
          <w:tcPr>
            <w:tcW w:w="1090" w:type="pct"/>
            <w:tcBorders>
              <w:top w:val="single" w:sz="4" w:space="0" w:color="auto"/>
              <w:left w:val="nil"/>
              <w:bottom w:val="single" w:sz="4" w:space="0" w:color="auto"/>
              <w:right w:val="single" w:sz="4" w:space="0" w:color="auto"/>
            </w:tcBorders>
            <w:shd w:val="solid" w:color="000000" w:fill="000000"/>
            <w:noWrap/>
            <w:vAlign w:val="center"/>
          </w:tcPr>
          <w:p w14:paraId="27B20681" w14:textId="08269D4F" w:rsidR="00626435" w:rsidRPr="00052402" w:rsidRDefault="00BD3549" w:rsidP="00F626CA">
            <w:pPr>
              <w:pStyle w:val="TableText0"/>
              <w:rPr>
                <w:highlight w:val="lightGray"/>
              </w:rPr>
            </w:pPr>
            <w:r w:rsidRPr="00BD3549">
              <w:rPr>
                <w:color w:val="000000"/>
                <w:spacing w:val="53"/>
                <w:fitText w:val="330" w:id="-893676785"/>
                <w14:textFill>
                  <w14:solidFill>
                    <w14:srgbClr w14:val="000000">
                      <w14:alpha w14:val="100000"/>
                    </w14:srgbClr>
                  </w14:solidFill>
                </w14:textFill>
              </w:rPr>
              <w:t>|||</w:t>
            </w:r>
            <w:r w:rsidRPr="00BD3549">
              <w:rPr>
                <w:color w:val="000000"/>
                <w:spacing w:val="1"/>
                <w:fitText w:val="330" w:id="-893676785"/>
                <w14:textFill>
                  <w14:solidFill>
                    <w14:srgbClr w14:val="000000">
                      <w14:alpha w14:val="100000"/>
                    </w14:srgbClr>
                  </w14:solidFill>
                </w14:textFill>
              </w:rPr>
              <w:t>|</w:t>
            </w:r>
          </w:p>
        </w:tc>
      </w:tr>
      <w:tr w:rsidR="00626435" w:rsidRPr="001611DC" w14:paraId="0C5968D0"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4BCDC602" w14:textId="77777777" w:rsidR="00626435" w:rsidRPr="001611DC" w:rsidRDefault="00626435" w:rsidP="00F626CA">
            <w:pPr>
              <w:pStyle w:val="TableText0"/>
            </w:pPr>
            <w:r w:rsidRPr="001611DC">
              <w:t>LYS lost</w:t>
            </w:r>
          </w:p>
        </w:tc>
        <w:tc>
          <w:tcPr>
            <w:tcW w:w="1086" w:type="pct"/>
            <w:tcBorders>
              <w:top w:val="nil"/>
              <w:left w:val="nil"/>
              <w:bottom w:val="single" w:sz="4" w:space="0" w:color="auto"/>
              <w:right w:val="single" w:sz="4" w:space="0" w:color="auto"/>
            </w:tcBorders>
            <w:shd w:val="clear" w:color="auto" w:fill="auto"/>
            <w:noWrap/>
            <w:vAlign w:val="center"/>
          </w:tcPr>
          <w:p w14:paraId="303213F8" w14:textId="77777777" w:rsidR="00626435" w:rsidRPr="001611DC" w:rsidRDefault="00626435" w:rsidP="00F626CA">
            <w:pPr>
              <w:pStyle w:val="TableText0"/>
            </w:pPr>
            <w:r w:rsidRPr="001611DC">
              <w:t>6,612</w:t>
            </w:r>
          </w:p>
        </w:tc>
        <w:tc>
          <w:tcPr>
            <w:tcW w:w="1086" w:type="pct"/>
            <w:tcBorders>
              <w:top w:val="nil"/>
              <w:left w:val="nil"/>
              <w:bottom w:val="single" w:sz="4" w:space="0" w:color="auto"/>
              <w:right w:val="single" w:sz="4" w:space="0" w:color="auto"/>
            </w:tcBorders>
            <w:shd w:val="clear" w:color="auto" w:fill="auto"/>
            <w:noWrap/>
            <w:vAlign w:val="center"/>
          </w:tcPr>
          <w:p w14:paraId="0C34D163" w14:textId="77777777" w:rsidR="00626435" w:rsidRPr="001611DC" w:rsidRDefault="00626435" w:rsidP="00F626CA">
            <w:pPr>
              <w:pStyle w:val="TableText0"/>
            </w:pPr>
            <w:r w:rsidRPr="001611DC">
              <w:t>14,704</w:t>
            </w:r>
          </w:p>
        </w:tc>
        <w:tc>
          <w:tcPr>
            <w:tcW w:w="1090" w:type="pct"/>
            <w:tcBorders>
              <w:top w:val="nil"/>
              <w:left w:val="nil"/>
              <w:bottom w:val="single" w:sz="4" w:space="0" w:color="auto"/>
              <w:right w:val="single" w:sz="4" w:space="0" w:color="auto"/>
            </w:tcBorders>
            <w:shd w:val="clear" w:color="auto" w:fill="auto"/>
            <w:noWrap/>
            <w:vAlign w:val="center"/>
          </w:tcPr>
          <w:p w14:paraId="61517098" w14:textId="77777777" w:rsidR="00626435" w:rsidRPr="001611DC" w:rsidRDefault="00626435" w:rsidP="00F626CA">
            <w:pPr>
              <w:pStyle w:val="TableText0"/>
            </w:pPr>
            <w:r w:rsidRPr="001611DC">
              <w:t>-8,092</w:t>
            </w:r>
          </w:p>
        </w:tc>
      </w:tr>
      <w:tr w:rsidR="00626435" w:rsidRPr="001611DC" w14:paraId="7165DD3B"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5D16B520" w14:textId="77777777" w:rsidR="00626435" w:rsidRPr="001611DC" w:rsidRDefault="00626435" w:rsidP="00F626CA">
            <w:pPr>
              <w:pStyle w:val="TableText0"/>
            </w:pPr>
            <w:r w:rsidRPr="001611DC">
              <w:t>QALYs lost</w:t>
            </w:r>
          </w:p>
        </w:tc>
        <w:tc>
          <w:tcPr>
            <w:tcW w:w="1086" w:type="pct"/>
            <w:tcBorders>
              <w:top w:val="nil"/>
              <w:left w:val="nil"/>
              <w:bottom w:val="single" w:sz="4" w:space="0" w:color="auto"/>
              <w:right w:val="single" w:sz="4" w:space="0" w:color="auto"/>
            </w:tcBorders>
            <w:shd w:val="clear" w:color="auto" w:fill="auto"/>
            <w:noWrap/>
            <w:vAlign w:val="center"/>
          </w:tcPr>
          <w:p w14:paraId="4B2F63FE" w14:textId="77777777" w:rsidR="00626435" w:rsidRPr="001611DC" w:rsidRDefault="00626435" w:rsidP="00F626CA">
            <w:pPr>
              <w:pStyle w:val="TableText0"/>
            </w:pPr>
            <w:r w:rsidRPr="001611DC">
              <w:t>7,223</w:t>
            </w:r>
          </w:p>
        </w:tc>
        <w:tc>
          <w:tcPr>
            <w:tcW w:w="1086" w:type="pct"/>
            <w:tcBorders>
              <w:top w:val="nil"/>
              <w:left w:val="nil"/>
              <w:bottom w:val="single" w:sz="4" w:space="0" w:color="auto"/>
              <w:right w:val="single" w:sz="4" w:space="0" w:color="auto"/>
            </w:tcBorders>
            <w:shd w:val="clear" w:color="auto" w:fill="auto"/>
            <w:noWrap/>
            <w:vAlign w:val="center"/>
          </w:tcPr>
          <w:p w14:paraId="741BD92B" w14:textId="77777777" w:rsidR="00626435" w:rsidRPr="001611DC" w:rsidRDefault="00626435" w:rsidP="00F626CA">
            <w:pPr>
              <w:pStyle w:val="TableText0"/>
            </w:pPr>
            <w:r w:rsidRPr="001611DC">
              <w:t>15,107</w:t>
            </w:r>
          </w:p>
        </w:tc>
        <w:tc>
          <w:tcPr>
            <w:tcW w:w="1090" w:type="pct"/>
            <w:tcBorders>
              <w:top w:val="nil"/>
              <w:left w:val="nil"/>
              <w:bottom w:val="single" w:sz="4" w:space="0" w:color="auto"/>
              <w:right w:val="single" w:sz="4" w:space="0" w:color="auto"/>
            </w:tcBorders>
            <w:shd w:val="clear" w:color="auto" w:fill="auto"/>
            <w:noWrap/>
            <w:vAlign w:val="center"/>
          </w:tcPr>
          <w:p w14:paraId="6B6734EA" w14:textId="77777777" w:rsidR="00626435" w:rsidRPr="001611DC" w:rsidRDefault="00626435" w:rsidP="00F626CA">
            <w:pPr>
              <w:pStyle w:val="TableText0"/>
            </w:pPr>
            <w:r w:rsidRPr="001611DC">
              <w:t>-7,884</w:t>
            </w:r>
          </w:p>
        </w:tc>
      </w:tr>
      <w:tr w:rsidR="00626435" w:rsidRPr="001611DC" w14:paraId="11E78F67"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6BE513BF" w14:textId="77777777" w:rsidR="00626435" w:rsidRPr="001611DC" w:rsidRDefault="00626435" w:rsidP="00F626CA">
            <w:pPr>
              <w:pStyle w:val="TableText0"/>
            </w:pPr>
            <w:r w:rsidRPr="001611DC">
              <w:t>Cost per LY gained</w:t>
            </w:r>
          </w:p>
        </w:tc>
        <w:tc>
          <w:tcPr>
            <w:tcW w:w="1086" w:type="pct"/>
            <w:tcBorders>
              <w:top w:val="nil"/>
              <w:left w:val="nil"/>
              <w:bottom w:val="single" w:sz="4" w:space="0" w:color="auto"/>
              <w:right w:val="single" w:sz="4" w:space="0" w:color="auto"/>
            </w:tcBorders>
            <w:shd w:val="clear" w:color="auto" w:fill="auto"/>
            <w:noWrap/>
            <w:vAlign w:val="center"/>
          </w:tcPr>
          <w:p w14:paraId="4E337535"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27243E9C"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34829DAC" w14:textId="368DBF2B" w:rsidR="00626435" w:rsidRPr="00052402" w:rsidRDefault="00BD3549" w:rsidP="00F626CA">
            <w:pPr>
              <w:pStyle w:val="TableText0"/>
              <w:rPr>
                <w:highlight w:val="lightGray"/>
              </w:rPr>
            </w:pPr>
            <w:r w:rsidRPr="00BD3549">
              <w:rPr>
                <w:color w:val="000000"/>
                <w:spacing w:val="53"/>
                <w:shd w:val="solid" w:color="000000" w:fill="000000"/>
                <w:fitText w:val="330" w:id="-893676784"/>
                <w14:textFill>
                  <w14:solidFill>
                    <w14:srgbClr w14:val="000000">
                      <w14:alpha w14:val="100000"/>
                    </w14:srgbClr>
                  </w14:solidFill>
                </w14:textFill>
              </w:rPr>
              <w:t>|||</w:t>
            </w:r>
            <w:r w:rsidRPr="00BD3549">
              <w:rPr>
                <w:color w:val="000000"/>
                <w:spacing w:val="1"/>
                <w:shd w:val="solid" w:color="000000" w:fill="000000"/>
                <w:fitText w:val="330" w:id="-893676784"/>
                <w14:textFill>
                  <w14:solidFill>
                    <w14:srgbClr w14:val="000000">
                      <w14:alpha w14:val="100000"/>
                    </w14:srgbClr>
                  </w14:solidFill>
                </w14:textFill>
              </w:rPr>
              <w:t>|</w:t>
            </w:r>
            <w:r w:rsidR="008E14DD" w:rsidRPr="008E14DD">
              <w:rPr>
                <w:vertAlign w:val="superscript"/>
              </w:rPr>
              <w:t>5</w:t>
            </w:r>
          </w:p>
        </w:tc>
      </w:tr>
      <w:tr w:rsidR="00626435" w:rsidRPr="001611DC" w14:paraId="4EA6A71B" w14:textId="77777777" w:rsidTr="00626435">
        <w:trPr>
          <w:trHeight w:val="276"/>
        </w:trPr>
        <w:tc>
          <w:tcPr>
            <w:tcW w:w="1738" w:type="pct"/>
            <w:tcBorders>
              <w:top w:val="nil"/>
              <w:left w:val="single" w:sz="4" w:space="0" w:color="auto"/>
              <w:bottom w:val="single" w:sz="4" w:space="0" w:color="auto"/>
              <w:right w:val="single" w:sz="4" w:space="0" w:color="auto"/>
            </w:tcBorders>
            <w:shd w:val="clear" w:color="auto" w:fill="auto"/>
            <w:noWrap/>
            <w:vAlign w:val="center"/>
            <w:hideMark/>
          </w:tcPr>
          <w:p w14:paraId="7B751391" w14:textId="77777777" w:rsidR="00626435" w:rsidRPr="001611DC" w:rsidRDefault="00626435" w:rsidP="00F626CA">
            <w:pPr>
              <w:pStyle w:val="TableText0"/>
            </w:pPr>
            <w:r w:rsidRPr="001611DC">
              <w:t>Cost per QALY gained</w:t>
            </w:r>
          </w:p>
        </w:tc>
        <w:tc>
          <w:tcPr>
            <w:tcW w:w="1086" w:type="pct"/>
            <w:tcBorders>
              <w:top w:val="nil"/>
              <w:left w:val="nil"/>
              <w:bottom w:val="single" w:sz="4" w:space="0" w:color="auto"/>
              <w:right w:val="single" w:sz="4" w:space="0" w:color="auto"/>
            </w:tcBorders>
            <w:shd w:val="clear" w:color="auto" w:fill="auto"/>
            <w:noWrap/>
            <w:vAlign w:val="center"/>
          </w:tcPr>
          <w:p w14:paraId="557CA7DF" w14:textId="77777777" w:rsidR="00626435" w:rsidRPr="001611DC" w:rsidRDefault="00626435" w:rsidP="00F626CA">
            <w:pPr>
              <w:pStyle w:val="TableText0"/>
            </w:pPr>
          </w:p>
        </w:tc>
        <w:tc>
          <w:tcPr>
            <w:tcW w:w="1086" w:type="pct"/>
            <w:tcBorders>
              <w:top w:val="nil"/>
              <w:left w:val="nil"/>
              <w:bottom w:val="single" w:sz="4" w:space="0" w:color="auto"/>
              <w:right w:val="single" w:sz="4" w:space="0" w:color="auto"/>
            </w:tcBorders>
            <w:shd w:val="clear" w:color="auto" w:fill="auto"/>
            <w:noWrap/>
            <w:vAlign w:val="center"/>
          </w:tcPr>
          <w:p w14:paraId="2A40FC24" w14:textId="77777777" w:rsidR="00626435" w:rsidRPr="001611DC" w:rsidRDefault="00626435" w:rsidP="00F626CA">
            <w:pPr>
              <w:pStyle w:val="TableText0"/>
            </w:pPr>
          </w:p>
        </w:tc>
        <w:tc>
          <w:tcPr>
            <w:tcW w:w="1090" w:type="pct"/>
            <w:tcBorders>
              <w:top w:val="nil"/>
              <w:left w:val="nil"/>
              <w:bottom w:val="single" w:sz="4" w:space="0" w:color="auto"/>
              <w:right w:val="single" w:sz="4" w:space="0" w:color="auto"/>
            </w:tcBorders>
            <w:shd w:val="clear" w:color="auto" w:fill="auto"/>
            <w:noWrap/>
            <w:vAlign w:val="center"/>
          </w:tcPr>
          <w:p w14:paraId="1A15BAA9" w14:textId="6079F3E1" w:rsidR="00626435" w:rsidRPr="00052402" w:rsidRDefault="00BD3549" w:rsidP="00F626CA">
            <w:pPr>
              <w:pStyle w:val="TableText0"/>
              <w:rPr>
                <w:highlight w:val="lightGray"/>
              </w:rPr>
            </w:pPr>
            <w:r w:rsidRPr="00BD3549">
              <w:rPr>
                <w:color w:val="000000"/>
                <w:spacing w:val="53"/>
                <w:shd w:val="solid" w:color="000000" w:fill="000000"/>
                <w:fitText w:val="330" w:id="-893676800"/>
                <w14:textFill>
                  <w14:solidFill>
                    <w14:srgbClr w14:val="000000">
                      <w14:alpha w14:val="100000"/>
                    </w14:srgbClr>
                  </w14:solidFill>
                </w14:textFill>
              </w:rPr>
              <w:t>|||</w:t>
            </w:r>
            <w:r w:rsidRPr="00BD3549">
              <w:rPr>
                <w:color w:val="000000"/>
                <w:spacing w:val="1"/>
                <w:shd w:val="solid" w:color="000000" w:fill="000000"/>
                <w:fitText w:val="330" w:id="-893676800"/>
                <w14:textFill>
                  <w14:solidFill>
                    <w14:srgbClr w14:val="000000">
                      <w14:alpha w14:val="100000"/>
                    </w14:srgbClr>
                  </w14:solidFill>
                </w14:textFill>
              </w:rPr>
              <w:t>|</w:t>
            </w:r>
            <w:r w:rsidR="008E14DD" w:rsidRPr="008E14DD">
              <w:rPr>
                <w:vertAlign w:val="superscript"/>
              </w:rPr>
              <w:t>5</w:t>
            </w:r>
          </w:p>
        </w:tc>
      </w:tr>
    </w:tbl>
    <w:p w14:paraId="6A659C1C" w14:textId="473145E3" w:rsidR="00626435" w:rsidRPr="001611DC" w:rsidRDefault="00626435" w:rsidP="00626435">
      <w:pPr>
        <w:pStyle w:val="TableNotes"/>
      </w:pPr>
      <w:r w:rsidRPr="001611DC">
        <w:t xml:space="preserve">Source: </w:t>
      </w:r>
      <w:bookmarkStart w:id="154" w:name="_Hlk165405364"/>
      <w:r w:rsidRPr="001611DC">
        <w:t>Table 3-61, of the submission.</w:t>
      </w:r>
      <w:bookmarkEnd w:id="154"/>
    </w:p>
    <w:p w14:paraId="5722CE30" w14:textId="77777777" w:rsidR="00626435" w:rsidRDefault="00626435" w:rsidP="00626435">
      <w:pPr>
        <w:pStyle w:val="TableNotes"/>
      </w:pPr>
      <w:bookmarkStart w:id="155" w:name="_Hlk165405383"/>
      <w:r w:rsidRPr="001611DC">
        <w:t>ATAGI = Australian Technical Advisory Group on Immunisation; LY = life years; RSVPreF3 OA= RSV Pre-fusion protein 3 older adult; TGA = Therapeutics Goods Administration; QALY = quality</w:t>
      </w:r>
      <w:r w:rsidRPr="001611DC">
        <w:noBreakHyphen/>
        <w:t>adjusted life years; YOA = years of age.</w:t>
      </w:r>
    </w:p>
    <w:p w14:paraId="230AB33B" w14:textId="77777777" w:rsidR="00052402" w:rsidRPr="00E85F69" w:rsidRDefault="00052402" w:rsidP="00052402">
      <w:pPr>
        <w:pStyle w:val="TableNotes"/>
        <w:rPr>
          <w:i/>
          <w:iCs/>
        </w:rPr>
      </w:pPr>
      <w:bookmarkStart w:id="156" w:name="_Hlk176773494"/>
      <w:r w:rsidRPr="00E85F69">
        <w:rPr>
          <w:i/>
          <w:iCs/>
        </w:rPr>
        <w:t>The redacted values correspond to the following ranges:</w:t>
      </w:r>
    </w:p>
    <w:p w14:paraId="53C7AF88" w14:textId="7D5D0732" w:rsidR="002D0213" w:rsidRPr="00E85F69" w:rsidRDefault="002D0213" w:rsidP="00052402">
      <w:pPr>
        <w:pStyle w:val="TableNotes"/>
        <w:rPr>
          <w:i/>
          <w:iCs/>
        </w:rPr>
      </w:pPr>
      <w:r w:rsidRPr="00E85F69">
        <w:rPr>
          <w:i/>
          <w:iCs/>
        </w:rPr>
        <w:t>1 $35,000 to &lt; $45,000</w:t>
      </w:r>
    </w:p>
    <w:p w14:paraId="6C8AA277" w14:textId="42A16CE4" w:rsidR="00052402" w:rsidRPr="00E85F69" w:rsidRDefault="002D0213" w:rsidP="00052402">
      <w:pPr>
        <w:pStyle w:val="TableNotes"/>
        <w:rPr>
          <w:i/>
          <w:iCs/>
        </w:rPr>
      </w:pPr>
      <w:r w:rsidRPr="00E85F69">
        <w:rPr>
          <w:i/>
          <w:iCs/>
        </w:rPr>
        <w:t>2</w:t>
      </w:r>
      <w:r w:rsidR="00052402" w:rsidRPr="00E85F69">
        <w:rPr>
          <w:i/>
          <w:iCs/>
        </w:rPr>
        <w:t xml:space="preserve"> $25,000 to &lt; $35,000</w:t>
      </w:r>
    </w:p>
    <w:p w14:paraId="1D87ACBD" w14:textId="5CB6396C" w:rsidR="00052402" w:rsidRPr="00E85F69" w:rsidRDefault="00EE6885" w:rsidP="00052402">
      <w:pPr>
        <w:pStyle w:val="TableNotes"/>
        <w:rPr>
          <w:i/>
          <w:iCs/>
        </w:rPr>
      </w:pPr>
      <w:r w:rsidRPr="00E85F69">
        <w:rPr>
          <w:i/>
          <w:iCs/>
        </w:rPr>
        <w:t>3</w:t>
      </w:r>
      <w:r w:rsidR="00052402" w:rsidRPr="00E85F69">
        <w:rPr>
          <w:i/>
          <w:iCs/>
        </w:rPr>
        <w:t xml:space="preserve"> $5,000 to &lt; $15,000 </w:t>
      </w:r>
    </w:p>
    <w:p w14:paraId="5A903F0D" w14:textId="717CB933" w:rsidR="00D35561" w:rsidRPr="00E85F69" w:rsidRDefault="00D35561" w:rsidP="00052402">
      <w:pPr>
        <w:pStyle w:val="TableNotes"/>
        <w:rPr>
          <w:i/>
          <w:iCs/>
        </w:rPr>
      </w:pPr>
      <w:r w:rsidRPr="00E85F69">
        <w:rPr>
          <w:i/>
          <w:iCs/>
        </w:rPr>
        <w:lastRenderedPageBreak/>
        <w:t>4 $15,000 to &lt; $25,000</w:t>
      </w:r>
    </w:p>
    <w:p w14:paraId="78FA8BB9" w14:textId="271FCCA9" w:rsidR="00052402" w:rsidRPr="00E85F69" w:rsidRDefault="008E14DD" w:rsidP="00E85F69">
      <w:pPr>
        <w:pStyle w:val="TableNotes"/>
        <w:spacing w:after="120"/>
        <w:rPr>
          <w:i/>
          <w:iCs/>
        </w:rPr>
      </w:pPr>
      <w:r w:rsidRPr="00E85F69">
        <w:rPr>
          <w:i/>
          <w:iCs/>
        </w:rPr>
        <w:t>5</w:t>
      </w:r>
      <w:r w:rsidR="00052402" w:rsidRPr="00E85F69">
        <w:rPr>
          <w:i/>
          <w:iCs/>
        </w:rPr>
        <w:t xml:space="preserve"> $0 to &lt; $5,000</w:t>
      </w:r>
    </w:p>
    <w:p w14:paraId="5C806490" w14:textId="4459C0F9" w:rsidR="00F32ED4" w:rsidRPr="001611DC" w:rsidRDefault="002F736F" w:rsidP="00B63ED3">
      <w:pPr>
        <w:pStyle w:val="3-BodyText"/>
      </w:pPr>
      <w:bookmarkStart w:id="157" w:name="_Ref170152107"/>
      <w:bookmarkEnd w:id="155"/>
      <w:bookmarkEnd w:id="156"/>
      <w:r w:rsidRPr="001611DC">
        <w:t xml:space="preserve">The results of the economic evaluation are presented in </w:t>
      </w:r>
      <w:r w:rsidRPr="001611DC">
        <w:fldChar w:fldCharType="begin" w:fldLock="1"/>
      </w:r>
      <w:r w:rsidRPr="001611DC">
        <w:instrText xml:space="preserve"> REF _Ref169885114 \h  \* MERGEFORMAT </w:instrText>
      </w:r>
      <w:r w:rsidRPr="001611DC">
        <w:fldChar w:fldCharType="separate"/>
      </w:r>
      <w:r w:rsidR="00927933" w:rsidRPr="001611DC">
        <w:t>Table 27</w:t>
      </w:r>
      <w:r w:rsidRPr="001611DC">
        <w:fldChar w:fldCharType="end"/>
      </w:r>
      <w:r w:rsidRPr="001611DC">
        <w:t xml:space="preserve"> by age groups in five</w:t>
      </w:r>
      <w:r w:rsidR="000B4C2D" w:rsidRPr="001611DC">
        <w:noBreakHyphen/>
      </w:r>
      <w:r w:rsidRPr="001611DC">
        <w:t>year categories</w:t>
      </w:r>
      <w:r w:rsidR="00FE65FF" w:rsidRPr="001611DC">
        <w:t xml:space="preserve"> using the submission’s base case settings</w:t>
      </w:r>
      <w:r w:rsidRPr="001611DC">
        <w:t>.</w:t>
      </w:r>
      <w:r w:rsidR="001F4410">
        <w:t xml:space="preserve"> </w:t>
      </w:r>
      <w:r w:rsidR="009D4E6A" w:rsidRPr="001611DC">
        <w:t xml:space="preserve">The </w:t>
      </w:r>
      <w:r w:rsidR="00323CED" w:rsidRPr="001611DC">
        <w:t xml:space="preserve">reported ICERs </w:t>
      </w:r>
      <w:r w:rsidR="009D4E6A" w:rsidRPr="001611DC">
        <w:t xml:space="preserve">ranged from </w:t>
      </w:r>
      <w:r w:rsidR="00070A66" w:rsidRPr="001611DC">
        <w:t>d</w:t>
      </w:r>
      <w:r w:rsidR="009D4E6A" w:rsidRPr="001611DC">
        <w:t xml:space="preserve">ominant for the </w:t>
      </w:r>
      <w:r w:rsidR="00E2719A" w:rsidRPr="001611DC">
        <w:t>≥</w:t>
      </w:r>
      <w:r w:rsidR="009D4E6A" w:rsidRPr="001611DC">
        <w:t>85 YOA age group, to $</w:t>
      </w:r>
      <w:r w:rsidR="00C24AFA" w:rsidRPr="00C24AFA">
        <w:t xml:space="preserve">95,000 to &lt; $115,000 </w:t>
      </w:r>
      <w:r w:rsidR="009D4E6A" w:rsidRPr="001611DC">
        <w:t>/QALY for the 60-64 YOA age group</w:t>
      </w:r>
      <w:r w:rsidR="00E30F52" w:rsidRPr="001611DC">
        <w:t xml:space="preserve">, with a </w:t>
      </w:r>
      <w:r w:rsidR="00323CED" w:rsidRPr="001611DC">
        <w:t>noteworthy</w:t>
      </w:r>
      <w:r w:rsidR="00E30F52" w:rsidRPr="001611DC">
        <w:t xml:space="preserve"> difference </w:t>
      </w:r>
      <w:r w:rsidR="00323CED" w:rsidRPr="001611DC">
        <w:t xml:space="preserve">between the reported ICERs </w:t>
      </w:r>
      <w:r w:rsidR="00E30F52" w:rsidRPr="001611DC">
        <w:t>above and below 75 YOA</w:t>
      </w:r>
      <w:r w:rsidR="009D4E6A" w:rsidRPr="001611DC">
        <w:t>.</w:t>
      </w:r>
      <w:r w:rsidR="001F4410">
        <w:t xml:space="preserve"> </w:t>
      </w:r>
      <w:r w:rsidR="000B4C2D" w:rsidRPr="001611DC">
        <w:t>For ease of reference, the assumed baseline rates of RSV-LRTD hospitalisations and RSV-LRTD deaths</w:t>
      </w:r>
      <w:r w:rsidR="00F73191" w:rsidRPr="001611DC">
        <w:t xml:space="preserve">, which are key drivers of the cost-effectiveness differences between age groups, </w:t>
      </w:r>
      <w:r w:rsidR="000B4C2D" w:rsidRPr="001611DC">
        <w:t xml:space="preserve">are shown in </w:t>
      </w:r>
      <w:r w:rsidR="000B4C2D" w:rsidRPr="001611DC">
        <w:fldChar w:fldCharType="begin" w:fldLock="1"/>
      </w:r>
      <w:r w:rsidR="000B4C2D" w:rsidRPr="001611DC">
        <w:instrText xml:space="preserve"> REF _Ref169885114 \h  \* MERGEFORMAT </w:instrText>
      </w:r>
      <w:r w:rsidR="000B4C2D" w:rsidRPr="001611DC">
        <w:fldChar w:fldCharType="separate"/>
      </w:r>
      <w:r w:rsidR="00927933" w:rsidRPr="001611DC">
        <w:t>Table 27</w:t>
      </w:r>
      <w:r w:rsidR="000B4C2D" w:rsidRPr="001611DC">
        <w:fldChar w:fldCharType="end"/>
      </w:r>
      <w:r w:rsidR="000B4C2D" w:rsidRPr="001611DC">
        <w:t>.</w:t>
      </w:r>
      <w:r w:rsidR="00F73191" w:rsidRPr="001611DC">
        <w:t xml:space="preserve"> Further details of data informing the economic model are shown</w:t>
      </w:r>
      <w:r w:rsidR="002250DE" w:rsidRPr="001611DC">
        <w:t xml:space="preserve"> in</w:t>
      </w:r>
      <w:r w:rsidR="00F73191" w:rsidRPr="001611DC">
        <w:t xml:space="preserve"> </w:t>
      </w:r>
      <w:r w:rsidR="00F73191" w:rsidRPr="001611DC">
        <w:fldChar w:fldCharType="begin" w:fldLock="1"/>
      </w:r>
      <w:r w:rsidR="00F73191" w:rsidRPr="001611DC">
        <w:instrText xml:space="preserve"> REF _Ref165393784 \h  \* MERGEFORMAT </w:instrText>
      </w:r>
      <w:r w:rsidR="00F73191" w:rsidRPr="001611DC">
        <w:fldChar w:fldCharType="separate"/>
      </w:r>
      <w:r w:rsidR="00927933" w:rsidRPr="001611DC">
        <w:t>Table 14</w:t>
      </w:r>
      <w:r w:rsidR="00F73191" w:rsidRPr="001611DC">
        <w:fldChar w:fldCharType="end"/>
      </w:r>
      <w:r w:rsidR="00F73191" w:rsidRPr="001611DC">
        <w:t xml:space="preserve"> </w:t>
      </w:r>
      <w:r w:rsidR="00F73191" w:rsidRPr="001611DC">
        <w:fldChar w:fldCharType="begin" w:fldLock="1"/>
      </w:r>
      <w:r w:rsidR="00F73191" w:rsidRPr="001611DC">
        <w:instrText xml:space="preserve"> REF _Ref169885516 \p \h  \* MERGEFORMAT </w:instrText>
      </w:r>
      <w:r w:rsidR="00F73191" w:rsidRPr="001611DC">
        <w:fldChar w:fldCharType="separate"/>
      </w:r>
      <w:r w:rsidR="00927933" w:rsidRPr="001611DC">
        <w:t>above</w:t>
      </w:r>
      <w:r w:rsidR="00F73191" w:rsidRPr="001611DC">
        <w:fldChar w:fldCharType="end"/>
      </w:r>
      <w:r w:rsidR="00F73191" w:rsidRPr="001611DC">
        <w:t>.</w:t>
      </w:r>
      <w:r w:rsidR="001F4410">
        <w:t xml:space="preserve"> </w:t>
      </w:r>
      <w:r w:rsidR="00F32ED4" w:rsidRPr="001611DC">
        <w:t xml:space="preserve">The ESC noted that the submission’s estimates of the proportion of RSV-LRTD cases that are hospitalised were derived from a US study (Branche 2021), and ranged from 4% in the 60-64 age group, to 34% in the </w:t>
      </w:r>
      <w:r w:rsidR="00E2719A" w:rsidRPr="001611DC">
        <w:t>≥</w:t>
      </w:r>
      <w:r w:rsidR="00F32ED4" w:rsidRPr="001611DC">
        <w:t>85 age group.</w:t>
      </w:r>
      <w:r w:rsidR="001F4410">
        <w:t xml:space="preserve"> </w:t>
      </w:r>
      <w:r w:rsidR="00F32ED4" w:rsidRPr="001611DC">
        <w:t>The submission’s estimates of RSV-LRTD deaths were derived from a second US study (Tseng et al. 2020)</w:t>
      </w:r>
      <w:r w:rsidR="005A761C" w:rsidRPr="001611DC">
        <w:t xml:space="preserve"> multiplied by the proportion of hospitalised RSV</w:t>
      </w:r>
      <w:r w:rsidR="005A761C" w:rsidRPr="001611DC">
        <w:noBreakHyphen/>
        <w:t>LRTD cases</w:t>
      </w:r>
      <w:r w:rsidR="00F32ED4" w:rsidRPr="001611DC">
        <w:t xml:space="preserve">, and ranged from 0.2% in the 60-64 age group, to 3.66% in the </w:t>
      </w:r>
      <w:r w:rsidR="00E2719A" w:rsidRPr="001611DC">
        <w:t>≥</w:t>
      </w:r>
      <w:r w:rsidR="00F32ED4" w:rsidRPr="001611DC">
        <w:t>85 age group</w:t>
      </w:r>
      <w:r w:rsidR="00CF5194" w:rsidRPr="001611DC">
        <w:t>.</w:t>
      </w:r>
      <w:bookmarkEnd w:id="157"/>
      <w:r w:rsidR="001F4410">
        <w:t xml:space="preserve"> </w:t>
      </w:r>
    </w:p>
    <w:p w14:paraId="25BF645C" w14:textId="1DC9301B" w:rsidR="00F17B3E" w:rsidRPr="001611DC" w:rsidRDefault="00F67E64" w:rsidP="00B63ED3">
      <w:pPr>
        <w:pStyle w:val="3-BodyText"/>
      </w:pPr>
      <w:r w:rsidRPr="001611DC">
        <w:t xml:space="preserve">The ESC noted that </w:t>
      </w:r>
      <w:r w:rsidR="000B0568" w:rsidRPr="001611DC">
        <w:t>the reported ICER</w:t>
      </w:r>
      <w:r w:rsidR="00F17B3E" w:rsidRPr="001611DC">
        <w:t>s</w:t>
      </w:r>
      <w:r w:rsidR="000B0568" w:rsidRPr="001611DC">
        <w:t xml:space="preserve"> for the 65-69 YOA group </w:t>
      </w:r>
      <w:r w:rsidR="00F17B3E" w:rsidRPr="001611DC">
        <w:t xml:space="preserve">and 70-74 YOA group </w:t>
      </w:r>
      <w:r w:rsidR="000B0568" w:rsidRPr="001611DC">
        <w:t xml:space="preserve">in </w:t>
      </w:r>
      <w:r w:rsidR="000B0568" w:rsidRPr="001611DC">
        <w:fldChar w:fldCharType="begin" w:fldLock="1"/>
      </w:r>
      <w:r w:rsidR="000B0568" w:rsidRPr="001611DC">
        <w:instrText xml:space="preserve"> REF _Ref169885114 \h  \* MERGEFORMAT </w:instrText>
      </w:r>
      <w:r w:rsidR="000B0568" w:rsidRPr="001611DC">
        <w:fldChar w:fldCharType="separate"/>
      </w:r>
      <w:r w:rsidR="00927933" w:rsidRPr="001611DC">
        <w:t>Table 27</w:t>
      </w:r>
      <w:r w:rsidR="000B0568" w:rsidRPr="001611DC">
        <w:fldChar w:fldCharType="end"/>
      </w:r>
      <w:r w:rsidR="000B0568" w:rsidRPr="001611DC">
        <w:t xml:space="preserve"> did not follow the sequence </w:t>
      </w:r>
      <w:r w:rsidR="00F17B3E" w:rsidRPr="001611DC">
        <w:t>of decreasing ICER for increasing age.</w:t>
      </w:r>
      <w:r w:rsidR="001F4410">
        <w:t xml:space="preserve"> </w:t>
      </w:r>
      <w:r w:rsidR="00F17B3E" w:rsidRPr="001611DC">
        <w:t>The ESC considered this was difficult to interpret, but noted that the model also applied different utility values and hospitalisation costs by age group</w:t>
      </w:r>
      <w:r w:rsidR="00D778F4" w:rsidRPr="001611DC">
        <w:t xml:space="preserve"> (</w:t>
      </w:r>
      <w:r w:rsidR="00D778F4" w:rsidRPr="001611DC">
        <w:fldChar w:fldCharType="begin" w:fldLock="1"/>
      </w:r>
      <w:r w:rsidR="00D778F4" w:rsidRPr="001611DC">
        <w:instrText xml:space="preserve"> REF _Ref165393784 \h  \* MERGEFORMAT </w:instrText>
      </w:r>
      <w:r w:rsidR="00D778F4" w:rsidRPr="001611DC">
        <w:fldChar w:fldCharType="separate"/>
      </w:r>
      <w:r w:rsidR="00927933" w:rsidRPr="001611DC">
        <w:t>Table 14</w:t>
      </w:r>
      <w:r w:rsidR="00D778F4" w:rsidRPr="001611DC">
        <w:fldChar w:fldCharType="end"/>
      </w:r>
      <w:r w:rsidR="00D778F4" w:rsidRPr="001611DC">
        <w:t>)</w:t>
      </w:r>
      <w:r w:rsidR="00F17B3E" w:rsidRPr="001611DC">
        <w:t>, as well as all-cause mortality by age which impacted the results.</w:t>
      </w:r>
    </w:p>
    <w:p w14:paraId="03698CF0" w14:textId="29E9FEE7" w:rsidR="002F736F" w:rsidRPr="001611DC" w:rsidRDefault="002F736F" w:rsidP="002F736F">
      <w:pPr>
        <w:pStyle w:val="TableFigureHeading"/>
      </w:pPr>
      <w:bookmarkStart w:id="158" w:name="_Ref169885114"/>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27</w:t>
      </w:r>
      <w:r w:rsidR="005473CE" w:rsidRPr="001611DC">
        <w:fldChar w:fldCharType="end"/>
      </w:r>
      <w:bookmarkEnd w:id="158"/>
      <w:r w:rsidRPr="001611DC">
        <w:t>:</w:t>
      </w:r>
      <w:r w:rsidRPr="001611DC">
        <w:rPr>
          <w:rStyle w:val="CommentReference"/>
          <w:b/>
          <w:szCs w:val="24"/>
        </w:rPr>
        <w:t xml:space="preserve"> </w:t>
      </w:r>
      <w:r w:rsidRPr="001611DC">
        <w:t>Economic evaluation results of RSVPreF3 OA vs no vaccine per age group in five</w:t>
      </w:r>
      <w:r w:rsidR="000B4C2D" w:rsidRPr="001611DC">
        <w:noBreakHyphen/>
      </w:r>
      <w:r w:rsidRPr="001611DC">
        <w:t>year categories</w:t>
      </w:r>
      <w:r w:rsidR="00FE65FF" w:rsidRPr="001611DC">
        <w:t xml:space="preserve"> (submission base case settings)</w:t>
      </w:r>
    </w:p>
    <w:tbl>
      <w:tblPr>
        <w:tblStyle w:val="TableGrid"/>
        <w:tblW w:w="0" w:type="auto"/>
        <w:tblLook w:val="04A0" w:firstRow="1" w:lastRow="0" w:firstColumn="1" w:lastColumn="0" w:noHBand="0" w:noVBand="1"/>
        <w:tblCaption w:val="Table 27: Economic evaluation results of RSVPreF3 OA vs no vaccine per age group in five year categories (submission base case settings)"/>
      </w:tblPr>
      <w:tblGrid>
        <w:gridCol w:w="711"/>
        <w:gridCol w:w="1064"/>
        <w:gridCol w:w="1465"/>
        <w:gridCol w:w="1430"/>
        <w:gridCol w:w="1109"/>
        <w:gridCol w:w="1162"/>
        <w:gridCol w:w="1158"/>
        <w:gridCol w:w="918"/>
      </w:tblGrid>
      <w:tr w:rsidR="005A761C" w:rsidRPr="001611DC" w14:paraId="3E352C66" w14:textId="77777777" w:rsidTr="00397677">
        <w:tc>
          <w:tcPr>
            <w:tcW w:w="0" w:type="auto"/>
            <w:vAlign w:val="center"/>
          </w:tcPr>
          <w:p w14:paraId="03507D27" w14:textId="77777777" w:rsidR="005A761C" w:rsidRPr="001611DC" w:rsidRDefault="005A761C">
            <w:pPr>
              <w:pStyle w:val="In-tableHeading"/>
              <w:jc w:val="center"/>
              <w:rPr>
                <w:lang w:val="en-AU"/>
              </w:rPr>
            </w:pPr>
            <w:r w:rsidRPr="001611DC">
              <w:rPr>
                <w:lang w:val="en-AU"/>
              </w:rPr>
              <w:t>Age group (YOA)</w:t>
            </w:r>
          </w:p>
        </w:tc>
        <w:tc>
          <w:tcPr>
            <w:tcW w:w="0" w:type="auto"/>
            <w:vAlign w:val="center"/>
          </w:tcPr>
          <w:p w14:paraId="41DDE9DB" w14:textId="77777777" w:rsidR="005A761C" w:rsidRPr="001611DC" w:rsidRDefault="005A761C">
            <w:pPr>
              <w:pStyle w:val="In-tableHeading"/>
              <w:jc w:val="center"/>
              <w:rPr>
                <w:lang w:val="en-AU"/>
              </w:rPr>
            </w:pPr>
            <w:r w:rsidRPr="001611DC">
              <w:rPr>
                <w:lang w:val="en-AU"/>
              </w:rPr>
              <w:t>Population</w:t>
            </w:r>
          </w:p>
        </w:tc>
        <w:tc>
          <w:tcPr>
            <w:tcW w:w="1307" w:type="dxa"/>
            <w:vAlign w:val="center"/>
          </w:tcPr>
          <w:p w14:paraId="7961423C" w14:textId="74D8DC1B" w:rsidR="005A761C" w:rsidRPr="001611DC" w:rsidRDefault="005A761C">
            <w:pPr>
              <w:pStyle w:val="In-tableHeading"/>
              <w:jc w:val="center"/>
              <w:rPr>
                <w:lang w:val="en-AU"/>
              </w:rPr>
            </w:pPr>
            <w:r w:rsidRPr="001611DC">
              <w:rPr>
                <w:lang w:val="en-AU"/>
              </w:rPr>
              <w:t>RSV-LRTD hospitalisations</w:t>
            </w:r>
          </w:p>
        </w:tc>
        <w:tc>
          <w:tcPr>
            <w:tcW w:w="1430" w:type="dxa"/>
          </w:tcPr>
          <w:p w14:paraId="104887DF" w14:textId="064D8EEE" w:rsidR="005A761C" w:rsidRPr="001611DC" w:rsidRDefault="005A761C">
            <w:pPr>
              <w:pStyle w:val="In-tableHeading"/>
              <w:jc w:val="center"/>
              <w:rPr>
                <w:lang w:val="en-AU"/>
              </w:rPr>
            </w:pPr>
            <w:r w:rsidRPr="001611DC">
              <w:rPr>
                <w:lang w:val="en-AU"/>
              </w:rPr>
              <w:t>30-day mortality within hospital admission</w:t>
            </w:r>
          </w:p>
        </w:tc>
        <w:tc>
          <w:tcPr>
            <w:tcW w:w="0" w:type="auto"/>
            <w:vAlign w:val="center"/>
          </w:tcPr>
          <w:p w14:paraId="2336FA2D" w14:textId="599D3338" w:rsidR="005A761C" w:rsidRPr="001611DC" w:rsidRDefault="005A761C">
            <w:pPr>
              <w:pStyle w:val="In-tableHeading"/>
              <w:jc w:val="center"/>
              <w:rPr>
                <w:lang w:val="en-AU"/>
              </w:rPr>
            </w:pPr>
            <w:r w:rsidRPr="001611DC">
              <w:rPr>
                <w:lang w:val="en-AU"/>
              </w:rPr>
              <w:t>Possibility of death given RSV-LRTD</w:t>
            </w:r>
            <w:r w:rsidRPr="001611DC">
              <w:rPr>
                <w:vertAlign w:val="superscript"/>
                <w:lang w:val="en-AU"/>
              </w:rPr>
              <w:t>a</w:t>
            </w:r>
            <w:r w:rsidRPr="001611DC">
              <w:rPr>
                <w:lang w:val="en-AU"/>
              </w:rPr>
              <w:t xml:space="preserve"> </w:t>
            </w:r>
          </w:p>
        </w:tc>
        <w:tc>
          <w:tcPr>
            <w:tcW w:w="0" w:type="auto"/>
            <w:tcBorders>
              <w:bottom w:val="single" w:sz="4" w:space="0" w:color="auto"/>
            </w:tcBorders>
            <w:vAlign w:val="center"/>
          </w:tcPr>
          <w:p w14:paraId="0F2845ED" w14:textId="00C7B220" w:rsidR="005A761C" w:rsidRPr="001611DC" w:rsidRDefault="005A761C">
            <w:pPr>
              <w:pStyle w:val="In-tableHeading"/>
              <w:jc w:val="center"/>
              <w:rPr>
                <w:lang w:val="en-AU"/>
              </w:rPr>
            </w:pPr>
            <w:r w:rsidRPr="001611DC">
              <w:rPr>
                <w:lang w:val="en-AU"/>
              </w:rPr>
              <w:t>Incremental costs</w:t>
            </w:r>
            <w:r w:rsidR="003B0C64">
              <w:rPr>
                <w:lang w:val="en-AU"/>
              </w:rPr>
              <w:t xml:space="preserve"> ($)</w:t>
            </w:r>
          </w:p>
        </w:tc>
        <w:tc>
          <w:tcPr>
            <w:tcW w:w="0" w:type="auto"/>
            <w:vAlign w:val="center"/>
          </w:tcPr>
          <w:p w14:paraId="170F43B5" w14:textId="77777777" w:rsidR="005A761C" w:rsidRPr="001611DC" w:rsidRDefault="005A761C">
            <w:pPr>
              <w:pStyle w:val="In-tableHeading"/>
              <w:jc w:val="center"/>
              <w:rPr>
                <w:lang w:val="en-AU"/>
              </w:rPr>
            </w:pPr>
            <w:r w:rsidRPr="001611DC">
              <w:rPr>
                <w:lang w:val="en-AU"/>
              </w:rPr>
              <w:t>Incremental QALYs</w:t>
            </w:r>
          </w:p>
        </w:tc>
        <w:tc>
          <w:tcPr>
            <w:tcW w:w="0" w:type="auto"/>
            <w:vAlign w:val="center"/>
          </w:tcPr>
          <w:p w14:paraId="3FA5297B" w14:textId="77777777" w:rsidR="005A761C" w:rsidRPr="001611DC" w:rsidRDefault="005A761C">
            <w:pPr>
              <w:pStyle w:val="In-tableHeading"/>
              <w:jc w:val="center"/>
              <w:rPr>
                <w:lang w:val="en-AU"/>
              </w:rPr>
            </w:pPr>
            <w:r w:rsidRPr="001611DC">
              <w:rPr>
                <w:lang w:val="en-AU"/>
              </w:rPr>
              <w:t>ICER</w:t>
            </w:r>
          </w:p>
        </w:tc>
      </w:tr>
      <w:tr w:rsidR="005A761C" w:rsidRPr="001611DC" w14:paraId="7A50689E" w14:textId="77777777" w:rsidTr="00397677">
        <w:tc>
          <w:tcPr>
            <w:tcW w:w="0" w:type="auto"/>
          </w:tcPr>
          <w:p w14:paraId="18F5214B" w14:textId="77777777" w:rsidR="005A761C" w:rsidRPr="001611DC" w:rsidRDefault="005A761C">
            <w:pPr>
              <w:pStyle w:val="TableText0"/>
            </w:pPr>
            <w:r w:rsidRPr="001611DC">
              <w:t>60-64</w:t>
            </w:r>
          </w:p>
        </w:tc>
        <w:tc>
          <w:tcPr>
            <w:tcW w:w="0" w:type="auto"/>
            <w:vAlign w:val="center"/>
          </w:tcPr>
          <w:p w14:paraId="0F0B04BA" w14:textId="0FFA464E" w:rsidR="005A761C" w:rsidRPr="003B0C64" w:rsidRDefault="00BD3549">
            <w:pPr>
              <w:pStyle w:val="TableText0"/>
              <w:jc w:val="center"/>
              <w:rPr>
                <w:highlight w:val="lightGray"/>
              </w:rPr>
            </w:pPr>
            <w:r w:rsidRPr="00BD3549">
              <w:rPr>
                <w:rFonts w:hint="eastAsia"/>
                <w:color w:val="000000"/>
                <w:w w:val="23"/>
                <w:shd w:val="solid" w:color="000000" w:fill="000000"/>
                <w:fitText w:val="105" w:id="-893676799"/>
                <w14:textFill>
                  <w14:solidFill>
                    <w14:srgbClr w14:val="000000">
                      <w14:alpha w14:val="100000"/>
                    </w14:srgbClr>
                  </w14:solidFill>
                </w14:textFill>
              </w:rPr>
              <w:t xml:space="preserve">　</w:t>
            </w:r>
            <w:r w:rsidRPr="00BD3549">
              <w:rPr>
                <w:color w:val="000000"/>
                <w:w w:val="23"/>
                <w:shd w:val="solid" w:color="000000" w:fill="000000"/>
                <w:fitText w:val="105" w:id="-893676799"/>
                <w14:textFill>
                  <w14:solidFill>
                    <w14:srgbClr w14:val="000000">
                      <w14:alpha w14:val="100000"/>
                    </w14:srgbClr>
                  </w14:solidFill>
                </w14:textFill>
              </w:rPr>
              <w:t>|</w:t>
            </w:r>
            <w:r w:rsidRPr="00BD3549">
              <w:rPr>
                <w:rFonts w:hint="eastAsia"/>
                <w:color w:val="000000"/>
                <w:spacing w:val="4"/>
                <w:w w:val="23"/>
                <w:shd w:val="solid" w:color="000000" w:fill="000000"/>
                <w:fitText w:val="105" w:id="-893676799"/>
                <w14:textFill>
                  <w14:solidFill>
                    <w14:srgbClr w14:val="000000">
                      <w14:alpha w14:val="100000"/>
                    </w14:srgbClr>
                  </w14:solidFill>
                </w14:textFill>
              </w:rPr>
              <w:t xml:space="preserve">　</w:t>
            </w:r>
            <w:r w:rsidR="00724AF8" w:rsidRPr="00724AF8">
              <w:rPr>
                <w:vertAlign w:val="superscript"/>
              </w:rPr>
              <w:t>1</w:t>
            </w:r>
          </w:p>
        </w:tc>
        <w:tc>
          <w:tcPr>
            <w:tcW w:w="1307" w:type="dxa"/>
            <w:vAlign w:val="center"/>
          </w:tcPr>
          <w:p w14:paraId="34C11C2D" w14:textId="77777777" w:rsidR="005A761C" w:rsidRPr="001611DC" w:rsidRDefault="005A761C">
            <w:pPr>
              <w:pStyle w:val="TableText0"/>
              <w:jc w:val="center"/>
            </w:pPr>
            <w:r w:rsidRPr="001611DC">
              <w:t>4%</w:t>
            </w:r>
          </w:p>
        </w:tc>
        <w:tc>
          <w:tcPr>
            <w:tcW w:w="1430" w:type="dxa"/>
            <w:vMerge w:val="restart"/>
          </w:tcPr>
          <w:p w14:paraId="5F5F0430" w14:textId="3C0123C7" w:rsidR="005A761C" w:rsidRPr="001611DC" w:rsidRDefault="005A761C">
            <w:pPr>
              <w:pStyle w:val="TableText0"/>
              <w:jc w:val="center"/>
            </w:pPr>
            <w:r w:rsidRPr="001611DC">
              <w:t>4.67%</w:t>
            </w:r>
          </w:p>
        </w:tc>
        <w:tc>
          <w:tcPr>
            <w:tcW w:w="0" w:type="auto"/>
            <w:vAlign w:val="center"/>
          </w:tcPr>
          <w:p w14:paraId="6F62C48F" w14:textId="49911EFF" w:rsidR="005A761C" w:rsidRPr="001611DC" w:rsidRDefault="005A761C">
            <w:pPr>
              <w:pStyle w:val="TableText0"/>
              <w:jc w:val="center"/>
            </w:pPr>
            <w:r w:rsidRPr="001611DC">
              <w:t>0.20%</w:t>
            </w:r>
          </w:p>
        </w:tc>
        <w:tc>
          <w:tcPr>
            <w:tcW w:w="0" w:type="auto"/>
            <w:tcBorders>
              <w:bottom w:val="single" w:sz="4" w:space="0" w:color="auto"/>
            </w:tcBorders>
            <w:shd w:val="solid" w:color="000000" w:fill="000000"/>
            <w:vAlign w:val="center"/>
          </w:tcPr>
          <w:p w14:paraId="3B1B9677" w14:textId="716BF907" w:rsidR="005A761C" w:rsidRPr="003B0C64" w:rsidRDefault="00BD3549">
            <w:pPr>
              <w:pStyle w:val="TableText0"/>
              <w:jc w:val="center"/>
              <w:rPr>
                <w:highlight w:val="lightGray"/>
              </w:rPr>
            </w:pPr>
            <w:r w:rsidRPr="00BD3549">
              <w:rPr>
                <w:rFonts w:hint="eastAsia"/>
                <w:color w:val="000000"/>
                <w:w w:val="15"/>
                <w:fitText w:val="60" w:id="-893676798"/>
                <w14:textFill>
                  <w14:solidFill>
                    <w14:srgbClr w14:val="000000">
                      <w14:alpha w14:val="100000"/>
                    </w14:srgbClr>
                  </w14:solidFill>
                </w14:textFill>
              </w:rPr>
              <w:t xml:space="preserve">　</w:t>
            </w:r>
            <w:r w:rsidRPr="00BD3549">
              <w:rPr>
                <w:color w:val="000000"/>
                <w:w w:val="15"/>
                <w:fitText w:val="60" w:id="-893676798"/>
                <w14:textFill>
                  <w14:solidFill>
                    <w14:srgbClr w14:val="000000">
                      <w14:alpha w14:val="100000"/>
                    </w14:srgbClr>
                  </w14:solidFill>
                </w14:textFill>
              </w:rPr>
              <w:t>|</w:t>
            </w:r>
            <w:r w:rsidRPr="00BD3549">
              <w:rPr>
                <w:rFonts w:hint="eastAsia"/>
                <w:color w:val="000000"/>
                <w:w w:val="15"/>
                <w:fitText w:val="60" w:id="-893676798"/>
                <w14:textFill>
                  <w14:solidFill>
                    <w14:srgbClr w14:val="000000">
                      <w14:alpha w14:val="100000"/>
                    </w14:srgbClr>
                  </w14:solidFill>
                </w14:textFill>
              </w:rPr>
              <w:t xml:space="preserve">　</w:t>
            </w:r>
          </w:p>
        </w:tc>
        <w:tc>
          <w:tcPr>
            <w:tcW w:w="0" w:type="auto"/>
            <w:vAlign w:val="center"/>
          </w:tcPr>
          <w:p w14:paraId="2C681817" w14:textId="77777777" w:rsidR="005A761C" w:rsidRPr="001611DC" w:rsidRDefault="005A761C">
            <w:pPr>
              <w:pStyle w:val="TableText0"/>
              <w:jc w:val="center"/>
            </w:pPr>
            <w:r w:rsidRPr="001611DC">
              <w:t>3,095</w:t>
            </w:r>
          </w:p>
        </w:tc>
        <w:tc>
          <w:tcPr>
            <w:tcW w:w="0" w:type="auto"/>
            <w:vAlign w:val="center"/>
          </w:tcPr>
          <w:p w14:paraId="3071016C" w14:textId="519E9F8D" w:rsidR="005A761C" w:rsidRPr="00724AF8" w:rsidRDefault="00BD3549">
            <w:pPr>
              <w:pStyle w:val="TableText0"/>
              <w:jc w:val="center"/>
              <w:rPr>
                <w:highlight w:val="lightGray"/>
              </w:rPr>
            </w:pPr>
            <w:r w:rsidRPr="00BD3549">
              <w:rPr>
                <w:color w:val="000000"/>
                <w:spacing w:val="48"/>
                <w:shd w:val="solid" w:color="000000" w:fill="000000"/>
                <w:fitText w:val="225" w:id="-893676797"/>
                <w14:textFill>
                  <w14:solidFill>
                    <w14:srgbClr w14:val="000000">
                      <w14:alpha w14:val="100000"/>
                    </w14:srgbClr>
                  </w14:solidFill>
                </w14:textFill>
              </w:rPr>
              <w:t>||</w:t>
            </w:r>
            <w:r w:rsidRPr="00BD3549">
              <w:rPr>
                <w:color w:val="000000"/>
                <w:spacing w:val="2"/>
                <w:shd w:val="solid" w:color="000000" w:fill="000000"/>
                <w:fitText w:val="225" w:id="-893676797"/>
                <w14:textFill>
                  <w14:solidFill>
                    <w14:srgbClr w14:val="000000">
                      <w14:alpha w14:val="100000"/>
                    </w14:srgbClr>
                  </w14:solidFill>
                </w14:textFill>
              </w:rPr>
              <w:t>|</w:t>
            </w:r>
            <w:r w:rsidR="00EE5E04" w:rsidRPr="005F132E">
              <w:rPr>
                <w:vertAlign w:val="superscript"/>
              </w:rPr>
              <w:t>2</w:t>
            </w:r>
          </w:p>
        </w:tc>
      </w:tr>
      <w:tr w:rsidR="005A761C" w:rsidRPr="001611DC" w14:paraId="05AB66E4" w14:textId="77777777" w:rsidTr="00397677">
        <w:tc>
          <w:tcPr>
            <w:tcW w:w="0" w:type="auto"/>
          </w:tcPr>
          <w:p w14:paraId="79CA742D" w14:textId="77777777" w:rsidR="005A761C" w:rsidRPr="001611DC" w:rsidRDefault="005A761C">
            <w:pPr>
              <w:pStyle w:val="TableText0"/>
            </w:pPr>
            <w:r w:rsidRPr="001611DC">
              <w:t>65-69</w:t>
            </w:r>
          </w:p>
        </w:tc>
        <w:tc>
          <w:tcPr>
            <w:tcW w:w="0" w:type="auto"/>
            <w:vAlign w:val="center"/>
          </w:tcPr>
          <w:p w14:paraId="66D7C913" w14:textId="4BF68C96" w:rsidR="005A761C" w:rsidRPr="003B0C64" w:rsidRDefault="00BD3549">
            <w:pPr>
              <w:pStyle w:val="TableText0"/>
              <w:jc w:val="center"/>
              <w:rPr>
                <w:highlight w:val="lightGray"/>
              </w:rPr>
            </w:pPr>
            <w:r w:rsidRPr="00BD3549">
              <w:rPr>
                <w:rFonts w:hint="eastAsia"/>
                <w:color w:val="000000"/>
                <w:w w:val="23"/>
                <w:shd w:val="solid" w:color="000000" w:fill="000000"/>
                <w:fitText w:val="105" w:id="-893676796"/>
                <w14:textFill>
                  <w14:solidFill>
                    <w14:srgbClr w14:val="000000">
                      <w14:alpha w14:val="100000"/>
                    </w14:srgbClr>
                  </w14:solidFill>
                </w14:textFill>
              </w:rPr>
              <w:t xml:space="preserve">　</w:t>
            </w:r>
            <w:r w:rsidRPr="00BD3549">
              <w:rPr>
                <w:color w:val="000000"/>
                <w:w w:val="23"/>
                <w:shd w:val="solid" w:color="000000" w:fill="000000"/>
                <w:fitText w:val="105" w:id="-893676796"/>
                <w14:textFill>
                  <w14:solidFill>
                    <w14:srgbClr w14:val="000000">
                      <w14:alpha w14:val="100000"/>
                    </w14:srgbClr>
                  </w14:solidFill>
                </w14:textFill>
              </w:rPr>
              <w:t>|</w:t>
            </w:r>
            <w:r w:rsidRPr="00BD3549">
              <w:rPr>
                <w:rFonts w:hint="eastAsia"/>
                <w:color w:val="000000"/>
                <w:spacing w:val="4"/>
                <w:w w:val="23"/>
                <w:shd w:val="solid" w:color="000000" w:fill="000000"/>
                <w:fitText w:val="105" w:id="-893676796"/>
                <w14:textFill>
                  <w14:solidFill>
                    <w14:srgbClr w14:val="000000">
                      <w14:alpha w14:val="100000"/>
                    </w14:srgbClr>
                  </w14:solidFill>
                </w14:textFill>
              </w:rPr>
              <w:t xml:space="preserve">　</w:t>
            </w:r>
            <w:r w:rsidR="00EE5E04" w:rsidRPr="00724AF8">
              <w:rPr>
                <w:vertAlign w:val="superscript"/>
              </w:rPr>
              <w:t>1</w:t>
            </w:r>
          </w:p>
        </w:tc>
        <w:tc>
          <w:tcPr>
            <w:tcW w:w="1307" w:type="dxa"/>
            <w:vMerge w:val="restart"/>
            <w:vAlign w:val="center"/>
          </w:tcPr>
          <w:p w14:paraId="7F49B8F0" w14:textId="77777777" w:rsidR="005A761C" w:rsidRPr="001611DC" w:rsidRDefault="005A761C">
            <w:pPr>
              <w:pStyle w:val="TableText0"/>
              <w:jc w:val="center"/>
            </w:pPr>
            <w:r w:rsidRPr="001611DC">
              <w:t>9%</w:t>
            </w:r>
          </w:p>
        </w:tc>
        <w:tc>
          <w:tcPr>
            <w:tcW w:w="1430" w:type="dxa"/>
            <w:vMerge/>
          </w:tcPr>
          <w:p w14:paraId="6EB7D6A7" w14:textId="77777777" w:rsidR="005A761C" w:rsidRPr="001611DC" w:rsidRDefault="005A761C">
            <w:pPr>
              <w:pStyle w:val="TableText0"/>
              <w:jc w:val="center"/>
            </w:pPr>
          </w:p>
        </w:tc>
        <w:tc>
          <w:tcPr>
            <w:tcW w:w="0" w:type="auto"/>
            <w:vMerge w:val="restart"/>
            <w:vAlign w:val="center"/>
          </w:tcPr>
          <w:p w14:paraId="4A48C3A0" w14:textId="5B308053" w:rsidR="005A761C" w:rsidRPr="001611DC" w:rsidRDefault="005A761C">
            <w:pPr>
              <w:pStyle w:val="TableText0"/>
              <w:jc w:val="center"/>
            </w:pPr>
            <w:r w:rsidRPr="001611DC">
              <w:t>0.43%</w:t>
            </w:r>
          </w:p>
        </w:tc>
        <w:tc>
          <w:tcPr>
            <w:tcW w:w="0" w:type="auto"/>
            <w:tcBorders>
              <w:bottom w:val="single" w:sz="4" w:space="0" w:color="auto"/>
            </w:tcBorders>
            <w:shd w:val="solid" w:color="000000" w:fill="000000"/>
            <w:vAlign w:val="center"/>
          </w:tcPr>
          <w:p w14:paraId="6485B574" w14:textId="5E532C3E" w:rsidR="005A761C" w:rsidRPr="003B0C64" w:rsidRDefault="00BD3549">
            <w:pPr>
              <w:pStyle w:val="TableText0"/>
              <w:jc w:val="center"/>
              <w:rPr>
                <w:highlight w:val="lightGray"/>
              </w:rPr>
            </w:pPr>
            <w:r w:rsidRPr="00BD3549">
              <w:rPr>
                <w:rFonts w:hint="eastAsia"/>
                <w:color w:val="000000"/>
                <w:w w:val="15"/>
                <w:fitText w:val="60" w:id="-893676795"/>
                <w14:textFill>
                  <w14:solidFill>
                    <w14:srgbClr w14:val="000000">
                      <w14:alpha w14:val="100000"/>
                    </w14:srgbClr>
                  </w14:solidFill>
                </w14:textFill>
              </w:rPr>
              <w:t xml:space="preserve">　</w:t>
            </w:r>
            <w:r w:rsidRPr="00BD3549">
              <w:rPr>
                <w:color w:val="000000"/>
                <w:w w:val="15"/>
                <w:fitText w:val="60" w:id="-893676795"/>
                <w14:textFill>
                  <w14:solidFill>
                    <w14:srgbClr w14:val="000000">
                      <w14:alpha w14:val="100000"/>
                    </w14:srgbClr>
                  </w14:solidFill>
                </w14:textFill>
              </w:rPr>
              <w:t>|</w:t>
            </w:r>
            <w:r w:rsidRPr="00BD3549">
              <w:rPr>
                <w:rFonts w:hint="eastAsia"/>
                <w:color w:val="000000"/>
                <w:w w:val="15"/>
                <w:fitText w:val="60" w:id="-893676795"/>
                <w14:textFill>
                  <w14:solidFill>
                    <w14:srgbClr w14:val="000000">
                      <w14:alpha w14:val="100000"/>
                    </w14:srgbClr>
                  </w14:solidFill>
                </w14:textFill>
              </w:rPr>
              <w:t xml:space="preserve">　</w:t>
            </w:r>
          </w:p>
        </w:tc>
        <w:tc>
          <w:tcPr>
            <w:tcW w:w="0" w:type="auto"/>
            <w:vAlign w:val="center"/>
          </w:tcPr>
          <w:p w14:paraId="788F054B" w14:textId="77777777" w:rsidR="005A761C" w:rsidRPr="001611DC" w:rsidRDefault="005A761C">
            <w:pPr>
              <w:pStyle w:val="TableText0"/>
              <w:jc w:val="center"/>
            </w:pPr>
            <w:r w:rsidRPr="001611DC">
              <w:t>4,064</w:t>
            </w:r>
          </w:p>
        </w:tc>
        <w:tc>
          <w:tcPr>
            <w:tcW w:w="0" w:type="auto"/>
            <w:vAlign w:val="center"/>
          </w:tcPr>
          <w:p w14:paraId="21CB0C81" w14:textId="7B3FA5A9" w:rsidR="005A761C" w:rsidRPr="00724AF8" w:rsidRDefault="00BD3549">
            <w:pPr>
              <w:pStyle w:val="TableText0"/>
              <w:jc w:val="center"/>
              <w:rPr>
                <w:highlight w:val="lightGray"/>
              </w:rPr>
            </w:pPr>
            <w:r w:rsidRPr="00BD3549">
              <w:rPr>
                <w:color w:val="000000"/>
                <w:spacing w:val="48"/>
                <w:shd w:val="solid" w:color="000000" w:fill="000000"/>
                <w:fitText w:val="225" w:id="-893676794"/>
                <w14:textFill>
                  <w14:solidFill>
                    <w14:srgbClr w14:val="000000">
                      <w14:alpha w14:val="100000"/>
                    </w14:srgbClr>
                  </w14:solidFill>
                </w14:textFill>
              </w:rPr>
              <w:t>||</w:t>
            </w:r>
            <w:r w:rsidRPr="00BD3549">
              <w:rPr>
                <w:color w:val="000000"/>
                <w:spacing w:val="2"/>
                <w:shd w:val="solid" w:color="000000" w:fill="000000"/>
                <w:fitText w:val="225" w:id="-893676794"/>
                <w14:textFill>
                  <w14:solidFill>
                    <w14:srgbClr w14:val="000000">
                      <w14:alpha w14:val="100000"/>
                    </w14:srgbClr>
                  </w14:solidFill>
                </w14:textFill>
              </w:rPr>
              <w:t>|</w:t>
            </w:r>
            <w:r w:rsidR="005F132E" w:rsidRPr="005F132E">
              <w:rPr>
                <w:vertAlign w:val="superscript"/>
              </w:rPr>
              <w:t>3</w:t>
            </w:r>
          </w:p>
        </w:tc>
      </w:tr>
      <w:tr w:rsidR="005A761C" w:rsidRPr="001611DC" w14:paraId="4313CC44" w14:textId="77777777" w:rsidTr="00397677">
        <w:tc>
          <w:tcPr>
            <w:tcW w:w="0" w:type="auto"/>
          </w:tcPr>
          <w:p w14:paraId="1B96EAE2" w14:textId="77777777" w:rsidR="005A761C" w:rsidRPr="001611DC" w:rsidRDefault="005A761C">
            <w:pPr>
              <w:pStyle w:val="TableText0"/>
            </w:pPr>
            <w:r w:rsidRPr="001611DC">
              <w:t>70-74</w:t>
            </w:r>
          </w:p>
        </w:tc>
        <w:tc>
          <w:tcPr>
            <w:tcW w:w="0" w:type="auto"/>
            <w:vAlign w:val="center"/>
          </w:tcPr>
          <w:p w14:paraId="07BDA078" w14:textId="5846F191" w:rsidR="005A761C" w:rsidRPr="003B0C64" w:rsidRDefault="00BD3549">
            <w:pPr>
              <w:pStyle w:val="TableText0"/>
              <w:jc w:val="center"/>
              <w:rPr>
                <w:highlight w:val="lightGray"/>
              </w:rPr>
            </w:pPr>
            <w:r w:rsidRPr="00BD3549">
              <w:rPr>
                <w:rFonts w:hint="eastAsia"/>
                <w:color w:val="000000"/>
                <w:w w:val="23"/>
                <w:shd w:val="solid" w:color="000000" w:fill="000000"/>
                <w:fitText w:val="105" w:id="-893676793"/>
                <w14:textFill>
                  <w14:solidFill>
                    <w14:srgbClr w14:val="000000">
                      <w14:alpha w14:val="100000"/>
                    </w14:srgbClr>
                  </w14:solidFill>
                </w14:textFill>
              </w:rPr>
              <w:t xml:space="preserve">　</w:t>
            </w:r>
            <w:r w:rsidRPr="00BD3549">
              <w:rPr>
                <w:color w:val="000000"/>
                <w:w w:val="23"/>
                <w:shd w:val="solid" w:color="000000" w:fill="000000"/>
                <w:fitText w:val="105" w:id="-893676793"/>
                <w14:textFill>
                  <w14:solidFill>
                    <w14:srgbClr w14:val="000000">
                      <w14:alpha w14:val="100000"/>
                    </w14:srgbClr>
                  </w14:solidFill>
                </w14:textFill>
              </w:rPr>
              <w:t>|</w:t>
            </w:r>
            <w:r w:rsidRPr="00BD3549">
              <w:rPr>
                <w:rFonts w:hint="eastAsia"/>
                <w:color w:val="000000"/>
                <w:spacing w:val="4"/>
                <w:w w:val="23"/>
                <w:shd w:val="solid" w:color="000000" w:fill="000000"/>
                <w:fitText w:val="105" w:id="-893676793"/>
                <w14:textFill>
                  <w14:solidFill>
                    <w14:srgbClr w14:val="000000">
                      <w14:alpha w14:val="100000"/>
                    </w14:srgbClr>
                  </w14:solidFill>
                </w14:textFill>
              </w:rPr>
              <w:t xml:space="preserve">　</w:t>
            </w:r>
            <w:r w:rsidR="00EE5E04" w:rsidRPr="00724AF8">
              <w:rPr>
                <w:vertAlign w:val="superscript"/>
              </w:rPr>
              <w:t>1</w:t>
            </w:r>
          </w:p>
        </w:tc>
        <w:tc>
          <w:tcPr>
            <w:tcW w:w="1307" w:type="dxa"/>
            <w:vMerge/>
            <w:vAlign w:val="center"/>
          </w:tcPr>
          <w:p w14:paraId="10C1D032" w14:textId="77777777" w:rsidR="005A761C" w:rsidRPr="001611DC" w:rsidRDefault="005A761C">
            <w:pPr>
              <w:pStyle w:val="TableText0"/>
              <w:jc w:val="center"/>
            </w:pPr>
          </w:p>
        </w:tc>
        <w:tc>
          <w:tcPr>
            <w:tcW w:w="1430" w:type="dxa"/>
            <w:vMerge/>
          </w:tcPr>
          <w:p w14:paraId="6B4092E6" w14:textId="77777777" w:rsidR="005A761C" w:rsidRPr="001611DC" w:rsidRDefault="005A761C">
            <w:pPr>
              <w:pStyle w:val="TableText0"/>
              <w:jc w:val="center"/>
            </w:pPr>
          </w:p>
        </w:tc>
        <w:tc>
          <w:tcPr>
            <w:tcW w:w="0" w:type="auto"/>
            <w:vMerge/>
            <w:vAlign w:val="center"/>
          </w:tcPr>
          <w:p w14:paraId="765CD545" w14:textId="1DB2B117" w:rsidR="005A761C" w:rsidRPr="001611DC" w:rsidRDefault="005A761C">
            <w:pPr>
              <w:pStyle w:val="TableText0"/>
              <w:jc w:val="center"/>
            </w:pPr>
          </w:p>
        </w:tc>
        <w:tc>
          <w:tcPr>
            <w:tcW w:w="0" w:type="auto"/>
            <w:tcBorders>
              <w:bottom w:val="single" w:sz="4" w:space="0" w:color="auto"/>
            </w:tcBorders>
            <w:shd w:val="solid" w:color="000000" w:fill="000000"/>
            <w:vAlign w:val="center"/>
          </w:tcPr>
          <w:p w14:paraId="626EA05D" w14:textId="62B7F748" w:rsidR="005A761C" w:rsidRPr="003B0C64" w:rsidRDefault="00BD3549">
            <w:pPr>
              <w:pStyle w:val="TableText0"/>
              <w:jc w:val="center"/>
              <w:rPr>
                <w:highlight w:val="lightGray"/>
              </w:rPr>
            </w:pPr>
            <w:r w:rsidRPr="00BD3549">
              <w:rPr>
                <w:rFonts w:hint="eastAsia"/>
                <w:color w:val="000000"/>
                <w:w w:val="15"/>
                <w:fitText w:val="60" w:id="-893676792"/>
                <w14:textFill>
                  <w14:solidFill>
                    <w14:srgbClr w14:val="000000">
                      <w14:alpha w14:val="100000"/>
                    </w14:srgbClr>
                  </w14:solidFill>
                </w14:textFill>
              </w:rPr>
              <w:t xml:space="preserve">　</w:t>
            </w:r>
            <w:r w:rsidRPr="00BD3549">
              <w:rPr>
                <w:color w:val="000000"/>
                <w:w w:val="15"/>
                <w:fitText w:val="60" w:id="-893676792"/>
                <w14:textFill>
                  <w14:solidFill>
                    <w14:srgbClr w14:val="000000">
                      <w14:alpha w14:val="100000"/>
                    </w14:srgbClr>
                  </w14:solidFill>
                </w14:textFill>
              </w:rPr>
              <w:t>|</w:t>
            </w:r>
            <w:r w:rsidRPr="00BD3549">
              <w:rPr>
                <w:rFonts w:hint="eastAsia"/>
                <w:color w:val="000000"/>
                <w:w w:val="15"/>
                <w:fitText w:val="60" w:id="-893676792"/>
                <w14:textFill>
                  <w14:solidFill>
                    <w14:srgbClr w14:val="000000">
                      <w14:alpha w14:val="100000"/>
                    </w14:srgbClr>
                  </w14:solidFill>
                </w14:textFill>
              </w:rPr>
              <w:t xml:space="preserve">　</w:t>
            </w:r>
          </w:p>
        </w:tc>
        <w:tc>
          <w:tcPr>
            <w:tcW w:w="0" w:type="auto"/>
            <w:vAlign w:val="center"/>
          </w:tcPr>
          <w:p w14:paraId="490B09FE" w14:textId="77777777" w:rsidR="005A761C" w:rsidRPr="001611DC" w:rsidRDefault="005A761C">
            <w:pPr>
              <w:pStyle w:val="TableText0"/>
              <w:jc w:val="center"/>
            </w:pPr>
            <w:r w:rsidRPr="001611DC">
              <w:t>3,146</w:t>
            </w:r>
          </w:p>
        </w:tc>
        <w:tc>
          <w:tcPr>
            <w:tcW w:w="0" w:type="auto"/>
            <w:tcBorders>
              <w:bottom w:val="single" w:sz="4" w:space="0" w:color="auto"/>
            </w:tcBorders>
            <w:vAlign w:val="center"/>
          </w:tcPr>
          <w:p w14:paraId="478B38EE" w14:textId="390C250D" w:rsidR="005A761C" w:rsidRPr="00724AF8" w:rsidRDefault="00BD3549">
            <w:pPr>
              <w:pStyle w:val="TableText0"/>
              <w:jc w:val="center"/>
              <w:rPr>
                <w:highlight w:val="lightGray"/>
              </w:rPr>
            </w:pPr>
            <w:r w:rsidRPr="00BD3549">
              <w:rPr>
                <w:color w:val="000000"/>
                <w:spacing w:val="48"/>
                <w:shd w:val="solid" w:color="000000" w:fill="000000"/>
                <w:fitText w:val="225" w:id="-893676791"/>
                <w14:textFill>
                  <w14:solidFill>
                    <w14:srgbClr w14:val="000000">
                      <w14:alpha w14:val="100000"/>
                    </w14:srgbClr>
                  </w14:solidFill>
                </w14:textFill>
              </w:rPr>
              <w:t>||</w:t>
            </w:r>
            <w:r w:rsidRPr="00BD3549">
              <w:rPr>
                <w:color w:val="000000"/>
                <w:spacing w:val="2"/>
                <w:shd w:val="solid" w:color="000000" w:fill="000000"/>
                <w:fitText w:val="225" w:id="-893676791"/>
                <w14:textFill>
                  <w14:solidFill>
                    <w14:srgbClr w14:val="000000">
                      <w14:alpha w14:val="100000"/>
                    </w14:srgbClr>
                  </w14:solidFill>
                </w14:textFill>
              </w:rPr>
              <w:t>|</w:t>
            </w:r>
            <w:r w:rsidR="00D505DC">
              <w:rPr>
                <w:vertAlign w:val="superscript"/>
              </w:rPr>
              <w:t>3</w:t>
            </w:r>
          </w:p>
        </w:tc>
      </w:tr>
      <w:tr w:rsidR="005A761C" w:rsidRPr="001611DC" w14:paraId="6B86301D" w14:textId="77777777" w:rsidTr="00397677">
        <w:tc>
          <w:tcPr>
            <w:tcW w:w="0" w:type="auto"/>
          </w:tcPr>
          <w:p w14:paraId="69902351" w14:textId="77777777" w:rsidR="005A761C" w:rsidRPr="001611DC" w:rsidRDefault="005A761C">
            <w:pPr>
              <w:pStyle w:val="TableText0"/>
            </w:pPr>
            <w:r w:rsidRPr="001611DC">
              <w:t>75-79</w:t>
            </w:r>
          </w:p>
        </w:tc>
        <w:tc>
          <w:tcPr>
            <w:tcW w:w="0" w:type="auto"/>
            <w:vAlign w:val="center"/>
          </w:tcPr>
          <w:p w14:paraId="59A7D9BA" w14:textId="3BE2AFC7" w:rsidR="005A761C" w:rsidRPr="003B0C64" w:rsidRDefault="00BD3549">
            <w:pPr>
              <w:pStyle w:val="TableText0"/>
              <w:jc w:val="center"/>
              <w:rPr>
                <w:highlight w:val="lightGray"/>
              </w:rPr>
            </w:pPr>
            <w:r w:rsidRPr="00BD3549">
              <w:rPr>
                <w:color w:val="000000"/>
                <w:spacing w:val="48"/>
                <w:shd w:val="solid" w:color="000000" w:fill="000000"/>
                <w:fitText w:val="315" w:id="-893676790"/>
                <w14:textFill>
                  <w14:solidFill>
                    <w14:srgbClr w14:val="000000">
                      <w14:alpha w14:val="100000"/>
                    </w14:srgbClr>
                  </w14:solidFill>
                </w14:textFill>
              </w:rPr>
              <w:t>|||</w:t>
            </w:r>
            <w:r w:rsidRPr="00BD3549">
              <w:rPr>
                <w:color w:val="000000"/>
                <w:spacing w:val="1"/>
                <w:shd w:val="solid" w:color="000000" w:fill="000000"/>
                <w:fitText w:val="315" w:id="-893676790"/>
                <w14:textFill>
                  <w14:solidFill>
                    <w14:srgbClr w14:val="000000">
                      <w14:alpha w14:val="100000"/>
                    </w14:srgbClr>
                  </w14:solidFill>
                </w14:textFill>
              </w:rPr>
              <w:t>|</w:t>
            </w:r>
            <w:r w:rsidR="00EE5E04" w:rsidRPr="00724AF8">
              <w:rPr>
                <w:vertAlign w:val="superscript"/>
              </w:rPr>
              <w:t>1</w:t>
            </w:r>
          </w:p>
        </w:tc>
        <w:tc>
          <w:tcPr>
            <w:tcW w:w="1307" w:type="dxa"/>
            <w:vMerge w:val="restart"/>
            <w:vAlign w:val="center"/>
          </w:tcPr>
          <w:p w14:paraId="1758A5B7" w14:textId="77777777" w:rsidR="005A761C" w:rsidRPr="001611DC" w:rsidRDefault="005A761C">
            <w:pPr>
              <w:pStyle w:val="TableText0"/>
              <w:jc w:val="center"/>
            </w:pPr>
            <w:r w:rsidRPr="001611DC">
              <w:t>18%</w:t>
            </w:r>
          </w:p>
        </w:tc>
        <w:tc>
          <w:tcPr>
            <w:tcW w:w="1430" w:type="dxa"/>
            <w:vMerge w:val="restart"/>
          </w:tcPr>
          <w:p w14:paraId="53DA0077" w14:textId="2B6B739D" w:rsidR="005A761C" w:rsidRPr="001611DC" w:rsidRDefault="005A761C">
            <w:pPr>
              <w:pStyle w:val="TableText0"/>
              <w:jc w:val="center"/>
            </w:pPr>
            <w:r w:rsidRPr="001611DC">
              <w:t>10.87%</w:t>
            </w:r>
          </w:p>
        </w:tc>
        <w:tc>
          <w:tcPr>
            <w:tcW w:w="0" w:type="auto"/>
            <w:vMerge w:val="restart"/>
            <w:vAlign w:val="center"/>
          </w:tcPr>
          <w:p w14:paraId="3EDA1B99" w14:textId="27506FB3" w:rsidR="005A761C" w:rsidRPr="001611DC" w:rsidRDefault="005A761C">
            <w:pPr>
              <w:pStyle w:val="TableText0"/>
              <w:jc w:val="center"/>
            </w:pPr>
            <w:r w:rsidRPr="001611DC">
              <w:t>2.00%</w:t>
            </w:r>
          </w:p>
        </w:tc>
        <w:tc>
          <w:tcPr>
            <w:tcW w:w="0" w:type="auto"/>
            <w:tcBorders>
              <w:bottom w:val="single" w:sz="4" w:space="0" w:color="auto"/>
            </w:tcBorders>
            <w:shd w:val="solid" w:color="000000" w:fill="000000"/>
            <w:vAlign w:val="center"/>
          </w:tcPr>
          <w:p w14:paraId="50618650" w14:textId="7DB438B5" w:rsidR="005A761C" w:rsidRPr="003B0C64" w:rsidRDefault="00BD3549">
            <w:pPr>
              <w:pStyle w:val="TableText0"/>
              <w:jc w:val="center"/>
              <w:rPr>
                <w:highlight w:val="lightGray"/>
              </w:rPr>
            </w:pPr>
            <w:r w:rsidRPr="00BD3549">
              <w:rPr>
                <w:rFonts w:hint="eastAsia"/>
                <w:color w:val="000000"/>
                <w:w w:val="15"/>
                <w:fitText w:val="60" w:id="-893676788"/>
                <w14:textFill>
                  <w14:solidFill>
                    <w14:srgbClr w14:val="000000">
                      <w14:alpha w14:val="100000"/>
                    </w14:srgbClr>
                  </w14:solidFill>
                </w14:textFill>
              </w:rPr>
              <w:t xml:space="preserve">　</w:t>
            </w:r>
            <w:r w:rsidRPr="00BD3549">
              <w:rPr>
                <w:color w:val="000000"/>
                <w:w w:val="15"/>
                <w:fitText w:val="60" w:id="-893676788"/>
                <w14:textFill>
                  <w14:solidFill>
                    <w14:srgbClr w14:val="000000">
                      <w14:alpha w14:val="100000"/>
                    </w14:srgbClr>
                  </w14:solidFill>
                </w14:textFill>
              </w:rPr>
              <w:t>|</w:t>
            </w:r>
            <w:r w:rsidRPr="00BD3549">
              <w:rPr>
                <w:rFonts w:hint="eastAsia"/>
                <w:color w:val="000000"/>
                <w:w w:val="15"/>
                <w:fitText w:val="60" w:id="-893676788"/>
                <w14:textFill>
                  <w14:solidFill>
                    <w14:srgbClr w14:val="000000">
                      <w14:alpha w14:val="100000"/>
                    </w14:srgbClr>
                  </w14:solidFill>
                </w14:textFill>
              </w:rPr>
              <w:t xml:space="preserve">　</w:t>
            </w:r>
          </w:p>
        </w:tc>
        <w:tc>
          <w:tcPr>
            <w:tcW w:w="0" w:type="auto"/>
            <w:vAlign w:val="center"/>
          </w:tcPr>
          <w:p w14:paraId="486A7AB6" w14:textId="77777777" w:rsidR="005A761C" w:rsidRPr="001611DC" w:rsidRDefault="005A761C">
            <w:pPr>
              <w:pStyle w:val="TableText0"/>
              <w:jc w:val="center"/>
            </w:pPr>
            <w:r w:rsidRPr="001611DC">
              <w:t>7,297</w:t>
            </w:r>
          </w:p>
        </w:tc>
        <w:tc>
          <w:tcPr>
            <w:tcW w:w="0" w:type="auto"/>
            <w:shd w:val="clear" w:color="auto" w:fill="auto"/>
            <w:vAlign w:val="center"/>
          </w:tcPr>
          <w:p w14:paraId="37F2752E" w14:textId="7ED8C77E" w:rsidR="005A761C" w:rsidRPr="00724AF8" w:rsidRDefault="00397677">
            <w:pPr>
              <w:pStyle w:val="TableText0"/>
              <w:jc w:val="center"/>
              <w:rPr>
                <w:highlight w:val="lightGray"/>
              </w:rPr>
            </w:pPr>
            <w:r w:rsidRPr="00BD3549">
              <w:rPr>
                <w:color w:val="000000"/>
                <w:spacing w:val="48"/>
                <w:shd w:val="solid" w:color="000000" w:fill="000000"/>
                <w:fitText w:val="225" w:id="-893676784"/>
                <w14:textFill>
                  <w14:solidFill>
                    <w14:srgbClr w14:val="000000">
                      <w14:alpha w14:val="100000"/>
                    </w14:srgbClr>
                  </w14:solidFill>
                </w14:textFill>
              </w:rPr>
              <w:t>||</w:t>
            </w:r>
            <w:r w:rsidRPr="00BD3549">
              <w:rPr>
                <w:color w:val="000000"/>
                <w:spacing w:val="2"/>
                <w:shd w:val="solid" w:color="000000" w:fill="000000"/>
                <w:fitText w:val="225" w:id="-893676784"/>
                <w14:textFill>
                  <w14:solidFill>
                    <w14:srgbClr w14:val="000000">
                      <w14:alpha w14:val="100000"/>
                    </w14:srgbClr>
                  </w14:solidFill>
                </w14:textFill>
              </w:rPr>
              <w:t>|</w:t>
            </w:r>
            <w:r w:rsidRPr="00D505DC">
              <w:rPr>
                <w:vertAlign w:val="superscript"/>
              </w:rPr>
              <w:t>4</w:t>
            </w:r>
          </w:p>
        </w:tc>
      </w:tr>
      <w:tr w:rsidR="005A761C" w:rsidRPr="001611DC" w14:paraId="635BC9BF" w14:textId="77777777" w:rsidTr="00397677">
        <w:tc>
          <w:tcPr>
            <w:tcW w:w="0" w:type="auto"/>
          </w:tcPr>
          <w:p w14:paraId="15F0B08A" w14:textId="77777777" w:rsidR="005A761C" w:rsidRPr="001611DC" w:rsidRDefault="005A761C">
            <w:pPr>
              <w:pStyle w:val="TableText0"/>
            </w:pPr>
            <w:r w:rsidRPr="001611DC">
              <w:t>80-84</w:t>
            </w:r>
          </w:p>
        </w:tc>
        <w:tc>
          <w:tcPr>
            <w:tcW w:w="0" w:type="auto"/>
            <w:vAlign w:val="center"/>
          </w:tcPr>
          <w:p w14:paraId="4DB1561B" w14:textId="7E5FEEEF" w:rsidR="005A761C" w:rsidRPr="003B0C64" w:rsidRDefault="00BD3549">
            <w:pPr>
              <w:pStyle w:val="TableText0"/>
              <w:jc w:val="center"/>
              <w:rPr>
                <w:highlight w:val="lightGray"/>
              </w:rPr>
            </w:pPr>
            <w:r w:rsidRPr="00BD3549">
              <w:rPr>
                <w:rFonts w:hint="eastAsia"/>
                <w:color w:val="000000"/>
                <w:w w:val="33"/>
                <w:shd w:val="solid" w:color="000000" w:fill="000000"/>
                <w:fitText w:val="150" w:id="-893676786"/>
                <w14:textFill>
                  <w14:solidFill>
                    <w14:srgbClr w14:val="000000">
                      <w14:alpha w14:val="100000"/>
                    </w14:srgbClr>
                  </w14:solidFill>
                </w14:textFill>
              </w:rPr>
              <w:t xml:space="preserve">　</w:t>
            </w:r>
            <w:r w:rsidRPr="00BD3549">
              <w:rPr>
                <w:color w:val="000000"/>
                <w:w w:val="33"/>
                <w:shd w:val="solid" w:color="000000" w:fill="000000"/>
                <w:fitText w:val="150" w:id="-893676786"/>
                <w14:textFill>
                  <w14:solidFill>
                    <w14:srgbClr w14:val="000000">
                      <w14:alpha w14:val="100000"/>
                    </w14:srgbClr>
                  </w14:solidFill>
                </w14:textFill>
              </w:rPr>
              <w:t>|</w:t>
            </w:r>
            <w:r w:rsidRPr="00BD3549">
              <w:rPr>
                <w:rFonts w:hint="eastAsia"/>
                <w:color w:val="000000"/>
                <w:spacing w:val="4"/>
                <w:w w:val="33"/>
                <w:shd w:val="solid" w:color="000000" w:fill="000000"/>
                <w:fitText w:val="150" w:id="-893676786"/>
                <w14:textFill>
                  <w14:solidFill>
                    <w14:srgbClr w14:val="000000">
                      <w14:alpha w14:val="100000"/>
                    </w14:srgbClr>
                  </w14:solidFill>
                </w14:textFill>
              </w:rPr>
              <w:t xml:space="preserve">　</w:t>
            </w:r>
            <w:r w:rsidR="006E0989" w:rsidRPr="006E0989">
              <w:rPr>
                <w:vertAlign w:val="superscript"/>
              </w:rPr>
              <w:t>5</w:t>
            </w:r>
          </w:p>
        </w:tc>
        <w:tc>
          <w:tcPr>
            <w:tcW w:w="1307" w:type="dxa"/>
            <w:vMerge/>
            <w:vAlign w:val="center"/>
          </w:tcPr>
          <w:p w14:paraId="27411796" w14:textId="77777777" w:rsidR="005A761C" w:rsidRPr="001611DC" w:rsidRDefault="005A761C">
            <w:pPr>
              <w:pStyle w:val="TableText0"/>
              <w:jc w:val="center"/>
            </w:pPr>
          </w:p>
        </w:tc>
        <w:tc>
          <w:tcPr>
            <w:tcW w:w="1430" w:type="dxa"/>
            <w:vMerge/>
          </w:tcPr>
          <w:p w14:paraId="4CBAA74E" w14:textId="77777777" w:rsidR="005A761C" w:rsidRPr="001611DC" w:rsidRDefault="005A761C">
            <w:pPr>
              <w:pStyle w:val="TableText0"/>
              <w:jc w:val="center"/>
            </w:pPr>
          </w:p>
        </w:tc>
        <w:tc>
          <w:tcPr>
            <w:tcW w:w="0" w:type="auto"/>
            <w:vMerge/>
            <w:vAlign w:val="center"/>
          </w:tcPr>
          <w:p w14:paraId="07329DCD" w14:textId="6D50B849" w:rsidR="005A761C" w:rsidRPr="001611DC" w:rsidRDefault="005A761C">
            <w:pPr>
              <w:pStyle w:val="TableText0"/>
              <w:jc w:val="center"/>
            </w:pPr>
          </w:p>
        </w:tc>
        <w:tc>
          <w:tcPr>
            <w:tcW w:w="0" w:type="auto"/>
            <w:tcBorders>
              <w:bottom w:val="single" w:sz="4" w:space="0" w:color="auto"/>
            </w:tcBorders>
            <w:shd w:val="solid" w:color="000000" w:fill="000000"/>
            <w:vAlign w:val="center"/>
          </w:tcPr>
          <w:p w14:paraId="3BDC7FD0" w14:textId="0D681A02" w:rsidR="005A761C" w:rsidRPr="003B0C64" w:rsidRDefault="00BD3549">
            <w:pPr>
              <w:pStyle w:val="TableText0"/>
              <w:jc w:val="center"/>
              <w:rPr>
                <w:highlight w:val="lightGray"/>
              </w:rPr>
            </w:pPr>
            <w:r w:rsidRPr="00BD3549">
              <w:rPr>
                <w:rFonts w:hint="eastAsia"/>
                <w:color w:val="000000"/>
                <w:w w:val="15"/>
                <w:fitText w:val="60" w:id="-893676785"/>
                <w14:textFill>
                  <w14:solidFill>
                    <w14:srgbClr w14:val="000000">
                      <w14:alpha w14:val="100000"/>
                    </w14:srgbClr>
                  </w14:solidFill>
                </w14:textFill>
              </w:rPr>
              <w:t xml:space="preserve">　</w:t>
            </w:r>
            <w:r w:rsidRPr="00BD3549">
              <w:rPr>
                <w:color w:val="000000"/>
                <w:w w:val="15"/>
                <w:fitText w:val="60" w:id="-893676785"/>
                <w14:textFill>
                  <w14:solidFill>
                    <w14:srgbClr w14:val="000000">
                      <w14:alpha w14:val="100000"/>
                    </w14:srgbClr>
                  </w14:solidFill>
                </w14:textFill>
              </w:rPr>
              <w:t>|</w:t>
            </w:r>
            <w:r w:rsidRPr="00BD3549">
              <w:rPr>
                <w:rFonts w:hint="eastAsia"/>
                <w:color w:val="000000"/>
                <w:w w:val="15"/>
                <w:fitText w:val="60" w:id="-893676785"/>
                <w14:textFill>
                  <w14:solidFill>
                    <w14:srgbClr w14:val="000000">
                      <w14:alpha w14:val="100000"/>
                    </w14:srgbClr>
                  </w14:solidFill>
                </w14:textFill>
              </w:rPr>
              <w:t xml:space="preserve">　</w:t>
            </w:r>
          </w:p>
        </w:tc>
        <w:tc>
          <w:tcPr>
            <w:tcW w:w="0" w:type="auto"/>
            <w:vAlign w:val="center"/>
          </w:tcPr>
          <w:p w14:paraId="15202D33" w14:textId="77777777" w:rsidR="005A761C" w:rsidRPr="001611DC" w:rsidRDefault="005A761C">
            <w:pPr>
              <w:pStyle w:val="TableText0"/>
              <w:jc w:val="center"/>
            </w:pPr>
            <w:r w:rsidRPr="001611DC">
              <w:t>3,785</w:t>
            </w:r>
          </w:p>
        </w:tc>
        <w:tc>
          <w:tcPr>
            <w:tcW w:w="0" w:type="auto"/>
            <w:vAlign w:val="center"/>
          </w:tcPr>
          <w:p w14:paraId="0E72C0D1" w14:textId="4F3B5148" w:rsidR="005A761C" w:rsidRPr="00724AF8" w:rsidRDefault="00BD3549">
            <w:pPr>
              <w:pStyle w:val="TableText0"/>
              <w:jc w:val="center"/>
              <w:rPr>
                <w:highlight w:val="lightGray"/>
              </w:rPr>
            </w:pPr>
            <w:r w:rsidRPr="00BD3549">
              <w:rPr>
                <w:color w:val="000000"/>
                <w:spacing w:val="48"/>
                <w:shd w:val="solid" w:color="000000" w:fill="000000"/>
                <w:fitText w:val="225" w:id="-893676784"/>
                <w14:textFill>
                  <w14:solidFill>
                    <w14:srgbClr w14:val="000000">
                      <w14:alpha w14:val="100000"/>
                    </w14:srgbClr>
                  </w14:solidFill>
                </w14:textFill>
              </w:rPr>
              <w:t>||</w:t>
            </w:r>
            <w:r w:rsidRPr="00BD3549">
              <w:rPr>
                <w:color w:val="000000"/>
                <w:spacing w:val="2"/>
                <w:shd w:val="solid" w:color="000000" w:fill="000000"/>
                <w:fitText w:val="225" w:id="-893676784"/>
                <w14:textFill>
                  <w14:solidFill>
                    <w14:srgbClr w14:val="000000">
                      <w14:alpha w14:val="100000"/>
                    </w14:srgbClr>
                  </w14:solidFill>
                </w14:textFill>
              </w:rPr>
              <w:t>|</w:t>
            </w:r>
            <w:r w:rsidR="00D505DC" w:rsidRPr="00D505DC">
              <w:rPr>
                <w:vertAlign w:val="superscript"/>
              </w:rPr>
              <w:t>4</w:t>
            </w:r>
          </w:p>
        </w:tc>
      </w:tr>
      <w:tr w:rsidR="005A761C" w:rsidRPr="001611DC" w14:paraId="782EC26B" w14:textId="77777777" w:rsidTr="00397677">
        <w:tc>
          <w:tcPr>
            <w:tcW w:w="0" w:type="auto"/>
          </w:tcPr>
          <w:p w14:paraId="53578A97" w14:textId="3AB90CE0" w:rsidR="005A761C" w:rsidRPr="001611DC" w:rsidRDefault="005A761C">
            <w:pPr>
              <w:pStyle w:val="TableText0"/>
            </w:pPr>
            <w:r w:rsidRPr="001611DC">
              <w:t>≥85</w:t>
            </w:r>
          </w:p>
        </w:tc>
        <w:tc>
          <w:tcPr>
            <w:tcW w:w="0" w:type="auto"/>
            <w:vAlign w:val="center"/>
          </w:tcPr>
          <w:p w14:paraId="606C9367" w14:textId="042F3E67" w:rsidR="005A761C" w:rsidRPr="003B0C64" w:rsidRDefault="00BD3549">
            <w:pPr>
              <w:pStyle w:val="TableText0"/>
              <w:jc w:val="center"/>
              <w:rPr>
                <w:highlight w:val="lightGray"/>
              </w:rPr>
            </w:pPr>
            <w:r w:rsidRPr="00BD3549">
              <w:rPr>
                <w:rFonts w:hint="eastAsia"/>
                <w:color w:val="000000"/>
                <w:w w:val="33"/>
                <w:shd w:val="solid" w:color="000000" w:fill="000000"/>
                <w:fitText w:val="150" w:id="-893676800"/>
                <w14:textFill>
                  <w14:solidFill>
                    <w14:srgbClr w14:val="000000">
                      <w14:alpha w14:val="100000"/>
                    </w14:srgbClr>
                  </w14:solidFill>
                </w14:textFill>
              </w:rPr>
              <w:t xml:space="preserve">　</w:t>
            </w:r>
            <w:r w:rsidRPr="00BD3549">
              <w:rPr>
                <w:color w:val="000000"/>
                <w:w w:val="33"/>
                <w:shd w:val="solid" w:color="000000" w:fill="000000"/>
                <w:fitText w:val="150" w:id="-893676800"/>
                <w14:textFill>
                  <w14:solidFill>
                    <w14:srgbClr w14:val="000000">
                      <w14:alpha w14:val="100000"/>
                    </w14:srgbClr>
                  </w14:solidFill>
                </w14:textFill>
              </w:rPr>
              <w:t>|</w:t>
            </w:r>
            <w:r w:rsidRPr="00BD3549">
              <w:rPr>
                <w:rFonts w:hint="eastAsia"/>
                <w:color w:val="000000"/>
                <w:spacing w:val="4"/>
                <w:w w:val="33"/>
                <w:shd w:val="solid" w:color="000000" w:fill="000000"/>
                <w:fitText w:val="150" w:id="-893676800"/>
                <w14:textFill>
                  <w14:solidFill>
                    <w14:srgbClr w14:val="000000">
                      <w14:alpha w14:val="100000"/>
                    </w14:srgbClr>
                  </w14:solidFill>
                </w14:textFill>
              </w:rPr>
              <w:t xml:space="preserve">　</w:t>
            </w:r>
            <w:r w:rsidR="006E0989" w:rsidRPr="006E0989">
              <w:rPr>
                <w:vertAlign w:val="superscript"/>
              </w:rPr>
              <w:t>5</w:t>
            </w:r>
          </w:p>
        </w:tc>
        <w:tc>
          <w:tcPr>
            <w:tcW w:w="1307" w:type="dxa"/>
            <w:vAlign w:val="center"/>
          </w:tcPr>
          <w:p w14:paraId="405FBA5F" w14:textId="77777777" w:rsidR="005A761C" w:rsidRPr="001611DC" w:rsidRDefault="005A761C">
            <w:pPr>
              <w:pStyle w:val="TableText0"/>
              <w:jc w:val="center"/>
            </w:pPr>
            <w:r w:rsidRPr="001611DC">
              <w:t>34%</w:t>
            </w:r>
          </w:p>
        </w:tc>
        <w:tc>
          <w:tcPr>
            <w:tcW w:w="1430" w:type="dxa"/>
            <w:vMerge/>
          </w:tcPr>
          <w:p w14:paraId="3B0A1FC3" w14:textId="77777777" w:rsidR="005A761C" w:rsidRPr="001611DC" w:rsidRDefault="005A761C">
            <w:pPr>
              <w:pStyle w:val="TableText0"/>
              <w:jc w:val="center"/>
            </w:pPr>
          </w:p>
        </w:tc>
        <w:tc>
          <w:tcPr>
            <w:tcW w:w="0" w:type="auto"/>
            <w:vAlign w:val="center"/>
          </w:tcPr>
          <w:p w14:paraId="337DB431" w14:textId="2FB12CA2" w:rsidR="005A761C" w:rsidRPr="001611DC" w:rsidRDefault="005A761C">
            <w:pPr>
              <w:pStyle w:val="TableText0"/>
              <w:jc w:val="center"/>
            </w:pPr>
            <w:r w:rsidRPr="001611DC">
              <w:t>3.66%</w:t>
            </w:r>
          </w:p>
        </w:tc>
        <w:tc>
          <w:tcPr>
            <w:tcW w:w="0" w:type="auto"/>
            <w:shd w:val="solid" w:color="000000" w:fill="000000"/>
            <w:vAlign w:val="center"/>
          </w:tcPr>
          <w:p w14:paraId="787681EE" w14:textId="40A8AE25" w:rsidR="005A761C" w:rsidRPr="001611DC" w:rsidRDefault="00BD3549">
            <w:pPr>
              <w:pStyle w:val="TableText0"/>
              <w:jc w:val="center"/>
            </w:pPr>
            <w:r w:rsidRPr="00BD3549">
              <w:rPr>
                <w:rFonts w:hint="eastAsia"/>
                <w:color w:val="000000"/>
                <w:w w:val="15"/>
                <w:fitText w:val="60" w:id="-893676799"/>
                <w14:textFill>
                  <w14:solidFill>
                    <w14:srgbClr w14:val="000000">
                      <w14:alpha w14:val="100000"/>
                    </w14:srgbClr>
                  </w14:solidFill>
                </w14:textFill>
              </w:rPr>
              <w:t xml:space="preserve">　</w:t>
            </w:r>
            <w:r w:rsidRPr="00BD3549">
              <w:rPr>
                <w:color w:val="000000"/>
                <w:w w:val="15"/>
                <w:fitText w:val="60" w:id="-893676799"/>
                <w14:textFill>
                  <w14:solidFill>
                    <w14:srgbClr w14:val="000000">
                      <w14:alpha w14:val="100000"/>
                    </w14:srgbClr>
                  </w14:solidFill>
                </w14:textFill>
              </w:rPr>
              <w:t>|</w:t>
            </w:r>
            <w:r w:rsidRPr="00BD3549">
              <w:rPr>
                <w:rFonts w:hint="eastAsia"/>
                <w:color w:val="000000"/>
                <w:w w:val="15"/>
                <w:fitText w:val="60" w:id="-893676799"/>
                <w14:textFill>
                  <w14:solidFill>
                    <w14:srgbClr w14:val="000000">
                      <w14:alpha w14:val="100000"/>
                    </w14:srgbClr>
                  </w14:solidFill>
                </w14:textFill>
              </w:rPr>
              <w:t xml:space="preserve">　</w:t>
            </w:r>
          </w:p>
        </w:tc>
        <w:tc>
          <w:tcPr>
            <w:tcW w:w="0" w:type="auto"/>
            <w:vAlign w:val="center"/>
          </w:tcPr>
          <w:p w14:paraId="75638842" w14:textId="77777777" w:rsidR="005A761C" w:rsidRPr="001611DC" w:rsidRDefault="005A761C">
            <w:pPr>
              <w:pStyle w:val="TableText0"/>
              <w:jc w:val="center"/>
            </w:pPr>
            <w:r w:rsidRPr="001611DC">
              <w:t>4,099</w:t>
            </w:r>
          </w:p>
        </w:tc>
        <w:tc>
          <w:tcPr>
            <w:tcW w:w="0" w:type="auto"/>
            <w:vAlign w:val="center"/>
          </w:tcPr>
          <w:p w14:paraId="066F5579" w14:textId="3B782300" w:rsidR="005A761C" w:rsidRPr="001611DC" w:rsidRDefault="005A761C">
            <w:pPr>
              <w:pStyle w:val="TableText0"/>
              <w:jc w:val="center"/>
            </w:pPr>
            <w:r w:rsidRPr="001611DC">
              <w:t>Dominant</w:t>
            </w:r>
          </w:p>
        </w:tc>
      </w:tr>
    </w:tbl>
    <w:p w14:paraId="34E57D4E" w14:textId="2EEA4992" w:rsidR="002F736F" w:rsidRPr="001611DC" w:rsidRDefault="002F736F" w:rsidP="002F736F">
      <w:pPr>
        <w:pStyle w:val="FooterTableFigure"/>
      </w:pPr>
      <w:r w:rsidRPr="001611DC">
        <w:t>Source: Table 3-24 &amp; 3-43of the submission; attachment ‘RSV OA static model_v16_PBAC_FINAL’ of the submission.</w:t>
      </w:r>
    </w:p>
    <w:p w14:paraId="6304EBAE" w14:textId="77777777" w:rsidR="002F736F" w:rsidRPr="001611DC" w:rsidRDefault="002F736F" w:rsidP="002F736F">
      <w:pPr>
        <w:pStyle w:val="FooterTableFigure"/>
      </w:pPr>
      <w:r w:rsidRPr="001611DC">
        <w:t>ICER = incremental cost-effectiveness ratio; LRTD = lower respiratory tract disease; QALY = quality-adjusted life years; RSV = respiratory syncytial virus; RSVPreF3 OA= RSV Pre-fusion protein 3 older adult; YOA = years of age.</w:t>
      </w:r>
    </w:p>
    <w:p w14:paraId="5DE8A8BD" w14:textId="3A78AB92" w:rsidR="005A761C" w:rsidRDefault="005A761C" w:rsidP="002F736F">
      <w:pPr>
        <w:pStyle w:val="FooterTableFigure"/>
      </w:pPr>
      <w:r w:rsidRPr="001611DC">
        <w:t>a calculated as 30-day mortality within hospital admission multiplied by the proportion of hospitalised RSV</w:t>
      </w:r>
      <w:r w:rsidRPr="001611DC">
        <w:noBreakHyphen/>
        <w:t>LRTD cases.</w:t>
      </w:r>
    </w:p>
    <w:p w14:paraId="2A9BFD10" w14:textId="77777777" w:rsidR="00CE4771" w:rsidRPr="00E85F69" w:rsidRDefault="00CE4771" w:rsidP="00CE4771">
      <w:pPr>
        <w:pStyle w:val="FooterTableFigure"/>
        <w:rPr>
          <w:i/>
          <w:iCs/>
        </w:rPr>
      </w:pPr>
      <w:bookmarkStart w:id="159" w:name="_Hlk176776842"/>
      <w:r w:rsidRPr="00E85F69">
        <w:rPr>
          <w:i/>
          <w:iCs/>
        </w:rPr>
        <w:t>The redacted values correspond to the following ranges:</w:t>
      </w:r>
    </w:p>
    <w:p w14:paraId="123A0E28" w14:textId="53320DC0" w:rsidR="00EE5E04" w:rsidRPr="00E85F69" w:rsidRDefault="00EE5E04" w:rsidP="00CE4771">
      <w:pPr>
        <w:pStyle w:val="FooterTableFigure"/>
        <w:rPr>
          <w:i/>
          <w:iCs/>
        </w:rPr>
      </w:pPr>
      <w:r w:rsidRPr="00E85F69">
        <w:rPr>
          <w:i/>
          <w:iCs/>
        </w:rPr>
        <w:t>1 1,000,000 to &lt; 2,000,000</w:t>
      </w:r>
    </w:p>
    <w:bookmarkEnd w:id="159"/>
    <w:p w14:paraId="78368FA9" w14:textId="78AFEE3B" w:rsidR="005F132E" w:rsidRPr="00E85F69" w:rsidRDefault="005F132E" w:rsidP="00CE4771">
      <w:pPr>
        <w:pStyle w:val="FooterTableFigure"/>
        <w:rPr>
          <w:i/>
          <w:iCs/>
        </w:rPr>
      </w:pPr>
      <w:r w:rsidRPr="00E85F69">
        <w:rPr>
          <w:i/>
          <w:iCs/>
        </w:rPr>
        <w:t>2 $95,000 to &lt; $115,000</w:t>
      </w:r>
    </w:p>
    <w:p w14:paraId="2142F1D2" w14:textId="18DD479F" w:rsidR="00D505DC" w:rsidRPr="00E85F69" w:rsidRDefault="00D505DC" w:rsidP="00D505DC">
      <w:pPr>
        <w:pStyle w:val="FooterTableFigure"/>
        <w:rPr>
          <w:i/>
          <w:iCs/>
        </w:rPr>
      </w:pPr>
      <w:r w:rsidRPr="00E85F69">
        <w:rPr>
          <w:i/>
          <w:iCs/>
        </w:rPr>
        <w:t xml:space="preserve">3 $55,000 to &lt; $75,000 </w:t>
      </w:r>
    </w:p>
    <w:p w14:paraId="1E950FBE" w14:textId="01F848F0" w:rsidR="00D505DC" w:rsidRPr="00E85F69" w:rsidRDefault="006E0989" w:rsidP="00CE4771">
      <w:pPr>
        <w:pStyle w:val="FooterTableFigure"/>
        <w:rPr>
          <w:i/>
          <w:iCs/>
        </w:rPr>
      </w:pPr>
      <w:r w:rsidRPr="00E85F69">
        <w:rPr>
          <w:i/>
          <w:iCs/>
        </w:rPr>
        <w:t>4 $5,000 to &lt; $15,000</w:t>
      </w:r>
    </w:p>
    <w:p w14:paraId="3ADB15FA" w14:textId="2EFB29A8" w:rsidR="004E7F43" w:rsidRPr="00E85F69" w:rsidRDefault="004E7F43" w:rsidP="00CE4771">
      <w:pPr>
        <w:pStyle w:val="FooterTableFigure"/>
        <w:rPr>
          <w:i/>
          <w:iCs/>
        </w:rPr>
      </w:pPr>
      <w:r w:rsidRPr="00E85F69">
        <w:rPr>
          <w:i/>
          <w:iCs/>
        </w:rPr>
        <w:t>5 600,000 to &lt; 700,000</w:t>
      </w:r>
    </w:p>
    <w:p w14:paraId="58275725" w14:textId="2C82A06E" w:rsidR="00D242A3" w:rsidRPr="001611DC" w:rsidRDefault="00D242A3" w:rsidP="00D242A3">
      <w:pPr>
        <w:pStyle w:val="3-BodyText"/>
      </w:pPr>
      <w:bookmarkStart w:id="160" w:name="_Ref170083385"/>
      <w:r w:rsidRPr="001611DC">
        <w:t xml:space="preserve">The ESC considered that significant uncertainty remained </w:t>
      </w:r>
      <w:r w:rsidR="00292656" w:rsidRPr="001611DC">
        <w:t>regarding the</w:t>
      </w:r>
      <w:r w:rsidRPr="001611DC">
        <w:t xml:space="preserve"> benefit of RSVPreF3 OA</w:t>
      </w:r>
      <w:r w:rsidR="00292656" w:rsidRPr="001611DC">
        <w:t xml:space="preserve"> in the proposed populations</w:t>
      </w:r>
      <w:r w:rsidRPr="001611DC">
        <w:t>.</w:t>
      </w:r>
      <w:r w:rsidR="001F4410">
        <w:t xml:space="preserve"> </w:t>
      </w:r>
      <w:r w:rsidRPr="001611DC">
        <w:t>In addition, the ESC raised the following concerns:</w:t>
      </w:r>
      <w:bookmarkEnd w:id="160"/>
    </w:p>
    <w:p w14:paraId="784715A2" w14:textId="4490354B" w:rsidR="00D242A3" w:rsidRPr="001611DC" w:rsidRDefault="00D242A3" w:rsidP="00CD3945">
      <w:pPr>
        <w:pStyle w:val="ListParagraph"/>
        <w:numPr>
          <w:ilvl w:val="0"/>
          <w:numId w:val="20"/>
        </w:numPr>
        <w:spacing w:line="259" w:lineRule="auto"/>
        <w:ind w:left="1134" w:hanging="357"/>
      </w:pPr>
      <w:r w:rsidRPr="001611DC">
        <w:rPr>
          <w:bCs/>
        </w:rPr>
        <w:lastRenderedPageBreak/>
        <w:t>The submission did not provide cost-effectiveness analyses for use in higher risk individuals and First Nations people</w:t>
      </w:r>
      <w:r w:rsidR="000D76AE" w:rsidRPr="001611DC">
        <w:rPr>
          <w:bCs/>
        </w:rPr>
        <w:t>s</w:t>
      </w:r>
      <w:r w:rsidRPr="001611DC">
        <w:rPr>
          <w:bCs/>
        </w:rPr>
        <w:t xml:space="preserve"> aged 60-74 YOA (see paragraph </w:t>
      </w:r>
      <w:r w:rsidR="00051933" w:rsidRPr="001611DC">
        <w:rPr>
          <w:bCs/>
          <w:highlight w:val="yellow"/>
        </w:rPr>
        <w:fldChar w:fldCharType="begin" w:fldLock="1"/>
      </w:r>
      <w:r w:rsidR="00051933" w:rsidRPr="001611DC">
        <w:rPr>
          <w:bCs/>
        </w:rPr>
        <w:instrText xml:space="preserve"> REF _Ref170152512 \r \h </w:instrText>
      </w:r>
      <w:r w:rsidR="0050118E" w:rsidRPr="001611DC">
        <w:rPr>
          <w:bCs/>
          <w:highlight w:val="yellow"/>
        </w:rPr>
        <w:instrText xml:space="preserve"> \* MERGEFORMAT </w:instrText>
      </w:r>
      <w:r w:rsidR="00051933" w:rsidRPr="001611DC">
        <w:rPr>
          <w:bCs/>
          <w:highlight w:val="yellow"/>
        </w:rPr>
      </w:r>
      <w:r w:rsidR="00051933" w:rsidRPr="001611DC">
        <w:rPr>
          <w:bCs/>
          <w:highlight w:val="yellow"/>
        </w:rPr>
        <w:fldChar w:fldCharType="separate"/>
      </w:r>
      <w:r w:rsidR="00927933" w:rsidRPr="001611DC">
        <w:rPr>
          <w:bCs/>
        </w:rPr>
        <w:t>6.46</w:t>
      </w:r>
      <w:r w:rsidR="00051933" w:rsidRPr="001611DC">
        <w:rPr>
          <w:bCs/>
          <w:highlight w:val="yellow"/>
        </w:rPr>
        <w:fldChar w:fldCharType="end"/>
      </w:r>
      <w:r w:rsidRPr="001611DC">
        <w:rPr>
          <w:bCs/>
        </w:rPr>
        <w:t>).</w:t>
      </w:r>
    </w:p>
    <w:p w14:paraId="5A15D6F8" w14:textId="5D729737" w:rsidR="00D242A3" w:rsidRPr="001611DC" w:rsidRDefault="00D242A3" w:rsidP="00CD3945">
      <w:pPr>
        <w:pStyle w:val="ListParagraph"/>
        <w:numPr>
          <w:ilvl w:val="0"/>
          <w:numId w:val="20"/>
        </w:numPr>
        <w:spacing w:line="259" w:lineRule="auto"/>
        <w:ind w:left="1134" w:hanging="357"/>
      </w:pPr>
      <w:r w:rsidRPr="001611DC">
        <w:t xml:space="preserve">The submission model was based on a single vaccination only, which was consistent with the requested NIP listing (paragraph </w:t>
      </w:r>
      <w:r w:rsidR="00051933" w:rsidRPr="001611DC">
        <w:rPr>
          <w:bCs/>
        </w:rPr>
        <w:fldChar w:fldCharType="begin" w:fldLock="1"/>
      </w:r>
      <w:r w:rsidR="00051933" w:rsidRPr="001611DC">
        <w:rPr>
          <w:bCs/>
        </w:rPr>
        <w:instrText xml:space="preserve"> REF _Ref170152516 \r \h  \* MERGEFORMAT </w:instrText>
      </w:r>
      <w:r w:rsidR="00051933" w:rsidRPr="001611DC">
        <w:rPr>
          <w:bCs/>
        </w:rPr>
      </w:r>
      <w:r w:rsidR="00051933" w:rsidRPr="001611DC">
        <w:rPr>
          <w:bCs/>
        </w:rPr>
        <w:fldChar w:fldCharType="separate"/>
      </w:r>
      <w:r w:rsidR="00927933" w:rsidRPr="001611DC">
        <w:rPr>
          <w:bCs/>
        </w:rPr>
        <w:t>6.46</w:t>
      </w:r>
      <w:r w:rsidR="00051933" w:rsidRPr="001611DC">
        <w:rPr>
          <w:bCs/>
        </w:rPr>
        <w:fldChar w:fldCharType="end"/>
      </w:r>
      <w:r w:rsidRPr="001611DC">
        <w:t xml:space="preserve">), but if revaccination is requested in the future, this would </w:t>
      </w:r>
      <w:r w:rsidR="00A77BBF" w:rsidRPr="001611DC">
        <w:t xml:space="preserve">influence both </w:t>
      </w:r>
      <w:r w:rsidRPr="001611DC">
        <w:t>cost-effectiveness and financial impact.</w:t>
      </w:r>
    </w:p>
    <w:p w14:paraId="12E4D052" w14:textId="57839C05" w:rsidR="00D242A3" w:rsidRPr="001611DC" w:rsidRDefault="00D242A3" w:rsidP="00CD3945">
      <w:pPr>
        <w:pStyle w:val="ListParagraph"/>
        <w:numPr>
          <w:ilvl w:val="0"/>
          <w:numId w:val="20"/>
        </w:numPr>
        <w:spacing w:line="259" w:lineRule="auto"/>
        <w:ind w:left="1134" w:hanging="357"/>
      </w:pPr>
      <w:r w:rsidRPr="001611DC">
        <w:t xml:space="preserve">The submission </w:t>
      </w:r>
      <w:r w:rsidR="000675D7" w:rsidRPr="001611DC">
        <w:t xml:space="preserve">assumed VE over </w:t>
      </w:r>
      <w:r w:rsidRPr="001611DC">
        <w:t xml:space="preserve">a 3-year </w:t>
      </w:r>
      <w:r w:rsidR="000675D7" w:rsidRPr="001611DC">
        <w:t>period</w:t>
      </w:r>
      <w:r w:rsidRPr="001611DC">
        <w:t xml:space="preserve"> (paragraph </w:t>
      </w:r>
      <w:r w:rsidR="00051933" w:rsidRPr="001611DC">
        <w:fldChar w:fldCharType="begin" w:fldLock="1"/>
      </w:r>
      <w:r w:rsidR="00051933" w:rsidRPr="001611DC">
        <w:instrText xml:space="preserve"> REF _Ref170152719 \r \h  \* MERGEFORMAT </w:instrText>
      </w:r>
      <w:r w:rsidR="00051933" w:rsidRPr="001611DC">
        <w:fldChar w:fldCharType="separate"/>
      </w:r>
      <w:r w:rsidR="00927933" w:rsidRPr="001611DC">
        <w:t>6.50</w:t>
      </w:r>
      <w:r w:rsidR="00051933" w:rsidRPr="001611DC">
        <w:fldChar w:fldCharType="end"/>
      </w:r>
      <w:r w:rsidRPr="001611DC">
        <w:t xml:space="preserve">) but limited data </w:t>
      </w:r>
      <w:r w:rsidR="00FC554E" w:rsidRPr="001611DC">
        <w:t>were</w:t>
      </w:r>
      <w:r w:rsidR="00DE684B" w:rsidRPr="001611DC">
        <w:t xml:space="preserve"> </w:t>
      </w:r>
      <w:r w:rsidRPr="001611DC">
        <w:t xml:space="preserve">available to estimate the duration of </w:t>
      </w:r>
      <w:r w:rsidR="00844771" w:rsidRPr="001611DC">
        <w:t xml:space="preserve">protection </w:t>
      </w:r>
      <w:r w:rsidRPr="001611DC">
        <w:t>of RSVPreF3 OA</w:t>
      </w:r>
      <w:r w:rsidR="00051933" w:rsidRPr="001611DC">
        <w:t xml:space="preserve">, and </w:t>
      </w:r>
      <w:r w:rsidR="00700A68" w:rsidRPr="001611DC">
        <w:t xml:space="preserve">uncertain </w:t>
      </w:r>
      <w:r w:rsidR="00051933" w:rsidRPr="001611DC">
        <w:t xml:space="preserve">relevance of VE analysis 4, which was provided in the PSCR (paragraphs </w:t>
      </w:r>
      <w:r w:rsidR="00051933" w:rsidRPr="001611DC">
        <w:fldChar w:fldCharType="begin" w:fldLock="1"/>
      </w:r>
      <w:r w:rsidR="00051933" w:rsidRPr="001611DC">
        <w:instrText xml:space="preserve"> REF _Ref170152183 \r \h </w:instrText>
      </w:r>
      <w:r w:rsidR="0050118E" w:rsidRPr="001611DC">
        <w:instrText xml:space="preserve"> \* MERGEFORMAT </w:instrText>
      </w:r>
      <w:r w:rsidR="00051933" w:rsidRPr="001611DC">
        <w:fldChar w:fldCharType="separate"/>
      </w:r>
      <w:r w:rsidR="00927933" w:rsidRPr="001611DC">
        <w:t>6.84</w:t>
      </w:r>
      <w:r w:rsidR="00051933" w:rsidRPr="001611DC">
        <w:fldChar w:fldCharType="end"/>
      </w:r>
      <w:r w:rsidR="00051933" w:rsidRPr="001611DC">
        <w:t xml:space="preserve"> to </w:t>
      </w:r>
      <w:r w:rsidR="00051933" w:rsidRPr="001611DC">
        <w:fldChar w:fldCharType="begin" w:fldLock="1"/>
      </w:r>
      <w:r w:rsidR="00051933" w:rsidRPr="001611DC">
        <w:instrText xml:space="preserve"> REF _Ref170152451 \r \h </w:instrText>
      </w:r>
      <w:r w:rsidR="0050118E" w:rsidRPr="001611DC">
        <w:instrText xml:space="preserve"> \* MERGEFORMAT </w:instrText>
      </w:r>
      <w:r w:rsidR="00051933" w:rsidRPr="001611DC">
        <w:fldChar w:fldCharType="separate"/>
      </w:r>
      <w:r w:rsidR="00927933" w:rsidRPr="001611DC">
        <w:t>6.85</w:t>
      </w:r>
      <w:r w:rsidR="00051933" w:rsidRPr="001611DC">
        <w:fldChar w:fldCharType="end"/>
      </w:r>
      <w:r w:rsidR="00051933" w:rsidRPr="001611DC">
        <w:t>).</w:t>
      </w:r>
    </w:p>
    <w:p w14:paraId="6F18A6AA" w14:textId="06B150EB" w:rsidR="00D242A3" w:rsidRPr="001611DC" w:rsidRDefault="00D242A3" w:rsidP="00CD3945">
      <w:pPr>
        <w:pStyle w:val="ListParagraph"/>
        <w:numPr>
          <w:ilvl w:val="0"/>
          <w:numId w:val="20"/>
        </w:numPr>
        <w:spacing w:line="259" w:lineRule="auto"/>
        <w:ind w:left="1134" w:hanging="357"/>
      </w:pPr>
      <w:r w:rsidRPr="001611DC">
        <w:t xml:space="preserve">The submission base case modelled March as the vaccination month which maximised clinical benefit in the model, and </w:t>
      </w:r>
      <w:r w:rsidR="00417EEC" w:rsidRPr="001611DC">
        <w:t xml:space="preserve">was </w:t>
      </w:r>
      <w:r w:rsidR="00844771" w:rsidRPr="001611DC">
        <w:t>unlikely to</w:t>
      </w:r>
      <w:r w:rsidRPr="001611DC">
        <w:t xml:space="preserve"> reflect use in practice (paragraph </w:t>
      </w:r>
      <w:r w:rsidR="00051933" w:rsidRPr="001611DC">
        <w:fldChar w:fldCharType="begin" w:fldLock="1"/>
      </w:r>
      <w:r w:rsidR="00051933" w:rsidRPr="001611DC">
        <w:instrText xml:space="preserve"> REF _Ref170152659 \r \h  \* MERGEFORMAT </w:instrText>
      </w:r>
      <w:r w:rsidR="00051933" w:rsidRPr="001611DC">
        <w:fldChar w:fldCharType="separate"/>
      </w:r>
      <w:r w:rsidR="00927933" w:rsidRPr="001611DC">
        <w:t>6.52</w:t>
      </w:r>
      <w:r w:rsidR="00051933" w:rsidRPr="001611DC">
        <w:fldChar w:fldCharType="end"/>
      </w:r>
      <w:r w:rsidR="00051933" w:rsidRPr="001611DC">
        <w:t xml:space="preserve"> to </w:t>
      </w:r>
      <w:r w:rsidR="00051933" w:rsidRPr="001611DC">
        <w:fldChar w:fldCharType="begin" w:fldLock="1"/>
      </w:r>
      <w:r w:rsidR="00051933" w:rsidRPr="001611DC">
        <w:instrText xml:space="preserve"> REF _Ref170152661 \r \h  \* MERGEFORMAT </w:instrText>
      </w:r>
      <w:r w:rsidR="00051933" w:rsidRPr="001611DC">
        <w:fldChar w:fldCharType="separate"/>
      </w:r>
      <w:r w:rsidR="00927933" w:rsidRPr="001611DC">
        <w:t>6.53</w:t>
      </w:r>
      <w:r w:rsidR="00051933" w:rsidRPr="001611DC">
        <w:fldChar w:fldCharType="end"/>
      </w:r>
      <w:r w:rsidRPr="001611DC">
        <w:t>).</w:t>
      </w:r>
    </w:p>
    <w:p w14:paraId="1FBEAF89" w14:textId="70F82FBE" w:rsidR="00D242A3" w:rsidRPr="001611DC" w:rsidRDefault="00D242A3" w:rsidP="00CD3945">
      <w:pPr>
        <w:pStyle w:val="ListParagraph"/>
        <w:numPr>
          <w:ilvl w:val="0"/>
          <w:numId w:val="20"/>
        </w:numPr>
        <w:spacing w:line="259" w:lineRule="auto"/>
        <w:ind w:left="1134" w:hanging="357"/>
      </w:pPr>
      <w:r w:rsidRPr="001611DC">
        <w:t xml:space="preserve">The submission neglected to include administration costs (paragraph </w:t>
      </w:r>
      <w:r w:rsidR="00B63ED3" w:rsidRPr="001611DC">
        <w:fldChar w:fldCharType="begin" w:fldLock="1"/>
      </w:r>
      <w:r w:rsidR="00B63ED3" w:rsidRPr="001611DC">
        <w:instrText xml:space="preserve"> REF _Ref170152300 \r \h  \* MERGEFORMAT </w:instrText>
      </w:r>
      <w:r w:rsidR="00B63ED3" w:rsidRPr="001611DC">
        <w:fldChar w:fldCharType="separate"/>
      </w:r>
      <w:r w:rsidR="00927933" w:rsidRPr="001611DC">
        <w:t>6.64</w:t>
      </w:r>
      <w:r w:rsidR="00B63ED3" w:rsidRPr="001611DC">
        <w:fldChar w:fldCharType="end"/>
      </w:r>
      <w:r w:rsidRPr="001611DC">
        <w:t>).</w:t>
      </w:r>
    </w:p>
    <w:p w14:paraId="7160E446" w14:textId="51E932E6" w:rsidR="00D242A3" w:rsidRPr="001611DC" w:rsidRDefault="00D242A3" w:rsidP="00CD3945">
      <w:pPr>
        <w:pStyle w:val="ListParagraph"/>
        <w:numPr>
          <w:ilvl w:val="0"/>
          <w:numId w:val="20"/>
        </w:numPr>
        <w:spacing w:line="259" w:lineRule="auto"/>
        <w:ind w:left="1134" w:hanging="357"/>
      </w:pPr>
      <w:r w:rsidRPr="001611DC">
        <w:t xml:space="preserve">The hospitalisation costs were overestimated (paragraphs </w:t>
      </w:r>
      <w:r w:rsidR="00B63ED3" w:rsidRPr="001611DC">
        <w:fldChar w:fldCharType="begin" w:fldLock="1"/>
      </w:r>
      <w:r w:rsidR="00B63ED3" w:rsidRPr="001611DC">
        <w:instrText xml:space="preserve"> REF _Ref170080588 \r \h  \* MERGEFORMAT </w:instrText>
      </w:r>
      <w:r w:rsidR="00B63ED3" w:rsidRPr="001611DC">
        <w:fldChar w:fldCharType="separate"/>
      </w:r>
      <w:r w:rsidR="00927933" w:rsidRPr="001611DC">
        <w:t>6.66</w:t>
      </w:r>
      <w:r w:rsidR="00B63ED3" w:rsidRPr="001611DC">
        <w:fldChar w:fldCharType="end"/>
      </w:r>
      <w:r w:rsidRPr="001611DC">
        <w:t xml:space="preserve"> to</w:t>
      </w:r>
      <w:r w:rsidR="00B63ED3" w:rsidRPr="001611DC">
        <w:t xml:space="preserve"> </w:t>
      </w:r>
      <w:r w:rsidR="00B63ED3" w:rsidRPr="001611DC">
        <w:fldChar w:fldCharType="begin" w:fldLock="1"/>
      </w:r>
      <w:r w:rsidR="00B63ED3" w:rsidRPr="001611DC">
        <w:instrText xml:space="preserve"> REF _Ref170152241 \r \h  \* MERGEFORMAT </w:instrText>
      </w:r>
      <w:r w:rsidR="00B63ED3" w:rsidRPr="001611DC">
        <w:fldChar w:fldCharType="separate"/>
      </w:r>
      <w:r w:rsidR="00927933" w:rsidRPr="001611DC">
        <w:t>6.69</w:t>
      </w:r>
      <w:r w:rsidR="00B63ED3" w:rsidRPr="001611DC">
        <w:fldChar w:fldCharType="end"/>
      </w:r>
      <w:r w:rsidRPr="001611DC">
        <w:t>).</w:t>
      </w:r>
    </w:p>
    <w:p w14:paraId="411555A6" w14:textId="4B5A0C16" w:rsidR="00D242A3" w:rsidRPr="001611DC" w:rsidRDefault="00D242A3" w:rsidP="00CD3945">
      <w:pPr>
        <w:pStyle w:val="ListParagraph"/>
        <w:numPr>
          <w:ilvl w:val="0"/>
          <w:numId w:val="20"/>
        </w:numPr>
        <w:ind w:left="1134" w:hanging="357"/>
      </w:pPr>
      <w:r w:rsidRPr="001611DC">
        <w:rPr>
          <w:bCs/>
        </w:rPr>
        <w:t xml:space="preserve">The ESC noted that vaccine cost-effectiveness had a strong age gradient, and presenting the results in age bands (e.g. 60-64 YOA, 65-69 YOA, etc) </w:t>
      </w:r>
      <w:r w:rsidR="00555D01" w:rsidRPr="001611DC">
        <w:rPr>
          <w:bCs/>
        </w:rPr>
        <w:t>would be required for decision making, i.e.</w:t>
      </w:r>
      <w:r w:rsidR="00555D01" w:rsidRPr="001611DC">
        <w:t xml:space="preserve"> it was appropriate to consider the incremental population (</w:t>
      </w:r>
      <w:r w:rsidRPr="001611DC">
        <w:rPr>
          <w:bCs/>
        </w:rPr>
        <w:t>see paragraph</w:t>
      </w:r>
      <w:r w:rsidR="00B63ED3" w:rsidRPr="001611DC">
        <w:rPr>
          <w:bCs/>
        </w:rPr>
        <w:t xml:space="preserve"> </w:t>
      </w:r>
      <w:r w:rsidR="00B63ED3" w:rsidRPr="001611DC">
        <w:rPr>
          <w:bCs/>
        </w:rPr>
        <w:fldChar w:fldCharType="begin" w:fldLock="1"/>
      </w:r>
      <w:r w:rsidR="00B63ED3" w:rsidRPr="001611DC">
        <w:rPr>
          <w:bCs/>
        </w:rPr>
        <w:instrText xml:space="preserve"> REF _Ref170152107 \r \h  \* MERGEFORMAT </w:instrText>
      </w:r>
      <w:r w:rsidR="00B63ED3" w:rsidRPr="001611DC">
        <w:rPr>
          <w:bCs/>
        </w:rPr>
      </w:r>
      <w:r w:rsidR="00B63ED3" w:rsidRPr="001611DC">
        <w:rPr>
          <w:bCs/>
        </w:rPr>
        <w:fldChar w:fldCharType="separate"/>
      </w:r>
      <w:r w:rsidR="00927933" w:rsidRPr="001611DC">
        <w:rPr>
          <w:bCs/>
        </w:rPr>
        <w:t>6.87</w:t>
      </w:r>
      <w:r w:rsidR="00B63ED3" w:rsidRPr="001611DC">
        <w:rPr>
          <w:bCs/>
        </w:rPr>
        <w:fldChar w:fldCharType="end"/>
      </w:r>
      <w:r w:rsidRPr="001611DC">
        <w:t>).</w:t>
      </w:r>
    </w:p>
    <w:p w14:paraId="266DE0F9" w14:textId="77777777" w:rsidR="002E6F4F" w:rsidRPr="001611DC" w:rsidRDefault="002E6F4F" w:rsidP="002E6F4F">
      <w:pPr>
        <w:pStyle w:val="4-SubsectionHeading"/>
      </w:pPr>
      <w:bookmarkStart w:id="161" w:name="_Toc22897646"/>
      <w:bookmarkStart w:id="162" w:name="_Toc107927632"/>
      <w:bookmarkStart w:id="163" w:name="_Toc167277517"/>
      <w:bookmarkEnd w:id="149"/>
      <w:r w:rsidRPr="001611DC">
        <w:t>RSVPreF3 OA vaccine cost/patient/course</w:t>
      </w:r>
      <w:bookmarkEnd w:id="161"/>
      <w:bookmarkEnd w:id="162"/>
      <w:bookmarkEnd w:id="163"/>
    </w:p>
    <w:p w14:paraId="605C82BA" w14:textId="0C6B2DA1" w:rsidR="002E6F4F" w:rsidRPr="001611DC" w:rsidRDefault="002E6F4F" w:rsidP="002E6F4F">
      <w:pPr>
        <w:pStyle w:val="3-BodyText"/>
      </w:pPr>
      <w:bookmarkStart w:id="164" w:name="_Ref104805102"/>
      <w:r w:rsidRPr="001611DC">
        <w:t>The proposed cost per dose of RSVPreF3 OA was $</w:t>
      </w:r>
      <w:r w:rsidR="00BD3549" w:rsidRPr="001F4410">
        <w:rPr>
          <w:color w:val="000000"/>
          <w:w w:val="59"/>
          <w:shd w:val="solid" w:color="000000" w:fill="000000"/>
          <w:fitText w:val="460" w:id="-893676798"/>
          <w14:textFill>
            <w14:solidFill>
              <w14:srgbClr w14:val="000000">
                <w14:alpha w14:val="100000"/>
              </w14:srgbClr>
            </w14:solidFill>
          </w14:textFill>
        </w:rPr>
        <w:t>|||  ||</w:t>
      </w:r>
      <w:r w:rsidR="00BD3549" w:rsidRPr="001F4410">
        <w:rPr>
          <w:color w:val="000000"/>
          <w:spacing w:val="5"/>
          <w:w w:val="59"/>
          <w:shd w:val="solid" w:color="000000" w:fill="000000"/>
          <w:fitText w:val="460" w:id="-893676798"/>
          <w14:textFill>
            <w14:solidFill>
              <w14:srgbClr w14:val="000000">
                <w14:alpha w14:val="100000"/>
              </w14:srgbClr>
            </w14:solidFill>
          </w14:textFill>
        </w:rPr>
        <w:t>|</w:t>
      </w:r>
      <w:r w:rsidRPr="001611DC">
        <w:t xml:space="preserve">. The intervention costs per </w:t>
      </w:r>
      <w:r w:rsidR="00F57280" w:rsidRPr="001611DC">
        <w:t xml:space="preserve">person </w:t>
      </w:r>
      <w:r w:rsidRPr="001611DC">
        <w:t xml:space="preserve">are presented in </w:t>
      </w:r>
      <w:r w:rsidRPr="001611DC">
        <w:fldChar w:fldCharType="begin" w:fldLock="1"/>
      </w:r>
      <w:r w:rsidRPr="001611DC">
        <w:instrText xml:space="preserve"> REF _Ref165407881 \h </w:instrText>
      </w:r>
      <w:r w:rsidRPr="001611DC">
        <w:fldChar w:fldCharType="separate"/>
      </w:r>
      <w:r w:rsidR="00927933" w:rsidRPr="001611DC">
        <w:t>Table 28</w:t>
      </w:r>
      <w:r w:rsidRPr="001611DC">
        <w:fldChar w:fldCharType="end"/>
      </w:r>
      <w:r w:rsidRPr="001611DC">
        <w:t>.</w:t>
      </w:r>
    </w:p>
    <w:p w14:paraId="58100458" w14:textId="39414839" w:rsidR="002E6F4F" w:rsidRPr="001611DC" w:rsidRDefault="002E6F4F" w:rsidP="002E6F4F">
      <w:pPr>
        <w:pStyle w:val="TableFigureHeading"/>
      </w:pPr>
      <w:bookmarkStart w:id="165" w:name="_Ref165407881"/>
      <w:bookmarkStart w:id="166" w:name="_Ref165407874"/>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28</w:t>
      </w:r>
      <w:r w:rsidR="005473CE" w:rsidRPr="001611DC">
        <w:fldChar w:fldCharType="end"/>
      </w:r>
      <w:bookmarkEnd w:id="164"/>
      <w:bookmarkEnd w:id="165"/>
      <w:r w:rsidRPr="001611DC">
        <w:t>:</w:t>
      </w:r>
      <w:r w:rsidRPr="001611DC">
        <w:rPr>
          <w:rStyle w:val="CommentReference"/>
          <w:b/>
          <w:szCs w:val="24"/>
        </w:rPr>
        <w:t xml:space="preserve"> </w:t>
      </w:r>
      <w:bookmarkEnd w:id="166"/>
      <w:r w:rsidRPr="001611DC">
        <w:t xml:space="preserve">RSVPreF3 OA costs per </w:t>
      </w:r>
      <w:r w:rsidR="00F57280" w:rsidRPr="001611DC">
        <w:t>person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8: RSVPreF3 OA costs per person"/>
      </w:tblPr>
      <w:tblGrid>
        <w:gridCol w:w="2546"/>
        <w:gridCol w:w="2157"/>
        <w:gridCol w:w="2157"/>
        <w:gridCol w:w="2157"/>
      </w:tblGrid>
      <w:tr w:rsidR="002E6F4F" w:rsidRPr="001611DC" w14:paraId="0DCCE41C" w14:textId="77777777" w:rsidTr="00ED36A0">
        <w:trPr>
          <w:cantSplit/>
          <w:tblHeader/>
          <w:jc w:val="center"/>
        </w:trPr>
        <w:tc>
          <w:tcPr>
            <w:tcW w:w="1412" w:type="pct"/>
            <w:shd w:val="clear" w:color="auto" w:fill="auto"/>
            <w:vAlign w:val="center"/>
          </w:tcPr>
          <w:p w14:paraId="79837796" w14:textId="77777777" w:rsidR="002E6F4F" w:rsidRPr="001611DC" w:rsidRDefault="002E6F4F" w:rsidP="00ED36A0">
            <w:pPr>
              <w:pStyle w:val="In-tableHeading"/>
              <w:rPr>
                <w:lang w:val="en-AU"/>
              </w:rPr>
            </w:pPr>
          </w:p>
        </w:tc>
        <w:tc>
          <w:tcPr>
            <w:tcW w:w="1196" w:type="pct"/>
            <w:shd w:val="clear" w:color="auto" w:fill="auto"/>
            <w:vAlign w:val="center"/>
          </w:tcPr>
          <w:p w14:paraId="438FAA9B" w14:textId="77777777" w:rsidR="002E6F4F" w:rsidRPr="001611DC" w:rsidRDefault="002E6F4F" w:rsidP="00ED36A0">
            <w:pPr>
              <w:pStyle w:val="In-tableHeading"/>
              <w:jc w:val="center"/>
              <w:rPr>
                <w:lang w:val="en-AU"/>
              </w:rPr>
            </w:pPr>
            <w:r w:rsidRPr="001611DC">
              <w:rPr>
                <w:lang w:val="en-AU"/>
              </w:rPr>
              <w:t>Trial dose and duration</w:t>
            </w:r>
          </w:p>
        </w:tc>
        <w:tc>
          <w:tcPr>
            <w:tcW w:w="1196" w:type="pct"/>
            <w:shd w:val="clear" w:color="auto" w:fill="auto"/>
            <w:vAlign w:val="center"/>
          </w:tcPr>
          <w:p w14:paraId="7990D28C" w14:textId="77777777" w:rsidR="002E6F4F" w:rsidRPr="001611DC" w:rsidRDefault="002E6F4F" w:rsidP="00ED36A0">
            <w:pPr>
              <w:pStyle w:val="In-tableHeading"/>
              <w:jc w:val="center"/>
              <w:rPr>
                <w:lang w:val="en-AU"/>
              </w:rPr>
            </w:pPr>
            <w:r w:rsidRPr="001611DC">
              <w:rPr>
                <w:lang w:val="en-AU"/>
              </w:rPr>
              <w:t>Model</w:t>
            </w:r>
          </w:p>
        </w:tc>
        <w:tc>
          <w:tcPr>
            <w:tcW w:w="1196" w:type="pct"/>
            <w:shd w:val="clear" w:color="auto" w:fill="auto"/>
            <w:vAlign w:val="center"/>
          </w:tcPr>
          <w:p w14:paraId="43EA47AF" w14:textId="77777777" w:rsidR="002E6F4F" w:rsidRPr="001611DC" w:rsidRDefault="002E6F4F" w:rsidP="00ED36A0">
            <w:pPr>
              <w:pStyle w:val="In-tableHeading"/>
              <w:jc w:val="center"/>
              <w:rPr>
                <w:lang w:val="en-AU"/>
              </w:rPr>
            </w:pPr>
            <w:r w:rsidRPr="001611DC">
              <w:rPr>
                <w:lang w:val="en-AU"/>
              </w:rPr>
              <w:t>Financial estimates</w:t>
            </w:r>
          </w:p>
        </w:tc>
      </w:tr>
      <w:tr w:rsidR="002E6F4F" w:rsidRPr="001611DC" w14:paraId="2BC3921A" w14:textId="77777777" w:rsidTr="00BD3549">
        <w:trPr>
          <w:cantSplit/>
          <w:jc w:val="center"/>
        </w:trPr>
        <w:tc>
          <w:tcPr>
            <w:tcW w:w="1412" w:type="pct"/>
            <w:shd w:val="clear" w:color="auto" w:fill="auto"/>
            <w:vAlign w:val="center"/>
          </w:tcPr>
          <w:p w14:paraId="0857D05B" w14:textId="77777777" w:rsidR="002E6F4F" w:rsidRPr="001611DC" w:rsidRDefault="002E6F4F" w:rsidP="00ED36A0">
            <w:pPr>
              <w:pStyle w:val="TableText0"/>
            </w:pPr>
            <w:r w:rsidRPr="001611DC">
              <w:t>Mean dose</w:t>
            </w:r>
          </w:p>
        </w:tc>
        <w:tc>
          <w:tcPr>
            <w:tcW w:w="1196" w:type="pct"/>
            <w:tcBorders>
              <w:bottom w:val="single" w:sz="4" w:space="0" w:color="auto"/>
            </w:tcBorders>
            <w:shd w:val="clear" w:color="auto" w:fill="auto"/>
            <w:vAlign w:val="center"/>
          </w:tcPr>
          <w:p w14:paraId="2BE0DFCB" w14:textId="77777777" w:rsidR="002E6F4F" w:rsidRPr="001611DC" w:rsidRDefault="002E6F4F" w:rsidP="00ED36A0">
            <w:pPr>
              <w:pStyle w:val="TableText0"/>
              <w:jc w:val="center"/>
            </w:pPr>
            <w:r w:rsidRPr="001611DC">
              <w:t>1 dose</w:t>
            </w:r>
          </w:p>
        </w:tc>
        <w:tc>
          <w:tcPr>
            <w:tcW w:w="1196" w:type="pct"/>
            <w:tcBorders>
              <w:bottom w:val="single" w:sz="4" w:space="0" w:color="auto"/>
            </w:tcBorders>
            <w:shd w:val="clear" w:color="auto" w:fill="auto"/>
            <w:vAlign w:val="center"/>
          </w:tcPr>
          <w:p w14:paraId="6CF63314" w14:textId="77777777" w:rsidR="002E6F4F" w:rsidRPr="001611DC" w:rsidRDefault="002E6F4F" w:rsidP="00ED36A0">
            <w:pPr>
              <w:pStyle w:val="TableText0"/>
              <w:jc w:val="center"/>
            </w:pPr>
            <w:r w:rsidRPr="001611DC">
              <w:t>1 dose</w:t>
            </w:r>
          </w:p>
        </w:tc>
        <w:tc>
          <w:tcPr>
            <w:tcW w:w="1196" w:type="pct"/>
            <w:tcBorders>
              <w:bottom w:val="single" w:sz="4" w:space="0" w:color="auto"/>
            </w:tcBorders>
            <w:shd w:val="clear" w:color="auto" w:fill="auto"/>
            <w:vAlign w:val="center"/>
          </w:tcPr>
          <w:p w14:paraId="3C127948" w14:textId="77777777" w:rsidR="002E6F4F" w:rsidRPr="001611DC" w:rsidRDefault="002E6F4F" w:rsidP="00ED36A0">
            <w:pPr>
              <w:pStyle w:val="TableText0"/>
              <w:jc w:val="center"/>
            </w:pPr>
            <w:r w:rsidRPr="001611DC">
              <w:t>1 dose</w:t>
            </w:r>
          </w:p>
        </w:tc>
      </w:tr>
      <w:tr w:rsidR="002E6F4F" w:rsidRPr="001611DC" w14:paraId="5F469DED" w14:textId="77777777" w:rsidTr="00BD3549">
        <w:trPr>
          <w:cantSplit/>
          <w:jc w:val="center"/>
        </w:trPr>
        <w:tc>
          <w:tcPr>
            <w:tcW w:w="1412" w:type="pct"/>
            <w:shd w:val="clear" w:color="auto" w:fill="auto"/>
            <w:vAlign w:val="center"/>
          </w:tcPr>
          <w:p w14:paraId="08C8CC36" w14:textId="77777777" w:rsidR="002E6F4F" w:rsidRPr="001611DC" w:rsidRDefault="002E6F4F" w:rsidP="00ED36A0">
            <w:pPr>
              <w:pStyle w:val="TableText0"/>
            </w:pPr>
            <w:r w:rsidRPr="001611DC">
              <w:t>RSVPreF3 OA price per vaccine</w:t>
            </w:r>
          </w:p>
        </w:tc>
        <w:tc>
          <w:tcPr>
            <w:tcW w:w="3588" w:type="pct"/>
            <w:gridSpan w:val="3"/>
            <w:shd w:val="solid" w:color="000000" w:fill="000000"/>
            <w:vAlign w:val="center"/>
          </w:tcPr>
          <w:p w14:paraId="1A4EE226" w14:textId="54F00D62" w:rsidR="002E6F4F" w:rsidRPr="001611DC" w:rsidRDefault="00BD3549" w:rsidP="00ED36A0">
            <w:pPr>
              <w:pStyle w:val="TableText0"/>
              <w:jc w:val="center"/>
            </w:pPr>
            <w:r w:rsidRPr="00BD3549">
              <w:rPr>
                <w:color w:val="000000"/>
                <w14:textFill>
                  <w14:solidFill>
                    <w14:srgbClr w14:val="000000">
                      <w14:alpha w14:val="100000"/>
                    </w14:srgbClr>
                  </w14:solidFill>
                </w14:textFill>
              </w:rPr>
              <w:t>|</w:t>
            </w:r>
          </w:p>
        </w:tc>
      </w:tr>
      <w:tr w:rsidR="002E6F4F" w:rsidRPr="001611DC" w14:paraId="4D698F65" w14:textId="77777777" w:rsidTr="00BD3549">
        <w:trPr>
          <w:cantSplit/>
          <w:jc w:val="center"/>
        </w:trPr>
        <w:tc>
          <w:tcPr>
            <w:tcW w:w="1412" w:type="pct"/>
            <w:shd w:val="clear" w:color="auto" w:fill="auto"/>
            <w:vAlign w:val="center"/>
          </w:tcPr>
          <w:p w14:paraId="332569EF" w14:textId="77777777" w:rsidR="002E6F4F" w:rsidRPr="001611DC" w:rsidRDefault="002E6F4F" w:rsidP="00ED36A0">
            <w:pPr>
              <w:pStyle w:val="TableText0"/>
            </w:pPr>
            <w:r w:rsidRPr="001611DC">
              <w:t>Mean duration</w:t>
            </w:r>
          </w:p>
        </w:tc>
        <w:tc>
          <w:tcPr>
            <w:tcW w:w="1196" w:type="pct"/>
            <w:tcBorders>
              <w:bottom w:val="single" w:sz="4" w:space="0" w:color="auto"/>
            </w:tcBorders>
            <w:shd w:val="clear" w:color="auto" w:fill="auto"/>
            <w:vAlign w:val="center"/>
          </w:tcPr>
          <w:p w14:paraId="3D5DD1B0" w14:textId="77777777" w:rsidR="002E6F4F" w:rsidRPr="001611DC" w:rsidRDefault="002E6F4F" w:rsidP="00ED36A0">
            <w:pPr>
              <w:pStyle w:val="TableText0"/>
              <w:jc w:val="center"/>
              <w:rPr>
                <w:vertAlign w:val="superscript"/>
              </w:rPr>
            </w:pPr>
            <w:r w:rsidRPr="001611DC">
              <w:t xml:space="preserve">One-off </w:t>
            </w:r>
            <w:r w:rsidRPr="001611DC">
              <w:rPr>
                <w:vertAlign w:val="superscript"/>
              </w:rPr>
              <w:t>a</w:t>
            </w:r>
          </w:p>
        </w:tc>
        <w:tc>
          <w:tcPr>
            <w:tcW w:w="1196" w:type="pct"/>
            <w:tcBorders>
              <w:bottom w:val="single" w:sz="4" w:space="0" w:color="auto"/>
            </w:tcBorders>
            <w:shd w:val="clear" w:color="auto" w:fill="auto"/>
            <w:vAlign w:val="center"/>
          </w:tcPr>
          <w:p w14:paraId="53421AF0" w14:textId="77777777" w:rsidR="002E6F4F" w:rsidRPr="001611DC" w:rsidRDefault="002E6F4F" w:rsidP="00ED36A0">
            <w:pPr>
              <w:pStyle w:val="TableText0"/>
              <w:jc w:val="center"/>
            </w:pPr>
            <w:r w:rsidRPr="001611DC">
              <w:t>One-off</w:t>
            </w:r>
          </w:p>
        </w:tc>
        <w:tc>
          <w:tcPr>
            <w:tcW w:w="1196" w:type="pct"/>
            <w:tcBorders>
              <w:bottom w:val="single" w:sz="4" w:space="0" w:color="auto"/>
            </w:tcBorders>
            <w:shd w:val="clear" w:color="auto" w:fill="auto"/>
            <w:vAlign w:val="center"/>
          </w:tcPr>
          <w:p w14:paraId="2A104666" w14:textId="77777777" w:rsidR="002E6F4F" w:rsidRPr="001611DC" w:rsidRDefault="002E6F4F" w:rsidP="00ED36A0">
            <w:pPr>
              <w:pStyle w:val="TableText0"/>
              <w:jc w:val="center"/>
            </w:pPr>
            <w:r w:rsidRPr="001611DC">
              <w:t>One-off</w:t>
            </w:r>
          </w:p>
        </w:tc>
      </w:tr>
      <w:tr w:rsidR="002E6F4F" w:rsidRPr="001611DC" w14:paraId="07280AE2" w14:textId="77777777" w:rsidTr="00BD3549">
        <w:trPr>
          <w:cantSplit/>
          <w:jc w:val="center"/>
        </w:trPr>
        <w:tc>
          <w:tcPr>
            <w:tcW w:w="1412" w:type="pct"/>
            <w:shd w:val="clear" w:color="auto" w:fill="auto"/>
            <w:vAlign w:val="center"/>
          </w:tcPr>
          <w:p w14:paraId="65AEF573" w14:textId="671F089A" w:rsidR="002E6F4F" w:rsidRPr="001611DC" w:rsidRDefault="002E6F4F" w:rsidP="00ED36A0">
            <w:pPr>
              <w:pStyle w:val="TableText0"/>
            </w:pPr>
            <w:r w:rsidRPr="001611DC">
              <w:t>Cost/</w:t>
            </w:r>
            <w:r w:rsidR="00F57280" w:rsidRPr="001611DC">
              <w:t>person</w:t>
            </w:r>
            <w:r w:rsidRPr="001611DC">
              <w:t>/course</w:t>
            </w:r>
            <w:r w:rsidR="0082144A">
              <w:t xml:space="preserve"> ($)</w:t>
            </w:r>
          </w:p>
        </w:tc>
        <w:tc>
          <w:tcPr>
            <w:tcW w:w="1196" w:type="pct"/>
            <w:shd w:val="solid" w:color="000000" w:fill="000000"/>
            <w:vAlign w:val="center"/>
          </w:tcPr>
          <w:p w14:paraId="040B1BDE" w14:textId="2880036B" w:rsidR="002E6F4F" w:rsidRPr="0082144A"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1196" w:type="pct"/>
            <w:shd w:val="solid" w:color="000000" w:fill="000000"/>
            <w:vAlign w:val="center"/>
          </w:tcPr>
          <w:p w14:paraId="3938B405" w14:textId="1178CBAB" w:rsidR="002E6F4F" w:rsidRPr="0082144A" w:rsidRDefault="00BD3549" w:rsidP="00ED36A0">
            <w:pPr>
              <w:pStyle w:val="TableText0"/>
              <w:jc w:val="center"/>
              <w:rPr>
                <w:highlight w:val="lightGray"/>
              </w:rPr>
            </w:pPr>
            <w:r w:rsidRPr="00BD3549">
              <w:rPr>
                <w:color w:val="000000"/>
                <w14:textFill>
                  <w14:solidFill>
                    <w14:srgbClr w14:val="000000">
                      <w14:alpha w14:val="100000"/>
                    </w14:srgbClr>
                  </w14:solidFill>
                </w14:textFill>
              </w:rPr>
              <w:t>|</w:t>
            </w:r>
          </w:p>
        </w:tc>
        <w:tc>
          <w:tcPr>
            <w:tcW w:w="1196" w:type="pct"/>
            <w:shd w:val="solid" w:color="000000" w:fill="000000"/>
            <w:vAlign w:val="center"/>
          </w:tcPr>
          <w:p w14:paraId="4F5EE946" w14:textId="152BF525" w:rsidR="002E6F4F" w:rsidRPr="0082144A" w:rsidRDefault="00BD3549" w:rsidP="00ED36A0">
            <w:pPr>
              <w:pStyle w:val="TableText0"/>
              <w:jc w:val="center"/>
              <w:rPr>
                <w:i/>
                <w:highlight w:val="lightGray"/>
              </w:rPr>
            </w:pPr>
            <w:r w:rsidRPr="00BD3549">
              <w:rPr>
                <w:color w:val="000000"/>
                <w14:textFill>
                  <w14:solidFill>
                    <w14:srgbClr w14:val="000000">
                      <w14:alpha w14:val="100000"/>
                    </w14:srgbClr>
                  </w14:solidFill>
                </w14:textFill>
              </w:rPr>
              <w:t>|</w:t>
            </w:r>
          </w:p>
        </w:tc>
      </w:tr>
    </w:tbl>
    <w:p w14:paraId="26363B86" w14:textId="6D154280" w:rsidR="002E6F4F" w:rsidRPr="001611DC" w:rsidRDefault="002E6F4F" w:rsidP="002E6F4F">
      <w:pPr>
        <w:pStyle w:val="FooterTableFigure"/>
        <w:keepNext/>
      </w:pPr>
      <w:r w:rsidRPr="001611DC">
        <w:t>Source: the submission.</w:t>
      </w:r>
    </w:p>
    <w:p w14:paraId="099638BC" w14:textId="77777777" w:rsidR="002E6F4F" w:rsidRPr="001611DC" w:rsidRDefault="002E6F4F" w:rsidP="002E6F4F">
      <w:pPr>
        <w:pStyle w:val="FooterTableFigure"/>
        <w:keepNext/>
      </w:pPr>
      <w:r w:rsidRPr="001611DC">
        <w:t xml:space="preserve">RSVPreF3 OA= RSV Pre-fusion protein 3 older adult. </w:t>
      </w:r>
    </w:p>
    <w:p w14:paraId="630B287C" w14:textId="1C8775A3" w:rsidR="002E6F4F" w:rsidRPr="001611DC" w:rsidRDefault="002E6F4F" w:rsidP="002E6F4F">
      <w:pPr>
        <w:pStyle w:val="FooterTableFigure"/>
        <w:keepNext/>
      </w:pPr>
      <w:r w:rsidRPr="001611DC">
        <w:rPr>
          <w:vertAlign w:val="superscript"/>
        </w:rPr>
        <w:t>a</w:t>
      </w:r>
      <w:r w:rsidRPr="001611DC">
        <w:t xml:space="preserve"> AReSVi-006 re-randomised </w:t>
      </w:r>
      <w:r w:rsidR="00F57280" w:rsidRPr="001611DC">
        <w:t>participants</w:t>
      </w:r>
      <w:r w:rsidRPr="001611DC">
        <w:t xml:space="preserve"> at Year 2 for a second dose, and a third dose was also planned. However, given no difference was observed between the 1 dose and 2 doses groups, the trial protocol was amended to not administer dose 3.</w:t>
      </w:r>
    </w:p>
    <w:p w14:paraId="3E1D12FC" w14:textId="77777777" w:rsidR="002E6F4F" w:rsidRPr="001611DC" w:rsidRDefault="002E6F4F" w:rsidP="002E6F4F">
      <w:pPr>
        <w:pStyle w:val="4-SubsectionHeading"/>
      </w:pPr>
      <w:bookmarkStart w:id="167" w:name="_Toc22897647"/>
      <w:bookmarkStart w:id="168" w:name="_Toc107927633"/>
      <w:bookmarkStart w:id="169" w:name="_Toc167277518"/>
      <w:r w:rsidRPr="001611DC">
        <w:t>Estimated PBS usage &amp; financial implications</w:t>
      </w:r>
      <w:bookmarkEnd w:id="167"/>
      <w:bookmarkEnd w:id="168"/>
      <w:bookmarkEnd w:id="169"/>
    </w:p>
    <w:p w14:paraId="549DEB09" w14:textId="24F0CB78" w:rsidR="00D454D9" w:rsidRPr="001611DC" w:rsidRDefault="00D454D9" w:rsidP="00D454D9">
      <w:pPr>
        <w:pStyle w:val="3-BodyText"/>
      </w:pPr>
      <w:bookmarkStart w:id="170" w:name="_Hlk167888213"/>
      <w:r w:rsidRPr="001611DC">
        <w:t xml:space="preserve">This submission </w:t>
      </w:r>
      <w:r w:rsidR="0050118E" w:rsidRPr="001611DC">
        <w:t>was</w:t>
      </w:r>
      <w:r w:rsidRPr="001611DC">
        <w:t xml:space="preserve"> considered by the DUSC.</w:t>
      </w:r>
    </w:p>
    <w:p w14:paraId="38721732" w14:textId="5996F3B4" w:rsidR="00C20DDD" w:rsidRPr="001611DC" w:rsidRDefault="00C20DDD" w:rsidP="00C20DDD">
      <w:pPr>
        <w:pStyle w:val="3-BodyText"/>
        <w:rPr>
          <w:color w:val="000000" w:themeColor="text1"/>
        </w:rPr>
      </w:pPr>
      <w:r w:rsidRPr="001611DC">
        <w:rPr>
          <w:color w:val="000000" w:themeColor="text1"/>
        </w:rPr>
        <w:t xml:space="preserve">The submission presented the financial impact of introducing RSVPreF3 OA to the NIP for adults </w:t>
      </w:r>
      <w:r w:rsidR="00E2719A" w:rsidRPr="001611DC">
        <w:rPr>
          <w:color w:val="000000" w:themeColor="text1"/>
        </w:rPr>
        <w:t>≥</w:t>
      </w:r>
      <w:r w:rsidRPr="001611DC">
        <w:rPr>
          <w:color w:val="000000" w:themeColor="text1"/>
        </w:rPr>
        <w:t xml:space="preserve">60 YOA and </w:t>
      </w:r>
      <w:r w:rsidR="00E2719A" w:rsidRPr="001611DC">
        <w:rPr>
          <w:color w:val="000000" w:themeColor="text1"/>
        </w:rPr>
        <w:t>≥</w:t>
      </w:r>
      <w:r w:rsidRPr="001611DC">
        <w:rPr>
          <w:color w:val="000000" w:themeColor="text1"/>
        </w:rPr>
        <w:t xml:space="preserve">75 YOA. </w:t>
      </w:r>
      <w:bookmarkStart w:id="171" w:name="_Hlk166747707"/>
      <w:r w:rsidRPr="001611DC">
        <w:rPr>
          <w:bCs/>
        </w:rPr>
        <w:t xml:space="preserve">The submission presented </w:t>
      </w:r>
      <w:r w:rsidRPr="001611DC">
        <w:t>two additional subgroups, noting that the ATAGI pre</w:t>
      </w:r>
      <w:r w:rsidRPr="001611DC">
        <w:noBreakHyphen/>
        <w:t xml:space="preserve">submission Advice considered these populations as a priority for the NIP, in addition to the base case program proposed by ATAGI </w:t>
      </w:r>
      <w:r w:rsidRPr="001611DC">
        <w:lastRenderedPageBreak/>
        <w:t>(</w:t>
      </w:r>
      <w:r w:rsidR="00E2719A" w:rsidRPr="001611DC">
        <w:rPr>
          <w:bCs/>
        </w:rPr>
        <w:t>≥</w:t>
      </w:r>
      <w:r w:rsidRPr="001611DC">
        <w:rPr>
          <w:bCs/>
        </w:rPr>
        <w:t>75</w:t>
      </w:r>
      <w:r w:rsidR="00397677">
        <w:rPr>
          <w:bCs/>
        </w:rPr>
        <w:t> </w:t>
      </w:r>
      <w:r w:rsidRPr="001611DC">
        <w:rPr>
          <w:bCs/>
        </w:rPr>
        <w:t>YOA)</w:t>
      </w:r>
      <w:r w:rsidRPr="001611DC">
        <w:t>. The two subgroups were: First Nations people aged 60-74 YOA; and individuals considered at increased risk for severe RSV disease aged 60-74 YOA</w:t>
      </w:r>
      <w:r w:rsidRPr="001611DC">
        <w:rPr>
          <w:rStyle w:val="FootnoteReference"/>
        </w:rPr>
        <w:footnoteReference w:id="17"/>
      </w:r>
      <w:r w:rsidRPr="001611DC">
        <w:rPr>
          <w:bCs/>
        </w:rPr>
        <w:t xml:space="preserve">. </w:t>
      </w:r>
      <w:bookmarkEnd w:id="171"/>
    </w:p>
    <w:p w14:paraId="0BF0A718" w14:textId="615B3D64" w:rsidR="00C20DDD" w:rsidRPr="001611DC" w:rsidRDefault="00C20DDD" w:rsidP="00C20DDD">
      <w:pPr>
        <w:pStyle w:val="3-BodyText"/>
      </w:pPr>
      <w:r w:rsidRPr="001611DC">
        <w:t xml:space="preserve">The submission did not include revaccination in the base case as this was not proposed in the requested NIP listing. This was reasonable </w:t>
      </w:r>
      <w:bookmarkStart w:id="172" w:name="_Hlk166747821"/>
      <w:r w:rsidRPr="001611DC">
        <w:t xml:space="preserve">insofar as it reflected the TGA approved </w:t>
      </w:r>
      <w:r w:rsidR="00543AD2" w:rsidRPr="001611DC">
        <w:t>P</w:t>
      </w:r>
      <w:r w:rsidRPr="001611DC">
        <w:t xml:space="preserve">roduct </w:t>
      </w:r>
      <w:r w:rsidR="00543AD2" w:rsidRPr="001611DC">
        <w:t>I</w:t>
      </w:r>
      <w:r w:rsidRPr="001611DC">
        <w:t>nformation, however there is the possibility of a future request for NIP listing of a subsequent dose of RSVPreF3 OA as revaccination</w:t>
      </w:r>
      <w:bookmarkEnd w:id="172"/>
      <w:r w:rsidRPr="001611DC">
        <w:t xml:space="preserve">, as discussed in paragraph </w:t>
      </w:r>
      <w:r w:rsidRPr="001611DC">
        <w:fldChar w:fldCharType="begin" w:fldLock="1"/>
      </w:r>
      <w:r w:rsidRPr="001611DC">
        <w:instrText xml:space="preserve"> REF _Ref166620204 \r \h  \* MERGEFORMAT </w:instrText>
      </w:r>
      <w:r w:rsidRPr="001611DC">
        <w:fldChar w:fldCharType="separate"/>
      </w:r>
      <w:r w:rsidR="00927933" w:rsidRPr="001611DC">
        <w:t>3.11</w:t>
      </w:r>
      <w:r w:rsidRPr="001611DC">
        <w:fldChar w:fldCharType="end"/>
      </w:r>
      <w:r w:rsidRPr="001611DC">
        <w:t>.</w:t>
      </w:r>
    </w:p>
    <w:p w14:paraId="2A46F399" w14:textId="77777777" w:rsidR="00C20DDD" w:rsidRPr="001611DC" w:rsidRDefault="00C20DDD" w:rsidP="00C20DDD">
      <w:pPr>
        <w:pStyle w:val="3-BodyText"/>
      </w:pPr>
      <w:r w:rsidRPr="001611DC">
        <w:t>The submission used an epidemiological approach. This was reasonable given the comparator was no vaccine.</w:t>
      </w:r>
    </w:p>
    <w:p w14:paraId="7EFC110A" w14:textId="36F589C8" w:rsidR="00C20DDD" w:rsidRPr="001611DC" w:rsidRDefault="00C20DDD" w:rsidP="00C20DDD">
      <w:pPr>
        <w:pStyle w:val="3-BodyText"/>
      </w:pPr>
      <w:r w:rsidRPr="001611DC">
        <w:t xml:space="preserve">The submission based the budget impact model on the economic model, which captured VE, RSV-ARI, RSV-LRTD, RSV-URTD, and vaccine-related AEs, as well as resource utilisation. </w:t>
      </w:r>
      <w:bookmarkStart w:id="173" w:name="_Hlk166748216"/>
      <w:r w:rsidRPr="001611DC">
        <w:t>It was reasonable to base the budget impact model structure on the economic model. However, parameters related to RSV-LRTD costs had the same caveats as in the economic model</w:t>
      </w:r>
      <w:r w:rsidR="00704EBD">
        <w:t>, p</w:t>
      </w:r>
      <w:bookmarkEnd w:id="173"/>
      <w:r w:rsidRPr="001611DC">
        <w:t xml:space="preserve">articularly hospitalisations costs, which were discussed in paragraphs </w:t>
      </w:r>
      <w:r w:rsidRPr="001611DC">
        <w:fldChar w:fldCharType="begin" w:fldLock="1"/>
      </w:r>
      <w:r w:rsidRPr="001611DC">
        <w:instrText xml:space="preserve"> REF _Ref166748144 \r \h  \* MERGEFORMAT </w:instrText>
      </w:r>
      <w:r w:rsidRPr="001611DC">
        <w:fldChar w:fldCharType="separate"/>
      </w:r>
      <w:r w:rsidR="00927933" w:rsidRPr="001611DC">
        <w:t>6.66</w:t>
      </w:r>
      <w:r w:rsidRPr="001611DC">
        <w:fldChar w:fldCharType="end"/>
      </w:r>
      <w:r w:rsidRPr="001611DC">
        <w:t xml:space="preserve">, </w:t>
      </w:r>
      <w:r w:rsidRPr="001611DC">
        <w:fldChar w:fldCharType="begin" w:fldLock="1"/>
      </w:r>
      <w:r w:rsidRPr="001611DC">
        <w:instrText xml:space="preserve"> REF _Ref165816717 \r \h  \* MERGEFORMAT </w:instrText>
      </w:r>
      <w:r w:rsidRPr="001611DC">
        <w:fldChar w:fldCharType="separate"/>
      </w:r>
      <w:r w:rsidR="00927933" w:rsidRPr="001611DC">
        <w:t>6.67</w:t>
      </w:r>
      <w:r w:rsidRPr="001611DC">
        <w:fldChar w:fldCharType="end"/>
      </w:r>
      <w:r w:rsidRPr="001611DC">
        <w:t xml:space="preserve">, and </w:t>
      </w:r>
      <w:r w:rsidRPr="001611DC">
        <w:fldChar w:fldCharType="begin" w:fldLock="1"/>
      </w:r>
      <w:r w:rsidRPr="001611DC">
        <w:instrText xml:space="preserve"> REF _Ref166748159 \r \h  \* MERGEFORMAT </w:instrText>
      </w:r>
      <w:r w:rsidRPr="001611DC">
        <w:fldChar w:fldCharType="separate"/>
      </w:r>
      <w:r w:rsidR="00927933" w:rsidRPr="001611DC">
        <w:t>6.68</w:t>
      </w:r>
      <w:r w:rsidRPr="001611DC">
        <w:fldChar w:fldCharType="end"/>
      </w:r>
      <w:r w:rsidRPr="001611DC">
        <w:t>. Some of these savings may not be realised and it is notable that most of the estimated cost offsets are not PBS/MBS costs.</w:t>
      </w:r>
    </w:p>
    <w:p w14:paraId="2726B262" w14:textId="1700ACC5" w:rsidR="00C20DDD" w:rsidRPr="001611DC" w:rsidRDefault="00C20DDD" w:rsidP="00C20DDD">
      <w:pPr>
        <w:pStyle w:val="3-BodyText"/>
        <w:rPr>
          <w:color w:val="0066FF"/>
        </w:rPr>
      </w:pPr>
      <w:r w:rsidRPr="001611DC">
        <w:t xml:space="preserve">Key inputs used by the submission are presented in </w:t>
      </w:r>
      <w:r w:rsidRPr="001611DC">
        <w:fldChar w:fldCharType="begin" w:fldLock="1"/>
      </w:r>
      <w:r w:rsidRPr="001611DC">
        <w:instrText xml:space="preserve"> REF _Ref104805262 \h </w:instrText>
      </w:r>
      <w:r w:rsidRPr="001611DC">
        <w:fldChar w:fldCharType="separate"/>
      </w:r>
      <w:r w:rsidR="00927933" w:rsidRPr="001611DC">
        <w:t>Table 29</w:t>
      </w:r>
      <w:r w:rsidRPr="001611DC">
        <w:fldChar w:fldCharType="end"/>
      </w:r>
      <w:r w:rsidRPr="001611DC">
        <w:t>.</w:t>
      </w:r>
    </w:p>
    <w:p w14:paraId="129615EC" w14:textId="2583FAAB" w:rsidR="00C20DDD" w:rsidRPr="001611DC" w:rsidRDefault="00C20DDD" w:rsidP="00C20DDD">
      <w:pPr>
        <w:pStyle w:val="Caption"/>
        <w:rPr>
          <w:rStyle w:val="CommentReference"/>
          <w:b/>
          <w:szCs w:val="24"/>
        </w:rPr>
      </w:pPr>
      <w:bookmarkStart w:id="174" w:name="_Ref104805262"/>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29</w:t>
      </w:r>
      <w:r w:rsidR="005473CE" w:rsidRPr="001611DC">
        <w:fldChar w:fldCharType="end"/>
      </w:r>
      <w:bookmarkEnd w:id="174"/>
      <w:r w:rsidRPr="001611DC">
        <w:t>:</w:t>
      </w:r>
      <w:r w:rsidRPr="001611DC">
        <w:rPr>
          <w:rStyle w:val="CommentReference"/>
          <w:b/>
          <w:szCs w:val="24"/>
        </w:rPr>
        <w:t xml:space="preserve"> </w:t>
      </w:r>
      <w:r w:rsidR="00683B0C" w:rsidRPr="001611DC">
        <w:rPr>
          <w:rFonts w:eastAsiaTheme="majorEastAsia" w:cstheme="majorBidi"/>
        </w:rPr>
        <w:t>Data sources and parameter values applied in the utilisation and financial estimates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9: Data sources and parameter values applied in the utilisation and financial estimates"/>
      </w:tblPr>
      <w:tblGrid>
        <w:gridCol w:w="1000"/>
        <w:gridCol w:w="1689"/>
        <w:gridCol w:w="2268"/>
        <w:gridCol w:w="1984"/>
        <w:gridCol w:w="1701"/>
      </w:tblGrid>
      <w:tr w:rsidR="0095174E" w:rsidRPr="001611DC" w14:paraId="2706B2FA" w14:textId="77777777">
        <w:trPr>
          <w:cantSplit/>
          <w:tblHeader/>
        </w:trPr>
        <w:tc>
          <w:tcPr>
            <w:tcW w:w="1000" w:type="dxa"/>
            <w:vAlign w:val="center"/>
          </w:tcPr>
          <w:p w14:paraId="5A92D915" w14:textId="77777777" w:rsidR="00683B0C" w:rsidRPr="001611DC" w:rsidRDefault="00683B0C" w:rsidP="00053B12">
            <w:pPr>
              <w:pStyle w:val="Tabletext"/>
              <w:rPr>
                <w:rFonts w:eastAsiaTheme="majorEastAsia"/>
                <w:b/>
                <w:bCs/>
                <w:snapToGrid/>
              </w:rPr>
            </w:pPr>
            <w:r w:rsidRPr="001611DC">
              <w:rPr>
                <w:rFonts w:eastAsiaTheme="majorEastAsia"/>
                <w:b/>
                <w:bCs/>
                <w:snapToGrid/>
              </w:rPr>
              <w:t>Data</w:t>
            </w:r>
          </w:p>
        </w:tc>
        <w:tc>
          <w:tcPr>
            <w:tcW w:w="1689" w:type="dxa"/>
            <w:vAlign w:val="center"/>
          </w:tcPr>
          <w:p w14:paraId="4E9EE135" w14:textId="77777777" w:rsidR="00683B0C" w:rsidRPr="001611DC" w:rsidRDefault="00683B0C" w:rsidP="00053B12">
            <w:pPr>
              <w:pStyle w:val="Tabletext"/>
              <w:rPr>
                <w:rFonts w:eastAsiaTheme="majorEastAsia"/>
                <w:b/>
                <w:bCs/>
                <w:snapToGrid/>
              </w:rPr>
            </w:pPr>
            <w:r w:rsidRPr="001611DC">
              <w:rPr>
                <w:rFonts w:eastAsiaTheme="majorEastAsia"/>
                <w:b/>
                <w:bCs/>
                <w:snapToGrid/>
              </w:rPr>
              <w:t>Value</w:t>
            </w:r>
          </w:p>
        </w:tc>
        <w:tc>
          <w:tcPr>
            <w:tcW w:w="2268" w:type="dxa"/>
            <w:vAlign w:val="center"/>
          </w:tcPr>
          <w:p w14:paraId="40327B48" w14:textId="77777777" w:rsidR="00683B0C" w:rsidRPr="001611DC" w:rsidRDefault="00683B0C" w:rsidP="00053B12">
            <w:pPr>
              <w:pStyle w:val="Tabletext"/>
              <w:rPr>
                <w:rFonts w:eastAsiaTheme="majorEastAsia"/>
                <w:b/>
                <w:bCs/>
                <w:snapToGrid/>
              </w:rPr>
            </w:pPr>
            <w:r w:rsidRPr="001611DC">
              <w:rPr>
                <w:rFonts w:eastAsiaTheme="majorEastAsia"/>
                <w:b/>
                <w:bCs/>
                <w:snapToGrid/>
              </w:rPr>
              <w:t>Source</w:t>
            </w:r>
          </w:p>
        </w:tc>
        <w:tc>
          <w:tcPr>
            <w:tcW w:w="1984" w:type="dxa"/>
            <w:vAlign w:val="center"/>
          </w:tcPr>
          <w:p w14:paraId="6BB04881" w14:textId="77777777" w:rsidR="00683B0C" w:rsidRPr="001611DC" w:rsidRDefault="00683B0C" w:rsidP="00053B12">
            <w:pPr>
              <w:pStyle w:val="Tabletext"/>
              <w:rPr>
                <w:rFonts w:eastAsiaTheme="majorEastAsia"/>
                <w:b/>
                <w:bCs/>
                <w:snapToGrid/>
              </w:rPr>
            </w:pPr>
            <w:r w:rsidRPr="001611DC">
              <w:rPr>
                <w:rFonts w:eastAsiaTheme="majorEastAsia"/>
                <w:b/>
                <w:bCs/>
                <w:snapToGrid/>
              </w:rPr>
              <w:t xml:space="preserve">Commentary on the submission </w:t>
            </w:r>
          </w:p>
        </w:tc>
        <w:tc>
          <w:tcPr>
            <w:tcW w:w="1701" w:type="dxa"/>
          </w:tcPr>
          <w:p w14:paraId="64DA646A" w14:textId="77777777" w:rsidR="00683B0C" w:rsidRPr="001611DC" w:rsidRDefault="00683B0C" w:rsidP="00053B12">
            <w:pPr>
              <w:pStyle w:val="Tabletext"/>
              <w:rPr>
                <w:rFonts w:eastAsiaTheme="majorEastAsia"/>
                <w:b/>
                <w:bCs/>
                <w:snapToGrid/>
              </w:rPr>
            </w:pPr>
            <w:r w:rsidRPr="001611DC">
              <w:rPr>
                <w:rFonts w:eastAsiaTheme="majorEastAsia"/>
                <w:b/>
                <w:bCs/>
                <w:snapToGrid/>
              </w:rPr>
              <w:t>DUSC comments</w:t>
            </w:r>
          </w:p>
        </w:tc>
      </w:tr>
      <w:tr w:rsidR="0095174E" w:rsidRPr="001611DC" w14:paraId="3F561C74" w14:textId="77777777">
        <w:trPr>
          <w:cantSplit/>
        </w:trPr>
        <w:tc>
          <w:tcPr>
            <w:tcW w:w="6941" w:type="dxa"/>
            <w:gridSpan w:val="4"/>
            <w:vAlign w:val="center"/>
          </w:tcPr>
          <w:p w14:paraId="3FECF5EF" w14:textId="77777777" w:rsidR="00683B0C" w:rsidRPr="001611DC" w:rsidRDefault="00683B0C" w:rsidP="00053B12">
            <w:pPr>
              <w:pStyle w:val="Tabletext"/>
              <w:rPr>
                <w:rFonts w:eastAsiaTheme="majorEastAsia" w:cstheme="majorBidi"/>
                <w:b/>
                <w:bCs/>
                <w:snapToGrid/>
              </w:rPr>
            </w:pPr>
            <w:r w:rsidRPr="001611DC">
              <w:rPr>
                <w:rFonts w:eastAsiaTheme="majorEastAsia" w:cstheme="majorBidi"/>
                <w:b/>
                <w:bCs/>
                <w:snapToGrid/>
              </w:rPr>
              <w:t>Eligible population</w:t>
            </w:r>
          </w:p>
        </w:tc>
        <w:tc>
          <w:tcPr>
            <w:tcW w:w="1701" w:type="dxa"/>
          </w:tcPr>
          <w:p w14:paraId="00A3B602" w14:textId="77777777" w:rsidR="00683B0C" w:rsidRPr="001611DC" w:rsidRDefault="00683B0C" w:rsidP="00053B12">
            <w:pPr>
              <w:pStyle w:val="Tabletext"/>
              <w:rPr>
                <w:rFonts w:eastAsiaTheme="majorEastAsia" w:cstheme="majorBidi"/>
                <w:b/>
                <w:bCs/>
                <w:snapToGrid/>
              </w:rPr>
            </w:pPr>
          </w:p>
        </w:tc>
      </w:tr>
      <w:tr w:rsidR="0095174E" w:rsidRPr="001611DC" w14:paraId="2DBCAFDB" w14:textId="77777777">
        <w:trPr>
          <w:cantSplit/>
        </w:trPr>
        <w:tc>
          <w:tcPr>
            <w:tcW w:w="1000" w:type="dxa"/>
          </w:tcPr>
          <w:p w14:paraId="03DDEC44" w14:textId="76FD677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Incident </w:t>
            </w:r>
            <w:r w:rsidR="007B6A18" w:rsidRPr="001611DC">
              <w:rPr>
                <w:rFonts w:eastAsiaTheme="majorEastAsia" w:cstheme="majorBidi"/>
                <w:bCs/>
                <w:snapToGrid/>
              </w:rPr>
              <w:t>population</w:t>
            </w:r>
          </w:p>
        </w:tc>
        <w:tc>
          <w:tcPr>
            <w:tcW w:w="1689" w:type="dxa"/>
          </w:tcPr>
          <w:p w14:paraId="73BDAD67"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60 YOA</w:t>
            </w:r>
          </w:p>
          <w:p w14:paraId="4EB22F8E" w14:textId="5C53A981"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44"/>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4"/>
                <w14:textFill>
                  <w14:solidFill>
                    <w14:srgbClr w14:val="000000">
                      <w14:alpha w14:val="100000"/>
                    </w14:srgbClr>
                  </w14:solidFill>
                </w14:textFill>
              </w:rPr>
              <w:t>|</w:t>
            </w:r>
            <w:r w:rsidR="009D5B2D" w:rsidRPr="00404B36">
              <w:rPr>
                <w:rFonts w:eastAsiaTheme="majorEastAsia" w:cstheme="majorBidi"/>
                <w:bCs/>
                <w:snapToGrid/>
                <w:vertAlign w:val="superscript"/>
              </w:rPr>
              <w:t>1</w:t>
            </w:r>
          </w:p>
          <w:p w14:paraId="24D748CF" w14:textId="5946E2A5"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 </w:t>
            </w:r>
            <w:r w:rsidR="00BD3549" w:rsidRPr="00BD3549">
              <w:rPr>
                <w:rFonts w:eastAsiaTheme="majorEastAsia" w:cstheme="majorBidi"/>
                <w:bCs/>
                <w:snapToGrid/>
                <w:color w:val="000000"/>
                <w:spacing w:val="45"/>
                <w:shd w:val="solid" w:color="000000" w:fill="000000"/>
                <w:fitText w:val="330" w:id="-893676543"/>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3"/>
                <w14:textFill>
                  <w14:solidFill>
                    <w14:srgbClr w14:val="000000">
                      <w14:alpha w14:val="100000"/>
                    </w14:srgbClr>
                  </w14:solidFill>
                </w14:textFill>
              </w:rPr>
              <w:t>|</w:t>
            </w:r>
            <w:r w:rsidR="00404B36" w:rsidRPr="00404B36">
              <w:rPr>
                <w:rFonts w:eastAsiaTheme="majorEastAsia" w:cstheme="majorBidi"/>
                <w:bCs/>
                <w:snapToGrid/>
                <w:vertAlign w:val="superscript"/>
              </w:rPr>
              <w:t>1</w:t>
            </w:r>
          </w:p>
          <w:p w14:paraId="7210E817" w14:textId="20BB081C"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3: </w:t>
            </w:r>
            <w:r w:rsidR="00BD3549" w:rsidRPr="00BD3549">
              <w:rPr>
                <w:rFonts w:eastAsiaTheme="majorEastAsia" w:cstheme="majorBidi"/>
                <w:bCs/>
                <w:snapToGrid/>
                <w:color w:val="000000"/>
                <w:spacing w:val="45"/>
                <w:shd w:val="solid" w:color="000000" w:fill="000000"/>
                <w:fitText w:val="330" w:id="-893676542"/>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2"/>
                <w14:textFill>
                  <w14:solidFill>
                    <w14:srgbClr w14:val="000000">
                      <w14:alpha w14:val="100000"/>
                    </w14:srgbClr>
                  </w14:solidFill>
                </w14:textFill>
              </w:rPr>
              <w:t>|</w:t>
            </w:r>
            <w:r w:rsidR="00404B36" w:rsidRPr="00404B36">
              <w:rPr>
                <w:rFonts w:eastAsiaTheme="majorEastAsia" w:cstheme="majorBidi"/>
                <w:bCs/>
                <w:snapToGrid/>
                <w:vertAlign w:val="superscript"/>
              </w:rPr>
              <w:t>1</w:t>
            </w:r>
          </w:p>
          <w:p w14:paraId="0DA4B1B8" w14:textId="447CFEED"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4: </w:t>
            </w:r>
            <w:r w:rsidR="00BD3549" w:rsidRPr="00BD3549">
              <w:rPr>
                <w:rFonts w:eastAsiaTheme="majorEastAsia" w:cstheme="majorBidi"/>
                <w:bCs/>
                <w:snapToGrid/>
                <w:color w:val="000000"/>
                <w:spacing w:val="45"/>
                <w:shd w:val="solid" w:color="000000" w:fill="000000"/>
                <w:fitText w:val="330" w:id="-893676541"/>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1"/>
                <w14:textFill>
                  <w14:solidFill>
                    <w14:srgbClr w14:val="000000">
                      <w14:alpha w14:val="100000"/>
                    </w14:srgbClr>
                  </w14:solidFill>
                </w14:textFill>
              </w:rPr>
              <w:t>|</w:t>
            </w:r>
            <w:r w:rsidR="00404B36" w:rsidRPr="00404B36">
              <w:rPr>
                <w:rFonts w:eastAsiaTheme="majorEastAsia" w:cstheme="majorBidi"/>
                <w:bCs/>
                <w:snapToGrid/>
                <w:vertAlign w:val="superscript"/>
              </w:rPr>
              <w:t>1</w:t>
            </w:r>
          </w:p>
          <w:p w14:paraId="0242A0F6" w14:textId="0A2FD71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5: </w:t>
            </w:r>
            <w:r w:rsidR="00BD3549" w:rsidRPr="00BD3549">
              <w:rPr>
                <w:rFonts w:eastAsiaTheme="majorEastAsia" w:cstheme="majorBidi"/>
                <w:bCs/>
                <w:snapToGrid/>
                <w:color w:val="000000"/>
                <w:spacing w:val="45"/>
                <w:shd w:val="solid" w:color="000000" w:fill="000000"/>
                <w:fitText w:val="330" w:id="-893676540"/>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0"/>
                <w14:textFill>
                  <w14:solidFill>
                    <w14:srgbClr w14:val="000000">
                      <w14:alpha w14:val="100000"/>
                    </w14:srgbClr>
                  </w14:solidFill>
                </w14:textFill>
              </w:rPr>
              <w:t>|</w:t>
            </w:r>
            <w:r w:rsidR="00404B36" w:rsidRPr="00404B36">
              <w:rPr>
                <w:rFonts w:eastAsiaTheme="majorEastAsia" w:cstheme="majorBidi"/>
                <w:bCs/>
                <w:snapToGrid/>
                <w:vertAlign w:val="superscript"/>
              </w:rPr>
              <w:t>1</w:t>
            </w:r>
          </w:p>
          <w:p w14:paraId="5125AAEC" w14:textId="1121792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45"/>
                <w:shd w:val="solid" w:color="000000" w:fill="000000"/>
                <w:fitText w:val="330" w:id="-893676539"/>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9"/>
                <w14:textFill>
                  <w14:solidFill>
                    <w14:srgbClr w14:val="000000">
                      <w14:alpha w14:val="100000"/>
                    </w14:srgbClr>
                  </w14:solidFill>
                </w14:textFill>
              </w:rPr>
              <w:t>|</w:t>
            </w:r>
            <w:r w:rsidR="00404B36" w:rsidRPr="00404B36">
              <w:rPr>
                <w:rFonts w:eastAsiaTheme="majorEastAsia" w:cstheme="majorBidi"/>
                <w:bCs/>
                <w:snapToGrid/>
                <w:vertAlign w:val="superscript"/>
              </w:rPr>
              <w:t>1</w:t>
            </w:r>
          </w:p>
          <w:p w14:paraId="2D1B0A5C" w14:textId="77777777" w:rsidR="00683B0C" w:rsidRPr="001611DC" w:rsidRDefault="00683B0C" w:rsidP="00053B12">
            <w:pPr>
              <w:pStyle w:val="Tabletext"/>
              <w:rPr>
                <w:rFonts w:eastAsiaTheme="majorEastAsia" w:cstheme="majorBidi"/>
                <w:bCs/>
                <w:snapToGrid/>
              </w:rPr>
            </w:pPr>
          </w:p>
          <w:p w14:paraId="0169481D"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75 YOA</w:t>
            </w:r>
          </w:p>
          <w:p w14:paraId="3F002819" w14:textId="46A86790"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38"/>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8"/>
                <w14:textFill>
                  <w14:solidFill>
                    <w14:srgbClr w14:val="000000">
                      <w14:alpha w14:val="100000"/>
                    </w14:srgbClr>
                  </w14:solidFill>
                </w14:textFill>
              </w:rPr>
              <w:t>|</w:t>
            </w:r>
            <w:r w:rsidR="00CA26AB" w:rsidRPr="00CA26AB">
              <w:rPr>
                <w:rFonts w:eastAsiaTheme="majorEastAsia" w:cstheme="majorBidi"/>
                <w:bCs/>
                <w:snapToGrid/>
                <w:vertAlign w:val="superscript"/>
              </w:rPr>
              <w:t>2</w:t>
            </w:r>
          </w:p>
          <w:p w14:paraId="040F1D54" w14:textId="5A3B0AC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 </w:t>
            </w:r>
            <w:r w:rsidR="00BD3549" w:rsidRPr="00BD3549">
              <w:rPr>
                <w:rFonts w:eastAsiaTheme="majorEastAsia" w:cstheme="majorBidi"/>
                <w:bCs/>
                <w:snapToGrid/>
                <w:color w:val="000000"/>
                <w:spacing w:val="45"/>
                <w:shd w:val="solid" w:color="000000" w:fill="000000"/>
                <w:fitText w:val="330" w:id="-893676537"/>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7"/>
                <w14:textFill>
                  <w14:solidFill>
                    <w14:srgbClr w14:val="000000">
                      <w14:alpha w14:val="100000"/>
                    </w14:srgbClr>
                  </w14:solidFill>
                </w14:textFill>
              </w:rPr>
              <w:t>|</w:t>
            </w:r>
            <w:r w:rsidR="00CA26AB" w:rsidRPr="00CA26AB">
              <w:rPr>
                <w:rFonts w:eastAsiaTheme="majorEastAsia" w:cstheme="majorBidi"/>
                <w:bCs/>
                <w:snapToGrid/>
                <w:vertAlign w:val="superscript"/>
              </w:rPr>
              <w:t>2</w:t>
            </w:r>
          </w:p>
          <w:p w14:paraId="52E4E114" w14:textId="2174035C"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3: </w:t>
            </w:r>
            <w:r w:rsidR="00BD3549" w:rsidRPr="00BD3549">
              <w:rPr>
                <w:rFonts w:eastAsiaTheme="majorEastAsia" w:cstheme="majorBidi"/>
                <w:bCs/>
                <w:snapToGrid/>
                <w:color w:val="000000"/>
                <w:spacing w:val="45"/>
                <w:shd w:val="solid" w:color="000000" w:fill="000000"/>
                <w:fitText w:val="330" w:id="-893676536"/>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6"/>
                <w14:textFill>
                  <w14:solidFill>
                    <w14:srgbClr w14:val="000000">
                      <w14:alpha w14:val="100000"/>
                    </w14:srgbClr>
                  </w14:solidFill>
                </w14:textFill>
              </w:rPr>
              <w:t>|</w:t>
            </w:r>
            <w:r w:rsidR="00DF2F26" w:rsidRPr="00CA26AB">
              <w:rPr>
                <w:rFonts w:eastAsiaTheme="majorEastAsia" w:cstheme="majorBidi"/>
                <w:bCs/>
                <w:snapToGrid/>
                <w:vertAlign w:val="superscript"/>
              </w:rPr>
              <w:t>2</w:t>
            </w:r>
          </w:p>
          <w:p w14:paraId="319B93A2" w14:textId="7DACD1F8"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4: </w:t>
            </w:r>
            <w:r w:rsidR="00BD3549" w:rsidRPr="00BD3549">
              <w:rPr>
                <w:rFonts w:eastAsiaTheme="majorEastAsia" w:cstheme="majorBidi"/>
                <w:bCs/>
                <w:snapToGrid/>
                <w:color w:val="000000"/>
                <w:spacing w:val="45"/>
                <w:shd w:val="solid" w:color="000000" w:fill="000000"/>
                <w:fitText w:val="330" w:id="-893676535"/>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5"/>
                <w14:textFill>
                  <w14:solidFill>
                    <w14:srgbClr w14:val="000000">
                      <w14:alpha w14:val="100000"/>
                    </w14:srgbClr>
                  </w14:solidFill>
                </w14:textFill>
              </w:rPr>
              <w:t>|</w:t>
            </w:r>
            <w:r w:rsidR="003A7B49" w:rsidRPr="00CA26AB">
              <w:rPr>
                <w:rFonts w:eastAsiaTheme="majorEastAsia" w:cstheme="majorBidi"/>
                <w:bCs/>
                <w:snapToGrid/>
                <w:vertAlign w:val="superscript"/>
              </w:rPr>
              <w:t>2</w:t>
            </w:r>
          </w:p>
          <w:p w14:paraId="387B7FC0" w14:textId="274DC55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5: </w:t>
            </w:r>
            <w:r w:rsidR="00BD3549" w:rsidRPr="00BD3549">
              <w:rPr>
                <w:rFonts w:eastAsiaTheme="majorEastAsia" w:cstheme="majorBidi"/>
                <w:bCs/>
                <w:snapToGrid/>
                <w:color w:val="000000"/>
                <w:spacing w:val="45"/>
                <w:shd w:val="solid" w:color="000000" w:fill="000000"/>
                <w:fitText w:val="330" w:id="-893676534"/>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4"/>
                <w14:textFill>
                  <w14:solidFill>
                    <w14:srgbClr w14:val="000000">
                      <w14:alpha w14:val="100000"/>
                    </w14:srgbClr>
                  </w14:solidFill>
                </w14:textFill>
              </w:rPr>
              <w:t>|</w:t>
            </w:r>
            <w:r w:rsidR="003A7B49" w:rsidRPr="00CA26AB">
              <w:rPr>
                <w:rFonts w:eastAsiaTheme="majorEastAsia" w:cstheme="majorBidi"/>
                <w:bCs/>
                <w:snapToGrid/>
                <w:vertAlign w:val="superscript"/>
              </w:rPr>
              <w:t>2</w:t>
            </w:r>
          </w:p>
          <w:p w14:paraId="74E0B0AE" w14:textId="7BC95B33"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45"/>
                <w:shd w:val="solid" w:color="000000" w:fill="000000"/>
                <w:fitText w:val="330" w:id="-893676533"/>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3"/>
                <w14:textFill>
                  <w14:solidFill>
                    <w14:srgbClr w14:val="000000">
                      <w14:alpha w14:val="100000"/>
                    </w14:srgbClr>
                  </w14:solidFill>
                </w14:textFill>
              </w:rPr>
              <w:t>|</w:t>
            </w:r>
            <w:r w:rsidR="003A7B49" w:rsidRPr="00CA26AB">
              <w:rPr>
                <w:rFonts w:eastAsiaTheme="majorEastAsia" w:cstheme="majorBidi"/>
                <w:bCs/>
                <w:snapToGrid/>
                <w:vertAlign w:val="superscript"/>
              </w:rPr>
              <w:t>2</w:t>
            </w:r>
          </w:p>
        </w:tc>
        <w:tc>
          <w:tcPr>
            <w:tcW w:w="2268" w:type="dxa"/>
            <w:vMerge w:val="restart"/>
          </w:tcPr>
          <w:p w14:paraId="6AE6EB6F"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Eligible population based on ABS Population Projections, Australia, 2018 (base) (Series 3222.0).</w:t>
            </w:r>
          </w:p>
        </w:tc>
        <w:tc>
          <w:tcPr>
            <w:tcW w:w="1984" w:type="dxa"/>
            <w:vMerge w:val="restart"/>
          </w:tcPr>
          <w:p w14:paraId="37E2F4A4"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The submission used 2022 values. This was reasonable.</w:t>
            </w:r>
          </w:p>
        </w:tc>
        <w:tc>
          <w:tcPr>
            <w:tcW w:w="1701" w:type="dxa"/>
            <w:vMerge w:val="restart"/>
          </w:tcPr>
          <w:p w14:paraId="18D0000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This was reasonable. </w:t>
            </w:r>
          </w:p>
        </w:tc>
      </w:tr>
      <w:tr w:rsidR="0095174E" w:rsidRPr="001611DC" w14:paraId="7F2E58B7" w14:textId="77777777">
        <w:trPr>
          <w:cantSplit/>
        </w:trPr>
        <w:tc>
          <w:tcPr>
            <w:tcW w:w="1000" w:type="dxa"/>
            <w:vAlign w:val="center"/>
          </w:tcPr>
          <w:p w14:paraId="14134241" w14:textId="5D3FDAC4"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lastRenderedPageBreak/>
              <w:t xml:space="preserve">Prevalent </w:t>
            </w:r>
            <w:r w:rsidR="007B6A18" w:rsidRPr="001611DC">
              <w:rPr>
                <w:rFonts w:eastAsiaTheme="majorEastAsia" w:cstheme="majorBidi"/>
                <w:bCs/>
                <w:snapToGrid/>
              </w:rPr>
              <w:t>population</w:t>
            </w:r>
          </w:p>
        </w:tc>
        <w:tc>
          <w:tcPr>
            <w:tcW w:w="1689" w:type="dxa"/>
            <w:vAlign w:val="center"/>
          </w:tcPr>
          <w:p w14:paraId="41E17BB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60 YOA</w:t>
            </w:r>
          </w:p>
          <w:p w14:paraId="02544652" w14:textId="24E7AC20"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32"/>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2"/>
                <w14:textFill>
                  <w14:solidFill>
                    <w14:srgbClr w14:val="000000">
                      <w14:alpha w14:val="100000"/>
                    </w14:srgbClr>
                  </w14:solidFill>
                </w14:textFill>
              </w:rPr>
              <w:t>|</w:t>
            </w:r>
            <w:r w:rsidR="00742710" w:rsidRPr="00742710">
              <w:rPr>
                <w:rFonts w:eastAsiaTheme="majorEastAsia" w:cstheme="majorBidi"/>
                <w:bCs/>
                <w:snapToGrid/>
                <w:vertAlign w:val="superscript"/>
              </w:rPr>
              <w:t>3</w:t>
            </w:r>
          </w:p>
          <w:p w14:paraId="761A70A8"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75 YOA</w:t>
            </w:r>
          </w:p>
          <w:p w14:paraId="6F60D810" w14:textId="19BE377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31"/>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1"/>
                <w14:textFill>
                  <w14:solidFill>
                    <w14:srgbClr w14:val="000000">
                      <w14:alpha w14:val="100000"/>
                    </w14:srgbClr>
                  </w14:solidFill>
                </w14:textFill>
              </w:rPr>
              <w:t>|</w:t>
            </w:r>
            <w:r w:rsidR="00643BFA" w:rsidRPr="00643BFA">
              <w:rPr>
                <w:rFonts w:eastAsiaTheme="majorEastAsia" w:cstheme="majorBidi"/>
                <w:bCs/>
                <w:snapToGrid/>
                <w:vertAlign w:val="superscript"/>
              </w:rPr>
              <w:t>4</w:t>
            </w:r>
          </w:p>
        </w:tc>
        <w:tc>
          <w:tcPr>
            <w:tcW w:w="2268" w:type="dxa"/>
            <w:vMerge/>
            <w:vAlign w:val="center"/>
          </w:tcPr>
          <w:p w14:paraId="714DD878" w14:textId="77777777" w:rsidR="00683B0C" w:rsidRPr="001611DC" w:rsidRDefault="00683B0C" w:rsidP="00053B12">
            <w:pPr>
              <w:pStyle w:val="Tabletext"/>
              <w:rPr>
                <w:rFonts w:eastAsiaTheme="majorEastAsia" w:cstheme="majorBidi"/>
                <w:bCs/>
                <w:snapToGrid/>
              </w:rPr>
            </w:pPr>
          </w:p>
        </w:tc>
        <w:tc>
          <w:tcPr>
            <w:tcW w:w="1984" w:type="dxa"/>
            <w:vMerge/>
            <w:vAlign w:val="center"/>
          </w:tcPr>
          <w:p w14:paraId="52765AC5" w14:textId="77777777" w:rsidR="00683B0C" w:rsidRPr="001611DC" w:rsidRDefault="00683B0C" w:rsidP="00053B12">
            <w:pPr>
              <w:pStyle w:val="Tabletext"/>
              <w:rPr>
                <w:rFonts w:eastAsiaTheme="majorEastAsia" w:cstheme="majorBidi"/>
                <w:bCs/>
                <w:snapToGrid/>
              </w:rPr>
            </w:pPr>
          </w:p>
        </w:tc>
        <w:tc>
          <w:tcPr>
            <w:tcW w:w="1701" w:type="dxa"/>
            <w:vMerge/>
          </w:tcPr>
          <w:p w14:paraId="2185160E" w14:textId="77777777" w:rsidR="00683B0C" w:rsidRPr="001611DC" w:rsidRDefault="00683B0C" w:rsidP="00053B12">
            <w:pPr>
              <w:pStyle w:val="Tabletext"/>
              <w:rPr>
                <w:rFonts w:eastAsiaTheme="majorEastAsia" w:cstheme="majorBidi"/>
                <w:bCs/>
                <w:snapToGrid/>
              </w:rPr>
            </w:pPr>
          </w:p>
        </w:tc>
      </w:tr>
      <w:tr w:rsidR="0095174E" w:rsidRPr="001611DC" w14:paraId="6DEE93C3" w14:textId="77777777">
        <w:trPr>
          <w:cantSplit/>
        </w:trPr>
        <w:tc>
          <w:tcPr>
            <w:tcW w:w="6941" w:type="dxa"/>
            <w:gridSpan w:val="4"/>
            <w:vAlign w:val="center"/>
          </w:tcPr>
          <w:p w14:paraId="1ECEA4C1"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Treatment utilisation</w:t>
            </w:r>
          </w:p>
        </w:tc>
        <w:tc>
          <w:tcPr>
            <w:tcW w:w="1701" w:type="dxa"/>
          </w:tcPr>
          <w:p w14:paraId="78933F33" w14:textId="77777777" w:rsidR="00683B0C" w:rsidRPr="001611DC" w:rsidRDefault="00683B0C" w:rsidP="00053B12">
            <w:pPr>
              <w:pStyle w:val="Tabletext"/>
              <w:rPr>
                <w:rFonts w:eastAsiaTheme="majorEastAsia" w:cstheme="majorBidi"/>
                <w:bCs/>
                <w:snapToGrid/>
              </w:rPr>
            </w:pPr>
          </w:p>
        </w:tc>
      </w:tr>
      <w:tr w:rsidR="0095174E" w:rsidRPr="001611DC" w14:paraId="574B38E1" w14:textId="77777777">
        <w:trPr>
          <w:cantSplit/>
          <w:trHeight w:val="4037"/>
        </w:trPr>
        <w:tc>
          <w:tcPr>
            <w:tcW w:w="1000" w:type="dxa"/>
          </w:tcPr>
          <w:p w14:paraId="63C9A68F" w14:textId="45A1D1DB"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Uptake rate</w:t>
            </w:r>
          </w:p>
        </w:tc>
        <w:tc>
          <w:tcPr>
            <w:tcW w:w="1689" w:type="dxa"/>
          </w:tcPr>
          <w:p w14:paraId="4A07A4D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60-64 YOA</w:t>
            </w:r>
          </w:p>
          <w:p w14:paraId="224BFE10" w14:textId="4EEA737F"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w:t>
            </w:r>
            <w:r w:rsidRPr="00996FE8">
              <w:rPr>
                <w:rFonts w:eastAsiaTheme="majorEastAsia" w:cstheme="majorBidi"/>
                <w:bCs/>
                <w:snapToGrid/>
              </w:rPr>
              <w:t xml:space="preserve">1: </w:t>
            </w:r>
            <w:r w:rsidR="00BD3549" w:rsidRPr="00BD3549">
              <w:rPr>
                <w:rFonts w:eastAsiaTheme="majorEastAsia" w:cstheme="majorBidi"/>
                <w:bCs/>
                <w:snapToGrid/>
                <w:color w:val="000000"/>
                <w:spacing w:val="45"/>
                <w:shd w:val="solid" w:color="000000" w:fill="000000"/>
                <w:fitText w:val="330" w:id="-893676530"/>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0"/>
                <w14:textFill>
                  <w14:solidFill>
                    <w14:srgbClr w14:val="000000">
                      <w14:alpha w14:val="100000"/>
                    </w14:srgbClr>
                  </w14:solidFill>
                </w14:textFill>
              </w:rPr>
              <w:t>|</w:t>
            </w:r>
            <w:r w:rsidRPr="00996FE8">
              <w:rPr>
                <w:rFonts w:eastAsiaTheme="majorEastAsia" w:cstheme="majorBidi"/>
                <w:bCs/>
                <w:snapToGrid/>
              </w:rPr>
              <w:t>%</w:t>
            </w:r>
          </w:p>
          <w:p w14:paraId="585E6E7F" w14:textId="408F877E"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2-5: increases by </w:t>
            </w:r>
            <w:r w:rsidR="00BD3549" w:rsidRPr="00BD3549">
              <w:rPr>
                <w:rFonts w:eastAsiaTheme="majorEastAsia" w:cstheme="majorBidi"/>
                <w:bCs/>
                <w:snapToGrid/>
                <w:color w:val="000000"/>
                <w:spacing w:val="45"/>
                <w:shd w:val="solid" w:color="000000" w:fill="000000"/>
                <w:fitText w:val="330" w:id="-893676529"/>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29"/>
                <w14:textFill>
                  <w14:solidFill>
                    <w14:srgbClr w14:val="000000">
                      <w14:alpha w14:val="100000"/>
                    </w14:srgbClr>
                  </w14:solidFill>
                </w14:textFill>
              </w:rPr>
              <w:t>|</w:t>
            </w:r>
            <w:r w:rsidRPr="00953D3A">
              <w:rPr>
                <w:rFonts w:eastAsiaTheme="majorEastAsia" w:cstheme="majorBidi"/>
                <w:bCs/>
                <w:snapToGrid/>
              </w:rPr>
              <w:t xml:space="preserve">% </w:t>
            </w:r>
            <w:r w:rsidRPr="001611DC">
              <w:rPr>
                <w:rFonts w:eastAsiaTheme="majorEastAsia" w:cstheme="majorBidi"/>
                <w:bCs/>
                <w:snapToGrid/>
              </w:rPr>
              <w:t>per year</w:t>
            </w:r>
          </w:p>
          <w:p w14:paraId="39C1F14D" w14:textId="517EDA5D"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45"/>
                <w:shd w:val="solid" w:color="000000" w:fill="000000"/>
                <w:fitText w:val="330" w:id="-893676528"/>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28"/>
                <w14:textFill>
                  <w14:solidFill>
                    <w14:srgbClr w14:val="000000">
                      <w14:alpha w14:val="100000"/>
                    </w14:srgbClr>
                  </w14:solidFill>
                </w14:textFill>
              </w:rPr>
              <w:t>|</w:t>
            </w:r>
            <w:r w:rsidRPr="00953D3A">
              <w:rPr>
                <w:rFonts w:eastAsiaTheme="majorEastAsia" w:cstheme="majorBidi"/>
                <w:bCs/>
                <w:snapToGrid/>
              </w:rPr>
              <w:t>%</w:t>
            </w:r>
          </w:p>
          <w:p w14:paraId="6052F7C7" w14:textId="77777777" w:rsidR="00683B0C" w:rsidRPr="001611DC" w:rsidRDefault="00683B0C" w:rsidP="00053B12">
            <w:pPr>
              <w:pStyle w:val="Tabletext"/>
              <w:rPr>
                <w:rFonts w:eastAsiaTheme="majorEastAsia" w:cstheme="majorBidi"/>
                <w:bCs/>
                <w:snapToGrid/>
              </w:rPr>
            </w:pPr>
          </w:p>
          <w:p w14:paraId="69F88134"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65-74 YOA</w:t>
            </w:r>
          </w:p>
          <w:p w14:paraId="72179284" w14:textId="64F9DA9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44"/>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4"/>
                <w14:textFill>
                  <w14:solidFill>
                    <w14:srgbClr w14:val="000000">
                      <w14:alpha w14:val="100000"/>
                    </w14:srgbClr>
                  </w14:solidFill>
                </w14:textFill>
              </w:rPr>
              <w:t>|</w:t>
            </w:r>
            <w:r w:rsidRPr="00953D3A">
              <w:rPr>
                <w:rFonts w:eastAsiaTheme="majorEastAsia" w:cstheme="majorBidi"/>
                <w:bCs/>
                <w:snapToGrid/>
              </w:rPr>
              <w:t>%</w:t>
            </w:r>
            <w:r w:rsidR="00BD3549" w:rsidRPr="00BD3549">
              <w:rPr>
                <w:rFonts w:eastAsiaTheme="majorEastAsia" w:cstheme="majorBidi"/>
                <w:bCs/>
                <w:snapToGrid/>
                <w:color w:val="000000"/>
                <w:spacing w:val="45"/>
                <w:shd w:val="solid" w:color="000000" w:fill="000000"/>
                <w:fitText w:val="330" w:id="-893676543"/>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3"/>
                <w14:textFill>
                  <w14:solidFill>
                    <w14:srgbClr w14:val="000000">
                      <w14:alpha w14:val="100000"/>
                    </w14:srgbClr>
                  </w14:solidFill>
                </w14:textFill>
              </w:rPr>
              <w:t>|</w:t>
            </w:r>
            <w:r w:rsidRPr="001611DC">
              <w:rPr>
                <w:rFonts w:eastAsiaTheme="majorEastAsia" w:cstheme="majorBidi"/>
                <w:bCs/>
                <w:snapToGrid/>
              </w:rPr>
              <w:t xml:space="preserve">Yr 2-5: increases by </w:t>
            </w:r>
            <w:r w:rsidR="00BD3549" w:rsidRPr="00BD3549">
              <w:rPr>
                <w:rFonts w:eastAsiaTheme="majorEastAsia" w:cstheme="majorBidi"/>
                <w:bCs/>
                <w:snapToGrid/>
                <w:color w:val="000000"/>
                <w:spacing w:val="45"/>
                <w:shd w:val="solid" w:color="000000" w:fill="000000"/>
                <w:fitText w:val="330" w:id="-893676542"/>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2"/>
                <w14:textFill>
                  <w14:solidFill>
                    <w14:srgbClr w14:val="000000">
                      <w14:alpha w14:val="100000"/>
                    </w14:srgbClr>
                  </w14:solidFill>
                </w14:textFill>
              </w:rPr>
              <w:t>|</w:t>
            </w:r>
            <w:r w:rsidRPr="00953D3A">
              <w:rPr>
                <w:rFonts w:eastAsiaTheme="majorEastAsia" w:cstheme="majorBidi"/>
                <w:bCs/>
                <w:snapToGrid/>
              </w:rPr>
              <w:t>%</w:t>
            </w:r>
            <w:r w:rsidRPr="001611DC">
              <w:rPr>
                <w:rFonts w:eastAsiaTheme="majorEastAsia" w:cstheme="majorBidi"/>
                <w:bCs/>
                <w:snapToGrid/>
              </w:rPr>
              <w:t xml:space="preserve"> per year</w:t>
            </w:r>
          </w:p>
          <w:p w14:paraId="0D5CD5E8" w14:textId="0447C2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45"/>
                <w:shd w:val="solid" w:color="000000" w:fill="000000"/>
                <w:fitText w:val="330" w:id="-893676541"/>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1"/>
                <w14:textFill>
                  <w14:solidFill>
                    <w14:srgbClr w14:val="000000">
                      <w14:alpha w14:val="100000"/>
                    </w14:srgbClr>
                  </w14:solidFill>
                </w14:textFill>
              </w:rPr>
              <w:t>|</w:t>
            </w:r>
            <w:r w:rsidRPr="00953D3A">
              <w:rPr>
                <w:rFonts w:eastAsiaTheme="majorEastAsia" w:cstheme="majorBidi"/>
                <w:bCs/>
                <w:snapToGrid/>
              </w:rPr>
              <w:t>%</w:t>
            </w:r>
          </w:p>
          <w:p w14:paraId="3D86D3D0" w14:textId="77777777" w:rsidR="00683B0C" w:rsidRPr="001611DC" w:rsidRDefault="00683B0C" w:rsidP="00053B12">
            <w:pPr>
              <w:pStyle w:val="Tabletext"/>
              <w:rPr>
                <w:rFonts w:eastAsiaTheme="majorEastAsia" w:cstheme="majorBidi"/>
                <w:bCs/>
                <w:snapToGrid/>
              </w:rPr>
            </w:pPr>
          </w:p>
          <w:p w14:paraId="7878A4AE"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75 YOA</w:t>
            </w:r>
          </w:p>
          <w:p w14:paraId="4752AA69" w14:textId="596228FB"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45"/>
                <w:shd w:val="solid" w:color="000000" w:fill="000000"/>
                <w:fitText w:val="330" w:id="-893676540"/>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40"/>
                <w14:textFill>
                  <w14:solidFill>
                    <w14:srgbClr w14:val="000000">
                      <w14:alpha w14:val="100000"/>
                    </w14:srgbClr>
                  </w14:solidFill>
                </w14:textFill>
              </w:rPr>
              <w:t>|</w:t>
            </w:r>
            <w:r w:rsidRPr="00953D3A">
              <w:rPr>
                <w:rFonts w:eastAsiaTheme="majorEastAsia" w:cstheme="majorBidi"/>
                <w:bCs/>
                <w:snapToGrid/>
              </w:rPr>
              <w:t>%</w:t>
            </w:r>
          </w:p>
          <w:p w14:paraId="49605A15" w14:textId="643AD47B"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2-5: increases by </w:t>
            </w:r>
            <w:r w:rsidR="00BD3549" w:rsidRPr="00BD3549">
              <w:rPr>
                <w:rFonts w:eastAsiaTheme="majorEastAsia" w:cstheme="majorBidi"/>
                <w:bCs/>
                <w:snapToGrid/>
                <w:color w:val="000000"/>
                <w:spacing w:val="45"/>
                <w:shd w:val="solid" w:color="000000" w:fill="000000"/>
                <w:fitText w:val="330" w:id="-893676539"/>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9"/>
                <w14:textFill>
                  <w14:solidFill>
                    <w14:srgbClr w14:val="000000">
                      <w14:alpha w14:val="100000"/>
                    </w14:srgbClr>
                  </w14:solidFill>
                </w14:textFill>
              </w:rPr>
              <w:t>|</w:t>
            </w:r>
            <w:r w:rsidRPr="00953D3A">
              <w:rPr>
                <w:rFonts w:eastAsiaTheme="majorEastAsia" w:cstheme="majorBidi"/>
                <w:bCs/>
                <w:snapToGrid/>
              </w:rPr>
              <w:t xml:space="preserve">% </w:t>
            </w:r>
            <w:r w:rsidRPr="001611DC">
              <w:rPr>
                <w:rFonts w:eastAsiaTheme="majorEastAsia" w:cstheme="majorBidi"/>
                <w:bCs/>
                <w:snapToGrid/>
              </w:rPr>
              <w:t>per year</w:t>
            </w:r>
          </w:p>
          <w:p w14:paraId="106CAC9A" w14:textId="313CC959"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45"/>
                <w:shd w:val="solid" w:color="000000" w:fill="000000"/>
                <w:fitText w:val="330" w:id="-893676538"/>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8"/>
                <w14:textFill>
                  <w14:solidFill>
                    <w14:srgbClr w14:val="000000">
                      <w14:alpha w14:val="100000"/>
                    </w14:srgbClr>
                  </w14:solidFill>
                </w14:textFill>
              </w:rPr>
              <w:t>|</w:t>
            </w:r>
            <w:r w:rsidRPr="00953D3A">
              <w:rPr>
                <w:rFonts w:eastAsiaTheme="majorEastAsia" w:cstheme="majorBidi"/>
                <w:bCs/>
                <w:snapToGrid/>
              </w:rPr>
              <w:t>%</w:t>
            </w:r>
          </w:p>
        </w:tc>
        <w:tc>
          <w:tcPr>
            <w:tcW w:w="2268" w:type="dxa"/>
          </w:tcPr>
          <w:p w14:paraId="342642AC" w14:textId="77777777" w:rsidR="00683B0C" w:rsidRPr="001611DC" w:rsidRDefault="00683B0C" w:rsidP="00053B12">
            <w:pPr>
              <w:pStyle w:val="Tabletext"/>
              <w:rPr>
                <w:rFonts w:eastAsiaTheme="majorEastAsia" w:cstheme="majorBidi"/>
                <w:bCs/>
                <w:snapToGrid/>
              </w:rPr>
            </w:pPr>
            <w:r w:rsidRPr="00593A4C">
              <w:rPr>
                <w:rFonts w:eastAsiaTheme="majorEastAsia" w:cstheme="majorBidi"/>
                <w:snapToGrid/>
              </w:rPr>
              <w:t>NCIRS Annual Immunisation Coverage report 2022</w:t>
            </w:r>
            <w:r w:rsidRPr="00593A4C">
              <w:rPr>
                <w:rFonts w:eastAsiaTheme="majorEastAsia" w:cstheme="majorBidi"/>
                <w:bCs/>
                <w:snapToGrid/>
              </w:rPr>
              <w:t xml:space="preserve"> influenza coverage.</w:t>
            </w:r>
          </w:p>
          <w:p w14:paraId="3AD89933" w14:textId="77777777" w:rsidR="00683B0C" w:rsidRPr="001611DC" w:rsidRDefault="00683B0C" w:rsidP="00053B12">
            <w:pPr>
              <w:pStyle w:val="Tabletext"/>
              <w:rPr>
                <w:rFonts w:eastAsiaTheme="majorEastAsia" w:cstheme="majorBidi"/>
                <w:bCs/>
                <w:snapToGrid/>
              </w:rPr>
            </w:pPr>
          </w:p>
          <w:p w14:paraId="227A15C4" w14:textId="25EF0FEC"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Assumed </w:t>
            </w:r>
            <w:r w:rsidR="00BD3549" w:rsidRPr="00BD3549">
              <w:rPr>
                <w:rFonts w:eastAsiaTheme="majorEastAsia" w:cstheme="majorBidi"/>
                <w:bCs/>
                <w:snapToGrid/>
                <w:color w:val="000000"/>
                <w:spacing w:val="45"/>
                <w:shd w:val="solid" w:color="000000" w:fill="000000"/>
                <w:fitText w:val="330" w:id="-893676537"/>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7"/>
                <w14:textFill>
                  <w14:solidFill>
                    <w14:srgbClr w14:val="000000">
                      <w14:alpha w14:val="100000"/>
                    </w14:srgbClr>
                  </w14:solidFill>
                </w14:textFill>
              </w:rPr>
              <w:t>|</w:t>
            </w:r>
            <w:r w:rsidRPr="00953D3A">
              <w:rPr>
                <w:rFonts w:eastAsiaTheme="majorEastAsia" w:cstheme="majorBidi"/>
                <w:bCs/>
                <w:snapToGrid/>
              </w:rPr>
              <w:t>%</w:t>
            </w:r>
            <w:r w:rsidRPr="001611DC">
              <w:rPr>
                <w:rFonts w:eastAsiaTheme="majorEastAsia" w:cstheme="majorBidi"/>
                <w:bCs/>
                <w:snapToGrid/>
              </w:rPr>
              <w:t xml:space="preserve"> of </w:t>
            </w:r>
            <w:r w:rsidRPr="00593A4C">
              <w:rPr>
                <w:rFonts w:eastAsiaTheme="majorEastAsia" w:cstheme="majorBidi"/>
                <w:bCs/>
                <w:snapToGrid/>
              </w:rPr>
              <w:t>influenza coverage</w:t>
            </w:r>
            <w:r w:rsidRPr="001611DC">
              <w:rPr>
                <w:rFonts w:eastAsiaTheme="majorEastAsia" w:cstheme="majorBidi"/>
                <w:bCs/>
                <w:snapToGrid/>
              </w:rPr>
              <w:t xml:space="preserve"> in Yr 1 of vaccination increasing linearly to </w:t>
            </w:r>
            <w:r w:rsidR="00BD3549" w:rsidRPr="00BD3549">
              <w:rPr>
                <w:rFonts w:eastAsiaTheme="majorEastAsia" w:cstheme="majorBidi"/>
                <w:bCs/>
                <w:snapToGrid/>
                <w:color w:val="000000"/>
                <w:spacing w:val="45"/>
                <w:shd w:val="solid" w:color="000000" w:fill="000000"/>
                <w:fitText w:val="330" w:id="-893676536"/>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6"/>
                <w14:textFill>
                  <w14:solidFill>
                    <w14:srgbClr w14:val="000000">
                      <w14:alpha w14:val="100000"/>
                    </w14:srgbClr>
                  </w14:solidFill>
                </w14:textFill>
              </w:rPr>
              <w:t>|</w:t>
            </w:r>
            <w:r w:rsidRPr="00764895">
              <w:rPr>
                <w:rFonts w:eastAsiaTheme="majorEastAsia" w:cstheme="majorBidi"/>
                <w:bCs/>
                <w:snapToGrid/>
              </w:rPr>
              <w:t>%</w:t>
            </w:r>
            <w:r w:rsidRPr="001611DC">
              <w:rPr>
                <w:rFonts w:eastAsiaTheme="majorEastAsia" w:cstheme="majorBidi"/>
                <w:bCs/>
                <w:snapToGrid/>
              </w:rPr>
              <w:t xml:space="preserve"> of </w:t>
            </w:r>
            <w:r w:rsidRPr="00593A4C">
              <w:rPr>
                <w:rFonts w:eastAsiaTheme="majorEastAsia" w:cstheme="majorBidi"/>
                <w:bCs/>
                <w:snapToGrid/>
              </w:rPr>
              <w:t>influenza</w:t>
            </w:r>
            <w:r w:rsidRPr="001611DC">
              <w:rPr>
                <w:rFonts w:eastAsiaTheme="majorEastAsia" w:cstheme="majorBidi"/>
                <w:bCs/>
                <w:snapToGrid/>
              </w:rPr>
              <w:t xml:space="preserve"> coverage by Yr 6. </w:t>
            </w:r>
            <w:bookmarkStart w:id="175" w:name="_Hlk165451884"/>
            <w:r w:rsidRPr="001611DC">
              <w:rPr>
                <w:rFonts w:eastAsiaTheme="majorEastAsia" w:cstheme="majorBidi"/>
                <w:bCs/>
                <w:snapToGrid/>
              </w:rPr>
              <w:t>i.e., for Yr 1 of 60</w:t>
            </w:r>
            <w:r w:rsidRPr="001611DC">
              <w:rPr>
                <w:rFonts w:eastAsiaTheme="majorEastAsia" w:cstheme="majorBidi"/>
                <w:bCs/>
                <w:snapToGrid/>
              </w:rPr>
              <w:noBreakHyphen/>
              <w:t xml:space="preserve">64 YOA </w:t>
            </w:r>
            <w:r w:rsidR="00BD3549" w:rsidRPr="00BD3549">
              <w:rPr>
                <w:rFonts w:eastAsiaTheme="majorEastAsia" w:cstheme="majorBidi"/>
                <w:bCs/>
                <w:snapToGrid/>
                <w:color w:val="000000"/>
                <w:spacing w:val="45"/>
                <w:shd w:val="solid" w:color="000000" w:fill="000000"/>
                <w:fitText w:val="330" w:id="-893676535"/>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5"/>
                <w14:textFill>
                  <w14:solidFill>
                    <w14:srgbClr w14:val="000000">
                      <w14:alpha w14:val="100000"/>
                    </w14:srgbClr>
                  </w14:solidFill>
                </w14:textFill>
              </w:rPr>
              <w:t>|</w:t>
            </w:r>
            <w:r w:rsidRPr="00764895">
              <w:rPr>
                <w:rFonts w:eastAsiaTheme="majorEastAsia" w:cstheme="majorBidi"/>
                <w:bCs/>
                <w:snapToGrid/>
              </w:rPr>
              <w:t xml:space="preserve">% </w:t>
            </w:r>
            <w:r w:rsidRPr="001611DC">
              <w:rPr>
                <w:rFonts w:eastAsiaTheme="majorEastAsia" w:cstheme="majorBidi"/>
                <w:bCs/>
                <w:snapToGrid/>
              </w:rPr>
              <w:t xml:space="preserve">of the cohort was vaccinated. Then from Yr 2-5 </w:t>
            </w:r>
            <w:r w:rsidR="00BD3549" w:rsidRPr="00BD3549">
              <w:rPr>
                <w:rFonts w:eastAsiaTheme="majorEastAsia" w:cstheme="majorBidi"/>
                <w:bCs/>
                <w:snapToGrid/>
                <w:color w:val="000000"/>
                <w:spacing w:val="45"/>
                <w:shd w:val="solid" w:color="000000" w:fill="000000"/>
                <w:fitText w:val="330" w:id="-893676534"/>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4"/>
                <w14:textFill>
                  <w14:solidFill>
                    <w14:srgbClr w14:val="000000">
                      <w14:alpha w14:val="100000"/>
                    </w14:srgbClr>
                  </w14:solidFill>
                </w14:textFill>
              </w:rPr>
              <w:t>|</w:t>
            </w:r>
            <w:r w:rsidRPr="00764895">
              <w:rPr>
                <w:rFonts w:eastAsiaTheme="majorEastAsia" w:cstheme="majorBidi"/>
                <w:bCs/>
                <w:snapToGrid/>
              </w:rPr>
              <w:t xml:space="preserve">% </w:t>
            </w:r>
            <w:r w:rsidRPr="001611DC">
              <w:rPr>
                <w:rFonts w:eastAsiaTheme="majorEastAsia" w:cstheme="majorBidi"/>
                <w:bCs/>
                <w:snapToGrid/>
              </w:rPr>
              <w:t xml:space="preserve">was vaccinated per year, so that the full </w:t>
            </w:r>
            <w:r w:rsidR="00BD3549" w:rsidRPr="00BD3549">
              <w:rPr>
                <w:rFonts w:eastAsiaTheme="majorEastAsia" w:cstheme="majorBidi"/>
                <w:bCs/>
                <w:snapToGrid/>
                <w:color w:val="000000"/>
                <w:spacing w:val="45"/>
                <w:shd w:val="solid" w:color="000000" w:fill="000000"/>
                <w:fitText w:val="330" w:id="-893676533"/>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3"/>
                <w14:textFill>
                  <w14:solidFill>
                    <w14:srgbClr w14:val="000000">
                      <w14:alpha w14:val="100000"/>
                    </w14:srgbClr>
                  </w14:solidFill>
                </w14:textFill>
              </w:rPr>
              <w:t>|</w:t>
            </w:r>
            <w:r w:rsidRPr="00764895">
              <w:rPr>
                <w:rFonts w:eastAsiaTheme="majorEastAsia" w:cstheme="majorBidi"/>
                <w:bCs/>
                <w:snapToGrid/>
              </w:rPr>
              <w:t xml:space="preserve">% </w:t>
            </w:r>
            <w:r w:rsidRPr="001611DC">
              <w:rPr>
                <w:rFonts w:eastAsiaTheme="majorEastAsia" w:cstheme="majorBidi"/>
                <w:bCs/>
                <w:snapToGrid/>
              </w:rPr>
              <w:t>would be vaccinated by Yr 6.</w:t>
            </w:r>
          </w:p>
          <w:p w14:paraId="40A1CAAF" w14:textId="77777777" w:rsidR="00683B0C" w:rsidRPr="001611DC" w:rsidRDefault="00683B0C" w:rsidP="00053B12">
            <w:pPr>
              <w:pStyle w:val="Tabletext"/>
              <w:rPr>
                <w:rFonts w:eastAsiaTheme="majorEastAsia" w:cstheme="majorBidi"/>
                <w:bCs/>
                <w:snapToGrid/>
              </w:rPr>
            </w:pPr>
          </w:p>
          <w:p w14:paraId="19E9642F" w14:textId="0194B14D"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The uptake rates were also applied to the ‘newly eligible population’ regardless of which year they were vaccinated. i.e. in the ‘newly eligible population’ 60 YOA the first year of vaccination uptake was </w:t>
            </w:r>
            <w:r w:rsidR="00BD3549" w:rsidRPr="00BD3549">
              <w:rPr>
                <w:rFonts w:eastAsiaTheme="majorEastAsia" w:cstheme="majorBidi"/>
                <w:bCs/>
                <w:snapToGrid/>
                <w:color w:val="000000"/>
                <w:spacing w:val="45"/>
                <w:shd w:val="solid" w:color="000000" w:fill="000000"/>
                <w:fitText w:val="330" w:id="-893676532"/>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2"/>
                <w14:textFill>
                  <w14:solidFill>
                    <w14:srgbClr w14:val="000000">
                      <w14:alpha w14:val="100000"/>
                    </w14:srgbClr>
                  </w14:solidFill>
                </w14:textFill>
              </w:rPr>
              <w:t>|</w:t>
            </w:r>
            <w:r w:rsidRPr="00EF7BE6">
              <w:rPr>
                <w:rFonts w:eastAsiaTheme="majorEastAsia" w:cstheme="majorBidi"/>
                <w:bCs/>
                <w:snapToGrid/>
              </w:rPr>
              <w:t xml:space="preserve">%. </w:t>
            </w:r>
            <w:r w:rsidRPr="001611DC">
              <w:rPr>
                <w:rFonts w:eastAsiaTheme="majorEastAsia" w:cstheme="majorBidi"/>
                <w:bCs/>
                <w:snapToGrid/>
              </w:rPr>
              <w:t xml:space="preserve">However, only the 2025 cohort would add up to </w:t>
            </w:r>
            <w:r w:rsidR="00BD3549" w:rsidRPr="00BD3549">
              <w:rPr>
                <w:rFonts w:eastAsiaTheme="majorEastAsia" w:cstheme="majorBidi"/>
                <w:bCs/>
                <w:snapToGrid/>
                <w:color w:val="000000"/>
                <w:spacing w:val="45"/>
                <w:shd w:val="solid" w:color="000000" w:fill="000000"/>
                <w:fitText w:val="330" w:id="-893676531"/>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1"/>
                <w14:textFill>
                  <w14:solidFill>
                    <w14:srgbClr w14:val="000000">
                      <w14:alpha w14:val="100000"/>
                    </w14:srgbClr>
                  </w14:solidFill>
                </w14:textFill>
              </w:rPr>
              <w:t>|</w:t>
            </w:r>
            <w:r w:rsidRPr="00EF7BE6">
              <w:rPr>
                <w:rFonts w:eastAsiaTheme="majorEastAsia" w:cstheme="majorBidi"/>
                <w:bCs/>
                <w:snapToGrid/>
              </w:rPr>
              <w:t xml:space="preserve">% as </w:t>
            </w:r>
            <w:r w:rsidR="00BD3549" w:rsidRPr="00BD3549">
              <w:rPr>
                <w:rFonts w:eastAsiaTheme="majorEastAsia" w:cstheme="majorBidi"/>
                <w:bCs/>
                <w:snapToGrid/>
                <w:color w:val="000000"/>
                <w:spacing w:val="45"/>
                <w:shd w:val="solid" w:color="000000" w:fill="000000"/>
                <w:fitText w:val="330" w:id="-893676530"/>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30"/>
                <w14:textFill>
                  <w14:solidFill>
                    <w14:srgbClr w14:val="000000">
                      <w14:alpha w14:val="100000"/>
                    </w14:srgbClr>
                  </w14:solidFill>
                </w14:textFill>
              </w:rPr>
              <w:t>|</w:t>
            </w:r>
            <w:r w:rsidRPr="00EF7BE6">
              <w:rPr>
                <w:rFonts w:eastAsiaTheme="majorEastAsia" w:cstheme="majorBidi"/>
                <w:bCs/>
                <w:snapToGrid/>
              </w:rPr>
              <w:t xml:space="preserve">% </w:t>
            </w:r>
            <w:r w:rsidRPr="001611DC">
              <w:rPr>
                <w:rFonts w:eastAsiaTheme="majorEastAsia" w:cstheme="majorBidi"/>
                <w:bCs/>
                <w:snapToGrid/>
              </w:rPr>
              <w:t xml:space="preserve">would be vaccinated per year. Whereas the ‘newly eligible population’ 2030 cohort would only accrue </w:t>
            </w:r>
            <w:r w:rsidR="00BD3549" w:rsidRPr="00BD3549">
              <w:rPr>
                <w:rFonts w:eastAsiaTheme="majorEastAsia" w:cstheme="majorBidi"/>
                <w:bCs/>
                <w:snapToGrid/>
                <w:color w:val="000000"/>
                <w:spacing w:val="45"/>
                <w:shd w:val="solid" w:color="000000" w:fill="000000"/>
                <w:fitText w:val="330" w:id="-893676529"/>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29"/>
                <w14:textFill>
                  <w14:solidFill>
                    <w14:srgbClr w14:val="000000">
                      <w14:alpha w14:val="100000"/>
                    </w14:srgbClr>
                  </w14:solidFill>
                </w14:textFill>
              </w:rPr>
              <w:t>|</w:t>
            </w:r>
            <w:r w:rsidRPr="00EF7BE6">
              <w:rPr>
                <w:rFonts w:eastAsiaTheme="majorEastAsia" w:cstheme="majorBidi"/>
                <w:bCs/>
                <w:snapToGrid/>
              </w:rPr>
              <w:t xml:space="preserve">% </w:t>
            </w:r>
            <w:r w:rsidRPr="001611DC">
              <w:rPr>
                <w:rFonts w:eastAsiaTheme="majorEastAsia" w:cstheme="majorBidi"/>
                <w:bCs/>
                <w:snapToGrid/>
              </w:rPr>
              <w:t>vaccinated.</w:t>
            </w:r>
            <w:bookmarkEnd w:id="175"/>
          </w:p>
        </w:tc>
        <w:tc>
          <w:tcPr>
            <w:tcW w:w="1984" w:type="dxa"/>
          </w:tcPr>
          <w:p w14:paraId="29B512ED" w14:textId="77777777" w:rsidR="00683B0C" w:rsidRPr="001611DC" w:rsidRDefault="00683B0C" w:rsidP="00053B12">
            <w:pPr>
              <w:pStyle w:val="Tabletext"/>
              <w:rPr>
                <w:rFonts w:eastAsiaTheme="majorEastAsia" w:cstheme="majorBidi"/>
                <w:bCs/>
                <w:snapToGrid/>
              </w:rPr>
            </w:pPr>
            <w:bookmarkStart w:id="176" w:name="_Hlk165016878"/>
            <w:r w:rsidRPr="001611DC">
              <w:rPr>
                <w:rFonts w:eastAsiaTheme="majorEastAsia" w:cstheme="majorBidi"/>
                <w:bCs/>
                <w:snapToGrid/>
              </w:rPr>
              <w:t xml:space="preserve">NIP funded </w:t>
            </w:r>
            <w:r w:rsidRPr="00593A4C">
              <w:rPr>
                <w:rFonts w:eastAsiaTheme="majorEastAsia" w:cstheme="majorBidi"/>
                <w:bCs/>
                <w:snapToGrid/>
              </w:rPr>
              <w:t>influenza</w:t>
            </w:r>
            <w:r w:rsidRPr="001611DC">
              <w:rPr>
                <w:rFonts w:eastAsiaTheme="majorEastAsia" w:cstheme="majorBidi"/>
                <w:bCs/>
                <w:snapToGrid/>
              </w:rPr>
              <w:t xml:space="preserve"> vaccination uptake was available for ≥ 65 YOA. However, the proposed NIP listing for RSVPreF3 OA was ≥ 60 YOA. Therefore, uptake was likely underestimated for the 60</w:t>
            </w:r>
            <w:r w:rsidRPr="001611DC">
              <w:rPr>
                <w:rFonts w:eastAsiaTheme="majorEastAsia" w:cstheme="majorBidi"/>
                <w:bCs/>
                <w:snapToGrid/>
              </w:rPr>
              <w:noBreakHyphen/>
              <w:t>64 YOA cohort.</w:t>
            </w:r>
          </w:p>
          <w:p w14:paraId="22A3DC40" w14:textId="77777777" w:rsidR="00683B0C" w:rsidRPr="001611DC" w:rsidRDefault="00683B0C" w:rsidP="00053B12">
            <w:pPr>
              <w:pStyle w:val="Tabletext"/>
              <w:rPr>
                <w:rFonts w:eastAsiaTheme="majorEastAsia" w:cstheme="majorBidi"/>
                <w:bCs/>
                <w:snapToGrid/>
              </w:rPr>
            </w:pPr>
          </w:p>
          <w:bookmarkEnd w:id="176"/>
          <w:p w14:paraId="0345480A" w14:textId="0F40277D"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Assuming </w:t>
            </w:r>
            <w:r w:rsidR="00BD3549" w:rsidRPr="00BD3549">
              <w:rPr>
                <w:rFonts w:eastAsiaTheme="majorEastAsia" w:cstheme="majorBidi"/>
                <w:bCs/>
                <w:snapToGrid/>
                <w:color w:val="000000"/>
                <w:spacing w:val="45"/>
                <w:shd w:val="solid" w:color="000000" w:fill="000000"/>
                <w:fitText w:val="330" w:id="-893676528"/>
                <w14:textFill>
                  <w14:solidFill>
                    <w14:srgbClr w14:val="000000">
                      <w14:alpha w14:val="100000"/>
                    </w14:srgbClr>
                  </w14:solidFill>
                </w14:textFill>
              </w:rPr>
              <w:t>|||</w:t>
            </w:r>
            <w:r w:rsidR="00BD3549" w:rsidRPr="00BD3549">
              <w:rPr>
                <w:rFonts w:eastAsiaTheme="majorEastAsia" w:cstheme="majorBidi"/>
                <w:bCs/>
                <w:snapToGrid/>
                <w:color w:val="000000"/>
                <w:spacing w:val="15"/>
                <w:shd w:val="solid" w:color="000000" w:fill="000000"/>
                <w:fitText w:val="330" w:id="-893676528"/>
                <w14:textFill>
                  <w14:solidFill>
                    <w14:srgbClr w14:val="000000">
                      <w14:alpha w14:val="100000"/>
                    </w14:srgbClr>
                  </w14:solidFill>
                </w14:textFill>
              </w:rPr>
              <w:t>|</w:t>
            </w:r>
            <w:r w:rsidRPr="00DE14DA">
              <w:rPr>
                <w:rFonts w:eastAsiaTheme="majorEastAsia" w:cstheme="majorBidi"/>
                <w:bCs/>
                <w:snapToGrid/>
              </w:rPr>
              <w:t>%</w:t>
            </w:r>
            <w:r w:rsidRPr="001611DC">
              <w:rPr>
                <w:rFonts w:eastAsiaTheme="majorEastAsia" w:cstheme="majorBidi"/>
                <w:bCs/>
                <w:snapToGrid/>
              </w:rPr>
              <w:t xml:space="preserve"> </w:t>
            </w:r>
            <w:r w:rsidRPr="00DF7C81">
              <w:rPr>
                <w:rFonts w:eastAsiaTheme="majorEastAsia" w:cstheme="majorBidi"/>
                <w:bCs/>
                <w:snapToGrid/>
              </w:rPr>
              <w:t xml:space="preserve">of </w:t>
            </w:r>
            <w:r w:rsidRPr="00593A4C">
              <w:rPr>
                <w:rFonts w:eastAsiaTheme="majorEastAsia" w:cstheme="majorBidi"/>
                <w:bCs/>
                <w:snapToGrid/>
              </w:rPr>
              <w:t>influenza</w:t>
            </w:r>
            <w:r w:rsidRPr="001611DC">
              <w:rPr>
                <w:rFonts w:eastAsiaTheme="majorEastAsia" w:cstheme="majorBidi"/>
                <w:bCs/>
                <w:snapToGrid/>
              </w:rPr>
              <w:t xml:space="preserve"> uptake in Yr 1 was uncertain.</w:t>
            </w:r>
          </w:p>
          <w:p w14:paraId="13E9515F" w14:textId="77777777" w:rsidR="00683B0C" w:rsidRPr="001611DC" w:rsidRDefault="00683B0C" w:rsidP="00053B12">
            <w:pPr>
              <w:pStyle w:val="Tabletext"/>
              <w:rPr>
                <w:rFonts w:eastAsiaTheme="majorEastAsia" w:cstheme="majorBidi"/>
                <w:bCs/>
                <w:snapToGrid/>
              </w:rPr>
            </w:pPr>
          </w:p>
          <w:p w14:paraId="78E363A8"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Uptake rates for 60-64, 65-69, and 70</w:t>
            </w:r>
            <w:r w:rsidRPr="001611DC">
              <w:rPr>
                <w:rFonts w:eastAsiaTheme="majorEastAsia" w:cstheme="majorBidi"/>
                <w:bCs/>
                <w:snapToGrid/>
              </w:rPr>
              <w:noBreakHyphen/>
              <w:t>74 YOA were applied to ≥ 75 YOA populations of the ‘newly eligible population’ 2025, 2026, and 2027, respectively in the financial model underestimating costs.</w:t>
            </w:r>
          </w:p>
        </w:tc>
        <w:tc>
          <w:tcPr>
            <w:tcW w:w="1701" w:type="dxa"/>
          </w:tcPr>
          <w:p w14:paraId="46731313" w14:textId="63A507E2"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DUSC noted the PSCR acknowledged the correction made in the commentary and confirmed that the corrected outputs for newly eligible </w:t>
            </w:r>
            <w:r w:rsidR="007B6A18" w:rsidRPr="001611DC">
              <w:rPr>
                <w:rFonts w:eastAsiaTheme="majorEastAsia" w:cstheme="majorBidi"/>
                <w:bCs/>
                <w:snapToGrid/>
              </w:rPr>
              <w:t>individuals</w:t>
            </w:r>
            <w:r w:rsidRPr="001611DC">
              <w:rPr>
                <w:rFonts w:eastAsiaTheme="majorEastAsia" w:cstheme="majorBidi"/>
                <w:bCs/>
                <w:snapToGrid/>
              </w:rPr>
              <w:t xml:space="preserve"> in the ≥75 YOA were appropriate. </w:t>
            </w:r>
          </w:p>
          <w:p w14:paraId="47AFA13C" w14:textId="77777777" w:rsidR="00683B0C" w:rsidRPr="001611DC" w:rsidRDefault="00683B0C" w:rsidP="00053B12">
            <w:pPr>
              <w:pStyle w:val="Tabletext"/>
              <w:rPr>
                <w:rFonts w:eastAsiaTheme="majorEastAsia" w:cstheme="majorBidi"/>
                <w:bCs/>
                <w:snapToGrid/>
              </w:rPr>
            </w:pPr>
          </w:p>
          <w:p w14:paraId="37C952C3"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DUSC considered the uptake rates for those aged 60-64 to be underestimated given the increased awareness of RSV. </w:t>
            </w:r>
          </w:p>
          <w:p w14:paraId="4178E61F" w14:textId="77777777" w:rsidR="00683B0C" w:rsidRPr="001611DC" w:rsidRDefault="00683B0C" w:rsidP="00053B12">
            <w:pPr>
              <w:pStyle w:val="Tabletext"/>
              <w:rPr>
                <w:rFonts w:eastAsiaTheme="majorEastAsia" w:cstheme="majorBidi"/>
                <w:bCs/>
                <w:iCs/>
                <w:snapToGrid/>
              </w:rPr>
            </w:pPr>
            <w:r w:rsidRPr="001611DC">
              <w:rPr>
                <w:szCs w:val="20"/>
              </w:rPr>
              <w:t>However, DUSC considered uptake may be impacted by vaccination fatigue</w:t>
            </w:r>
            <w:r w:rsidRPr="001611DC">
              <w:rPr>
                <w:iCs/>
                <w:szCs w:val="20"/>
              </w:rPr>
              <w:t xml:space="preserve">. </w:t>
            </w:r>
          </w:p>
          <w:p w14:paraId="56210096" w14:textId="77777777" w:rsidR="00683B0C" w:rsidRPr="001611DC" w:rsidRDefault="00683B0C" w:rsidP="00053B12">
            <w:pPr>
              <w:pStyle w:val="Tabletext"/>
              <w:rPr>
                <w:rFonts w:eastAsiaTheme="majorEastAsia" w:cstheme="majorBidi"/>
                <w:bCs/>
                <w:i/>
                <w:iCs/>
                <w:snapToGrid/>
              </w:rPr>
            </w:pPr>
          </w:p>
        </w:tc>
      </w:tr>
      <w:tr w:rsidR="0095174E" w:rsidRPr="001611DC" w14:paraId="377FF0D0" w14:textId="77777777">
        <w:trPr>
          <w:cantSplit/>
        </w:trPr>
        <w:tc>
          <w:tcPr>
            <w:tcW w:w="1000" w:type="dxa"/>
          </w:tcPr>
          <w:p w14:paraId="34EAF48C"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lastRenderedPageBreak/>
              <w:t>Doses dispensed</w:t>
            </w:r>
          </w:p>
        </w:tc>
        <w:tc>
          <w:tcPr>
            <w:tcW w:w="1689" w:type="dxa"/>
          </w:tcPr>
          <w:p w14:paraId="34B47B3F"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60 YOA</w:t>
            </w:r>
          </w:p>
          <w:p w14:paraId="0AE8F84E" w14:textId="5DF9398E"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53"/>
                <w:shd w:val="solid" w:color="000000" w:fill="000000"/>
                <w:fitText w:val="330" w:id="-893676544"/>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4"/>
                <w14:textFill>
                  <w14:solidFill>
                    <w14:srgbClr w14:val="000000">
                      <w14:alpha w14:val="100000"/>
                    </w14:srgbClr>
                  </w14:solidFill>
                </w14:textFill>
              </w:rPr>
              <w:t>|</w:t>
            </w:r>
            <w:r w:rsidR="007F729F" w:rsidRPr="007F729F">
              <w:rPr>
                <w:rFonts w:eastAsiaTheme="majorEastAsia" w:cstheme="majorBidi"/>
                <w:bCs/>
                <w:snapToGrid/>
                <w:vertAlign w:val="superscript"/>
              </w:rPr>
              <w:t>4</w:t>
            </w:r>
          </w:p>
          <w:p w14:paraId="268A88B4" w14:textId="5A7A2EC1"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 </w:t>
            </w:r>
            <w:r w:rsidR="00BD3549" w:rsidRPr="00BD3549">
              <w:rPr>
                <w:rFonts w:eastAsiaTheme="majorEastAsia" w:cstheme="majorBidi"/>
                <w:bCs/>
                <w:snapToGrid/>
                <w:color w:val="000000"/>
                <w:spacing w:val="53"/>
                <w:shd w:val="solid" w:color="000000" w:fill="000000"/>
                <w:fitText w:val="330" w:id="-893676543"/>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3"/>
                <w14:textFill>
                  <w14:solidFill>
                    <w14:srgbClr w14:val="000000">
                      <w14:alpha w14:val="100000"/>
                    </w14:srgbClr>
                  </w14:solidFill>
                </w14:textFill>
              </w:rPr>
              <w:t>|</w:t>
            </w:r>
            <w:r w:rsidR="003C49C4" w:rsidRPr="003C49C4">
              <w:rPr>
                <w:rFonts w:eastAsiaTheme="majorEastAsia" w:cstheme="majorBidi"/>
                <w:bCs/>
                <w:snapToGrid/>
                <w:vertAlign w:val="superscript"/>
              </w:rPr>
              <w:t>5</w:t>
            </w:r>
          </w:p>
          <w:p w14:paraId="2BAB15FE" w14:textId="712FF49A"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3: </w:t>
            </w:r>
            <w:r w:rsidR="00BD3549" w:rsidRPr="00BD3549">
              <w:rPr>
                <w:rFonts w:eastAsiaTheme="majorEastAsia" w:cstheme="majorBidi"/>
                <w:bCs/>
                <w:snapToGrid/>
                <w:color w:val="000000"/>
                <w:spacing w:val="53"/>
                <w:shd w:val="solid" w:color="000000" w:fill="000000"/>
                <w:fitText w:val="330" w:id="-893676542"/>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2"/>
                <w14:textFill>
                  <w14:solidFill>
                    <w14:srgbClr w14:val="000000">
                      <w14:alpha w14:val="100000"/>
                    </w14:srgbClr>
                  </w14:solidFill>
                </w14:textFill>
              </w:rPr>
              <w:t>|</w:t>
            </w:r>
            <w:r w:rsidR="00685A71" w:rsidRPr="00685A71">
              <w:rPr>
                <w:rFonts w:eastAsiaTheme="majorEastAsia" w:cstheme="majorBidi"/>
                <w:bCs/>
                <w:snapToGrid/>
                <w:vertAlign w:val="superscript"/>
              </w:rPr>
              <w:t>6</w:t>
            </w:r>
          </w:p>
          <w:p w14:paraId="5D777861" w14:textId="01BCF944"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4: </w:t>
            </w:r>
            <w:r w:rsidR="00BD3549" w:rsidRPr="00BD3549">
              <w:rPr>
                <w:rFonts w:eastAsiaTheme="majorEastAsia" w:cstheme="majorBidi"/>
                <w:bCs/>
                <w:snapToGrid/>
                <w:color w:val="000000"/>
                <w:spacing w:val="53"/>
                <w:shd w:val="solid" w:color="000000" w:fill="000000"/>
                <w:fitText w:val="330" w:id="-893676541"/>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1"/>
                <w14:textFill>
                  <w14:solidFill>
                    <w14:srgbClr w14:val="000000">
                      <w14:alpha w14:val="100000"/>
                    </w14:srgbClr>
                  </w14:solidFill>
                </w14:textFill>
              </w:rPr>
              <w:t>|</w:t>
            </w:r>
            <w:r w:rsidR="00685A71" w:rsidRPr="00685A71">
              <w:rPr>
                <w:rFonts w:eastAsiaTheme="majorEastAsia" w:cstheme="majorBidi"/>
                <w:bCs/>
                <w:snapToGrid/>
                <w:vertAlign w:val="superscript"/>
              </w:rPr>
              <w:t>6</w:t>
            </w:r>
          </w:p>
          <w:p w14:paraId="4B52098A" w14:textId="08A1254A"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5: </w:t>
            </w:r>
            <w:r w:rsidR="00BD3549" w:rsidRPr="00BD3549">
              <w:rPr>
                <w:rFonts w:eastAsiaTheme="majorEastAsia" w:cstheme="majorBidi"/>
                <w:bCs/>
                <w:snapToGrid/>
                <w:color w:val="000000"/>
                <w:spacing w:val="53"/>
                <w:shd w:val="solid" w:color="000000" w:fill="000000"/>
                <w:fitText w:val="330" w:id="-893676540"/>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0"/>
                <w14:textFill>
                  <w14:solidFill>
                    <w14:srgbClr w14:val="000000">
                      <w14:alpha w14:val="100000"/>
                    </w14:srgbClr>
                  </w14:solidFill>
                </w14:textFill>
              </w:rPr>
              <w:t>|</w:t>
            </w:r>
            <w:r w:rsidR="00685A71" w:rsidRPr="00685A71">
              <w:rPr>
                <w:rFonts w:eastAsiaTheme="majorEastAsia" w:cstheme="majorBidi"/>
                <w:bCs/>
                <w:snapToGrid/>
                <w:vertAlign w:val="superscript"/>
              </w:rPr>
              <w:t>6</w:t>
            </w:r>
          </w:p>
          <w:p w14:paraId="2544C6FB" w14:textId="7A3B98BC"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53"/>
                <w:shd w:val="solid" w:color="000000" w:fill="000000"/>
                <w:fitText w:val="330" w:id="-893676539"/>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9"/>
                <w14:textFill>
                  <w14:solidFill>
                    <w14:srgbClr w14:val="000000">
                      <w14:alpha w14:val="100000"/>
                    </w14:srgbClr>
                  </w14:solidFill>
                </w14:textFill>
              </w:rPr>
              <w:t>|</w:t>
            </w:r>
            <w:r w:rsidR="00685A71" w:rsidRPr="00685A71">
              <w:rPr>
                <w:rFonts w:eastAsiaTheme="majorEastAsia" w:cstheme="majorBidi"/>
                <w:bCs/>
                <w:snapToGrid/>
                <w:vertAlign w:val="superscript"/>
              </w:rPr>
              <w:t>6</w:t>
            </w:r>
          </w:p>
          <w:p w14:paraId="5A924879" w14:textId="77777777" w:rsidR="00683B0C" w:rsidRPr="001611DC" w:rsidRDefault="00683B0C" w:rsidP="00053B12">
            <w:pPr>
              <w:pStyle w:val="Tabletext"/>
              <w:rPr>
                <w:rFonts w:eastAsiaTheme="majorEastAsia" w:cstheme="majorBidi"/>
                <w:bCs/>
                <w:snapToGrid/>
              </w:rPr>
            </w:pPr>
          </w:p>
          <w:p w14:paraId="38F33A20"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75 YOA</w:t>
            </w:r>
          </w:p>
          <w:p w14:paraId="6609B43D" w14:textId="046D8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1: </w:t>
            </w:r>
            <w:r w:rsidR="00BD3549" w:rsidRPr="00BD3549">
              <w:rPr>
                <w:rFonts w:eastAsiaTheme="majorEastAsia" w:cstheme="majorBidi"/>
                <w:bCs/>
                <w:snapToGrid/>
                <w:color w:val="000000"/>
                <w:spacing w:val="53"/>
                <w:shd w:val="solid" w:color="000000" w:fill="000000"/>
                <w:fitText w:val="330" w:id="-893676538"/>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8"/>
                <w14:textFill>
                  <w14:solidFill>
                    <w14:srgbClr w14:val="000000">
                      <w14:alpha w14:val="100000"/>
                    </w14:srgbClr>
                  </w14:solidFill>
                </w14:textFill>
              </w:rPr>
              <w:t>|</w:t>
            </w:r>
            <w:r w:rsidR="008A03BD" w:rsidRPr="008A03BD">
              <w:rPr>
                <w:rFonts w:eastAsiaTheme="majorEastAsia" w:cstheme="majorBidi"/>
                <w:bCs/>
                <w:snapToGrid/>
                <w:vertAlign w:val="superscript"/>
              </w:rPr>
              <w:t>7</w:t>
            </w:r>
          </w:p>
          <w:p w14:paraId="1D548777" w14:textId="1A77E6C4"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2: </w:t>
            </w:r>
            <w:r w:rsidR="00BD3549" w:rsidRPr="00BD3549">
              <w:rPr>
                <w:rFonts w:eastAsiaTheme="majorEastAsia" w:cstheme="majorBidi"/>
                <w:bCs/>
                <w:snapToGrid/>
                <w:color w:val="000000"/>
                <w:spacing w:val="53"/>
                <w:shd w:val="solid" w:color="000000" w:fill="000000"/>
                <w:fitText w:val="330" w:id="-893676537"/>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7"/>
                <w14:textFill>
                  <w14:solidFill>
                    <w14:srgbClr w14:val="000000">
                      <w14:alpha w14:val="100000"/>
                    </w14:srgbClr>
                  </w14:solidFill>
                </w14:textFill>
              </w:rPr>
              <w:t>|</w:t>
            </w:r>
            <w:r w:rsidR="00B82373" w:rsidRPr="00B82373">
              <w:rPr>
                <w:rFonts w:eastAsiaTheme="majorEastAsia" w:cstheme="majorBidi"/>
                <w:bCs/>
                <w:snapToGrid/>
                <w:vertAlign w:val="superscript"/>
              </w:rPr>
              <w:t>2</w:t>
            </w:r>
          </w:p>
          <w:p w14:paraId="4EDDAB02" w14:textId="29635AC0"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3: </w:t>
            </w:r>
            <w:r w:rsidR="00BD3549" w:rsidRPr="00BD3549">
              <w:rPr>
                <w:rFonts w:eastAsiaTheme="majorEastAsia" w:cstheme="majorBidi"/>
                <w:bCs/>
                <w:snapToGrid/>
                <w:color w:val="000000"/>
                <w:spacing w:val="53"/>
                <w:shd w:val="solid" w:color="000000" w:fill="000000"/>
                <w:fitText w:val="330" w:id="-893676536"/>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6"/>
                <w14:textFill>
                  <w14:solidFill>
                    <w14:srgbClr w14:val="000000">
                      <w14:alpha w14:val="100000"/>
                    </w14:srgbClr>
                  </w14:solidFill>
                </w14:textFill>
              </w:rPr>
              <w:t>|</w:t>
            </w:r>
            <w:r w:rsidR="00B82373" w:rsidRPr="00B82373">
              <w:rPr>
                <w:rFonts w:eastAsiaTheme="majorEastAsia" w:cstheme="majorBidi"/>
                <w:bCs/>
                <w:snapToGrid/>
                <w:vertAlign w:val="superscript"/>
              </w:rPr>
              <w:t>2</w:t>
            </w:r>
          </w:p>
          <w:p w14:paraId="28F65035" w14:textId="20DF5C92"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4: </w:t>
            </w:r>
            <w:r w:rsidR="00BD3549" w:rsidRPr="00BD3549">
              <w:rPr>
                <w:rFonts w:eastAsiaTheme="majorEastAsia" w:cstheme="majorBidi"/>
                <w:bCs/>
                <w:snapToGrid/>
                <w:color w:val="000000"/>
                <w:spacing w:val="53"/>
                <w:shd w:val="solid" w:color="000000" w:fill="000000"/>
                <w:fitText w:val="330" w:id="-893676535"/>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5"/>
                <w14:textFill>
                  <w14:solidFill>
                    <w14:srgbClr w14:val="000000">
                      <w14:alpha w14:val="100000"/>
                    </w14:srgbClr>
                  </w14:solidFill>
                </w14:textFill>
              </w:rPr>
              <w:t>|</w:t>
            </w:r>
            <w:r w:rsidR="00B82373" w:rsidRPr="00B82373">
              <w:rPr>
                <w:rFonts w:eastAsiaTheme="majorEastAsia" w:cstheme="majorBidi"/>
                <w:bCs/>
                <w:snapToGrid/>
                <w:vertAlign w:val="superscript"/>
              </w:rPr>
              <w:t>2</w:t>
            </w:r>
          </w:p>
          <w:p w14:paraId="0C6FCAFD" w14:textId="084CC8A3"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5: </w:t>
            </w:r>
            <w:r w:rsidR="00BD3549" w:rsidRPr="00BD3549">
              <w:rPr>
                <w:rFonts w:eastAsiaTheme="majorEastAsia" w:cstheme="majorBidi"/>
                <w:bCs/>
                <w:snapToGrid/>
                <w:color w:val="000000"/>
                <w:spacing w:val="53"/>
                <w:shd w:val="solid" w:color="000000" w:fill="000000"/>
                <w:fitText w:val="330" w:id="-893676534"/>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4"/>
                <w14:textFill>
                  <w14:solidFill>
                    <w14:srgbClr w14:val="000000">
                      <w14:alpha w14:val="100000"/>
                    </w14:srgbClr>
                  </w14:solidFill>
                </w14:textFill>
              </w:rPr>
              <w:t>|</w:t>
            </w:r>
            <w:r w:rsidR="00B82373" w:rsidRPr="00B82373">
              <w:rPr>
                <w:rFonts w:eastAsiaTheme="majorEastAsia" w:cstheme="majorBidi"/>
                <w:bCs/>
                <w:snapToGrid/>
                <w:vertAlign w:val="superscript"/>
              </w:rPr>
              <w:t>2</w:t>
            </w:r>
          </w:p>
          <w:p w14:paraId="37CAF532" w14:textId="7AE682F8"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Yr 6: </w:t>
            </w:r>
            <w:r w:rsidR="00BD3549" w:rsidRPr="00BD3549">
              <w:rPr>
                <w:rFonts w:eastAsiaTheme="majorEastAsia" w:cstheme="majorBidi"/>
                <w:bCs/>
                <w:snapToGrid/>
                <w:color w:val="000000"/>
                <w:spacing w:val="53"/>
                <w:shd w:val="solid" w:color="000000" w:fill="000000"/>
                <w:fitText w:val="330" w:id="-893676533"/>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3"/>
                <w14:textFill>
                  <w14:solidFill>
                    <w14:srgbClr w14:val="000000">
                      <w14:alpha w14:val="100000"/>
                    </w14:srgbClr>
                  </w14:solidFill>
                </w14:textFill>
              </w:rPr>
              <w:t>|</w:t>
            </w:r>
            <w:r w:rsidR="00B82373" w:rsidRPr="00B82373">
              <w:rPr>
                <w:rFonts w:eastAsiaTheme="majorEastAsia" w:cstheme="majorBidi"/>
                <w:bCs/>
                <w:snapToGrid/>
                <w:vertAlign w:val="superscript"/>
              </w:rPr>
              <w:t>2</w:t>
            </w:r>
          </w:p>
        </w:tc>
        <w:tc>
          <w:tcPr>
            <w:tcW w:w="2268" w:type="dxa"/>
          </w:tcPr>
          <w:p w14:paraId="002D5C3B" w14:textId="366EDE5F"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xml:space="preserve">Total </w:t>
            </w:r>
            <w:r w:rsidR="007B6A18" w:rsidRPr="001611DC">
              <w:rPr>
                <w:rFonts w:eastAsiaTheme="majorEastAsia" w:cstheme="majorBidi"/>
                <w:bCs/>
                <w:snapToGrid/>
              </w:rPr>
              <w:t>population multiplied</w:t>
            </w:r>
            <w:r w:rsidRPr="001611DC">
              <w:rPr>
                <w:rFonts w:eastAsiaTheme="majorEastAsia" w:cstheme="majorBidi"/>
                <w:bCs/>
                <w:snapToGrid/>
              </w:rPr>
              <w:t xml:space="preserve"> by uptake rate. Assumed no revaccination </w:t>
            </w:r>
          </w:p>
        </w:tc>
        <w:tc>
          <w:tcPr>
            <w:tcW w:w="1984" w:type="dxa"/>
          </w:tcPr>
          <w:p w14:paraId="6737E77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Incorrect uptake rates applied to the ≥ 75 YOA newly eligible population (2025-27) impacted doses dispensed.</w:t>
            </w:r>
          </w:p>
        </w:tc>
        <w:tc>
          <w:tcPr>
            <w:tcW w:w="1701" w:type="dxa"/>
          </w:tcPr>
          <w:p w14:paraId="66B7F4F5" w14:textId="4D2C4BC8" w:rsidR="00683B0C" w:rsidRPr="001611DC" w:rsidRDefault="00683B0C" w:rsidP="00053B12">
            <w:pPr>
              <w:pStyle w:val="Tabletext"/>
              <w:rPr>
                <w:rFonts w:eastAsiaTheme="majorEastAsia" w:cstheme="majorBidi"/>
                <w:bCs/>
                <w:iCs/>
                <w:snapToGrid/>
              </w:rPr>
            </w:pPr>
            <w:r w:rsidRPr="001611DC">
              <w:rPr>
                <w:rFonts w:eastAsiaTheme="majorEastAsia" w:cstheme="majorBidi"/>
                <w:bCs/>
                <w:iCs/>
                <w:snapToGrid/>
              </w:rPr>
              <w:t xml:space="preserve">DUSC noted the PSCR (acknowledged the correction made in the commentary and confirmed that the corrected outputs for newly eligible </w:t>
            </w:r>
            <w:r w:rsidR="007B6A18" w:rsidRPr="001611DC">
              <w:rPr>
                <w:rFonts w:eastAsiaTheme="majorEastAsia" w:cstheme="majorBidi"/>
                <w:bCs/>
                <w:iCs/>
                <w:snapToGrid/>
              </w:rPr>
              <w:t>individuals</w:t>
            </w:r>
            <w:r w:rsidRPr="001611DC">
              <w:rPr>
                <w:rFonts w:eastAsiaTheme="majorEastAsia" w:cstheme="majorBidi"/>
                <w:bCs/>
                <w:iCs/>
                <w:snapToGrid/>
              </w:rPr>
              <w:t xml:space="preserve"> in the ≥75 YOA were appropriate. </w:t>
            </w:r>
          </w:p>
          <w:p w14:paraId="3A3D47BA" w14:textId="77777777" w:rsidR="00683B0C" w:rsidRPr="001611DC" w:rsidRDefault="00683B0C" w:rsidP="00053B12">
            <w:pPr>
              <w:pStyle w:val="Tabletext"/>
              <w:rPr>
                <w:rFonts w:eastAsiaTheme="majorEastAsia" w:cstheme="majorBidi"/>
                <w:bCs/>
                <w:i/>
                <w:iCs/>
                <w:snapToGrid/>
              </w:rPr>
            </w:pPr>
          </w:p>
        </w:tc>
      </w:tr>
      <w:tr w:rsidR="0095174E" w:rsidRPr="001611DC" w14:paraId="5F37F4CA" w14:textId="77777777">
        <w:trPr>
          <w:cantSplit/>
        </w:trPr>
        <w:tc>
          <w:tcPr>
            <w:tcW w:w="6941" w:type="dxa"/>
            <w:gridSpan w:val="4"/>
            <w:vAlign w:val="center"/>
          </w:tcPr>
          <w:p w14:paraId="725EBEE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Costs</w:t>
            </w:r>
          </w:p>
        </w:tc>
        <w:tc>
          <w:tcPr>
            <w:tcW w:w="1701" w:type="dxa"/>
          </w:tcPr>
          <w:p w14:paraId="37CEF6EB" w14:textId="77777777" w:rsidR="00683B0C" w:rsidRPr="001611DC" w:rsidRDefault="00683B0C" w:rsidP="00053B12">
            <w:pPr>
              <w:pStyle w:val="Tabletext"/>
              <w:rPr>
                <w:rFonts w:eastAsiaTheme="majorEastAsia" w:cstheme="majorBidi"/>
                <w:bCs/>
                <w:snapToGrid/>
              </w:rPr>
            </w:pPr>
          </w:p>
        </w:tc>
      </w:tr>
      <w:tr w:rsidR="0095174E" w:rsidRPr="001611DC" w14:paraId="6E8FDCA6" w14:textId="77777777">
        <w:trPr>
          <w:cantSplit/>
        </w:trPr>
        <w:tc>
          <w:tcPr>
            <w:tcW w:w="1000" w:type="dxa"/>
          </w:tcPr>
          <w:p w14:paraId="424E5D66"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RSVPreF3 OA</w:t>
            </w:r>
          </w:p>
        </w:tc>
        <w:tc>
          <w:tcPr>
            <w:tcW w:w="1689" w:type="dxa"/>
          </w:tcPr>
          <w:p w14:paraId="5361D843" w14:textId="5A0706CB"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w:t>
            </w:r>
            <w:r w:rsidR="00BD3549" w:rsidRPr="00BD3549">
              <w:rPr>
                <w:rFonts w:eastAsiaTheme="majorEastAsia" w:cstheme="majorBidi"/>
                <w:bCs/>
                <w:snapToGrid/>
                <w:color w:val="000000"/>
                <w:spacing w:val="53"/>
                <w:shd w:val="solid" w:color="000000" w:fill="000000"/>
                <w:fitText w:val="330" w:id="-893676532"/>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32"/>
                <w14:textFill>
                  <w14:solidFill>
                    <w14:srgbClr w14:val="000000">
                      <w14:alpha w14:val="100000"/>
                    </w14:srgbClr>
                  </w14:solidFill>
                </w14:textFill>
              </w:rPr>
              <w:t>|</w:t>
            </w:r>
          </w:p>
        </w:tc>
        <w:tc>
          <w:tcPr>
            <w:tcW w:w="2268" w:type="dxa"/>
          </w:tcPr>
          <w:p w14:paraId="6BB263BF"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Requested price</w:t>
            </w:r>
          </w:p>
        </w:tc>
        <w:tc>
          <w:tcPr>
            <w:tcW w:w="1984" w:type="dxa"/>
          </w:tcPr>
          <w:p w14:paraId="35A97552"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The submission did not apply administration costs underestimating costs to the MBS.</w:t>
            </w:r>
          </w:p>
        </w:tc>
        <w:tc>
          <w:tcPr>
            <w:tcW w:w="1701" w:type="dxa"/>
          </w:tcPr>
          <w:p w14:paraId="4106AA06" w14:textId="77777777" w:rsidR="00683B0C" w:rsidRPr="001611DC" w:rsidRDefault="00683B0C" w:rsidP="00053B12">
            <w:pPr>
              <w:pStyle w:val="Tabletext"/>
              <w:rPr>
                <w:rFonts w:eastAsiaTheme="majorEastAsia" w:cstheme="majorBidi"/>
                <w:bCs/>
                <w:iCs/>
                <w:snapToGrid/>
              </w:rPr>
            </w:pPr>
          </w:p>
        </w:tc>
      </w:tr>
      <w:tr w:rsidR="0095174E" w:rsidRPr="001611DC" w14:paraId="6932B7E1" w14:textId="77777777">
        <w:trPr>
          <w:cantSplit/>
        </w:trPr>
        <w:tc>
          <w:tcPr>
            <w:tcW w:w="1000" w:type="dxa"/>
          </w:tcPr>
          <w:p w14:paraId="48837469"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RSV-LRTD</w:t>
            </w:r>
          </w:p>
        </w:tc>
        <w:tc>
          <w:tcPr>
            <w:tcW w:w="1689" w:type="dxa"/>
          </w:tcPr>
          <w:p w14:paraId="7615C957" w14:textId="022EBBB5"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60-64 YOA: $</w:t>
            </w:r>
            <w:r w:rsidR="00BD3549" w:rsidRPr="00BD3549">
              <w:rPr>
                <w:rFonts w:eastAsiaTheme="majorEastAsia" w:cstheme="majorBidi"/>
                <w:bCs/>
                <w:snapToGrid/>
                <w:color w:val="000000"/>
                <w:spacing w:val="48"/>
                <w:shd w:val="solid" w:color="000000" w:fill="000000"/>
                <w:fitText w:val="315" w:id="-893676531"/>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31"/>
                <w14:textFill>
                  <w14:solidFill>
                    <w14:srgbClr w14:val="000000">
                      <w14:alpha w14:val="100000"/>
                    </w14:srgbClr>
                  </w14:solidFill>
                </w14:textFill>
              </w:rPr>
              <w:t>|</w:t>
            </w:r>
          </w:p>
          <w:p w14:paraId="3CDA0FB5" w14:textId="11141960"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65-69 YOA: $</w:t>
            </w:r>
            <w:r w:rsidR="00BD3549" w:rsidRPr="00BD3549">
              <w:rPr>
                <w:rFonts w:eastAsiaTheme="majorEastAsia" w:cstheme="majorBidi"/>
                <w:bCs/>
                <w:snapToGrid/>
                <w:color w:val="000000"/>
                <w:spacing w:val="48"/>
                <w:shd w:val="solid" w:color="000000" w:fill="000000"/>
                <w:fitText w:val="315" w:id="-893676530"/>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30"/>
                <w14:textFill>
                  <w14:solidFill>
                    <w14:srgbClr w14:val="000000">
                      <w14:alpha w14:val="100000"/>
                    </w14:srgbClr>
                  </w14:solidFill>
                </w14:textFill>
              </w:rPr>
              <w:t>|</w:t>
            </w:r>
          </w:p>
          <w:p w14:paraId="14996B66" w14:textId="566FB7C0"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70-74 YOA: $</w:t>
            </w:r>
            <w:r w:rsidR="00BD3549" w:rsidRPr="00BD3549">
              <w:rPr>
                <w:rFonts w:eastAsiaTheme="majorEastAsia" w:cstheme="majorBidi"/>
                <w:bCs/>
                <w:snapToGrid/>
                <w:color w:val="000000"/>
                <w:spacing w:val="48"/>
                <w:shd w:val="solid" w:color="000000" w:fill="000000"/>
                <w:fitText w:val="315" w:id="-893676529"/>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29"/>
                <w14:textFill>
                  <w14:solidFill>
                    <w14:srgbClr w14:val="000000">
                      <w14:alpha w14:val="100000"/>
                    </w14:srgbClr>
                  </w14:solidFill>
                </w14:textFill>
              </w:rPr>
              <w:t>|</w:t>
            </w:r>
          </w:p>
          <w:p w14:paraId="5CB9D6F5" w14:textId="33BA4A36"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75-79 YOA: $</w:t>
            </w:r>
            <w:r w:rsidR="00BD3549" w:rsidRPr="00BD3549">
              <w:rPr>
                <w:rFonts w:eastAsiaTheme="majorEastAsia" w:cstheme="majorBidi"/>
                <w:bCs/>
                <w:snapToGrid/>
                <w:color w:val="000000"/>
                <w:spacing w:val="48"/>
                <w:shd w:val="solid" w:color="000000" w:fill="000000"/>
                <w:fitText w:val="315" w:id="-893676528"/>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28"/>
                <w14:textFill>
                  <w14:solidFill>
                    <w14:srgbClr w14:val="000000">
                      <w14:alpha w14:val="100000"/>
                    </w14:srgbClr>
                  </w14:solidFill>
                </w14:textFill>
              </w:rPr>
              <w:t>|</w:t>
            </w:r>
          </w:p>
          <w:p w14:paraId="607869F7" w14:textId="6C303912"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80-84 YOA: $</w:t>
            </w:r>
            <w:r w:rsidR="00BD3549" w:rsidRPr="00BD3549">
              <w:rPr>
                <w:rFonts w:eastAsiaTheme="majorEastAsia" w:cstheme="majorBidi"/>
                <w:bCs/>
                <w:snapToGrid/>
                <w:color w:val="000000"/>
                <w:spacing w:val="48"/>
                <w:shd w:val="solid" w:color="000000" w:fill="000000"/>
                <w:fitText w:val="315" w:id="-893676544"/>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44"/>
                <w14:textFill>
                  <w14:solidFill>
                    <w14:srgbClr w14:val="000000">
                      <w14:alpha w14:val="100000"/>
                    </w14:srgbClr>
                  </w14:solidFill>
                </w14:textFill>
              </w:rPr>
              <w:t>|</w:t>
            </w:r>
          </w:p>
          <w:p w14:paraId="06861754" w14:textId="6FC5FF5C"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85 YOA: $</w:t>
            </w:r>
            <w:r w:rsidR="00BD3549" w:rsidRPr="00BD3549">
              <w:rPr>
                <w:rFonts w:eastAsiaTheme="majorEastAsia" w:cstheme="majorBidi"/>
                <w:bCs/>
                <w:snapToGrid/>
                <w:color w:val="000000"/>
                <w:spacing w:val="53"/>
                <w:shd w:val="solid" w:color="000000" w:fill="000000"/>
                <w:fitText w:val="330" w:id="-893676543"/>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3"/>
                <w14:textFill>
                  <w14:solidFill>
                    <w14:srgbClr w14:val="000000">
                      <w14:alpha w14:val="100000"/>
                    </w14:srgbClr>
                  </w14:solidFill>
                </w14:textFill>
              </w:rPr>
              <w:t>|</w:t>
            </w:r>
          </w:p>
        </w:tc>
        <w:tc>
          <w:tcPr>
            <w:tcW w:w="2268" w:type="dxa"/>
          </w:tcPr>
          <w:p w14:paraId="6139A8E3"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Section 3 of the commentary on the submission for details. Included GP visits, specialist visits, RSV testing, pathology, x-rays, bronchodilators, ED visits, ambulance, hospitalisations (considering ICU and MV), LTCF admissions, post-hospital GP, and antibiotics.</w:t>
            </w:r>
          </w:p>
        </w:tc>
        <w:tc>
          <w:tcPr>
            <w:tcW w:w="1984" w:type="dxa"/>
          </w:tcPr>
          <w:p w14:paraId="7C10EF38" w14:textId="554A2D43"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Issues with resources used were discussed in Section 3.6 of the Commentary. Likely overestimated as hospitalisation costs were calculated using NHCDC cost weights adjusted for ICU and LOS.</w:t>
            </w:r>
            <w:r w:rsidR="001F4410">
              <w:rPr>
                <w:rFonts w:eastAsiaTheme="majorEastAsia" w:cstheme="majorBidi"/>
                <w:bCs/>
                <w:snapToGrid/>
              </w:rPr>
              <w:t xml:space="preserve"> </w:t>
            </w:r>
            <w:r w:rsidRPr="001611DC">
              <w:rPr>
                <w:rFonts w:eastAsiaTheme="majorEastAsia" w:cstheme="majorBidi"/>
                <w:bCs/>
                <w:snapToGrid/>
              </w:rPr>
              <w:t xml:space="preserve"> </w:t>
            </w:r>
          </w:p>
        </w:tc>
        <w:tc>
          <w:tcPr>
            <w:tcW w:w="1701" w:type="dxa"/>
          </w:tcPr>
          <w:p w14:paraId="30B6209F" w14:textId="77777777" w:rsidR="00683B0C" w:rsidRPr="001611DC" w:rsidRDefault="00683B0C" w:rsidP="00053B12">
            <w:pPr>
              <w:pStyle w:val="Tabletext"/>
              <w:rPr>
                <w:rFonts w:eastAsiaTheme="majorEastAsia" w:cstheme="majorBidi"/>
                <w:bCs/>
                <w:iCs/>
                <w:snapToGrid/>
              </w:rPr>
            </w:pPr>
          </w:p>
        </w:tc>
      </w:tr>
      <w:tr w:rsidR="0095174E" w:rsidRPr="001611DC" w14:paraId="69D27407" w14:textId="77777777">
        <w:trPr>
          <w:cantSplit/>
        </w:trPr>
        <w:tc>
          <w:tcPr>
            <w:tcW w:w="1000" w:type="dxa"/>
          </w:tcPr>
          <w:p w14:paraId="7934D31F"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RSV-URTD</w:t>
            </w:r>
          </w:p>
        </w:tc>
        <w:tc>
          <w:tcPr>
            <w:tcW w:w="1689" w:type="dxa"/>
          </w:tcPr>
          <w:p w14:paraId="7A943D2D" w14:textId="1F558C0E"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60-64 YOA: $</w:t>
            </w:r>
            <w:r w:rsidR="00BD3549" w:rsidRPr="00BD3549">
              <w:rPr>
                <w:rFonts w:eastAsiaTheme="majorEastAsia" w:cstheme="majorBidi"/>
                <w:bCs/>
                <w:snapToGrid/>
                <w:color w:val="000000"/>
                <w:spacing w:val="48"/>
                <w:shd w:val="solid" w:color="000000" w:fill="000000"/>
                <w:fitText w:val="315" w:id="-893676542"/>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15" w:id="-893676542"/>
                <w14:textFill>
                  <w14:solidFill>
                    <w14:srgbClr w14:val="000000">
                      <w14:alpha w14:val="100000"/>
                    </w14:srgbClr>
                  </w14:solidFill>
                </w14:textFill>
              </w:rPr>
              <w:t>|</w:t>
            </w:r>
          </w:p>
          <w:p w14:paraId="23FBDD5D" w14:textId="42704DD4"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 65 YOA: $</w:t>
            </w:r>
            <w:r w:rsidR="00BD3549" w:rsidRPr="00BD3549">
              <w:rPr>
                <w:rFonts w:eastAsiaTheme="majorEastAsia" w:cstheme="majorBidi"/>
                <w:bCs/>
                <w:snapToGrid/>
                <w:color w:val="000000"/>
                <w:spacing w:val="53"/>
                <w:shd w:val="solid" w:color="000000" w:fill="000000"/>
                <w:fitText w:val="330" w:id="-893676541"/>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1"/>
                <w14:textFill>
                  <w14:solidFill>
                    <w14:srgbClr w14:val="000000">
                      <w14:alpha w14:val="100000"/>
                    </w14:srgbClr>
                  </w14:solidFill>
                </w14:textFill>
              </w:rPr>
              <w:t>|</w:t>
            </w:r>
          </w:p>
        </w:tc>
        <w:tc>
          <w:tcPr>
            <w:tcW w:w="2268" w:type="dxa"/>
          </w:tcPr>
          <w:p w14:paraId="1067EF90"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Section 3 of the commentary on the submission for details. Included GP visits, specialist visits, RSV testing, pathology, x-rays, bronchodilators.</w:t>
            </w:r>
          </w:p>
        </w:tc>
        <w:tc>
          <w:tcPr>
            <w:tcW w:w="1984" w:type="dxa"/>
          </w:tcPr>
          <w:p w14:paraId="7E5E1251"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Issues with resources used were discussed in Section 3.6 of the Commentary.</w:t>
            </w:r>
          </w:p>
        </w:tc>
        <w:tc>
          <w:tcPr>
            <w:tcW w:w="1701" w:type="dxa"/>
          </w:tcPr>
          <w:p w14:paraId="79F1B7AA" w14:textId="77777777" w:rsidR="00683B0C" w:rsidRPr="001611DC" w:rsidRDefault="00683B0C" w:rsidP="00053B12">
            <w:pPr>
              <w:pStyle w:val="Tabletext"/>
              <w:rPr>
                <w:rFonts w:eastAsiaTheme="majorEastAsia" w:cstheme="majorBidi"/>
                <w:bCs/>
                <w:iCs/>
                <w:snapToGrid/>
              </w:rPr>
            </w:pPr>
          </w:p>
        </w:tc>
      </w:tr>
      <w:tr w:rsidR="0095174E" w:rsidRPr="001611DC" w14:paraId="2BD305D6" w14:textId="77777777">
        <w:trPr>
          <w:cantSplit/>
        </w:trPr>
        <w:tc>
          <w:tcPr>
            <w:tcW w:w="1000" w:type="dxa"/>
          </w:tcPr>
          <w:p w14:paraId="6AC30A93"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Vaccine-related AE</w:t>
            </w:r>
          </w:p>
        </w:tc>
        <w:tc>
          <w:tcPr>
            <w:tcW w:w="1689" w:type="dxa"/>
          </w:tcPr>
          <w:p w14:paraId="5779ACAD" w14:textId="2A0A1F65"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w:t>
            </w:r>
            <w:r w:rsidR="00BD3549" w:rsidRPr="00BD3549">
              <w:rPr>
                <w:rFonts w:eastAsiaTheme="majorEastAsia" w:cstheme="majorBidi"/>
                <w:bCs/>
                <w:snapToGrid/>
                <w:color w:val="000000"/>
                <w:spacing w:val="53"/>
                <w:shd w:val="solid" w:color="000000" w:fill="000000"/>
                <w:fitText w:val="330" w:id="-893676540"/>
                <w14:textFill>
                  <w14:solidFill>
                    <w14:srgbClr w14:val="000000">
                      <w14:alpha w14:val="100000"/>
                    </w14:srgbClr>
                  </w14:solidFill>
                </w14:textFill>
              </w:rPr>
              <w:t>|||</w:t>
            </w:r>
            <w:r w:rsidR="00BD3549" w:rsidRPr="00BD3549">
              <w:rPr>
                <w:rFonts w:eastAsiaTheme="majorEastAsia" w:cstheme="majorBidi"/>
                <w:bCs/>
                <w:snapToGrid/>
                <w:color w:val="000000"/>
                <w:spacing w:val="1"/>
                <w:shd w:val="solid" w:color="000000" w:fill="000000"/>
                <w:fitText w:val="330" w:id="-893676540"/>
                <w14:textFill>
                  <w14:solidFill>
                    <w14:srgbClr w14:val="000000">
                      <w14:alpha w14:val="100000"/>
                    </w14:srgbClr>
                  </w14:solidFill>
                </w14:textFill>
              </w:rPr>
              <w:t>|</w:t>
            </w:r>
          </w:p>
        </w:tc>
        <w:tc>
          <w:tcPr>
            <w:tcW w:w="2268" w:type="dxa"/>
          </w:tcPr>
          <w:p w14:paraId="71E24BAD"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Section 3 of the commentary on the submission for details. Included GP visits and hospitalisations.</w:t>
            </w:r>
          </w:p>
        </w:tc>
        <w:tc>
          <w:tcPr>
            <w:tcW w:w="1984" w:type="dxa"/>
          </w:tcPr>
          <w:p w14:paraId="117E1C18" w14:textId="77777777" w:rsidR="00683B0C" w:rsidRPr="001611DC" w:rsidRDefault="00683B0C" w:rsidP="00053B12">
            <w:pPr>
              <w:pStyle w:val="Tabletext"/>
              <w:rPr>
                <w:rFonts w:eastAsiaTheme="majorEastAsia" w:cstheme="majorBidi"/>
                <w:bCs/>
                <w:snapToGrid/>
              </w:rPr>
            </w:pPr>
            <w:r w:rsidRPr="001611DC">
              <w:rPr>
                <w:rFonts w:eastAsiaTheme="majorEastAsia" w:cstheme="majorBidi"/>
                <w:bCs/>
                <w:snapToGrid/>
              </w:rPr>
              <w:t>Issues with resources used were discussed in Section 3.6 of the Commentary.</w:t>
            </w:r>
          </w:p>
        </w:tc>
        <w:tc>
          <w:tcPr>
            <w:tcW w:w="1701" w:type="dxa"/>
          </w:tcPr>
          <w:p w14:paraId="2E087C18" w14:textId="77777777" w:rsidR="00683B0C" w:rsidRPr="001611DC" w:rsidRDefault="00683B0C" w:rsidP="00053B12">
            <w:pPr>
              <w:pStyle w:val="Tabletext"/>
              <w:rPr>
                <w:rFonts w:eastAsiaTheme="majorEastAsia" w:cstheme="majorBidi"/>
                <w:bCs/>
                <w:iCs/>
                <w:snapToGrid/>
              </w:rPr>
            </w:pPr>
          </w:p>
        </w:tc>
      </w:tr>
    </w:tbl>
    <w:p w14:paraId="1404E258" w14:textId="421B71F6" w:rsidR="00C20DDD" w:rsidRPr="001611DC" w:rsidRDefault="00C20DDD" w:rsidP="00C20DDD">
      <w:pPr>
        <w:pStyle w:val="FooterTableFigure"/>
      </w:pPr>
      <w:r w:rsidRPr="001611DC">
        <w:t xml:space="preserve">Source: Table </w:t>
      </w:r>
      <w:r w:rsidR="00053B12" w:rsidRPr="001611DC">
        <w:t>1, DUSC Advice.</w:t>
      </w:r>
    </w:p>
    <w:p w14:paraId="1A6C0850" w14:textId="77777777" w:rsidR="00C20DDD" w:rsidRDefault="00C20DDD" w:rsidP="00C20DDD">
      <w:pPr>
        <w:pStyle w:val="FooterTableFigure"/>
      </w:pPr>
      <w:r w:rsidRPr="001611DC">
        <w:t xml:space="preserve">ED = emergency department; GP = general practitioner; ICU = intensive care unit; LTCF = long-term care facilities; LOS = length of stay; </w:t>
      </w:r>
      <w:bookmarkStart w:id="177" w:name="_Hlk174450701"/>
      <w:r w:rsidRPr="001611DC">
        <w:t>MBS = Medicare Benefits Schedule; MV = mechanical ventilation; NCIRS = National Centre for Immunisation Research and Surveillance; NHCDC = National Hospital Cost Data Collection; NIP = National Immunisation Program; RSV = respiratory syncytial virus; RSVPreF3 OA = RSV prefusion protein 3 older adult; YOA = years of age; Yr = year.</w:t>
      </w:r>
      <w:bookmarkEnd w:id="177"/>
    </w:p>
    <w:p w14:paraId="4B1D4C2F" w14:textId="77777777" w:rsidR="005F46DC" w:rsidRPr="00397677" w:rsidRDefault="005F46DC" w:rsidP="005F46DC">
      <w:pPr>
        <w:pStyle w:val="FooterTableFigure"/>
        <w:rPr>
          <w:i/>
          <w:iCs/>
        </w:rPr>
      </w:pPr>
      <w:bookmarkStart w:id="178" w:name="_Hlk176782327"/>
      <w:r w:rsidRPr="00397677">
        <w:rPr>
          <w:i/>
          <w:iCs/>
        </w:rPr>
        <w:t>The redacted values correspond to the following ranges:</w:t>
      </w:r>
    </w:p>
    <w:p w14:paraId="7214E8B3" w14:textId="238EA32E" w:rsidR="00202E08" w:rsidRPr="00397677" w:rsidRDefault="00202E08" w:rsidP="000052E7">
      <w:pPr>
        <w:pStyle w:val="FooterTableFigure"/>
        <w:rPr>
          <w:i/>
          <w:iCs/>
        </w:rPr>
      </w:pPr>
      <w:r w:rsidRPr="00397677">
        <w:rPr>
          <w:i/>
          <w:iCs/>
          <w:vertAlign w:val="superscript"/>
        </w:rPr>
        <w:t>1</w:t>
      </w:r>
      <w:r w:rsidRPr="00397677">
        <w:rPr>
          <w:i/>
          <w:iCs/>
        </w:rPr>
        <w:t xml:space="preserve"> 300,000 to &lt; 400,000</w:t>
      </w:r>
    </w:p>
    <w:p w14:paraId="08AC93B2" w14:textId="52A18086" w:rsidR="000052E7" w:rsidRPr="00397677" w:rsidRDefault="006E36F7" w:rsidP="000052E7">
      <w:pPr>
        <w:pStyle w:val="FooterTableFigure"/>
        <w:rPr>
          <w:i/>
          <w:iCs/>
        </w:rPr>
      </w:pPr>
      <w:r w:rsidRPr="00397677">
        <w:rPr>
          <w:i/>
          <w:iCs/>
          <w:vertAlign w:val="superscript"/>
        </w:rPr>
        <w:t>2</w:t>
      </w:r>
      <w:r w:rsidRPr="00397677">
        <w:rPr>
          <w:i/>
          <w:iCs/>
        </w:rPr>
        <w:t xml:space="preserve"> </w:t>
      </w:r>
      <w:r w:rsidR="000052E7" w:rsidRPr="00397677">
        <w:rPr>
          <w:i/>
          <w:iCs/>
        </w:rPr>
        <w:t>200,000 to &lt; 300,000</w:t>
      </w:r>
    </w:p>
    <w:bookmarkEnd w:id="178"/>
    <w:p w14:paraId="38971385" w14:textId="77777777" w:rsidR="003E6C4F" w:rsidRPr="00397677" w:rsidRDefault="003E6C4F" w:rsidP="003E6C4F">
      <w:pPr>
        <w:pStyle w:val="FooterTableFigure"/>
        <w:rPr>
          <w:i/>
          <w:iCs/>
        </w:rPr>
      </w:pPr>
      <w:r w:rsidRPr="00397677">
        <w:rPr>
          <w:i/>
          <w:iCs/>
          <w:vertAlign w:val="superscript"/>
        </w:rPr>
        <w:t>3</w:t>
      </w:r>
      <w:r w:rsidRPr="00397677">
        <w:rPr>
          <w:i/>
          <w:iCs/>
        </w:rPr>
        <w:t xml:space="preserve"> 6,000,000 to &lt; 7,000,000</w:t>
      </w:r>
    </w:p>
    <w:p w14:paraId="2A49C667" w14:textId="5C40D845" w:rsidR="003E6C4F" w:rsidRPr="00397677" w:rsidRDefault="007F729F" w:rsidP="000052E7">
      <w:pPr>
        <w:pStyle w:val="FooterTableFigure"/>
        <w:rPr>
          <w:i/>
          <w:iCs/>
        </w:rPr>
      </w:pPr>
      <w:r w:rsidRPr="00397677">
        <w:rPr>
          <w:i/>
          <w:iCs/>
          <w:vertAlign w:val="superscript"/>
        </w:rPr>
        <w:t>4</w:t>
      </w:r>
      <w:r w:rsidRPr="00397677">
        <w:rPr>
          <w:i/>
          <w:iCs/>
        </w:rPr>
        <w:t xml:space="preserve"> 2,000,000 to &lt; 3,000,000</w:t>
      </w:r>
    </w:p>
    <w:p w14:paraId="22EE4F13" w14:textId="736630FF" w:rsidR="00F65D34" w:rsidRPr="00397677" w:rsidRDefault="00685A71" w:rsidP="000052E7">
      <w:pPr>
        <w:pStyle w:val="FooterTableFigure"/>
        <w:rPr>
          <w:i/>
          <w:iCs/>
        </w:rPr>
      </w:pPr>
      <w:r w:rsidRPr="00397677">
        <w:rPr>
          <w:i/>
          <w:iCs/>
          <w:vertAlign w:val="superscript"/>
        </w:rPr>
        <w:t>5</w:t>
      </w:r>
      <w:r w:rsidR="00F65D34" w:rsidRPr="00397677">
        <w:rPr>
          <w:i/>
          <w:iCs/>
        </w:rPr>
        <w:t xml:space="preserve"> 400,000 to &lt; 500,000</w:t>
      </w:r>
    </w:p>
    <w:p w14:paraId="284D4D95" w14:textId="3F2EA904" w:rsidR="000052E7" w:rsidRPr="00397677" w:rsidRDefault="00685A71" w:rsidP="000052E7">
      <w:pPr>
        <w:pStyle w:val="FooterTableFigure"/>
        <w:rPr>
          <w:i/>
          <w:iCs/>
        </w:rPr>
      </w:pPr>
      <w:r w:rsidRPr="00397677">
        <w:rPr>
          <w:i/>
          <w:iCs/>
          <w:vertAlign w:val="superscript"/>
        </w:rPr>
        <w:lastRenderedPageBreak/>
        <w:t>6</w:t>
      </w:r>
      <w:r w:rsidRPr="00397677">
        <w:rPr>
          <w:i/>
          <w:iCs/>
        </w:rPr>
        <w:t xml:space="preserve"> </w:t>
      </w:r>
      <w:r w:rsidR="000052E7" w:rsidRPr="00397677">
        <w:rPr>
          <w:i/>
          <w:iCs/>
        </w:rPr>
        <w:t>500,000 to &lt; 600,000</w:t>
      </w:r>
    </w:p>
    <w:p w14:paraId="4F246FB8" w14:textId="504A7C7C" w:rsidR="000052E7" w:rsidRPr="00397677" w:rsidRDefault="004E3EAC" w:rsidP="000052E7">
      <w:pPr>
        <w:pStyle w:val="FooterTableFigure"/>
        <w:rPr>
          <w:i/>
          <w:iCs/>
        </w:rPr>
      </w:pPr>
      <w:r w:rsidRPr="00397677">
        <w:rPr>
          <w:i/>
          <w:iCs/>
          <w:vertAlign w:val="superscript"/>
        </w:rPr>
        <w:t>7</w:t>
      </w:r>
      <w:r w:rsidRPr="00397677">
        <w:rPr>
          <w:i/>
          <w:iCs/>
        </w:rPr>
        <w:t xml:space="preserve"> </w:t>
      </w:r>
      <w:r w:rsidR="000052E7" w:rsidRPr="00397677">
        <w:rPr>
          <w:i/>
          <w:iCs/>
        </w:rPr>
        <w:t>800,000 to &lt; 900,000</w:t>
      </w:r>
    </w:p>
    <w:p w14:paraId="3D879D56" w14:textId="0D4D02C2" w:rsidR="00C20DDD" w:rsidRPr="001611DC" w:rsidRDefault="00C20DDD" w:rsidP="00C20DDD">
      <w:pPr>
        <w:pStyle w:val="3-BodyText"/>
        <w:rPr>
          <w:color w:val="000000" w:themeColor="text1"/>
        </w:rPr>
      </w:pPr>
      <w:r w:rsidRPr="001611DC">
        <w:t xml:space="preserve">The submission assumed Year 1 uptake to be </w:t>
      </w:r>
      <w:r w:rsidR="00BD3549" w:rsidRPr="001F4410">
        <w:rPr>
          <w:color w:val="000000"/>
          <w:w w:val="61"/>
          <w:shd w:val="solid" w:color="000000" w:fill="000000"/>
          <w:fitText w:val="475" w:id="-893676539"/>
          <w14:textFill>
            <w14:solidFill>
              <w14:srgbClr w14:val="000000">
                <w14:alpha w14:val="100000"/>
              </w14:srgbClr>
            </w14:solidFill>
          </w14:textFill>
        </w:rPr>
        <w:t>|||  ||</w:t>
      </w:r>
      <w:r w:rsidR="00BD3549" w:rsidRPr="001F4410">
        <w:rPr>
          <w:color w:val="000000"/>
          <w:spacing w:val="5"/>
          <w:w w:val="61"/>
          <w:shd w:val="solid" w:color="000000" w:fill="000000"/>
          <w:fitText w:val="475" w:id="-893676539"/>
          <w14:textFill>
            <w14:solidFill>
              <w14:srgbClr w14:val="000000">
                <w14:alpha w14:val="100000"/>
              </w14:srgbClr>
            </w14:solidFill>
          </w14:textFill>
        </w:rPr>
        <w:t>|</w:t>
      </w:r>
      <w:r w:rsidRPr="00B50CE3">
        <w:t>% of the influenza vaccination rate in</w:t>
      </w:r>
      <w:r w:rsidRPr="001611DC">
        <w:t xml:space="preserve"> the first year of vaccination, reaching </w:t>
      </w:r>
      <w:r w:rsidR="00BD3549" w:rsidRPr="00101F19">
        <w:rPr>
          <w:color w:val="000000"/>
          <w:w w:val="15"/>
          <w:shd w:val="solid" w:color="000000" w:fill="000000"/>
          <w:fitText w:val="-20" w:id="-893676538"/>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6538"/>
          <w14:textFill>
            <w14:solidFill>
              <w14:srgbClr w14:val="000000">
                <w14:alpha w14:val="100000"/>
              </w14:srgbClr>
            </w14:solidFill>
          </w14:textFill>
        </w:rPr>
        <w:t>|</w:t>
      </w:r>
      <w:r w:rsidRPr="00B50CE3">
        <w:t>% of the influenza vaccination rate by</w:t>
      </w:r>
      <w:r w:rsidRPr="001611DC">
        <w:t xml:space="preserve"> Year 6 based on low disease awareness. A sensitivity analysis with </w:t>
      </w:r>
      <w:r w:rsidR="00BD3549" w:rsidRPr="00101F19">
        <w:rPr>
          <w:color w:val="000000"/>
          <w:w w:val="15"/>
          <w:shd w:val="solid" w:color="000000" w:fill="000000"/>
          <w:fitText w:val="-20" w:id="-893676537"/>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6537"/>
          <w14:textFill>
            <w14:solidFill>
              <w14:srgbClr w14:val="000000">
                <w14:alpha w14:val="100000"/>
              </w14:srgbClr>
            </w14:solidFill>
          </w14:textFill>
        </w:rPr>
        <w:t>|</w:t>
      </w:r>
      <w:r w:rsidRPr="00A03464">
        <w:t>%</w:t>
      </w:r>
      <w:r w:rsidRPr="001611DC">
        <w:t xml:space="preserve"> less uptake conducted by the evaluation decreased the costs to all health budgets to $</w:t>
      </w:r>
      <w:r w:rsidR="002D41BF" w:rsidRPr="002D41BF">
        <w:t>400 million to &lt; $500 million</w:t>
      </w:r>
      <w:r w:rsidR="002D41BF" w:rsidRPr="002D41BF" w:rsidDel="002D41BF">
        <w:t xml:space="preserve"> </w:t>
      </w:r>
      <w:r w:rsidRPr="001611DC">
        <w:t>(-</w:t>
      </w:r>
      <w:r w:rsidR="00BD3549" w:rsidRPr="00101F19">
        <w:rPr>
          <w:color w:val="000000"/>
          <w:w w:val="15"/>
          <w:shd w:val="solid" w:color="000000" w:fill="000000"/>
          <w:fitText w:val="-20" w:id="-893676536"/>
          <w14:textFill>
            <w14:solidFill>
              <w14:srgbClr w14:val="000000">
                <w14:alpha w14:val="100000"/>
              </w14:srgbClr>
            </w14:solidFill>
          </w14:textFill>
        </w:rPr>
        <w:t xml:space="preserve">|  </w:t>
      </w:r>
      <w:r w:rsidR="00BD3549" w:rsidRPr="00101F19">
        <w:rPr>
          <w:color w:val="000000"/>
          <w:spacing w:val="-69"/>
          <w:w w:val="15"/>
          <w:shd w:val="solid" w:color="000000" w:fill="000000"/>
          <w:fitText w:val="-20" w:id="-893676536"/>
          <w14:textFill>
            <w14:solidFill>
              <w14:srgbClr w14:val="000000">
                <w14:alpha w14:val="100000"/>
              </w14:srgbClr>
            </w14:solidFill>
          </w14:textFill>
        </w:rPr>
        <w:t>|</w:t>
      </w:r>
      <w:r w:rsidRPr="001611DC">
        <w:t xml:space="preserve">%) over 6 years. </w:t>
      </w:r>
      <w:bookmarkStart w:id="179" w:name="_Hlk165639777"/>
      <w:r w:rsidRPr="001611DC">
        <w:t xml:space="preserve">The submission underestimated the newly eligible cohort doses of the </w:t>
      </w:r>
      <w:r w:rsidR="00E2719A" w:rsidRPr="001611DC">
        <w:rPr>
          <w:rFonts w:cstheme="minorHAnsi"/>
        </w:rPr>
        <w:t>≥</w:t>
      </w:r>
      <w:r w:rsidRPr="001611DC">
        <w:t>75 YOA population by applying uptake rates from the 60</w:t>
      </w:r>
      <w:r w:rsidRPr="001611DC">
        <w:noBreakHyphen/>
        <w:t xml:space="preserve">64, 65-69, and 70-74 YOA cohorts to newly eligible </w:t>
      </w:r>
      <w:r w:rsidR="007B6A18" w:rsidRPr="001611DC">
        <w:t xml:space="preserve">individuals </w:t>
      </w:r>
      <w:r w:rsidRPr="001611DC">
        <w:t>from 2025, 2026, and 2027, respectively.</w:t>
      </w:r>
      <w:bookmarkEnd w:id="179"/>
      <w:r w:rsidR="001F4410">
        <w:t xml:space="preserve"> </w:t>
      </w:r>
      <w:r w:rsidR="00A6605D" w:rsidRPr="001611DC">
        <w:t xml:space="preserve">The PSCR acknowledged this error in the submission and confirmed that the corrected estimates in the ≥75 YOA population provided in the commentary were appropriate. </w:t>
      </w:r>
    </w:p>
    <w:p w14:paraId="16ABAF88" w14:textId="699C65FA" w:rsidR="00C20DDD" w:rsidRPr="001611DC" w:rsidRDefault="00C20DDD" w:rsidP="00C20DDD">
      <w:pPr>
        <w:pStyle w:val="3-BodyText"/>
        <w:rPr>
          <w:color w:val="000000" w:themeColor="text1"/>
        </w:rPr>
      </w:pPr>
      <w:r w:rsidRPr="001611DC">
        <w:rPr>
          <w:color w:val="000000" w:themeColor="text1"/>
        </w:rPr>
        <w:t xml:space="preserve">The estimated use and financial implications to the Federal Government, and the State and Territory Governments, for the </w:t>
      </w:r>
      <w:r w:rsidR="00E2719A" w:rsidRPr="001611DC">
        <w:rPr>
          <w:rFonts w:cstheme="minorHAnsi"/>
          <w:color w:val="000000" w:themeColor="text1"/>
        </w:rPr>
        <w:t>≥</w:t>
      </w:r>
      <w:r w:rsidRPr="001611DC">
        <w:rPr>
          <w:color w:val="000000" w:themeColor="text1"/>
        </w:rPr>
        <w:t xml:space="preserve">60 YOA population are presented in </w:t>
      </w:r>
      <w:r w:rsidRPr="001611DC">
        <w:rPr>
          <w:color w:val="000000" w:themeColor="text1"/>
        </w:rPr>
        <w:fldChar w:fldCharType="begin" w:fldLock="1"/>
      </w:r>
      <w:r w:rsidRPr="001611DC">
        <w:rPr>
          <w:color w:val="000000" w:themeColor="text1"/>
        </w:rPr>
        <w:instrText xml:space="preserve"> REF _Ref104805295 \h  \* MERGEFORMAT </w:instrText>
      </w:r>
      <w:r w:rsidRPr="001611DC">
        <w:rPr>
          <w:color w:val="000000" w:themeColor="text1"/>
        </w:rPr>
      </w:r>
      <w:r w:rsidRPr="001611DC">
        <w:rPr>
          <w:color w:val="000000" w:themeColor="text1"/>
        </w:rPr>
        <w:fldChar w:fldCharType="separate"/>
      </w:r>
      <w:r w:rsidR="00927933" w:rsidRPr="001611DC">
        <w:rPr>
          <w:color w:val="000000" w:themeColor="text1"/>
        </w:rPr>
        <w:t>Table 30</w:t>
      </w:r>
      <w:r w:rsidRPr="001611DC">
        <w:rPr>
          <w:color w:val="000000" w:themeColor="text1"/>
        </w:rPr>
        <w:fldChar w:fldCharType="end"/>
      </w:r>
      <w:r w:rsidRPr="001611DC">
        <w:rPr>
          <w:color w:val="000000" w:themeColor="text1"/>
        </w:rPr>
        <w:t xml:space="preserve">. </w:t>
      </w:r>
    </w:p>
    <w:p w14:paraId="5379AC3A" w14:textId="2CCBE0DA" w:rsidR="00C20DDD" w:rsidRPr="001611DC" w:rsidRDefault="00C20DDD" w:rsidP="00C20DDD">
      <w:pPr>
        <w:pStyle w:val="Caption"/>
        <w:rPr>
          <w:rStyle w:val="CommentReference"/>
          <w:b/>
          <w:szCs w:val="24"/>
        </w:rPr>
      </w:pPr>
      <w:bookmarkStart w:id="180" w:name="_Ref104805295"/>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30</w:t>
      </w:r>
      <w:r w:rsidR="005473CE" w:rsidRPr="001611DC">
        <w:fldChar w:fldCharType="end"/>
      </w:r>
      <w:bookmarkEnd w:id="180"/>
      <w:r w:rsidRPr="001611DC">
        <w:t>:</w:t>
      </w:r>
      <w:r w:rsidRPr="001611DC">
        <w:rPr>
          <w:rStyle w:val="CommentReference"/>
          <w:b/>
          <w:szCs w:val="24"/>
        </w:rPr>
        <w:t xml:space="preserve"> Estimated use and financial implications </w:t>
      </w:r>
      <w:r w:rsidR="00A6605D" w:rsidRPr="001611DC">
        <w:rPr>
          <w:rStyle w:val="CommentReference"/>
          <w:b/>
          <w:szCs w:val="24"/>
        </w:rPr>
        <w:t xml:space="preserve">for </w:t>
      </w:r>
      <w:r w:rsidR="00E2719A" w:rsidRPr="001611DC">
        <w:rPr>
          <w:rStyle w:val="CommentReference"/>
          <w:b/>
          <w:szCs w:val="24"/>
        </w:rPr>
        <w:t>≥</w:t>
      </w:r>
      <w:r w:rsidRPr="001611DC">
        <w:rPr>
          <w:rStyle w:val="CommentReference"/>
          <w:b/>
          <w:szCs w:val="24"/>
        </w:rPr>
        <w:t>60 YOA population</w:t>
      </w:r>
    </w:p>
    <w:tbl>
      <w:tblPr>
        <w:tblW w:w="5000" w:type="pct"/>
        <w:tblLayout w:type="fixed"/>
        <w:tblCellMar>
          <w:left w:w="28" w:type="dxa"/>
          <w:right w:w="28" w:type="dxa"/>
        </w:tblCellMar>
        <w:tblLook w:val="04A0" w:firstRow="1" w:lastRow="0" w:firstColumn="1" w:lastColumn="0" w:noHBand="0" w:noVBand="1"/>
        <w:tblCaption w:val="Table 30: Estimated use and financial implications for ≥60 YOA population"/>
      </w:tblPr>
      <w:tblGrid>
        <w:gridCol w:w="1415"/>
        <w:gridCol w:w="1134"/>
        <w:gridCol w:w="1133"/>
        <w:gridCol w:w="1134"/>
        <w:gridCol w:w="1134"/>
        <w:gridCol w:w="1134"/>
        <w:gridCol w:w="986"/>
        <w:gridCol w:w="947"/>
      </w:tblGrid>
      <w:tr w:rsidR="00397677" w:rsidRPr="001611DC" w14:paraId="394A91C2" w14:textId="77777777" w:rsidTr="00397677">
        <w:trPr>
          <w:trHeight w:val="20"/>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11345" w14:textId="77777777" w:rsidR="00C20DDD" w:rsidRPr="001611DC" w:rsidRDefault="00C20DDD">
            <w:pPr>
              <w:pStyle w:val="In-tableHeading"/>
              <w:jc w:val="center"/>
              <w:rPr>
                <w:lang w:val="en-AU"/>
              </w:rPr>
            </w:pPr>
            <w:bookmarkStart w:id="181" w:name="_Hlk165293256"/>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58DD34FA" w14:textId="77777777" w:rsidR="00C20DDD" w:rsidRPr="001611DC" w:rsidRDefault="00C20DDD">
            <w:pPr>
              <w:pStyle w:val="In-tableHeading"/>
              <w:jc w:val="center"/>
              <w:rPr>
                <w:lang w:val="en-AU"/>
              </w:rPr>
            </w:pPr>
            <w:r w:rsidRPr="001611DC">
              <w:rPr>
                <w:lang w:val="en-AU"/>
              </w:rPr>
              <w:t>2025</w:t>
            </w:r>
          </w:p>
        </w:tc>
        <w:tc>
          <w:tcPr>
            <w:tcW w:w="628" w:type="pct"/>
            <w:tcBorders>
              <w:top w:val="single" w:sz="4" w:space="0" w:color="auto"/>
              <w:left w:val="nil"/>
              <w:bottom w:val="single" w:sz="4" w:space="0" w:color="auto"/>
              <w:right w:val="single" w:sz="4" w:space="0" w:color="auto"/>
            </w:tcBorders>
            <w:shd w:val="clear" w:color="auto" w:fill="auto"/>
            <w:noWrap/>
            <w:vAlign w:val="center"/>
            <w:hideMark/>
          </w:tcPr>
          <w:p w14:paraId="39463EDA" w14:textId="77777777" w:rsidR="00C20DDD" w:rsidRPr="001611DC" w:rsidRDefault="00C20DDD">
            <w:pPr>
              <w:pStyle w:val="In-tableHeading"/>
              <w:jc w:val="center"/>
              <w:rPr>
                <w:lang w:val="en-AU"/>
              </w:rPr>
            </w:pPr>
            <w:r w:rsidRPr="001611DC">
              <w:rPr>
                <w:lang w:val="en-AU"/>
              </w:rPr>
              <w:t>2026</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56E5F77A" w14:textId="77777777" w:rsidR="00C20DDD" w:rsidRPr="001611DC" w:rsidRDefault="00C20DDD">
            <w:pPr>
              <w:pStyle w:val="In-tableHeading"/>
              <w:jc w:val="center"/>
              <w:rPr>
                <w:lang w:val="en-AU"/>
              </w:rPr>
            </w:pPr>
            <w:r w:rsidRPr="001611DC">
              <w:rPr>
                <w:lang w:val="en-AU"/>
              </w:rPr>
              <w:t>2027</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4F53EBB2" w14:textId="77777777" w:rsidR="00C20DDD" w:rsidRPr="001611DC" w:rsidRDefault="00C20DDD">
            <w:pPr>
              <w:pStyle w:val="In-tableHeading"/>
              <w:jc w:val="center"/>
              <w:rPr>
                <w:lang w:val="en-AU"/>
              </w:rPr>
            </w:pPr>
            <w:r w:rsidRPr="001611DC">
              <w:rPr>
                <w:lang w:val="en-AU"/>
              </w:rPr>
              <w:t>2028</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6185E67A" w14:textId="77777777" w:rsidR="00C20DDD" w:rsidRPr="001611DC" w:rsidRDefault="00C20DDD">
            <w:pPr>
              <w:pStyle w:val="In-tableHeading"/>
              <w:jc w:val="center"/>
              <w:rPr>
                <w:lang w:val="en-AU"/>
              </w:rPr>
            </w:pPr>
            <w:r w:rsidRPr="001611DC">
              <w:rPr>
                <w:lang w:val="en-AU"/>
              </w:rPr>
              <w:t>2029</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E7B5DA" w14:textId="77777777" w:rsidR="00C20DDD" w:rsidRPr="001611DC" w:rsidRDefault="00C20DDD">
            <w:pPr>
              <w:pStyle w:val="In-tableHeading"/>
              <w:jc w:val="center"/>
              <w:rPr>
                <w:lang w:val="en-AU"/>
              </w:rPr>
            </w:pPr>
            <w:r w:rsidRPr="001611DC">
              <w:rPr>
                <w:lang w:val="en-AU"/>
              </w:rPr>
              <w:t>2030</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14:paraId="1C385CBD" w14:textId="77777777" w:rsidR="00C20DDD" w:rsidRPr="001611DC" w:rsidRDefault="00C20DDD">
            <w:pPr>
              <w:pStyle w:val="In-tableHeading"/>
              <w:jc w:val="center"/>
              <w:rPr>
                <w:lang w:val="en-AU"/>
              </w:rPr>
            </w:pPr>
            <w:r w:rsidRPr="001611DC">
              <w:rPr>
                <w:lang w:val="en-AU"/>
              </w:rPr>
              <w:t>Total</w:t>
            </w:r>
          </w:p>
        </w:tc>
      </w:tr>
      <w:tr w:rsidR="00C20DDD" w:rsidRPr="001611DC" w14:paraId="66BB8F36" w14:textId="77777777">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tcPr>
          <w:p w14:paraId="7CC683CF" w14:textId="77777777" w:rsidR="00C20DDD" w:rsidRPr="001611DC" w:rsidRDefault="00C20DDD">
            <w:pPr>
              <w:pStyle w:val="In-tableHeading"/>
              <w:rPr>
                <w:bCs/>
                <w:lang w:val="en-AU"/>
              </w:rPr>
            </w:pPr>
            <w:r w:rsidRPr="001611DC">
              <w:rPr>
                <w:bCs/>
                <w:lang w:val="en-AU"/>
              </w:rPr>
              <w:t>Estimated extent of use</w:t>
            </w:r>
          </w:p>
        </w:tc>
      </w:tr>
      <w:tr w:rsidR="00397677" w:rsidRPr="001611DC" w14:paraId="7F1100DF" w14:textId="77777777" w:rsidTr="00397677">
        <w:trPr>
          <w:trHeight w:val="20"/>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203ED" w14:textId="59D57834" w:rsidR="00C20DDD" w:rsidRPr="001611DC" w:rsidRDefault="00C20DDD">
            <w:pPr>
              <w:pStyle w:val="In-tableHeading"/>
              <w:rPr>
                <w:b w:val="0"/>
                <w:lang w:val="en-AU"/>
              </w:rPr>
            </w:pPr>
            <w:r w:rsidRPr="001611DC">
              <w:rPr>
                <w:b w:val="0"/>
                <w:lang w:val="en-AU"/>
              </w:rPr>
              <w:t xml:space="preserve">Predicted number of </w:t>
            </w:r>
            <w:r w:rsidR="007B6A18" w:rsidRPr="001611DC">
              <w:rPr>
                <w:b w:val="0"/>
                <w:lang w:val="en-AU"/>
              </w:rPr>
              <w:t xml:space="preserve">people vaccinated </w:t>
            </w:r>
            <w:r w:rsidRPr="001611DC">
              <w:rPr>
                <w:b w:val="0"/>
                <w:lang w:val="en-AU"/>
              </w:rPr>
              <w:t>with RSVPreF3 OA</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650D77DB" w14:textId="5B4F9960" w:rsidR="00C20DDD" w:rsidRPr="002D41BF" w:rsidRDefault="00BD3549">
            <w:pPr>
              <w:pStyle w:val="TableText0"/>
              <w:jc w:val="center"/>
              <w:rPr>
                <w:highlight w:val="lightGray"/>
              </w:rPr>
            </w:pPr>
            <w:r w:rsidRPr="00BD3549">
              <w:rPr>
                <w:rFonts w:hint="eastAsia"/>
                <w:color w:val="000000"/>
                <w:w w:val="15"/>
                <w:shd w:val="solid" w:color="000000" w:fill="000000"/>
                <w:fitText w:val="45" w:id="-893676535"/>
                <w14:textFill>
                  <w14:solidFill>
                    <w14:srgbClr w14:val="000000">
                      <w14:alpha w14:val="100000"/>
                    </w14:srgbClr>
                  </w14:solidFill>
                </w14:textFill>
              </w:rPr>
              <w:t xml:space="preserve">　</w:t>
            </w:r>
            <w:r w:rsidRPr="00BD3549">
              <w:rPr>
                <w:color w:val="000000"/>
                <w:w w:val="15"/>
                <w:shd w:val="solid" w:color="000000" w:fill="000000"/>
                <w:fitText w:val="45" w:id="-893676535"/>
                <w14:textFill>
                  <w14:solidFill>
                    <w14:srgbClr w14:val="000000">
                      <w14:alpha w14:val="100000"/>
                    </w14:srgbClr>
                  </w14:solidFill>
                </w14:textFill>
              </w:rPr>
              <w:t>|</w:t>
            </w:r>
            <w:r w:rsidRPr="00BD3549">
              <w:rPr>
                <w:rFonts w:hint="eastAsia"/>
                <w:color w:val="000000"/>
                <w:spacing w:val="-20"/>
                <w:w w:val="15"/>
                <w:shd w:val="solid" w:color="000000" w:fill="000000"/>
                <w:fitText w:val="45" w:id="-893676535"/>
                <w14:textFill>
                  <w14:solidFill>
                    <w14:srgbClr w14:val="000000">
                      <w14:alpha w14:val="100000"/>
                    </w14:srgbClr>
                  </w14:solidFill>
                </w14:textFill>
              </w:rPr>
              <w:t xml:space="preserve">　</w:t>
            </w:r>
            <w:r w:rsidR="00C31766" w:rsidRPr="00C31766">
              <w:rPr>
                <w:vertAlign w:val="superscript"/>
              </w:rPr>
              <w:t>1</w:t>
            </w:r>
          </w:p>
        </w:tc>
        <w:tc>
          <w:tcPr>
            <w:tcW w:w="628" w:type="pct"/>
            <w:tcBorders>
              <w:top w:val="single" w:sz="4" w:space="0" w:color="auto"/>
              <w:left w:val="nil"/>
              <w:bottom w:val="single" w:sz="4" w:space="0" w:color="auto"/>
              <w:right w:val="single" w:sz="4" w:space="0" w:color="auto"/>
            </w:tcBorders>
            <w:shd w:val="clear" w:color="auto" w:fill="auto"/>
            <w:noWrap/>
            <w:vAlign w:val="center"/>
          </w:tcPr>
          <w:p w14:paraId="50BC07D1" w14:textId="754179CD" w:rsidR="00C20DDD" w:rsidRPr="002D41BF" w:rsidRDefault="00BD3549">
            <w:pPr>
              <w:pStyle w:val="TableText0"/>
              <w:jc w:val="center"/>
              <w:rPr>
                <w:highlight w:val="lightGray"/>
              </w:rPr>
            </w:pPr>
            <w:r w:rsidRPr="00BD3549">
              <w:rPr>
                <w:rFonts w:hint="eastAsia"/>
                <w:color w:val="000000"/>
                <w:w w:val="15"/>
                <w:shd w:val="solid" w:color="000000" w:fill="000000"/>
                <w:fitText w:val="45" w:id="-893676534"/>
                <w14:textFill>
                  <w14:solidFill>
                    <w14:srgbClr w14:val="000000">
                      <w14:alpha w14:val="100000"/>
                    </w14:srgbClr>
                  </w14:solidFill>
                </w14:textFill>
              </w:rPr>
              <w:t xml:space="preserve">　</w:t>
            </w:r>
            <w:r w:rsidRPr="00BD3549">
              <w:rPr>
                <w:color w:val="000000"/>
                <w:w w:val="15"/>
                <w:shd w:val="solid" w:color="000000" w:fill="000000"/>
                <w:fitText w:val="45" w:id="-893676534"/>
                <w14:textFill>
                  <w14:solidFill>
                    <w14:srgbClr w14:val="000000">
                      <w14:alpha w14:val="100000"/>
                    </w14:srgbClr>
                  </w14:solidFill>
                </w14:textFill>
              </w:rPr>
              <w:t>|</w:t>
            </w:r>
            <w:r w:rsidRPr="00BD3549">
              <w:rPr>
                <w:rFonts w:hint="eastAsia"/>
                <w:color w:val="000000"/>
                <w:spacing w:val="-20"/>
                <w:w w:val="15"/>
                <w:shd w:val="solid" w:color="000000" w:fill="000000"/>
                <w:fitText w:val="45" w:id="-893676534"/>
                <w14:textFill>
                  <w14:solidFill>
                    <w14:srgbClr w14:val="000000">
                      <w14:alpha w14:val="100000"/>
                    </w14:srgbClr>
                  </w14:solidFill>
                </w14:textFill>
              </w:rPr>
              <w:t xml:space="preserve">　</w:t>
            </w:r>
            <w:r w:rsidR="00B50ADA" w:rsidRPr="00B50ADA">
              <w:rPr>
                <w:vertAlign w:val="superscript"/>
              </w:rPr>
              <w:t>2</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5884AF0C" w14:textId="53BB2B4F" w:rsidR="00C20DDD" w:rsidRPr="002D41BF" w:rsidRDefault="00BD3549">
            <w:pPr>
              <w:pStyle w:val="TableText0"/>
              <w:jc w:val="center"/>
              <w:rPr>
                <w:highlight w:val="lightGray"/>
              </w:rPr>
            </w:pPr>
            <w:r w:rsidRPr="00BD3549">
              <w:rPr>
                <w:rFonts w:hint="eastAsia"/>
                <w:color w:val="000000"/>
                <w:w w:val="15"/>
                <w:shd w:val="solid" w:color="000000" w:fill="000000"/>
                <w:fitText w:val="45" w:id="-893676533"/>
                <w14:textFill>
                  <w14:solidFill>
                    <w14:srgbClr w14:val="000000">
                      <w14:alpha w14:val="100000"/>
                    </w14:srgbClr>
                  </w14:solidFill>
                </w14:textFill>
              </w:rPr>
              <w:t xml:space="preserve">　</w:t>
            </w:r>
            <w:r w:rsidRPr="00BD3549">
              <w:rPr>
                <w:color w:val="000000"/>
                <w:w w:val="15"/>
                <w:shd w:val="solid" w:color="000000" w:fill="000000"/>
                <w:fitText w:val="45" w:id="-893676533"/>
                <w14:textFill>
                  <w14:solidFill>
                    <w14:srgbClr w14:val="000000">
                      <w14:alpha w14:val="100000"/>
                    </w14:srgbClr>
                  </w14:solidFill>
                </w14:textFill>
              </w:rPr>
              <w:t>|</w:t>
            </w:r>
            <w:r w:rsidRPr="00BD3549">
              <w:rPr>
                <w:rFonts w:hint="eastAsia"/>
                <w:color w:val="000000"/>
                <w:spacing w:val="-20"/>
                <w:w w:val="15"/>
                <w:shd w:val="solid" w:color="000000" w:fill="000000"/>
                <w:fitText w:val="45" w:id="-893676533"/>
                <w14:textFill>
                  <w14:solidFill>
                    <w14:srgbClr w14:val="000000">
                      <w14:alpha w14:val="100000"/>
                    </w14:srgbClr>
                  </w14:solidFill>
                </w14:textFill>
              </w:rPr>
              <w:t xml:space="preserve">　</w:t>
            </w:r>
            <w:r w:rsidR="00A74E28" w:rsidRPr="00B75623">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753C3C31" w14:textId="7A6AA701" w:rsidR="00C20DDD" w:rsidRPr="002D41BF" w:rsidRDefault="00BD3549">
            <w:pPr>
              <w:pStyle w:val="TableText0"/>
              <w:jc w:val="center"/>
              <w:rPr>
                <w:highlight w:val="lightGray"/>
              </w:rPr>
            </w:pPr>
            <w:r w:rsidRPr="00BD3549">
              <w:rPr>
                <w:rFonts w:hint="eastAsia"/>
                <w:color w:val="000000"/>
                <w:w w:val="15"/>
                <w:shd w:val="solid" w:color="000000" w:fill="000000"/>
                <w:fitText w:val="45" w:id="-893676532"/>
                <w14:textFill>
                  <w14:solidFill>
                    <w14:srgbClr w14:val="000000">
                      <w14:alpha w14:val="100000"/>
                    </w14:srgbClr>
                  </w14:solidFill>
                </w14:textFill>
              </w:rPr>
              <w:t xml:space="preserve">　</w:t>
            </w:r>
            <w:r w:rsidRPr="00BD3549">
              <w:rPr>
                <w:color w:val="000000"/>
                <w:w w:val="15"/>
                <w:shd w:val="solid" w:color="000000" w:fill="000000"/>
                <w:fitText w:val="45" w:id="-893676532"/>
                <w14:textFill>
                  <w14:solidFill>
                    <w14:srgbClr w14:val="000000">
                      <w14:alpha w14:val="100000"/>
                    </w14:srgbClr>
                  </w14:solidFill>
                </w14:textFill>
              </w:rPr>
              <w:t>|</w:t>
            </w:r>
            <w:r w:rsidRPr="00BD3549">
              <w:rPr>
                <w:rFonts w:hint="eastAsia"/>
                <w:color w:val="000000"/>
                <w:spacing w:val="-20"/>
                <w:w w:val="15"/>
                <w:shd w:val="solid" w:color="000000" w:fill="000000"/>
                <w:fitText w:val="45" w:id="-893676532"/>
                <w14:textFill>
                  <w14:solidFill>
                    <w14:srgbClr w14:val="000000">
                      <w14:alpha w14:val="100000"/>
                    </w14:srgbClr>
                  </w14:solidFill>
                </w14:textFill>
              </w:rPr>
              <w:t xml:space="preserve">　</w:t>
            </w:r>
            <w:r w:rsidR="00B75623" w:rsidRPr="00B75623">
              <w:rPr>
                <w:vertAlign w:val="superscript"/>
              </w:rPr>
              <w:t>3</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22DE2607" w14:textId="5C4659C2" w:rsidR="00C20DDD" w:rsidRPr="002D41BF" w:rsidRDefault="00BD3549">
            <w:pPr>
              <w:pStyle w:val="TableText0"/>
              <w:jc w:val="center"/>
              <w:rPr>
                <w:highlight w:val="lightGray"/>
              </w:rPr>
            </w:pPr>
            <w:r w:rsidRPr="00BD3549">
              <w:rPr>
                <w:rFonts w:hint="eastAsia"/>
                <w:color w:val="000000"/>
                <w:w w:val="15"/>
                <w:shd w:val="solid" w:color="000000" w:fill="000000"/>
                <w:fitText w:val="45" w:id="-893676531"/>
                <w14:textFill>
                  <w14:solidFill>
                    <w14:srgbClr w14:val="000000">
                      <w14:alpha w14:val="100000"/>
                    </w14:srgbClr>
                  </w14:solidFill>
                </w14:textFill>
              </w:rPr>
              <w:t xml:space="preserve">　</w:t>
            </w:r>
            <w:r w:rsidRPr="00BD3549">
              <w:rPr>
                <w:color w:val="000000"/>
                <w:w w:val="15"/>
                <w:shd w:val="solid" w:color="000000" w:fill="000000"/>
                <w:fitText w:val="45" w:id="-893676531"/>
                <w14:textFill>
                  <w14:solidFill>
                    <w14:srgbClr w14:val="000000">
                      <w14:alpha w14:val="100000"/>
                    </w14:srgbClr>
                  </w14:solidFill>
                </w14:textFill>
              </w:rPr>
              <w:t>|</w:t>
            </w:r>
            <w:r w:rsidRPr="00BD3549">
              <w:rPr>
                <w:rFonts w:hint="eastAsia"/>
                <w:color w:val="000000"/>
                <w:spacing w:val="-20"/>
                <w:w w:val="15"/>
                <w:shd w:val="solid" w:color="000000" w:fill="000000"/>
                <w:fitText w:val="45" w:id="-893676531"/>
                <w14:textFill>
                  <w14:solidFill>
                    <w14:srgbClr w14:val="000000">
                      <w14:alpha w14:val="100000"/>
                    </w14:srgbClr>
                  </w14:solidFill>
                </w14:textFill>
              </w:rPr>
              <w:t xml:space="preserve">　</w:t>
            </w:r>
            <w:r w:rsidR="00B75623" w:rsidRPr="00B75623">
              <w:rPr>
                <w:vertAlign w:val="superscript"/>
              </w:rPr>
              <w:t>3</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F65A8B2" w14:textId="4065674F" w:rsidR="00C20DDD" w:rsidRPr="002D41BF" w:rsidRDefault="00BD3549">
            <w:pPr>
              <w:pStyle w:val="TableText0"/>
              <w:jc w:val="center"/>
              <w:rPr>
                <w:highlight w:val="lightGray"/>
              </w:rPr>
            </w:pPr>
            <w:r w:rsidRPr="00BD3549">
              <w:rPr>
                <w:rFonts w:hint="eastAsia"/>
                <w:color w:val="000000"/>
                <w:w w:val="20"/>
                <w:shd w:val="solid" w:color="000000" w:fill="000000"/>
                <w:fitText w:val="90" w:id="-893676530"/>
                <w14:textFill>
                  <w14:solidFill>
                    <w14:srgbClr w14:val="000000">
                      <w14:alpha w14:val="100000"/>
                    </w14:srgbClr>
                  </w14:solidFill>
                </w14:textFill>
              </w:rPr>
              <w:t xml:space="preserve">　</w:t>
            </w:r>
            <w:r w:rsidRPr="00BD3549">
              <w:rPr>
                <w:color w:val="000000"/>
                <w:w w:val="20"/>
                <w:shd w:val="solid" w:color="000000" w:fill="000000"/>
                <w:fitText w:val="90" w:id="-893676530"/>
                <w14:textFill>
                  <w14:solidFill>
                    <w14:srgbClr w14:val="000000">
                      <w14:alpha w14:val="100000"/>
                    </w14:srgbClr>
                  </w14:solidFill>
                </w14:textFill>
              </w:rPr>
              <w:t>|</w:t>
            </w:r>
            <w:r w:rsidRPr="00BD3549">
              <w:rPr>
                <w:rFonts w:hint="eastAsia"/>
                <w:color w:val="000000"/>
                <w:spacing w:val="3"/>
                <w:w w:val="20"/>
                <w:shd w:val="solid" w:color="000000" w:fill="000000"/>
                <w:fitText w:val="90" w:id="-893676530"/>
                <w14:textFill>
                  <w14:solidFill>
                    <w14:srgbClr w14:val="000000">
                      <w14:alpha w14:val="100000"/>
                    </w14:srgbClr>
                  </w14:solidFill>
                </w14:textFill>
              </w:rPr>
              <w:t xml:space="preserve">　</w:t>
            </w:r>
            <w:r w:rsidR="00B75623" w:rsidRPr="00B75623">
              <w:rPr>
                <w:vertAlign w:val="superscript"/>
              </w:rPr>
              <w:t>3</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3A057973" w14:textId="4393570A" w:rsidR="00C20DDD" w:rsidRPr="002D41BF"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9C1DBA" w:rsidRPr="009C1DBA">
              <w:rPr>
                <w:vertAlign w:val="superscript"/>
              </w:rPr>
              <w:t>4</w:t>
            </w:r>
          </w:p>
        </w:tc>
      </w:tr>
      <w:tr w:rsidR="00C20DDD" w:rsidRPr="001611DC" w14:paraId="312CC325" w14:textId="77777777">
        <w:trPr>
          <w:trHeight w:val="2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tcPr>
          <w:p w14:paraId="4A5B71E2" w14:textId="77777777" w:rsidR="00C20DDD" w:rsidRPr="001611DC" w:rsidRDefault="00C20DDD">
            <w:pPr>
              <w:pStyle w:val="In-tableHeading"/>
              <w:rPr>
                <w:bCs/>
                <w:lang w:val="en-AU"/>
              </w:rPr>
            </w:pPr>
            <w:r w:rsidRPr="001611DC">
              <w:rPr>
                <w:bCs/>
                <w:lang w:val="en-AU"/>
              </w:rPr>
              <w:t>Estimated financial implications of listing RSVPreF3 OA in the NIP</w:t>
            </w:r>
          </w:p>
        </w:tc>
      </w:tr>
      <w:tr w:rsidR="00397677" w:rsidRPr="001611DC" w14:paraId="3D696AF1" w14:textId="77777777" w:rsidTr="00397677">
        <w:trPr>
          <w:trHeight w:val="20"/>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tcPr>
          <w:p w14:paraId="1D472654" w14:textId="11ED0C8A" w:rsidR="00C20DDD" w:rsidRPr="001611DC" w:rsidRDefault="00C20DDD">
            <w:pPr>
              <w:pStyle w:val="TableText0"/>
            </w:pPr>
            <w:r w:rsidRPr="001611DC">
              <w:t>Federal</w:t>
            </w:r>
            <w:r w:rsidR="00E10563">
              <w:t xml:space="preserve"> </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4D962DB8" w14:textId="49C8C741" w:rsidR="00C20DDD" w:rsidRPr="006804EA" w:rsidRDefault="00BD3549">
            <w:pPr>
              <w:pStyle w:val="TableText0"/>
              <w:jc w:val="center"/>
              <w:rPr>
                <w:highlight w:val="lightGray"/>
              </w:rPr>
            </w:pPr>
            <w:r w:rsidRPr="00BD3549">
              <w:rPr>
                <w:rFonts w:hint="eastAsia"/>
                <w:color w:val="000000"/>
                <w:w w:val="15"/>
                <w:shd w:val="solid" w:color="000000" w:fill="000000"/>
                <w:fitText w:val="45" w:id="-893676529"/>
                <w14:textFill>
                  <w14:solidFill>
                    <w14:srgbClr w14:val="000000">
                      <w14:alpha w14:val="100000"/>
                    </w14:srgbClr>
                  </w14:solidFill>
                </w14:textFill>
              </w:rPr>
              <w:t xml:space="preserve">　</w:t>
            </w:r>
            <w:r w:rsidRPr="00BD3549">
              <w:rPr>
                <w:color w:val="000000"/>
                <w:w w:val="15"/>
                <w:shd w:val="solid" w:color="000000" w:fill="000000"/>
                <w:fitText w:val="45" w:id="-893676529"/>
                <w14:textFill>
                  <w14:solidFill>
                    <w14:srgbClr w14:val="000000">
                      <w14:alpha w14:val="100000"/>
                    </w14:srgbClr>
                  </w14:solidFill>
                </w14:textFill>
              </w:rPr>
              <w:t>|</w:t>
            </w:r>
            <w:r w:rsidRPr="00BD3549">
              <w:rPr>
                <w:rFonts w:hint="eastAsia"/>
                <w:color w:val="000000"/>
                <w:spacing w:val="-20"/>
                <w:w w:val="15"/>
                <w:shd w:val="solid" w:color="000000" w:fill="000000"/>
                <w:fitText w:val="45" w:id="-893676529"/>
                <w14:textFill>
                  <w14:solidFill>
                    <w14:srgbClr w14:val="000000">
                      <w14:alpha w14:val="100000"/>
                    </w14:srgbClr>
                  </w14:solidFill>
                </w14:textFill>
              </w:rPr>
              <w:t xml:space="preserve">　</w:t>
            </w:r>
            <w:r w:rsidR="004B1B84">
              <w:rPr>
                <w:vertAlign w:val="superscript"/>
              </w:rPr>
              <w:t>5</w:t>
            </w:r>
          </w:p>
        </w:tc>
        <w:tc>
          <w:tcPr>
            <w:tcW w:w="628" w:type="pct"/>
            <w:tcBorders>
              <w:top w:val="single" w:sz="4" w:space="0" w:color="auto"/>
              <w:left w:val="nil"/>
              <w:bottom w:val="single" w:sz="4" w:space="0" w:color="auto"/>
              <w:right w:val="single" w:sz="4" w:space="0" w:color="auto"/>
            </w:tcBorders>
            <w:shd w:val="clear" w:color="auto" w:fill="auto"/>
            <w:noWrap/>
            <w:vAlign w:val="center"/>
          </w:tcPr>
          <w:p w14:paraId="1564D772" w14:textId="28093E18" w:rsidR="00C20DDD" w:rsidRPr="006804EA" w:rsidRDefault="00BD3549">
            <w:pPr>
              <w:pStyle w:val="TableText0"/>
              <w:jc w:val="center"/>
              <w:rPr>
                <w:highlight w:val="lightGray"/>
              </w:rPr>
            </w:pPr>
            <w:r w:rsidRPr="00BD3549">
              <w:rPr>
                <w:rFonts w:hint="eastAsia"/>
                <w:color w:val="000000"/>
                <w:w w:val="15"/>
                <w:shd w:val="solid" w:color="000000" w:fill="000000"/>
                <w:fitText w:val="45" w:id="-893676528"/>
                <w14:textFill>
                  <w14:solidFill>
                    <w14:srgbClr w14:val="000000">
                      <w14:alpha w14:val="100000"/>
                    </w14:srgbClr>
                  </w14:solidFill>
                </w14:textFill>
              </w:rPr>
              <w:t xml:space="preserve">　</w:t>
            </w:r>
            <w:r w:rsidRPr="00BD3549">
              <w:rPr>
                <w:color w:val="000000"/>
                <w:w w:val="15"/>
                <w:shd w:val="solid" w:color="000000" w:fill="000000"/>
                <w:fitText w:val="45" w:id="-893676528"/>
                <w14:textFill>
                  <w14:solidFill>
                    <w14:srgbClr w14:val="000000">
                      <w14:alpha w14:val="100000"/>
                    </w14:srgbClr>
                  </w14:solidFill>
                </w14:textFill>
              </w:rPr>
              <w:t>|</w:t>
            </w:r>
            <w:r w:rsidRPr="00BD3549">
              <w:rPr>
                <w:rFonts w:hint="eastAsia"/>
                <w:color w:val="000000"/>
                <w:spacing w:val="-20"/>
                <w:w w:val="15"/>
                <w:shd w:val="solid" w:color="000000" w:fill="000000"/>
                <w:fitText w:val="45" w:id="-893676528"/>
                <w14:textFill>
                  <w14:solidFill>
                    <w14:srgbClr w14:val="000000">
                      <w14:alpha w14:val="100000"/>
                    </w14:srgbClr>
                  </w14:solidFill>
                </w14:textFill>
              </w:rPr>
              <w:t xml:space="preserve">　</w:t>
            </w:r>
            <w:r w:rsidR="004B1B84" w:rsidRPr="000B46C8">
              <w:rPr>
                <w:vertAlign w:val="superscript"/>
              </w:rPr>
              <w:t>6</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58A9DD98" w14:textId="4469F853"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4"/>
                <w14:textFill>
                  <w14:solidFill>
                    <w14:srgbClr w14:val="000000">
                      <w14:alpha w14:val="100000"/>
                    </w14:srgbClr>
                  </w14:solidFill>
                </w14:textFill>
              </w:rPr>
              <w:t xml:space="preserve">　</w:t>
            </w:r>
            <w:r w:rsidRPr="00BD3549">
              <w:rPr>
                <w:color w:val="000000"/>
                <w:w w:val="15"/>
                <w:shd w:val="solid" w:color="000000" w:fill="000000"/>
                <w:fitText w:val="45" w:id="-893676544"/>
                <w14:textFill>
                  <w14:solidFill>
                    <w14:srgbClr w14:val="000000">
                      <w14:alpha w14:val="100000"/>
                    </w14:srgbClr>
                  </w14:solidFill>
                </w14:textFill>
              </w:rPr>
              <w:t>|</w:t>
            </w:r>
            <w:r w:rsidRPr="00BD3549">
              <w:rPr>
                <w:rFonts w:hint="eastAsia"/>
                <w:color w:val="000000"/>
                <w:spacing w:val="-20"/>
                <w:w w:val="15"/>
                <w:shd w:val="solid" w:color="000000" w:fill="000000"/>
                <w:fitText w:val="45" w:id="-893676544"/>
                <w14:textFill>
                  <w14:solidFill>
                    <w14:srgbClr w14:val="000000">
                      <w14:alpha w14:val="100000"/>
                    </w14:srgbClr>
                  </w14:solidFill>
                </w14:textFill>
              </w:rPr>
              <w:t xml:space="preserve">　</w:t>
            </w:r>
            <w:r w:rsidR="00213E69" w:rsidRPr="000B46C8">
              <w:rPr>
                <w:vertAlign w:val="superscript"/>
              </w:rPr>
              <w:t>6</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07A6FE5E" w14:textId="16ECA004"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3"/>
                <w14:textFill>
                  <w14:solidFill>
                    <w14:srgbClr w14:val="000000">
                      <w14:alpha w14:val="100000"/>
                    </w14:srgbClr>
                  </w14:solidFill>
                </w14:textFill>
              </w:rPr>
              <w:t xml:space="preserve">　</w:t>
            </w:r>
            <w:r w:rsidRPr="00BD3549">
              <w:rPr>
                <w:color w:val="000000"/>
                <w:w w:val="15"/>
                <w:shd w:val="solid" w:color="000000" w:fill="000000"/>
                <w:fitText w:val="45" w:id="-893676543"/>
                <w14:textFill>
                  <w14:solidFill>
                    <w14:srgbClr w14:val="000000">
                      <w14:alpha w14:val="100000"/>
                    </w14:srgbClr>
                  </w14:solidFill>
                </w14:textFill>
              </w:rPr>
              <w:t>|</w:t>
            </w:r>
            <w:r w:rsidRPr="00BD3549">
              <w:rPr>
                <w:rFonts w:hint="eastAsia"/>
                <w:color w:val="000000"/>
                <w:spacing w:val="-20"/>
                <w:w w:val="15"/>
                <w:shd w:val="solid" w:color="000000" w:fill="000000"/>
                <w:fitText w:val="45" w:id="-893676543"/>
                <w14:textFill>
                  <w14:solidFill>
                    <w14:srgbClr w14:val="000000">
                      <w14:alpha w14:val="100000"/>
                    </w14:srgbClr>
                  </w14:solidFill>
                </w14:textFill>
              </w:rPr>
              <w:t xml:space="preserve">　</w:t>
            </w:r>
            <w:r w:rsidR="00213E69" w:rsidRPr="000B46C8">
              <w:rPr>
                <w:vertAlign w:val="superscript"/>
              </w:rPr>
              <w:t>6</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2C791013" w14:textId="5C5DF8F5"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2"/>
                <w14:textFill>
                  <w14:solidFill>
                    <w14:srgbClr w14:val="000000">
                      <w14:alpha w14:val="100000"/>
                    </w14:srgbClr>
                  </w14:solidFill>
                </w14:textFill>
              </w:rPr>
              <w:t xml:space="preserve">　</w:t>
            </w:r>
            <w:r w:rsidRPr="00BD3549">
              <w:rPr>
                <w:color w:val="000000"/>
                <w:w w:val="15"/>
                <w:shd w:val="solid" w:color="000000" w:fill="000000"/>
                <w:fitText w:val="45" w:id="-893676542"/>
                <w14:textFill>
                  <w14:solidFill>
                    <w14:srgbClr w14:val="000000">
                      <w14:alpha w14:val="100000"/>
                    </w14:srgbClr>
                  </w14:solidFill>
                </w14:textFill>
              </w:rPr>
              <w:t>|</w:t>
            </w:r>
            <w:r w:rsidRPr="00BD3549">
              <w:rPr>
                <w:rFonts w:hint="eastAsia"/>
                <w:color w:val="000000"/>
                <w:spacing w:val="-20"/>
                <w:w w:val="15"/>
                <w:shd w:val="solid" w:color="000000" w:fill="000000"/>
                <w:fitText w:val="45" w:id="-893676542"/>
                <w14:textFill>
                  <w14:solidFill>
                    <w14:srgbClr w14:val="000000">
                      <w14:alpha w14:val="100000"/>
                    </w14:srgbClr>
                  </w14:solidFill>
                </w14:textFill>
              </w:rPr>
              <w:t xml:space="preserve">　</w:t>
            </w:r>
            <w:r w:rsidR="00213E69" w:rsidRPr="000B46C8">
              <w:rPr>
                <w:vertAlign w:val="superscript"/>
              </w:rPr>
              <w:t>6</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3B6A7E06" w14:textId="3D9FD7C0" w:rsidR="00C20DDD" w:rsidRPr="006804EA" w:rsidRDefault="00BD3549">
            <w:pPr>
              <w:pStyle w:val="TableText0"/>
              <w:jc w:val="center"/>
              <w:rPr>
                <w:highlight w:val="lightGray"/>
              </w:rPr>
            </w:pPr>
            <w:r w:rsidRPr="00BD3549">
              <w:rPr>
                <w:rFonts w:hint="eastAsia"/>
                <w:color w:val="000000"/>
                <w:w w:val="20"/>
                <w:shd w:val="solid" w:color="000000" w:fill="000000"/>
                <w:fitText w:val="90" w:id="-893676541"/>
                <w14:textFill>
                  <w14:solidFill>
                    <w14:srgbClr w14:val="000000">
                      <w14:alpha w14:val="100000"/>
                    </w14:srgbClr>
                  </w14:solidFill>
                </w14:textFill>
              </w:rPr>
              <w:t xml:space="preserve">　</w:t>
            </w:r>
            <w:r w:rsidRPr="00BD3549">
              <w:rPr>
                <w:color w:val="000000"/>
                <w:w w:val="20"/>
                <w:shd w:val="solid" w:color="000000" w:fill="000000"/>
                <w:fitText w:val="90" w:id="-893676541"/>
                <w14:textFill>
                  <w14:solidFill>
                    <w14:srgbClr w14:val="000000">
                      <w14:alpha w14:val="100000"/>
                    </w14:srgbClr>
                  </w14:solidFill>
                </w14:textFill>
              </w:rPr>
              <w:t>|</w:t>
            </w:r>
            <w:r w:rsidRPr="00BD3549">
              <w:rPr>
                <w:rFonts w:hint="eastAsia"/>
                <w:color w:val="000000"/>
                <w:spacing w:val="3"/>
                <w:w w:val="20"/>
                <w:shd w:val="solid" w:color="000000" w:fill="000000"/>
                <w:fitText w:val="90" w:id="-893676541"/>
                <w14:textFill>
                  <w14:solidFill>
                    <w14:srgbClr w14:val="000000">
                      <w14:alpha w14:val="100000"/>
                    </w14:srgbClr>
                  </w14:solidFill>
                </w14:textFill>
              </w:rPr>
              <w:t xml:space="preserve">　</w:t>
            </w:r>
            <w:r w:rsidR="00213E69" w:rsidRPr="000B46C8">
              <w:rPr>
                <w:vertAlign w:val="superscript"/>
              </w:rPr>
              <w:t>6</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7F716CD7" w14:textId="02989D4A"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6C5BAC" w:rsidRPr="006C5BAC">
              <w:rPr>
                <w:vertAlign w:val="superscript"/>
              </w:rPr>
              <w:t>7</w:t>
            </w:r>
          </w:p>
        </w:tc>
      </w:tr>
      <w:tr w:rsidR="00397677" w:rsidRPr="001611DC" w14:paraId="2443CF34"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hideMark/>
          </w:tcPr>
          <w:p w14:paraId="10387CB1" w14:textId="02DC11ED" w:rsidR="00C20DDD" w:rsidRPr="001611DC" w:rsidRDefault="00C20DDD">
            <w:pPr>
              <w:pStyle w:val="TableText0"/>
              <w:ind w:firstLineChars="100" w:firstLine="200"/>
            </w:pPr>
            <w:r w:rsidRPr="001611DC">
              <w:t>NIP</w:t>
            </w:r>
            <w:r w:rsidR="007F7A2B">
              <w:t xml:space="preserve"> </w:t>
            </w:r>
          </w:p>
        </w:tc>
        <w:tc>
          <w:tcPr>
            <w:tcW w:w="629" w:type="pct"/>
            <w:tcBorders>
              <w:top w:val="nil"/>
              <w:left w:val="nil"/>
              <w:bottom w:val="single" w:sz="4" w:space="0" w:color="auto"/>
              <w:right w:val="single" w:sz="4" w:space="0" w:color="auto"/>
            </w:tcBorders>
            <w:shd w:val="clear" w:color="auto" w:fill="auto"/>
            <w:noWrap/>
            <w:vAlign w:val="center"/>
          </w:tcPr>
          <w:p w14:paraId="62143D4F" w14:textId="7A0D70D8"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0"/>
                <w14:textFill>
                  <w14:solidFill>
                    <w14:srgbClr w14:val="000000">
                      <w14:alpha w14:val="100000"/>
                    </w14:srgbClr>
                  </w14:solidFill>
                </w14:textFill>
              </w:rPr>
              <w:t xml:space="preserve">　</w:t>
            </w:r>
            <w:r w:rsidRPr="00BD3549">
              <w:rPr>
                <w:color w:val="000000"/>
                <w:w w:val="15"/>
                <w:shd w:val="solid" w:color="000000" w:fill="000000"/>
                <w:fitText w:val="45" w:id="-893676540"/>
                <w14:textFill>
                  <w14:solidFill>
                    <w14:srgbClr w14:val="000000">
                      <w14:alpha w14:val="100000"/>
                    </w14:srgbClr>
                  </w14:solidFill>
                </w14:textFill>
              </w:rPr>
              <w:t>|</w:t>
            </w:r>
            <w:r w:rsidRPr="00BD3549">
              <w:rPr>
                <w:rFonts w:hint="eastAsia"/>
                <w:color w:val="000000"/>
                <w:spacing w:val="-20"/>
                <w:w w:val="15"/>
                <w:shd w:val="solid" w:color="000000" w:fill="000000"/>
                <w:fitText w:val="45" w:id="-893676540"/>
                <w14:textFill>
                  <w14:solidFill>
                    <w14:srgbClr w14:val="000000">
                      <w14:alpha w14:val="100000"/>
                    </w14:srgbClr>
                  </w14:solidFill>
                </w14:textFill>
              </w:rPr>
              <w:t xml:space="preserve">　</w:t>
            </w:r>
            <w:r w:rsidR="000A0776" w:rsidRPr="0090183D">
              <w:rPr>
                <w:vertAlign w:val="superscript"/>
              </w:rPr>
              <w:t>4</w:t>
            </w:r>
          </w:p>
        </w:tc>
        <w:tc>
          <w:tcPr>
            <w:tcW w:w="628" w:type="pct"/>
            <w:tcBorders>
              <w:top w:val="nil"/>
              <w:left w:val="nil"/>
              <w:bottom w:val="single" w:sz="4" w:space="0" w:color="auto"/>
              <w:right w:val="single" w:sz="4" w:space="0" w:color="auto"/>
            </w:tcBorders>
            <w:shd w:val="clear" w:color="auto" w:fill="auto"/>
            <w:noWrap/>
            <w:vAlign w:val="center"/>
          </w:tcPr>
          <w:p w14:paraId="3D80E394" w14:textId="1FDBF695"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9"/>
                <w14:textFill>
                  <w14:solidFill>
                    <w14:srgbClr w14:val="000000">
                      <w14:alpha w14:val="100000"/>
                    </w14:srgbClr>
                  </w14:solidFill>
                </w14:textFill>
              </w:rPr>
              <w:t xml:space="preserve">　</w:t>
            </w:r>
            <w:r w:rsidRPr="00BD3549">
              <w:rPr>
                <w:color w:val="000000"/>
                <w:w w:val="15"/>
                <w:shd w:val="solid" w:color="000000" w:fill="000000"/>
                <w:fitText w:val="45" w:id="-893676539"/>
                <w14:textFill>
                  <w14:solidFill>
                    <w14:srgbClr w14:val="000000">
                      <w14:alpha w14:val="100000"/>
                    </w14:srgbClr>
                  </w14:solidFill>
                </w14:textFill>
              </w:rPr>
              <w:t>|</w:t>
            </w:r>
            <w:r w:rsidRPr="00BD3549">
              <w:rPr>
                <w:rFonts w:hint="eastAsia"/>
                <w:color w:val="000000"/>
                <w:spacing w:val="-20"/>
                <w:w w:val="15"/>
                <w:shd w:val="solid" w:color="000000" w:fill="000000"/>
                <w:fitText w:val="45" w:id="-893676539"/>
                <w14:textFill>
                  <w14:solidFill>
                    <w14:srgbClr w14:val="000000">
                      <w14:alpha w14:val="100000"/>
                    </w14:srgbClr>
                  </w14:solidFill>
                </w14:textFill>
              </w:rPr>
              <w:t xml:space="preserve">　</w:t>
            </w:r>
            <w:r w:rsidR="00213E69" w:rsidRPr="000B46C8">
              <w:rPr>
                <w:vertAlign w:val="superscript"/>
              </w:rPr>
              <w:t>6</w:t>
            </w:r>
          </w:p>
        </w:tc>
        <w:tc>
          <w:tcPr>
            <w:tcW w:w="629" w:type="pct"/>
            <w:tcBorders>
              <w:top w:val="nil"/>
              <w:left w:val="nil"/>
              <w:bottom w:val="single" w:sz="4" w:space="0" w:color="auto"/>
              <w:right w:val="single" w:sz="4" w:space="0" w:color="auto"/>
            </w:tcBorders>
            <w:shd w:val="clear" w:color="auto" w:fill="auto"/>
            <w:noWrap/>
            <w:vAlign w:val="center"/>
          </w:tcPr>
          <w:p w14:paraId="14A7837A" w14:textId="4D404333"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8"/>
                <w14:textFill>
                  <w14:solidFill>
                    <w14:srgbClr w14:val="000000">
                      <w14:alpha w14:val="100000"/>
                    </w14:srgbClr>
                  </w14:solidFill>
                </w14:textFill>
              </w:rPr>
              <w:t xml:space="preserve">　</w:t>
            </w:r>
            <w:r w:rsidRPr="00BD3549">
              <w:rPr>
                <w:color w:val="000000"/>
                <w:w w:val="15"/>
                <w:shd w:val="solid" w:color="000000" w:fill="000000"/>
                <w:fitText w:val="45" w:id="-893676538"/>
                <w14:textFill>
                  <w14:solidFill>
                    <w14:srgbClr w14:val="000000">
                      <w14:alpha w14:val="100000"/>
                    </w14:srgbClr>
                  </w14:solidFill>
                </w14:textFill>
              </w:rPr>
              <w:t>|</w:t>
            </w:r>
            <w:r w:rsidRPr="00BD3549">
              <w:rPr>
                <w:rFonts w:hint="eastAsia"/>
                <w:color w:val="000000"/>
                <w:spacing w:val="-20"/>
                <w:w w:val="15"/>
                <w:shd w:val="solid" w:color="000000" w:fill="000000"/>
                <w:fitText w:val="45" w:id="-893676538"/>
                <w14:textFill>
                  <w14:solidFill>
                    <w14:srgbClr w14:val="000000">
                      <w14:alpha w14:val="100000"/>
                    </w14:srgbClr>
                  </w14:solidFill>
                </w14:textFill>
              </w:rPr>
              <w:t xml:space="preserve">　</w:t>
            </w:r>
            <w:r w:rsidR="00213E69" w:rsidRPr="000B46C8">
              <w:rPr>
                <w:vertAlign w:val="superscript"/>
              </w:rPr>
              <w:t>6</w:t>
            </w:r>
          </w:p>
        </w:tc>
        <w:tc>
          <w:tcPr>
            <w:tcW w:w="629" w:type="pct"/>
            <w:tcBorders>
              <w:top w:val="nil"/>
              <w:left w:val="nil"/>
              <w:bottom w:val="single" w:sz="4" w:space="0" w:color="auto"/>
              <w:right w:val="single" w:sz="4" w:space="0" w:color="auto"/>
            </w:tcBorders>
            <w:shd w:val="clear" w:color="auto" w:fill="auto"/>
            <w:noWrap/>
            <w:vAlign w:val="center"/>
          </w:tcPr>
          <w:p w14:paraId="796BA992" w14:textId="3E9578D1"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7"/>
                <w14:textFill>
                  <w14:solidFill>
                    <w14:srgbClr w14:val="000000">
                      <w14:alpha w14:val="100000"/>
                    </w14:srgbClr>
                  </w14:solidFill>
                </w14:textFill>
              </w:rPr>
              <w:t xml:space="preserve">　</w:t>
            </w:r>
            <w:r w:rsidRPr="00BD3549">
              <w:rPr>
                <w:color w:val="000000"/>
                <w:w w:val="15"/>
                <w:shd w:val="solid" w:color="000000" w:fill="000000"/>
                <w:fitText w:val="45" w:id="-893676537"/>
                <w14:textFill>
                  <w14:solidFill>
                    <w14:srgbClr w14:val="000000">
                      <w14:alpha w14:val="100000"/>
                    </w14:srgbClr>
                  </w14:solidFill>
                </w14:textFill>
              </w:rPr>
              <w:t>|</w:t>
            </w:r>
            <w:r w:rsidRPr="00BD3549">
              <w:rPr>
                <w:rFonts w:hint="eastAsia"/>
                <w:color w:val="000000"/>
                <w:spacing w:val="-20"/>
                <w:w w:val="15"/>
                <w:shd w:val="solid" w:color="000000" w:fill="000000"/>
                <w:fitText w:val="45" w:id="-893676537"/>
                <w14:textFill>
                  <w14:solidFill>
                    <w14:srgbClr w14:val="000000">
                      <w14:alpha w14:val="100000"/>
                    </w14:srgbClr>
                  </w14:solidFill>
                </w14:textFill>
              </w:rPr>
              <w:t xml:space="preserve">　</w:t>
            </w:r>
            <w:r w:rsidR="00213E69" w:rsidRPr="000B46C8">
              <w:rPr>
                <w:vertAlign w:val="superscript"/>
              </w:rPr>
              <w:t>6</w:t>
            </w:r>
          </w:p>
        </w:tc>
        <w:tc>
          <w:tcPr>
            <w:tcW w:w="629" w:type="pct"/>
            <w:tcBorders>
              <w:top w:val="nil"/>
              <w:left w:val="nil"/>
              <w:bottom w:val="single" w:sz="4" w:space="0" w:color="auto"/>
              <w:right w:val="single" w:sz="4" w:space="0" w:color="auto"/>
            </w:tcBorders>
            <w:shd w:val="clear" w:color="auto" w:fill="auto"/>
            <w:noWrap/>
            <w:vAlign w:val="center"/>
          </w:tcPr>
          <w:p w14:paraId="32554678" w14:textId="280E37C5"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6"/>
                <w14:textFill>
                  <w14:solidFill>
                    <w14:srgbClr w14:val="000000">
                      <w14:alpha w14:val="100000"/>
                    </w14:srgbClr>
                  </w14:solidFill>
                </w14:textFill>
              </w:rPr>
              <w:t xml:space="preserve">　</w:t>
            </w:r>
            <w:r w:rsidRPr="00BD3549">
              <w:rPr>
                <w:color w:val="000000"/>
                <w:w w:val="15"/>
                <w:shd w:val="solid" w:color="000000" w:fill="000000"/>
                <w:fitText w:val="45" w:id="-893676536"/>
                <w14:textFill>
                  <w14:solidFill>
                    <w14:srgbClr w14:val="000000">
                      <w14:alpha w14:val="100000"/>
                    </w14:srgbClr>
                  </w14:solidFill>
                </w14:textFill>
              </w:rPr>
              <w:t>|</w:t>
            </w:r>
            <w:r w:rsidRPr="00BD3549">
              <w:rPr>
                <w:rFonts w:hint="eastAsia"/>
                <w:color w:val="000000"/>
                <w:spacing w:val="-20"/>
                <w:w w:val="15"/>
                <w:shd w:val="solid" w:color="000000" w:fill="000000"/>
                <w:fitText w:val="45" w:id="-893676536"/>
                <w14:textFill>
                  <w14:solidFill>
                    <w14:srgbClr w14:val="000000">
                      <w14:alpha w14:val="100000"/>
                    </w14:srgbClr>
                  </w14:solidFill>
                </w14:textFill>
              </w:rPr>
              <w:t xml:space="preserve">　</w:t>
            </w:r>
            <w:r w:rsidR="00213E69" w:rsidRPr="000B46C8">
              <w:rPr>
                <w:vertAlign w:val="superscript"/>
              </w:rPr>
              <w:t>6</w:t>
            </w:r>
          </w:p>
        </w:tc>
        <w:tc>
          <w:tcPr>
            <w:tcW w:w="547" w:type="pct"/>
            <w:tcBorders>
              <w:top w:val="nil"/>
              <w:left w:val="nil"/>
              <w:bottom w:val="single" w:sz="4" w:space="0" w:color="auto"/>
              <w:right w:val="single" w:sz="4" w:space="0" w:color="auto"/>
            </w:tcBorders>
            <w:shd w:val="clear" w:color="auto" w:fill="auto"/>
            <w:noWrap/>
            <w:vAlign w:val="center"/>
          </w:tcPr>
          <w:p w14:paraId="0C7D29F6" w14:textId="2ADFFBFB" w:rsidR="00C20DDD" w:rsidRPr="006804EA" w:rsidRDefault="00BD3549">
            <w:pPr>
              <w:pStyle w:val="TableText0"/>
              <w:jc w:val="center"/>
              <w:rPr>
                <w:highlight w:val="lightGray"/>
              </w:rPr>
            </w:pPr>
            <w:r w:rsidRPr="00BD3549">
              <w:rPr>
                <w:rFonts w:hint="eastAsia"/>
                <w:color w:val="000000"/>
                <w:w w:val="20"/>
                <w:shd w:val="solid" w:color="000000" w:fill="000000"/>
                <w:fitText w:val="90" w:id="-893676535"/>
                <w14:textFill>
                  <w14:solidFill>
                    <w14:srgbClr w14:val="000000">
                      <w14:alpha w14:val="100000"/>
                    </w14:srgbClr>
                  </w14:solidFill>
                </w14:textFill>
              </w:rPr>
              <w:t xml:space="preserve">　</w:t>
            </w:r>
            <w:r w:rsidRPr="00BD3549">
              <w:rPr>
                <w:color w:val="000000"/>
                <w:w w:val="20"/>
                <w:shd w:val="solid" w:color="000000" w:fill="000000"/>
                <w:fitText w:val="90" w:id="-893676535"/>
                <w14:textFill>
                  <w14:solidFill>
                    <w14:srgbClr w14:val="000000">
                      <w14:alpha w14:val="100000"/>
                    </w14:srgbClr>
                  </w14:solidFill>
                </w14:textFill>
              </w:rPr>
              <w:t>|</w:t>
            </w:r>
            <w:r w:rsidRPr="00BD3549">
              <w:rPr>
                <w:rFonts w:hint="eastAsia"/>
                <w:color w:val="000000"/>
                <w:spacing w:val="3"/>
                <w:w w:val="20"/>
                <w:shd w:val="solid" w:color="000000" w:fill="000000"/>
                <w:fitText w:val="90" w:id="-893676535"/>
                <w14:textFill>
                  <w14:solidFill>
                    <w14:srgbClr w14:val="000000">
                      <w14:alpha w14:val="100000"/>
                    </w14:srgbClr>
                  </w14:solidFill>
                </w14:textFill>
              </w:rPr>
              <w:t xml:space="preserve">　</w:t>
            </w:r>
            <w:r w:rsidR="00213E69" w:rsidRPr="000B46C8">
              <w:rPr>
                <w:vertAlign w:val="superscript"/>
              </w:rPr>
              <w:t>6</w:t>
            </w:r>
          </w:p>
        </w:tc>
        <w:tc>
          <w:tcPr>
            <w:tcW w:w="525" w:type="pct"/>
            <w:tcBorders>
              <w:top w:val="nil"/>
              <w:left w:val="nil"/>
              <w:bottom w:val="single" w:sz="4" w:space="0" w:color="auto"/>
              <w:right w:val="single" w:sz="4" w:space="0" w:color="auto"/>
            </w:tcBorders>
            <w:shd w:val="clear" w:color="auto" w:fill="auto"/>
            <w:noWrap/>
            <w:vAlign w:val="center"/>
          </w:tcPr>
          <w:p w14:paraId="38BF76F8" w14:textId="136271A4"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6C5BAC" w:rsidRPr="006C5BAC">
              <w:rPr>
                <w:vertAlign w:val="superscript"/>
              </w:rPr>
              <w:t>7</w:t>
            </w:r>
          </w:p>
        </w:tc>
      </w:tr>
      <w:tr w:rsidR="00397677" w:rsidRPr="001611DC" w14:paraId="1D156556"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hideMark/>
          </w:tcPr>
          <w:p w14:paraId="5870BFD4" w14:textId="07850831" w:rsidR="00C20DDD" w:rsidRPr="001611DC" w:rsidRDefault="00C20DDD">
            <w:pPr>
              <w:pStyle w:val="TableText0"/>
              <w:ind w:firstLineChars="100" w:firstLine="200"/>
            </w:pPr>
            <w:r w:rsidRPr="001611DC">
              <w:t>PBS</w:t>
            </w:r>
            <w:r w:rsidR="00F21EE8">
              <w:t xml:space="preserve"> </w:t>
            </w:r>
          </w:p>
        </w:tc>
        <w:tc>
          <w:tcPr>
            <w:tcW w:w="629" w:type="pct"/>
            <w:tcBorders>
              <w:top w:val="nil"/>
              <w:left w:val="nil"/>
              <w:bottom w:val="single" w:sz="4" w:space="0" w:color="auto"/>
              <w:right w:val="single" w:sz="4" w:space="0" w:color="auto"/>
            </w:tcBorders>
            <w:shd w:val="clear" w:color="auto" w:fill="auto"/>
            <w:noWrap/>
            <w:vAlign w:val="center"/>
          </w:tcPr>
          <w:p w14:paraId="787BFBDB" w14:textId="1BEA1707"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4"/>
                <w14:textFill>
                  <w14:solidFill>
                    <w14:srgbClr w14:val="000000">
                      <w14:alpha w14:val="100000"/>
                    </w14:srgbClr>
                  </w14:solidFill>
                </w14:textFill>
              </w:rPr>
              <w:t xml:space="preserve">　</w:t>
            </w:r>
            <w:r w:rsidRPr="00BD3549">
              <w:rPr>
                <w:color w:val="000000"/>
                <w:w w:val="15"/>
                <w:shd w:val="solid" w:color="000000" w:fill="000000"/>
                <w:fitText w:val="45" w:id="-893676534"/>
                <w14:textFill>
                  <w14:solidFill>
                    <w14:srgbClr w14:val="000000">
                      <w14:alpha w14:val="100000"/>
                    </w14:srgbClr>
                  </w14:solidFill>
                </w14:textFill>
              </w:rPr>
              <w:t>|</w:t>
            </w:r>
            <w:r w:rsidRPr="00BD3549">
              <w:rPr>
                <w:rFonts w:hint="eastAsia"/>
                <w:color w:val="000000"/>
                <w:spacing w:val="-20"/>
                <w:w w:val="15"/>
                <w:shd w:val="solid" w:color="000000" w:fill="000000"/>
                <w:fitText w:val="45" w:id="-893676534"/>
                <w14:textFill>
                  <w14:solidFill>
                    <w14:srgbClr w14:val="000000">
                      <w14:alpha w14:val="100000"/>
                    </w14:srgbClr>
                  </w14:solidFill>
                </w14:textFill>
              </w:rPr>
              <w:t xml:space="preserve">　</w:t>
            </w:r>
            <w:r w:rsidR="00853EC2" w:rsidRPr="00853EC2">
              <w:rPr>
                <w:vertAlign w:val="superscript"/>
              </w:rPr>
              <w:t>8</w:t>
            </w:r>
          </w:p>
        </w:tc>
        <w:tc>
          <w:tcPr>
            <w:tcW w:w="628" w:type="pct"/>
            <w:tcBorders>
              <w:top w:val="nil"/>
              <w:left w:val="nil"/>
              <w:bottom w:val="single" w:sz="4" w:space="0" w:color="auto"/>
              <w:right w:val="single" w:sz="4" w:space="0" w:color="auto"/>
            </w:tcBorders>
            <w:shd w:val="clear" w:color="auto" w:fill="auto"/>
            <w:noWrap/>
            <w:vAlign w:val="center"/>
          </w:tcPr>
          <w:p w14:paraId="477A0A94" w14:textId="3898BDC3"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3"/>
                <w14:textFill>
                  <w14:solidFill>
                    <w14:srgbClr w14:val="000000">
                      <w14:alpha w14:val="100000"/>
                    </w14:srgbClr>
                  </w14:solidFill>
                </w14:textFill>
              </w:rPr>
              <w:t xml:space="preserve">　</w:t>
            </w:r>
            <w:r w:rsidRPr="00BD3549">
              <w:rPr>
                <w:color w:val="000000"/>
                <w:w w:val="15"/>
                <w:shd w:val="solid" w:color="000000" w:fill="000000"/>
                <w:fitText w:val="45" w:id="-893676533"/>
                <w14:textFill>
                  <w14:solidFill>
                    <w14:srgbClr w14:val="000000">
                      <w14:alpha w14:val="100000"/>
                    </w14:srgbClr>
                  </w14:solidFill>
                </w14:textFill>
              </w:rPr>
              <w:t>|</w:t>
            </w:r>
            <w:r w:rsidRPr="00BD3549">
              <w:rPr>
                <w:rFonts w:hint="eastAsia"/>
                <w:color w:val="000000"/>
                <w:spacing w:val="-20"/>
                <w:w w:val="15"/>
                <w:shd w:val="solid" w:color="000000" w:fill="000000"/>
                <w:fitText w:val="45" w:id="-893676533"/>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2FF499B9" w14:textId="58A2C113"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2"/>
                <w14:textFill>
                  <w14:solidFill>
                    <w14:srgbClr w14:val="000000">
                      <w14:alpha w14:val="100000"/>
                    </w14:srgbClr>
                  </w14:solidFill>
                </w14:textFill>
              </w:rPr>
              <w:t xml:space="preserve">　</w:t>
            </w:r>
            <w:r w:rsidRPr="00BD3549">
              <w:rPr>
                <w:color w:val="000000"/>
                <w:w w:val="15"/>
                <w:shd w:val="solid" w:color="000000" w:fill="000000"/>
                <w:fitText w:val="45" w:id="-893676532"/>
                <w14:textFill>
                  <w14:solidFill>
                    <w14:srgbClr w14:val="000000">
                      <w14:alpha w14:val="100000"/>
                    </w14:srgbClr>
                  </w14:solidFill>
                </w14:textFill>
              </w:rPr>
              <w:t>|</w:t>
            </w:r>
            <w:r w:rsidRPr="00BD3549">
              <w:rPr>
                <w:rFonts w:hint="eastAsia"/>
                <w:color w:val="000000"/>
                <w:spacing w:val="-20"/>
                <w:w w:val="15"/>
                <w:shd w:val="solid" w:color="000000" w:fill="000000"/>
                <w:fitText w:val="45" w:id="-893676532"/>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55BA0C66" w14:textId="2B33A4BC"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1"/>
                <w14:textFill>
                  <w14:solidFill>
                    <w14:srgbClr w14:val="000000">
                      <w14:alpha w14:val="100000"/>
                    </w14:srgbClr>
                  </w14:solidFill>
                </w14:textFill>
              </w:rPr>
              <w:t xml:space="preserve">　</w:t>
            </w:r>
            <w:r w:rsidRPr="00BD3549">
              <w:rPr>
                <w:color w:val="000000"/>
                <w:w w:val="15"/>
                <w:shd w:val="solid" w:color="000000" w:fill="000000"/>
                <w:fitText w:val="45" w:id="-893676531"/>
                <w14:textFill>
                  <w14:solidFill>
                    <w14:srgbClr w14:val="000000">
                      <w14:alpha w14:val="100000"/>
                    </w14:srgbClr>
                  </w14:solidFill>
                </w14:textFill>
              </w:rPr>
              <w:t>|</w:t>
            </w:r>
            <w:r w:rsidRPr="00BD3549">
              <w:rPr>
                <w:rFonts w:hint="eastAsia"/>
                <w:color w:val="000000"/>
                <w:spacing w:val="-20"/>
                <w:w w:val="15"/>
                <w:shd w:val="solid" w:color="000000" w:fill="000000"/>
                <w:fitText w:val="45" w:id="-893676531"/>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5D7A75C0" w14:textId="0C93259D"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0"/>
                <w14:textFill>
                  <w14:solidFill>
                    <w14:srgbClr w14:val="000000">
                      <w14:alpha w14:val="100000"/>
                    </w14:srgbClr>
                  </w14:solidFill>
                </w14:textFill>
              </w:rPr>
              <w:t xml:space="preserve">　</w:t>
            </w:r>
            <w:r w:rsidRPr="00BD3549">
              <w:rPr>
                <w:color w:val="000000"/>
                <w:w w:val="15"/>
                <w:shd w:val="solid" w:color="000000" w:fill="000000"/>
                <w:fitText w:val="45" w:id="-893676530"/>
                <w14:textFill>
                  <w14:solidFill>
                    <w14:srgbClr w14:val="000000">
                      <w14:alpha w14:val="100000"/>
                    </w14:srgbClr>
                  </w14:solidFill>
                </w14:textFill>
              </w:rPr>
              <w:t>|</w:t>
            </w:r>
            <w:r w:rsidRPr="00BD3549">
              <w:rPr>
                <w:rFonts w:hint="eastAsia"/>
                <w:color w:val="000000"/>
                <w:spacing w:val="-20"/>
                <w:w w:val="15"/>
                <w:shd w:val="solid" w:color="000000" w:fill="000000"/>
                <w:fitText w:val="45" w:id="-893676530"/>
                <w14:textFill>
                  <w14:solidFill>
                    <w14:srgbClr w14:val="000000">
                      <w14:alpha w14:val="100000"/>
                    </w14:srgbClr>
                  </w14:solidFill>
                </w14:textFill>
              </w:rPr>
              <w:t xml:space="preserve">　</w:t>
            </w:r>
            <w:r w:rsidR="00853EC2" w:rsidRPr="00853EC2">
              <w:rPr>
                <w:vertAlign w:val="superscript"/>
              </w:rPr>
              <w:t>8</w:t>
            </w:r>
          </w:p>
        </w:tc>
        <w:tc>
          <w:tcPr>
            <w:tcW w:w="547" w:type="pct"/>
            <w:tcBorders>
              <w:top w:val="nil"/>
              <w:left w:val="nil"/>
              <w:bottom w:val="single" w:sz="4" w:space="0" w:color="auto"/>
              <w:right w:val="single" w:sz="4" w:space="0" w:color="auto"/>
            </w:tcBorders>
            <w:shd w:val="clear" w:color="auto" w:fill="auto"/>
            <w:noWrap/>
            <w:vAlign w:val="center"/>
          </w:tcPr>
          <w:p w14:paraId="3E0438A4" w14:textId="5A5FFCB8" w:rsidR="00C20DDD" w:rsidRPr="006804EA" w:rsidRDefault="00BD3549">
            <w:pPr>
              <w:pStyle w:val="TableText0"/>
              <w:jc w:val="center"/>
              <w:rPr>
                <w:highlight w:val="lightGray"/>
              </w:rPr>
            </w:pPr>
            <w:r w:rsidRPr="00BD3549">
              <w:rPr>
                <w:rFonts w:hint="eastAsia"/>
                <w:color w:val="000000"/>
                <w:w w:val="20"/>
                <w:shd w:val="solid" w:color="000000" w:fill="000000"/>
                <w:fitText w:val="90" w:id="-893676529"/>
                <w14:textFill>
                  <w14:solidFill>
                    <w14:srgbClr w14:val="000000">
                      <w14:alpha w14:val="100000"/>
                    </w14:srgbClr>
                  </w14:solidFill>
                </w14:textFill>
              </w:rPr>
              <w:t xml:space="preserve">　</w:t>
            </w:r>
            <w:r w:rsidRPr="00BD3549">
              <w:rPr>
                <w:color w:val="000000"/>
                <w:w w:val="20"/>
                <w:shd w:val="solid" w:color="000000" w:fill="000000"/>
                <w:fitText w:val="90" w:id="-893676529"/>
                <w14:textFill>
                  <w14:solidFill>
                    <w14:srgbClr w14:val="000000">
                      <w14:alpha w14:val="100000"/>
                    </w14:srgbClr>
                  </w14:solidFill>
                </w14:textFill>
              </w:rPr>
              <w:t>|</w:t>
            </w:r>
            <w:r w:rsidRPr="00BD3549">
              <w:rPr>
                <w:rFonts w:hint="eastAsia"/>
                <w:color w:val="000000"/>
                <w:spacing w:val="3"/>
                <w:w w:val="20"/>
                <w:shd w:val="solid" w:color="000000" w:fill="000000"/>
                <w:fitText w:val="90" w:id="-893676529"/>
                <w14:textFill>
                  <w14:solidFill>
                    <w14:srgbClr w14:val="000000">
                      <w14:alpha w14:val="100000"/>
                    </w14:srgbClr>
                  </w14:solidFill>
                </w14:textFill>
              </w:rPr>
              <w:t xml:space="preserve">　</w:t>
            </w:r>
            <w:r w:rsidR="00853EC2" w:rsidRPr="00853EC2">
              <w:rPr>
                <w:vertAlign w:val="superscript"/>
              </w:rPr>
              <w:t>8</w:t>
            </w:r>
          </w:p>
        </w:tc>
        <w:tc>
          <w:tcPr>
            <w:tcW w:w="525" w:type="pct"/>
            <w:tcBorders>
              <w:top w:val="nil"/>
              <w:left w:val="nil"/>
              <w:bottom w:val="single" w:sz="4" w:space="0" w:color="auto"/>
              <w:right w:val="single" w:sz="4" w:space="0" w:color="auto"/>
            </w:tcBorders>
            <w:shd w:val="clear" w:color="auto" w:fill="auto"/>
            <w:noWrap/>
            <w:vAlign w:val="center"/>
          </w:tcPr>
          <w:p w14:paraId="42FDC904" w14:textId="64AB920D"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853EC2" w:rsidRPr="00853EC2">
              <w:rPr>
                <w:vertAlign w:val="superscript"/>
              </w:rPr>
              <w:t>8</w:t>
            </w:r>
          </w:p>
        </w:tc>
      </w:tr>
      <w:tr w:rsidR="00397677" w:rsidRPr="001611DC" w14:paraId="47468505"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hideMark/>
          </w:tcPr>
          <w:p w14:paraId="58DD67A3" w14:textId="77777777" w:rsidR="00C20DDD" w:rsidRPr="001611DC" w:rsidRDefault="00C20DDD">
            <w:pPr>
              <w:pStyle w:val="TableText0"/>
              <w:ind w:firstLineChars="100" w:firstLine="200"/>
            </w:pPr>
            <w:r w:rsidRPr="001611DC">
              <w:t>MBS</w:t>
            </w:r>
          </w:p>
        </w:tc>
        <w:tc>
          <w:tcPr>
            <w:tcW w:w="629" w:type="pct"/>
            <w:tcBorders>
              <w:top w:val="nil"/>
              <w:left w:val="nil"/>
              <w:bottom w:val="single" w:sz="4" w:space="0" w:color="auto"/>
              <w:right w:val="single" w:sz="4" w:space="0" w:color="auto"/>
            </w:tcBorders>
            <w:shd w:val="clear" w:color="auto" w:fill="auto"/>
            <w:noWrap/>
            <w:vAlign w:val="center"/>
          </w:tcPr>
          <w:p w14:paraId="40DDB86C" w14:textId="27DA3069" w:rsidR="00C20DDD" w:rsidRPr="006804EA" w:rsidRDefault="00BD3549">
            <w:pPr>
              <w:pStyle w:val="TableText0"/>
              <w:jc w:val="center"/>
              <w:rPr>
                <w:highlight w:val="lightGray"/>
              </w:rPr>
            </w:pPr>
            <w:r w:rsidRPr="00BD3549">
              <w:rPr>
                <w:rFonts w:hint="eastAsia"/>
                <w:color w:val="000000"/>
                <w:w w:val="15"/>
                <w:shd w:val="solid" w:color="000000" w:fill="000000"/>
                <w:fitText w:val="45" w:id="-893676528"/>
                <w14:textFill>
                  <w14:solidFill>
                    <w14:srgbClr w14:val="000000">
                      <w14:alpha w14:val="100000"/>
                    </w14:srgbClr>
                  </w14:solidFill>
                </w14:textFill>
              </w:rPr>
              <w:t xml:space="preserve">　</w:t>
            </w:r>
            <w:r w:rsidRPr="00BD3549">
              <w:rPr>
                <w:color w:val="000000"/>
                <w:w w:val="15"/>
                <w:shd w:val="solid" w:color="000000" w:fill="000000"/>
                <w:fitText w:val="45" w:id="-893676528"/>
                <w14:textFill>
                  <w14:solidFill>
                    <w14:srgbClr w14:val="000000">
                      <w14:alpha w14:val="100000"/>
                    </w14:srgbClr>
                  </w14:solidFill>
                </w14:textFill>
              </w:rPr>
              <w:t>|</w:t>
            </w:r>
            <w:r w:rsidRPr="00BD3549">
              <w:rPr>
                <w:rFonts w:hint="eastAsia"/>
                <w:color w:val="000000"/>
                <w:spacing w:val="-20"/>
                <w:w w:val="15"/>
                <w:shd w:val="solid" w:color="000000" w:fill="000000"/>
                <w:fitText w:val="45" w:id="-893676528"/>
                <w14:textFill>
                  <w14:solidFill>
                    <w14:srgbClr w14:val="000000">
                      <w14:alpha w14:val="100000"/>
                    </w14:srgbClr>
                  </w14:solidFill>
                </w14:textFill>
              </w:rPr>
              <w:t xml:space="preserve">　</w:t>
            </w:r>
            <w:r w:rsidR="00853EC2" w:rsidRPr="00853EC2">
              <w:rPr>
                <w:vertAlign w:val="superscript"/>
              </w:rPr>
              <w:t>8</w:t>
            </w:r>
          </w:p>
        </w:tc>
        <w:tc>
          <w:tcPr>
            <w:tcW w:w="628" w:type="pct"/>
            <w:tcBorders>
              <w:top w:val="nil"/>
              <w:left w:val="nil"/>
              <w:bottom w:val="single" w:sz="4" w:space="0" w:color="auto"/>
              <w:right w:val="single" w:sz="4" w:space="0" w:color="auto"/>
            </w:tcBorders>
            <w:shd w:val="clear" w:color="auto" w:fill="auto"/>
            <w:noWrap/>
            <w:vAlign w:val="center"/>
          </w:tcPr>
          <w:p w14:paraId="14F8E9C5" w14:textId="1C271C0E"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4"/>
                <w14:textFill>
                  <w14:solidFill>
                    <w14:srgbClr w14:val="000000">
                      <w14:alpha w14:val="100000"/>
                    </w14:srgbClr>
                  </w14:solidFill>
                </w14:textFill>
              </w:rPr>
              <w:t xml:space="preserve">　</w:t>
            </w:r>
            <w:r w:rsidRPr="00BD3549">
              <w:rPr>
                <w:color w:val="000000"/>
                <w:w w:val="15"/>
                <w:shd w:val="solid" w:color="000000" w:fill="000000"/>
                <w:fitText w:val="45" w:id="-893676544"/>
                <w14:textFill>
                  <w14:solidFill>
                    <w14:srgbClr w14:val="000000">
                      <w14:alpha w14:val="100000"/>
                    </w14:srgbClr>
                  </w14:solidFill>
                </w14:textFill>
              </w:rPr>
              <w:t>|</w:t>
            </w:r>
            <w:r w:rsidRPr="00BD3549">
              <w:rPr>
                <w:rFonts w:hint="eastAsia"/>
                <w:color w:val="000000"/>
                <w:spacing w:val="-20"/>
                <w:w w:val="15"/>
                <w:shd w:val="solid" w:color="000000" w:fill="000000"/>
                <w:fitText w:val="45" w:id="-893676544"/>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2C2CD893" w14:textId="359FFDF6"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3"/>
                <w14:textFill>
                  <w14:solidFill>
                    <w14:srgbClr w14:val="000000">
                      <w14:alpha w14:val="100000"/>
                    </w14:srgbClr>
                  </w14:solidFill>
                </w14:textFill>
              </w:rPr>
              <w:t xml:space="preserve">　</w:t>
            </w:r>
            <w:r w:rsidRPr="00BD3549">
              <w:rPr>
                <w:color w:val="000000"/>
                <w:w w:val="15"/>
                <w:shd w:val="solid" w:color="000000" w:fill="000000"/>
                <w:fitText w:val="45" w:id="-893676543"/>
                <w14:textFill>
                  <w14:solidFill>
                    <w14:srgbClr w14:val="000000">
                      <w14:alpha w14:val="100000"/>
                    </w14:srgbClr>
                  </w14:solidFill>
                </w14:textFill>
              </w:rPr>
              <w:t>|</w:t>
            </w:r>
            <w:r w:rsidRPr="00BD3549">
              <w:rPr>
                <w:rFonts w:hint="eastAsia"/>
                <w:color w:val="000000"/>
                <w:spacing w:val="-20"/>
                <w:w w:val="15"/>
                <w:shd w:val="solid" w:color="000000" w:fill="000000"/>
                <w:fitText w:val="45" w:id="-893676543"/>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4F7D471C" w14:textId="366A944E"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2"/>
                <w14:textFill>
                  <w14:solidFill>
                    <w14:srgbClr w14:val="000000">
                      <w14:alpha w14:val="100000"/>
                    </w14:srgbClr>
                  </w14:solidFill>
                </w14:textFill>
              </w:rPr>
              <w:t xml:space="preserve">　</w:t>
            </w:r>
            <w:r w:rsidRPr="00BD3549">
              <w:rPr>
                <w:color w:val="000000"/>
                <w:w w:val="15"/>
                <w:shd w:val="solid" w:color="000000" w:fill="000000"/>
                <w:fitText w:val="45" w:id="-893676542"/>
                <w14:textFill>
                  <w14:solidFill>
                    <w14:srgbClr w14:val="000000">
                      <w14:alpha w14:val="100000"/>
                    </w14:srgbClr>
                  </w14:solidFill>
                </w14:textFill>
              </w:rPr>
              <w:t>|</w:t>
            </w:r>
            <w:r w:rsidRPr="00BD3549">
              <w:rPr>
                <w:rFonts w:hint="eastAsia"/>
                <w:color w:val="000000"/>
                <w:spacing w:val="-20"/>
                <w:w w:val="15"/>
                <w:shd w:val="solid" w:color="000000" w:fill="000000"/>
                <w:fitText w:val="45" w:id="-893676542"/>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141DD07F" w14:textId="572C4C8A"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1"/>
                <w14:textFill>
                  <w14:solidFill>
                    <w14:srgbClr w14:val="000000">
                      <w14:alpha w14:val="100000"/>
                    </w14:srgbClr>
                  </w14:solidFill>
                </w14:textFill>
              </w:rPr>
              <w:t xml:space="preserve">　</w:t>
            </w:r>
            <w:r w:rsidRPr="00BD3549">
              <w:rPr>
                <w:color w:val="000000"/>
                <w:w w:val="15"/>
                <w:shd w:val="solid" w:color="000000" w:fill="000000"/>
                <w:fitText w:val="45" w:id="-893676541"/>
                <w14:textFill>
                  <w14:solidFill>
                    <w14:srgbClr w14:val="000000">
                      <w14:alpha w14:val="100000"/>
                    </w14:srgbClr>
                  </w14:solidFill>
                </w14:textFill>
              </w:rPr>
              <w:t>|</w:t>
            </w:r>
            <w:r w:rsidRPr="00BD3549">
              <w:rPr>
                <w:rFonts w:hint="eastAsia"/>
                <w:color w:val="000000"/>
                <w:spacing w:val="-20"/>
                <w:w w:val="15"/>
                <w:shd w:val="solid" w:color="000000" w:fill="000000"/>
                <w:fitText w:val="45" w:id="-893676541"/>
                <w14:textFill>
                  <w14:solidFill>
                    <w14:srgbClr w14:val="000000">
                      <w14:alpha w14:val="100000"/>
                    </w14:srgbClr>
                  </w14:solidFill>
                </w14:textFill>
              </w:rPr>
              <w:t xml:space="preserve">　</w:t>
            </w:r>
            <w:r w:rsidR="00853EC2" w:rsidRPr="00853EC2">
              <w:rPr>
                <w:vertAlign w:val="superscript"/>
              </w:rPr>
              <w:t>8</w:t>
            </w:r>
          </w:p>
        </w:tc>
        <w:tc>
          <w:tcPr>
            <w:tcW w:w="547" w:type="pct"/>
            <w:tcBorders>
              <w:top w:val="nil"/>
              <w:left w:val="nil"/>
              <w:bottom w:val="single" w:sz="4" w:space="0" w:color="auto"/>
              <w:right w:val="single" w:sz="4" w:space="0" w:color="auto"/>
            </w:tcBorders>
            <w:shd w:val="clear" w:color="auto" w:fill="auto"/>
            <w:noWrap/>
            <w:vAlign w:val="center"/>
          </w:tcPr>
          <w:p w14:paraId="56D44B03" w14:textId="5071224E" w:rsidR="00C20DDD" w:rsidRPr="006804EA" w:rsidRDefault="00BD3549">
            <w:pPr>
              <w:pStyle w:val="TableText0"/>
              <w:jc w:val="center"/>
              <w:rPr>
                <w:highlight w:val="lightGray"/>
              </w:rPr>
            </w:pPr>
            <w:r w:rsidRPr="00BD3549">
              <w:rPr>
                <w:rFonts w:hint="eastAsia"/>
                <w:color w:val="000000"/>
                <w:w w:val="20"/>
                <w:shd w:val="solid" w:color="000000" w:fill="000000"/>
                <w:fitText w:val="90" w:id="-893676540"/>
                <w14:textFill>
                  <w14:solidFill>
                    <w14:srgbClr w14:val="000000">
                      <w14:alpha w14:val="100000"/>
                    </w14:srgbClr>
                  </w14:solidFill>
                </w14:textFill>
              </w:rPr>
              <w:t xml:space="preserve">　</w:t>
            </w:r>
            <w:r w:rsidRPr="00BD3549">
              <w:rPr>
                <w:color w:val="000000"/>
                <w:w w:val="20"/>
                <w:shd w:val="solid" w:color="000000" w:fill="000000"/>
                <w:fitText w:val="90" w:id="-893676540"/>
                <w14:textFill>
                  <w14:solidFill>
                    <w14:srgbClr w14:val="000000">
                      <w14:alpha w14:val="100000"/>
                    </w14:srgbClr>
                  </w14:solidFill>
                </w14:textFill>
              </w:rPr>
              <w:t>|</w:t>
            </w:r>
            <w:r w:rsidRPr="00BD3549">
              <w:rPr>
                <w:rFonts w:hint="eastAsia"/>
                <w:color w:val="000000"/>
                <w:spacing w:val="3"/>
                <w:w w:val="20"/>
                <w:shd w:val="solid" w:color="000000" w:fill="000000"/>
                <w:fitText w:val="90" w:id="-893676540"/>
                <w14:textFill>
                  <w14:solidFill>
                    <w14:srgbClr w14:val="000000">
                      <w14:alpha w14:val="100000"/>
                    </w14:srgbClr>
                  </w14:solidFill>
                </w14:textFill>
              </w:rPr>
              <w:t xml:space="preserve">　</w:t>
            </w:r>
            <w:r w:rsidR="00853EC2" w:rsidRPr="00853EC2">
              <w:rPr>
                <w:vertAlign w:val="superscript"/>
              </w:rPr>
              <w:t>8</w:t>
            </w:r>
          </w:p>
        </w:tc>
        <w:tc>
          <w:tcPr>
            <w:tcW w:w="525" w:type="pct"/>
            <w:tcBorders>
              <w:top w:val="nil"/>
              <w:left w:val="nil"/>
              <w:bottom w:val="single" w:sz="4" w:space="0" w:color="auto"/>
              <w:right w:val="single" w:sz="4" w:space="0" w:color="auto"/>
            </w:tcBorders>
            <w:shd w:val="clear" w:color="auto" w:fill="auto"/>
            <w:noWrap/>
            <w:vAlign w:val="center"/>
          </w:tcPr>
          <w:p w14:paraId="294E98BE" w14:textId="43EB26F2"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853EC2" w:rsidRPr="00853EC2">
              <w:rPr>
                <w:vertAlign w:val="superscript"/>
              </w:rPr>
              <w:t>8</w:t>
            </w:r>
          </w:p>
        </w:tc>
      </w:tr>
      <w:tr w:rsidR="00397677" w:rsidRPr="001611DC" w:rsidDel="00946CA5" w14:paraId="655EEF1F"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hideMark/>
          </w:tcPr>
          <w:p w14:paraId="7769DC0B" w14:textId="77777777" w:rsidR="00C20DDD" w:rsidRPr="001611DC" w:rsidRDefault="00C20DDD">
            <w:pPr>
              <w:pStyle w:val="TableText0"/>
              <w:ind w:firstLineChars="100" w:firstLine="200"/>
            </w:pPr>
            <w:r w:rsidRPr="001611DC" w:rsidDel="00946CA5">
              <w:t>Other</w:t>
            </w:r>
          </w:p>
          <w:p w14:paraId="332B79EC" w14:textId="77777777" w:rsidR="00C20DDD" w:rsidRPr="001611DC" w:rsidRDefault="00C20DDD">
            <w:pPr>
              <w:pStyle w:val="TableText0"/>
              <w:ind w:firstLineChars="100" w:firstLine="200"/>
            </w:pPr>
            <w:r w:rsidRPr="001611DC" w:rsidDel="00946CA5">
              <w:t>Federal</w:t>
            </w:r>
          </w:p>
          <w:p w14:paraId="25F12A2D" w14:textId="5F611D6E" w:rsidR="00C20DDD" w:rsidRPr="001611DC" w:rsidDel="00946CA5" w:rsidRDefault="006804EA">
            <w:pPr>
              <w:pStyle w:val="TableText0"/>
              <w:ind w:firstLineChars="100" w:firstLine="200"/>
            </w:pPr>
            <w:r w:rsidRPr="001611DC" w:rsidDel="00946CA5">
              <w:t>B</w:t>
            </w:r>
            <w:r w:rsidR="00C20DDD" w:rsidRPr="001611DC" w:rsidDel="00946CA5">
              <w:t>udgets</w:t>
            </w:r>
            <w:r>
              <w:t xml:space="preserve"> </w:t>
            </w:r>
          </w:p>
        </w:tc>
        <w:tc>
          <w:tcPr>
            <w:tcW w:w="629" w:type="pct"/>
            <w:tcBorders>
              <w:top w:val="nil"/>
              <w:left w:val="nil"/>
              <w:bottom w:val="single" w:sz="4" w:space="0" w:color="auto"/>
              <w:right w:val="single" w:sz="4" w:space="0" w:color="auto"/>
            </w:tcBorders>
            <w:shd w:val="clear" w:color="auto" w:fill="auto"/>
            <w:noWrap/>
            <w:vAlign w:val="center"/>
          </w:tcPr>
          <w:p w14:paraId="2FEBD937" w14:textId="69B8D203" w:rsidR="00C20DDD" w:rsidRPr="006804EA" w:rsidDel="00946CA5" w:rsidRDefault="00BD3549">
            <w:pPr>
              <w:pStyle w:val="TableText0"/>
              <w:jc w:val="center"/>
              <w:rPr>
                <w:highlight w:val="lightGray"/>
              </w:rPr>
            </w:pPr>
            <w:r w:rsidRPr="00BD3549">
              <w:rPr>
                <w:rFonts w:hint="eastAsia"/>
                <w:color w:val="000000"/>
                <w:w w:val="15"/>
                <w:shd w:val="solid" w:color="000000" w:fill="000000"/>
                <w:fitText w:val="45" w:id="-893676539"/>
                <w14:textFill>
                  <w14:solidFill>
                    <w14:srgbClr w14:val="000000">
                      <w14:alpha w14:val="100000"/>
                    </w14:srgbClr>
                  </w14:solidFill>
                </w14:textFill>
              </w:rPr>
              <w:t xml:space="preserve">　</w:t>
            </w:r>
            <w:r w:rsidRPr="00BD3549">
              <w:rPr>
                <w:color w:val="000000"/>
                <w:w w:val="15"/>
                <w:shd w:val="solid" w:color="000000" w:fill="000000"/>
                <w:fitText w:val="45" w:id="-893676539"/>
                <w14:textFill>
                  <w14:solidFill>
                    <w14:srgbClr w14:val="000000">
                      <w14:alpha w14:val="100000"/>
                    </w14:srgbClr>
                  </w14:solidFill>
                </w14:textFill>
              </w:rPr>
              <w:t>|</w:t>
            </w:r>
            <w:r w:rsidRPr="00BD3549">
              <w:rPr>
                <w:rFonts w:hint="eastAsia"/>
                <w:color w:val="000000"/>
                <w:spacing w:val="-20"/>
                <w:w w:val="15"/>
                <w:shd w:val="solid" w:color="000000" w:fill="000000"/>
                <w:fitText w:val="45" w:id="-893676539"/>
                <w14:textFill>
                  <w14:solidFill>
                    <w14:srgbClr w14:val="000000">
                      <w14:alpha w14:val="100000"/>
                    </w14:srgbClr>
                  </w14:solidFill>
                </w14:textFill>
              </w:rPr>
              <w:t xml:space="preserve">　</w:t>
            </w:r>
            <w:r w:rsidR="00853EC2" w:rsidRPr="00853EC2">
              <w:rPr>
                <w:vertAlign w:val="superscript"/>
              </w:rPr>
              <w:t>8</w:t>
            </w:r>
          </w:p>
        </w:tc>
        <w:tc>
          <w:tcPr>
            <w:tcW w:w="628" w:type="pct"/>
            <w:tcBorders>
              <w:top w:val="nil"/>
              <w:left w:val="nil"/>
              <w:bottom w:val="single" w:sz="4" w:space="0" w:color="auto"/>
              <w:right w:val="single" w:sz="4" w:space="0" w:color="auto"/>
            </w:tcBorders>
            <w:shd w:val="clear" w:color="auto" w:fill="auto"/>
            <w:noWrap/>
            <w:vAlign w:val="center"/>
          </w:tcPr>
          <w:p w14:paraId="05F8D6CB" w14:textId="10F7B0EF" w:rsidR="00C20DDD" w:rsidRPr="006804EA" w:rsidDel="00946CA5" w:rsidRDefault="00BD3549">
            <w:pPr>
              <w:pStyle w:val="TableText0"/>
              <w:jc w:val="center"/>
              <w:rPr>
                <w:highlight w:val="lightGray"/>
              </w:rPr>
            </w:pPr>
            <w:r w:rsidRPr="00BD3549">
              <w:rPr>
                <w:rFonts w:hint="eastAsia"/>
                <w:color w:val="000000"/>
                <w:w w:val="15"/>
                <w:shd w:val="solid" w:color="000000" w:fill="000000"/>
                <w:fitText w:val="45" w:id="-893676538"/>
                <w14:textFill>
                  <w14:solidFill>
                    <w14:srgbClr w14:val="000000">
                      <w14:alpha w14:val="100000"/>
                    </w14:srgbClr>
                  </w14:solidFill>
                </w14:textFill>
              </w:rPr>
              <w:t xml:space="preserve">　</w:t>
            </w:r>
            <w:r w:rsidRPr="00BD3549">
              <w:rPr>
                <w:color w:val="000000"/>
                <w:w w:val="15"/>
                <w:shd w:val="solid" w:color="000000" w:fill="000000"/>
                <w:fitText w:val="45" w:id="-893676538"/>
                <w14:textFill>
                  <w14:solidFill>
                    <w14:srgbClr w14:val="000000">
                      <w14:alpha w14:val="100000"/>
                    </w14:srgbClr>
                  </w14:solidFill>
                </w14:textFill>
              </w:rPr>
              <w:t>|</w:t>
            </w:r>
            <w:r w:rsidRPr="00BD3549">
              <w:rPr>
                <w:rFonts w:hint="eastAsia"/>
                <w:color w:val="000000"/>
                <w:spacing w:val="-20"/>
                <w:w w:val="15"/>
                <w:shd w:val="solid" w:color="000000" w:fill="000000"/>
                <w:fitText w:val="45" w:id="-893676538"/>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3654EBFC" w14:textId="36BE621D" w:rsidR="00C20DDD" w:rsidRPr="006804EA" w:rsidDel="00946CA5" w:rsidRDefault="00BD3549">
            <w:pPr>
              <w:pStyle w:val="TableText0"/>
              <w:jc w:val="center"/>
              <w:rPr>
                <w:highlight w:val="lightGray"/>
              </w:rPr>
            </w:pPr>
            <w:r w:rsidRPr="00BD3549">
              <w:rPr>
                <w:rFonts w:hint="eastAsia"/>
                <w:color w:val="000000"/>
                <w:w w:val="15"/>
                <w:shd w:val="solid" w:color="000000" w:fill="000000"/>
                <w:fitText w:val="45" w:id="-893676537"/>
                <w14:textFill>
                  <w14:solidFill>
                    <w14:srgbClr w14:val="000000">
                      <w14:alpha w14:val="100000"/>
                    </w14:srgbClr>
                  </w14:solidFill>
                </w14:textFill>
              </w:rPr>
              <w:t xml:space="preserve">　</w:t>
            </w:r>
            <w:r w:rsidRPr="00BD3549">
              <w:rPr>
                <w:color w:val="000000"/>
                <w:w w:val="15"/>
                <w:shd w:val="solid" w:color="000000" w:fill="000000"/>
                <w:fitText w:val="45" w:id="-893676537"/>
                <w14:textFill>
                  <w14:solidFill>
                    <w14:srgbClr w14:val="000000">
                      <w14:alpha w14:val="100000"/>
                    </w14:srgbClr>
                  </w14:solidFill>
                </w14:textFill>
              </w:rPr>
              <w:t>|</w:t>
            </w:r>
            <w:r w:rsidRPr="00BD3549">
              <w:rPr>
                <w:rFonts w:hint="eastAsia"/>
                <w:color w:val="000000"/>
                <w:spacing w:val="-20"/>
                <w:w w:val="15"/>
                <w:shd w:val="solid" w:color="000000" w:fill="000000"/>
                <w:fitText w:val="45" w:id="-893676537"/>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72EDEBE6" w14:textId="6D6FB8BC" w:rsidR="00C20DDD" w:rsidRPr="006804EA" w:rsidDel="00946CA5" w:rsidRDefault="00BD3549">
            <w:pPr>
              <w:pStyle w:val="TableText0"/>
              <w:jc w:val="center"/>
              <w:rPr>
                <w:highlight w:val="lightGray"/>
              </w:rPr>
            </w:pPr>
            <w:r w:rsidRPr="00BD3549">
              <w:rPr>
                <w:rFonts w:hint="eastAsia"/>
                <w:color w:val="000000"/>
                <w:w w:val="15"/>
                <w:shd w:val="solid" w:color="000000" w:fill="000000"/>
                <w:fitText w:val="45" w:id="-893676536"/>
                <w14:textFill>
                  <w14:solidFill>
                    <w14:srgbClr w14:val="000000">
                      <w14:alpha w14:val="100000"/>
                    </w14:srgbClr>
                  </w14:solidFill>
                </w14:textFill>
              </w:rPr>
              <w:t xml:space="preserve">　</w:t>
            </w:r>
            <w:r w:rsidRPr="00BD3549">
              <w:rPr>
                <w:color w:val="000000"/>
                <w:w w:val="15"/>
                <w:shd w:val="solid" w:color="000000" w:fill="000000"/>
                <w:fitText w:val="45" w:id="-893676536"/>
                <w14:textFill>
                  <w14:solidFill>
                    <w14:srgbClr w14:val="000000">
                      <w14:alpha w14:val="100000"/>
                    </w14:srgbClr>
                  </w14:solidFill>
                </w14:textFill>
              </w:rPr>
              <w:t>|</w:t>
            </w:r>
            <w:r w:rsidRPr="00BD3549">
              <w:rPr>
                <w:rFonts w:hint="eastAsia"/>
                <w:color w:val="000000"/>
                <w:spacing w:val="-20"/>
                <w:w w:val="15"/>
                <w:shd w:val="solid" w:color="000000" w:fill="000000"/>
                <w:fitText w:val="45" w:id="-893676536"/>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2C7FD017" w14:textId="19F12039" w:rsidR="00C20DDD" w:rsidRPr="006804EA" w:rsidDel="00946CA5" w:rsidRDefault="00BD3549">
            <w:pPr>
              <w:pStyle w:val="TableText0"/>
              <w:jc w:val="center"/>
              <w:rPr>
                <w:highlight w:val="lightGray"/>
              </w:rPr>
            </w:pPr>
            <w:r w:rsidRPr="00BD3549">
              <w:rPr>
                <w:rFonts w:hint="eastAsia"/>
                <w:color w:val="000000"/>
                <w:w w:val="15"/>
                <w:shd w:val="solid" w:color="000000" w:fill="000000"/>
                <w:fitText w:val="45" w:id="-893676535"/>
                <w14:textFill>
                  <w14:solidFill>
                    <w14:srgbClr w14:val="000000">
                      <w14:alpha w14:val="100000"/>
                    </w14:srgbClr>
                  </w14:solidFill>
                </w14:textFill>
              </w:rPr>
              <w:t xml:space="preserve">　</w:t>
            </w:r>
            <w:r w:rsidRPr="00BD3549">
              <w:rPr>
                <w:color w:val="000000"/>
                <w:w w:val="15"/>
                <w:shd w:val="solid" w:color="000000" w:fill="000000"/>
                <w:fitText w:val="45" w:id="-893676535"/>
                <w14:textFill>
                  <w14:solidFill>
                    <w14:srgbClr w14:val="000000">
                      <w14:alpha w14:val="100000"/>
                    </w14:srgbClr>
                  </w14:solidFill>
                </w14:textFill>
              </w:rPr>
              <w:t>|</w:t>
            </w:r>
            <w:r w:rsidRPr="00BD3549">
              <w:rPr>
                <w:rFonts w:hint="eastAsia"/>
                <w:color w:val="000000"/>
                <w:spacing w:val="-20"/>
                <w:w w:val="15"/>
                <w:shd w:val="solid" w:color="000000" w:fill="000000"/>
                <w:fitText w:val="45" w:id="-893676535"/>
                <w14:textFill>
                  <w14:solidFill>
                    <w14:srgbClr w14:val="000000">
                      <w14:alpha w14:val="100000"/>
                    </w14:srgbClr>
                  </w14:solidFill>
                </w14:textFill>
              </w:rPr>
              <w:t xml:space="preserve">　</w:t>
            </w:r>
            <w:r w:rsidR="00853EC2" w:rsidRPr="00853EC2">
              <w:rPr>
                <w:vertAlign w:val="superscript"/>
              </w:rPr>
              <w:t>8</w:t>
            </w:r>
          </w:p>
        </w:tc>
        <w:tc>
          <w:tcPr>
            <w:tcW w:w="547" w:type="pct"/>
            <w:tcBorders>
              <w:top w:val="nil"/>
              <w:left w:val="nil"/>
              <w:bottom w:val="single" w:sz="4" w:space="0" w:color="auto"/>
              <w:right w:val="single" w:sz="4" w:space="0" w:color="auto"/>
            </w:tcBorders>
            <w:shd w:val="clear" w:color="auto" w:fill="auto"/>
            <w:noWrap/>
            <w:vAlign w:val="center"/>
          </w:tcPr>
          <w:p w14:paraId="3E5ECDCF" w14:textId="41D4E1A4" w:rsidR="00C20DDD" w:rsidRPr="006804EA" w:rsidDel="00946CA5" w:rsidRDefault="00BD3549">
            <w:pPr>
              <w:pStyle w:val="TableText0"/>
              <w:jc w:val="center"/>
              <w:rPr>
                <w:highlight w:val="lightGray"/>
              </w:rPr>
            </w:pPr>
            <w:r w:rsidRPr="00BD3549">
              <w:rPr>
                <w:rFonts w:hint="eastAsia"/>
                <w:color w:val="000000"/>
                <w:w w:val="20"/>
                <w:shd w:val="solid" w:color="000000" w:fill="000000"/>
                <w:fitText w:val="90" w:id="-893676534"/>
                <w14:textFill>
                  <w14:solidFill>
                    <w14:srgbClr w14:val="000000">
                      <w14:alpha w14:val="100000"/>
                    </w14:srgbClr>
                  </w14:solidFill>
                </w14:textFill>
              </w:rPr>
              <w:t xml:space="preserve">　</w:t>
            </w:r>
            <w:r w:rsidRPr="00BD3549">
              <w:rPr>
                <w:color w:val="000000"/>
                <w:w w:val="20"/>
                <w:shd w:val="solid" w:color="000000" w:fill="000000"/>
                <w:fitText w:val="90" w:id="-893676534"/>
                <w14:textFill>
                  <w14:solidFill>
                    <w14:srgbClr w14:val="000000">
                      <w14:alpha w14:val="100000"/>
                    </w14:srgbClr>
                  </w14:solidFill>
                </w14:textFill>
              </w:rPr>
              <w:t>|</w:t>
            </w:r>
            <w:r w:rsidRPr="00BD3549">
              <w:rPr>
                <w:rFonts w:hint="eastAsia"/>
                <w:color w:val="000000"/>
                <w:spacing w:val="3"/>
                <w:w w:val="20"/>
                <w:shd w:val="solid" w:color="000000" w:fill="000000"/>
                <w:fitText w:val="90" w:id="-893676534"/>
                <w14:textFill>
                  <w14:solidFill>
                    <w14:srgbClr w14:val="000000">
                      <w14:alpha w14:val="100000"/>
                    </w14:srgbClr>
                  </w14:solidFill>
                </w14:textFill>
              </w:rPr>
              <w:t xml:space="preserve">　</w:t>
            </w:r>
            <w:r w:rsidR="00853EC2" w:rsidRPr="00853EC2">
              <w:rPr>
                <w:vertAlign w:val="superscript"/>
              </w:rPr>
              <w:t>8</w:t>
            </w:r>
          </w:p>
        </w:tc>
        <w:tc>
          <w:tcPr>
            <w:tcW w:w="525" w:type="pct"/>
            <w:tcBorders>
              <w:top w:val="nil"/>
              <w:left w:val="nil"/>
              <w:bottom w:val="single" w:sz="4" w:space="0" w:color="auto"/>
              <w:right w:val="single" w:sz="4" w:space="0" w:color="auto"/>
            </w:tcBorders>
            <w:shd w:val="clear" w:color="auto" w:fill="auto"/>
            <w:noWrap/>
            <w:vAlign w:val="center"/>
          </w:tcPr>
          <w:p w14:paraId="560A54AA" w14:textId="0E9A9F19" w:rsidR="00C20DDD" w:rsidRPr="006804EA" w:rsidDel="00946CA5"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853EC2" w:rsidRPr="00853EC2">
              <w:rPr>
                <w:vertAlign w:val="superscript"/>
              </w:rPr>
              <w:t>8</w:t>
            </w:r>
          </w:p>
        </w:tc>
      </w:tr>
      <w:tr w:rsidR="00397677" w:rsidRPr="001611DC" w14:paraId="005C3FAA"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hideMark/>
          </w:tcPr>
          <w:p w14:paraId="060871A6" w14:textId="17F98FE7" w:rsidR="00C20DDD" w:rsidRPr="001611DC" w:rsidRDefault="00C20DDD">
            <w:pPr>
              <w:pStyle w:val="TableText0"/>
            </w:pPr>
            <w:r w:rsidRPr="001611DC">
              <w:t>State and Territory Governments</w:t>
            </w:r>
            <w:r w:rsidR="006804EA">
              <w:t xml:space="preserve"> </w:t>
            </w:r>
          </w:p>
        </w:tc>
        <w:tc>
          <w:tcPr>
            <w:tcW w:w="629" w:type="pct"/>
            <w:tcBorders>
              <w:top w:val="nil"/>
              <w:left w:val="nil"/>
              <w:bottom w:val="single" w:sz="4" w:space="0" w:color="auto"/>
              <w:right w:val="single" w:sz="4" w:space="0" w:color="auto"/>
            </w:tcBorders>
            <w:shd w:val="clear" w:color="auto" w:fill="auto"/>
            <w:noWrap/>
            <w:vAlign w:val="center"/>
          </w:tcPr>
          <w:p w14:paraId="0CFCAAAD" w14:textId="2A6A594B"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3"/>
                <w14:textFill>
                  <w14:solidFill>
                    <w14:srgbClr w14:val="000000">
                      <w14:alpha w14:val="100000"/>
                    </w14:srgbClr>
                  </w14:solidFill>
                </w14:textFill>
              </w:rPr>
              <w:t xml:space="preserve">　</w:t>
            </w:r>
            <w:r w:rsidRPr="00BD3549">
              <w:rPr>
                <w:color w:val="000000"/>
                <w:w w:val="15"/>
                <w:shd w:val="solid" w:color="000000" w:fill="000000"/>
                <w:fitText w:val="45" w:id="-893676533"/>
                <w14:textFill>
                  <w14:solidFill>
                    <w14:srgbClr w14:val="000000">
                      <w14:alpha w14:val="100000"/>
                    </w14:srgbClr>
                  </w14:solidFill>
                </w14:textFill>
              </w:rPr>
              <w:t>|</w:t>
            </w:r>
            <w:r w:rsidRPr="00BD3549">
              <w:rPr>
                <w:rFonts w:hint="eastAsia"/>
                <w:color w:val="000000"/>
                <w:spacing w:val="-20"/>
                <w:w w:val="15"/>
                <w:shd w:val="solid" w:color="000000" w:fill="000000"/>
                <w:fitText w:val="45" w:id="-893676533"/>
                <w14:textFill>
                  <w14:solidFill>
                    <w14:srgbClr w14:val="000000">
                      <w14:alpha w14:val="100000"/>
                    </w14:srgbClr>
                  </w14:solidFill>
                </w14:textFill>
              </w:rPr>
              <w:t xml:space="preserve">　</w:t>
            </w:r>
            <w:r w:rsidR="00853EC2" w:rsidRPr="00853EC2">
              <w:rPr>
                <w:vertAlign w:val="superscript"/>
              </w:rPr>
              <w:t>8</w:t>
            </w:r>
          </w:p>
        </w:tc>
        <w:tc>
          <w:tcPr>
            <w:tcW w:w="628" w:type="pct"/>
            <w:tcBorders>
              <w:top w:val="nil"/>
              <w:left w:val="nil"/>
              <w:bottom w:val="single" w:sz="4" w:space="0" w:color="auto"/>
              <w:right w:val="single" w:sz="4" w:space="0" w:color="auto"/>
            </w:tcBorders>
            <w:shd w:val="clear" w:color="auto" w:fill="auto"/>
            <w:noWrap/>
            <w:vAlign w:val="center"/>
          </w:tcPr>
          <w:p w14:paraId="542C5942" w14:textId="0BBD98F7"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2"/>
                <w14:textFill>
                  <w14:solidFill>
                    <w14:srgbClr w14:val="000000">
                      <w14:alpha w14:val="100000"/>
                    </w14:srgbClr>
                  </w14:solidFill>
                </w14:textFill>
              </w:rPr>
              <w:t xml:space="preserve">　</w:t>
            </w:r>
            <w:r w:rsidRPr="00BD3549">
              <w:rPr>
                <w:color w:val="000000"/>
                <w:w w:val="15"/>
                <w:shd w:val="solid" w:color="000000" w:fill="000000"/>
                <w:fitText w:val="45" w:id="-893676532"/>
                <w14:textFill>
                  <w14:solidFill>
                    <w14:srgbClr w14:val="000000">
                      <w14:alpha w14:val="100000"/>
                    </w14:srgbClr>
                  </w14:solidFill>
                </w14:textFill>
              </w:rPr>
              <w:t>|</w:t>
            </w:r>
            <w:r w:rsidRPr="00BD3549">
              <w:rPr>
                <w:rFonts w:hint="eastAsia"/>
                <w:color w:val="000000"/>
                <w:spacing w:val="-20"/>
                <w:w w:val="15"/>
                <w:shd w:val="solid" w:color="000000" w:fill="000000"/>
                <w:fitText w:val="45" w:id="-893676532"/>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44690B79" w14:textId="0248F22F"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1"/>
                <w14:textFill>
                  <w14:solidFill>
                    <w14:srgbClr w14:val="000000">
                      <w14:alpha w14:val="100000"/>
                    </w14:srgbClr>
                  </w14:solidFill>
                </w14:textFill>
              </w:rPr>
              <w:t xml:space="preserve">　</w:t>
            </w:r>
            <w:r w:rsidRPr="00BD3549">
              <w:rPr>
                <w:color w:val="000000"/>
                <w:w w:val="15"/>
                <w:shd w:val="solid" w:color="000000" w:fill="000000"/>
                <w:fitText w:val="45" w:id="-893676531"/>
                <w14:textFill>
                  <w14:solidFill>
                    <w14:srgbClr w14:val="000000">
                      <w14:alpha w14:val="100000"/>
                    </w14:srgbClr>
                  </w14:solidFill>
                </w14:textFill>
              </w:rPr>
              <w:t>|</w:t>
            </w:r>
            <w:r w:rsidRPr="00BD3549">
              <w:rPr>
                <w:rFonts w:hint="eastAsia"/>
                <w:color w:val="000000"/>
                <w:spacing w:val="-20"/>
                <w:w w:val="15"/>
                <w:shd w:val="solid" w:color="000000" w:fill="000000"/>
                <w:fitText w:val="45" w:id="-893676531"/>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0CE9FA46" w14:textId="16ECE719" w:rsidR="00C20DDD" w:rsidRPr="006804EA" w:rsidRDefault="00BD3549">
            <w:pPr>
              <w:pStyle w:val="TableText0"/>
              <w:jc w:val="center"/>
              <w:rPr>
                <w:highlight w:val="lightGray"/>
              </w:rPr>
            </w:pPr>
            <w:r w:rsidRPr="00BD3549">
              <w:rPr>
                <w:rFonts w:hint="eastAsia"/>
                <w:color w:val="000000"/>
                <w:w w:val="15"/>
                <w:shd w:val="solid" w:color="000000" w:fill="000000"/>
                <w:fitText w:val="45" w:id="-893676530"/>
                <w14:textFill>
                  <w14:solidFill>
                    <w14:srgbClr w14:val="000000">
                      <w14:alpha w14:val="100000"/>
                    </w14:srgbClr>
                  </w14:solidFill>
                </w14:textFill>
              </w:rPr>
              <w:t xml:space="preserve">　</w:t>
            </w:r>
            <w:r w:rsidRPr="00BD3549">
              <w:rPr>
                <w:color w:val="000000"/>
                <w:w w:val="15"/>
                <w:shd w:val="solid" w:color="000000" w:fill="000000"/>
                <w:fitText w:val="45" w:id="-893676530"/>
                <w14:textFill>
                  <w14:solidFill>
                    <w14:srgbClr w14:val="000000">
                      <w14:alpha w14:val="100000"/>
                    </w14:srgbClr>
                  </w14:solidFill>
                </w14:textFill>
              </w:rPr>
              <w:t>|</w:t>
            </w:r>
            <w:r w:rsidRPr="00BD3549">
              <w:rPr>
                <w:rFonts w:hint="eastAsia"/>
                <w:color w:val="000000"/>
                <w:spacing w:val="-20"/>
                <w:w w:val="15"/>
                <w:shd w:val="solid" w:color="000000" w:fill="000000"/>
                <w:fitText w:val="45" w:id="-893676530"/>
                <w14:textFill>
                  <w14:solidFill>
                    <w14:srgbClr w14:val="000000">
                      <w14:alpha w14:val="100000"/>
                    </w14:srgbClr>
                  </w14:solidFill>
                </w14:textFill>
              </w:rPr>
              <w:t xml:space="preserve">　</w:t>
            </w:r>
            <w:r w:rsidR="00853EC2"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073316B1" w14:textId="193D9811" w:rsidR="00C20DDD" w:rsidRPr="006804EA" w:rsidRDefault="00BD3549">
            <w:pPr>
              <w:pStyle w:val="TableText0"/>
              <w:jc w:val="center"/>
              <w:rPr>
                <w:highlight w:val="lightGray"/>
              </w:rPr>
            </w:pPr>
            <w:r w:rsidRPr="00BD3549">
              <w:rPr>
                <w:rFonts w:hint="eastAsia"/>
                <w:color w:val="000000"/>
                <w:w w:val="15"/>
                <w:shd w:val="solid" w:color="000000" w:fill="000000"/>
                <w:fitText w:val="45" w:id="-893676529"/>
                <w14:textFill>
                  <w14:solidFill>
                    <w14:srgbClr w14:val="000000">
                      <w14:alpha w14:val="100000"/>
                    </w14:srgbClr>
                  </w14:solidFill>
                </w14:textFill>
              </w:rPr>
              <w:t xml:space="preserve">　</w:t>
            </w:r>
            <w:r w:rsidRPr="00BD3549">
              <w:rPr>
                <w:color w:val="000000"/>
                <w:w w:val="15"/>
                <w:shd w:val="solid" w:color="000000" w:fill="000000"/>
                <w:fitText w:val="45" w:id="-893676529"/>
                <w14:textFill>
                  <w14:solidFill>
                    <w14:srgbClr w14:val="000000">
                      <w14:alpha w14:val="100000"/>
                    </w14:srgbClr>
                  </w14:solidFill>
                </w14:textFill>
              </w:rPr>
              <w:t>|</w:t>
            </w:r>
            <w:r w:rsidRPr="00BD3549">
              <w:rPr>
                <w:rFonts w:hint="eastAsia"/>
                <w:color w:val="000000"/>
                <w:spacing w:val="-20"/>
                <w:w w:val="15"/>
                <w:shd w:val="solid" w:color="000000" w:fill="000000"/>
                <w:fitText w:val="45" w:id="-893676529"/>
                <w14:textFill>
                  <w14:solidFill>
                    <w14:srgbClr w14:val="000000">
                      <w14:alpha w14:val="100000"/>
                    </w14:srgbClr>
                  </w14:solidFill>
                </w14:textFill>
              </w:rPr>
              <w:t xml:space="preserve">　</w:t>
            </w:r>
            <w:r w:rsidR="00853EC2" w:rsidRPr="00853EC2">
              <w:rPr>
                <w:vertAlign w:val="superscript"/>
              </w:rPr>
              <w:t>8</w:t>
            </w:r>
          </w:p>
        </w:tc>
        <w:tc>
          <w:tcPr>
            <w:tcW w:w="547" w:type="pct"/>
            <w:tcBorders>
              <w:top w:val="nil"/>
              <w:left w:val="nil"/>
              <w:bottom w:val="single" w:sz="4" w:space="0" w:color="auto"/>
              <w:right w:val="single" w:sz="4" w:space="0" w:color="auto"/>
            </w:tcBorders>
            <w:shd w:val="clear" w:color="auto" w:fill="auto"/>
            <w:noWrap/>
            <w:vAlign w:val="center"/>
          </w:tcPr>
          <w:p w14:paraId="4DFA2DCF" w14:textId="345F6BDD" w:rsidR="00C20DDD" w:rsidRPr="006804EA" w:rsidRDefault="00BD3549">
            <w:pPr>
              <w:pStyle w:val="TableText0"/>
              <w:jc w:val="center"/>
              <w:rPr>
                <w:highlight w:val="lightGray"/>
              </w:rPr>
            </w:pPr>
            <w:r w:rsidRPr="00BD3549">
              <w:rPr>
                <w:rFonts w:hint="eastAsia"/>
                <w:color w:val="000000"/>
                <w:w w:val="20"/>
                <w:shd w:val="solid" w:color="000000" w:fill="000000"/>
                <w:fitText w:val="90" w:id="-893676528"/>
                <w14:textFill>
                  <w14:solidFill>
                    <w14:srgbClr w14:val="000000">
                      <w14:alpha w14:val="100000"/>
                    </w14:srgbClr>
                  </w14:solidFill>
                </w14:textFill>
              </w:rPr>
              <w:t xml:space="preserve">　</w:t>
            </w:r>
            <w:r w:rsidRPr="00BD3549">
              <w:rPr>
                <w:color w:val="000000"/>
                <w:w w:val="20"/>
                <w:shd w:val="solid" w:color="000000" w:fill="000000"/>
                <w:fitText w:val="90" w:id="-893676528"/>
                <w14:textFill>
                  <w14:solidFill>
                    <w14:srgbClr w14:val="000000">
                      <w14:alpha w14:val="100000"/>
                    </w14:srgbClr>
                  </w14:solidFill>
                </w14:textFill>
              </w:rPr>
              <w:t>|</w:t>
            </w:r>
            <w:r w:rsidRPr="00BD3549">
              <w:rPr>
                <w:rFonts w:hint="eastAsia"/>
                <w:color w:val="000000"/>
                <w:spacing w:val="3"/>
                <w:w w:val="20"/>
                <w:shd w:val="solid" w:color="000000" w:fill="000000"/>
                <w:fitText w:val="90" w:id="-893676528"/>
                <w14:textFill>
                  <w14:solidFill>
                    <w14:srgbClr w14:val="000000">
                      <w14:alpha w14:val="100000"/>
                    </w14:srgbClr>
                  </w14:solidFill>
                </w14:textFill>
              </w:rPr>
              <w:t xml:space="preserve">　</w:t>
            </w:r>
            <w:r w:rsidR="00853EC2" w:rsidRPr="00853EC2">
              <w:rPr>
                <w:vertAlign w:val="superscript"/>
              </w:rPr>
              <w:t>8</w:t>
            </w:r>
          </w:p>
        </w:tc>
        <w:tc>
          <w:tcPr>
            <w:tcW w:w="525" w:type="pct"/>
            <w:tcBorders>
              <w:top w:val="nil"/>
              <w:left w:val="nil"/>
              <w:bottom w:val="single" w:sz="4" w:space="0" w:color="auto"/>
              <w:right w:val="single" w:sz="4" w:space="0" w:color="auto"/>
            </w:tcBorders>
            <w:shd w:val="clear" w:color="auto" w:fill="auto"/>
            <w:noWrap/>
            <w:vAlign w:val="center"/>
          </w:tcPr>
          <w:p w14:paraId="11BC502B" w14:textId="56EBFAA2"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853EC2" w:rsidRPr="00853EC2">
              <w:rPr>
                <w:vertAlign w:val="superscript"/>
              </w:rPr>
              <w:t>8</w:t>
            </w:r>
          </w:p>
        </w:tc>
      </w:tr>
      <w:tr w:rsidR="00397677" w:rsidRPr="001611DC" w14:paraId="32AAAA5B" w14:textId="77777777" w:rsidTr="00397677">
        <w:trPr>
          <w:trHeight w:val="20"/>
        </w:trPr>
        <w:tc>
          <w:tcPr>
            <w:tcW w:w="784" w:type="pct"/>
            <w:tcBorders>
              <w:top w:val="nil"/>
              <w:left w:val="single" w:sz="4" w:space="0" w:color="auto"/>
              <w:bottom w:val="single" w:sz="4" w:space="0" w:color="auto"/>
              <w:right w:val="single" w:sz="4" w:space="0" w:color="auto"/>
            </w:tcBorders>
            <w:shd w:val="clear" w:color="auto" w:fill="auto"/>
            <w:noWrap/>
          </w:tcPr>
          <w:p w14:paraId="6E031F84" w14:textId="7E475266" w:rsidR="00C20DDD" w:rsidRPr="001611DC" w:rsidRDefault="00C20DDD">
            <w:pPr>
              <w:pStyle w:val="TableText0"/>
            </w:pPr>
            <w:r w:rsidRPr="001611DC">
              <w:t>All budgets combined</w:t>
            </w:r>
            <w:r w:rsidR="006804EA">
              <w:t xml:space="preserve"> </w:t>
            </w:r>
          </w:p>
        </w:tc>
        <w:tc>
          <w:tcPr>
            <w:tcW w:w="629" w:type="pct"/>
            <w:tcBorders>
              <w:top w:val="nil"/>
              <w:left w:val="nil"/>
              <w:bottom w:val="single" w:sz="4" w:space="0" w:color="auto"/>
              <w:right w:val="single" w:sz="4" w:space="0" w:color="auto"/>
            </w:tcBorders>
            <w:shd w:val="clear" w:color="auto" w:fill="auto"/>
            <w:noWrap/>
            <w:vAlign w:val="center"/>
          </w:tcPr>
          <w:p w14:paraId="08DD0517" w14:textId="7AB5952E" w:rsidR="00C20DDD" w:rsidRPr="006804EA" w:rsidRDefault="00BD3549">
            <w:pPr>
              <w:pStyle w:val="TableText0"/>
              <w:jc w:val="center"/>
              <w:rPr>
                <w:highlight w:val="lightGray"/>
              </w:rPr>
            </w:pPr>
            <w:r w:rsidRPr="00BD3549">
              <w:rPr>
                <w:rFonts w:hint="eastAsia"/>
                <w:color w:val="000000"/>
                <w:w w:val="15"/>
                <w:shd w:val="solid" w:color="000000" w:fill="000000"/>
                <w:fitText w:val="45" w:id="-893676544"/>
                <w14:textFill>
                  <w14:solidFill>
                    <w14:srgbClr w14:val="000000">
                      <w14:alpha w14:val="100000"/>
                    </w14:srgbClr>
                  </w14:solidFill>
                </w14:textFill>
              </w:rPr>
              <w:t xml:space="preserve">　</w:t>
            </w:r>
            <w:r w:rsidRPr="00BD3549">
              <w:rPr>
                <w:color w:val="000000"/>
                <w:w w:val="15"/>
                <w:shd w:val="solid" w:color="000000" w:fill="000000"/>
                <w:fitText w:val="45" w:id="-893676544"/>
                <w14:textFill>
                  <w14:solidFill>
                    <w14:srgbClr w14:val="000000">
                      <w14:alpha w14:val="100000"/>
                    </w14:srgbClr>
                  </w14:solidFill>
                </w14:textFill>
              </w:rPr>
              <w:t>|</w:t>
            </w:r>
            <w:r w:rsidRPr="00BD3549">
              <w:rPr>
                <w:rFonts w:hint="eastAsia"/>
                <w:color w:val="000000"/>
                <w:spacing w:val="-20"/>
                <w:w w:val="15"/>
                <w:shd w:val="solid" w:color="000000" w:fill="000000"/>
                <w:fitText w:val="45" w:id="-893676544"/>
                <w14:textFill>
                  <w14:solidFill>
                    <w14:srgbClr w14:val="000000">
                      <w14:alpha w14:val="100000"/>
                    </w14:srgbClr>
                  </w14:solidFill>
                </w14:textFill>
              </w:rPr>
              <w:t xml:space="preserve">　</w:t>
            </w:r>
            <w:r w:rsidR="000B7190" w:rsidRPr="00102772">
              <w:rPr>
                <w:vertAlign w:val="superscript"/>
              </w:rPr>
              <w:t>8</w:t>
            </w:r>
          </w:p>
        </w:tc>
        <w:tc>
          <w:tcPr>
            <w:tcW w:w="628" w:type="pct"/>
            <w:tcBorders>
              <w:top w:val="nil"/>
              <w:left w:val="nil"/>
              <w:bottom w:val="single" w:sz="4" w:space="0" w:color="auto"/>
              <w:right w:val="single" w:sz="4" w:space="0" w:color="auto"/>
            </w:tcBorders>
            <w:shd w:val="clear" w:color="auto" w:fill="auto"/>
            <w:noWrap/>
            <w:vAlign w:val="center"/>
          </w:tcPr>
          <w:p w14:paraId="22190811" w14:textId="61DF6E07" w:rsidR="00C20DDD" w:rsidRPr="006804EA" w:rsidRDefault="00BD3549">
            <w:pPr>
              <w:pStyle w:val="TableText0"/>
              <w:jc w:val="center"/>
              <w:rPr>
                <w:highlight w:val="lightGray"/>
              </w:rPr>
            </w:pPr>
            <w:r w:rsidRPr="00BD3549">
              <w:rPr>
                <w:rFonts w:hint="eastAsia"/>
                <w:color w:val="000000"/>
                <w:w w:val="15"/>
                <w:shd w:val="solid" w:color="000000" w:fill="000000"/>
                <w:fitText w:val="45" w:id="-893676288"/>
                <w14:textFill>
                  <w14:solidFill>
                    <w14:srgbClr w14:val="000000">
                      <w14:alpha w14:val="100000"/>
                    </w14:srgbClr>
                  </w14:solidFill>
                </w14:textFill>
              </w:rPr>
              <w:t xml:space="preserve">　</w:t>
            </w:r>
            <w:r w:rsidRPr="00BD3549">
              <w:rPr>
                <w:color w:val="000000"/>
                <w:w w:val="15"/>
                <w:shd w:val="solid" w:color="000000" w:fill="000000"/>
                <w:fitText w:val="45" w:id="-893676288"/>
                <w14:textFill>
                  <w14:solidFill>
                    <w14:srgbClr w14:val="000000">
                      <w14:alpha w14:val="100000"/>
                    </w14:srgbClr>
                  </w14:solidFill>
                </w14:textFill>
              </w:rPr>
              <w:t>|</w:t>
            </w:r>
            <w:r w:rsidRPr="00BD3549">
              <w:rPr>
                <w:rFonts w:hint="eastAsia"/>
                <w:color w:val="000000"/>
                <w:spacing w:val="-20"/>
                <w:w w:val="15"/>
                <w:shd w:val="solid" w:color="000000" w:fill="000000"/>
                <w:fitText w:val="45" w:id="-893676288"/>
                <w14:textFill>
                  <w14:solidFill>
                    <w14:srgbClr w14:val="000000">
                      <w14:alpha w14:val="100000"/>
                    </w14:srgbClr>
                  </w14:solidFill>
                </w14:textFill>
              </w:rPr>
              <w:t xml:space="preserve">　</w:t>
            </w:r>
            <w:r w:rsidR="00C53E29" w:rsidRPr="00853EC2">
              <w:rPr>
                <w:vertAlign w:val="superscript"/>
              </w:rPr>
              <w:t>8</w:t>
            </w:r>
          </w:p>
        </w:tc>
        <w:tc>
          <w:tcPr>
            <w:tcW w:w="629" w:type="pct"/>
            <w:tcBorders>
              <w:top w:val="nil"/>
              <w:left w:val="nil"/>
              <w:bottom w:val="single" w:sz="4" w:space="0" w:color="auto"/>
              <w:right w:val="single" w:sz="4" w:space="0" w:color="auto"/>
            </w:tcBorders>
            <w:shd w:val="clear" w:color="auto" w:fill="auto"/>
            <w:noWrap/>
            <w:vAlign w:val="center"/>
          </w:tcPr>
          <w:p w14:paraId="35573D4F" w14:textId="1808F9EB" w:rsidR="00C20DDD" w:rsidRPr="006804EA" w:rsidRDefault="00BD3549">
            <w:pPr>
              <w:pStyle w:val="TableText0"/>
              <w:jc w:val="center"/>
              <w:rPr>
                <w:highlight w:val="lightGray"/>
              </w:rPr>
            </w:pPr>
            <w:r w:rsidRPr="00BD3549">
              <w:rPr>
                <w:rFonts w:hint="eastAsia"/>
                <w:color w:val="000000"/>
                <w:w w:val="16"/>
                <w:shd w:val="solid" w:color="000000" w:fill="000000"/>
                <w:fitText w:val="75" w:id="-893676287"/>
                <w14:textFill>
                  <w14:solidFill>
                    <w14:srgbClr w14:val="000000">
                      <w14:alpha w14:val="100000"/>
                    </w14:srgbClr>
                  </w14:solidFill>
                </w14:textFill>
              </w:rPr>
              <w:t xml:space="preserve">　</w:t>
            </w:r>
            <w:r w:rsidRPr="00BD3549">
              <w:rPr>
                <w:color w:val="000000"/>
                <w:w w:val="16"/>
                <w:shd w:val="solid" w:color="000000" w:fill="000000"/>
                <w:fitText w:val="75" w:id="-893676287"/>
                <w14:textFill>
                  <w14:solidFill>
                    <w14:srgbClr w14:val="000000">
                      <w14:alpha w14:val="100000"/>
                    </w14:srgbClr>
                  </w14:solidFill>
                </w14:textFill>
              </w:rPr>
              <w:t>|</w:t>
            </w:r>
            <w:r w:rsidRPr="00BD3549">
              <w:rPr>
                <w:rFonts w:hint="eastAsia"/>
                <w:color w:val="000000"/>
                <w:spacing w:val="5"/>
                <w:w w:val="16"/>
                <w:shd w:val="solid" w:color="000000" w:fill="000000"/>
                <w:fitText w:val="75" w:id="-893676287"/>
                <w14:textFill>
                  <w14:solidFill>
                    <w14:srgbClr w14:val="000000">
                      <w14:alpha w14:val="100000"/>
                    </w14:srgbClr>
                  </w14:solidFill>
                </w14:textFill>
              </w:rPr>
              <w:t xml:space="preserve">　</w:t>
            </w:r>
            <w:r w:rsidR="00A0271E" w:rsidRPr="00A0271E">
              <w:rPr>
                <w:vertAlign w:val="superscript"/>
              </w:rPr>
              <w:t>10</w:t>
            </w:r>
          </w:p>
        </w:tc>
        <w:tc>
          <w:tcPr>
            <w:tcW w:w="629" w:type="pct"/>
            <w:tcBorders>
              <w:top w:val="nil"/>
              <w:left w:val="nil"/>
              <w:bottom w:val="single" w:sz="4" w:space="0" w:color="auto"/>
              <w:right w:val="single" w:sz="4" w:space="0" w:color="auto"/>
            </w:tcBorders>
            <w:shd w:val="clear" w:color="auto" w:fill="auto"/>
            <w:noWrap/>
            <w:vAlign w:val="center"/>
          </w:tcPr>
          <w:p w14:paraId="6ED7BDF6" w14:textId="7FE57427" w:rsidR="00C20DDD" w:rsidRPr="006804EA" w:rsidRDefault="00BD3549">
            <w:pPr>
              <w:pStyle w:val="TableText0"/>
              <w:jc w:val="center"/>
              <w:rPr>
                <w:highlight w:val="lightGray"/>
              </w:rPr>
            </w:pPr>
            <w:r w:rsidRPr="00BD3549">
              <w:rPr>
                <w:rFonts w:hint="eastAsia"/>
                <w:color w:val="000000"/>
                <w:w w:val="16"/>
                <w:shd w:val="solid" w:color="000000" w:fill="000000"/>
                <w:fitText w:val="75" w:id="-893676286"/>
                <w14:textFill>
                  <w14:solidFill>
                    <w14:srgbClr w14:val="000000">
                      <w14:alpha w14:val="100000"/>
                    </w14:srgbClr>
                  </w14:solidFill>
                </w14:textFill>
              </w:rPr>
              <w:t xml:space="preserve">　</w:t>
            </w:r>
            <w:r w:rsidRPr="00BD3549">
              <w:rPr>
                <w:color w:val="000000"/>
                <w:w w:val="16"/>
                <w:shd w:val="solid" w:color="000000" w:fill="000000"/>
                <w:fitText w:val="75" w:id="-893676286"/>
                <w14:textFill>
                  <w14:solidFill>
                    <w14:srgbClr w14:val="000000">
                      <w14:alpha w14:val="100000"/>
                    </w14:srgbClr>
                  </w14:solidFill>
                </w14:textFill>
              </w:rPr>
              <w:t>|</w:t>
            </w:r>
            <w:r w:rsidRPr="00BD3549">
              <w:rPr>
                <w:rFonts w:hint="eastAsia"/>
                <w:color w:val="000000"/>
                <w:spacing w:val="5"/>
                <w:w w:val="16"/>
                <w:shd w:val="solid" w:color="000000" w:fill="000000"/>
                <w:fitText w:val="75" w:id="-893676286"/>
                <w14:textFill>
                  <w14:solidFill>
                    <w14:srgbClr w14:val="000000">
                      <w14:alpha w14:val="100000"/>
                    </w14:srgbClr>
                  </w14:solidFill>
                </w14:textFill>
              </w:rPr>
              <w:t xml:space="preserve">　</w:t>
            </w:r>
            <w:r w:rsidR="000077E8" w:rsidRPr="000077E8">
              <w:rPr>
                <w:vertAlign w:val="superscript"/>
              </w:rPr>
              <w:t>11</w:t>
            </w:r>
          </w:p>
        </w:tc>
        <w:tc>
          <w:tcPr>
            <w:tcW w:w="629" w:type="pct"/>
            <w:tcBorders>
              <w:top w:val="nil"/>
              <w:left w:val="nil"/>
              <w:bottom w:val="single" w:sz="4" w:space="0" w:color="auto"/>
              <w:right w:val="single" w:sz="4" w:space="0" w:color="auto"/>
            </w:tcBorders>
            <w:shd w:val="clear" w:color="auto" w:fill="auto"/>
            <w:noWrap/>
            <w:vAlign w:val="center"/>
          </w:tcPr>
          <w:p w14:paraId="659F8465" w14:textId="6F6A4374" w:rsidR="00C20DDD" w:rsidRPr="006804EA" w:rsidRDefault="00BD3549">
            <w:pPr>
              <w:pStyle w:val="TableText0"/>
              <w:jc w:val="center"/>
              <w:rPr>
                <w:highlight w:val="lightGray"/>
              </w:rPr>
            </w:pPr>
            <w:r w:rsidRPr="00BD3549">
              <w:rPr>
                <w:rFonts w:hint="eastAsia"/>
                <w:color w:val="000000"/>
                <w:w w:val="16"/>
                <w:shd w:val="solid" w:color="000000" w:fill="000000"/>
                <w:fitText w:val="75" w:id="-893676285"/>
                <w14:textFill>
                  <w14:solidFill>
                    <w14:srgbClr w14:val="000000">
                      <w14:alpha w14:val="100000"/>
                    </w14:srgbClr>
                  </w14:solidFill>
                </w14:textFill>
              </w:rPr>
              <w:t xml:space="preserve">　</w:t>
            </w:r>
            <w:r w:rsidRPr="00BD3549">
              <w:rPr>
                <w:color w:val="000000"/>
                <w:w w:val="16"/>
                <w:shd w:val="solid" w:color="000000" w:fill="000000"/>
                <w:fitText w:val="75" w:id="-893676285"/>
                <w14:textFill>
                  <w14:solidFill>
                    <w14:srgbClr w14:val="000000">
                      <w14:alpha w14:val="100000"/>
                    </w14:srgbClr>
                  </w14:solidFill>
                </w14:textFill>
              </w:rPr>
              <w:t>|</w:t>
            </w:r>
            <w:r w:rsidRPr="00BD3549">
              <w:rPr>
                <w:rFonts w:hint="eastAsia"/>
                <w:color w:val="000000"/>
                <w:spacing w:val="5"/>
                <w:w w:val="16"/>
                <w:shd w:val="solid" w:color="000000" w:fill="000000"/>
                <w:fitText w:val="75" w:id="-893676285"/>
                <w14:textFill>
                  <w14:solidFill>
                    <w14:srgbClr w14:val="000000">
                      <w14:alpha w14:val="100000"/>
                    </w14:srgbClr>
                  </w14:solidFill>
                </w14:textFill>
              </w:rPr>
              <w:t xml:space="preserve">　</w:t>
            </w:r>
            <w:r w:rsidR="004C57A6" w:rsidRPr="004C57A6">
              <w:rPr>
                <w:vertAlign w:val="superscript"/>
              </w:rPr>
              <w:t>12</w:t>
            </w:r>
          </w:p>
        </w:tc>
        <w:tc>
          <w:tcPr>
            <w:tcW w:w="547" w:type="pct"/>
            <w:tcBorders>
              <w:top w:val="nil"/>
              <w:left w:val="nil"/>
              <w:bottom w:val="single" w:sz="4" w:space="0" w:color="auto"/>
              <w:right w:val="single" w:sz="4" w:space="0" w:color="auto"/>
            </w:tcBorders>
            <w:shd w:val="clear" w:color="auto" w:fill="auto"/>
            <w:noWrap/>
            <w:vAlign w:val="center"/>
          </w:tcPr>
          <w:p w14:paraId="33A7049D" w14:textId="2218EFEF" w:rsidR="00C20DDD" w:rsidRPr="006804EA" w:rsidRDefault="00BD3549">
            <w:pPr>
              <w:pStyle w:val="TableText0"/>
              <w:jc w:val="center"/>
              <w:rPr>
                <w:highlight w:val="lightGray"/>
              </w:rPr>
            </w:pPr>
            <w:r w:rsidRPr="00BD3549">
              <w:rPr>
                <w:rFonts w:hint="eastAsia"/>
                <w:color w:val="000000"/>
                <w:w w:val="27"/>
                <w:shd w:val="solid" w:color="000000" w:fill="000000"/>
                <w:fitText w:val="120" w:id="-893676284"/>
                <w14:textFill>
                  <w14:solidFill>
                    <w14:srgbClr w14:val="000000">
                      <w14:alpha w14:val="100000"/>
                    </w14:srgbClr>
                  </w14:solidFill>
                </w14:textFill>
              </w:rPr>
              <w:t xml:space="preserve">　</w:t>
            </w:r>
            <w:r w:rsidRPr="00BD3549">
              <w:rPr>
                <w:color w:val="000000"/>
                <w:w w:val="27"/>
                <w:shd w:val="solid" w:color="000000" w:fill="000000"/>
                <w:fitText w:val="120" w:id="-893676284"/>
                <w14:textFill>
                  <w14:solidFill>
                    <w14:srgbClr w14:val="000000">
                      <w14:alpha w14:val="100000"/>
                    </w14:srgbClr>
                  </w14:solidFill>
                </w14:textFill>
              </w:rPr>
              <w:t>|</w:t>
            </w:r>
            <w:r w:rsidRPr="00BD3549">
              <w:rPr>
                <w:rFonts w:hint="eastAsia"/>
                <w:color w:val="000000"/>
                <w:spacing w:val="2"/>
                <w:w w:val="27"/>
                <w:shd w:val="solid" w:color="000000" w:fill="000000"/>
                <w:fitText w:val="120" w:id="-893676284"/>
                <w14:textFill>
                  <w14:solidFill>
                    <w14:srgbClr w14:val="000000">
                      <w14:alpha w14:val="100000"/>
                    </w14:srgbClr>
                  </w14:solidFill>
                </w14:textFill>
              </w:rPr>
              <w:t xml:space="preserve">　</w:t>
            </w:r>
            <w:r w:rsidR="004C57A6" w:rsidRPr="004C57A6">
              <w:rPr>
                <w:vertAlign w:val="superscript"/>
              </w:rPr>
              <w:t>12</w:t>
            </w:r>
          </w:p>
        </w:tc>
        <w:tc>
          <w:tcPr>
            <w:tcW w:w="525" w:type="pct"/>
            <w:tcBorders>
              <w:top w:val="nil"/>
              <w:left w:val="nil"/>
              <w:bottom w:val="single" w:sz="4" w:space="0" w:color="auto"/>
              <w:right w:val="single" w:sz="4" w:space="0" w:color="auto"/>
            </w:tcBorders>
            <w:shd w:val="clear" w:color="auto" w:fill="auto"/>
            <w:noWrap/>
            <w:vAlign w:val="center"/>
          </w:tcPr>
          <w:p w14:paraId="2968C06C" w14:textId="69F800D1" w:rsidR="00C20DDD" w:rsidRPr="006804E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1607DE" w:rsidRPr="001607DE">
              <w:rPr>
                <w:vertAlign w:val="superscript"/>
              </w:rPr>
              <w:t>5</w:t>
            </w:r>
          </w:p>
        </w:tc>
      </w:tr>
    </w:tbl>
    <w:p w14:paraId="58562499" w14:textId="7EF72222" w:rsidR="00C20DDD" w:rsidRPr="001611DC" w:rsidRDefault="00C20DDD" w:rsidP="00C20DDD">
      <w:pPr>
        <w:pStyle w:val="FooterTableFigure"/>
      </w:pPr>
      <w:r w:rsidRPr="001611DC">
        <w:t>Source: Table 4-7, compiled from Section 4.5 of the submission.</w:t>
      </w:r>
    </w:p>
    <w:p w14:paraId="7BC6DC9E" w14:textId="69E55C73" w:rsidR="00C20DDD" w:rsidRDefault="00C20DDD" w:rsidP="00C20DDD">
      <w:pPr>
        <w:pStyle w:val="FooterTableFigure"/>
        <w:rPr>
          <w:rFonts w:eastAsiaTheme="majorEastAsia"/>
        </w:rPr>
      </w:pPr>
      <w:r w:rsidRPr="001611DC">
        <w:rPr>
          <w:rFonts w:eastAsiaTheme="majorEastAsia"/>
        </w:rPr>
        <w:t xml:space="preserve">; MBS = Medicare Benefits Schedule; NIP = National Immunisation Program; PBS = Pharmaceutical Benefits Schedule; </w:t>
      </w:r>
      <w:r w:rsidRPr="001611DC">
        <w:t>RSVPreF3 OA = RSV prefusion protein 3 older adult;</w:t>
      </w:r>
      <w:r w:rsidRPr="001611DC">
        <w:rPr>
          <w:rFonts w:eastAsiaTheme="majorEastAsia"/>
        </w:rPr>
        <w:t xml:space="preserve"> YOA = years of age; Yr = year.</w:t>
      </w:r>
    </w:p>
    <w:p w14:paraId="46F80A60" w14:textId="77777777" w:rsidR="000922A7" w:rsidRPr="00397677" w:rsidRDefault="000922A7" w:rsidP="000922A7">
      <w:pPr>
        <w:pStyle w:val="FooterTableFigure"/>
        <w:rPr>
          <w:rFonts w:eastAsiaTheme="majorEastAsia"/>
          <w:i/>
          <w:iCs/>
        </w:rPr>
      </w:pPr>
      <w:r w:rsidRPr="00397677">
        <w:rPr>
          <w:rFonts w:eastAsiaTheme="majorEastAsia"/>
          <w:i/>
          <w:iCs/>
        </w:rPr>
        <w:t>The redacted values correspond to the following ranges:</w:t>
      </w:r>
    </w:p>
    <w:p w14:paraId="46393264" w14:textId="75B13E89" w:rsidR="00C31766" w:rsidRPr="00397677" w:rsidRDefault="00C31766" w:rsidP="00C31766">
      <w:pPr>
        <w:pStyle w:val="FooterTableFigure"/>
        <w:rPr>
          <w:rFonts w:eastAsiaTheme="majorEastAsia"/>
          <w:i/>
          <w:iCs/>
        </w:rPr>
      </w:pPr>
      <w:r w:rsidRPr="00397677">
        <w:rPr>
          <w:rFonts w:eastAsiaTheme="majorEastAsia"/>
          <w:i/>
          <w:iCs/>
        </w:rPr>
        <w:t>1 2,000,000 to &lt; 3,000,000</w:t>
      </w:r>
    </w:p>
    <w:p w14:paraId="54F448D4" w14:textId="0C2893D9" w:rsidR="00C31766" w:rsidRPr="00397677" w:rsidRDefault="00EA478A" w:rsidP="000922A7">
      <w:pPr>
        <w:pStyle w:val="FooterTableFigure"/>
        <w:rPr>
          <w:rFonts w:eastAsiaTheme="majorEastAsia"/>
          <w:i/>
          <w:iCs/>
        </w:rPr>
      </w:pPr>
      <w:r w:rsidRPr="00397677">
        <w:rPr>
          <w:rFonts w:eastAsiaTheme="majorEastAsia"/>
          <w:i/>
          <w:iCs/>
        </w:rPr>
        <w:t xml:space="preserve">2 </w:t>
      </w:r>
      <w:r w:rsidR="00A74E28" w:rsidRPr="00397677">
        <w:rPr>
          <w:rFonts w:eastAsiaTheme="majorEastAsia"/>
          <w:i/>
          <w:iCs/>
        </w:rPr>
        <w:t>400,000 to &lt; 500,000</w:t>
      </w:r>
    </w:p>
    <w:p w14:paraId="3F229886" w14:textId="46FF4599" w:rsidR="00A74E28" w:rsidRPr="00397677" w:rsidRDefault="009C1DBA" w:rsidP="000922A7">
      <w:pPr>
        <w:pStyle w:val="FooterTableFigure"/>
        <w:rPr>
          <w:rFonts w:eastAsiaTheme="majorEastAsia"/>
          <w:i/>
          <w:iCs/>
        </w:rPr>
      </w:pPr>
      <w:r w:rsidRPr="00397677">
        <w:rPr>
          <w:rFonts w:eastAsiaTheme="majorEastAsia"/>
          <w:i/>
          <w:iCs/>
        </w:rPr>
        <w:t>3 500,000 to &lt; 600,000</w:t>
      </w:r>
    </w:p>
    <w:p w14:paraId="1153C6A7" w14:textId="60F1AFA2" w:rsidR="000402B3" w:rsidRPr="00397677" w:rsidRDefault="000402B3" w:rsidP="000922A7">
      <w:pPr>
        <w:pStyle w:val="FooterTableFigure"/>
        <w:rPr>
          <w:rFonts w:eastAsiaTheme="majorEastAsia"/>
          <w:i/>
          <w:iCs/>
        </w:rPr>
      </w:pPr>
      <w:r w:rsidRPr="00397677">
        <w:rPr>
          <w:rFonts w:eastAsiaTheme="majorEastAsia"/>
          <w:i/>
          <w:iCs/>
        </w:rPr>
        <w:t>4 4,000,000 to &lt; 6,000,000</w:t>
      </w:r>
    </w:p>
    <w:p w14:paraId="3D972CBD" w14:textId="6CD662DD" w:rsidR="000402B3" w:rsidRPr="00397677" w:rsidRDefault="00886FFE" w:rsidP="000922A7">
      <w:pPr>
        <w:pStyle w:val="FooterTableFigure"/>
        <w:rPr>
          <w:rFonts w:eastAsiaTheme="majorEastAsia"/>
          <w:i/>
          <w:iCs/>
        </w:rPr>
      </w:pPr>
      <w:r w:rsidRPr="00397677">
        <w:rPr>
          <w:rFonts w:eastAsiaTheme="majorEastAsia"/>
          <w:i/>
          <w:iCs/>
        </w:rPr>
        <w:t>5 $500 million to &lt; $600 million</w:t>
      </w:r>
    </w:p>
    <w:p w14:paraId="4027941D" w14:textId="3637E3B8" w:rsidR="004119D7" w:rsidRPr="00397677" w:rsidRDefault="000B46C8" w:rsidP="000922A7">
      <w:pPr>
        <w:pStyle w:val="FooterTableFigure"/>
        <w:rPr>
          <w:rFonts w:eastAsiaTheme="majorEastAsia"/>
          <w:i/>
          <w:iCs/>
        </w:rPr>
      </w:pPr>
      <w:r w:rsidRPr="00397677">
        <w:rPr>
          <w:rFonts w:eastAsiaTheme="majorEastAsia"/>
          <w:i/>
          <w:iCs/>
        </w:rPr>
        <w:t>6 $100 million to &lt; $200 million</w:t>
      </w:r>
    </w:p>
    <w:p w14:paraId="230F885F" w14:textId="73AC683C" w:rsidR="006C5BAC" w:rsidRPr="00397677" w:rsidRDefault="006C5BAC" w:rsidP="000922A7">
      <w:pPr>
        <w:pStyle w:val="FooterTableFigure"/>
        <w:rPr>
          <w:rFonts w:eastAsiaTheme="majorEastAsia"/>
          <w:i/>
          <w:iCs/>
        </w:rPr>
      </w:pPr>
      <w:r w:rsidRPr="00397677">
        <w:rPr>
          <w:rFonts w:eastAsiaTheme="majorEastAsia"/>
          <w:i/>
          <w:iCs/>
        </w:rPr>
        <w:t>7 &gt; $1 billion</w:t>
      </w:r>
    </w:p>
    <w:p w14:paraId="4C06511B" w14:textId="2D50A9FD" w:rsidR="00A0271E" w:rsidRPr="00397677" w:rsidRDefault="00A0271E" w:rsidP="000922A7">
      <w:pPr>
        <w:pStyle w:val="FooterTableFigure"/>
        <w:rPr>
          <w:rFonts w:eastAsiaTheme="majorEastAsia"/>
          <w:i/>
          <w:iCs/>
        </w:rPr>
      </w:pPr>
      <w:r w:rsidRPr="00397677">
        <w:rPr>
          <w:rFonts w:eastAsiaTheme="majorEastAsia"/>
          <w:i/>
          <w:iCs/>
        </w:rPr>
        <w:t>8 net cost saving</w:t>
      </w:r>
    </w:p>
    <w:p w14:paraId="27E86B01" w14:textId="1AFD9AAD" w:rsidR="000B7190" w:rsidRPr="00397677" w:rsidRDefault="00673517" w:rsidP="000922A7">
      <w:pPr>
        <w:pStyle w:val="FooterTableFigure"/>
        <w:rPr>
          <w:rFonts w:eastAsiaTheme="majorEastAsia"/>
          <w:i/>
          <w:iCs/>
        </w:rPr>
      </w:pPr>
      <w:r w:rsidRPr="00397677">
        <w:rPr>
          <w:rFonts w:eastAsiaTheme="majorEastAsia"/>
          <w:i/>
          <w:iCs/>
        </w:rPr>
        <w:t xml:space="preserve">9 </w:t>
      </w:r>
      <w:r w:rsidR="000B7190" w:rsidRPr="00397677">
        <w:rPr>
          <w:rFonts w:eastAsiaTheme="majorEastAsia"/>
          <w:i/>
          <w:iCs/>
        </w:rPr>
        <w:t>$300 million to &lt; $400 million</w:t>
      </w:r>
    </w:p>
    <w:p w14:paraId="6E980C0D" w14:textId="46683C7C" w:rsidR="00CB112D" w:rsidRPr="00397677" w:rsidRDefault="00CB112D" w:rsidP="000922A7">
      <w:pPr>
        <w:pStyle w:val="FooterTableFigure"/>
        <w:rPr>
          <w:rFonts w:eastAsiaTheme="majorEastAsia"/>
          <w:i/>
          <w:iCs/>
        </w:rPr>
      </w:pPr>
      <w:r w:rsidRPr="00397677">
        <w:rPr>
          <w:rFonts w:eastAsiaTheme="majorEastAsia"/>
          <w:i/>
          <w:iCs/>
        </w:rPr>
        <w:t>10 $0 to &lt; $10 million</w:t>
      </w:r>
    </w:p>
    <w:p w14:paraId="02EDE85A" w14:textId="08195870" w:rsidR="00567F08" w:rsidRPr="00397677" w:rsidRDefault="00567F08" w:rsidP="000922A7">
      <w:pPr>
        <w:pStyle w:val="FooterTableFigure"/>
        <w:rPr>
          <w:rFonts w:eastAsiaTheme="majorEastAsia"/>
          <w:i/>
          <w:iCs/>
        </w:rPr>
      </w:pPr>
      <w:r w:rsidRPr="00397677">
        <w:rPr>
          <w:rFonts w:eastAsiaTheme="majorEastAsia"/>
          <w:i/>
          <w:iCs/>
        </w:rPr>
        <w:t>11 $40 million to &lt; $50 million</w:t>
      </w:r>
    </w:p>
    <w:p w14:paraId="003A3667" w14:textId="0FE1D349" w:rsidR="00567F08" w:rsidRPr="00397677" w:rsidRDefault="00567F08" w:rsidP="000922A7">
      <w:pPr>
        <w:pStyle w:val="FooterTableFigure"/>
        <w:rPr>
          <w:rFonts w:eastAsiaTheme="majorEastAsia"/>
          <w:i/>
          <w:iCs/>
        </w:rPr>
      </w:pPr>
      <w:r w:rsidRPr="00397677">
        <w:rPr>
          <w:rFonts w:eastAsiaTheme="majorEastAsia"/>
          <w:i/>
          <w:iCs/>
        </w:rPr>
        <w:t xml:space="preserve">12 </w:t>
      </w:r>
      <w:r w:rsidR="004C57A6" w:rsidRPr="00397677">
        <w:rPr>
          <w:rFonts w:eastAsiaTheme="majorEastAsia"/>
          <w:i/>
          <w:iCs/>
        </w:rPr>
        <w:t>$50 million to &lt; $60 million</w:t>
      </w:r>
    </w:p>
    <w:p w14:paraId="170A8DD7" w14:textId="5AD77817" w:rsidR="00C20DDD" w:rsidRPr="001611DC" w:rsidRDefault="00C20DDD" w:rsidP="00C20DDD">
      <w:pPr>
        <w:pStyle w:val="3-BodyText"/>
      </w:pPr>
      <w:bookmarkStart w:id="182" w:name="_Hlk166615730"/>
      <w:bookmarkEnd w:id="181"/>
      <w:r w:rsidRPr="001611DC">
        <w:t xml:space="preserve">The total cost to the NIP of listing RSVPreF3 OA for adults </w:t>
      </w:r>
      <w:r w:rsidR="00E2719A" w:rsidRPr="001611DC">
        <w:rPr>
          <w:rFonts w:cstheme="minorHAnsi"/>
        </w:rPr>
        <w:t>≥</w:t>
      </w:r>
      <w:r w:rsidRPr="001611DC">
        <w:t>60 YOA was estimated to be $</w:t>
      </w:r>
      <w:r w:rsidR="002D333A" w:rsidRPr="002D333A">
        <w:t>100 million to &lt; $200 million</w:t>
      </w:r>
      <w:r w:rsidR="002D333A" w:rsidRPr="002D333A" w:rsidDel="002D333A">
        <w:t xml:space="preserve"> </w:t>
      </w:r>
      <w:r w:rsidRPr="001611DC">
        <w:t>in Year 6, and a total of $</w:t>
      </w:r>
      <w:r w:rsidR="005933E6" w:rsidRPr="005933E6">
        <w:t>0 to &lt; $10 million</w:t>
      </w:r>
      <w:r w:rsidRPr="001611DC">
        <w:t xml:space="preserve"> in the first </w:t>
      </w:r>
      <w:r w:rsidRPr="001611DC">
        <w:lastRenderedPageBreak/>
        <w:t>6 years of listing</w:t>
      </w:r>
      <w:r w:rsidRPr="001611DC">
        <w:rPr>
          <w:color w:val="000000" w:themeColor="text1"/>
        </w:rPr>
        <w:t>.</w:t>
      </w:r>
      <w:r w:rsidRPr="001611DC">
        <w:t xml:space="preserve"> </w:t>
      </w:r>
      <w:r w:rsidRPr="001611DC">
        <w:rPr>
          <w:color w:val="000000" w:themeColor="text1"/>
        </w:rPr>
        <w:t>The total cost to all health budgets was estimated to be $</w:t>
      </w:r>
      <w:r w:rsidR="009E3779" w:rsidRPr="009E3779">
        <w:rPr>
          <w:color w:val="000000" w:themeColor="text1"/>
        </w:rPr>
        <w:t>50</w:t>
      </w:r>
      <w:r w:rsidR="00CD3945">
        <w:rPr>
          <w:color w:val="000000" w:themeColor="text1"/>
        </w:rPr>
        <w:t> </w:t>
      </w:r>
      <w:r w:rsidR="009E3779" w:rsidRPr="009E3779">
        <w:rPr>
          <w:color w:val="000000" w:themeColor="text1"/>
        </w:rPr>
        <w:t>million</w:t>
      </w:r>
      <w:r w:rsidR="00CD3945">
        <w:rPr>
          <w:color w:val="000000" w:themeColor="text1"/>
        </w:rPr>
        <w:t> </w:t>
      </w:r>
      <w:r w:rsidR="009E3779" w:rsidRPr="009E3779">
        <w:rPr>
          <w:color w:val="000000" w:themeColor="text1"/>
        </w:rPr>
        <w:t>to &lt; $60 million</w:t>
      </w:r>
      <w:r w:rsidR="009E3779" w:rsidRPr="009E3779" w:rsidDel="009E3779">
        <w:rPr>
          <w:color w:val="000000" w:themeColor="text1"/>
        </w:rPr>
        <w:t xml:space="preserve"> </w:t>
      </w:r>
      <w:r w:rsidRPr="001611DC">
        <w:rPr>
          <w:color w:val="000000" w:themeColor="text1"/>
        </w:rPr>
        <w:t>in Year 6 and $</w:t>
      </w:r>
      <w:r w:rsidR="00D414D2" w:rsidRPr="00D414D2">
        <w:rPr>
          <w:color w:val="000000" w:themeColor="text1"/>
        </w:rPr>
        <w:t>500 million to &lt; $600 million</w:t>
      </w:r>
      <w:r w:rsidRPr="001611DC">
        <w:rPr>
          <w:color w:val="000000" w:themeColor="text1"/>
        </w:rPr>
        <w:t xml:space="preserve"> over 6 years. Cost offsets to State and Territory Governments decreased after Year 1 as most </w:t>
      </w:r>
      <w:r w:rsidR="007B6A18" w:rsidRPr="001611DC">
        <w:rPr>
          <w:color w:val="000000" w:themeColor="text1"/>
        </w:rPr>
        <w:t xml:space="preserve">individuals </w:t>
      </w:r>
      <w:r w:rsidRPr="001611DC">
        <w:rPr>
          <w:color w:val="000000" w:themeColor="text1"/>
        </w:rPr>
        <w:t xml:space="preserve">were </w:t>
      </w:r>
      <w:r w:rsidR="007B6A18" w:rsidRPr="001611DC">
        <w:rPr>
          <w:color w:val="000000" w:themeColor="text1"/>
        </w:rPr>
        <w:t xml:space="preserve">assumed to be </w:t>
      </w:r>
      <w:r w:rsidRPr="001611DC">
        <w:rPr>
          <w:color w:val="000000" w:themeColor="text1"/>
        </w:rPr>
        <w:t>vaccinated in Year 1 and VE waning was applied as in the economic model but assuming 0% VE after approximately 3 years.</w:t>
      </w:r>
    </w:p>
    <w:bookmarkEnd w:id="182"/>
    <w:p w14:paraId="0AF02F13" w14:textId="0C35C65C" w:rsidR="00C20DDD" w:rsidRPr="001611DC" w:rsidRDefault="00C20DDD" w:rsidP="00C20DDD">
      <w:pPr>
        <w:pStyle w:val="3-BodyText"/>
      </w:pPr>
      <w:r w:rsidRPr="001611DC">
        <w:rPr>
          <w:color w:val="000000" w:themeColor="text1"/>
        </w:rPr>
        <w:t xml:space="preserve">Estimated use and financial implications to the Federal Government, and the State and Territory Government for the </w:t>
      </w:r>
      <w:r w:rsidR="00E2719A" w:rsidRPr="001611DC">
        <w:rPr>
          <w:rFonts w:cstheme="minorHAnsi"/>
          <w:color w:val="000000" w:themeColor="text1"/>
        </w:rPr>
        <w:t>≥</w:t>
      </w:r>
      <w:r w:rsidRPr="001611DC">
        <w:rPr>
          <w:color w:val="000000" w:themeColor="text1"/>
        </w:rPr>
        <w:t xml:space="preserve">75 YOA population are presented in </w:t>
      </w:r>
      <w:r w:rsidRPr="001611DC">
        <w:rPr>
          <w:color w:val="000000" w:themeColor="text1"/>
        </w:rPr>
        <w:fldChar w:fldCharType="begin" w:fldLock="1"/>
      </w:r>
      <w:r w:rsidRPr="001611DC">
        <w:rPr>
          <w:color w:val="000000" w:themeColor="text1"/>
        </w:rPr>
        <w:instrText xml:space="preserve"> REF _Ref165293839 \h </w:instrText>
      </w:r>
      <w:r w:rsidRPr="001611DC">
        <w:rPr>
          <w:color w:val="000000" w:themeColor="text1"/>
        </w:rPr>
      </w:r>
      <w:r w:rsidRPr="001611DC">
        <w:rPr>
          <w:color w:val="000000" w:themeColor="text1"/>
        </w:rPr>
        <w:fldChar w:fldCharType="separate"/>
      </w:r>
      <w:r w:rsidR="00927933" w:rsidRPr="001611DC">
        <w:t>Table 31</w:t>
      </w:r>
      <w:r w:rsidRPr="001611DC">
        <w:rPr>
          <w:color w:val="000000" w:themeColor="text1"/>
        </w:rPr>
        <w:fldChar w:fldCharType="end"/>
      </w:r>
      <w:r w:rsidRPr="001611DC">
        <w:rPr>
          <w:color w:val="000000" w:themeColor="text1"/>
        </w:rPr>
        <w:t>.</w:t>
      </w:r>
    </w:p>
    <w:p w14:paraId="3B4AA7B2" w14:textId="09AB1DCE" w:rsidR="00C20DDD" w:rsidRPr="001611DC" w:rsidRDefault="00C20DDD" w:rsidP="00CD3945">
      <w:pPr>
        <w:pStyle w:val="Caption"/>
        <w:rPr>
          <w:rStyle w:val="CommentReference"/>
          <w:b/>
          <w:szCs w:val="24"/>
        </w:rPr>
      </w:pPr>
      <w:bookmarkStart w:id="183" w:name="_Ref165293839"/>
      <w:r w:rsidRPr="001611DC">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31</w:t>
      </w:r>
      <w:r w:rsidR="005473CE" w:rsidRPr="001611DC">
        <w:fldChar w:fldCharType="end"/>
      </w:r>
      <w:bookmarkEnd w:id="183"/>
      <w:r w:rsidRPr="001611DC">
        <w:t xml:space="preserve">: </w:t>
      </w:r>
      <w:r w:rsidRPr="001611DC">
        <w:rPr>
          <w:rStyle w:val="CommentReference"/>
          <w:b/>
          <w:szCs w:val="24"/>
        </w:rPr>
        <w:t xml:space="preserve">Estimated use and financial implications </w:t>
      </w:r>
      <w:r w:rsidR="00A6605D" w:rsidRPr="001611DC">
        <w:rPr>
          <w:rStyle w:val="CommentReference"/>
          <w:b/>
          <w:szCs w:val="24"/>
        </w:rPr>
        <w:t xml:space="preserve">for </w:t>
      </w:r>
      <w:r w:rsidR="00E2719A" w:rsidRPr="001611DC">
        <w:rPr>
          <w:rStyle w:val="CommentReference"/>
          <w:b/>
          <w:szCs w:val="24"/>
        </w:rPr>
        <w:t>≥</w:t>
      </w:r>
      <w:r w:rsidRPr="001611DC">
        <w:rPr>
          <w:rStyle w:val="CommentReference"/>
          <w:b/>
          <w:szCs w:val="24"/>
        </w:rPr>
        <w:t>75 YOA population</w:t>
      </w:r>
    </w:p>
    <w:tbl>
      <w:tblPr>
        <w:tblW w:w="5000" w:type="pct"/>
        <w:tblLayout w:type="fixed"/>
        <w:tblCellMar>
          <w:left w:w="28" w:type="dxa"/>
          <w:right w:w="28" w:type="dxa"/>
        </w:tblCellMar>
        <w:tblLook w:val="04A0" w:firstRow="1" w:lastRow="0" w:firstColumn="1" w:lastColumn="0" w:noHBand="0" w:noVBand="1"/>
        <w:tblCaption w:val="Table 31: Estimated use and financial implications for ≥75 YOA population"/>
      </w:tblPr>
      <w:tblGrid>
        <w:gridCol w:w="1415"/>
        <w:gridCol w:w="1134"/>
        <w:gridCol w:w="1134"/>
        <w:gridCol w:w="1134"/>
        <w:gridCol w:w="1134"/>
        <w:gridCol w:w="994"/>
        <w:gridCol w:w="1134"/>
        <w:gridCol w:w="938"/>
      </w:tblGrid>
      <w:tr w:rsidR="00C20DDD" w:rsidRPr="001611DC" w14:paraId="776867CE" w14:textId="77777777" w:rsidTr="00330EA2">
        <w:trPr>
          <w:trHeight w:val="276"/>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2F8E" w14:textId="77777777" w:rsidR="00C20DDD" w:rsidRPr="001611DC" w:rsidRDefault="00C20DDD" w:rsidP="00CD3945">
            <w:pPr>
              <w:pStyle w:val="In-tableHeading"/>
              <w:keepLines/>
              <w:jc w:val="center"/>
              <w:rPr>
                <w:bCs/>
                <w:vertAlign w:val="superscript"/>
                <w:lang w:val="en-AU"/>
              </w:rPr>
            </w:pP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19FD36E6" w14:textId="77777777" w:rsidR="00C20DDD" w:rsidRPr="001611DC" w:rsidRDefault="00C20DDD" w:rsidP="00CD3945">
            <w:pPr>
              <w:pStyle w:val="In-tableHeading"/>
              <w:keepLines/>
              <w:jc w:val="center"/>
              <w:rPr>
                <w:bCs/>
                <w:lang w:val="en-AU"/>
              </w:rPr>
            </w:pPr>
            <w:r w:rsidRPr="001611DC">
              <w:rPr>
                <w:lang w:val="en-AU"/>
              </w:rPr>
              <w:t>2025</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222FE701" w14:textId="77777777" w:rsidR="00C20DDD" w:rsidRPr="001611DC" w:rsidRDefault="00C20DDD" w:rsidP="00CD3945">
            <w:pPr>
              <w:pStyle w:val="In-tableHeading"/>
              <w:keepLines/>
              <w:jc w:val="center"/>
              <w:rPr>
                <w:bCs/>
                <w:lang w:val="en-AU"/>
              </w:rPr>
            </w:pPr>
            <w:r w:rsidRPr="001611DC">
              <w:rPr>
                <w:lang w:val="en-AU"/>
              </w:rPr>
              <w:t>2026</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22BDD5DA" w14:textId="77777777" w:rsidR="00C20DDD" w:rsidRPr="001611DC" w:rsidRDefault="00C20DDD" w:rsidP="00CD3945">
            <w:pPr>
              <w:pStyle w:val="In-tableHeading"/>
              <w:keepLines/>
              <w:jc w:val="center"/>
              <w:rPr>
                <w:bCs/>
                <w:lang w:val="en-AU"/>
              </w:rPr>
            </w:pPr>
            <w:r w:rsidRPr="001611DC">
              <w:rPr>
                <w:lang w:val="en-AU"/>
              </w:rPr>
              <w:t>2027</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67C1C06B" w14:textId="77777777" w:rsidR="00C20DDD" w:rsidRPr="001611DC" w:rsidRDefault="00C20DDD" w:rsidP="00CD3945">
            <w:pPr>
              <w:pStyle w:val="In-tableHeading"/>
              <w:keepLines/>
              <w:jc w:val="center"/>
              <w:rPr>
                <w:bCs/>
                <w:lang w:val="en-AU"/>
              </w:rPr>
            </w:pPr>
            <w:r w:rsidRPr="001611DC">
              <w:rPr>
                <w:lang w:val="en-AU"/>
              </w:rPr>
              <w:t>2028</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0EFFB9DE" w14:textId="77777777" w:rsidR="00C20DDD" w:rsidRPr="001611DC" w:rsidRDefault="00C20DDD" w:rsidP="00CD3945">
            <w:pPr>
              <w:pStyle w:val="In-tableHeading"/>
              <w:keepLines/>
              <w:jc w:val="center"/>
              <w:rPr>
                <w:bCs/>
                <w:lang w:val="en-AU"/>
              </w:rPr>
            </w:pPr>
            <w:r w:rsidRPr="001611DC">
              <w:rPr>
                <w:lang w:val="en-AU"/>
              </w:rPr>
              <w:t>2029</w:t>
            </w:r>
          </w:p>
        </w:tc>
        <w:tc>
          <w:tcPr>
            <w:tcW w:w="629" w:type="pct"/>
            <w:tcBorders>
              <w:top w:val="single" w:sz="4" w:space="0" w:color="auto"/>
              <w:left w:val="nil"/>
              <w:bottom w:val="single" w:sz="4" w:space="0" w:color="auto"/>
              <w:right w:val="single" w:sz="4" w:space="0" w:color="auto"/>
            </w:tcBorders>
            <w:shd w:val="clear" w:color="auto" w:fill="auto"/>
            <w:noWrap/>
            <w:vAlign w:val="center"/>
            <w:hideMark/>
          </w:tcPr>
          <w:p w14:paraId="038A29D5" w14:textId="77777777" w:rsidR="00C20DDD" w:rsidRPr="001611DC" w:rsidRDefault="00C20DDD" w:rsidP="00CD3945">
            <w:pPr>
              <w:pStyle w:val="In-tableHeading"/>
              <w:keepLines/>
              <w:jc w:val="center"/>
              <w:rPr>
                <w:bCs/>
                <w:lang w:val="en-AU"/>
              </w:rPr>
            </w:pPr>
            <w:r w:rsidRPr="001611DC">
              <w:rPr>
                <w:lang w:val="en-AU"/>
              </w:rPr>
              <w:t>2030</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14:paraId="66737BFC" w14:textId="77777777" w:rsidR="00C20DDD" w:rsidRPr="001611DC" w:rsidRDefault="00C20DDD" w:rsidP="00CD3945">
            <w:pPr>
              <w:pStyle w:val="In-tableHeading"/>
              <w:keepLines/>
              <w:jc w:val="center"/>
              <w:rPr>
                <w:bCs/>
                <w:lang w:val="en-AU"/>
              </w:rPr>
            </w:pPr>
            <w:r w:rsidRPr="001611DC">
              <w:rPr>
                <w:bCs/>
                <w:lang w:val="en-AU"/>
              </w:rPr>
              <w:t>Total</w:t>
            </w:r>
          </w:p>
        </w:tc>
      </w:tr>
      <w:tr w:rsidR="00C20DDD" w:rsidRPr="001611DC" w14:paraId="2CA60197" w14:textId="77777777">
        <w:trPr>
          <w:trHeight w:val="276"/>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B63544D" w14:textId="77777777" w:rsidR="00C20DDD" w:rsidRPr="001611DC" w:rsidRDefault="00C20DDD" w:rsidP="00CD3945">
            <w:pPr>
              <w:pStyle w:val="In-tableHeading"/>
              <w:keepLines/>
              <w:rPr>
                <w:bCs/>
                <w:lang w:val="en-AU"/>
              </w:rPr>
            </w:pPr>
            <w:r w:rsidRPr="001611DC">
              <w:rPr>
                <w:bCs/>
                <w:lang w:val="en-AU"/>
              </w:rPr>
              <w:t>Estimated extent of use</w:t>
            </w:r>
            <w:r w:rsidRPr="001611DC">
              <w:rPr>
                <w:bCs/>
                <w:vertAlign w:val="superscript"/>
                <w:lang w:val="en-AU"/>
              </w:rPr>
              <w:t xml:space="preserve"> a</w:t>
            </w:r>
          </w:p>
        </w:tc>
      </w:tr>
      <w:tr w:rsidR="00C20DDD" w:rsidRPr="001611DC" w14:paraId="263B9423" w14:textId="77777777" w:rsidTr="00330EA2">
        <w:trPr>
          <w:trHeight w:val="276"/>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7BBD1" w14:textId="439AAC63" w:rsidR="00C20DDD" w:rsidRPr="001611DC" w:rsidRDefault="00C20DDD" w:rsidP="00CD3945">
            <w:pPr>
              <w:pStyle w:val="In-tableHeading"/>
              <w:keepLines/>
              <w:rPr>
                <w:bCs/>
                <w:lang w:val="en-AU"/>
              </w:rPr>
            </w:pPr>
            <w:r w:rsidRPr="001611DC">
              <w:rPr>
                <w:b w:val="0"/>
                <w:lang w:val="en-AU"/>
              </w:rPr>
              <w:t xml:space="preserve">Predicted number of </w:t>
            </w:r>
            <w:r w:rsidR="007B6A18" w:rsidRPr="001611DC">
              <w:rPr>
                <w:b w:val="0"/>
                <w:lang w:val="en-AU"/>
              </w:rPr>
              <w:t xml:space="preserve">people vaccinated </w:t>
            </w:r>
            <w:r w:rsidRPr="001611DC">
              <w:rPr>
                <w:b w:val="0"/>
                <w:lang w:val="en-AU"/>
              </w:rPr>
              <w:t>with RSVPreF3 OA</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4168BF7" w14:textId="77777777" w:rsidR="00397677" w:rsidRDefault="00BD3549" w:rsidP="00CD3945">
            <w:pPr>
              <w:pStyle w:val="TableText0"/>
              <w:keepLines/>
              <w:jc w:val="center"/>
              <w:rPr>
                <w:vertAlign w:val="superscript"/>
              </w:rPr>
            </w:pPr>
            <w:r w:rsidRPr="00BD3549">
              <w:rPr>
                <w:color w:val="000000"/>
                <w:spacing w:val="214"/>
                <w:shd w:val="solid" w:color="000000" w:fill="000000"/>
                <w:fitText w:val="300" w:id="-893676283"/>
                <w14:textFill>
                  <w14:solidFill>
                    <w14:srgbClr w14:val="000000">
                      <w14:alpha w14:val="100000"/>
                    </w14:srgbClr>
                  </w14:solidFill>
                </w14:textFill>
              </w:rPr>
              <w:t>|</w:t>
            </w:r>
            <w:r w:rsidRPr="00BD3549">
              <w:rPr>
                <w:color w:val="000000"/>
                <w:spacing w:val="1"/>
                <w:shd w:val="solid" w:color="000000" w:fill="000000"/>
                <w:fitText w:val="300" w:id="-893676283"/>
                <w14:textFill>
                  <w14:solidFill>
                    <w14:srgbClr w14:val="000000">
                      <w14:alpha w14:val="100000"/>
                    </w14:srgbClr>
                  </w14:solidFill>
                </w14:textFill>
              </w:rPr>
              <w:t>|</w:t>
            </w:r>
            <w:r w:rsidR="00DF659A" w:rsidRPr="00DF659A">
              <w:rPr>
                <w:vertAlign w:val="superscript"/>
              </w:rPr>
              <w:t>1</w:t>
            </w:r>
            <w:r w:rsidR="00397677">
              <w:rPr>
                <w:vertAlign w:val="superscript"/>
              </w:rPr>
              <w:t xml:space="preserve"> </w:t>
            </w:r>
          </w:p>
          <w:p w14:paraId="7FC77274" w14:textId="389A575E" w:rsidR="00C20DDD" w:rsidRPr="00397677" w:rsidRDefault="00397677" w:rsidP="00CD3945">
            <w:pPr>
              <w:pStyle w:val="TableText0"/>
              <w:keepLines/>
              <w:jc w:val="center"/>
              <w:rPr>
                <w:highlight w:val="lightGray"/>
              </w:rPr>
            </w:pPr>
            <w:r>
              <w:t>(</w:t>
            </w:r>
            <w:r w:rsidR="00BD3549" w:rsidRPr="00397677">
              <w:rPr>
                <w:color w:val="000000"/>
                <w:spacing w:val="154"/>
                <w:shd w:val="solid" w:color="000000" w:fill="000000"/>
                <w:fitText w:val="240" w:id="-893676282"/>
                <w14:textFill>
                  <w14:solidFill>
                    <w14:srgbClr w14:val="000000">
                      <w14:alpha w14:val="100000"/>
                    </w14:srgbClr>
                  </w14:solidFill>
                </w14:textFill>
              </w:rPr>
              <w:t>|</w:t>
            </w:r>
            <w:r w:rsidR="00BD3549" w:rsidRPr="00397677">
              <w:rPr>
                <w:color w:val="000000"/>
                <w:shd w:val="solid" w:color="000000" w:fill="000000"/>
                <w:fitText w:val="240" w:id="-893676282"/>
                <w14:textFill>
                  <w14:solidFill>
                    <w14:srgbClr w14:val="000000">
                      <w14:alpha w14:val="100000"/>
                    </w14:srgbClr>
                  </w14:solidFill>
                </w14:textFill>
              </w:rPr>
              <w:t>|</w:t>
            </w:r>
            <w:r w:rsidR="00DF659A" w:rsidRPr="00DF659A">
              <w:rPr>
                <w:vertAlign w:val="superscript"/>
              </w:rPr>
              <w:t xml:space="preserve"> 1</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47F78A8D" w14:textId="77777777" w:rsidR="00397677" w:rsidRDefault="00BD3549"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sidR="00D32A2A" w:rsidRPr="00D32A2A">
              <w:rPr>
                <w:vertAlign w:val="superscript"/>
              </w:rPr>
              <w:t>2</w:t>
            </w:r>
          </w:p>
          <w:p w14:paraId="1527E3B0" w14:textId="398C2941" w:rsidR="00C20DDD" w:rsidRPr="00397677" w:rsidRDefault="00397677" w:rsidP="00CD3945">
            <w:pPr>
              <w:pStyle w:val="TableText0"/>
              <w:keepLines/>
              <w:jc w:val="center"/>
              <w:rPr>
                <w:highlight w:val="lightGray"/>
              </w:rPr>
            </w:pPr>
            <w:r w:rsidRPr="00397677">
              <w:t>(</w:t>
            </w:r>
            <w:r w:rsidR="00BD3549" w:rsidRPr="00397677">
              <w:rPr>
                <w:color w:val="000000"/>
                <w:spacing w:val="154"/>
                <w:shd w:val="solid" w:color="000000" w:fill="000000"/>
                <w:fitText w:val="240" w:id="-893676280"/>
                <w14:textFill>
                  <w14:solidFill>
                    <w14:srgbClr w14:val="000000">
                      <w14:alpha w14:val="100000"/>
                    </w14:srgbClr>
                  </w14:solidFill>
                </w14:textFill>
              </w:rPr>
              <w:t>|</w:t>
            </w:r>
            <w:r w:rsidR="00BD3549" w:rsidRPr="00397677">
              <w:rPr>
                <w:color w:val="000000"/>
                <w:shd w:val="solid" w:color="000000" w:fill="000000"/>
                <w:fitText w:val="240" w:id="-893676280"/>
                <w14:textFill>
                  <w14:solidFill>
                    <w14:srgbClr w14:val="000000">
                      <w14:alpha w14:val="100000"/>
                    </w14:srgbClr>
                  </w14:solidFill>
                </w14:textFill>
              </w:rPr>
              <w:t>|</w:t>
            </w:r>
            <w:r w:rsidR="00D32A2A" w:rsidRPr="00D32A2A">
              <w:rPr>
                <w:vertAlign w:val="superscript"/>
              </w:rPr>
              <w:t xml:space="preserve"> 2</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CF8FF53" w14:textId="77777777"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sidRPr="00D32A2A">
              <w:rPr>
                <w:vertAlign w:val="superscript"/>
              </w:rPr>
              <w:t>2</w:t>
            </w:r>
          </w:p>
          <w:p w14:paraId="300901B1" w14:textId="1767D637"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2</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4449678B" w14:textId="77777777"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sidRPr="00D32A2A">
              <w:rPr>
                <w:vertAlign w:val="superscript"/>
              </w:rPr>
              <w:t>2</w:t>
            </w:r>
          </w:p>
          <w:p w14:paraId="69D6DD9F" w14:textId="4F160EEB"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2</w:t>
            </w:r>
            <w:r>
              <w:t>)</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73D17098" w14:textId="77777777"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sidRPr="00D32A2A">
              <w:rPr>
                <w:vertAlign w:val="superscript"/>
              </w:rPr>
              <w:t>2</w:t>
            </w:r>
          </w:p>
          <w:p w14:paraId="0B9EAE78" w14:textId="0E5D1D80"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3</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7E03BD68" w14:textId="77777777"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sidRPr="00D32A2A">
              <w:rPr>
                <w:vertAlign w:val="superscript"/>
              </w:rPr>
              <w:t>2</w:t>
            </w:r>
          </w:p>
          <w:p w14:paraId="1A4FFFD1" w14:textId="708644AD"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3</w:t>
            </w:r>
            <w:r>
              <w:t>)</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72AA5C5E" w14:textId="737C1880"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4</w:t>
            </w:r>
          </w:p>
          <w:p w14:paraId="007F1454" w14:textId="6F1E15C6"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4</w:t>
            </w:r>
            <w:r>
              <w:t>)</w:t>
            </w:r>
          </w:p>
        </w:tc>
      </w:tr>
      <w:tr w:rsidR="00C20DDD" w:rsidRPr="001611DC" w14:paraId="0B7B85D8" w14:textId="77777777">
        <w:trPr>
          <w:trHeight w:val="276"/>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6AED057" w14:textId="77777777" w:rsidR="00C20DDD" w:rsidRPr="001611DC" w:rsidRDefault="00C20DDD" w:rsidP="00CD3945">
            <w:pPr>
              <w:pStyle w:val="In-tableHeading"/>
              <w:keepLines/>
              <w:rPr>
                <w:bCs/>
                <w:lang w:val="en-AU"/>
              </w:rPr>
            </w:pPr>
            <w:r w:rsidRPr="001611DC">
              <w:rPr>
                <w:bCs/>
                <w:lang w:val="en-AU"/>
              </w:rPr>
              <w:t>Estimated financial implications of listing RSVPreF3 OA in the NIP</w:t>
            </w:r>
            <w:r w:rsidRPr="001611DC">
              <w:rPr>
                <w:bCs/>
                <w:vertAlign w:val="superscript"/>
                <w:lang w:val="en-AU"/>
              </w:rPr>
              <w:t xml:space="preserve"> a</w:t>
            </w:r>
          </w:p>
        </w:tc>
      </w:tr>
      <w:tr w:rsidR="00C20DDD" w:rsidRPr="001611DC" w14:paraId="26DA0FA1" w14:textId="77777777" w:rsidTr="00330EA2">
        <w:trPr>
          <w:trHeight w:val="276"/>
          <w:tblHeader/>
        </w:trPr>
        <w:tc>
          <w:tcPr>
            <w:tcW w:w="7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CA5E60" w14:textId="77777777" w:rsidR="00C20DDD" w:rsidRPr="001611DC" w:rsidRDefault="00C20DDD" w:rsidP="00CD3945">
            <w:pPr>
              <w:pStyle w:val="TableText0"/>
              <w:keepLines/>
            </w:pPr>
            <w:r w:rsidRPr="001611DC">
              <w:t>Federal</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1338E44F" w14:textId="121AA80B"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5</w:t>
            </w:r>
          </w:p>
          <w:p w14:paraId="218FAB8E" w14:textId="4ED4615E"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5</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4D681C33" w14:textId="1A13DD1A"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6</w:t>
            </w:r>
          </w:p>
          <w:p w14:paraId="024B22C3" w14:textId="6D388707"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7</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39B73BF7" w14:textId="707F103E"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7</w:t>
            </w:r>
          </w:p>
          <w:p w14:paraId="57C38875" w14:textId="521C4283"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8</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3BA1A96F"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7</w:t>
            </w:r>
          </w:p>
          <w:p w14:paraId="3640E540" w14:textId="43EDE3B6"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8</w:t>
            </w:r>
            <w:r>
              <w:t>)</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40866922" w14:textId="441123C8"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8</w:t>
            </w:r>
          </w:p>
          <w:p w14:paraId="22898EF9" w14:textId="0A4AFD22"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9</w:t>
            </w:r>
            <w:r>
              <w:t>)</w:t>
            </w:r>
          </w:p>
        </w:tc>
        <w:tc>
          <w:tcPr>
            <w:tcW w:w="629" w:type="pct"/>
            <w:tcBorders>
              <w:top w:val="single" w:sz="4" w:space="0" w:color="auto"/>
              <w:left w:val="nil"/>
              <w:bottom w:val="single" w:sz="4" w:space="0" w:color="auto"/>
              <w:right w:val="single" w:sz="4" w:space="0" w:color="auto"/>
            </w:tcBorders>
            <w:shd w:val="clear" w:color="auto" w:fill="auto"/>
            <w:noWrap/>
            <w:vAlign w:val="center"/>
          </w:tcPr>
          <w:p w14:paraId="3B8CD18C"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8</w:t>
            </w:r>
          </w:p>
          <w:p w14:paraId="0700335D" w14:textId="244FBE07"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9</w:t>
            </w:r>
            <w:r>
              <w:t>)</w:t>
            </w:r>
          </w:p>
        </w:tc>
        <w:tc>
          <w:tcPr>
            <w:tcW w:w="521" w:type="pct"/>
            <w:tcBorders>
              <w:top w:val="single" w:sz="4" w:space="0" w:color="auto"/>
              <w:left w:val="nil"/>
              <w:bottom w:val="single" w:sz="4" w:space="0" w:color="auto"/>
              <w:right w:val="single" w:sz="4" w:space="0" w:color="auto"/>
            </w:tcBorders>
            <w:shd w:val="clear" w:color="auto" w:fill="auto"/>
            <w:noWrap/>
            <w:vAlign w:val="center"/>
          </w:tcPr>
          <w:p w14:paraId="2DD1354E" w14:textId="6851A605"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11</w:t>
            </w:r>
          </w:p>
          <w:p w14:paraId="172FFBC2" w14:textId="389977AC"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12</w:t>
            </w:r>
            <w:r>
              <w:t>)</w:t>
            </w:r>
          </w:p>
        </w:tc>
      </w:tr>
      <w:tr w:rsidR="00C20DDD" w:rsidRPr="001611DC" w14:paraId="5EFDD021"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16965846" w14:textId="77777777" w:rsidR="00C20DDD" w:rsidRPr="001611DC" w:rsidRDefault="00C20DDD" w:rsidP="00CD3945">
            <w:pPr>
              <w:pStyle w:val="TableText0"/>
              <w:keepLines/>
              <w:ind w:firstLineChars="100" w:firstLine="200"/>
            </w:pPr>
            <w:r w:rsidRPr="001611DC">
              <w:t>NIP</w:t>
            </w:r>
          </w:p>
        </w:tc>
        <w:tc>
          <w:tcPr>
            <w:tcW w:w="629" w:type="pct"/>
            <w:tcBorders>
              <w:top w:val="nil"/>
              <w:left w:val="nil"/>
              <w:bottom w:val="single" w:sz="4" w:space="0" w:color="auto"/>
              <w:right w:val="single" w:sz="4" w:space="0" w:color="auto"/>
            </w:tcBorders>
            <w:shd w:val="clear" w:color="auto" w:fill="auto"/>
            <w:noWrap/>
            <w:vAlign w:val="center"/>
          </w:tcPr>
          <w:p w14:paraId="52616F49" w14:textId="77777777" w:rsidR="00397677" w:rsidRDefault="00397677"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5</w:t>
            </w:r>
          </w:p>
          <w:p w14:paraId="4B092C8D" w14:textId="7EF73841" w:rsidR="00C20DDD" w:rsidRPr="00B818B6" w:rsidRDefault="00397677"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5</w:t>
            </w:r>
            <w:r>
              <w:t>)</w:t>
            </w:r>
          </w:p>
        </w:tc>
        <w:tc>
          <w:tcPr>
            <w:tcW w:w="629" w:type="pct"/>
            <w:tcBorders>
              <w:top w:val="nil"/>
              <w:left w:val="nil"/>
              <w:bottom w:val="single" w:sz="4" w:space="0" w:color="auto"/>
              <w:right w:val="single" w:sz="4" w:space="0" w:color="auto"/>
            </w:tcBorders>
            <w:shd w:val="clear" w:color="auto" w:fill="auto"/>
            <w:noWrap/>
            <w:vAlign w:val="center"/>
          </w:tcPr>
          <w:p w14:paraId="2A4E2F6F"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7</w:t>
            </w:r>
          </w:p>
          <w:p w14:paraId="0513F598" w14:textId="147E704C"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8</w:t>
            </w:r>
            <w:r>
              <w:t>)</w:t>
            </w:r>
          </w:p>
        </w:tc>
        <w:tc>
          <w:tcPr>
            <w:tcW w:w="629" w:type="pct"/>
            <w:tcBorders>
              <w:top w:val="nil"/>
              <w:left w:val="nil"/>
              <w:bottom w:val="single" w:sz="4" w:space="0" w:color="auto"/>
              <w:right w:val="single" w:sz="4" w:space="0" w:color="auto"/>
            </w:tcBorders>
            <w:shd w:val="clear" w:color="auto" w:fill="auto"/>
            <w:noWrap/>
            <w:vAlign w:val="center"/>
          </w:tcPr>
          <w:p w14:paraId="05E88BE7"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7</w:t>
            </w:r>
          </w:p>
          <w:p w14:paraId="3C350A0C" w14:textId="454BC3E1"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8</w:t>
            </w:r>
            <w:r>
              <w:t>)</w:t>
            </w:r>
          </w:p>
        </w:tc>
        <w:tc>
          <w:tcPr>
            <w:tcW w:w="629" w:type="pct"/>
            <w:tcBorders>
              <w:top w:val="nil"/>
              <w:left w:val="nil"/>
              <w:bottom w:val="single" w:sz="4" w:space="0" w:color="auto"/>
              <w:right w:val="single" w:sz="4" w:space="0" w:color="auto"/>
            </w:tcBorders>
            <w:shd w:val="clear" w:color="auto" w:fill="auto"/>
            <w:noWrap/>
            <w:vAlign w:val="center"/>
          </w:tcPr>
          <w:p w14:paraId="228784C7"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8</w:t>
            </w:r>
          </w:p>
          <w:p w14:paraId="7F20290F" w14:textId="43FD8229"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9</w:t>
            </w:r>
            <w:r>
              <w:t>)</w:t>
            </w:r>
          </w:p>
        </w:tc>
        <w:tc>
          <w:tcPr>
            <w:tcW w:w="551" w:type="pct"/>
            <w:tcBorders>
              <w:top w:val="nil"/>
              <w:left w:val="nil"/>
              <w:bottom w:val="single" w:sz="4" w:space="0" w:color="auto"/>
              <w:right w:val="single" w:sz="4" w:space="0" w:color="auto"/>
            </w:tcBorders>
            <w:shd w:val="clear" w:color="auto" w:fill="auto"/>
            <w:noWrap/>
            <w:vAlign w:val="center"/>
          </w:tcPr>
          <w:p w14:paraId="4C88ED4E"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8</w:t>
            </w:r>
          </w:p>
          <w:p w14:paraId="58A02BA3" w14:textId="3C049B3C"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9</w:t>
            </w:r>
            <w:r>
              <w:t>)</w:t>
            </w:r>
          </w:p>
        </w:tc>
        <w:tc>
          <w:tcPr>
            <w:tcW w:w="629" w:type="pct"/>
            <w:tcBorders>
              <w:top w:val="nil"/>
              <w:left w:val="nil"/>
              <w:bottom w:val="single" w:sz="4" w:space="0" w:color="auto"/>
              <w:right w:val="single" w:sz="4" w:space="0" w:color="auto"/>
            </w:tcBorders>
            <w:shd w:val="clear" w:color="auto" w:fill="auto"/>
            <w:noWrap/>
            <w:vAlign w:val="center"/>
          </w:tcPr>
          <w:p w14:paraId="585C0BCB"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8</w:t>
            </w:r>
          </w:p>
          <w:p w14:paraId="6DA9B5F7" w14:textId="78A4F744"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10</w:t>
            </w:r>
            <w:r>
              <w:t>)</w:t>
            </w:r>
          </w:p>
        </w:tc>
        <w:tc>
          <w:tcPr>
            <w:tcW w:w="521" w:type="pct"/>
            <w:tcBorders>
              <w:top w:val="nil"/>
              <w:left w:val="nil"/>
              <w:bottom w:val="single" w:sz="4" w:space="0" w:color="auto"/>
              <w:right w:val="single" w:sz="4" w:space="0" w:color="auto"/>
            </w:tcBorders>
            <w:shd w:val="clear" w:color="auto" w:fill="auto"/>
            <w:noWrap/>
            <w:vAlign w:val="center"/>
          </w:tcPr>
          <w:p w14:paraId="09E43E63" w14:textId="3180B6AD"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12</w:t>
            </w:r>
          </w:p>
          <w:p w14:paraId="5934F091" w14:textId="143A12D1"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12</w:t>
            </w:r>
            <w:r>
              <w:t>)</w:t>
            </w:r>
          </w:p>
        </w:tc>
      </w:tr>
      <w:tr w:rsidR="00C20DDD" w:rsidRPr="001611DC" w14:paraId="0C23FBD7"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4A265994" w14:textId="77777777" w:rsidR="00C20DDD" w:rsidRPr="001611DC" w:rsidRDefault="00C20DDD" w:rsidP="00CD3945">
            <w:pPr>
              <w:pStyle w:val="TableText0"/>
              <w:keepLines/>
              <w:ind w:firstLineChars="100" w:firstLine="200"/>
            </w:pPr>
            <w:r w:rsidRPr="001611DC">
              <w:t>PBS</w:t>
            </w:r>
          </w:p>
        </w:tc>
        <w:tc>
          <w:tcPr>
            <w:tcW w:w="629" w:type="pct"/>
            <w:tcBorders>
              <w:top w:val="nil"/>
              <w:left w:val="nil"/>
              <w:bottom w:val="single" w:sz="4" w:space="0" w:color="auto"/>
              <w:right w:val="single" w:sz="4" w:space="0" w:color="auto"/>
            </w:tcBorders>
            <w:shd w:val="clear" w:color="auto" w:fill="auto"/>
            <w:noWrap/>
            <w:vAlign w:val="center"/>
          </w:tcPr>
          <w:p w14:paraId="68D73C8E" w14:textId="70B8B636" w:rsidR="00330EA2" w:rsidRDefault="00330EA2" w:rsidP="00CD3945">
            <w:pPr>
              <w:pStyle w:val="TableText0"/>
              <w:keepLines/>
              <w:jc w:val="center"/>
              <w:rPr>
                <w:vertAlign w:val="superscript"/>
              </w:rPr>
            </w:pPr>
            <w:r w:rsidRPr="00330EA2">
              <w:rPr>
                <w:color w:val="000000"/>
                <w:spacing w:val="214"/>
                <w:shd w:val="solid" w:color="000000" w:fill="000000"/>
                <w:fitText w:val="300" w:id="-893676281"/>
                <w14:textFill>
                  <w14:solidFill>
                    <w14:srgbClr w14:val="000000">
                      <w14:alpha w14:val="100000"/>
                    </w14:srgbClr>
                  </w14:solidFill>
                </w14:textFill>
              </w:rPr>
              <w:t>|</w:t>
            </w:r>
            <w:r w:rsidRPr="00330EA2">
              <w:rPr>
                <w:color w:val="000000"/>
                <w:shd w:val="solid" w:color="000000" w:fill="000000"/>
                <w:fitText w:val="300" w:id="-893676281"/>
                <w14:textFill>
                  <w14:solidFill>
                    <w14:srgbClr w14:val="000000">
                      <w14:alpha w14:val="100000"/>
                    </w14:srgbClr>
                  </w14:solidFill>
                </w14:textFill>
              </w:rPr>
              <w:t>|</w:t>
            </w:r>
            <w:r>
              <w:rPr>
                <w:vertAlign w:val="superscript"/>
              </w:rPr>
              <w:t>13</w:t>
            </w:r>
          </w:p>
          <w:p w14:paraId="1AA9C19C" w14:textId="3CE0E83F"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7D78EA16"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163E55B5" w14:textId="22B937F1"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49B0C259"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4CE69B2F" w14:textId="1D1C9A24" w:rsidR="00C20DDD" w:rsidRPr="00B818B6" w:rsidRDefault="00330EA2" w:rsidP="00CD3945">
            <w:pPr>
              <w:pStyle w:val="TableText0"/>
              <w:keepLines/>
              <w:jc w:val="center"/>
              <w:rPr>
                <w:highlight w:val="lightGray"/>
              </w:rPr>
            </w:pPr>
            <w:r w:rsidRPr="00397677">
              <w:t>(</w:t>
            </w:r>
            <w:r w:rsidRPr="00CD3945">
              <w:rPr>
                <w:color w:val="000000"/>
                <w:spacing w:val="154"/>
                <w:shd w:val="solid" w:color="000000" w:fill="000000"/>
                <w:fitText w:val="240" w:id="-893676280"/>
                <w14:textFill>
                  <w14:solidFill>
                    <w14:srgbClr w14:val="000000">
                      <w14:alpha w14:val="100000"/>
                    </w14:srgbClr>
                  </w14:solidFill>
                </w14:textFill>
              </w:rPr>
              <w:t>|</w:t>
            </w:r>
            <w:r w:rsidRPr="00CD3945">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7EF020D1"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2EC2C706" w14:textId="5D27E324"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51" w:type="pct"/>
            <w:tcBorders>
              <w:top w:val="nil"/>
              <w:left w:val="nil"/>
              <w:bottom w:val="single" w:sz="4" w:space="0" w:color="auto"/>
              <w:right w:val="single" w:sz="4" w:space="0" w:color="auto"/>
            </w:tcBorders>
            <w:shd w:val="clear" w:color="auto" w:fill="auto"/>
            <w:noWrap/>
            <w:vAlign w:val="center"/>
          </w:tcPr>
          <w:p w14:paraId="1C932B86"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71CB0582" w14:textId="54F97F95"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5B51EBA3"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3E71F32E" w14:textId="70C9A17C"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21" w:type="pct"/>
            <w:tcBorders>
              <w:top w:val="nil"/>
              <w:left w:val="nil"/>
              <w:bottom w:val="single" w:sz="4" w:space="0" w:color="auto"/>
              <w:right w:val="single" w:sz="4" w:space="0" w:color="auto"/>
            </w:tcBorders>
            <w:shd w:val="clear" w:color="auto" w:fill="auto"/>
            <w:noWrap/>
            <w:vAlign w:val="center"/>
          </w:tcPr>
          <w:p w14:paraId="2ADD80D6"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5110CA0B" w14:textId="0EA449F2"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r>
      <w:tr w:rsidR="00330EA2" w:rsidRPr="001611DC" w14:paraId="7C82FB25"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5B811389" w14:textId="77777777" w:rsidR="00330EA2" w:rsidRPr="001611DC" w:rsidRDefault="00330EA2" w:rsidP="00CD3945">
            <w:pPr>
              <w:pStyle w:val="TableText0"/>
              <w:keepLines/>
              <w:ind w:firstLineChars="100" w:firstLine="200"/>
            </w:pPr>
            <w:r w:rsidRPr="001611DC">
              <w:t>MBS</w:t>
            </w:r>
          </w:p>
        </w:tc>
        <w:tc>
          <w:tcPr>
            <w:tcW w:w="629" w:type="pct"/>
            <w:tcBorders>
              <w:top w:val="nil"/>
              <w:left w:val="nil"/>
              <w:bottom w:val="single" w:sz="4" w:space="0" w:color="auto"/>
              <w:right w:val="single" w:sz="4" w:space="0" w:color="auto"/>
            </w:tcBorders>
            <w:shd w:val="clear" w:color="auto" w:fill="auto"/>
            <w:noWrap/>
            <w:vAlign w:val="center"/>
          </w:tcPr>
          <w:p w14:paraId="03F107ED" w14:textId="77777777" w:rsidR="00330EA2" w:rsidRDefault="00330EA2" w:rsidP="00CD3945">
            <w:pPr>
              <w:pStyle w:val="TableText0"/>
              <w:keepLines/>
              <w:jc w:val="center"/>
              <w:rPr>
                <w:vertAlign w:val="superscript"/>
              </w:rPr>
            </w:pPr>
            <w:r w:rsidRPr="00330EA2">
              <w:rPr>
                <w:color w:val="000000"/>
                <w:spacing w:val="214"/>
                <w:shd w:val="solid" w:color="000000" w:fill="000000"/>
                <w:fitText w:val="300" w:id="-893676281"/>
                <w14:textFill>
                  <w14:solidFill>
                    <w14:srgbClr w14:val="000000">
                      <w14:alpha w14:val="100000"/>
                    </w14:srgbClr>
                  </w14:solidFill>
                </w14:textFill>
              </w:rPr>
              <w:t>|</w:t>
            </w:r>
            <w:r w:rsidRPr="00330EA2">
              <w:rPr>
                <w:color w:val="000000"/>
                <w:shd w:val="solid" w:color="000000" w:fill="000000"/>
                <w:fitText w:val="300" w:id="-893676281"/>
                <w14:textFill>
                  <w14:solidFill>
                    <w14:srgbClr w14:val="000000">
                      <w14:alpha w14:val="100000"/>
                    </w14:srgbClr>
                  </w14:solidFill>
                </w14:textFill>
              </w:rPr>
              <w:t>|</w:t>
            </w:r>
            <w:r>
              <w:rPr>
                <w:vertAlign w:val="superscript"/>
              </w:rPr>
              <w:t>13</w:t>
            </w:r>
          </w:p>
          <w:p w14:paraId="3F228B24" w14:textId="50C9C259"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78BE9B9E"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6C7DF7A8" w14:textId="4364EFDD"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0CC32240"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19431ECA" w14:textId="3505A208"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28BF50DA"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2083834F" w14:textId="4E8D7BEF"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51" w:type="pct"/>
            <w:tcBorders>
              <w:top w:val="nil"/>
              <w:left w:val="nil"/>
              <w:bottom w:val="single" w:sz="4" w:space="0" w:color="auto"/>
              <w:right w:val="single" w:sz="4" w:space="0" w:color="auto"/>
            </w:tcBorders>
            <w:shd w:val="clear" w:color="auto" w:fill="auto"/>
            <w:noWrap/>
            <w:vAlign w:val="center"/>
          </w:tcPr>
          <w:p w14:paraId="1A98A492"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77F33928" w14:textId="6CEE38D9"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672DFCAD"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08518ABD" w14:textId="6A437261"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21" w:type="pct"/>
            <w:tcBorders>
              <w:top w:val="nil"/>
              <w:left w:val="nil"/>
              <w:bottom w:val="single" w:sz="4" w:space="0" w:color="auto"/>
              <w:right w:val="single" w:sz="4" w:space="0" w:color="auto"/>
            </w:tcBorders>
            <w:shd w:val="clear" w:color="auto" w:fill="auto"/>
            <w:noWrap/>
            <w:vAlign w:val="center"/>
          </w:tcPr>
          <w:p w14:paraId="506560D0"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402C3F3E" w14:textId="5C3FDECE"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r>
      <w:tr w:rsidR="00330EA2" w:rsidRPr="001611DC" w:rsidDel="00946CA5" w14:paraId="0C68E419"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47E9C189" w14:textId="77777777" w:rsidR="00330EA2" w:rsidRPr="001611DC" w:rsidRDefault="00330EA2" w:rsidP="00CD3945">
            <w:pPr>
              <w:pStyle w:val="TableText0"/>
              <w:keepLines/>
              <w:ind w:firstLineChars="100" w:firstLine="200"/>
            </w:pPr>
            <w:r w:rsidRPr="001611DC" w:rsidDel="00946CA5">
              <w:t>Other</w:t>
            </w:r>
          </w:p>
          <w:p w14:paraId="6DB291CA" w14:textId="77777777" w:rsidR="00330EA2" w:rsidRPr="001611DC" w:rsidRDefault="00330EA2" w:rsidP="00CD3945">
            <w:pPr>
              <w:pStyle w:val="TableText0"/>
              <w:keepLines/>
              <w:ind w:firstLineChars="100" w:firstLine="200"/>
            </w:pPr>
            <w:r w:rsidRPr="001611DC" w:rsidDel="00946CA5">
              <w:t xml:space="preserve">Federal </w:t>
            </w:r>
          </w:p>
          <w:p w14:paraId="768FD73C" w14:textId="77777777" w:rsidR="00330EA2" w:rsidRPr="001611DC" w:rsidDel="00946CA5" w:rsidRDefault="00330EA2" w:rsidP="00CD3945">
            <w:pPr>
              <w:pStyle w:val="TableText0"/>
              <w:keepLines/>
              <w:ind w:firstLineChars="100" w:firstLine="200"/>
            </w:pPr>
            <w:r w:rsidRPr="001611DC" w:rsidDel="00946CA5">
              <w:t>budgets</w:t>
            </w:r>
          </w:p>
        </w:tc>
        <w:tc>
          <w:tcPr>
            <w:tcW w:w="629" w:type="pct"/>
            <w:tcBorders>
              <w:top w:val="nil"/>
              <w:left w:val="nil"/>
              <w:bottom w:val="single" w:sz="4" w:space="0" w:color="auto"/>
              <w:right w:val="single" w:sz="4" w:space="0" w:color="auto"/>
            </w:tcBorders>
            <w:shd w:val="clear" w:color="auto" w:fill="auto"/>
            <w:noWrap/>
            <w:vAlign w:val="center"/>
          </w:tcPr>
          <w:p w14:paraId="33014F5E" w14:textId="77777777" w:rsidR="00330EA2" w:rsidRDefault="00330EA2" w:rsidP="00CD3945">
            <w:pPr>
              <w:pStyle w:val="TableText0"/>
              <w:keepLines/>
              <w:jc w:val="center"/>
              <w:rPr>
                <w:vertAlign w:val="superscript"/>
              </w:rPr>
            </w:pPr>
            <w:r w:rsidRPr="00330EA2">
              <w:rPr>
                <w:color w:val="000000"/>
                <w:spacing w:val="214"/>
                <w:shd w:val="solid" w:color="000000" w:fill="000000"/>
                <w:fitText w:val="300" w:id="-893676281"/>
                <w14:textFill>
                  <w14:solidFill>
                    <w14:srgbClr w14:val="000000">
                      <w14:alpha w14:val="100000"/>
                    </w14:srgbClr>
                  </w14:solidFill>
                </w14:textFill>
              </w:rPr>
              <w:t>|</w:t>
            </w:r>
            <w:r w:rsidRPr="00330EA2">
              <w:rPr>
                <w:color w:val="000000"/>
                <w:shd w:val="solid" w:color="000000" w:fill="000000"/>
                <w:fitText w:val="300" w:id="-893676281"/>
                <w14:textFill>
                  <w14:solidFill>
                    <w14:srgbClr w14:val="000000">
                      <w14:alpha w14:val="100000"/>
                    </w14:srgbClr>
                  </w14:solidFill>
                </w14:textFill>
              </w:rPr>
              <w:t>|</w:t>
            </w:r>
            <w:r>
              <w:rPr>
                <w:vertAlign w:val="superscript"/>
              </w:rPr>
              <w:t>13</w:t>
            </w:r>
          </w:p>
          <w:p w14:paraId="647D885F" w14:textId="544E9CC4"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60D5F997"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05BFADC7" w14:textId="0BD511B7"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35A8F3FE"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5FC0FDB3" w14:textId="2DA53622"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33DB3C52"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48275A8E" w14:textId="7CA5D6C0"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51" w:type="pct"/>
            <w:tcBorders>
              <w:top w:val="nil"/>
              <w:left w:val="nil"/>
              <w:bottom w:val="single" w:sz="4" w:space="0" w:color="auto"/>
              <w:right w:val="single" w:sz="4" w:space="0" w:color="auto"/>
            </w:tcBorders>
            <w:shd w:val="clear" w:color="auto" w:fill="auto"/>
            <w:noWrap/>
            <w:vAlign w:val="center"/>
          </w:tcPr>
          <w:p w14:paraId="20D53BBC"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5FE0C3DE" w14:textId="2F616E2C"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031620AD"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075A32DF" w14:textId="02F0389C"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21" w:type="pct"/>
            <w:tcBorders>
              <w:top w:val="nil"/>
              <w:left w:val="nil"/>
              <w:bottom w:val="single" w:sz="4" w:space="0" w:color="auto"/>
              <w:right w:val="single" w:sz="4" w:space="0" w:color="auto"/>
            </w:tcBorders>
            <w:shd w:val="clear" w:color="auto" w:fill="auto"/>
            <w:noWrap/>
            <w:vAlign w:val="center"/>
          </w:tcPr>
          <w:p w14:paraId="428CD14D"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7DD91789" w14:textId="2F465AA1" w:rsidR="00330EA2" w:rsidRPr="00B818B6" w:rsidDel="00946CA5"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r>
      <w:tr w:rsidR="00330EA2" w:rsidRPr="001611DC" w14:paraId="41325A52"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14:paraId="2F035A57" w14:textId="77777777" w:rsidR="00330EA2" w:rsidRPr="001611DC" w:rsidRDefault="00330EA2" w:rsidP="00CD3945">
            <w:pPr>
              <w:pStyle w:val="TableText0"/>
              <w:keepLines/>
            </w:pPr>
            <w:r w:rsidRPr="001611DC">
              <w:t>State and Territory Governments</w:t>
            </w:r>
          </w:p>
        </w:tc>
        <w:tc>
          <w:tcPr>
            <w:tcW w:w="629" w:type="pct"/>
            <w:tcBorders>
              <w:top w:val="nil"/>
              <w:left w:val="nil"/>
              <w:bottom w:val="single" w:sz="4" w:space="0" w:color="auto"/>
              <w:right w:val="single" w:sz="4" w:space="0" w:color="auto"/>
            </w:tcBorders>
            <w:shd w:val="clear" w:color="auto" w:fill="auto"/>
            <w:noWrap/>
            <w:vAlign w:val="center"/>
          </w:tcPr>
          <w:p w14:paraId="230840CB" w14:textId="77777777" w:rsidR="00330EA2" w:rsidRDefault="00330EA2" w:rsidP="00CD3945">
            <w:pPr>
              <w:pStyle w:val="TableText0"/>
              <w:keepLines/>
              <w:jc w:val="center"/>
              <w:rPr>
                <w:vertAlign w:val="superscript"/>
              </w:rPr>
            </w:pPr>
            <w:r w:rsidRPr="00330EA2">
              <w:rPr>
                <w:color w:val="000000"/>
                <w:spacing w:val="214"/>
                <w:shd w:val="solid" w:color="000000" w:fill="000000"/>
                <w:fitText w:val="300" w:id="-893676281"/>
                <w14:textFill>
                  <w14:solidFill>
                    <w14:srgbClr w14:val="000000">
                      <w14:alpha w14:val="100000"/>
                    </w14:srgbClr>
                  </w14:solidFill>
                </w14:textFill>
              </w:rPr>
              <w:t>|</w:t>
            </w:r>
            <w:r w:rsidRPr="00330EA2">
              <w:rPr>
                <w:color w:val="000000"/>
                <w:shd w:val="solid" w:color="000000" w:fill="000000"/>
                <w:fitText w:val="300" w:id="-893676281"/>
                <w14:textFill>
                  <w14:solidFill>
                    <w14:srgbClr w14:val="000000">
                      <w14:alpha w14:val="100000"/>
                    </w14:srgbClr>
                  </w14:solidFill>
                </w14:textFill>
              </w:rPr>
              <w:t>|</w:t>
            </w:r>
            <w:r>
              <w:rPr>
                <w:vertAlign w:val="superscript"/>
              </w:rPr>
              <w:t>13</w:t>
            </w:r>
          </w:p>
          <w:p w14:paraId="52CCB949" w14:textId="0EAA7B66"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41D8EC84"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2AA28BDC" w14:textId="39F66BF4"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16F43D99"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762A44FC" w14:textId="32EBDEE4"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31CB4342"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3B26C6FC" w14:textId="5DDFFE43"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51" w:type="pct"/>
            <w:tcBorders>
              <w:top w:val="nil"/>
              <w:left w:val="nil"/>
              <w:bottom w:val="single" w:sz="4" w:space="0" w:color="auto"/>
              <w:right w:val="single" w:sz="4" w:space="0" w:color="auto"/>
            </w:tcBorders>
            <w:shd w:val="clear" w:color="auto" w:fill="auto"/>
            <w:noWrap/>
            <w:vAlign w:val="center"/>
          </w:tcPr>
          <w:p w14:paraId="6E47B0E1"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4BD0C21C" w14:textId="4F599EA6"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6BECEB86"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5D7943A1" w14:textId="7B145C0D"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521" w:type="pct"/>
            <w:tcBorders>
              <w:top w:val="nil"/>
              <w:left w:val="nil"/>
              <w:bottom w:val="single" w:sz="4" w:space="0" w:color="auto"/>
              <w:right w:val="single" w:sz="4" w:space="0" w:color="auto"/>
            </w:tcBorders>
            <w:shd w:val="clear" w:color="auto" w:fill="auto"/>
            <w:noWrap/>
            <w:vAlign w:val="center"/>
          </w:tcPr>
          <w:p w14:paraId="769ABA08"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5EBAD961" w14:textId="28DFB84C" w:rsidR="00330EA2"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r>
      <w:tr w:rsidR="00C20DDD" w:rsidRPr="001611DC" w14:paraId="34FF0BA9" w14:textId="77777777" w:rsidTr="00330EA2">
        <w:trPr>
          <w:trHeight w:val="276"/>
        </w:trPr>
        <w:tc>
          <w:tcPr>
            <w:tcW w:w="784" w:type="pct"/>
            <w:tcBorders>
              <w:top w:val="nil"/>
              <w:left w:val="single" w:sz="4" w:space="0" w:color="auto"/>
              <w:bottom w:val="single" w:sz="4" w:space="0" w:color="auto"/>
              <w:right w:val="single" w:sz="4" w:space="0" w:color="auto"/>
            </w:tcBorders>
            <w:shd w:val="clear" w:color="auto" w:fill="auto"/>
            <w:noWrap/>
            <w:vAlign w:val="center"/>
          </w:tcPr>
          <w:p w14:paraId="43BFCDD6" w14:textId="77777777" w:rsidR="00C20DDD" w:rsidRPr="001611DC" w:rsidRDefault="00C20DDD" w:rsidP="00CD3945">
            <w:pPr>
              <w:pStyle w:val="TableText0"/>
              <w:keepLines/>
            </w:pPr>
            <w:r w:rsidRPr="001611DC">
              <w:t>All budgets combined</w:t>
            </w:r>
          </w:p>
        </w:tc>
        <w:tc>
          <w:tcPr>
            <w:tcW w:w="629" w:type="pct"/>
            <w:tcBorders>
              <w:top w:val="nil"/>
              <w:left w:val="nil"/>
              <w:bottom w:val="single" w:sz="4" w:space="0" w:color="auto"/>
              <w:right w:val="single" w:sz="4" w:space="0" w:color="auto"/>
            </w:tcBorders>
            <w:shd w:val="clear" w:color="auto" w:fill="auto"/>
            <w:noWrap/>
            <w:vAlign w:val="center"/>
          </w:tcPr>
          <w:p w14:paraId="4905EE6C" w14:textId="62ECC85D"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14</w:t>
            </w:r>
          </w:p>
          <w:p w14:paraId="63AF20A7" w14:textId="2493F2C7"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14</w:t>
            </w:r>
            <w:r>
              <w:t>)</w:t>
            </w:r>
          </w:p>
        </w:tc>
        <w:tc>
          <w:tcPr>
            <w:tcW w:w="629" w:type="pct"/>
            <w:tcBorders>
              <w:top w:val="nil"/>
              <w:left w:val="nil"/>
              <w:bottom w:val="single" w:sz="4" w:space="0" w:color="auto"/>
              <w:right w:val="single" w:sz="4" w:space="0" w:color="auto"/>
            </w:tcBorders>
            <w:shd w:val="clear" w:color="auto" w:fill="auto"/>
            <w:noWrap/>
            <w:vAlign w:val="center"/>
          </w:tcPr>
          <w:p w14:paraId="6B62A275"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0A2DFFC4" w14:textId="41FF4EED"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28A95AB9"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13</w:t>
            </w:r>
          </w:p>
          <w:p w14:paraId="6F58A4E7" w14:textId="040A45A6"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13</w:t>
            </w:r>
            <w:r>
              <w:t>)</w:t>
            </w:r>
          </w:p>
        </w:tc>
        <w:tc>
          <w:tcPr>
            <w:tcW w:w="629" w:type="pct"/>
            <w:tcBorders>
              <w:top w:val="nil"/>
              <w:left w:val="nil"/>
              <w:bottom w:val="single" w:sz="4" w:space="0" w:color="auto"/>
              <w:right w:val="single" w:sz="4" w:space="0" w:color="auto"/>
            </w:tcBorders>
            <w:shd w:val="clear" w:color="auto" w:fill="auto"/>
            <w:noWrap/>
            <w:vAlign w:val="center"/>
          </w:tcPr>
          <w:p w14:paraId="4B838F57" w14:textId="5E5BCE48"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15</w:t>
            </w:r>
          </w:p>
          <w:p w14:paraId="442B9BB4" w14:textId="03B0229D"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16</w:t>
            </w:r>
            <w:r>
              <w:t>)</w:t>
            </w:r>
          </w:p>
        </w:tc>
        <w:tc>
          <w:tcPr>
            <w:tcW w:w="551" w:type="pct"/>
            <w:tcBorders>
              <w:top w:val="nil"/>
              <w:left w:val="nil"/>
              <w:bottom w:val="single" w:sz="4" w:space="0" w:color="auto"/>
              <w:right w:val="single" w:sz="4" w:space="0" w:color="auto"/>
            </w:tcBorders>
            <w:shd w:val="clear" w:color="auto" w:fill="auto"/>
            <w:noWrap/>
            <w:vAlign w:val="center"/>
          </w:tcPr>
          <w:p w14:paraId="268C1443" w14:textId="7B86CD4F"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16</w:t>
            </w:r>
          </w:p>
          <w:p w14:paraId="3FD5943C" w14:textId="18BE9BF1"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16</w:t>
            </w:r>
            <w:r>
              <w:t>)</w:t>
            </w:r>
          </w:p>
        </w:tc>
        <w:tc>
          <w:tcPr>
            <w:tcW w:w="629" w:type="pct"/>
            <w:tcBorders>
              <w:top w:val="nil"/>
              <w:left w:val="nil"/>
              <w:bottom w:val="single" w:sz="4" w:space="0" w:color="auto"/>
              <w:right w:val="single" w:sz="4" w:space="0" w:color="auto"/>
            </w:tcBorders>
            <w:shd w:val="clear" w:color="auto" w:fill="auto"/>
            <w:noWrap/>
            <w:vAlign w:val="center"/>
          </w:tcPr>
          <w:p w14:paraId="446EA81D"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15</w:t>
            </w:r>
          </w:p>
          <w:p w14:paraId="66DA0612" w14:textId="6434276A"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16</w:t>
            </w:r>
            <w:r>
              <w:t>)</w:t>
            </w:r>
          </w:p>
        </w:tc>
        <w:tc>
          <w:tcPr>
            <w:tcW w:w="521" w:type="pct"/>
            <w:tcBorders>
              <w:top w:val="nil"/>
              <w:left w:val="nil"/>
              <w:bottom w:val="single" w:sz="4" w:space="0" w:color="auto"/>
              <w:right w:val="single" w:sz="4" w:space="0" w:color="auto"/>
            </w:tcBorders>
            <w:shd w:val="clear" w:color="auto" w:fill="auto"/>
            <w:noWrap/>
            <w:vAlign w:val="center"/>
          </w:tcPr>
          <w:p w14:paraId="7CC460B2" w14:textId="77777777" w:rsidR="00330EA2" w:rsidRDefault="00330EA2" w:rsidP="00CD3945">
            <w:pPr>
              <w:pStyle w:val="TableText0"/>
              <w:keepLines/>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14</w:t>
            </w:r>
          </w:p>
          <w:p w14:paraId="7098E7BC" w14:textId="14BE944A" w:rsidR="00C20DDD" w:rsidRPr="00B818B6" w:rsidRDefault="00330EA2" w:rsidP="00CD3945">
            <w:pPr>
              <w:pStyle w:val="TableText0"/>
              <w:keepLines/>
              <w:jc w:val="center"/>
              <w:rPr>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14</w:t>
            </w:r>
            <w:r>
              <w:t>)</w:t>
            </w:r>
          </w:p>
        </w:tc>
      </w:tr>
    </w:tbl>
    <w:p w14:paraId="376F2FAE" w14:textId="11416D80" w:rsidR="00C20DDD" w:rsidRPr="001611DC" w:rsidRDefault="00C20DDD" w:rsidP="00CD3945">
      <w:pPr>
        <w:pStyle w:val="FooterTableFigure"/>
        <w:keepNext/>
        <w:keepLines/>
      </w:pPr>
      <w:r w:rsidRPr="001611DC">
        <w:t>Source: Table 4-8, compiled from Section 4.5 of the submission.</w:t>
      </w:r>
      <w:r w:rsidR="00113832" w:rsidRPr="001611DC">
        <w:rPr>
          <w:rFonts w:eastAsiaTheme="majorEastAsia"/>
        </w:rPr>
        <w:t xml:space="preserve"> Text in brackets was estimated in the </w:t>
      </w:r>
      <w:r w:rsidR="00113832" w:rsidRPr="001611DC">
        <w:t>Commentary</w:t>
      </w:r>
      <w:r w:rsidR="00113832" w:rsidRPr="001611DC">
        <w:rPr>
          <w:rFonts w:eastAsiaTheme="majorEastAsia"/>
        </w:rPr>
        <w:t>.</w:t>
      </w:r>
    </w:p>
    <w:p w14:paraId="3F850585" w14:textId="161282B2" w:rsidR="00C20DDD" w:rsidRPr="001611DC" w:rsidRDefault="00C20DDD" w:rsidP="00CD3945">
      <w:pPr>
        <w:pStyle w:val="FooterTableFigure"/>
        <w:keepNext/>
        <w:keepLines/>
        <w:rPr>
          <w:rFonts w:eastAsiaTheme="majorEastAsia"/>
        </w:rPr>
      </w:pPr>
      <w:r w:rsidRPr="001611DC">
        <w:rPr>
          <w:rFonts w:eastAsiaTheme="majorEastAsia"/>
        </w:rPr>
        <w:t xml:space="preserve">; MBS = Medicare Benefits Schedule; NIP = National Immunisation Program; PBS = Pharmaceutical Benefits Schedule; </w:t>
      </w:r>
      <w:r w:rsidRPr="001611DC">
        <w:t>RSVPreF3 OA = RSV prefusion protein 3 older adult;</w:t>
      </w:r>
      <w:r w:rsidRPr="001611DC">
        <w:rPr>
          <w:rFonts w:eastAsiaTheme="majorEastAsia"/>
        </w:rPr>
        <w:t xml:space="preserve"> YOA = years of age; Yr = year.</w:t>
      </w:r>
    </w:p>
    <w:p w14:paraId="12EBB32B" w14:textId="6390B6E4" w:rsidR="00113832" w:rsidRDefault="00113832" w:rsidP="00CD3945">
      <w:pPr>
        <w:pStyle w:val="FooterTableFigure"/>
        <w:keepNext/>
        <w:keepLines/>
      </w:pPr>
      <w:r w:rsidRPr="001611DC">
        <w:t>Corrected</w:t>
      </w:r>
      <w:r w:rsidRPr="001611DC">
        <w:rPr>
          <w:iCs/>
          <w:color w:val="000000" w:themeColor="text1"/>
        </w:rPr>
        <w:t xml:space="preserve"> uptake application for the newly eligible cohort (2025-27)</w:t>
      </w:r>
      <w:r w:rsidRPr="001611DC">
        <w:t xml:space="preserve"> in the ≥75 YOA population are presented in brackets.</w:t>
      </w:r>
    </w:p>
    <w:p w14:paraId="3DFD5EDF" w14:textId="77777777" w:rsidR="00CF25F6" w:rsidRPr="00397677" w:rsidRDefault="00CF25F6" w:rsidP="00CD3945">
      <w:pPr>
        <w:pStyle w:val="FooterTableFigure"/>
        <w:keepNext/>
        <w:keepLines/>
        <w:rPr>
          <w:i/>
          <w:iCs/>
        </w:rPr>
      </w:pPr>
      <w:bookmarkStart w:id="184" w:name="_Hlk176788827"/>
      <w:bookmarkStart w:id="185" w:name="_Hlk176936416"/>
      <w:r w:rsidRPr="00397677">
        <w:rPr>
          <w:i/>
          <w:iCs/>
        </w:rPr>
        <w:t>The redacted values correspond to the following ranges:</w:t>
      </w:r>
    </w:p>
    <w:p w14:paraId="5DD5672E" w14:textId="237FF877" w:rsidR="002B457E" w:rsidRPr="00397677" w:rsidRDefault="00D32A2A" w:rsidP="00CD3945">
      <w:pPr>
        <w:pStyle w:val="FooterTableFigure"/>
        <w:keepNext/>
        <w:keepLines/>
        <w:rPr>
          <w:i/>
          <w:iCs/>
        </w:rPr>
      </w:pPr>
      <w:r w:rsidRPr="00397677">
        <w:rPr>
          <w:i/>
          <w:iCs/>
        </w:rPr>
        <w:t>1 800,000 to &lt; 900,000</w:t>
      </w:r>
    </w:p>
    <w:p w14:paraId="6FF2473C" w14:textId="4DCB118D" w:rsidR="0002640D" w:rsidRPr="00397677" w:rsidRDefault="00D81CD4" w:rsidP="00CD3945">
      <w:pPr>
        <w:pStyle w:val="FooterTableFigure"/>
        <w:keepNext/>
        <w:keepLines/>
        <w:rPr>
          <w:i/>
          <w:iCs/>
        </w:rPr>
      </w:pPr>
      <w:r w:rsidRPr="00397677">
        <w:rPr>
          <w:i/>
          <w:iCs/>
        </w:rPr>
        <w:t>2 200,000 to &lt; 300,000</w:t>
      </w:r>
    </w:p>
    <w:p w14:paraId="1F58EF59" w14:textId="04FDEE06" w:rsidR="00B65BC6" w:rsidRPr="00397677" w:rsidRDefault="00B65BC6" w:rsidP="00CD3945">
      <w:pPr>
        <w:pStyle w:val="FooterTableFigure"/>
        <w:keepNext/>
        <w:keepLines/>
        <w:rPr>
          <w:i/>
          <w:iCs/>
        </w:rPr>
      </w:pPr>
      <w:r w:rsidRPr="00397677">
        <w:rPr>
          <w:i/>
          <w:iCs/>
        </w:rPr>
        <w:t>3 300,000 to &lt; 400,000</w:t>
      </w:r>
    </w:p>
    <w:p w14:paraId="3C2D6EF9" w14:textId="0F0B00E9" w:rsidR="00CF25F6" w:rsidRPr="00397677" w:rsidRDefault="005208C4" w:rsidP="00CD3945">
      <w:pPr>
        <w:pStyle w:val="FooterTableFigure"/>
        <w:keepNext/>
        <w:keepLines/>
        <w:rPr>
          <w:i/>
          <w:iCs/>
        </w:rPr>
      </w:pPr>
      <w:r w:rsidRPr="00397677">
        <w:rPr>
          <w:i/>
          <w:iCs/>
        </w:rPr>
        <w:t>4</w:t>
      </w:r>
      <w:r w:rsidR="00CF25F6" w:rsidRPr="00397677">
        <w:rPr>
          <w:i/>
          <w:iCs/>
        </w:rPr>
        <w:t xml:space="preserve"> 2,000,000 to &lt; 3,000,000</w:t>
      </w:r>
    </w:p>
    <w:p w14:paraId="6B7E72B1" w14:textId="01EF9919" w:rsidR="007D607E" w:rsidRPr="00397677" w:rsidRDefault="00CE47CA" w:rsidP="00CD3945">
      <w:pPr>
        <w:pStyle w:val="FooterTableFigure"/>
        <w:keepNext/>
        <w:keepLines/>
        <w:rPr>
          <w:i/>
          <w:iCs/>
        </w:rPr>
      </w:pPr>
      <w:r w:rsidRPr="00397677">
        <w:rPr>
          <w:i/>
          <w:iCs/>
        </w:rPr>
        <w:t>5 $200 million to &lt; $300 million</w:t>
      </w:r>
    </w:p>
    <w:bookmarkEnd w:id="184"/>
    <w:p w14:paraId="543A63D4" w14:textId="7794F969" w:rsidR="005642AF" w:rsidRPr="00397677" w:rsidRDefault="005642AF" w:rsidP="00CD3945">
      <w:pPr>
        <w:pStyle w:val="FooterTableFigure"/>
        <w:keepNext/>
        <w:keepLines/>
        <w:rPr>
          <w:i/>
          <w:iCs/>
        </w:rPr>
      </w:pPr>
      <w:r w:rsidRPr="00397677">
        <w:rPr>
          <w:i/>
          <w:iCs/>
        </w:rPr>
        <w:t>6</w:t>
      </w:r>
      <w:r w:rsidR="001F4410" w:rsidRPr="00397677">
        <w:rPr>
          <w:i/>
          <w:iCs/>
        </w:rPr>
        <w:t xml:space="preserve"> </w:t>
      </w:r>
      <w:r w:rsidRPr="00397677">
        <w:rPr>
          <w:i/>
          <w:iCs/>
        </w:rPr>
        <w:t>$40 million to &lt; $50 million</w:t>
      </w:r>
    </w:p>
    <w:p w14:paraId="432589A0" w14:textId="40206694" w:rsidR="00593F48" w:rsidRPr="00397677" w:rsidRDefault="00593F48" w:rsidP="00CD3945">
      <w:pPr>
        <w:pStyle w:val="FooterTableFigure"/>
        <w:keepNext/>
        <w:keepLines/>
        <w:rPr>
          <w:i/>
          <w:iCs/>
        </w:rPr>
      </w:pPr>
      <w:r w:rsidRPr="00397677">
        <w:rPr>
          <w:i/>
          <w:iCs/>
        </w:rPr>
        <w:t>7 $50 million to &lt; $60 million</w:t>
      </w:r>
    </w:p>
    <w:p w14:paraId="7C5E207E" w14:textId="7FB31993" w:rsidR="0012447B" w:rsidRPr="00397677" w:rsidRDefault="00DE65F4" w:rsidP="00CD3945">
      <w:pPr>
        <w:pStyle w:val="FooterTableFigure"/>
        <w:keepNext/>
        <w:keepLines/>
        <w:rPr>
          <w:i/>
          <w:iCs/>
        </w:rPr>
      </w:pPr>
      <w:r w:rsidRPr="00397677">
        <w:rPr>
          <w:i/>
          <w:iCs/>
        </w:rPr>
        <w:t>8 $60 million to &lt; $70 million</w:t>
      </w:r>
    </w:p>
    <w:p w14:paraId="74CC0E00" w14:textId="1119D6ED" w:rsidR="00D77F58" w:rsidRPr="00397677" w:rsidRDefault="00D77F58" w:rsidP="00CD3945">
      <w:pPr>
        <w:pStyle w:val="FooterTableFigure"/>
        <w:keepNext/>
        <w:keepLines/>
        <w:rPr>
          <w:i/>
          <w:iCs/>
        </w:rPr>
      </w:pPr>
      <w:r w:rsidRPr="00397677">
        <w:rPr>
          <w:i/>
          <w:iCs/>
        </w:rPr>
        <w:t>9 $70 million to &lt; $80 million</w:t>
      </w:r>
    </w:p>
    <w:p w14:paraId="5AF1CAEE" w14:textId="28F000FA" w:rsidR="00DE65F4" w:rsidRPr="00397677" w:rsidRDefault="00D77F58" w:rsidP="00CD3945">
      <w:pPr>
        <w:pStyle w:val="FooterTableFigure"/>
        <w:keepNext/>
        <w:keepLines/>
        <w:rPr>
          <w:i/>
          <w:iCs/>
        </w:rPr>
      </w:pPr>
      <w:r w:rsidRPr="00397677">
        <w:rPr>
          <w:i/>
          <w:iCs/>
        </w:rPr>
        <w:t>10 $80 million to &lt; $90 million</w:t>
      </w:r>
    </w:p>
    <w:p w14:paraId="1669553D" w14:textId="4918A3EA" w:rsidR="00FC700C" w:rsidRPr="00397677" w:rsidRDefault="00FC700C" w:rsidP="00CD3945">
      <w:pPr>
        <w:pStyle w:val="FooterTableFigure"/>
        <w:keepNext/>
        <w:keepLines/>
        <w:rPr>
          <w:i/>
          <w:iCs/>
        </w:rPr>
      </w:pPr>
      <w:r w:rsidRPr="00397677">
        <w:rPr>
          <w:i/>
          <w:iCs/>
        </w:rPr>
        <w:t>11 $400 million to &lt; $500 million</w:t>
      </w:r>
    </w:p>
    <w:p w14:paraId="52CDAEC6" w14:textId="1C98BE66" w:rsidR="00EF372A" w:rsidRPr="00397677" w:rsidRDefault="00FC700C" w:rsidP="00CD3945">
      <w:pPr>
        <w:pStyle w:val="FooterTableFigure"/>
        <w:keepNext/>
        <w:keepLines/>
        <w:rPr>
          <w:i/>
          <w:iCs/>
        </w:rPr>
      </w:pPr>
      <w:r w:rsidRPr="00397677">
        <w:rPr>
          <w:i/>
          <w:iCs/>
        </w:rPr>
        <w:t>12 $500 million to &lt; $600 million</w:t>
      </w:r>
    </w:p>
    <w:p w14:paraId="07861DD3" w14:textId="5FDA2E18" w:rsidR="00204EA0" w:rsidRPr="00397677" w:rsidRDefault="00204EA0" w:rsidP="00CD3945">
      <w:pPr>
        <w:pStyle w:val="FooterTableFigure"/>
        <w:keepNext/>
        <w:keepLines/>
        <w:rPr>
          <w:i/>
          <w:iCs/>
        </w:rPr>
      </w:pPr>
      <w:r w:rsidRPr="00397677">
        <w:rPr>
          <w:i/>
          <w:iCs/>
        </w:rPr>
        <w:t>13</w:t>
      </w:r>
      <w:r w:rsidR="001F4410" w:rsidRPr="00397677">
        <w:rPr>
          <w:i/>
          <w:iCs/>
        </w:rPr>
        <w:t xml:space="preserve"> </w:t>
      </w:r>
      <w:r w:rsidRPr="00397677">
        <w:rPr>
          <w:i/>
          <w:iCs/>
        </w:rPr>
        <w:t>net cost saving</w:t>
      </w:r>
    </w:p>
    <w:p w14:paraId="760458D3" w14:textId="1A3C468B" w:rsidR="00CF25F6" w:rsidRPr="00397677" w:rsidRDefault="003A5698" w:rsidP="00CD3945">
      <w:pPr>
        <w:pStyle w:val="FooterTableFigure"/>
        <w:keepNext/>
        <w:keepLines/>
        <w:rPr>
          <w:i/>
          <w:iCs/>
        </w:rPr>
      </w:pPr>
      <w:r w:rsidRPr="00397677">
        <w:rPr>
          <w:i/>
          <w:iCs/>
        </w:rPr>
        <w:t>14</w:t>
      </w:r>
      <w:r w:rsidR="00CF25F6" w:rsidRPr="00397677">
        <w:rPr>
          <w:i/>
          <w:iCs/>
        </w:rPr>
        <w:t xml:space="preserve"> $100 million to &lt; $200 million</w:t>
      </w:r>
    </w:p>
    <w:p w14:paraId="7C8B46DB" w14:textId="7B0F5A56" w:rsidR="00DF0F9F" w:rsidRPr="00397677" w:rsidRDefault="00DF0F9F" w:rsidP="00CD3945">
      <w:pPr>
        <w:pStyle w:val="FooterTableFigure"/>
        <w:keepNext/>
        <w:keepLines/>
        <w:rPr>
          <w:i/>
          <w:iCs/>
        </w:rPr>
      </w:pPr>
      <w:r w:rsidRPr="00397677">
        <w:rPr>
          <w:i/>
          <w:iCs/>
        </w:rPr>
        <w:t>15 $0 to &lt; $10 million</w:t>
      </w:r>
    </w:p>
    <w:p w14:paraId="0A4541E6" w14:textId="7036354D" w:rsidR="00113832" w:rsidRPr="00397677" w:rsidRDefault="008A0BA2" w:rsidP="00C20DDD">
      <w:pPr>
        <w:pStyle w:val="FooterTableFigure"/>
        <w:rPr>
          <w:i/>
          <w:iCs/>
        </w:rPr>
      </w:pPr>
      <w:r w:rsidRPr="00397677">
        <w:rPr>
          <w:i/>
          <w:iCs/>
        </w:rPr>
        <w:t>16 $10 million to &lt; $20 million</w:t>
      </w:r>
      <w:bookmarkEnd w:id="185"/>
    </w:p>
    <w:p w14:paraId="2312621A" w14:textId="37C68546" w:rsidR="00C20DDD" w:rsidRPr="001611DC" w:rsidRDefault="00C20DDD" w:rsidP="00C20DDD">
      <w:pPr>
        <w:pStyle w:val="3-BodyText"/>
      </w:pPr>
      <w:bookmarkStart w:id="186" w:name="_Hlk166615737"/>
      <w:bookmarkStart w:id="187" w:name="_Hlk165293955"/>
      <w:r w:rsidRPr="001611DC">
        <w:lastRenderedPageBreak/>
        <w:t xml:space="preserve">The total cost to the NIP of listing RSVPreF3 OA for adults </w:t>
      </w:r>
      <w:r w:rsidR="00E2719A" w:rsidRPr="001611DC">
        <w:rPr>
          <w:rFonts w:cstheme="minorHAnsi"/>
        </w:rPr>
        <w:t>≥</w:t>
      </w:r>
      <w:r w:rsidRPr="001611DC">
        <w:t>75 YOA was estimated to be $</w:t>
      </w:r>
      <w:r w:rsidR="00D93F0D" w:rsidRPr="00D93F0D">
        <w:t>60 million to &lt; $70 million</w:t>
      </w:r>
      <w:r w:rsidR="00D93F0D" w:rsidRPr="00D93F0D" w:rsidDel="00D93F0D">
        <w:t xml:space="preserve"> </w:t>
      </w:r>
      <w:r w:rsidRPr="001611DC">
        <w:t>in Year 6, and a total of $</w:t>
      </w:r>
      <w:r w:rsidR="002333CE" w:rsidRPr="002333CE">
        <w:t>500 million to &lt;</w:t>
      </w:r>
      <w:r w:rsidR="00330EA2">
        <w:t> </w:t>
      </w:r>
      <w:r w:rsidR="002333CE" w:rsidRPr="002333CE">
        <w:t>$600</w:t>
      </w:r>
      <w:r w:rsidR="00330EA2">
        <w:t> </w:t>
      </w:r>
      <w:r w:rsidR="00E3503D" w:rsidRPr="002333CE">
        <w:t>million</w:t>
      </w:r>
      <w:r w:rsidR="00E3503D" w:rsidRPr="001611DC">
        <w:t xml:space="preserve"> in</w:t>
      </w:r>
      <w:r w:rsidRPr="001611DC">
        <w:t xml:space="preserve"> the first 6 years of listing</w:t>
      </w:r>
      <w:r w:rsidRPr="001611DC">
        <w:rPr>
          <w:color w:val="000000" w:themeColor="text1"/>
        </w:rPr>
        <w:t>. The total cost to the NIP of listing RSVPreF3 OA</w:t>
      </w:r>
      <w:r w:rsidRPr="001611DC">
        <w:t xml:space="preserve"> for adults </w:t>
      </w:r>
      <w:r w:rsidR="00E2719A" w:rsidRPr="001611DC">
        <w:rPr>
          <w:rFonts w:cstheme="minorHAnsi"/>
        </w:rPr>
        <w:t>≥</w:t>
      </w:r>
      <w:r w:rsidRPr="001611DC">
        <w:t>75 YOA</w:t>
      </w:r>
      <w:r w:rsidRPr="001611DC">
        <w:rPr>
          <w:color w:val="000000" w:themeColor="text1"/>
        </w:rPr>
        <w:t xml:space="preserve"> </w:t>
      </w:r>
      <w:bookmarkStart w:id="188" w:name="_Hlk165808279"/>
      <w:r w:rsidRPr="001611DC">
        <w:rPr>
          <w:color w:val="000000" w:themeColor="text1"/>
        </w:rPr>
        <w:t xml:space="preserve">calculated by the evaluation applying </w:t>
      </w:r>
      <w:bookmarkStart w:id="189" w:name="_Hlk165800775"/>
      <w:r w:rsidRPr="001611DC">
        <w:rPr>
          <w:color w:val="000000" w:themeColor="text1"/>
        </w:rPr>
        <w:t>uptake</w:t>
      </w:r>
      <w:bookmarkStart w:id="190" w:name="_Hlk165800792"/>
      <w:bookmarkEnd w:id="189"/>
      <w:r w:rsidRPr="001611DC">
        <w:rPr>
          <w:color w:val="000000" w:themeColor="text1"/>
        </w:rPr>
        <w:t xml:space="preserve"> </w:t>
      </w:r>
      <w:bookmarkEnd w:id="190"/>
      <w:r w:rsidRPr="001611DC">
        <w:rPr>
          <w:color w:val="000000" w:themeColor="text1"/>
        </w:rPr>
        <w:t xml:space="preserve">rates relevant to the </w:t>
      </w:r>
      <w:r w:rsidR="00E2719A" w:rsidRPr="001611DC">
        <w:rPr>
          <w:rFonts w:cstheme="minorHAnsi"/>
        </w:rPr>
        <w:t>≥</w:t>
      </w:r>
      <w:r w:rsidRPr="001611DC">
        <w:t xml:space="preserve">75 YOA </w:t>
      </w:r>
      <w:r w:rsidRPr="001611DC">
        <w:rPr>
          <w:color w:val="000000" w:themeColor="text1"/>
        </w:rPr>
        <w:t>newly eligible cohort (2025-27)</w:t>
      </w:r>
      <w:bookmarkEnd w:id="188"/>
      <w:r w:rsidRPr="001611DC">
        <w:rPr>
          <w:color w:val="000000" w:themeColor="text1"/>
        </w:rPr>
        <w:t xml:space="preserve"> was estimated to be $</w:t>
      </w:r>
      <w:r w:rsidR="00941ACF" w:rsidRPr="00941ACF">
        <w:rPr>
          <w:color w:val="000000" w:themeColor="text1"/>
        </w:rPr>
        <w:t>80 million to &lt; $90 million</w:t>
      </w:r>
      <w:r w:rsidR="00941ACF" w:rsidRPr="00941ACF" w:rsidDel="00941ACF">
        <w:rPr>
          <w:color w:val="000000" w:themeColor="text1"/>
        </w:rPr>
        <w:t xml:space="preserve"> </w:t>
      </w:r>
      <w:r w:rsidRPr="001611DC">
        <w:rPr>
          <w:color w:val="000000" w:themeColor="text1"/>
        </w:rPr>
        <w:t>in Year 6, and a total of $</w:t>
      </w:r>
      <w:r w:rsidR="00C73FC0" w:rsidRPr="00C73FC0">
        <w:rPr>
          <w:color w:val="000000" w:themeColor="text1"/>
        </w:rPr>
        <w:t>500 million to &lt; $600 million</w:t>
      </w:r>
      <w:r w:rsidR="00C73FC0" w:rsidRPr="00C73FC0" w:rsidDel="00C73FC0">
        <w:rPr>
          <w:color w:val="000000" w:themeColor="text1"/>
        </w:rPr>
        <w:t xml:space="preserve"> </w:t>
      </w:r>
      <w:r w:rsidRPr="001611DC">
        <w:rPr>
          <w:color w:val="000000" w:themeColor="text1"/>
        </w:rPr>
        <w:t>in the first 6 years of listing. The total cost to all health budgets was estimated to be $</w:t>
      </w:r>
      <w:r w:rsidR="0018496D" w:rsidRPr="0018496D">
        <w:rPr>
          <w:color w:val="000000" w:themeColor="text1"/>
        </w:rPr>
        <w:t xml:space="preserve">0 to &lt; $10 </w:t>
      </w:r>
      <w:r w:rsidR="00E3503D" w:rsidRPr="0018496D">
        <w:rPr>
          <w:color w:val="000000" w:themeColor="text1"/>
        </w:rPr>
        <w:t>million</w:t>
      </w:r>
      <w:r w:rsidR="00E3503D" w:rsidRPr="001611DC">
        <w:rPr>
          <w:color w:val="000000" w:themeColor="text1"/>
        </w:rPr>
        <w:t xml:space="preserve"> in</w:t>
      </w:r>
      <w:r w:rsidRPr="001611DC">
        <w:rPr>
          <w:color w:val="000000" w:themeColor="text1"/>
        </w:rPr>
        <w:t xml:space="preserve"> Year 6 and $</w:t>
      </w:r>
      <w:r w:rsidR="0037137E" w:rsidRPr="0037137E">
        <w:rPr>
          <w:color w:val="000000" w:themeColor="text1"/>
        </w:rPr>
        <w:t>100 million to &lt; $200 million</w:t>
      </w:r>
      <w:r w:rsidR="0037137E" w:rsidRPr="0037137E" w:rsidDel="0037137E">
        <w:rPr>
          <w:color w:val="000000" w:themeColor="text1"/>
        </w:rPr>
        <w:t xml:space="preserve"> </w:t>
      </w:r>
      <w:r w:rsidRPr="001611DC">
        <w:rPr>
          <w:color w:val="000000" w:themeColor="text1"/>
        </w:rPr>
        <w:t xml:space="preserve">over 6 years. </w:t>
      </w:r>
      <w:bookmarkStart w:id="191" w:name="_Hlk165639869"/>
      <w:bookmarkStart w:id="192" w:name="_Hlk165639818"/>
      <w:r w:rsidRPr="001611DC">
        <w:rPr>
          <w:color w:val="000000" w:themeColor="text1"/>
        </w:rPr>
        <w:t xml:space="preserve">Using uptake rates relevant to the </w:t>
      </w:r>
      <w:r w:rsidR="00E2719A" w:rsidRPr="001611DC">
        <w:rPr>
          <w:rFonts w:cstheme="minorHAnsi"/>
        </w:rPr>
        <w:t>≥</w:t>
      </w:r>
      <w:r w:rsidRPr="001611DC">
        <w:t xml:space="preserve">75 YOA </w:t>
      </w:r>
      <w:r w:rsidRPr="001611DC">
        <w:rPr>
          <w:color w:val="000000" w:themeColor="text1"/>
        </w:rPr>
        <w:t>newly eligible cohort (2025-27) the total cost to all health budgets was estimated to be $</w:t>
      </w:r>
      <w:r w:rsidR="00DC5B95" w:rsidRPr="00DC5B95">
        <w:rPr>
          <w:color w:val="000000" w:themeColor="text1"/>
        </w:rPr>
        <w:t>10 million to &lt; $20 million</w:t>
      </w:r>
      <w:r w:rsidR="00DC5B95" w:rsidRPr="00DC5B95" w:rsidDel="00DC5B95">
        <w:rPr>
          <w:color w:val="000000" w:themeColor="text1"/>
        </w:rPr>
        <w:t xml:space="preserve"> </w:t>
      </w:r>
      <w:r w:rsidRPr="001611DC">
        <w:rPr>
          <w:color w:val="000000" w:themeColor="text1"/>
        </w:rPr>
        <w:t>in Year 6, and a total of $</w:t>
      </w:r>
      <w:r w:rsidR="0037137E" w:rsidRPr="0037137E">
        <w:rPr>
          <w:color w:val="000000" w:themeColor="text1"/>
        </w:rPr>
        <w:t>100 million to &lt;</w:t>
      </w:r>
      <w:r w:rsidR="00330EA2">
        <w:rPr>
          <w:color w:val="000000" w:themeColor="text1"/>
        </w:rPr>
        <w:t> </w:t>
      </w:r>
      <w:r w:rsidR="0037137E" w:rsidRPr="0037137E">
        <w:rPr>
          <w:color w:val="000000" w:themeColor="text1"/>
        </w:rPr>
        <w:t>$200</w:t>
      </w:r>
      <w:r w:rsidR="00330EA2">
        <w:rPr>
          <w:color w:val="000000" w:themeColor="text1"/>
        </w:rPr>
        <w:t> </w:t>
      </w:r>
      <w:r w:rsidR="0037137E" w:rsidRPr="0037137E">
        <w:rPr>
          <w:color w:val="000000" w:themeColor="text1"/>
        </w:rPr>
        <w:t>million</w:t>
      </w:r>
      <w:r w:rsidR="0037137E" w:rsidRPr="0037137E" w:rsidDel="0037137E">
        <w:rPr>
          <w:color w:val="000000" w:themeColor="text1"/>
        </w:rPr>
        <w:t xml:space="preserve"> </w:t>
      </w:r>
      <w:r w:rsidRPr="001611DC">
        <w:rPr>
          <w:color w:val="000000" w:themeColor="text1"/>
        </w:rPr>
        <w:t>(37%) in the first 6 years of listing.</w:t>
      </w:r>
      <w:bookmarkEnd w:id="191"/>
      <w:r w:rsidRPr="001611DC">
        <w:rPr>
          <w:color w:val="000000" w:themeColor="text1"/>
        </w:rPr>
        <w:t xml:space="preserve"> Cost offsets to State and Territory Governments decreased after Year 1 as most patients were vaccinated in Year 1 and VE waning was applied as in the economic model but assuming 0% VE after approximately 3 years.</w:t>
      </w:r>
    </w:p>
    <w:bookmarkEnd w:id="186"/>
    <w:bookmarkEnd w:id="192"/>
    <w:p w14:paraId="134A42CF" w14:textId="255FF17B" w:rsidR="00C20DDD" w:rsidRPr="001611DC" w:rsidRDefault="00C20DDD" w:rsidP="00C20DDD">
      <w:pPr>
        <w:pStyle w:val="3-BodyText"/>
      </w:pPr>
      <w:r w:rsidRPr="001611DC">
        <w:t xml:space="preserve">The financial model predicted cost savings in Year 2 of the </w:t>
      </w:r>
      <w:r w:rsidR="00E2719A" w:rsidRPr="001611DC">
        <w:rPr>
          <w:rFonts w:cs="Calibri"/>
        </w:rPr>
        <w:t>≥</w:t>
      </w:r>
      <w:r w:rsidRPr="001611DC">
        <w:t xml:space="preserve">60 YOA and Years 2 and 3 in the </w:t>
      </w:r>
      <w:r w:rsidR="00E2719A" w:rsidRPr="001611DC">
        <w:rPr>
          <w:rFonts w:cs="Calibri"/>
        </w:rPr>
        <w:t>≥</w:t>
      </w:r>
      <w:r w:rsidRPr="001611DC">
        <w:t xml:space="preserve">75 YOA populations. This was driven by costs offsets generated by decreasing hospitalisations associated with RSVPreF3OA vaccination. The model assumed all hospitalisations would be to public hospitals overestimating cost offsets to State and Territory Governments. Further, given there is some Federal funding of hospitals, not all cost offsets </w:t>
      </w:r>
      <w:proofErr w:type="gramStart"/>
      <w:r w:rsidRPr="001611DC">
        <w:t>as a result of</w:t>
      </w:r>
      <w:proofErr w:type="gramEnd"/>
      <w:r w:rsidRPr="001611DC">
        <w:t xml:space="preserve"> hospitalisations would be accrued by State and Territory Governments. </w:t>
      </w:r>
    </w:p>
    <w:p w14:paraId="22F1BDFE" w14:textId="0B48624B" w:rsidR="00C20DDD" w:rsidRPr="001611DC" w:rsidRDefault="00C20DDD" w:rsidP="00C20DDD">
      <w:pPr>
        <w:pStyle w:val="3-BodyText"/>
      </w:pPr>
      <w:r w:rsidRPr="001611DC">
        <w:t xml:space="preserve">Cost offsets </w:t>
      </w:r>
      <w:proofErr w:type="gramStart"/>
      <w:r w:rsidRPr="001611DC">
        <w:t>as a result of</w:t>
      </w:r>
      <w:proofErr w:type="gramEnd"/>
      <w:r w:rsidRPr="001611DC">
        <w:t xml:space="preserve"> hospitalisation costs were derived by using NHCDC cost weights and adjusted for ICU costs and LOS, potentially overestimating hospitalisation unit costs. </w:t>
      </w:r>
      <w:bookmarkStart w:id="193" w:name="_Hlk165640423"/>
      <w:r w:rsidRPr="001611DC">
        <w:t xml:space="preserve">A sensitivity analysis using unadjusted observed cost weights, i.e., not adjusting for ICU, MV and LOS (see paragraphs </w:t>
      </w:r>
      <w:r w:rsidRPr="001611DC">
        <w:fldChar w:fldCharType="begin" w:fldLock="1"/>
      </w:r>
      <w:r w:rsidRPr="001611DC">
        <w:instrText xml:space="preserve"> REF _Ref166748144 \r \h  \* MERGEFORMAT </w:instrText>
      </w:r>
      <w:r w:rsidRPr="001611DC">
        <w:fldChar w:fldCharType="separate"/>
      </w:r>
      <w:r w:rsidR="00927933" w:rsidRPr="001611DC">
        <w:t>6.66</w:t>
      </w:r>
      <w:r w:rsidRPr="001611DC">
        <w:fldChar w:fldCharType="end"/>
      </w:r>
      <w:r w:rsidRPr="001611DC">
        <w:t xml:space="preserve">, </w:t>
      </w:r>
      <w:r w:rsidRPr="001611DC">
        <w:fldChar w:fldCharType="begin" w:fldLock="1"/>
      </w:r>
      <w:r w:rsidRPr="001611DC">
        <w:instrText xml:space="preserve"> REF _Ref165816717 \r \h  \* MERGEFORMAT </w:instrText>
      </w:r>
      <w:r w:rsidRPr="001611DC">
        <w:fldChar w:fldCharType="separate"/>
      </w:r>
      <w:r w:rsidR="00927933" w:rsidRPr="001611DC">
        <w:t>6.67</w:t>
      </w:r>
      <w:r w:rsidRPr="001611DC">
        <w:fldChar w:fldCharType="end"/>
      </w:r>
      <w:r w:rsidRPr="001611DC">
        <w:t xml:space="preserve">, and </w:t>
      </w:r>
      <w:r w:rsidRPr="001611DC">
        <w:fldChar w:fldCharType="begin" w:fldLock="1"/>
      </w:r>
      <w:r w:rsidRPr="001611DC">
        <w:instrText xml:space="preserve"> REF _Ref166748159 \r \h  \* MERGEFORMAT </w:instrText>
      </w:r>
      <w:r w:rsidRPr="001611DC">
        <w:fldChar w:fldCharType="separate"/>
      </w:r>
      <w:r w:rsidR="00927933" w:rsidRPr="001611DC">
        <w:t>6.68</w:t>
      </w:r>
      <w:r w:rsidRPr="001611DC">
        <w:fldChar w:fldCharType="end"/>
      </w:r>
      <w:r w:rsidRPr="001611DC">
        <w:t xml:space="preserve"> for further details), to calculate hospitalisation costs, increased all health budgets financial impact from $</w:t>
      </w:r>
      <w:r w:rsidR="0088512D" w:rsidRPr="0088512D">
        <w:t>500 million to &lt; $600 million</w:t>
      </w:r>
      <w:r w:rsidR="0088512D" w:rsidRPr="0088512D" w:rsidDel="0088512D">
        <w:t xml:space="preserve"> </w:t>
      </w:r>
      <w:r w:rsidRPr="001611DC">
        <w:t>in the base case to $</w:t>
      </w:r>
      <w:r w:rsidR="00D4484F" w:rsidRPr="00D4484F">
        <w:t>800 million to &lt; $900 million</w:t>
      </w:r>
      <w:r w:rsidR="00D4484F" w:rsidRPr="00D4484F" w:rsidDel="00D4484F">
        <w:t xml:space="preserve"> </w:t>
      </w:r>
      <w:r w:rsidRPr="001611DC">
        <w:t xml:space="preserve">(62.3%) for the </w:t>
      </w:r>
      <w:r w:rsidR="00E2719A" w:rsidRPr="001611DC">
        <w:rPr>
          <w:rFonts w:cs="Calibri"/>
        </w:rPr>
        <w:t>≥</w:t>
      </w:r>
      <w:r w:rsidRPr="001611DC">
        <w:t>60 YOA population and from $</w:t>
      </w:r>
      <w:r w:rsidR="00E90047" w:rsidRPr="00E90047">
        <w:t>100 million to &lt; $200 million</w:t>
      </w:r>
      <w:r w:rsidR="00E90047" w:rsidRPr="00E90047" w:rsidDel="00E90047">
        <w:t xml:space="preserve"> </w:t>
      </w:r>
      <w:r w:rsidRPr="001611DC">
        <w:t>in the base case to $</w:t>
      </w:r>
      <w:r w:rsidR="00855EC2" w:rsidRPr="00855EC2">
        <w:t>300 million to &lt; $400 million</w:t>
      </w:r>
      <w:r w:rsidR="00855EC2" w:rsidRPr="00855EC2" w:rsidDel="00855EC2">
        <w:t xml:space="preserve"> </w:t>
      </w:r>
      <w:r w:rsidRPr="001611DC">
        <w:t xml:space="preserve">(230.2%) for the </w:t>
      </w:r>
      <w:r w:rsidR="00E2719A" w:rsidRPr="001611DC">
        <w:rPr>
          <w:rFonts w:cs="Calibri"/>
        </w:rPr>
        <w:t>≥</w:t>
      </w:r>
      <w:r w:rsidRPr="001611DC">
        <w:t>75 YOA population in the first 6</w:t>
      </w:r>
      <w:r w:rsidR="005C5815">
        <w:t> </w:t>
      </w:r>
      <w:r w:rsidRPr="001611DC">
        <w:t>years of listing.</w:t>
      </w:r>
      <w:bookmarkEnd w:id="193"/>
    </w:p>
    <w:bookmarkEnd w:id="187"/>
    <w:p w14:paraId="2F1274FE" w14:textId="749CF779" w:rsidR="00C20DDD" w:rsidRPr="001611DC" w:rsidRDefault="00C20DDD" w:rsidP="00C20DDD">
      <w:pPr>
        <w:pStyle w:val="3-BodyText"/>
        <w:rPr>
          <w:color w:val="0066FF"/>
        </w:rPr>
      </w:pPr>
      <w:r w:rsidRPr="001611DC">
        <w:t>Adding administration costs of $9.50 per dose, consistent with a sensitivity analysis presented in the economic evaluation, increased all health budgets combined costs to $</w:t>
      </w:r>
      <w:r w:rsidR="00746B97" w:rsidRPr="00746B97">
        <w:t>500 million to &lt; $600 million</w:t>
      </w:r>
      <w:r w:rsidR="00746B97" w:rsidRPr="00746B97" w:rsidDel="00746B97">
        <w:t xml:space="preserve"> </w:t>
      </w:r>
      <w:r w:rsidRPr="001611DC">
        <w:t xml:space="preserve">(8.1%) in the </w:t>
      </w:r>
      <w:r w:rsidR="00E2719A" w:rsidRPr="001611DC">
        <w:t>≥</w:t>
      </w:r>
      <w:r w:rsidRPr="001611DC">
        <w:t>60 YOA population and to $</w:t>
      </w:r>
      <w:r w:rsidR="00437476" w:rsidRPr="00437476">
        <w:t>100</w:t>
      </w:r>
      <w:r w:rsidR="00330EA2">
        <w:t> </w:t>
      </w:r>
      <w:r w:rsidR="00437476" w:rsidRPr="00437476">
        <w:t>million</w:t>
      </w:r>
      <w:r w:rsidR="00330EA2">
        <w:t> </w:t>
      </w:r>
      <w:r w:rsidR="00437476" w:rsidRPr="00437476">
        <w:t>to &lt;</w:t>
      </w:r>
      <w:r w:rsidR="00330EA2">
        <w:t> </w:t>
      </w:r>
      <w:r w:rsidR="00437476" w:rsidRPr="00437476">
        <w:t>$200 million</w:t>
      </w:r>
      <w:r w:rsidR="00437476" w:rsidRPr="00437476" w:rsidDel="00437476">
        <w:t xml:space="preserve"> </w:t>
      </w:r>
      <w:r w:rsidRPr="001611DC">
        <w:t xml:space="preserve">(19.3%) in the </w:t>
      </w:r>
      <w:r w:rsidR="00E2719A" w:rsidRPr="001611DC">
        <w:t>≥</w:t>
      </w:r>
      <w:r w:rsidRPr="001611DC">
        <w:t xml:space="preserve">75 population in the first 6 years of listing. </w:t>
      </w:r>
    </w:p>
    <w:p w14:paraId="721F0531" w14:textId="078185B3" w:rsidR="00C20DDD" w:rsidRPr="001611DC" w:rsidRDefault="00C20DDD" w:rsidP="00C20DDD">
      <w:pPr>
        <w:pStyle w:val="3-BodyText"/>
        <w:rPr>
          <w:color w:val="0066FF"/>
        </w:rPr>
      </w:pPr>
      <w:r w:rsidRPr="001611DC">
        <w:t xml:space="preserve">The submission presented scenario analyses for the ATAGI Advice to the PBAC for special interest groups, i.e., First Nations people 60-74 YOA and individuals considered at high risk for severe RSV infections 60-74 YOA (increased risk persons). </w:t>
      </w:r>
    </w:p>
    <w:p w14:paraId="2B172F99" w14:textId="0E90E201" w:rsidR="00C20DDD" w:rsidRPr="001611DC" w:rsidRDefault="00C20DDD" w:rsidP="00C20DDD">
      <w:pPr>
        <w:pStyle w:val="3-BodyText"/>
      </w:pPr>
      <w:r w:rsidRPr="001611DC">
        <w:t xml:space="preserve">The submission estimated the eligible First Nations people 60-74 YOA population from the ABS, and uptake based on the coverage from the </w:t>
      </w:r>
      <w:r w:rsidRPr="00CF7FF8">
        <w:t>influenza</w:t>
      </w:r>
      <w:r w:rsidRPr="001611DC">
        <w:t xml:space="preserve"> vaccine reported in the NCRIS Annual Immunisation Coverage Report 2022. </w:t>
      </w:r>
      <w:r w:rsidRPr="001611DC">
        <w:rPr>
          <w:color w:val="000000" w:themeColor="text1"/>
        </w:rPr>
        <w:t xml:space="preserve">Estimated use and financial implications to the Federal Government, and the State and Territory Government for First Nations people are presented in </w:t>
      </w:r>
      <w:r w:rsidRPr="001611DC">
        <w:rPr>
          <w:color w:val="000000" w:themeColor="text1"/>
        </w:rPr>
        <w:fldChar w:fldCharType="begin" w:fldLock="1"/>
      </w:r>
      <w:r w:rsidRPr="001611DC">
        <w:rPr>
          <w:color w:val="000000" w:themeColor="text1"/>
        </w:rPr>
        <w:instrText xml:space="preserve"> REF _Ref166857913 \h </w:instrText>
      </w:r>
      <w:r w:rsidRPr="001611DC">
        <w:rPr>
          <w:color w:val="000000" w:themeColor="text1"/>
        </w:rPr>
      </w:r>
      <w:r w:rsidRPr="001611DC">
        <w:rPr>
          <w:color w:val="000000" w:themeColor="text1"/>
        </w:rPr>
        <w:fldChar w:fldCharType="separate"/>
      </w:r>
      <w:r w:rsidR="00927933" w:rsidRPr="001611DC">
        <w:t>Table 32</w:t>
      </w:r>
      <w:r w:rsidRPr="001611DC">
        <w:rPr>
          <w:color w:val="000000" w:themeColor="text1"/>
        </w:rPr>
        <w:fldChar w:fldCharType="end"/>
      </w:r>
      <w:r w:rsidRPr="001611DC">
        <w:rPr>
          <w:color w:val="000000" w:themeColor="text1"/>
        </w:rPr>
        <w:t>.</w:t>
      </w:r>
    </w:p>
    <w:p w14:paraId="3389D1BB" w14:textId="0C80D82C" w:rsidR="00C20DDD" w:rsidRPr="001611DC" w:rsidRDefault="00C20DDD" w:rsidP="00C20DDD">
      <w:pPr>
        <w:pStyle w:val="Caption"/>
      </w:pPr>
      <w:bookmarkStart w:id="194" w:name="_Ref166857913"/>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32</w:t>
      </w:r>
      <w:r w:rsidR="005473CE" w:rsidRPr="001611DC">
        <w:fldChar w:fldCharType="end"/>
      </w:r>
      <w:bookmarkEnd w:id="194"/>
      <w:r w:rsidRPr="001611DC">
        <w:t>: Summary of net financial impact to each health budget, First Nations people 60-74 YOA</w:t>
      </w:r>
    </w:p>
    <w:tbl>
      <w:tblPr>
        <w:tblW w:w="5000" w:type="pct"/>
        <w:tblLayout w:type="fixed"/>
        <w:tblLook w:val="04A0" w:firstRow="1" w:lastRow="0" w:firstColumn="1" w:lastColumn="0" w:noHBand="0" w:noVBand="1"/>
        <w:tblCaption w:val="Table 32: Summary of net financial impact to each health budget, First Nations people 60-74 YOA"/>
      </w:tblPr>
      <w:tblGrid>
        <w:gridCol w:w="1840"/>
        <w:gridCol w:w="1025"/>
        <w:gridCol w:w="1026"/>
        <w:gridCol w:w="1024"/>
        <w:gridCol w:w="1026"/>
        <w:gridCol w:w="1024"/>
        <w:gridCol w:w="1026"/>
        <w:gridCol w:w="1026"/>
      </w:tblGrid>
      <w:tr w:rsidR="00C20DDD" w:rsidRPr="001611DC" w14:paraId="32297444" w14:textId="77777777">
        <w:trPr>
          <w:trHeight w:val="276"/>
          <w:tblHeader/>
        </w:trPr>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C1E8" w14:textId="77777777" w:rsidR="00C20DDD" w:rsidRPr="001611DC" w:rsidRDefault="00C20DDD">
            <w:pPr>
              <w:pStyle w:val="In-tableHeading"/>
              <w:jc w:val="center"/>
              <w:rPr>
                <w:lang w:val="en-AU"/>
              </w:rPr>
            </w:pPr>
            <w:r w:rsidRPr="001611DC">
              <w:rPr>
                <w:lang w:val="en-AU"/>
              </w:rPr>
              <w:t>Health budget</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2DFECC5B" w14:textId="77777777" w:rsidR="00C20DDD" w:rsidRPr="001611DC" w:rsidRDefault="00C20DDD">
            <w:pPr>
              <w:pStyle w:val="In-tableHeading"/>
              <w:jc w:val="center"/>
              <w:rPr>
                <w:lang w:val="en-AU"/>
              </w:rPr>
            </w:pPr>
            <w:r w:rsidRPr="001611DC">
              <w:rPr>
                <w:lang w:val="en-AU"/>
              </w:rPr>
              <w:t>2025</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22F28831" w14:textId="77777777" w:rsidR="00C20DDD" w:rsidRPr="001611DC" w:rsidRDefault="00C20DDD">
            <w:pPr>
              <w:pStyle w:val="In-tableHeading"/>
              <w:jc w:val="center"/>
              <w:rPr>
                <w:lang w:val="en-AU"/>
              </w:rPr>
            </w:pPr>
            <w:r w:rsidRPr="001611DC">
              <w:rPr>
                <w:lang w:val="en-AU"/>
              </w:rPr>
              <w:t>2026</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4D5F7E11" w14:textId="77777777" w:rsidR="00C20DDD" w:rsidRPr="001611DC" w:rsidRDefault="00C20DDD">
            <w:pPr>
              <w:pStyle w:val="In-tableHeading"/>
              <w:jc w:val="center"/>
              <w:rPr>
                <w:lang w:val="en-AU"/>
              </w:rPr>
            </w:pPr>
            <w:r w:rsidRPr="001611DC">
              <w:rPr>
                <w:lang w:val="en-AU"/>
              </w:rPr>
              <w:t>2027</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637429D7" w14:textId="77777777" w:rsidR="00C20DDD" w:rsidRPr="001611DC" w:rsidRDefault="00C20DDD">
            <w:pPr>
              <w:pStyle w:val="In-tableHeading"/>
              <w:jc w:val="center"/>
              <w:rPr>
                <w:lang w:val="en-AU"/>
              </w:rPr>
            </w:pPr>
            <w:r w:rsidRPr="001611DC">
              <w:rPr>
                <w:lang w:val="en-AU"/>
              </w:rPr>
              <w:t>2028</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7A760ADF" w14:textId="77777777" w:rsidR="00C20DDD" w:rsidRPr="001611DC" w:rsidRDefault="00C20DDD">
            <w:pPr>
              <w:pStyle w:val="In-tableHeading"/>
              <w:jc w:val="center"/>
              <w:rPr>
                <w:lang w:val="en-AU"/>
              </w:rPr>
            </w:pPr>
            <w:r w:rsidRPr="001611DC">
              <w:rPr>
                <w:lang w:val="en-AU"/>
              </w:rPr>
              <w:t>2029</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1D8C1130" w14:textId="77777777" w:rsidR="00C20DDD" w:rsidRPr="001611DC" w:rsidRDefault="00C20DDD">
            <w:pPr>
              <w:pStyle w:val="In-tableHeading"/>
              <w:jc w:val="center"/>
              <w:rPr>
                <w:lang w:val="en-AU"/>
              </w:rPr>
            </w:pPr>
            <w:r w:rsidRPr="001611DC">
              <w:rPr>
                <w:lang w:val="en-AU"/>
              </w:rPr>
              <w:t>2030</w:t>
            </w:r>
          </w:p>
        </w:tc>
        <w:tc>
          <w:tcPr>
            <w:tcW w:w="569" w:type="pct"/>
            <w:tcBorders>
              <w:top w:val="single" w:sz="4" w:space="0" w:color="auto"/>
              <w:left w:val="nil"/>
              <w:bottom w:val="single" w:sz="4" w:space="0" w:color="auto"/>
              <w:right w:val="single" w:sz="4" w:space="0" w:color="auto"/>
            </w:tcBorders>
            <w:shd w:val="clear" w:color="auto" w:fill="auto"/>
            <w:noWrap/>
            <w:vAlign w:val="center"/>
            <w:hideMark/>
          </w:tcPr>
          <w:p w14:paraId="217C21CD" w14:textId="77777777" w:rsidR="00C20DDD" w:rsidRPr="001611DC" w:rsidRDefault="00C20DDD">
            <w:pPr>
              <w:pStyle w:val="In-tableHeading"/>
              <w:jc w:val="center"/>
              <w:rPr>
                <w:lang w:val="en-AU"/>
              </w:rPr>
            </w:pPr>
            <w:r w:rsidRPr="001611DC">
              <w:rPr>
                <w:lang w:val="en-AU"/>
              </w:rPr>
              <w:t>Total</w:t>
            </w:r>
          </w:p>
        </w:tc>
      </w:tr>
      <w:tr w:rsidR="00C20DDD" w:rsidRPr="001611DC" w14:paraId="3183AA44" w14:textId="77777777">
        <w:trPr>
          <w:trHeight w:val="276"/>
          <w:tblHeader/>
        </w:trPr>
        <w:tc>
          <w:tcPr>
            <w:tcW w:w="10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E106B" w14:textId="5703039F" w:rsidR="00C20DDD" w:rsidRPr="001611DC" w:rsidRDefault="00C20DDD">
            <w:pPr>
              <w:pStyle w:val="In-tableHeading"/>
              <w:rPr>
                <w:lang w:val="en-AU"/>
              </w:rPr>
            </w:pPr>
            <w:r w:rsidRPr="001611DC">
              <w:rPr>
                <w:b w:val="0"/>
                <w:lang w:val="en-AU"/>
              </w:rPr>
              <w:t xml:space="preserve">Predicted number of </w:t>
            </w:r>
            <w:r w:rsidR="00AF1B5A" w:rsidRPr="001611DC">
              <w:rPr>
                <w:b w:val="0"/>
                <w:lang w:val="en-AU"/>
              </w:rPr>
              <w:t>people vaccinated</w:t>
            </w:r>
            <w:r w:rsidRPr="001611DC">
              <w:rPr>
                <w:b w:val="0"/>
                <w:lang w:val="en-AU"/>
              </w:rPr>
              <w:t xml:space="preserve"> with RSVPreF3 OA</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62A8D028" w14:textId="3D46AD44"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19"/>
                <w:lang w:val="en-AU"/>
                <w14:textFill>
                  <w14:solidFill>
                    <w14:srgbClr w14:val="000000">
                      <w14:alpha w14:val="100000"/>
                    </w14:srgbClr>
                  </w14:solidFill>
                </w14:textFill>
              </w:rPr>
              <w:t>||</w:t>
            </w:r>
            <w:r w:rsidRPr="00BD3549">
              <w:rPr>
                <w:bCs/>
                <w:color w:val="000000"/>
                <w:spacing w:val="2"/>
                <w:shd w:val="solid" w:color="000000" w:fill="000000"/>
                <w:fitText w:val="225" w:id="-893676019"/>
                <w:lang w:val="en-AU"/>
                <w14:textFill>
                  <w14:solidFill>
                    <w14:srgbClr w14:val="000000">
                      <w14:alpha w14:val="100000"/>
                    </w14:srgbClr>
                  </w14:solidFill>
                </w14:textFill>
              </w:rPr>
              <w:t>|</w:t>
            </w:r>
            <w:r w:rsidR="00FD6355" w:rsidRPr="00FD6355">
              <w:rPr>
                <w:bCs/>
                <w:vertAlign w:val="superscript"/>
                <w:lang w:val="en-AU"/>
              </w:rPr>
              <w:t>1</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01466EF8" w14:textId="0B21EA7D"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18"/>
                <w:lang w:val="en-AU"/>
                <w14:textFill>
                  <w14:solidFill>
                    <w14:srgbClr w14:val="000000">
                      <w14:alpha w14:val="100000"/>
                    </w14:srgbClr>
                  </w14:solidFill>
                </w14:textFill>
              </w:rPr>
              <w:t>||</w:t>
            </w:r>
            <w:r w:rsidRPr="00BD3549">
              <w:rPr>
                <w:bCs/>
                <w:color w:val="000000"/>
                <w:spacing w:val="2"/>
                <w:shd w:val="solid" w:color="000000" w:fill="000000"/>
                <w:fitText w:val="225" w:id="-893676018"/>
                <w:lang w:val="en-AU"/>
                <w14:textFill>
                  <w14:solidFill>
                    <w14:srgbClr w14:val="000000">
                      <w14:alpha w14:val="100000"/>
                    </w14:srgbClr>
                  </w14:solidFill>
                </w14:textFill>
              </w:rPr>
              <w:t>|</w:t>
            </w:r>
            <w:r w:rsidR="00FD6355" w:rsidRPr="00FD6355">
              <w:rPr>
                <w:bCs/>
                <w:vertAlign w:val="superscript"/>
                <w:lang w:val="en-AU"/>
              </w:rPr>
              <w:t>2</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061BCACF" w14:textId="0E8B7E08"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17"/>
                <w:lang w:val="en-AU"/>
                <w14:textFill>
                  <w14:solidFill>
                    <w14:srgbClr w14:val="000000">
                      <w14:alpha w14:val="100000"/>
                    </w14:srgbClr>
                  </w14:solidFill>
                </w14:textFill>
              </w:rPr>
              <w:t>||</w:t>
            </w:r>
            <w:r w:rsidRPr="00BD3549">
              <w:rPr>
                <w:bCs/>
                <w:color w:val="000000"/>
                <w:spacing w:val="2"/>
                <w:shd w:val="solid" w:color="000000" w:fill="000000"/>
                <w:fitText w:val="225" w:id="-893676017"/>
                <w:lang w:val="en-AU"/>
                <w14:textFill>
                  <w14:solidFill>
                    <w14:srgbClr w14:val="000000">
                      <w14:alpha w14:val="100000"/>
                    </w14:srgbClr>
                  </w14:solidFill>
                </w14:textFill>
              </w:rPr>
              <w:t>|</w:t>
            </w:r>
            <w:r w:rsidR="00FD6355" w:rsidRPr="00FD6355">
              <w:rPr>
                <w:bCs/>
                <w:vertAlign w:val="superscript"/>
                <w:lang w:val="en-AU"/>
              </w:rPr>
              <w:t>2</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734008D7" w14:textId="0E7B3481"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16"/>
                <w:lang w:val="en-AU"/>
                <w14:textFill>
                  <w14:solidFill>
                    <w14:srgbClr w14:val="000000">
                      <w14:alpha w14:val="100000"/>
                    </w14:srgbClr>
                  </w14:solidFill>
                </w14:textFill>
              </w:rPr>
              <w:t>||</w:t>
            </w:r>
            <w:r w:rsidRPr="00BD3549">
              <w:rPr>
                <w:bCs/>
                <w:color w:val="000000"/>
                <w:spacing w:val="2"/>
                <w:shd w:val="solid" w:color="000000" w:fill="000000"/>
                <w:fitText w:val="225" w:id="-893676016"/>
                <w:lang w:val="en-AU"/>
                <w14:textFill>
                  <w14:solidFill>
                    <w14:srgbClr w14:val="000000">
                      <w14:alpha w14:val="100000"/>
                    </w14:srgbClr>
                  </w14:solidFill>
                </w14:textFill>
              </w:rPr>
              <w:t>|</w:t>
            </w:r>
            <w:r w:rsidR="00FD6355" w:rsidRPr="00FD6355">
              <w:rPr>
                <w:bCs/>
                <w:vertAlign w:val="superscript"/>
                <w:lang w:val="en-AU"/>
              </w:rPr>
              <w:t>2</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7AA01ACB" w14:textId="2FCCE8B0"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32"/>
                <w:lang w:val="en-AU"/>
                <w14:textFill>
                  <w14:solidFill>
                    <w14:srgbClr w14:val="000000">
                      <w14:alpha w14:val="100000"/>
                    </w14:srgbClr>
                  </w14:solidFill>
                </w14:textFill>
              </w:rPr>
              <w:t>||</w:t>
            </w:r>
            <w:r w:rsidRPr="00BD3549">
              <w:rPr>
                <w:bCs/>
                <w:color w:val="000000"/>
                <w:spacing w:val="2"/>
                <w:shd w:val="solid" w:color="000000" w:fill="000000"/>
                <w:fitText w:val="225" w:id="-893676032"/>
                <w:lang w:val="en-AU"/>
                <w14:textFill>
                  <w14:solidFill>
                    <w14:srgbClr w14:val="000000">
                      <w14:alpha w14:val="100000"/>
                    </w14:srgbClr>
                  </w14:solidFill>
                </w14:textFill>
              </w:rPr>
              <w:t>|</w:t>
            </w:r>
            <w:r w:rsidR="00FD6355" w:rsidRPr="00FD6355">
              <w:rPr>
                <w:bCs/>
                <w:vertAlign w:val="superscript"/>
                <w:lang w:val="en-AU"/>
              </w:rPr>
              <w:t>2</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6B30D3E8" w14:textId="30C7E991"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31"/>
                <w:lang w:val="en-AU"/>
                <w14:textFill>
                  <w14:solidFill>
                    <w14:srgbClr w14:val="000000">
                      <w14:alpha w14:val="100000"/>
                    </w14:srgbClr>
                  </w14:solidFill>
                </w14:textFill>
              </w:rPr>
              <w:t>||</w:t>
            </w:r>
            <w:r w:rsidRPr="00BD3549">
              <w:rPr>
                <w:bCs/>
                <w:color w:val="000000"/>
                <w:spacing w:val="2"/>
                <w:shd w:val="solid" w:color="000000" w:fill="000000"/>
                <w:fitText w:val="225" w:id="-893676031"/>
                <w:lang w:val="en-AU"/>
                <w14:textFill>
                  <w14:solidFill>
                    <w14:srgbClr w14:val="000000">
                      <w14:alpha w14:val="100000"/>
                    </w14:srgbClr>
                  </w14:solidFill>
                </w14:textFill>
              </w:rPr>
              <w:t>|</w:t>
            </w:r>
            <w:r w:rsidR="00FD6355" w:rsidRPr="00FD6355">
              <w:rPr>
                <w:bCs/>
                <w:vertAlign w:val="superscript"/>
                <w:lang w:val="en-AU"/>
              </w:rPr>
              <w:t>2</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4B3E565A" w14:textId="7BEB5E54" w:rsidR="00C20DDD" w:rsidRPr="001E115B" w:rsidRDefault="00BD3549">
            <w:pPr>
              <w:pStyle w:val="In-tableHeading"/>
              <w:jc w:val="center"/>
              <w:rPr>
                <w:bCs/>
                <w:highlight w:val="lightGray"/>
                <w:lang w:val="en-AU"/>
              </w:rPr>
            </w:pPr>
            <w:r w:rsidRPr="00BD3549">
              <w:rPr>
                <w:bCs/>
                <w:color w:val="000000"/>
                <w:spacing w:val="43"/>
                <w:shd w:val="solid" w:color="000000" w:fill="000000"/>
                <w:fitText w:val="225" w:id="-893676030"/>
                <w:lang w:val="en-AU"/>
                <w14:textFill>
                  <w14:solidFill>
                    <w14:srgbClr w14:val="000000">
                      <w14:alpha w14:val="100000"/>
                    </w14:srgbClr>
                  </w14:solidFill>
                </w14:textFill>
              </w:rPr>
              <w:t>||</w:t>
            </w:r>
            <w:r w:rsidRPr="00BD3549">
              <w:rPr>
                <w:bCs/>
                <w:color w:val="000000"/>
                <w:spacing w:val="2"/>
                <w:shd w:val="solid" w:color="000000" w:fill="000000"/>
                <w:fitText w:val="225" w:id="-893676030"/>
                <w:lang w:val="en-AU"/>
                <w14:textFill>
                  <w14:solidFill>
                    <w14:srgbClr w14:val="000000">
                      <w14:alpha w14:val="100000"/>
                    </w14:srgbClr>
                  </w14:solidFill>
                </w14:textFill>
              </w:rPr>
              <w:t>|</w:t>
            </w:r>
            <w:r w:rsidR="00DD125C" w:rsidRPr="00DD125C">
              <w:rPr>
                <w:bCs/>
                <w:vertAlign w:val="superscript"/>
                <w:lang w:val="en-AU"/>
              </w:rPr>
              <w:t>3</w:t>
            </w:r>
          </w:p>
        </w:tc>
      </w:tr>
      <w:tr w:rsidR="00C20DDD" w:rsidRPr="001611DC" w14:paraId="642FD570"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2327B7F0" w14:textId="77777777" w:rsidR="00C20DDD" w:rsidRPr="001611DC" w:rsidRDefault="00C20DDD">
            <w:pPr>
              <w:pStyle w:val="TableText0"/>
              <w:rPr>
                <w:bCs w:val="0"/>
              </w:rPr>
            </w:pPr>
            <w:r w:rsidRPr="001611DC">
              <w:rPr>
                <w:bCs w:val="0"/>
              </w:rPr>
              <w:t>Federal</w:t>
            </w:r>
          </w:p>
        </w:tc>
        <w:tc>
          <w:tcPr>
            <w:tcW w:w="568" w:type="pct"/>
            <w:tcBorders>
              <w:top w:val="nil"/>
              <w:left w:val="nil"/>
              <w:bottom w:val="single" w:sz="4" w:space="0" w:color="auto"/>
              <w:right w:val="single" w:sz="4" w:space="0" w:color="auto"/>
            </w:tcBorders>
            <w:shd w:val="clear" w:color="auto" w:fill="auto"/>
            <w:noWrap/>
            <w:vAlign w:val="center"/>
            <w:hideMark/>
          </w:tcPr>
          <w:p w14:paraId="45C845BC" w14:textId="5C157FEB" w:rsidR="00C20DDD" w:rsidRPr="00583C99" w:rsidRDefault="00BD3549">
            <w:pPr>
              <w:pStyle w:val="TableText0"/>
              <w:jc w:val="center"/>
              <w:rPr>
                <w:highlight w:val="lightGray"/>
              </w:rPr>
            </w:pPr>
            <w:r w:rsidRPr="00BD3549">
              <w:rPr>
                <w:color w:val="000000"/>
                <w:spacing w:val="94"/>
                <w:shd w:val="solid" w:color="000000" w:fill="000000"/>
                <w:fitText w:val="180" w:id="-893676029"/>
                <w14:textFill>
                  <w14:solidFill>
                    <w14:srgbClr w14:val="000000">
                      <w14:alpha w14:val="100000"/>
                    </w14:srgbClr>
                  </w14:solidFill>
                </w14:textFill>
              </w:rPr>
              <w:t>|</w:t>
            </w:r>
            <w:r w:rsidRPr="00BD3549">
              <w:rPr>
                <w:color w:val="000000"/>
                <w:spacing w:val="1"/>
                <w:shd w:val="solid" w:color="000000" w:fill="000000"/>
                <w:fitText w:val="180" w:id="-893676029"/>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2F280514" w14:textId="53A6072B" w:rsidR="00C20DDD" w:rsidRPr="00583C99" w:rsidRDefault="00BD3549">
            <w:pPr>
              <w:pStyle w:val="TableText0"/>
              <w:jc w:val="center"/>
              <w:rPr>
                <w:highlight w:val="lightGray"/>
              </w:rPr>
            </w:pPr>
            <w:r w:rsidRPr="00BD3549">
              <w:rPr>
                <w:color w:val="000000"/>
                <w:spacing w:val="94"/>
                <w:shd w:val="solid" w:color="000000" w:fill="000000"/>
                <w:fitText w:val="180" w:id="-893676028"/>
                <w14:textFill>
                  <w14:solidFill>
                    <w14:srgbClr w14:val="000000">
                      <w14:alpha w14:val="100000"/>
                    </w14:srgbClr>
                  </w14:solidFill>
                </w14:textFill>
              </w:rPr>
              <w:t>|</w:t>
            </w:r>
            <w:r w:rsidRPr="00BD3549">
              <w:rPr>
                <w:color w:val="000000"/>
                <w:spacing w:val="1"/>
                <w:shd w:val="solid" w:color="000000" w:fill="000000"/>
                <w:fitText w:val="180" w:id="-893676028"/>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hideMark/>
          </w:tcPr>
          <w:p w14:paraId="2D57AA8E" w14:textId="12395144" w:rsidR="00C20DDD" w:rsidRPr="00583C99" w:rsidRDefault="00BD3549">
            <w:pPr>
              <w:pStyle w:val="TableText0"/>
              <w:jc w:val="center"/>
              <w:rPr>
                <w:highlight w:val="lightGray"/>
              </w:rPr>
            </w:pPr>
            <w:r w:rsidRPr="00BD3549">
              <w:rPr>
                <w:color w:val="000000"/>
                <w:spacing w:val="94"/>
                <w:shd w:val="solid" w:color="000000" w:fill="000000"/>
                <w:fitText w:val="180" w:id="-893676027"/>
                <w14:textFill>
                  <w14:solidFill>
                    <w14:srgbClr w14:val="000000">
                      <w14:alpha w14:val="100000"/>
                    </w14:srgbClr>
                  </w14:solidFill>
                </w14:textFill>
              </w:rPr>
              <w:t>|</w:t>
            </w:r>
            <w:r w:rsidRPr="00BD3549">
              <w:rPr>
                <w:color w:val="000000"/>
                <w:spacing w:val="1"/>
                <w:shd w:val="solid" w:color="000000" w:fill="000000"/>
                <w:fitText w:val="180" w:id="-893676027"/>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1736DEB5" w14:textId="3F7FBE43" w:rsidR="00C20DDD" w:rsidRPr="00583C99" w:rsidRDefault="00BD3549">
            <w:pPr>
              <w:pStyle w:val="TableText0"/>
              <w:jc w:val="center"/>
              <w:rPr>
                <w:highlight w:val="lightGray"/>
              </w:rPr>
            </w:pPr>
            <w:r w:rsidRPr="00BD3549">
              <w:rPr>
                <w:color w:val="000000"/>
                <w:spacing w:val="94"/>
                <w:shd w:val="solid" w:color="000000" w:fill="000000"/>
                <w:fitText w:val="180" w:id="-893676026"/>
                <w14:textFill>
                  <w14:solidFill>
                    <w14:srgbClr w14:val="000000">
                      <w14:alpha w14:val="100000"/>
                    </w14:srgbClr>
                  </w14:solidFill>
                </w14:textFill>
              </w:rPr>
              <w:t>|</w:t>
            </w:r>
            <w:r w:rsidRPr="00BD3549">
              <w:rPr>
                <w:color w:val="000000"/>
                <w:spacing w:val="1"/>
                <w:shd w:val="solid" w:color="000000" w:fill="000000"/>
                <w:fitText w:val="180" w:id="-893676026"/>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hideMark/>
          </w:tcPr>
          <w:p w14:paraId="2F0A866B" w14:textId="0172C9A7" w:rsidR="00C20DDD" w:rsidRPr="00583C99" w:rsidRDefault="00BD3549">
            <w:pPr>
              <w:pStyle w:val="TableText0"/>
              <w:jc w:val="center"/>
              <w:rPr>
                <w:highlight w:val="lightGray"/>
              </w:rPr>
            </w:pPr>
            <w:r w:rsidRPr="00BD3549">
              <w:rPr>
                <w:color w:val="000000"/>
                <w:spacing w:val="94"/>
                <w:shd w:val="solid" w:color="000000" w:fill="000000"/>
                <w:fitText w:val="180" w:id="-893676025"/>
                <w14:textFill>
                  <w14:solidFill>
                    <w14:srgbClr w14:val="000000">
                      <w14:alpha w14:val="100000"/>
                    </w14:srgbClr>
                  </w14:solidFill>
                </w14:textFill>
              </w:rPr>
              <w:t>|</w:t>
            </w:r>
            <w:r w:rsidRPr="00BD3549">
              <w:rPr>
                <w:color w:val="000000"/>
                <w:spacing w:val="1"/>
                <w:shd w:val="solid" w:color="000000" w:fill="000000"/>
                <w:fitText w:val="180" w:id="-893676025"/>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41D38758" w14:textId="3A6C0517" w:rsidR="00C20DDD" w:rsidRPr="00583C99" w:rsidRDefault="00BD3549">
            <w:pPr>
              <w:pStyle w:val="TableText0"/>
              <w:jc w:val="center"/>
              <w:rPr>
                <w:highlight w:val="lightGray"/>
              </w:rPr>
            </w:pPr>
            <w:r w:rsidRPr="00BD3549">
              <w:rPr>
                <w:color w:val="000000"/>
                <w:spacing w:val="94"/>
                <w:shd w:val="solid" w:color="000000" w:fill="000000"/>
                <w:fitText w:val="180" w:id="-893676024"/>
                <w14:textFill>
                  <w14:solidFill>
                    <w14:srgbClr w14:val="000000">
                      <w14:alpha w14:val="100000"/>
                    </w14:srgbClr>
                  </w14:solidFill>
                </w14:textFill>
              </w:rPr>
              <w:t>|</w:t>
            </w:r>
            <w:r w:rsidRPr="00BD3549">
              <w:rPr>
                <w:color w:val="000000"/>
                <w:spacing w:val="1"/>
                <w:shd w:val="solid" w:color="000000" w:fill="000000"/>
                <w:fitText w:val="180" w:id="-893676024"/>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6AFC17F4" w14:textId="1EA53A6B" w:rsidR="00C20DDD" w:rsidRPr="0020552C" w:rsidRDefault="00BD3549">
            <w:pPr>
              <w:pStyle w:val="TableText0"/>
              <w:jc w:val="center"/>
              <w:rPr>
                <w:highlight w:val="lightGray"/>
                <w:vertAlign w:val="superscript"/>
              </w:rPr>
            </w:pPr>
            <w:r w:rsidRPr="00BD3549">
              <w:rPr>
                <w:color w:val="000000"/>
                <w:spacing w:val="94"/>
                <w:shd w:val="solid" w:color="000000" w:fill="000000"/>
                <w:fitText w:val="180" w:id="-893676023"/>
                <w14:textFill>
                  <w14:solidFill>
                    <w14:srgbClr w14:val="000000">
                      <w14:alpha w14:val="100000"/>
                    </w14:srgbClr>
                  </w14:solidFill>
                </w14:textFill>
              </w:rPr>
              <w:t>|</w:t>
            </w:r>
            <w:r w:rsidRPr="00BD3549">
              <w:rPr>
                <w:color w:val="000000"/>
                <w:spacing w:val="1"/>
                <w:shd w:val="solid" w:color="000000" w:fill="000000"/>
                <w:fitText w:val="180" w:id="-893676023"/>
                <w14:textFill>
                  <w14:solidFill>
                    <w14:srgbClr w14:val="000000">
                      <w14:alpha w14:val="100000"/>
                    </w14:srgbClr>
                  </w14:solidFill>
                </w14:textFill>
              </w:rPr>
              <w:t>|</w:t>
            </w:r>
            <w:r w:rsidR="0020552C" w:rsidRPr="0020552C">
              <w:rPr>
                <w:vertAlign w:val="superscript"/>
              </w:rPr>
              <w:t>5</w:t>
            </w:r>
          </w:p>
        </w:tc>
      </w:tr>
      <w:tr w:rsidR="00C20DDD" w:rsidRPr="001611DC" w14:paraId="481CEAFF"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1A1C15D0" w14:textId="77777777" w:rsidR="00C20DDD" w:rsidRPr="001611DC" w:rsidRDefault="00C20DDD">
            <w:pPr>
              <w:pStyle w:val="TableText0"/>
              <w:ind w:left="166"/>
            </w:pPr>
            <w:r w:rsidRPr="001611DC">
              <w:t>NIP</w:t>
            </w:r>
          </w:p>
        </w:tc>
        <w:tc>
          <w:tcPr>
            <w:tcW w:w="568" w:type="pct"/>
            <w:tcBorders>
              <w:top w:val="nil"/>
              <w:left w:val="nil"/>
              <w:bottom w:val="single" w:sz="4" w:space="0" w:color="auto"/>
              <w:right w:val="single" w:sz="4" w:space="0" w:color="auto"/>
            </w:tcBorders>
            <w:shd w:val="clear" w:color="auto" w:fill="auto"/>
            <w:noWrap/>
            <w:vAlign w:val="center"/>
            <w:hideMark/>
          </w:tcPr>
          <w:p w14:paraId="427D8429" w14:textId="17FC9073" w:rsidR="00C20DDD" w:rsidRPr="00583C99" w:rsidRDefault="00BD3549">
            <w:pPr>
              <w:pStyle w:val="TableText0"/>
              <w:jc w:val="center"/>
              <w:rPr>
                <w:highlight w:val="lightGray"/>
              </w:rPr>
            </w:pPr>
            <w:r w:rsidRPr="00BD3549">
              <w:rPr>
                <w:color w:val="000000"/>
                <w:spacing w:val="94"/>
                <w:shd w:val="solid" w:color="000000" w:fill="000000"/>
                <w:fitText w:val="180" w:id="-893676022"/>
                <w14:textFill>
                  <w14:solidFill>
                    <w14:srgbClr w14:val="000000">
                      <w14:alpha w14:val="100000"/>
                    </w14:srgbClr>
                  </w14:solidFill>
                </w14:textFill>
              </w:rPr>
              <w:t>|</w:t>
            </w:r>
            <w:r w:rsidRPr="00BD3549">
              <w:rPr>
                <w:color w:val="000000"/>
                <w:spacing w:val="1"/>
                <w:shd w:val="solid" w:color="000000" w:fill="000000"/>
                <w:fitText w:val="180" w:id="-893676022"/>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6443EA31" w14:textId="4BECF12E" w:rsidR="00C20DDD" w:rsidRPr="00583C99" w:rsidRDefault="00BD3549">
            <w:pPr>
              <w:pStyle w:val="TableText0"/>
              <w:jc w:val="center"/>
              <w:rPr>
                <w:highlight w:val="lightGray"/>
              </w:rPr>
            </w:pPr>
            <w:r w:rsidRPr="00BD3549">
              <w:rPr>
                <w:color w:val="000000"/>
                <w:spacing w:val="94"/>
                <w:shd w:val="solid" w:color="000000" w:fill="000000"/>
                <w:fitText w:val="180" w:id="-893676021"/>
                <w14:textFill>
                  <w14:solidFill>
                    <w14:srgbClr w14:val="000000">
                      <w14:alpha w14:val="100000"/>
                    </w14:srgbClr>
                  </w14:solidFill>
                </w14:textFill>
              </w:rPr>
              <w:t>|</w:t>
            </w:r>
            <w:r w:rsidRPr="00BD3549">
              <w:rPr>
                <w:color w:val="000000"/>
                <w:spacing w:val="1"/>
                <w:shd w:val="solid" w:color="000000" w:fill="000000"/>
                <w:fitText w:val="180" w:id="-893676021"/>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hideMark/>
          </w:tcPr>
          <w:p w14:paraId="1C7C36B7" w14:textId="5FD00EFA" w:rsidR="00C20DDD" w:rsidRPr="00583C99" w:rsidRDefault="00BD3549">
            <w:pPr>
              <w:pStyle w:val="TableText0"/>
              <w:jc w:val="center"/>
              <w:rPr>
                <w:highlight w:val="lightGray"/>
              </w:rPr>
            </w:pPr>
            <w:r w:rsidRPr="00BD3549">
              <w:rPr>
                <w:color w:val="000000"/>
                <w:spacing w:val="94"/>
                <w:shd w:val="solid" w:color="000000" w:fill="000000"/>
                <w:fitText w:val="180" w:id="-893676020"/>
                <w14:textFill>
                  <w14:solidFill>
                    <w14:srgbClr w14:val="000000">
                      <w14:alpha w14:val="100000"/>
                    </w14:srgbClr>
                  </w14:solidFill>
                </w14:textFill>
              </w:rPr>
              <w:t>|</w:t>
            </w:r>
            <w:r w:rsidRPr="00BD3549">
              <w:rPr>
                <w:color w:val="000000"/>
                <w:spacing w:val="1"/>
                <w:shd w:val="solid" w:color="000000" w:fill="000000"/>
                <w:fitText w:val="180" w:id="-893676020"/>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644BC6F2" w14:textId="26EDAED1" w:rsidR="00C20DDD" w:rsidRPr="00583C99" w:rsidRDefault="00BD3549">
            <w:pPr>
              <w:pStyle w:val="TableText0"/>
              <w:jc w:val="center"/>
              <w:rPr>
                <w:highlight w:val="lightGray"/>
              </w:rPr>
            </w:pPr>
            <w:r w:rsidRPr="00BD3549">
              <w:rPr>
                <w:color w:val="000000"/>
                <w:spacing w:val="94"/>
                <w:shd w:val="solid" w:color="000000" w:fill="000000"/>
                <w:fitText w:val="180" w:id="-893676019"/>
                <w14:textFill>
                  <w14:solidFill>
                    <w14:srgbClr w14:val="000000">
                      <w14:alpha w14:val="100000"/>
                    </w14:srgbClr>
                  </w14:solidFill>
                </w14:textFill>
              </w:rPr>
              <w:t>|</w:t>
            </w:r>
            <w:r w:rsidRPr="00BD3549">
              <w:rPr>
                <w:color w:val="000000"/>
                <w:spacing w:val="1"/>
                <w:shd w:val="solid" w:color="000000" w:fill="000000"/>
                <w:fitText w:val="180" w:id="-893676019"/>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hideMark/>
          </w:tcPr>
          <w:p w14:paraId="4A1C2228" w14:textId="75A7EAA7" w:rsidR="00C20DDD" w:rsidRPr="00583C99" w:rsidRDefault="00BD3549">
            <w:pPr>
              <w:pStyle w:val="TableText0"/>
              <w:jc w:val="center"/>
              <w:rPr>
                <w:highlight w:val="lightGray"/>
              </w:rPr>
            </w:pPr>
            <w:r w:rsidRPr="00BD3549">
              <w:rPr>
                <w:color w:val="000000"/>
                <w:spacing w:val="94"/>
                <w:shd w:val="solid" w:color="000000" w:fill="000000"/>
                <w:fitText w:val="180" w:id="-893676018"/>
                <w14:textFill>
                  <w14:solidFill>
                    <w14:srgbClr w14:val="000000">
                      <w14:alpha w14:val="100000"/>
                    </w14:srgbClr>
                  </w14:solidFill>
                </w14:textFill>
              </w:rPr>
              <w:t>|</w:t>
            </w:r>
            <w:r w:rsidRPr="00BD3549">
              <w:rPr>
                <w:color w:val="000000"/>
                <w:spacing w:val="1"/>
                <w:shd w:val="solid" w:color="000000" w:fill="000000"/>
                <w:fitText w:val="180" w:id="-893676018"/>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3457361E" w14:textId="205A40F8" w:rsidR="00C20DDD" w:rsidRPr="00583C99" w:rsidRDefault="00BD3549">
            <w:pPr>
              <w:pStyle w:val="TableText0"/>
              <w:jc w:val="center"/>
              <w:rPr>
                <w:highlight w:val="lightGray"/>
              </w:rPr>
            </w:pPr>
            <w:r w:rsidRPr="00BD3549">
              <w:rPr>
                <w:color w:val="000000"/>
                <w:spacing w:val="94"/>
                <w:shd w:val="solid" w:color="000000" w:fill="000000"/>
                <w:fitText w:val="180" w:id="-893676017"/>
                <w14:textFill>
                  <w14:solidFill>
                    <w14:srgbClr w14:val="000000">
                      <w14:alpha w14:val="100000"/>
                    </w14:srgbClr>
                  </w14:solidFill>
                </w14:textFill>
              </w:rPr>
              <w:t>|</w:t>
            </w:r>
            <w:r w:rsidRPr="00BD3549">
              <w:rPr>
                <w:color w:val="000000"/>
                <w:spacing w:val="1"/>
                <w:shd w:val="solid" w:color="000000" w:fill="000000"/>
                <w:fitText w:val="180" w:id="-893676017"/>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10C3F1B8" w14:textId="4DEB17FA" w:rsidR="00C20DDD" w:rsidRPr="00583C99" w:rsidRDefault="00BD3549">
            <w:pPr>
              <w:pStyle w:val="TableText0"/>
              <w:jc w:val="center"/>
              <w:rPr>
                <w:highlight w:val="lightGray"/>
              </w:rPr>
            </w:pPr>
            <w:r w:rsidRPr="00BD3549">
              <w:rPr>
                <w:color w:val="000000"/>
                <w:spacing w:val="94"/>
                <w:shd w:val="solid" w:color="000000" w:fill="000000"/>
                <w:fitText w:val="180" w:id="-893676016"/>
                <w14:textFill>
                  <w14:solidFill>
                    <w14:srgbClr w14:val="000000">
                      <w14:alpha w14:val="100000"/>
                    </w14:srgbClr>
                  </w14:solidFill>
                </w14:textFill>
              </w:rPr>
              <w:t>|</w:t>
            </w:r>
            <w:r w:rsidRPr="00BD3549">
              <w:rPr>
                <w:color w:val="000000"/>
                <w:spacing w:val="1"/>
                <w:shd w:val="solid" w:color="000000" w:fill="000000"/>
                <w:fitText w:val="180" w:id="-893676016"/>
                <w14:textFill>
                  <w14:solidFill>
                    <w14:srgbClr w14:val="000000">
                      <w14:alpha w14:val="100000"/>
                    </w14:srgbClr>
                  </w14:solidFill>
                </w14:textFill>
              </w:rPr>
              <w:t>|</w:t>
            </w:r>
            <w:r w:rsidR="0020552C" w:rsidRPr="0020552C">
              <w:rPr>
                <w:vertAlign w:val="superscript"/>
              </w:rPr>
              <w:t>5</w:t>
            </w:r>
          </w:p>
        </w:tc>
      </w:tr>
      <w:tr w:rsidR="00C20DDD" w:rsidRPr="001611DC" w14:paraId="190099F3"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18701999" w14:textId="77777777" w:rsidR="00C20DDD" w:rsidRPr="001611DC" w:rsidRDefault="00C20DDD">
            <w:pPr>
              <w:pStyle w:val="TableText0"/>
              <w:ind w:left="166"/>
            </w:pPr>
            <w:r w:rsidRPr="001611DC">
              <w:t>PBS</w:t>
            </w:r>
          </w:p>
        </w:tc>
        <w:tc>
          <w:tcPr>
            <w:tcW w:w="568" w:type="pct"/>
            <w:tcBorders>
              <w:top w:val="nil"/>
              <w:left w:val="nil"/>
              <w:bottom w:val="single" w:sz="4" w:space="0" w:color="auto"/>
              <w:right w:val="single" w:sz="4" w:space="0" w:color="auto"/>
            </w:tcBorders>
            <w:shd w:val="clear" w:color="auto" w:fill="auto"/>
            <w:noWrap/>
            <w:vAlign w:val="center"/>
            <w:hideMark/>
          </w:tcPr>
          <w:p w14:paraId="1F92B7B5" w14:textId="512BEA70" w:rsidR="00C20DDD" w:rsidRPr="00583C99" w:rsidRDefault="00BD3549">
            <w:pPr>
              <w:pStyle w:val="TableText0"/>
              <w:jc w:val="center"/>
              <w:rPr>
                <w:highlight w:val="lightGray"/>
              </w:rPr>
            </w:pPr>
            <w:r w:rsidRPr="00BD3549">
              <w:rPr>
                <w:color w:val="000000"/>
                <w:spacing w:val="94"/>
                <w:shd w:val="solid" w:color="000000" w:fill="000000"/>
                <w:fitText w:val="180" w:id="-893676032"/>
                <w14:textFill>
                  <w14:solidFill>
                    <w14:srgbClr w14:val="000000">
                      <w14:alpha w14:val="100000"/>
                    </w14:srgbClr>
                  </w14:solidFill>
                </w14:textFill>
              </w:rPr>
              <w:t>|</w:t>
            </w:r>
            <w:r w:rsidRPr="00BD3549">
              <w:rPr>
                <w:color w:val="000000"/>
                <w:spacing w:val="1"/>
                <w:shd w:val="solid" w:color="000000" w:fill="000000"/>
                <w:fitText w:val="180" w:id="-893676032"/>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5A9E6C46" w14:textId="48BF17AC" w:rsidR="00C20DDD" w:rsidRPr="00583C99" w:rsidRDefault="00BD3549">
            <w:pPr>
              <w:pStyle w:val="TableText0"/>
              <w:jc w:val="center"/>
              <w:rPr>
                <w:highlight w:val="lightGray"/>
              </w:rPr>
            </w:pPr>
            <w:r w:rsidRPr="00BD3549">
              <w:rPr>
                <w:color w:val="000000"/>
                <w:spacing w:val="94"/>
                <w:shd w:val="solid" w:color="000000" w:fill="000000"/>
                <w:fitText w:val="180" w:id="-893676031"/>
                <w14:textFill>
                  <w14:solidFill>
                    <w14:srgbClr w14:val="000000">
                      <w14:alpha w14:val="100000"/>
                    </w14:srgbClr>
                  </w14:solidFill>
                </w14:textFill>
              </w:rPr>
              <w:t>|</w:t>
            </w:r>
            <w:r w:rsidRPr="00BD3549">
              <w:rPr>
                <w:color w:val="000000"/>
                <w:spacing w:val="1"/>
                <w:shd w:val="solid" w:color="000000" w:fill="000000"/>
                <w:fitText w:val="180" w:id="-893676031"/>
                <w14:textFill>
                  <w14:solidFill>
                    <w14:srgbClr w14:val="000000">
                      <w14:alpha w14:val="100000"/>
                    </w14:srgbClr>
                  </w14:solidFill>
                </w14:textFill>
              </w:rPr>
              <w:t>|</w:t>
            </w:r>
            <w:r w:rsidR="001C4AC1"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0AACAB40" w14:textId="4A70DA66" w:rsidR="00C20DDD" w:rsidRPr="00583C99" w:rsidRDefault="00BD3549">
            <w:pPr>
              <w:pStyle w:val="TableText0"/>
              <w:jc w:val="center"/>
              <w:rPr>
                <w:highlight w:val="lightGray"/>
              </w:rPr>
            </w:pPr>
            <w:r w:rsidRPr="00BD3549">
              <w:rPr>
                <w:color w:val="000000"/>
                <w:spacing w:val="94"/>
                <w:shd w:val="solid" w:color="000000" w:fill="000000"/>
                <w:fitText w:val="180" w:id="-893676030"/>
                <w14:textFill>
                  <w14:solidFill>
                    <w14:srgbClr w14:val="000000">
                      <w14:alpha w14:val="100000"/>
                    </w14:srgbClr>
                  </w14:solidFill>
                </w14:textFill>
              </w:rPr>
              <w:t>|</w:t>
            </w:r>
            <w:r w:rsidRPr="00BD3549">
              <w:rPr>
                <w:color w:val="000000"/>
                <w:spacing w:val="1"/>
                <w:shd w:val="solid" w:color="000000" w:fill="000000"/>
                <w:fitText w:val="180" w:id="-893676030"/>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1D32665B" w14:textId="52689BD4" w:rsidR="00C20DDD" w:rsidRPr="00583C99" w:rsidRDefault="00BD3549">
            <w:pPr>
              <w:pStyle w:val="TableText0"/>
              <w:jc w:val="center"/>
              <w:rPr>
                <w:highlight w:val="lightGray"/>
              </w:rPr>
            </w:pPr>
            <w:r w:rsidRPr="00BD3549">
              <w:rPr>
                <w:color w:val="000000"/>
                <w:spacing w:val="94"/>
                <w:shd w:val="solid" w:color="000000" w:fill="000000"/>
                <w:fitText w:val="180" w:id="-893676029"/>
                <w14:textFill>
                  <w14:solidFill>
                    <w14:srgbClr w14:val="000000">
                      <w14:alpha w14:val="100000"/>
                    </w14:srgbClr>
                  </w14:solidFill>
                </w14:textFill>
              </w:rPr>
              <w:t>|</w:t>
            </w:r>
            <w:r w:rsidRPr="00BD3549">
              <w:rPr>
                <w:color w:val="000000"/>
                <w:spacing w:val="1"/>
                <w:shd w:val="solid" w:color="000000" w:fill="000000"/>
                <w:fitText w:val="180" w:id="-893676029"/>
                <w14:textFill>
                  <w14:solidFill>
                    <w14:srgbClr w14:val="000000">
                      <w14:alpha w14:val="100000"/>
                    </w14:srgbClr>
                  </w14:solidFill>
                </w14:textFill>
              </w:rPr>
              <w:t>|</w:t>
            </w:r>
            <w:r w:rsidR="001C4AC1"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318D7C10" w14:textId="4F60143C" w:rsidR="00C20DDD" w:rsidRPr="00583C99" w:rsidRDefault="00BD3549">
            <w:pPr>
              <w:pStyle w:val="TableText0"/>
              <w:jc w:val="center"/>
              <w:rPr>
                <w:highlight w:val="lightGray"/>
              </w:rPr>
            </w:pPr>
            <w:r w:rsidRPr="00BD3549">
              <w:rPr>
                <w:color w:val="000000"/>
                <w:spacing w:val="94"/>
                <w:shd w:val="solid" w:color="000000" w:fill="000000"/>
                <w:fitText w:val="180" w:id="-893676028"/>
                <w14:textFill>
                  <w14:solidFill>
                    <w14:srgbClr w14:val="000000">
                      <w14:alpha w14:val="100000"/>
                    </w14:srgbClr>
                  </w14:solidFill>
                </w14:textFill>
              </w:rPr>
              <w:t>|</w:t>
            </w:r>
            <w:r w:rsidRPr="00BD3549">
              <w:rPr>
                <w:color w:val="000000"/>
                <w:spacing w:val="1"/>
                <w:shd w:val="solid" w:color="000000" w:fill="000000"/>
                <w:fitText w:val="180" w:id="-893676028"/>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1BDD44D6" w14:textId="5CE1E16F" w:rsidR="00C20DDD" w:rsidRPr="00583C99" w:rsidRDefault="00BD3549">
            <w:pPr>
              <w:pStyle w:val="TableText0"/>
              <w:jc w:val="center"/>
              <w:rPr>
                <w:highlight w:val="lightGray"/>
              </w:rPr>
            </w:pPr>
            <w:r w:rsidRPr="00BD3549">
              <w:rPr>
                <w:color w:val="000000"/>
                <w:spacing w:val="94"/>
                <w:shd w:val="solid" w:color="000000" w:fill="000000"/>
                <w:fitText w:val="180" w:id="-893676027"/>
                <w14:textFill>
                  <w14:solidFill>
                    <w14:srgbClr w14:val="000000">
                      <w14:alpha w14:val="100000"/>
                    </w14:srgbClr>
                  </w14:solidFill>
                </w14:textFill>
              </w:rPr>
              <w:t>|</w:t>
            </w:r>
            <w:r w:rsidRPr="00BD3549">
              <w:rPr>
                <w:color w:val="000000"/>
                <w:spacing w:val="1"/>
                <w:shd w:val="solid" w:color="000000" w:fill="000000"/>
                <w:fitText w:val="180" w:id="-893676027"/>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12A6831D" w14:textId="57FEFE7C" w:rsidR="00C20DDD" w:rsidRPr="00583C99" w:rsidRDefault="00BD3549">
            <w:pPr>
              <w:pStyle w:val="TableText0"/>
              <w:jc w:val="center"/>
              <w:rPr>
                <w:highlight w:val="lightGray"/>
              </w:rPr>
            </w:pPr>
            <w:r w:rsidRPr="00BD3549">
              <w:rPr>
                <w:color w:val="000000"/>
                <w:spacing w:val="94"/>
                <w:shd w:val="solid" w:color="000000" w:fill="000000"/>
                <w:fitText w:val="180" w:id="-893676026"/>
                <w14:textFill>
                  <w14:solidFill>
                    <w14:srgbClr w14:val="000000">
                      <w14:alpha w14:val="100000"/>
                    </w14:srgbClr>
                  </w14:solidFill>
                </w14:textFill>
              </w:rPr>
              <w:t>|</w:t>
            </w:r>
            <w:r w:rsidRPr="00BD3549">
              <w:rPr>
                <w:color w:val="000000"/>
                <w:spacing w:val="1"/>
                <w:shd w:val="solid" w:color="000000" w:fill="000000"/>
                <w:fitText w:val="180" w:id="-893676026"/>
                <w14:textFill>
                  <w14:solidFill>
                    <w14:srgbClr w14:val="000000">
                      <w14:alpha w14:val="100000"/>
                    </w14:srgbClr>
                  </w14:solidFill>
                </w14:textFill>
              </w:rPr>
              <w:t>|</w:t>
            </w:r>
            <w:r w:rsidR="001C4AC1" w:rsidRPr="001C4AC1">
              <w:rPr>
                <w:vertAlign w:val="superscript"/>
              </w:rPr>
              <w:t>6</w:t>
            </w:r>
          </w:p>
        </w:tc>
      </w:tr>
      <w:tr w:rsidR="00C20DDD" w:rsidRPr="001611DC" w14:paraId="081B5287"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471EAB69" w14:textId="77777777" w:rsidR="00C20DDD" w:rsidRPr="001611DC" w:rsidRDefault="00C20DDD">
            <w:pPr>
              <w:pStyle w:val="TableText0"/>
              <w:ind w:left="166"/>
            </w:pPr>
            <w:r w:rsidRPr="001611DC">
              <w:t>MBS</w:t>
            </w:r>
          </w:p>
        </w:tc>
        <w:tc>
          <w:tcPr>
            <w:tcW w:w="568" w:type="pct"/>
            <w:tcBorders>
              <w:top w:val="nil"/>
              <w:left w:val="nil"/>
              <w:bottom w:val="single" w:sz="4" w:space="0" w:color="auto"/>
              <w:right w:val="single" w:sz="4" w:space="0" w:color="auto"/>
            </w:tcBorders>
            <w:shd w:val="clear" w:color="auto" w:fill="auto"/>
            <w:noWrap/>
            <w:vAlign w:val="center"/>
            <w:hideMark/>
          </w:tcPr>
          <w:p w14:paraId="7EA2B475" w14:textId="3413A234" w:rsidR="00C20DDD" w:rsidRPr="00583C99" w:rsidRDefault="00BD3549">
            <w:pPr>
              <w:pStyle w:val="TableText0"/>
              <w:jc w:val="center"/>
              <w:rPr>
                <w:highlight w:val="lightGray"/>
              </w:rPr>
            </w:pPr>
            <w:r w:rsidRPr="00BD3549">
              <w:rPr>
                <w:color w:val="000000"/>
                <w:spacing w:val="94"/>
                <w:shd w:val="solid" w:color="000000" w:fill="000000"/>
                <w:fitText w:val="180" w:id="-893676025"/>
                <w14:textFill>
                  <w14:solidFill>
                    <w14:srgbClr w14:val="000000">
                      <w14:alpha w14:val="100000"/>
                    </w14:srgbClr>
                  </w14:solidFill>
                </w14:textFill>
              </w:rPr>
              <w:t>|</w:t>
            </w:r>
            <w:r w:rsidRPr="00BD3549">
              <w:rPr>
                <w:color w:val="000000"/>
                <w:spacing w:val="1"/>
                <w:shd w:val="solid" w:color="000000" w:fill="000000"/>
                <w:fitText w:val="180" w:id="-893676025"/>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42F1DA20" w14:textId="2F666F22" w:rsidR="00C20DDD" w:rsidRPr="00583C99" w:rsidRDefault="00BD3549">
            <w:pPr>
              <w:pStyle w:val="TableText0"/>
              <w:jc w:val="center"/>
              <w:rPr>
                <w:highlight w:val="lightGray"/>
              </w:rPr>
            </w:pPr>
            <w:r w:rsidRPr="00BD3549">
              <w:rPr>
                <w:color w:val="000000"/>
                <w:spacing w:val="94"/>
                <w:shd w:val="solid" w:color="000000" w:fill="000000"/>
                <w:fitText w:val="180" w:id="-893676024"/>
                <w14:textFill>
                  <w14:solidFill>
                    <w14:srgbClr w14:val="000000">
                      <w14:alpha w14:val="100000"/>
                    </w14:srgbClr>
                  </w14:solidFill>
                </w14:textFill>
              </w:rPr>
              <w:t>|</w:t>
            </w:r>
            <w:r w:rsidRPr="00BD3549">
              <w:rPr>
                <w:color w:val="000000"/>
                <w:spacing w:val="1"/>
                <w:shd w:val="solid" w:color="000000" w:fill="000000"/>
                <w:fitText w:val="180" w:id="-893676024"/>
                <w14:textFill>
                  <w14:solidFill>
                    <w14:srgbClr w14:val="000000">
                      <w14:alpha w14:val="100000"/>
                    </w14:srgbClr>
                  </w14:solidFill>
                </w14:textFill>
              </w:rPr>
              <w:t>|</w:t>
            </w:r>
            <w:r w:rsidR="00447C5F" w:rsidRPr="00447C5F">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5349CD93" w14:textId="4238C88E" w:rsidR="00C20DDD" w:rsidRPr="00583C99" w:rsidRDefault="00BD3549">
            <w:pPr>
              <w:pStyle w:val="TableText0"/>
              <w:jc w:val="center"/>
              <w:rPr>
                <w:highlight w:val="lightGray"/>
              </w:rPr>
            </w:pPr>
            <w:r w:rsidRPr="00BD3549">
              <w:rPr>
                <w:color w:val="000000"/>
                <w:spacing w:val="94"/>
                <w:shd w:val="solid" w:color="000000" w:fill="000000"/>
                <w:fitText w:val="180" w:id="-893676023"/>
                <w14:textFill>
                  <w14:solidFill>
                    <w14:srgbClr w14:val="000000">
                      <w14:alpha w14:val="100000"/>
                    </w14:srgbClr>
                  </w14:solidFill>
                </w14:textFill>
              </w:rPr>
              <w:t>|</w:t>
            </w:r>
            <w:r w:rsidRPr="00BD3549">
              <w:rPr>
                <w:color w:val="000000"/>
                <w:spacing w:val="1"/>
                <w:shd w:val="solid" w:color="000000" w:fill="000000"/>
                <w:fitText w:val="180" w:id="-893676023"/>
                <w14:textFill>
                  <w14:solidFill>
                    <w14:srgbClr w14:val="000000">
                      <w14:alpha w14:val="100000"/>
                    </w14:srgbClr>
                  </w14:solidFill>
                </w14:textFill>
              </w:rPr>
              <w:t>|</w:t>
            </w:r>
            <w:r w:rsidR="00447C5F" w:rsidRPr="00447C5F">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516052F9" w14:textId="0E1B7575" w:rsidR="00C20DDD" w:rsidRPr="00583C99" w:rsidRDefault="00BD3549">
            <w:pPr>
              <w:pStyle w:val="TableText0"/>
              <w:jc w:val="center"/>
              <w:rPr>
                <w:highlight w:val="lightGray"/>
              </w:rPr>
            </w:pPr>
            <w:r w:rsidRPr="00BD3549">
              <w:rPr>
                <w:color w:val="000000"/>
                <w:spacing w:val="94"/>
                <w:shd w:val="solid" w:color="000000" w:fill="000000"/>
                <w:fitText w:val="180" w:id="-893676022"/>
                <w14:textFill>
                  <w14:solidFill>
                    <w14:srgbClr w14:val="000000">
                      <w14:alpha w14:val="100000"/>
                    </w14:srgbClr>
                  </w14:solidFill>
                </w14:textFill>
              </w:rPr>
              <w:t>|</w:t>
            </w:r>
            <w:r w:rsidRPr="00BD3549">
              <w:rPr>
                <w:color w:val="000000"/>
                <w:spacing w:val="1"/>
                <w:shd w:val="solid" w:color="000000" w:fill="000000"/>
                <w:fitText w:val="180" w:id="-893676022"/>
                <w14:textFill>
                  <w14:solidFill>
                    <w14:srgbClr w14:val="000000">
                      <w14:alpha w14:val="100000"/>
                    </w14:srgbClr>
                  </w14:solidFill>
                </w14:textFill>
              </w:rPr>
              <w:t>|</w:t>
            </w:r>
            <w:r w:rsidR="001C4AC1"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775BFABD" w14:textId="1B3E3218" w:rsidR="00C20DDD" w:rsidRPr="00583C99" w:rsidRDefault="00BD3549">
            <w:pPr>
              <w:pStyle w:val="TableText0"/>
              <w:jc w:val="center"/>
              <w:rPr>
                <w:highlight w:val="lightGray"/>
              </w:rPr>
            </w:pPr>
            <w:r w:rsidRPr="00BD3549">
              <w:rPr>
                <w:color w:val="000000"/>
                <w:spacing w:val="94"/>
                <w:shd w:val="solid" w:color="000000" w:fill="000000"/>
                <w:fitText w:val="180" w:id="-893676021"/>
                <w14:textFill>
                  <w14:solidFill>
                    <w14:srgbClr w14:val="000000">
                      <w14:alpha w14:val="100000"/>
                    </w14:srgbClr>
                  </w14:solidFill>
                </w14:textFill>
              </w:rPr>
              <w:t>|</w:t>
            </w:r>
            <w:r w:rsidRPr="00BD3549">
              <w:rPr>
                <w:color w:val="000000"/>
                <w:spacing w:val="1"/>
                <w:shd w:val="solid" w:color="000000" w:fill="000000"/>
                <w:fitText w:val="180" w:id="-893676021"/>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1EAF0E29" w14:textId="362A6BEF" w:rsidR="00C20DDD" w:rsidRPr="00583C99" w:rsidRDefault="00BD3549">
            <w:pPr>
              <w:pStyle w:val="TableText0"/>
              <w:jc w:val="center"/>
              <w:rPr>
                <w:highlight w:val="lightGray"/>
              </w:rPr>
            </w:pPr>
            <w:r w:rsidRPr="00BD3549">
              <w:rPr>
                <w:color w:val="000000"/>
                <w:spacing w:val="94"/>
                <w:shd w:val="solid" w:color="000000" w:fill="000000"/>
                <w:fitText w:val="180" w:id="-893676020"/>
                <w14:textFill>
                  <w14:solidFill>
                    <w14:srgbClr w14:val="000000">
                      <w14:alpha w14:val="100000"/>
                    </w14:srgbClr>
                  </w14:solidFill>
                </w14:textFill>
              </w:rPr>
              <w:t>|</w:t>
            </w:r>
            <w:r w:rsidRPr="00BD3549">
              <w:rPr>
                <w:color w:val="000000"/>
                <w:spacing w:val="1"/>
                <w:shd w:val="solid" w:color="000000" w:fill="000000"/>
                <w:fitText w:val="180" w:id="-893676020"/>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3CBF0B25" w14:textId="3806D9D6" w:rsidR="00C20DDD" w:rsidRPr="00583C99" w:rsidRDefault="00BD3549">
            <w:pPr>
              <w:pStyle w:val="TableText0"/>
              <w:jc w:val="center"/>
              <w:rPr>
                <w:highlight w:val="lightGray"/>
              </w:rPr>
            </w:pPr>
            <w:r w:rsidRPr="00BD3549">
              <w:rPr>
                <w:color w:val="000000"/>
                <w:spacing w:val="94"/>
                <w:shd w:val="solid" w:color="000000" w:fill="000000"/>
                <w:fitText w:val="180" w:id="-893676019"/>
                <w14:textFill>
                  <w14:solidFill>
                    <w14:srgbClr w14:val="000000">
                      <w14:alpha w14:val="100000"/>
                    </w14:srgbClr>
                  </w14:solidFill>
                </w14:textFill>
              </w:rPr>
              <w:t>|</w:t>
            </w:r>
            <w:r w:rsidRPr="00BD3549">
              <w:rPr>
                <w:color w:val="000000"/>
                <w:spacing w:val="1"/>
                <w:shd w:val="solid" w:color="000000" w:fill="000000"/>
                <w:fitText w:val="180" w:id="-893676019"/>
                <w14:textFill>
                  <w14:solidFill>
                    <w14:srgbClr w14:val="000000">
                      <w14:alpha w14:val="100000"/>
                    </w14:srgbClr>
                  </w14:solidFill>
                </w14:textFill>
              </w:rPr>
              <w:t>|</w:t>
            </w:r>
            <w:r w:rsidR="00447C5F" w:rsidRPr="00447C5F">
              <w:rPr>
                <w:vertAlign w:val="superscript"/>
              </w:rPr>
              <w:t>6</w:t>
            </w:r>
          </w:p>
        </w:tc>
      </w:tr>
      <w:tr w:rsidR="00C20DDD" w:rsidRPr="001611DC" w14:paraId="41A4BF29"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1B39AE7B" w14:textId="77777777" w:rsidR="00C20DDD" w:rsidRPr="001611DC" w:rsidRDefault="00C20DDD">
            <w:pPr>
              <w:pStyle w:val="TableText0"/>
              <w:ind w:left="166"/>
            </w:pPr>
            <w:r w:rsidRPr="001611DC">
              <w:t>Other</w:t>
            </w:r>
          </w:p>
        </w:tc>
        <w:tc>
          <w:tcPr>
            <w:tcW w:w="568" w:type="pct"/>
            <w:tcBorders>
              <w:top w:val="nil"/>
              <w:left w:val="nil"/>
              <w:bottom w:val="single" w:sz="4" w:space="0" w:color="auto"/>
              <w:right w:val="single" w:sz="4" w:space="0" w:color="auto"/>
            </w:tcBorders>
            <w:shd w:val="clear" w:color="auto" w:fill="auto"/>
            <w:noWrap/>
            <w:vAlign w:val="center"/>
            <w:hideMark/>
          </w:tcPr>
          <w:p w14:paraId="0EE76952" w14:textId="3C08B215" w:rsidR="00C20DDD" w:rsidRPr="00583C99" w:rsidRDefault="00BD3549">
            <w:pPr>
              <w:pStyle w:val="TableText0"/>
              <w:jc w:val="center"/>
              <w:rPr>
                <w:highlight w:val="lightGray"/>
              </w:rPr>
            </w:pPr>
            <w:r w:rsidRPr="00BD3549">
              <w:rPr>
                <w:color w:val="000000"/>
                <w:spacing w:val="94"/>
                <w:shd w:val="solid" w:color="000000" w:fill="000000"/>
                <w:fitText w:val="180" w:id="-893676018"/>
                <w14:textFill>
                  <w14:solidFill>
                    <w14:srgbClr w14:val="000000">
                      <w14:alpha w14:val="100000"/>
                    </w14:srgbClr>
                  </w14:solidFill>
                </w14:textFill>
              </w:rPr>
              <w:t>|</w:t>
            </w:r>
            <w:r w:rsidRPr="00BD3549">
              <w:rPr>
                <w:color w:val="000000"/>
                <w:spacing w:val="1"/>
                <w:shd w:val="solid" w:color="000000" w:fill="000000"/>
                <w:fitText w:val="180" w:id="-893676018"/>
                <w14:textFill>
                  <w14:solidFill>
                    <w14:srgbClr w14:val="000000">
                      <w14:alpha w14:val="100000"/>
                    </w14:srgbClr>
                  </w14:solidFill>
                </w14:textFill>
              </w:rPr>
              <w:t>|</w:t>
            </w:r>
            <w:r w:rsidR="0008298A" w:rsidRPr="0008298A">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hideMark/>
          </w:tcPr>
          <w:p w14:paraId="5EC030F3" w14:textId="712F6E49" w:rsidR="00C20DDD" w:rsidRPr="00583C99" w:rsidRDefault="00BD3549">
            <w:pPr>
              <w:pStyle w:val="TableText0"/>
              <w:jc w:val="center"/>
              <w:rPr>
                <w:highlight w:val="lightGray"/>
              </w:rPr>
            </w:pPr>
            <w:r w:rsidRPr="00BD3549">
              <w:rPr>
                <w:color w:val="000000"/>
                <w:spacing w:val="94"/>
                <w:shd w:val="solid" w:color="000000" w:fill="000000"/>
                <w:fitText w:val="180" w:id="-893676017"/>
                <w14:textFill>
                  <w14:solidFill>
                    <w14:srgbClr w14:val="000000">
                      <w14:alpha w14:val="100000"/>
                    </w14:srgbClr>
                  </w14:solidFill>
                </w14:textFill>
              </w:rPr>
              <w:t>|</w:t>
            </w:r>
            <w:r w:rsidRPr="00BD3549">
              <w:rPr>
                <w:color w:val="000000"/>
                <w:spacing w:val="1"/>
                <w:shd w:val="solid" w:color="000000" w:fill="000000"/>
                <w:fitText w:val="180" w:id="-893676017"/>
                <w14:textFill>
                  <w14:solidFill>
                    <w14:srgbClr w14:val="000000">
                      <w14:alpha w14:val="100000"/>
                    </w14:srgbClr>
                  </w14:solidFill>
                </w14:textFill>
              </w:rPr>
              <w:t>|</w:t>
            </w:r>
            <w:r w:rsidR="001C4AC1"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0E22C308" w14:textId="74A4CFAB" w:rsidR="00C20DDD" w:rsidRPr="00583C99" w:rsidRDefault="00BD3549">
            <w:pPr>
              <w:pStyle w:val="TableText0"/>
              <w:jc w:val="center"/>
              <w:rPr>
                <w:highlight w:val="lightGray"/>
              </w:rPr>
            </w:pPr>
            <w:r w:rsidRPr="00BD3549">
              <w:rPr>
                <w:color w:val="000000"/>
                <w:spacing w:val="94"/>
                <w:shd w:val="solid" w:color="000000" w:fill="000000"/>
                <w:fitText w:val="180" w:id="-893676016"/>
                <w14:textFill>
                  <w14:solidFill>
                    <w14:srgbClr w14:val="000000">
                      <w14:alpha w14:val="100000"/>
                    </w14:srgbClr>
                  </w14:solidFill>
                </w14:textFill>
              </w:rPr>
              <w:t>|</w:t>
            </w:r>
            <w:r w:rsidRPr="00BD3549">
              <w:rPr>
                <w:color w:val="000000"/>
                <w:spacing w:val="1"/>
                <w:shd w:val="solid" w:color="000000" w:fill="000000"/>
                <w:fitText w:val="180" w:id="-893676016"/>
                <w14:textFill>
                  <w14:solidFill>
                    <w14:srgbClr w14:val="000000">
                      <w14:alpha w14:val="100000"/>
                    </w14:srgbClr>
                  </w14:solidFill>
                </w14:textFill>
              </w:rPr>
              <w:t>|</w:t>
            </w:r>
            <w:r w:rsidR="001C4AC1"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66A0BAD5" w14:textId="5DA73FED" w:rsidR="00C20DDD" w:rsidRPr="00583C99" w:rsidRDefault="00BD3549">
            <w:pPr>
              <w:pStyle w:val="TableText0"/>
              <w:jc w:val="center"/>
              <w:rPr>
                <w:highlight w:val="lightGray"/>
              </w:rPr>
            </w:pPr>
            <w:r w:rsidRPr="00BD3549">
              <w:rPr>
                <w:color w:val="000000"/>
                <w:spacing w:val="94"/>
                <w:shd w:val="solid" w:color="000000" w:fill="000000"/>
                <w:fitText w:val="180" w:id="-893676032"/>
                <w14:textFill>
                  <w14:solidFill>
                    <w14:srgbClr w14:val="000000">
                      <w14:alpha w14:val="100000"/>
                    </w14:srgbClr>
                  </w14:solidFill>
                </w14:textFill>
              </w:rPr>
              <w:t>|</w:t>
            </w:r>
            <w:r w:rsidRPr="00BD3549">
              <w:rPr>
                <w:color w:val="000000"/>
                <w:spacing w:val="1"/>
                <w:shd w:val="solid" w:color="000000" w:fill="000000"/>
                <w:fitText w:val="180" w:id="-893676032"/>
                <w14:textFill>
                  <w14:solidFill>
                    <w14:srgbClr w14:val="000000">
                      <w14:alpha w14:val="100000"/>
                    </w14:srgbClr>
                  </w14:solidFill>
                </w14:textFill>
              </w:rPr>
              <w:t>|</w:t>
            </w:r>
            <w:r w:rsidR="001C4AC1"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3F2C6EAC" w14:textId="6C975C76" w:rsidR="00C20DDD" w:rsidRPr="00583C99" w:rsidRDefault="00BD3549">
            <w:pPr>
              <w:pStyle w:val="TableText0"/>
              <w:jc w:val="center"/>
              <w:rPr>
                <w:highlight w:val="lightGray"/>
              </w:rPr>
            </w:pPr>
            <w:r w:rsidRPr="00BD3549">
              <w:rPr>
                <w:color w:val="000000"/>
                <w:spacing w:val="94"/>
                <w:shd w:val="solid" w:color="000000" w:fill="000000"/>
                <w:fitText w:val="180" w:id="-893676031"/>
                <w14:textFill>
                  <w14:solidFill>
                    <w14:srgbClr w14:val="000000">
                      <w14:alpha w14:val="100000"/>
                    </w14:srgbClr>
                  </w14:solidFill>
                </w14:textFill>
              </w:rPr>
              <w:t>|</w:t>
            </w:r>
            <w:r w:rsidRPr="00BD3549">
              <w:rPr>
                <w:color w:val="000000"/>
                <w:spacing w:val="1"/>
                <w:shd w:val="solid" w:color="000000" w:fill="000000"/>
                <w:fitText w:val="180" w:id="-893676031"/>
                <w14:textFill>
                  <w14:solidFill>
                    <w14:srgbClr w14:val="000000">
                      <w14:alpha w14:val="100000"/>
                    </w14:srgbClr>
                  </w14:solidFill>
                </w14:textFill>
              </w:rPr>
              <w:t>|</w:t>
            </w:r>
            <w:r w:rsidR="00447C5F" w:rsidRPr="00447C5F">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269E888A" w14:textId="6B79F1DC" w:rsidR="00C20DDD" w:rsidRPr="00583C99" w:rsidRDefault="00BD3549">
            <w:pPr>
              <w:pStyle w:val="TableText0"/>
              <w:jc w:val="center"/>
              <w:rPr>
                <w:highlight w:val="lightGray"/>
              </w:rPr>
            </w:pPr>
            <w:r w:rsidRPr="00BD3549">
              <w:rPr>
                <w:color w:val="000000"/>
                <w:spacing w:val="94"/>
                <w:shd w:val="solid" w:color="000000" w:fill="000000"/>
                <w:fitText w:val="180" w:id="-893676030"/>
                <w14:textFill>
                  <w14:solidFill>
                    <w14:srgbClr w14:val="000000">
                      <w14:alpha w14:val="100000"/>
                    </w14:srgbClr>
                  </w14:solidFill>
                </w14:textFill>
              </w:rPr>
              <w:t>|</w:t>
            </w:r>
            <w:r w:rsidRPr="00BD3549">
              <w:rPr>
                <w:color w:val="000000"/>
                <w:spacing w:val="1"/>
                <w:shd w:val="solid" w:color="000000" w:fill="000000"/>
                <w:fitText w:val="180" w:id="-893676030"/>
                <w14:textFill>
                  <w14:solidFill>
                    <w14:srgbClr w14:val="000000">
                      <w14:alpha w14:val="100000"/>
                    </w14:srgbClr>
                  </w14:solidFill>
                </w14:textFill>
              </w:rPr>
              <w:t>|</w:t>
            </w:r>
            <w:r w:rsidR="005D2C10"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2AE8D79F" w14:textId="33CF1B58" w:rsidR="00C20DDD" w:rsidRPr="00583C99" w:rsidRDefault="00BD3549">
            <w:pPr>
              <w:pStyle w:val="TableText0"/>
              <w:jc w:val="center"/>
              <w:rPr>
                <w:highlight w:val="lightGray"/>
              </w:rPr>
            </w:pPr>
            <w:r w:rsidRPr="00BD3549">
              <w:rPr>
                <w:color w:val="000000"/>
                <w:spacing w:val="94"/>
                <w:shd w:val="solid" w:color="000000" w:fill="000000"/>
                <w:fitText w:val="180" w:id="-893676029"/>
                <w14:textFill>
                  <w14:solidFill>
                    <w14:srgbClr w14:val="000000">
                      <w14:alpha w14:val="100000"/>
                    </w14:srgbClr>
                  </w14:solidFill>
                </w14:textFill>
              </w:rPr>
              <w:t>|</w:t>
            </w:r>
            <w:r w:rsidRPr="00BD3549">
              <w:rPr>
                <w:color w:val="000000"/>
                <w:spacing w:val="1"/>
                <w:shd w:val="solid" w:color="000000" w:fill="000000"/>
                <w:fitText w:val="180" w:id="-893676029"/>
                <w14:textFill>
                  <w14:solidFill>
                    <w14:srgbClr w14:val="000000">
                      <w14:alpha w14:val="100000"/>
                    </w14:srgbClr>
                  </w14:solidFill>
                </w14:textFill>
              </w:rPr>
              <w:t>|</w:t>
            </w:r>
            <w:r w:rsidR="005D2C10" w:rsidRPr="001C4AC1">
              <w:rPr>
                <w:vertAlign w:val="superscript"/>
              </w:rPr>
              <w:t>6</w:t>
            </w:r>
          </w:p>
        </w:tc>
      </w:tr>
      <w:tr w:rsidR="00C20DDD" w:rsidRPr="001611DC" w14:paraId="47B203AC"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hideMark/>
          </w:tcPr>
          <w:p w14:paraId="68465DE9" w14:textId="77777777" w:rsidR="00C20DDD" w:rsidRPr="001611DC" w:rsidRDefault="00C20DDD">
            <w:pPr>
              <w:pStyle w:val="TableText0"/>
            </w:pPr>
            <w:r w:rsidRPr="001611DC">
              <w:t>State and Territory Governments</w:t>
            </w:r>
          </w:p>
        </w:tc>
        <w:tc>
          <w:tcPr>
            <w:tcW w:w="568" w:type="pct"/>
            <w:tcBorders>
              <w:top w:val="nil"/>
              <w:left w:val="nil"/>
              <w:bottom w:val="single" w:sz="4" w:space="0" w:color="auto"/>
              <w:right w:val="single" w:sz="4" w:space="0" w:color="auto"/>
            </w:tcBorders>
            <w:shd w:val="clear" w:color="auto" w:fill="auto"/>
            <w:noWrap/>
            <w:vAlign w:val="center"/>
            <w:hideMark/>
          </w:tcPr>
          <w:p w14:paraId="6E8DA190" w14:textId="598C3C75" w:rsidR="00C20DDD" w:rsidRPr="00583C99" w:rsidRDefault="00BD3549">
            <w:pPr>
              <w:pStyle w:val="TableText0"/>
              <w:jc w:val="center"/>
              <w:rPr>
                <w:highlight w:val="lightGray"/>
              </w:rPr>
            </w:pPr>
            <w:r w:rsidRPr="00BD3549">
              <w:rPr>
                <w:color w:val="000000"/>
                <w:spacing w:val="94"/>
                <w:shd w:val="solid" w:color="000000" w:fill="000000"/>
                <w:fitText w:val="180" w:id="-893676028"/>
                <w14:textFill>
                  <w14:solidFill>
                    <w14:srgbClr w14:val="000000">
                      <w14:alpha w14:val="100000"/>
                    </w14:srgbClr>
                  </w14:solidFill>
                </w14:textFill>
              </w:rPr>
              <w:t>|</w:t>
            </w:r>
            <w:r w:rsidRPr="00BD3549">
              <w:rPr>
                <w:color w:val="000000"/>
                <w:spacing w:val="1"/>
                <w:shd w:val="solid" w:color="000000" w:fill="000000"/>
                <w:fitText w:val="180" w:id="-893676028"/>
                <w14:textFill>
                  <w14:solidFill>
                    <w14:srgbClr w14:val="000000">
                      <w14:alpha w14:val="100000"/>
                    </w14:srgbClr>
                  </w14:solidFill>
                </w14:textFill>
              </w:rPr>
              <w:t>|</w:t>
            </w:r>
            <w:r w:rsidR="005D2C10"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4A7BFD0F" w14:textId="038CF1F0" w:rsidR="00C20DDD" w:rsidRPr="00583C99" w:rsidRDefault="00BD3549">
            <w:pPr>
              <w:pStyle w:val="TableText0"/>
              <w:jc w:val="center"/>
              <w:rPr>
                <w:highlight w:val="lightGray"/>
              </w:rPr>
            </w:pPr>
            <w:r w:rsidRPr="00BD3549">
              <w:rPr>
                <w:color w:val="000000"/>
                <w:spacing w:val="94"/>
                <w:shd w:val="solid" w:color="000000" w:fill="000000"/>
                <w:fitText w:val="180" w:id="-893676027"/>
                <w14:textFill>
                  <w14:solidFill>
                    <w14:srgbClr w14:val="000000">
                      <w14:alpha w14:val="100000"/>
                    </w14:srgbClr>
                  </w14:solidFill>
                </w14:textFill>
              </w:rPr>
              <w:t>|</w:t>
            </w:r>
            <w:r w:rsidRPr="00BD3549">
              <w:rPr>
                <w:color w:val="000000"/>
                <w:spacing w:val="1"/>
                <w:shd w:val="solid" w:color="000000" w:fill="000000"/>
                <w:fitText w:val="180" w:id="-893676027"/>
                <w14:textFill>
                  <w14:solidFill>
                    <w14:srgbClr w14:val="000000">
                      <w14:alpha w14:val="100000"/>
                    </w14:srgbClr>
                  </w14:solidFill>
                </w14:textFill>
              </w:rPr>
              <w:t>|</w:t>
            </w:r>
            <w:r w:rsidR="005D2C10"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11A80A15" w14:textId="228F207E" w:rsidR="00C20DDD" w:rsidRPr="00583C99" w:rsidRDefault="00BD3549">
            <w:pPr>
              <w:pStyle w:val="TableText0"/>
              <w:jc w:val="center"/>
              <w:rPr>
                <w:highlight w:val="lightGray"/>
              </w:rPr>
            </w:pPr>
            <w:r w:rsidRPr="00BD3549">
              <w:rPr>
                <w:color w:val="000000"/>
                <w:spacing w:val="94"/>
                <w:shd w:val="solid" w:color="000000" w:fill="000000"/>
                <w:fitText w:val="180" w:id="-893676026"/>
                <w14:textFill>
                  <w14:solidFill>
                    <w14:srgbClr w14:val="000000">
                      <w14:alpha w14:val="100000"/>
                    </w14:srgbClr>
                  </w14:solidFill>
                </w14:textFill>
              </w:rPr>
              <w:t>|</w:t>
            </w:r>
            <w:r w:rsidRPr="00BD3549">
              <w:rPr>
                <w:color w:val="000000"/>
                <w:spacing w:val="1"/>
                <w:shd w:val="solid" w:color="000000" w:fill="000000"/>
                <w:fitText w:val="180" w:id="-893676026"/>
                <w14:textFill>
                  <w14:solidFill>
                    <w14:srgbClr w14:val="000000">
                      <w14:alpha w14:val="100000"/>
                    </w14:srgbClr>
                  </w14:solidFill>
                </w14:textFill>
              </w:rPr>
              <w:t>|</w:t>
            </w:r>
            <w:r w:rsidR="005D2C10"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7697951A" w14:textId="70448702" w:rsidR="00C20DDD" w:rsidRPr="00583C99" w:rsidRDefault="00BD3549">
            <w:pPr>
              <w:pStyle w:val="TableText0"/>
              <w:jc w:val="center"/>
              <w:rPr>
                <w:highlight w:val="lightGray"/>
              </w:rPr>
            </w:pPr>
            <w:r w:rsidRPr="00BD3549">
              <w:rPr>
                <w:color w:val="000000"/>
                <w:spacing w:val="94"/>
                <w:shd w:val="solid" w:color="000000" w:fill="000000"/>
                <w:fitText w:val="180" w:id="-893676025"/>
                <w14:textFill>
                  <w14:solidFill>
                    <w14:srgbClr w14:val="000000">
                      <w14:alpha w14:val="100000"/>
                    </w14:srgbClr>
                  </w14:solidFill>
                </w14:textFill>
              </w:rPr>
              <w:t>|</w:t>
            </w:r>
            <w:r w:rsidRPr="00BD3549">
              <w:rPr>
                <w:color w:val="000000"/>
                <w:spacing w:val="1"/>
                <w:shd w:val="solid" w:color="000000" w:fill="000000"/>
                <w:fitText w:val="180" w:id="-893676025"/>
                <w14:textFill>
                  <w14:solidFill>
                    <w14:srgbClr w14:val="000000">
                      <w14:alpha w14:val="100000"/>
                    </w14:srgbClr>
                  </w14:solidFill>
                </w14:textFill>
              </w:rPr>
              <w:t>|</w:t>
            </w:r>
            <w:r w:rsidR="005D2C10" w:rsidRPr="001C4AC1">
              <w:rPr>
                <w:vertAlign w:val="superscript"/>
              </w:rPr>
              <w:t>6</w:t>
            </w:r>
          </w:p>
        </w:tc>
        <w:tc>
          <w:tcPr>
            <w:tcW w:w="568" w:type="pct"/>
            <w:tcBorders>
              <w:top w:val="nil"/>
              <w:left w:val="nil"/>
              <w:bottom w:val="single" w:sz="4" w:space="0" w:color="auto"/>
              <w:right w:val="single" w:sz="4" w:space="0" w:color="auto"/>
            </w:tcBorders>
            <w:shd w:val="clear" w:color="auto" w:fill="auto"/>
            <w:noWrap/>
            <w:vAlign w:val="center"/>
            <w:hideMark/>
          </w:tcPr>
          <w:p w14:paraId="303FFF9B" w14:textId="5F1EBC95" w:rsidR="00C20DDD" w:rsidRPr="00583C99" w:rsidRDefault="00BD3549">
            <w:pPr>
              <w:pStyle w:val="TableText0"/>
              <w:jc w:val="center"/>
              <w:rPr>
                <w:highlight w:val="lightGray"/>
              </w:rPr>
            </w:pPr>
            <w:r w:rsidRPr="00BD3549">
              <w:rPr>
                <w:color w:val="000000"/>
                <w:spacing w:val="94"/>
                <w:shd w:val="solid" w:color="000000" w:fill="000000"/>
                <w:fitText w:val="180" w:id="-893676024"/>
                <w14:textFill>
                  <w14:solidFill>
                    <w14:srgbClr w14:val="000000">
                      <w14:alpha w14:val="100000"/>
                    </w14:srgbClr>
                  </w14:solidFill>
                </w14:textFill>
              </w:rPr>
              <w:t>|</w:t>
            </w:r>
            <w:r w:rsidRPr="00BD3549">
              <w:rPr>
                <w:color w:val="000000"/>
                <w:spacing w:val="1"/>
                <w:shd w:val="solid" w:color="000000" w:fill="000000"/>
                <w:fitText w:val="180" w:id="-893676024"/>
                <w14:textFill>
                  <w14:solidFill>
                    <w14:srgbClr w14:val="000000">
                      <w14:alpha w14:val="100000"/>
                    </w14:srgbClr>
                  </w14:solidFill>
                </w14:textFill>
              </w:rPr>
              <w:t>|</w:t>
            </w:r>
            <w:r w:rsidR="005D2C10"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223DAC36" w14:textId="75739BF6" w:rsidR="00C20DDD" w:rsidRPr="00583C99" w:rsidRDefault="00BD3549">
            <w:pPr>
              <w:pStyle w:val="TableText0"/>
              <w:jc w:val="center"/>
              <w:rPr>
                <w:highlight w:val="lightGray"/>
              </w:rPr>
            </w:pPr>
            <w:r w:rsidRPr="00BD3549">
              <w:rPr>
                <w:color w:val="000000"/>
                <w:spacing w:val="94"/>
                <w:shd w:val="solid" w:color="000000" w:fill="000000"/>
                <w:fitText w:val="180" w:id="-893676023"/>
                <w14:textFill>
                  <w14:solidFill>
                    <w14:srgbClr w14:val="000000">
                      <w14:alpha w14:val="100000"/>
                    </w14:srgbClr>
                  </w14:solidFill>
                </w14:textFill>
              </w:rPr>
              <w:t>|</w:t>
            </w:r>
            <w:r w:rsidRPr="00BD3549">
              <w:rPr>
                <w:color w:val="000000"/>
                <w:spacing w:val="1"/>
                <w:shd w:val="solid" w:color="000000" w:fill="000000"/>
                <w:fitText w:val="180" w:id="-893676023"/>
                <w14:textFill>
                  <w14:solidFill>
                    <w14:srgbClr w14:val="000000">
                      <w14:alpha w14:val="100000"/>
                    </w14:srgbClr>
                  </w14:solidFill>
                </w14:textFill>
              </w:rPr>
              <w:t>|</w:t>
            </w:r>
            <w:r w:rsidR="005D2C10" w:rsidRPr="001C4AC1">
              <w:rPr>
                <w:vertAlign w:val="superscript"/>
              </w:rPr>
              <w:t>6</w:t>
            </w:r>
          </w:p>
        </w:tc>
        <w:tc>
          <w:tcPr>
            <w:tcW w:w="569" w:type="pct"/>
            <w:tcBorders>
              <w:top w:val="nil"/>
              <w:left w:val="nil"/>
              <w:bottom w:val="single" w:sz="4" w:space="0" w:color="auto"/>
              <w:right w:val="single" w:sz="4" w:space="0" w:color="auto"/>
            </w:tcBorders>
            <w:shd w:val="clear" w:color="auto" w:fill="auto"/>
            <w:noWrap/>
            <w:vAlign w:val="center"/>
            <w:hideMark/>
          </w:tcPr>
          <w:p w14:paraId="3304515C" w14:textId="72260CB2" w:rsidR="00C20DDD" w:rsidRPr="00583C99" w:rsidRDefault="00BD3549">
            <w:pPr>
              <w:pStyle w:val="TableText0"/>
              <w:jc w:val="center"/>
              <w:rPr>
                <w:highlight w:val="lightGray"/>
              </w:rPr>
            </w:pPr>
            <w:r w:rsidRPr="00BD3549">
              <w:rPr>
                <w:color w:val="000000"/>
                <w:spacing w:val="94"/>
                <w:shd w:val="solid" w:color="000000" w:fill="000000"/>
                <w:fitText w:val="180" w:id="-893676022"/>
                <w14:textFill>
                  <w14:solidFill>
                    <w14:srgbClr w14:val="000000">
                      <w14:alpha w14:val="100000"/>
                    </w14:srgbClr>
                  </w14:solidFill>
                </w14:textFill>
              </w:rPr>
              <w:t>|</w:t>
            </w:r>
            <w:r w:rsidRPr="00BD3549">
              <w:rPr>
                <w:color w:val="000000"/>
                <w:spacing w:val="1"/>
                <w:shd w:val="solid" w:color="000000" w:fill="000000"/>
                <w:fitText w:val="180" w:id="-893676022"/>
                <w14:textFill>
                  <w14:solidFill>
                    <w14:srgbClr w14:val="000000">
                      <w14:alpha w14:val="100000"/>
                    </w14:srgbClr>
                  </w14:solidFill>
                </w14:textFill>
              </w:rPr>
              <w:t>|</w:t>
            </w:r>
            <w:r w:rsidR="0008298A" w:rsidRPr="001C4AC1">
              <w:rPr>
                <w:vertAlign w:val="superscript"/>
              </w:rPr>
              <w:t>6</w:t>
            </w:r>
          </w:p>
        </w:tc>
      </w:tr>
      <w:tr w:rsidR="00C20DDD" w:rsidRPr="001611DC" w14:paraId="319ADD86" w14:textId="77777777">
        <w:trPr>
          <w:trHeight w:val="276"/>
        </w:trPr>
        <w:tc>
          <w:tcPr>
            <w:tcW w:w="1020" w:type="pct"/>
            <w:tcBorders>
              <w:top w:val="nil"/>
              <w:left w:val="single" w:sz="4" w:space="0" w:color="auto"/>
              <w:bottom w:val="single" w:sz="4" w:space="0" w:color="auto"/>
              <w:right w:val="single" w:sz="4" w:space="0" w:color="auto"/>
            </w:tcBorders>
            <w:shd w:val="clear" w:color="auto" w:fill="auto"/>
            <w:noWrap/>
            <w:vAlign w:val="center"/>
          </w:tcPr>
          <w:p w14:paraId="1343C1BE" w14:textId="77777777" w:rsidR="00C20DDD" w:rsidRPr="001611DC" w:rsidRDefault="00C20DDD">
            <w:pPr>
              <w:pStyle w:val="TableText0"/>
            </w:pPr>
            <w:r w:rsidRPr="001611DC">
              <w:t>All budgets combined</w:t>
            </w:r>
          </w:p>
        </w:tc>
        <w:tc>
          <w:tcPr>
            <w:tcW w:w="568" w:type="pct"/>
            <w:tcBorders>
              <w:top w:val="nil"/>
              <w:left w:val="nil"/>
              <w:bottom w:val="single" w:sz="4" w:space="0" w:color="auto"/>
              <w:right w:val="single" w:sz="4" w:space="0" w:color="auto"/>
            </w:tcBorders>
            <w:shd w:val="clear" w:color="auto" w:fill="auto"/>
            <w:noWrap/>
            <w:vAlign w:val="center"/>
          </w:tcPr>
          <w:p w14:paraId="296C4AD9" w14:textId="64BAD03C" w:rsidR="00C20DDD" w:rsidRPr="00583C99" w:rsidRDefault="00BD3549">
            <w:pPr>
              <w:pStyle w:val="TableText0"/>
              <w:jc w:val="center"/>
              <w:rPr>
                <w:highlight w:val="lightGray"/>
              </w:rPr>
            </w:pPr>
            <w:r w:rsidRPr="00BD3549">
              <w:rPr>
                <w:color w:val="000000"/>
                <w:spacing w:val="94"/>
                <w:shd w:val="solid" w:color="000000" w:fill="000000"/>
                <w:fitText w:val="180" w:id="-893676021"/>
                <w14:textFill>
                  <w14:solidFill>
                    <w14:srgbClr w14:val="000000">
                      <w14:alpha w14:val="100000"/>
                    </w14:srgbClr>
                  </w14:solidFill>
                </w14:textFill>
              </w:rPr>
              <w:t>|</w:t>
            </w:r>
            <w:r w:rsidRPr="00BD3549">
              <w:rPr>
                <w:color w:val="000000"/>
                <w:spacing w:val="1"/>
                <w:shd w:val="solid" w:color="000000" w:fill="000000"/>
                <w:fitText w:val="180" w:id="-893676021"/>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tcPr>
          <w:p w14:paraId="3A8042D8" w14:textId="28D91C76" w:rsidR="00C20DDD" w:rsidRPr="00583C99" w:rsidRDefault="00BD3549">
            <w:pPr>
              <w:pStyle w:val="TableText0"/>
              <w:jc w:val="center"/>
              <w:rPr>
                <w:highlight w:val="lightGray"/>
              </w:rPr>
            </w:pPr>
            <w:r w:rsidRPr="00BD3549">
              <w:rPr>
                <w:color w:val="000000"/>
                <w:spacing w:val="94"/>
                <w:shd w:val="solid" w:color="000000" w:fill="000000"/>
                <w:fitText w:val="180" w:id="-893676020"/>
                <w14:textFill>
                  <w14:solidFill>
                    <w14:srgbClr w14:val="000000">
                      <w14:alpha w14:val="100000"/>
                    </w14:srgbClr>
                  </w14:solidFill>
                </w14:textFill>
              </w:rPr>
              <w:t>|</w:t>
            </w:r>
            <w:r w:rsidRPr="00BD3549">
              <w:rPr>
                <w:color w:val="000000"/>
                <w:spacing w:val="1"/>
                <w:shd w:val="solid" w:color="000000" w:fill="000000"/>
                <w:fitText w:val="180" w:id="-893676020"/>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tcPr>
          <w:p w14:paraId="65913467" w14:textId="2432A6C3" w:rsidR="00C20DDD" w:rsidRPr="00583C99" w:rsidRDefault="00BD3549">
            <w:pPr>
              <w:pStyle w:val="TableText0"/>
              <w:jc w:val="center"/>
              <w:rPr>
                <w:highlight w:val="lightGray"/>
              </w:rPr>
            </w:pPr>
            <w:r w:rsidRPr="00BD3549">
              <w:rPr>
                <w:color w:val="000000"/>
                <w:spacing w:val="94"/>
                <w:shd w:val="solid" w:color="000000" w:fill="000000"/>
                <w:fitText w:val="180" w:id="-893676019"/>
                <w14:textFill>
                  <w14:solidFill>
                    <w14:srgbClr w14:val="000000">
                      <w14:alpha w14:val="100000"/>
                    </w14:srgbClr>
                  </w14:solidFill>
                </w14:textFill>
              </w:rPr>
              <w:t>|</w:t>
            </w:r>
            <w:r w:rsidRPr="00BD3549">
              <w:rPr>
                <w:color w:val="000000"/>
                <w:spacing w:val="1"/>
                <w:shd w:val="solid" w:color="000000" w:fill="000000"/>
                <w:fitText w:val="180" w:id="-893676019"/>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tcPr>
          <w:p w14:paraId="0E944EC1" w14:textId="5C2AEDF3" w:rsidR="00C20DDD" w:rsidRPr="00583C99" w:rsidRDefault="00BD3549">
            <w:pPr>
              <w:pStyle w:val="TableText0"/>
              <w:jc w:val="center"/>
              <w:rPr>
                <w:highlight w:val="lightGray"/>
              </w:rPr>
            </w:pPr>
            <w:r w:rsidRPr="00BD3549">
              <w:rPr>
                <w:color w:val="000000"/>
                <w:spacing w:val="94"/>
                <w:shd w:val="solid" w:color="000000" w:fill="000000"/>
                <w:fitText w:val="180" w:id="-893676018"/>
                <w14:textFill>
                  <w14:solidFill>
                    <w14:srgbClr w14:val="000000">
                      <w14:alpha w14:val="100000"/>
                    </w14:srgbClr>
                  </w14:solidFill>
                </w14:textFill>
              </w:rPr>
              <w:t>|</w:t>
            </w:r>
            <w:r w:rsidRPr="00BD3549">
              <w:rPr>
                <w:color w:val="000000"/>
                <w:spacing w:val="1"/>
                <w:shd w:val="solid" w:color="000000" w:fill="000000"/>
                <w:fitText w:val="180" w:id="-893676018"/>
                <w14:textFill>
                  <w14:solidFill>
                    <w14:srgbClr w14:val="000000">
                      <w14:alpha w14:val="100000"/>
                    </w14:srgbClr>
                  </w14:solidFill>
                </w14:textFill>
              </w:rPr>
              <w:t>|</w:t>
            </w:r>
            <w:r w:rsidR="00F80AE4" w:rsidRPr="00F80AE4">
              <w:rPr>
                <w:vertAlign w:val="superscript"/>
              </w:rPr>
              <w:t>4</w:t>
            </w:r>
          </w:p>
        </w:tc>
        <w:tc>
          <w:tcPr>
            <w:tcW w:w="568" w:type="pct"/>
            <w:tcBorders>
              <w:top w:val="nil"/>
              <w:left w:val="nil"/>
              <w:bottom w:val="single" w:sz="4" w:space="0" w:color="auto"/>
              <w:right w:val="single" w:sz="4" w:space="0" w:color="auto"/>
            </w:tcBorders>
            <w:shd w:val="clear" w:color="auto" w:fill="auto"/>
            <w:noWrap/>
            <w:vAlign w:val="center"/>
          </w:tcPr>
          <w:p w14:paraId="6A9DF4D6" w14:textId="087E3E74" w:rsidR="00C20DDD" w:rsidRPr="00583C99" w:rsidRDefault="00BD3549">
            <w:pPr>
              <w:pStyle w:val="TableText0"/>
              <w:jc w:val="center"/>
              <w:rPr>
                <w:highlight w:val="lightGray"/>
              </w:rPr>
            </w:pPr>
            <w:r w:rsidRPr="00BD3549">
              <w:rPr>
                <w:color w:val="000000"/>
                <w:spacing w:val="94"/>
                <w:shd w:val="solid" w:color="000000" w:fill="000000"/>
                <w:fitText w:val="180" w:id="-893676017"/>
                <w14:textFill>
                  <w14:solidFill>
                    <w14:srgbClr w14:val="000000">
                      <w14:alpha w14:val="100000"/>
                    </w14:srgbClr>
                  </w14:solidFill>
                </w14:textFill>
              </w:rPr>
              <w:t>|</w:t>
            </w:r>
            <w:r w:rsidRPr="00BD3549">
              <w:rPr>
                <w:color w:val="000000"/>
                <w:spacing w:val="1"/>
                <w:shd w:val="solid" w:color="000000" w:fill="000000"/>
                <w:fitText w:val="180" w:id="-893676017"/>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tcPr>
          <w:p w14:paraId="48C6B4D2" w14:textId="2F0BC9F6" w:rsidR="00C20DDD" w:rsidRPr="00583C99" w:rsidRDefault="00BD3549">
            <w:pPr>
              <w:pStyle w:val="TableText0"/>
              <w:jc w:val="center"/>
              <w:rPr>
                <w:highlight w:val="lightGray"/>
              </w:rPr>
            </w:pPr>
            <w:r w:rsidRPr="00BD3549">
              <w:rPr>
                <w:color w:val="000000"/>
                <w:spacing w:val="94"/>
                <w:shd w:val="solid" w:color="000000" w:fill="000000"/>
                <w:fitText w:val="180" w:id="-893676016"/>
                <w14:textFill>
                  <w14:solidFill>
                    <w14:srgbClr w14:val="000000">
                      <w14:alpha w14:val="100000"/>
                    </w14:srgbClr>
                  </w14:solidFill>
                </w14:textFill>
              </w:rPr>
              <w:t>|</w:t>
            </w:r>
            <w:r w:rsidRPr="00BD3549">
              <w:rPr>
                <w:color w:val="000000"/>
                <w:spacing w:val="1"/>
                <w:shd w:val="solid" w:color="000000" w:fill="000000"/>
                <w:fitText w:val="180" w:id="-893676016"/>
                <w14:textFill>
                  <w14:solidFill>
                    <w14:srgbClr w14:val="000000">
                      <w14:alpha w14:val="100000"/>
                    </w14:srgbClr>
                  </w14:solidFill>
                </w14:textFill>
              </w:rPr>
              <w:t>|</w:t>
            </w:r>
            <w:r w:rsidR="00F80AE4" w:rsidRPr="00F80AE4">
              <w:rPr>
                <w:vertAlign w:val="superscript"/>
              </w:rPr>
              <w:t>4</w:t>
            </w:r>
          </w:p>
        </w:tc>
        <w:tc>
          <w:tcPr>
            <w:tcW w:w="569" w:type="pct"/>
            <w:tcBorders>
              <w:top w:val="nil"/>
              <w:left w:val="nil"/>
              <w:bottom w:val="single" w:sz="4" w:space="0" w:color="auto"/>
              <w:right w:val="single" w:sz="4" w:space="0" w:color="auto"/>
            </w:tcBorders>
            <w:shd w:val="clear" w:color="auto" w:fill="auto"/>
            <w:noWrap/>
            <w:vAlign w:val="center"/>
          </w:tcPr>
          <w:p w14:paraId="0A13B888" w14:textId="1918DF46" w:rsidR="00C20DDD" w:rsidRPr="00583C99" w:rsidRDefault="00BD3549">
            <w:pPr>
              <w:pStyle w:val="TableText0"/>
              <w:jc w:val="center"/>
              <w:rPr>
                <w:highlight w:val="lightGray"/>
              </w:rPr>
            </w:pPr>
            <w:r w:rsidRPr="00BD3549">
              <w:rPr>
                <w:color w:val="000000"/>
                <w:spacing w:val="94"/>
                <w:shd w:val="solid" w:color="000000" w:fill="000000"/>
                <w:fitText w:val="180" w:id="-893676032"/>
                <w14:textFill>
                  <w14:solidFill>
                    <w14:srgbClr w14:val="000000">
                      <w14:alpha w14:val="100000"/>
                    </w14:srgbClr>
                  </w14:solidFill>
                </w14:textFill>
              </w:rPr>
              <w:t>|</w:t>
            </w:r>
            <w:r w:rsidRPr="00BD3549">
              <w:rPr>
                <w:color w:val="000000"/>
                <w:spacing w:val="1"/>
                <w:shd w:val="solid" w:color="000000" w:fill="000000"/>
                <w:fitText w:val="180" w:id="-893676032"/>
                <w14:textFill>
                  <w14:solidFill>
                    <w14:srgbClr w14:val="000000">
                      <w14:alpha w14:val="100000"/>
                    </w14:srgbClr>
                  </w14:solidFill>
                </w14:textFill>
              </w:rPr>
              <w:t>|</w:t>
            </w:r>
            <w:r w:rsidR="00447C5F" w:rsidRPr="00447C5F">
              <w:rPr>
                <w:vertAlign w:val="superscript"/>
              </w:rPr>
              <w:t>5</w:t>
            </w:r>
          </w:p>
        </w:tc>
      </w:tr>
    </w:tbl>
    <w:p w14:paraId="1D31264A" w14:textId="77777777" w:rsidR="00C20DDD" w:rsidRPr="001611DC" w:rsidRDefault="00C20DDD" w:rsidP="00C20DDD">
      <w:pPr>
        <w:pStyle w:val="FooterTableFigure"/>
        <w:rPr>
          <w:rFonts w:eastAsiaTheme="majorEastAsia"/>
        </w:rPr>
      </w:pPr>
      <w:r w:rsidRPr="001611DC">
        <w:rPr>
          <w:rFonts w:eastAsiaTheme="majorEastAsia"/>
        </w:rPr>
        <w:t>Source: Table 4-56, p304 of the submission.</w:t>
      </w:r>
    </w:p>
    <w:p w14:paraId="3636A2B4" w14:textId="77777777" w:rsidR="001E115B" w:rsidRDefault="00C20DDD" w:rsidP="00C20DDD">
      <w:pPr>
        <w:pStyle w:val="FooterTableFigure"/>
        <w:rPr>
          <w:rFonts w:eastAsiaTheme="majorEastAsia"/>
        </w:rPr>
      </w:pPr>
      <w:r w:rsidRPr="001611DC">
        <w:rPr>
          <w:rFonts w:eastAsiaTheme="majorEastAsia"/>
        </w:rPr>
        <w:t>K = thousands; MBS = Medicare Benefits Schedule; NIP = National Immunisation Program; PBS = Pharmaceutical Benefits Schedule; YOA = years of age</w:t>
      </w:r>
    </w:p>
    <w:p w14:paraId="4270AC24" w14:textId="49C6D574" w:rsidR="001E115B" w:rsidRPr="00330EA2" w:rsidRDefault="001E115B" w:rsidP="001E115B">
      <w:pPr>
        <w:pStyle w:val="FooterTableFigure"/>
        <w:rPr>
          <w:rFonts w:eastAsiaTheme="majorEastAsia"/>
          <w:i/>
          <w:iCs/>
        </w:rPr>
      </w:pPr>
      <w:r w:rsidRPr="00330EA2">
        <w:rPr>
          <w:rFonts w:eastAsiaTheme="majorEastAsia"/>
          <w:i/>
          <w:iCs/>
        </w:rPr>
        <w:t>The redacted values correspond to the following ranges:</w:t>
      </w:r>
    </w:p>
    <w:p w14:paraId="1C91DC67" w14:textId="32D83D9F" w:rsidR="00D14F1D" w:rsidRPr="00330EA2" w:rsidRDefault="00D14F1D" w:rsidP="001E115B">
      <w:pPr>
        <w:pStyle w:val="FooterTableFigure"/>
        <w:rPr>
          <w:rFonts w:eastAsiaTheme="majorEastAsia"/>
          <w:i/>
          <w:iCs/>
        </w:rPr>
      </w:pPr>
      <w:r w:rsidRPr="00330EA2">
        <w:rPr>
          <w:rFonts w:eastAsiaTheme="majorEastAsia"/>
          <w:i/>
          <w:iCs/>
        </w:rPr>
        <w:t>1 20,000 to &lt; 30,000</w:t>
      </w:r>
    </w:p>
    <w:p w14:paraId="21D73E28" w14:textId="3080D584" w:rsidR="00DD125C" w:rsidRPr="00330EA2" w:rsidRDefault="00DD125C" w:rsidP="001E115B">
      <w:pPr>
        <w:pStyle w:val="FooterTableFigure"/>
        <w:rPr>
          <w:rFonts w:eastAsiaTheme="majorEastAsia"/>
          <w:i/>
          <w:iCs/>
        </w:rPr>
      </w:pPr>
      <w:r w:rsidRPr="00330EA2">
        <w:rPr>
          <w:rFonts w:eastAsiaTheme="majorEastAsia"/>
          <w:i/>
          <w:iCs/>
        </w:rPr>
        <w:t>2 5,000 to &lt; 10,000</w:t>
      </w:r>
    </w:p>
    <w:p w14:paraId="7E25B50E" w14:textId="6913E42B" w:rsidR="002D69E5" w:rsidRPr="00330EA2" w:rsidRDefault="002D69E5" w:rsidP="001E115B">
      <w:pPr>
        <w:pStyle w:val="FooterTableFigure"/>
        <w:rPr>
          <w:rFonts w:eastAsiaTheme="majorEastAsia"/>
          <w:i/>
          <w:iCs/>
        </w:rPr>
      </w:pPr>
      <w:r w:rsidRPr="00330EA2">
        <w:rPr>
          <w:rFonts w:eastAsiaTheme="majorEastAsia"/>
          <w:i/>
          <w:iCs/>
        </w:rPr>
        <w:t>3 60,000 to &lt; 70,000</w:t>
      </w:r>
    </w:p>
    <w:p w14:paraId="3185BBE7" w14:textId="38E33FFE" w:rsidR="0020552C" w:rsidRPr="00330EA2" w:rsidRDefault="0020552C" w:rsidP="001E115B">
      <w:pPr>
        <w:pStyle w:val="FooterTableFigure"/>
        <w:rPr>
          <w:rFonts w:eastAsiaTheme="majorEastAsia"/>
          <w:i/>
          <w:iCs/>
        </w:rPr>
      </w:pPr>
      <w:r w:rsidRPr="00330EA2">
        <w:rPr>
          <w:rFonts w:eastAsiaTheme="majorEastAsia"/>
          <w:i/>
          <w:iCs/>
        </w:rPr>
        <w:t>4 $0 to &lt; $10 million</w:t>
      </w:r>
    </w:p>
    <w:p w14:paraId="0823B542" w14:textId="17E3593B" w:rsidR="007758BD" w:rsidRPr="00330EA2" w:rsidRDefault="007758BD" w:rsidP="001E115B">
      <w:pPr>
        <w:pStyle w:val="FooterTableFigure"/>
        <w:rPr>
          <w:rFonts w:eastAsiaTheme="majorEastAsia"/>
          <w:i/>
          <w:iCs/>
        </w:rPr>
      </w:pPr>
      <w:r w:rsidRPr="00330EA2">
        <w:rPr>
          <w:rFonts w:eastAsiaTheme="majorEastAsia"/>
          <w:i/>
          <w:iCs/>
        </w:rPr>
        <w:t>5 $10 million to &lt; $20 million</w:t>
      </w:r>
    </w:p>
    <w:p w14:paraId="758F8CEE" w14:textId="36505D56" w:rsidR="007748D3" w:rsidRPr="00330EA2" w:rsidRDefault="00BF715E" w:rsidP="001E115B">
      <w:pPr>
        <w:pStyle w:val="FooterTableFigure"/>
        <w:rPr>
          <w:rFonts w:eastAsiaTheme="majorEastAsia"/>
          <w:i/>
          <w:iCs/>
        </w:rPr>
      </w:pPr>
      <w:r w:rsidRPr="00330EA2">
        <w:rPr>
          <w:rFonts w:eastAsiaTheme="majorEastAsia"/>
          <w:i/>
          <w:iCs/>
        </w:rPr>
        <w:t>6 net cost saving</w:t>
      </w:r>
    </w:p>
    <w:p w14:paraId="63922A90" w14:textId="150EDDB4" w:rsidR="00C20DDD" w:rsidRPr="001611DC" w:rsidRDefault="00C20DDD" w:rsidP="00C20DDD">
      <w:pPr>
        <w:pStyle w:val="3-BodyText"/>
        <w:rPr>
          <w:color w:val="0066FF"/>
        </w:rPr>
      </w:pPr>
      <w:r w:rsidRPr="001611DC">
        <w:rPr>
          <w:rFonts w:eastAsiaTheme="majorEastAsia"/>
        </w:rPr>
        <w:t>Costs to the NIP estimated by the submission for First Nations people aged 60</w:t>
      </w:r>
      <w:r w:rsidRPr="001611DC">
        <w:rPr>
          <w:rFonts w:eastAsiaTheme="majorEastAsia"/>
        </w:rPr>
        <w:noBreakHyphen/>
        <w:t>74 YOA were $</w:t>
      </w:r>
      <w:r w:rsidR="001A7BD0" w:rsidRPr="001A7BD0">
        <w:rPr>
          <w:rFonts w:eastAsiaTheme="majorEastAsia"/>
        </w:rPr>
        <w:t>10 million to &lt; $20 million</w:t>
      </w:r>
      <w:r w:rsidR="001A7BD0" w:rsidRPr="001A7BD0" w:rsidDel="001A7BD0">
        <w:rPr>
          <w:rFonts w:eastAsiaTheme="majorEastAsia"/>
        </w:rPr>
        <w:t xml:space="preserve"> </w:t>
      </w:r>
      <w:r w:rsidRPr="001611DC">
        <w:rPr>
          <w:rFonts w:eastAsiaTheme="majorEastAsia"/>
        </w:rPr>
        <w:t>over 6 years</w:t>
      </w:r>
      <w:r w:rsidRPr="001611DC">
        <w:t xml:space="preserve"> The submission estimated the impact on all health budgets over 6 years of listing RSVPreF3 OA for First Nations people 60-74 YOA to be $</w:t>
      </w:r>
      <w:r w:rsidR="001A7BD0" w:rsidRPr="001A7BD0">
        <w:t>10 million to &lt; $20 million</w:t>
      </w:r>
      <w:r w:rsidRPr="001611DC">
        <w:t>.</w:t>
      </w:r>
      <w:r w:rsidRPr="001611DC">
        <w:rPr>
          <w:iCs/>
        </w:rPr>
        <w:t xml:space="preserve"> </w:t>
      </w:r>
      <w:r w:rsidRPr="001611DC">
        <w:t>These estimates were uncertain given all parameters except uptake and population were estimated for the general population.</w:t>
      </w:r>
    </w:p>
    <w:p w14:paraId="7977B1E9" w14:textId="4F147B5D" w:rsidR="00C20DDD" w:rsidRPr="001611DC" w:rsidRDefault="00C20DDD" w:rsidP="00C20DDD">
      <w:pPr>
        <w:pStyle w:val="3-BodyText"/>
      </w:pPr>
      <w:r w:rsidRPr="001611DC">
        <w:rPr>
          <w:color w:val="000000" w:themeColor="text1"/>
        </w:rPr>
        <w:t xml:space="preserve">The submission estimated the number of increased risk persons 60-74 YOA based on the proportion of individuals in AReSVi-006 who had at least 1 pre-existing comorbidity of interest at baseline. The submission estimated uptake from </w:t>
      </w:r>
      <w:r w:rsidRPr="001611DC">
        <w:t xml:space="preserve">De Oliveira Bernardo et al. 2019, which used MedicineInsight data of vaccine coverage between 2015 and 2017. </w:t>
      </w:r>
      <w:r w:rsidRPr="001611DC">
        <w:rPr>
          <w:color w:val="000000" w:themeColor="text1"/>
        </w:rPr>
        <w:t xml:space="preserve">Estimated use and financial implications to the Federal Government, and the State and Territory Government for increased risk persons are presented in </w:t>
      </w:r>
      <w:r w:rsidRPr="001611DC">
        <w:rPr>
          <w:color w:val="000000" w:themeColor="text1"/>
        </w:rPr>
        <w:fldChar w:fldCharType="begin" w:fldLock="1"/>
      </w:r>
      <w:r w:rsidRPr="001611DC">
        <w:rPr>
          <w:color w:val="000000" w:themeColor="text1"/>
        </w:rPr>
        <w:instrText xml:space="preserve"> REF _Ref166858108 \h </w:instrText>
      </w:r>
      <w:r w:rsidRPr="001611DC">
        <w:rPr>
          <w:color w:val="000000" w:themeColor="text1"/>
        </w:rPr>
      </w:r>
      <w:r w:rsidRPr="001611DC">
        <w:rPr>
          <w:color w:val="000000" w:themeColor="text1"/>
        </w:rPr>
        <w:fldChar w:fldCharType="separate"/>
      </w:r>
      <w:r w:rsidR="00927933" w:rsidRPr="001611DC">
        <w:t>Table 33</w:t>
      </w:r>
      <w:r w:rsidRPr="001611DC">
        <w:rPr>
          <w:color w:val="000000" w:themeColor="text1"/>
        </w:rPr>
        <w:fldChar w:fldCharType="end"/>
      </w:r>
      <w:r w:rsidRPr="001611DC">
        <w:rPr>
          <w:color w:val="000000" w:themeColor="text1"/>
        </w:rPr>
        <w:t>.</w:t>
      </w:r>
    </w:p>
    <w:p w14:paraId="7FF126D6" w14:textId="1320E77C" w:rsidR="00C20DDD" w:rsidRPr="001611DC" w:rsidRDefault="00C20DDD" w:rsidP="00C20DDD">
      <w:pPr>
        <w:pStyle w:val="Caption"/>
      </w:pPr>
      <w:bookmarkStart w:id="195" w:name="_Ref166858108"/>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33</w:t>
      </w:r>
      <w:r w:rsidR="005473CE" w:rsidRPr="001611DC">
        <w:fldChar w:fldCharType="end"/>
      </w:r>
      <w:bookmarkEnd w:id="195"/>
      <w:r w:rsidRPr="001611DC">
        <w:t>: Summary of net financial impact to each health budget, increased risk persons 60-74 YOA</w:t>
      </w:r>
    </w:p>
    <w:tbl>
      <w:tblPr>
        <w:tblW w:w="5000" w:type="pct"/>
        <w:tblLayout w:type="fixed"/>
        <w:tblCellMar>
          <w:left w:w="28" w:type="dxa"/>
          <w:right w:w="28" w:type="dxa"/>
        </w:tblCellMar>
        <w:tblLook w:val="04A0" w:firstRow="1" w:lastRow="0" w:firstColumn="1" w:lastColumn="0" w:noHBand="0" w:noVBand="1"/>
        <w:tblCaption w:val="Table 33: Summary of net financial impact to each health budget, increased risk persons 60-74 YOA"/>
      </w:tblPr>
      <w:tblGrid>
        <w:gridCol w:w="1554"/>
        <w:gridCol w:w="1065"/>
        <w:gridCol w:w="1066"/>
        <w:gridCol w:w="1066"/>
        <w:gridCol w:w="1066"/>
        <w:gridCol w:w="1066"/>
        <w:gridCol w:w="1066"/>
        <w:gridCol w:w="1068"/>
      </w:tblGrid>
      <w:tr w:rsidR="00C20DDD" w:rsidRPr="001611DC" w14:paraId="10B0F4DC" w14:textId="77777777">
        <w:trPr>
          <w:trHeight w:val="276"/>
          <w:tblHeader/>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BCEDC" w14:textId="77777777" w:rsidR="00C20DDD" w:rsidRPr="001611DC" w:rsidRDefault="00C20DDD">
            <w:pPr>
              <w:pStyle w:val="In-tableHeading"/>
              <w:jc w:val="center"/>
              <w:rPr>
                <w:lang w:val="en-AU"/>
              </w:rPr>
            </w:pPr>
            <w:r w:rsidRPr="001611DC">
              <w:rPr>
                <w:lang w:val="en-AU"/>
              </w:rPr>
              <w:t>Health budget</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7FEBB625" w14:textId="77777777" w:rsidR="00C20DDD" w:rsidRPr="001611DC" w:rsidRDefault="00C20DDD">
            <w:pPr>
              <w:pStyle w:val="In-tableHeading"/>
              <w:jc w:val="center"/>
              <w:rPr>
                <w:lang w:val="en-AU"/>
              </w:rPr>
            </w:pPr>
            <w:r w:rsidRPr="001611DC">
              <w:rPr>
                <w:lang w:val="en-AU"/>
              </w:rPr>
              <w:t>2025</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10B79CAF" w14:textId="77777777" w:rsidR="00C20DDD" w:rsidRPr="001611DC" w:rsidRDefault="00C20DDD">
            <w:pPr>
              <w:pStyle w:val="In-tableHeading"/>
              <w:jc w:val="center"/>
              <w:rPr>
                <w:lang w:val="en-AU"/>
              </w:rPr>
            </w:pPr>
            <w:r w:rsidRPr="001611DC">
              <w:rPr>
                <w:lang w:val="en-AU"/>
              </w:rPr>
              <w:t>2026</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6F02A722" w14:textId="77777777" w:rsidR="00C20DDD" w:rsidRPr="001611DC" w:rsidRDefault="00C20DDD">
            <w:pPr>
              <w:pStyle w:val="In-tableHeading"/>
              <w:jc w:val="center"/>
              <w:rPr>
                <w:lang w:val="en-AU"/>
              </w:rPr>
            </w:pPr>
            <w:r w:rsidRPr="001611DC">
              <w:rPr>
                <w:lang w:val="en-AU"/>
              </w:rPr>
              <w:t>2027</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53D2C115" w14:textId="77777777" w:rsidR="00C20DDD" w:rsidRPr="001611DC" w:rsidRDefault="00C20DDD">
            <w:pPr>
              <w:pStyle w:val="In-tableHeading"/>
              <w:jc w:val="center"/>
              <w:rPr>
                <w:lang w:val="en-AU"/>
              </w:rPr>
            </w:pPr>
            <w:r w:rsidRPr="001611DC">
              <w:rPr>
                <w:lang w:val="en-AU"/>
              </w:rPr>
              <w:t>2028</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574614AD" w14:textId="77777777" w:rsidR="00C20DDD" w:rsidRPr="001611DC" w:rsidRDefault="00C20DDD">
            <w:pPr>
              <w:pStyle w:val="In-tableHeading"/>
              <w:jc w:val="center"/>
              <w:rPr>
                <w:lang w:val="en-AU"/>
              </w:rPr>
            </w:pPr>
            <w:r w:rsidRPr="001611DC">
              <w:rPr>
                <w:lang w:val="en-AU"/>
              </w:rPr>
              <w:t>2029</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369406B7" w14:textId="77777777" w:rsidR="00C20DDD" w:rsidRPr="001611DC" w:rsidRDefault="00C20DDD">
            <w:pPr>
              <w:pStyle w:val="In-tableHeading"/>
              <w:jc w:val="center"/>
              <w:rPr>
                <w:lang w:val="en-AU"/>
              </w:rPr>
            </w:pPr>
            <w:r w:rsidRPr="001611DC">
              <w:rPr>
                <w:lang w:val="en-AU"/>
              </w:rPr>
              <w:t>2030</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67D27A76" w14:textId="77777777" w:rsidR="00C20DDD" w:rsidRPr="001611DC" w:rsidRDefault="00C20DDD">
            <w:pPr>
              <w:pStyle w:val="In-tableHeading"/>
              <w:jc w:val="center"/>
              <w:rPr>
                <w:lang w:val="en-AU"/>
              </w:rPr>
            </w:pPr>
            <w:r w:rsidRPr="001611DC">
              <w:rPr>
                <w:lang w:val="en-AU"/>
              </w:rPr>
              <w:t>Total</w:t>
            </w:r>
          </w:p>
        </w:tc>
      </w:tr>
      <w:tr w:rsidR="00C20DDD" w:rsidRPr="001611DC" w14:paraId="69AAD948" w14:textId="77777777">
        <w:trPr>
          <w:trHeight w:val="276"/>
          <w:tblHeader/>
        </w:trPr>
        <w:tc>
          <w:tcPr>
            <w:tcW w:w="8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E564A" w14:textId="0C7E6EFE" w:rsidR="00C20DDD" w:rsidRPr="001611DC" w:rsidRDefault="00C20DDD">
            <w:pPr>
              <w:pStyle w:val="In-tableHeading"/>
              <w:rPr>
                <w:lang w:val="en-AU"/>
              </w:rPr>
            </w:pPr>
            <w:r w:rsidRPr="001611DC">
              <w:rPr>
                <w:b w:val="0"/>
                <w:lang w:val="en-AU"/>
              </w:rPr>
              <w:t xml:space="preserve">Predicted number of </w:t>
            </w:r>
            <w:r w:rsidR="00AF1B5A" w:rsidRPr="001611DC">
              <w:rPr>
                <w:b w:val="0"/>
                <w:lang w:val="en-AU"/>
              </w:rPr>
              <w:t>people vaccinated</w:t>
            </w:r>
            <w:r w:rsidRPr="001611DC">
              <w:rPr>
                <w:b w:val="0"/>
                <w:lang w:val="en-AU"/>
              </w:rPr>
              <w:t xml:space="preserve"> with RSVPreF3 OA</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0E3141D5" w14:textId="29B65485"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31"/>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31"/>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31"/>
                <w:lang w:val="en-AU"/>
                <w14:textFill>
                  <w14:solidFill>
                    <w14:srgbClr w14:val="000000">
                      <w14:alpha w14:val="100000"/>
                    </w14:srgbClr>
                  </w14:solidFill>
                </w14:textFill>
              </w:rPr>
              <w:t xml:space="preserve">　</w:t>
            </w:r>
            <w:r w:rsidR="00077472" w:rsidRPr="00FD2F11">
              <w:rPr>
                <w:b w:val="0"/>
                <w:bCs/>
                <w:vertAlign w:val="superscript"/>
                <w:lang w:val="en-AU"/>
              </w:rPr>
              <w:t>1</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12B7400E" w14:textId="4BD29A16"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30"/>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30"/>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30"/>
                <w:lang w:val="en-AU"/>
                <w14:textFill>
                  <w14:solidFill>
                    <w14:srgbClr w14:val="000000">
                      <w14:alpha w14:val="100000"/>
                    </w14:srgbClr>
                  </w14:solidFill>
                </w14:textFill>
              </w:rPr>
              <w:t xml:space="preserve">　</w:t>
            </w:r>
            <w:r w:rsidR="00077472" w:rsidRPr="00FD2F11">
              <w:rPr>
                <w:b w:val="0"/>
                <w:bCs/>
                <w:vertAlign w:val="superscript"/>
                <w:lang w:val="en-AU"/>
              </w:rPr>
              <w:t>2</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1B210AFE" w14:textId="0067F316"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29"/>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29"/>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29"/>
                <w:lang w:val="en-AU"/>
                <w14:textFill>
                  <w14:solidFill>
                    <w14:srgbClr w14:val="000000">
                      <w14:alpha w14:val="100000"/>
                    </w14:srgbClr>
                  </w14:solidFill>
                </w14:textFill>
              </w:rPr>
              <w:t xml:space="preserve">　</w:t>
            </w:r>
            <w:r w:rsidR="00FD2F11" w:rsidRPr="00FD2F11">
              <w:rPr>
                <w:b w:val="0"/>
                <w:bCs/>
                <w:vertAlign w:val="superscript"/>
                <w:lang w:val="en-AU"/>
              </w:rPr>
              <w:t>2</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5DAF64B3" w14:textId="41B27835"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28"/>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28"/>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28"/>
                <w:lang w:val="en-AU"/>
                <w14:textFill>
                  <w14:solidFill>
                    <w14:srgbClr w14:val="000000">
                      <w14:alpha w14:val="100000"/>
                    </w14:srgbClr>
                  </w14:solidFill>
                </w14:textFill>
              </w:rPr>
              <w:t xml:space="preserve">　</w:t>
            </w:r>
            <w:r w:rsidR="00FD2F11" w:rsidRPr="00FD2F11">
              <w:rPr>
                <w:b w:val="0"/>
                <w:bCs/>
                <w:vertAlign w:val="superscript"/>
                <w:lang w:val="en-AU"/>
              </w:rPr>
              <w:t>2</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2CB70A3C" w14:textId="769A3EDB"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27"/>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27"/>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27"/>
                <w:lang w:val="en-AU"/>
                <w14:textFill>
                  <w14:solidFill>
                    <w14:srgbClr w14:val="000000">
                      <w14:alpha w14:val="100000"/>
                    </w14:srgbClr>
                  </w14:solidFill>
                </w14:textFill>
              </w:rPr>
              <w:t xml:space="preserve">　</w:t>
            </w:r>
            <w:r w:rsidR="00FD2F11" w:rsidRPr="00FD2F11">
              <w:rPr>
                <w:b w:val="0"/>
                <w:bCs/>
                <w:vertAlign w:val="superscript"/>
                <w:lang w:val="en-AU"/>
              </w:rPr>
              <w:t>2</w:t>
            </w:r>
          </w:p>
        </w:tc>
        <w:tc>
          <w:tcPr>
            <w:tcW w:w="591" w:type="pct"/>
            <w:tcBorders>
              <w:top w:val="single" w:sz="4" w:space="0" w:color="auto"/>
              <w:left w:val="nil"/>
              <w:bottom w:val="single" w:sz="4" w:space="0" w:color="auto"/>
              <w:right w:val="single" w:sz="4" w:space="0" w:color="auto"/>
            </w:tcBorders>
            <w:shd w:val="clear" w:color="auto" w:fill="auto"/>
            <w:noWrap/>
            <w:vAlign w:val="center"/>
          </w:tcPr>
          <w:p w14:paraId="05106629" w14:textId="123F79FC" w:rsidR="00C20DDD" w:rsidRPr="00E9374D" w:rsidRDefault="00BD3549">
            <w:pPr>
              <w:pStyle w:val="In-tableHeading"/>
              <w:jc w:val="center"/>
              <w:rPr>
                <w:b w:val="0"/>
                <w:bCs/>
                <w:highlight w:val="lightGray"/>
                <w:lang w:val="en-AU"/>
              </w:rPr>
            </w:pPr>
            <w:r w:rsidRPr="00BD3549">
              <w:rPr>
                <w:rFonts w:hint="eastAsia"/>
                <w:b w:val="0"/>
                <w:bCs/>
                <w:color w:val="000000"/>
                <w:w w:val="16"/>
                <w:shd w:val="solid" w:color="000000" w:fill="000000"/>
                <w:fitText w:val="75" w:id="-893676026"/>
                <w:lang w:val="en-AU"/>
                <w14:textFill>
                  <w14:solidFill>
                    <w14:srgbClr w14:val="000000">
                      <w14:alpha w14:val="100000"/>
                    </w14:srgbClr>
                  </w14:solidFill>
                </w14:textFill>
              </w:rPr>
              <w:t xml:space="preserve">　</w:t>
            </w:r>
            <w:r w:rsidRPr="00BD3549">
              <w:rPr>
                <w:b w:val="0"/>
                <w:bCs/>
                <w:color w:val="000000"/>
                <w:w w:val="16"/>
                <w:shd w:val="solid" w:color="000000" w:fill="000000"/>
                <w:fitText w:val="75" w:id="-893676026"/>
                <w:lang w:val="en-AU"/>
                <w14:textFill>
                  <w14:solidFill>
                    <w14:srgbClr w14:val="000000">
                      <w14:alpha w14:val="100000"/>
                    </w14:srgbClr>
                  </w14:solidFill>
                </w14:textFill>
              </w:rPr>
              <w:t>|</w:t>
            </w:r>
            <w:r w:rsidRPr="00BD3549">
              <w:rPr>
                <w:rFonts w:hint="eastAsia"/>
                <w:b w:val="0"/>
                <w:bCs/>
                <w:color w:val="000000"/>
                <w:spacing w:val="5"/>
                <w:w w:val="16"/>
                <w:shd w:val="solid" w:color="000000" w:fill="000000"/>
                <w:fitText w:val="75" w:id="-893676026"/>
                <w:lang w:val="en-AU"/>
                <w14:textFill>
                  <w14:solidFill>
                    <w14:srgbClr w14:val="000000">
                      <w14:alpha w14:val="100000"/>
                    </w14:srgbClr>
                  </w14:solidFill>
                </w14:textFill>
              </w:rPr>
              <w:t xml:space="preserve">　</w:t>
            </w:r>
            <w:r w:rsidR="00FD2F11" w:rsidRPr="00FD2F11">
              <w:rPr>
                <w:b w:val="0"/>
                <w:bCs/>
                <w:vertAlign w:val="superscript"/>
                <w:lang w:val="en-AU"/>
              </w:rPr>
              <w:t>2</w:t>
            </w:r>
          </w:p>
        </w:tc>
        <w:tc>
          <w:tcPr>
            <w:tcW w:w="592" w:type="pct"/>
            <w:tcBorders>
              <w:top w:val="single" w:sz="4" w:space="0" w:color="auto"/>
              <w:left w:val="nil"/>
              <w:bottom w:val="single" w:sz="4" w:space="0" w:color="auto"/>
              <w:right w:val="single" w:sz="4" w:space="0" w:color="auto"/>
            </w:tcBorders>
            <w:shd w:val="clear" w:color="auto" w:fill="auto"/>
            <w:noWrap/>
            <w:vAlign w:val="center"/>
          </w:tcPr>
          <w:p w14:paraId="612BD582" w14:textId="6DECF725"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5"/>
                <w14:textFill>
                  <w14:solidFill>
                    <w14:srgbClr w14:val="000000">
                      <w14:alpha w14:val="100000"/>
                    </w14:srgbClr>
                  </w14:solidFill>
                </w14:textFill>
              </w:rPr>
              <w:t xml:space="preserve">　</w:t>
            </w:r>
            <w:r w:rsidRPr="00BD3549">
              <w:rPr>
                <w:color w:val="000000"/>
                <w:w w:val="16"/>
                <w:shd w:val="solid" w:color="000000" w:fill="000000"/>
                <w:fitText w:val="75" w:id="-893676025"/>
                <w14:textFill>
                  <w14:solidFill>
                    <w14:srgbClr w14:val="000000">
                      <w14:alpha w14:val="100000"/>
                    </w14:srgbClr>
                  </w14:solidFill>
                </w14:textFill>
              </w:rPr>
              <w:t>|</w:t>
            </w:r>
            <w:r w:rsidRPr="00BD3549">
              <w:rPr>
                <w:rFonts w:hint="eastAsia"/>
                <w:color w:val="000000"/>
                <w:spacing w:val="5"/>
                <w:w w:val="16"/>
                <w:shd w:val="solid" w:color="000000" w:fill="000000"/>
                <w:fitText w:val="75" w:id="-893676025"/>
                <w14:textFill>
                  <w14:solidFill>
                    <w14:srgbClr w14:val="000000">
                      <w14:alpha w14:val="100000"/>
                    </w14:srgbClr>
                  </w14:solidFill>
                </w14:textFill>
              </w:rPr>
              <w:t xml:space="preserve">　</w:t>
            </w:r>
            <w:r w:rsidR="00FD2F11" w:rsidRPr="00FD2F11">
              <w:rPr>
                <w:vertAlign w:val="superscript"/>
              </w:rPr>
              <w:t>3</w:t>
            </w:r>
          </w:p>
        </w:tc>
      </w:tr>
      <w:tr w:rsidR="00C20DDD" w:rsidRPr="001611DC" w14:paraId="3164403C" w14:textId="77777777">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5A5E7F10" w14:textId="77777777" w:rsidR="00C20DDD" w:rsidRPr="001611DC" w:rsidRDefault="00C20DDD">
            <w:pPr>
              <w:pStyle w:val="TableText0"/>
            </w:pPr>
            <w:r w:rsidRPr="001611DC">
              <w:t>Federal</w:t>
            </w:r>
          </w:p>
        </w:tc>
        <w:tc>
          <w:tcPr>
            <w:tcW w:w="591" w:type="pct"/>
            <w:tcBorders>
              <w:top w:val="nil"/>
              <w:left w:val="nil"/>
              <w:bottom w:val="single" w:sz="4" w:space="0" w:color="auto"/>
              <w:right w:val="single" w:sz="4" w:space="0" w:color="auto"/>
            </w:tcBorders>
            <w:shd w:val="clear" w:color="auto" w:fill="auto"/>
            <w:noWrap/>
            <w:vAlign w:val="center"/>
            <w:hideMark/>
          </w:tcPr>
          <w:p w14:paraId="763D75D5" w14:textId="1D9BA1C8"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4"/>
                <w14:textFill>
                  <w14:solidFill>
                    <w14:srgbClr w14:val="000000">
                      <w14:alpha w14:val="100000"/>
                    </w14:srgbClr>
                  </w14:solidFill>
                </w14:textFill>
              </w:rPr>
              <w:t xml:space="preserve">　</w:t>
            </w:r>
            <w:r w:rsidRPr="00BD3549">
              <w:rPr>
                <w:color w:val="000000"/>
                <w:w w:val="16"/>
                <w:shd w:val="solid" w:color="000000" w:fill="000000"/>
                <w:fitText w:val="75" w:id="-893676024"/>
                <w14:textFill>
                  <w14:solidFill>
                    <w14:srgbClr w14:val="000000">
                      <w14:alpha w14:val="100000"/>
                    </w14:srgbClr>
                  </w14:solidFill>
                </w14:textFill>
              </w:rPr>
              <w:t>|</w:t>
            </w:r>
            <w:r w:rsidRPr="00BD3549">
              <w:rPr>
                <w:rFonts w:hint="eastAsia"/>
                <w:color w:val="000000"/>
                <w:spacing w:val="5"/>
                <w:w w:val="16"/>
                <w:shd w:val="solid" w:color="000000" w:fill="000000"/>
                <w:fitText w:val="75" w:id="-893676024"/>
                <w14:textFill>
                  <w14:solidFill>
                    <w14:srgbClr w14:val="000000">
                      <w14:alpha w14:val="100000"/>
                    </w14:srgbClr>
                  </w14:solidFill>
                </w14:textFill>
              </w:rPr>
              <w:t xml:space="preserve">　</w:t>
            </w:r>
            <w:r w:rsidR="005E1BF1" w:rsidRPr="005E1BF1">
              <w:rPr>
                <w:vertAlign w:val="superscript"/>
              </w:rPr>
              <w:t>4</w:t>
            </w:r>
          </w:p>
        </w:tc>
        <w:tc>
          <w:tcPr>
            <w:tcW w:w="591" w:type="pct"/>
            <w:tcBorders>
              <w:top w:val="nil"/>
              <w:left w:val="nil"/>
              <w:bottom w:val="single" w:sz="4" w:space="0" w:color="auto"/>
              <w:right w:val="single" w:sz="4" w:space="0" w:color="auto"/>
            </w:tcBorders>
            <w:shd w:val="clear" w:color="auto" w:fill="auto"/>
            <w:noWrap/>
            <w:vAlign w:val="center"/>
            <w:hideMark/>
          </w:tcPr>
          <w:p w14:paraId="2EDE513C" w14:textId="66CCC12D"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3"/>
                <w14:textFill>
                  <w14:solidFill>
                    <w14:srgbClr w14:val="000000">
                      <w14:alpha w14:val="100000"/>
                    </w14:srgbClr>
                  </w14:solidFill>
                </w14:textFill>
              </w:rPr>
              <w:t xml:space="preserve">　</w:t>
            </w:r>
            <w:r w:rsidRPr="00BD3549">
              <w:rPr>
                <w:color w:val="000000"/>
                <w:w w:val="16"/>
                <w:shd w:val="solid" w:color="000000" w:fill="000000"/>
                <w:fitText w:val="75" w:id="-893676023"/>
                <w14:textFill>
                  <w14:solidFill>
                    <w14:srgbClr w14:val="000000">
                      <w14:alpha w14:val="100000"/>
                    </w14:srgbClr>
                  </w14:solidFill>
                </w14:textFill>
              </w:rPr>
              <w:t>|</w:t>
            </w:r>
            <w:r w:rsidRPr="00BD3549">
              <w:rPr>
                <w:rFonts w:hint="eastAsia"/>
                <w:color w:val="000000"/>
                <w:spacing w:val="5"/>
                <w:w w:val="16"/>
                <w:shd w:val="solid" w:color="000000" w:fill="000000"/>
                <w:fitText w:val="75" w:id="-893676023"/>
                <w14:textFill>
                  <w14:solidFill>
                    <w14:srgbClr w14:val="000000">
                      <w14:alpha w14:val="100000"/>
                    </w14:srgbClr>
                  </w14:solidFill>
                </w14:textFill>
              </w:rPr>
              <w:t xml:space="preserve">　</w:t>
            </w:r>
            <w:r w:rsidR="00702208" w:rsidRPr="00BA5556">
              <w:rPr>
                <w:vertAlign w:val="superscript"/>
              </w:rPr>
              <w:t>5</w:t>
            </w:r>
          </w:p>
        </w:tc>
        <w:tc>
          <w:tcPr>
            <w:tcW w:w="591" w:type="pct"/>
            <w:tcBorders>
              <w:top w:val="nil"/>
              <w:left w:val="nil"/>
              <w:bottom w:val="single" w:sz="4" w:space="0" w:color="auto"/>
              <w:right w:val="single" w:sz="4" w:space="0" w:color="auto"/>
            </w:tcBorders>
            <w:shd w:val="clear" w:color="auto" w:fill="auto"/>
            <w:noWrap/>
            <w:vAlign w:val="center"/>
            <w:hideMark/>
          </w:tcPr>
          <w:p w14:paraId="21DF3128" w14:textId="03BD97E6"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2"/>
                <w14:textFill>
                  <w14:solidFill>
                    <w14:srgbClr w14:val="000000">
                      <w14:alpha w14:val="100000"/>
                    </w14:srgbClr>
                  </w14:solidFill>
                </w14:textFill>
              </w:rPr>
              <w:t xml:space="preserve">　</w:t>
            </w:r>
            <w:r w:rsidRPr="00BD3549">
              <w:rPr>
                <w:color w:val="000000"/>
                <w:w w:val="16"/>
                <w:shd w:val="solid" w:color="000000" w:fill="000000"/>
                <w:fitText w:val="75" w:id="-893676022"/>
                <w14:textFill>
                  <w14:solidFill>
                    <w14:srgbClr w14:val="000000">
                      <w14:alpha w14:val="100000"/>
                    </w14:srgbClr>
                  </w14:solidFill>
                </w14:textFill>
              </w:rPr>
              <w:t>|</w:t>
            </w:r>
            <w:r w:rsidRPr="00BD3549">
              <w:rPr>
                <w:rFonts w:hint="eastAsia"/>
                <w:color w:val="000000"/>
                <w:spacing w:val="5"/>
                <w:w w:val="16"/>
                <w:shd w:val="solid" w:color="000000" w:fill="000000"/>
                <w:fitText w:val="75" w:id="-893676022"/>
                <w14:textFill>
                  <w14:solidFill>
                    <w14:srgbClr w14:val="000000">
                      <w14:alpha w14:val="100000"/>
                    </w14:srgbClr>
                  </w14:solidFill>
                </w14:textFill>
              </w:rPr>
              <w:t xml:space="preserve">　</w:t>
            </w:r>
            <w:r w:rsidR="00BA5556" w:rsidRPr="00BA5556">
              <w:rPr>
                <w:vertAlign w:val="superscript"/>
              </w:rPr>
              <w:t>5</w:t>
            </w:r>
          </w:p>
        </w:tc>
        <w:tc>
          <w:tcPr>
            <w:tcW w:w="591" w:type="pct"/>
            <w:tcBorders>
              <w:top w:val="nil"/>
              <w:left w:val="nil"/>
              <w:bottom w:val="single" w:sz="4" w:space="0" w:color="auto"/>
              <w:right w:val="single" w:sz="4" w:space="0" w:color="auto"/>
            </w:tcBorders>
            <w:shd w:val="clear" w:color="auto" w:fill="auto"/>
            <w:noWrap/>
            <w:vAlign w:val="center"/>
            <w:hideMark/>
          </w:tcPr>
          <w:p w14:paraId="0A6D9484" w14:textId="5766AB72"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1"/>
                <w14:textFill>
                  <w14:solidFill>
                    <w14:srgbClr w14:val="000000">
                      <w14:alpha w14:val="100000"/>
                    </w14:srgbClr>
                  </w14:solidFill>
                </w14:textFill>
              </w:rPr>
              <w:t xml:space="preserve">　</w:t>
            </w:r>
            <w:r w:rsidRPr="00BD3549">
              <w:rPr>
                <w:color w:val="000000"/>
                <w:w w:val="16"/>
                <w:shd w:val="solid" w:color="000000" w:fill="000000"/>
                <w:fitText w:val="75" w:id="-893676021"/>
                <w14:textFill>
                  <w14:solidFill>
                    <w14:srgbClr w14:val="000000">
                      <w14:alpha w14:val="100000"/>
                    </w14:srgbClr>
                  </w14:solidFill>
                </w14:textFill>
              </w:rPr>
              <w:t>|</w:t>
            </w:r>
            <w:r w:rsidRPr="00BD3549">
              <w:rPr>
                <w:rFonts w:hint="eastAsia"/>
                <w:color w:val="000000"/>
                <w:spacing w:val="5"/>
                <w:w w:val="16"/>
                <w:shd w:val="solid" w:color="000000" w:fill="000000"/>
                <w:fitText w:val="75" w:id="-893676021"/>
                <w14:textFill>
                  <w14:solidFill>
                    <w14:srgbClr w14:val="000000">
                      <w14:alpha w14:val="100000"/>
                    </w14:srgbClr>
                  </w14:solidFill>
                </w14:textFill>
              </w:rPr>
              <w:t xml:space="preserve">　</w:t>
            </w:r>
            <w:r w:rsidR="00BA5556" w:rsidRPr="00BA5556">
              <w:rPr>
                <w:vertAlign w:val="superscript"/>
              </w:rPr>
              <w:t>5</w:t>
            </w:r>
          </w:p>
        </w:tc>
        <w:tc>
          <w:tcPr>
            <w:tcW w:w="591" w:type="pct"/>
            <w:tcBorders>
              <w:top w:val="nil"/>
              <w:left w:val="nil"/>
              <w:bottom w:val="single" w:sz="4" w:space="0" w:color="auto"/>
              <w:right w:val="single" w:sz="4" w:space="0" w:color="auto"/>
            </w:tcBorders>
            <w:shd w:val="clear" w:color="auto" w:fill="auto"/>
            <w:noWrap/>
            <w:vAlign w:val="center"/>
            <w:hideMark/>
          </w:tcPr>
          <w:p w14:paraId="28E73C49" w14:textId="3242A57A"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0"/>
                <w14:textFill>
                  <w14:solidFill>
                    <w14:srgbClr w14:val="000000">
                      <w14:alpha w14:val="100000"/>
                    </w14:srgbClr>
                  </w14:solidFill>
                </w14:textFill>
              </w:rPr>
              <w:t xml:space="preserve">　</w:t>
            </w:r>
            <w:r w:rsidRPr="00BD3549">
              <w:rPr>
                <w:color w:val="000000"/>
                <w:w w:val="16"/>
                <w:shd w:val="solid" w:color="000000" w:fill="000000"/>
                <w:fitText w:val="75" w:id="-893676020"/>
                <w14:textFill>
                  <w14:solidFill>
                    <w14:srgbClr w14:val="000000">
                      <w14:alpha w14:val="100000"/>
                    </w14:srgbClr>
                  </w14:solidFill>
                </w14:textFill>
              </w:rPr>
              <w:t>|</w:t>
            </w:r>
            <w:r w:rsidRPr="00BD3549">
              <w:rPr>
                <w:rFonts w:hint="eastAsia"/>
                <w:color w:val="000000"/>
                <w:spacing w:val="5"/>
                <w:w w:val="16"/>
                <w:shd w:val="solid" w:color="000000" w:fill="000000"/>
                <w:fitText w:val="75" w:id="-893676020"/>
                <w14:textFill>
                  <w14:solidFill>
                    <w14:srgbClr w14:val="000000">
                      <w14:alpha w14:val="100000"/>
                    </w14:srgbClr>
                  </w14:solidFill>
                </w14:textFill>
              </w:rPr>
              <w:t xml:space="preserve">　</w:t>
            </w:r>
            <w:r w:rsidR="002C3171" w:rsidRPr="002C3171">
              <w:rPr>
                <w:vertAlign w:val="superscript"/>
              </w:rPr>
              <w:t>6</w:t>
            </w:r>
          </w:p>
        </w:tc>
        <w:tc>
          <w:tcPr>
            <w:tcW w:w="591" w:type="pct"/>
            <w:tcBorders>
              <w:top w:val="nil"/>
              <w:left w:val="nil"/>
              <w:bottom w:val="single" w:sz="4" w:space="0" w:color="auto"/>
              <w:right w:val="single" w:sz="4" w:space="0" w:color="auto"/>
            </w:tcBorders>
            <w:shd w:val="clear" w:color="auto" w:fill="auto"/>
            <w:noWrap/>
            <w:vAlign w:val="center"/>
            <w:hideMark/>
          </w:tcPr>
          <w:p w14:paraId="4A007610" w14:textId="4E0D0F5D"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9"/>
                <w14:textFill>
                  <w14:solidFill>
                    <w14:srgbClr w14:val="000000">
                      <w14:alpha w14:val="100000"/>
                    </w14:srgbClr>
                  </w14:solidFill>
                </w14:textFill>
              </w:rPr>
              <w:t xml:space="preserve">　</w:t>
            </w:r>
            <w:r w:rsidRPr="00BD3549">
              <w:rPr>
                <w:color w:val="000000"/>
                <w:w w:val="16"/>
                <w:shd w:val="solid" w:color="000000" w:fill="000000"/>
                <w:fitText w:val="75" w:id="-893676019"/>
                <w14:textFill>
                  <w14:solidFill>
                    <w14:srgbClr w14:val="000000">
                      <w14:alpha w14:val="100000"/>
                    </w14:srgbClr>
                  </w14:solidFill>
                </w14:textFill>
              </w:rPr>
              <w:t>|</w:t>
            </w:r>
            <w:r w:rsidRPr="00BD3549">
              <w:rPr>
                <w:rFonts w:hint="eastAsia"/>
                <w:color w:val="000000"/>
                <w:spacing w:val="5"/>
                <w:w w:val="16"/>
                <w:shd w:val="solid" w:color="000000" w:fill="000000"/>
                <w:fitText w:val="75" w:id="-893676019"/>
                <w14:textFill>
                  <w14:solidFill>
                    <w14:srgbClr w14:val="000000">
                      <w14:alpha w14:val="100000"/>
                    </w14:srgbClr>
                  </w14:solidFill>
                </w14:textFill>
              </w:rPr>
              <w:t xml:space="preserve">　</w:t>
            </w:r>
            <w:r w:rsidR="002C3171" w:rsidRPr="002C3171">
              <w:rPr>
                <w:vertAlign w:val="superscript"/>
              </w:rPr>
              <w:t>6</w:t>
            </w:r>
          </w:p>
        </w:tc>
        <w:tc>
          <w:tcPr>
            <w:tcW w:w="592" w:type="pct"/>
            <w:tcBorders>
              <w:top w:val="nil"/>
              <w:left w:val="nil"/>
              <w:bottom w:val="single" w:sz="4" w:space="0" w:color="auto"/>
              <w:right w:val="single" w:sz="4" w:space="0" w:color="auto"/>
            </w:tcBorders>
            <w:shd w:val="clear" w:color="auto" w:fill="auto"/>
            <w:noWrap/>
            <w:vAlign w:val="center"/>
            <w:hideMark/>
          </w:tcPr>
          <w:p w14:paraId="0EBE30D6" w14:textId="07188134"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8"/>
                <w14:textFill>
                  <w14:solidFill>
                    <w14:srgbClr w14:val="000000">
                      <w14:alpha w14:val="100000"/>
                    </w14:srgbClr>
                  </w14:solidFill>
                </w14:textFill>
              </w:rPr>
              <w:t xml:space="preserve">　</w:t>
            </w:r>
            <w:r w:rsidRPr="00BD3549">
              <w:rPr>
                <w:color w:val="000000"/>
                <w:w w:val="16"/>
                <w:shd w:val="solid" w:color="000000" w:fill="000000"/>
                <w:fitText w:val="75" w:id="-893676018"/>
                <w14:textFill>
                  <w14:solidFill>
                    <w14:srgbClr w14:val="000000">
                      <w14:alpha w14:val="100000"/>
                    </w14:srgbClr>
                  </w14:solidFill>
                </w14:textFill>
              </w:rPr>
              <w:t>|</w:t>
            </w:r>
            <w:r w:rsidRPr="00BD3549">
              <w:rPr>
                <w:rFonts w:hint="eastAsia"/>
                <w:color w:val="000000"/>
                <w:spacing w:val="5"/>
                <w:w w:val="16"/>
                <w:shd w:val="solid" w:color="000000" w:fill="000000"/>
                <w:fitText w:val="75" w:id="-893676018"/>
                <w14:textFill>
                  <w14:solidFill>
                    <w14:srgbClr w14:val="000000">
                      <w14:alpha w14:val="100000"/>
                    </w14:srgbClr>
                  </w14:solidFill>
                </w14:textFill>
              </w:rPr>
              <w:t xml:space="preserve">　</w:t>
            </w:r>
            <w:r w:rsidR="00A634E9" w:rsidRPr="00A634E9">
              <w:rPr>
                <w:vertAlign w:val="superscript"/>
              </w:rPr>
              <w:t>7</w:t>
            </w:r>
          </w:p>
        </w:tc>
      </w:tr>
      <w:tr w:rsidR="00C20DDD" w:rsidRPr="001611DC" w14:paraId="1B85A9A5" w14:textId="77777777">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6E010401" w14:textId="77777777" w:rsidR="00C20DDD" w:rsidRPr="001611DC" w:rsidRDefault="00C20DDD">
            <w:pPr>
              <w:pStyle w:val="TableText0"/>
              <w:ind w:left="166"/>
            </w:pPr>
            <w:r w:rsidRPr="001611DC">
              <w:t>NIP</w:t>
            </w:r>
          </w:p>
        </w:tc>
        <w:tc>
          <w:tcPr>
            <w:tcW w:w="591" w:type="pct"/>
            <w:tcBorders>
              <w:top w:val="nil"/>
              <w:left w:val="nil"/>
              <w:bottom w:val="single" w:sz="4" w:space="0" w:color="auto"/>
              <w:right w:val="single" w:sz="4" w:space="0" w:color="auto"/>
            </w:tcBorders>
            <w:shd w:val="clear" w:color="auto" w:fill="auto"/>
            <w:noWrap/>
            <w:vAlign w:val="center"/>
            <w:hideMark/>
          </w:tcPr>
          <w:p w14:paraId="38037BC5" w14:textId="3818630B"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7"/>
                <w14:textFill>
                  <w14:solidFill>
                    <w14:srgbClr w14:val="000000">
                      <w14:alpha w14:val="100000"/>
                    </w14:srgbClr>
                  </w14:solidFill>
                </w14:textFill>
              </w:rPr>
              <w:t xml:space="preserve">　</w:t>
            </w:r>
            <w:r w:rsidRPr="00BD3549">
              <w:rPr>
                <w:color w:val="000000"/>
                <w:w w:val="16"/>
                <w:shd w:val="solid" w:color="000000" w:fill="000000"/>
                <w:fitText w:val="75" w:id="-893676017"/>
                <w14:textFill>
                  <w14:solidFill>
                    <w14:srgbClr w14:val="000000">
                      <w14:alpha w14:val="100000"/>
                    </w14:srgbClr>
                  </w14:solidFill>
                </w14:textFill>
              </w:rPr>
              <w:t>|</w:t>
            </w:r>
            <w:r w:rsidRPr="00BD3549">
              <w:rPr>
                <w:rFonts w:hint="eastAsia"/>
                <w:color w:val="000000"/>
                <w:spacing w:val="5"/>
                <w:w w:val="16"/>
                <w:shd w:val="solid" w:color="000000" w:fill="000000"/>
                <w:fitText w:val="75" w:id="-893676017"/>
                <w14:textFill>
                  <w14:solidFill>
                    <w14:srgbClr w14:val="000000">
                      <w14:alpha w14:val="100000"/>
                    </w14:srgbClr>
                  </w14:solidFill>
                </w14:textFill>
              </w:rPr>
              <w:t xml:space="preserve">　</w:t>
            </w:r>
            <w:r w:rsidR="00186E98" w:rsidRPr="005E1BF1">
              <w:rPr>
                <w:vertAlign w:val="superscript"/>
              </w:rPr>
              <w:t>4</w:t>
            </w:r>
          </w:p>
        </w:tc>
        <w:tc>
          <w:tcPr>
            <w:tcW w:w="591" w:type="pct"/>
            <w:tcBorders>
              <w:top w:val="nil"/>
              <w:left w:val="nil"/>
              <w:bottom w:val="single" w:sz="4" w:space="0" w:color="auto"/>
              <w:right w:val="single" w:sz="4" w:space="0" w:color="auto"/>
            </w:tcBorders>
            <w:shd w:val="clear" w:color="auto" w:fill="auto"/>
            <w:noWrap/>
            <w:vAlign w:val="center"/>
            <w:hideMark/>
          </w:tcPr>
          <w:p w14:paraId="78B0137F" w14:textId="72F3747B"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6"/>
                <w14:textFill>
                  <w14:solidFill>
                    <w14:srgbClr w14:val="000000">
                      <w14:alpha w14:val="100000"/>
                    </w14:srgbClr>
                  </w14:solidFill>
                </w14:textFill>
              </w:rPr>
              <w:t xml:space="preserve">　</w:t>
            </w:r>
            <w:r w:rsidRPr="00BD3549">
              <w:rPr>
                <w:color w:val="000000"/>
                <w:w w:val="16"/>
                <w:shd w:val="solid" w:color="000000" w:fill="000000"/>
                <w:fitText w:val="75" w:id="-893676016"/>
                <w14:textFill>
                  <w14:solidFill>
                    <w14:srgbClr w14:val="000000">
                      <w14:alpha w14:val="100000"/>
                    </w14:srgbClr>
                  </w14:solidFill>
                </w14:textFill>
              </w:rPr>
              <w:t>|</w:t>
            </w:r>
            <w:r w:rsidRPr="00BD3549">
              <w:rPr>
                <w:rFonts w:hint="eastAsia"/>
                <w:color w:val="000000"/>
                <w:spacing w:val="5"/>
                <w:w w:val="16"/>
                <w:shd w:val="solid" w:color="000000" w:fill="000000"/>
                <w:fitText w:val="75" w:id="-893676016"/>
                <w14:textFill>
                  <w14:solidFill>
                    <w14:srgbClr w14:val="000000">
                      <w14:alpha w14:val="100000"/>
                    </w14:srgbClr>
                  </w14:solidFill>
                </w14:textFill>
              </w:rPr>
              <w:t xml:space="preserve">　</w:t>
            </w:r>
            <w:r w:rsidR="00BA5556" w:rsidRPr="00BA5556">
              <w:rPr>
                <w:vertAlign w:val="superscript"/>
              </w:rPr>
              <w:t>5</w:t>
            </w:r>
          </w:p>
        </w:tc>
        <w:tc>
          <w:tcPr>
            <w:tcW w:w="591" w:type="pct"/>
            <w:tcBorders>
              <w:top w:val="nil"/>
              <w:left w:val="nil"/>
              <w:bottom w:val="single" w:sz="4" w:space="0" w:color="auto"/>
              <w:right w:val="single" w:sz="4" w:space="0" w:color="auto"/>
            </w:tcBorders>
            <w:shd w:val="clear" w:color="auto" w:fill="auto"/>
            <w:noWrap/>
            <w:vAlign w:val="center"/>
            <w:hideMark/>
          </w:tcPr>
          <w:p w14:paraId="15E8F4A9" w14:textId="75D9B44A"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2"/>
                <w14:textFill>
                  <w14:solidFill>
                    <w14:srgbClr w14:val="000000">
                      <w14:alpha w14:val="100000"/>
                    </w14:srgbClr>
                  </w14:solidFill>
                </w14:textFill>
              </w:rPr>
              <w:t xml:space="preserve">　</w:t>
            </w:r>
            <w:r w:rsidRPr="00BD3549">
              <w:rPr>
                <w:color w:val="000000"/>
                <w:w w:val="16"/>
                <w:shd w:val="solid" w:color="000000" w:fill="000000"/>
                <w:fitText w:val="75" w:id="-893676032"/>
                <w14:textFill>
                  <w14:solidFill>
                    <w14:srgbClr w14:val="000000">
                      <w14:alpha w14:val="100000"/>
                    </w14:srgbClr>
                  </w14:solidFill>
                </w14:textFill>
              </w:rPr>
              <w:t>|</w:t>
            </w:r>
            <w:r w:rsidRPr="00BD3549">
              <w:rPr>
                <w:rFonts w:hint="eastAsia"/>
                <w:color w:val="000000"/>
                <w:spacing w:val="5"/>
                <w:w w:val="16"/>
                <w:shd w:val="solid" w:color="000000" w:fill="000000"/>
                <w:fitText w:val="75" w:id="-893676032"/>
                <w14:textFill>
                  <w14:solidFill>
                    <w14:srgbClr w14:val="000000">
                      <w14:alpha w14:val="100000"/>
                    </w14:srgbClr>
                  </w14:solidFill>
                </w14:textFill>
              </w:rPr>
              <w:t xml:space="preserve">　</w:t>
            </w:r>
            <w:r w:rsidR="00BA5556" w:rsidRPr="00BA5556">
              <w:rPr>
                <w:vertAlign w:val="superscript"/>
              </w:rPr>
              <w:t>5</w:t>
            </w:r>
          </w:p>
        </w:tc>
        <w:tc>
          <w:tcPr>
            <w:tcW w:w="591" w:type="pct"/>
            <w:tcBorders>
              <w:top w:val="nil"/>
              <w:left w:val="nil"/>
              <w:bottom w:val="single" w:sz="4" w:space="0" w:color="auto"/>
              <w:right w:val="single" w:sz="4" w:space="0" w:color="auto"/>
            </w:tcBorders>
            <w:shd w:val="clear" w:color="auto" w:fill="auto"/>
            <w:noWrap/>
            <w:vAlign w:val="center"/>
            <w:hideMark/>
          </w:tcPr>
          <w:p w14:paraId="24FEC53F" w14:textId="27560CAB"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1"/>
                <w14:textFill>
                  <w14:solidFill>
                    <w14:srgbClr w14:val="000000">
                      <w14:alpha w14:val="100000"/>
                    </w14:srgbClr>
                  </w14:solidFill>
                </w14:textFill>
              </w:rPr>
              <w:t xml:space="preserve">　</w:t>
            </w:r>
            <w:r w:rsidRPr="00BD3549">
              <w:rPr>
                <w:color w:val="000000"/>
                <w:w w:val="16"/>
                <w:shd w:val="solid" w:color="000000" w:fill="000000"/>
                <w:fitText w:val="75" w:id="-893676031"/>
                <w14:textFill>
                  <w14:solidFill>
                    <w14:srgbClr w14:val="000000">
                      <w14:alpha w14:val="100000"/>
                    </w14:srgbClr>
                  </w14:solidFill>
                </w14:textFill>
              </w:rPr>
              <w:t>|</w:t>
            </w:r>
            <w:r w:rsidRPr="00BD3549">
              <w:rPr>
                <w:rFonts w:hint="eastAsia"/>
                <w:color w:val="000000"/>
                <w:spacing w:val="5"/>
                <w:w w:val="16"/>
                <w:shd w:val="solid" w:color="000000" w:fill="000000"/>
                <w:fitText w:val="75" w:id="-893676031"/>
                <w14:textFill>
                  <w14:solidFill>
                    <w14:srgbClr w14:val="000000">
                      <w14:alpha w14:val="100000"/>
                    </w14:srgbClr>
                  </w14:solidFill>
                </w14:textFill>
              </w:rPr>
              <w:t xml:space="preserve">　</w:t>
            </w:r>
            <w:r w:rsidR="002C3171" w:rsidRPr="002C3171">
              <w:rPr>
                <w:vertAlign w:val="superscript"/>
              </w:rPr>
              <w:t>6</w:t>
            </w:r>
          </w:p>
        </w:tc>
        <w:tc>
          <w:tcPr>
            <w:tcW w:w="591" w:type="pct"/>
            <w:tcBorders>
              <w:top w:val="nil"/>
              <w:left w:val="nil"/>
              <w:bottom w:val="single" w:sz="4" w:space="0" w:color="auto"/>
              <w:right w:val="single" w:sz="4" w:space="0" w:color="auto"/>
            </w:tcBorders>
            <w:shd w:val="clear" w:color="auto" w:fill="auto"/>
            <w:noWrap/>
            <w:vAlign w:val="center"/>
            <w:hideMark/>
          </w:tcPr>
          <w:p w14:paraId="5CE1D129" w14:textId="102C77A9"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0"/>
                <w14:textFill>
                  <w14:solidFill>
                    <w14:srgbClr w14:val="000000">
                      <w14:alpha w14:val="100000"/>
                    </w14:srgbClr>
                  </w14:solidFill>
                </w14:textFill>
              </w:rPr>
              <w:t xml:space="preserve">　</w:t>
            </w:r>
            <w:r w:rsidRPr="00BD3549">
              <w:rPr>
                <w:color w:val="000000"/>
                <w:w w:val="16"/>
                <w:shd w:val="solid" w:color="000000" w:fill="000000"/>
                <w:fitText w:val="75" w:id="-893676030"/>
                <w14:textFill>
                  <w14:solidFill>
                    <w14:srgbClr w14:val="000000">
                      <w14:alpha w14:val="100000"/>
                    </w14:srgbClr>
                  </w14:solidFill>
                </w14:textFill>
              </w:rPr>
              <w:t>|</w:t>
            </w:r>
            <w:r w:rsidRPr="00BD3549">
              <w:rPr>
                <w:rFonts w:hint="eastAsia"/>
                <w:color w:val="000000"/>
                <w:spacing w:val="5"/>
                <w:w w:val="16"/>
                <w:shd w:val="solid" w:color="000000" w:fill="000000"/>
                <w:fitText w:val="75" w:id="-893676030"/>
                <w14:textFill>
                  <w14:solidFill>
                    <w14:srgbClr w14:val="000000">
                      <w14:alpha w14:val="100000"/>
                    </w14:srgbClr>
                  </w14:solidFill>
                </w14:textFill>
              </w:rPr>
              <w:t xml:space="preserve">　</w:t>
            </w:r>
            <w:r w:rsidR="002C3171" w:rsidRPr="002C3171">
              <w:rPr>
                <w:vertAlign w:val="superscript"/>
              </w:rPr>
              <w:t>6</w:t>
            </w:r>
          </w:p>
        </w:tc>
        <w:tc>
          <w:tcPr>
            <w:tcW w:w="591" w:type="pct"/>
            <w:tcBorders>
              <w:top w:val="nil"/>
              <w:left w:val="nil"/>
              <w:bottom w:val="single" w:sz="4" w:space="0" w:color="auto"/>
              <w:right w:val="single" w:sz="4" w:space="0" w:color="auto"/>
            </w:tcBorders>
            <w:shd w:val="clear" w:color="auto" w:fill="auto"/>
            <w:noWrap/>
            <w:vAlign w:val="center"/>
            <w:hideMark/>
          </w:tcPr>
          <w:p w14:paraId="5E21F27A" w14:textId="08602A03"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9"/>
                <w14:textFill>
                  <w14:solidFill>
                    <w14:srgbClr w14:val="000000">
                      <w14:alpha w14:val="100000"/>
                    </w14:srgbClr>
                  </w14:solidFill>
                </w14:textFill>
              </w:rPr>
              <w:t xml:space="preserve">　</w:t>
            </w:r>
            <w:r w:rsidRPr="00BD3549">
              <w:rPr>
                <w:color w:val="000000"/>
                <w:w w:val="16"/>
                <w:shd w:val="solid" w:color="000000" w:fill="000000"/>
                <w:fitText w:val="75" w:id="-893676029"/>
                <w14:textFill>
                  <w14:solidFill>
                    <w14:srgbClr w14:val="000000">
                      <w14:alpha w14:val="100000"/>
                    </w14:srgbClr>
                  </w14:solidFill>
                </w14:textFill>
              </w:rPr>
              <w:t>|</w:t>
            </w:r>
            <w:r w:rsidRPr="00BD3549">
              <w:rPr>
                <w:rFonts w:hint="eastAsia"/>
                <w:color w:val="000000"/>
                <w:spacing w:val="5"/>
                <w:w w:val="16"/>
                <w:shd w:val="solid" w:color="000000" w:fill="000000"/>
                <w:fitText w:val="75" w:id="-893676029"/>
                <w14:textFill>
                  <w14:solidFill>
                    <w14:srgbClr w14:val="000000">
                      <w14:alpha w14:val="100000"/>
                    </w14:srgbClr>
                  </w14:solidFill>
                </w14:textFill>
              </w:rPr>
              <w:t xml:space="preserve">　</w:t>
            </w:r>
            <w:r w:rsidR="002C3171" w:rsidRPr="002C3171">
              <w:rPr>
                <w:vertAlign w:val="superscript"/>
              </w:rPr>
              <w:t>6</w:t>
            </w:r>
          </w:p>
        </w:tc>
        <w:tc>
          <w:tcPr>
            <w:tcW w:w="592" w:type="pct"/>
            <w:tcBorders>
              <w:top w:val="nil"/>
              <w:left w:val="nil"/>
              <w:bottom w:val="single" w:sz="4" w:space="0" w:color="auto"/>
              <w:right w:val="single" w:sz="4" w:space="0" w:color="auto"/>
            </w:tcBorders>
            <w:shd w:val="clear" w:color="auto" w:fill="auto"/>
            <w:noWrap/>
            <w:vAlign w:val="center"/>
            <w:hideMark/>
          </w:tcPr>
          <w:p w14:paraId="57601154" w14:textId="48B99AB9"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8"/>
                <w14:textFill>
                  <w14:solidFill>
                    <w14:srgbClr w14:val="000000">
                      <w14:alpha w14:val="100000"/>
                    </w14:srgbClr>
                  </w14:solidFill>
                </w14:textFill>
              </w:rPr>
              <w:t xml:space="preserve">　</w:t>
            </w:r>
            <w:r w:rsidRPr="00BD3549">
              <w:rPr>
                <w:color w:val="000000"/>
                <w:w w:val="16"/>
                <w:shd w:val="solid" w:color="000000" w:fill="000000"/>
                <w:fitText w:val="75" w:id="-893676028"/>
                <w14:textFill>
                  <w14:solidFill>
                    <w14:srgbClr w14:val="000000">
                      <w14:alpha w14:val="100000"/>
                    </w14:srgbClr>
                  </w14:solidFill>
                </w14:textFill>
              </w:rPr>
              <w:t>|</w:t>
            </w:r>
            <w:r w:rsidRPr="00BD3549">
              <w:rPr>
                <w:rFonts w:hint="eastAsia"/>
                <w:color w:val="000000"/>
                <w:spacing w:val="5"/>
                <w:w w:val="16"/>
                <w:shd w:val="solid" w:color="000000" w:fill="000000"/>
                <w:fitText w:val="75" w:id="-893676028"/>
                <w14:textFill>
                  <w14:solidFill>
                    <w14:srgbClr w14:val="000000">
                      <w14:alpha w14:val="100000"/>
                    </w14:srgbClr>
                  </w14:solidFill>
                </w14:textFill>
              </w:rPr>
              <w:t xml:space="preserve">　</w:t>
            </w:r>
            <w:r w:rsidR="00A634E9" w:rsidRPr="00A634E9">
              <w:rPr>
                <w:vertAlign w:val="superscript"/>
              </w:rPr>
              <w:t>7</w:t>
            </w:r>
          </w:p>
        </w:tc>
      </w:tr>
      <w:tr w:rsidR="00C20DDD" w:rsidRPr="001611DC" w14:paraId="7523406E" w14:textId="77777777">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71C9E885" w14:textId="77777777" w:rsidR="00C20DDD" w:rsidRPr="001611DC" w:rsidRDefault="00C20DDD">
            <w:pPr>
              <w:pStyle w:val="TableText0"/>
              <w:ind w:left="166"/>
            </w:pPr>
            <w:r w:rsidRPr="001611DC">
              <w:t>PBS</w:t>
            </w:r>
          </w:p>
        </w:tc>
        <w:tc>
          <w:tcPr>
            <w:tcW w:w="591" w:type="pct"/>
            <w:tcBorders>
              <w:top w:val="nil"/>
              <w:left w:val="nil"/>
              <w:bottom w:val="single" w:sz="4" w:space="0" w:color="auto"/>
              <w:right w:val="single" w:sz="4" w:space="0" w:color="auto"/>
            </w:tcBorders>
            <w:shd w:val="clear" w:color="auto" w:fill="auto"/>
            <w:noWrap/>
            <w:vAlign w:val="center"/>
            <w:hideMark/>
          </w:tcPr>
          <w:p w14:paraId="69EA1E64" w14:textId="165CDD2F"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7"/>
                <w14:textFill>
                  <w14:solidFill>
                    <w14:srgbClr w14:val="000000">
                      <w14:alpha w14:val="100000"/>
                    </w14:srgbClr>
                  </w14:solidFill>
                </w14:textFill>
              </w:rPr>
              <w:t xml:space="preserve">　</w:t>
            </w:r>
            <w:r w:rsidRPr="00BD3549">
              <w:rPr>
                <w:color w:val="000000"/>
                <w:w w:val="16"/>
                <w:shd w:val="solid" w:color="000000" w:fill="000000"/>
                <w:fitText w:val="75" w:id="-893676027"/>
                <w14:textFill>
                  <w14:solidFill>
                    <w14:srgbClr w14:val="000000">
                      <w14:alpha w14:val="100000"/>
                    </w14:srgbClr>
                  </w14:solidFill>
                </w14:textFill>
              </w:rPr>
              <w:t>|</w:t>
            </w:r>
            <w:r w:rsidRPr="00BD3549">
              <w:rPr>
                <w:rFonts w:hint="eastAsia"/>
                <w:color w:val="000000"/>
                <w:spacing w:val="5"/>
                <w:w w:val="16"/>
                <w:shd w:val="solid" w:color="000000" w:fill="000000"/>
                <w:fitText w:val="75" w:id="-893676027"/>
                <w14:textFill>
                  <w14:solidFill>
                    <w14:srgbClr w14:val="000000">
                      <w14:alpha w14:val="100000"/>
                    </w14:srgbClr>
                  </w14:solidFill>
                </w14:textFill>
              </w:rPr>
              <w:t xml:space="preserve">　</w:t>
            </w:r>
            <w:r w:rsidR="00A36D12"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559CC7B5" w14:textId="2623BEF9"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6"/>
                <w14:textFill>
                  <w14:solidFill>
                    <w14:srgbClr w14:val="000000">
                      <w14:alpha w14:val="100000"/>
                    </w14:srgbClr>
                  </w14:solidFill>
                </w14:textFill>
              </w:rPr>
              <w:t xml:space="preserve">　</w:t>
            </w:r>
            <w:r w:rsidRPr="00BD3549">
              <w:rPr>
                <w:color w:val="000000"/>
                <w:w w:val="16"/>
                <w:shd w:val="solid" w:color="000000" w:fill="000000"/>
                <w:fitText w:val="75" w:id="-893676026"/>
                <w14:textFill>
                  <w14:solidFill>
                    <w14:srgbClr w14:val="000000">
                      <w14:alpha w14:val="100000"/>
                    </w14:srgbClr>
                  </w14:solidFill>
                </w14:textFill>
              </w:rPr>
              <w:t>|</w:t>
            </w:r>
            <w:r w:rsidRPr="00BD3549">
              <w:rPr>
                <w:rFonts w:hint="eastAsia"/>
                <w:color w:val="000000"/>
                <w:spacing w:val="5"/>
                <w:w w:val="16"/>
                <w:shd w:val="solid" w:color="000000" w:fill="000000"/>
                <w:fitText w:val="75" w:id="-893676026"/>
                <w14:textFill>
                  <w14:solidFill>
                    <w14:srgbClr w14:val="000000">
                      <w14:alpha w14:val="100000"/>
                    </w14:srgbClr>
                  </w14:solidFill>
                </w14:textFill>
              </w:rPr>
              <w:t xml:space="preserve">　</w:t>
            </w:r>
            <w:r w:rsidR="00A36D12"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7AA63B60" w14:textId="45F4F8DE"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5"/>
                <w14:textFill>
                  <w14:solidFill>
                    <w14:srgbClr w14:val="000000">
                      <w14:alpha w14:val="100000"/>
                    </w14:srgbClr>
                  </w14:solidFill>
                </w14:textFill>
              </w:rPr>
              <w:t xml:space="preserve">　</w:t>
            </w:r>
            <w:r w:rsidRPr="00BD3549">
              <w:rPr>
                <w:color w:val="000000"/>
                <w:w w:val="16"/>
                <w:shd w:val="solid" w:color="000000" w:fill="000000"/>
                <w:fitText w:val="75" w:id="-893676025"/>
                <w14:textFill>
                  <w14:solidFill>
                    <w14:srgbClr w14:val="000000">
                      <w14:alpha w14:val="100000"/>
                    </w14:srgbClr>
                  </w14:solidFill>
                </w14:textFill>
              </w:rPr>
              <w:t>|</w:t>
            </w:r>
            <w:r w:rsidRPr="00BD3549">
              <w:rPr>
                <w:rFonts w:hint="eastAsia"/>
                <w:color w:val="000000"/>
                <w:spacing w:val="5"/>
                <w:w w:val="16"/>
                <w:shd w:val="solid" w:color="000000" w:fill="000000"/>
                <w:fitText w:val="75" w:id="-893676025"/>
                <w14:textFill>
                  <w14:solidFill>
                    <w14:srgbClr w14:val="000000">
                      <w14:alpha w14:val="100000"/>
                    </w14:srgbClr>
                  </w14:solidFill>
                </w14:textFill>
              </w:rPr>
              <w:t xml:space="preserve">　</w:t>
            </w:r>
            <w:r w:rsidR="00A36D12"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5640BCCC" w14:textId="7B9AE151"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4"/>
                <w14:textFill>
                  <w14:solidFill>
                    <w14:srgbClr w14:val="000000">
                      <w14:alpha w14:val="100000"/>
                    </w14:srgbClr>
                  </w14:solidFill>
                </w14:textFill>
              </w:rPr>
              <w:t xml:space="preserve">　</w:t>
            </w:r>
            <w:r w:rsidRPr="00BD3549">
              <w:rPr>
                <w:color w:val="000000"/>
                <w:w w:val="16"/>
                <w:shd w:val="solid" w:color="000000" w:fill="000000"/>
                <w:fitText w:val="75" w:id="-893676024"/>
                <w14:textFill>
                  <w14:solidFill>
                    <w14:srgbClr w14:val="000000">
                      <w14:alpha w14:val="100000"/>
                    </w14:srgbClr>
                  </w14:solidFill>
                </w14:textFill>
              </w:rPr>
              <w:t>|</w:t>
            </w:r>
            <w:r w:rsidRPr="00BD3549">
              <w:rPr>
                <w:rFonts w:hint="eastAsia"/>
                <w:color w:val="000000"/>
                <w:spacing w:val="5"/>
                <w:w w:val="16"/>
                <w:shd w:val="solid" w:color="000000" w:fill="000000"/>
                <w:fitText w:val="75" w:id="-893676024"/>
                <w14:textFill>
                  <w14:solidFill>
                    <w14:srgbClr w14:val="000000">
                      <w14:alpha w14:val="100000"/>
                    </w14:srgbClr>
                  </w14:solidFill>
                </w14:textFill>
              </w:rPr>
              <w:t xml:space="preserve">　</w:t>
            </w:r>
            <w:r w:rsidR="00A36D12"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C97BFBF" w14:textId="304774D0"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3"/>
                <w14:textFill>
                  <w14:solidFill>
                    <w14:srgbClr w14:val="000000">
                      <w14:alpha w14:val="100000"/>
                    </w14:srgbClr>
                  </w14:solidFill>
                </w14:textFill>
              </w:rPr>
              <w:t xml:space="preserve">　</w:t>
            </w:r>
            <w:r w:rsidRPr="00BD3549">
              <w:rPr>
                <w:color w:val="000000"/>
                <w:w w:val="16"/>
                <w:shd w:val="solid" w:color="000000" w:fill="000000"/>
                <w:fitText w:val="75" w:id="-893676023"/>
                <w14:textFill>
                  <w14:solidFill>
                    <w14:srgbClr w14:val="000000">
                      <w14:alpha w14:val="100000"/>
                    </w14:srgbClr>
                  </w14:solidFill>
                </w14:textFill>
              </w:rPr>
              <w:t>|</w:t>
            </w:r>
            <w:r w:rsidRPr="00BD3549">
              <w:rPr>
                <w:rFonts w:hint="eastAsia"/>
                <w:color w:val="000000"/>
                <w:spacing w:val="5"/>
                <w:w w:val="16"/>
                <w:shd w:val="solid" w:color="000000" w:fill="000000"/>
                <w:fitText w:val="75" w:id="-893676023"/>
                <w14:textFill>
                  <w14:solidFill>
                    <w14:srgbClr w14:val="000000">
                      <w14:alpha w14:val="100000"/>
                    </w14:srgbClr>
                  </w14:solidFill>
                </w14:textFill>
              </w:rPr>
              <w:t xml:space="preserve">　</w:t>
            </w:r>
            <w:r w:rsidR="00A36D12"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34A3A980" w14:textId="31CFA83A"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2"/>
                <w14:textFill>
                  <w14:solidFill>
                    <w14:srgbClr w14:val="000000">
                      <w14:alpha w14:val="100000"/>
                    </w14:srgbClr>
                  </w14:solidFill>
                </w14:textFill>
              </w:rPr>
              <w:t xml:space="preserve">　</w:t>
            </w:r>
            <w:r w:rsidRPr="00BD3549">
              <w:rPr>
                <w:color w:val="000000"/>
                <w:w w:val="16"/>
                <w:shd w:val="solid" w:color="000000" w:fill="000000"/>
                <w:fitText w:val="75" w:id="-893676022"/>
                <w14:textFill>
                  <w14:solidFill>
                    <w14:srgbClr w14:val="000000">
                      <w14:alpha w14:val="100000"/>
                    </w14:srgbClr>
                  </w14:solidFill>
                </w14:textFill>
              </w:rPr>
              <w:t>|</w:t>
            </w:r>
            <w:r w:rsidRPr="00BD3549">
              <w:rPr>
                <w:rFonts w:hint="eastAsia"/>
                <w:color w:val="000000"/>
                <w:spacing w:val="5"/>
                <w:w w:val="16"/>
                <w:shd w:val="solid" w:color="000000" w:fill="000000"/>
                <w:fitText w:val="75" w:id="-893676022"/>
                <w14:textFill>
                  <w14:solidFill>
                    <w14:srgbClr w14:val="000000">
                      <w14:alpha w14:val="100000"/>
                    </w14:srgbClr>
                  </w14:solidFill>
                </w14:textFill>
              </w:rPr>
              <w:t xml:space="preserve">　</w:t>
            </w:r>
            <w:r w:rsidR="00A36D12" w:rsidRPr="00A36D12">
              <w:rPr>
                <w:vertAlign w:val="superscript"/>
              </w:rPr>
              <w:t>8</w:t>
            </w:r>
          </w:p>
        </w:tc>
        <w:tc>
          <w:tcPr>
            <w:tcW w:w="592" w:type="pct"/>
            <w:tcBorders>
              <w:top w:val="nil"/>
              <w:left w:val="nil"/>
              <w:bottom w:val="single" w:sz="4" w:space="0" w:color="auto"/>
              <w:right w:val="single" w:sz="4" w:space="0" w:color="auto"/>
            </w:tcBorders>
            <w:shd w:val="clear" w:color="auto" w:fill="auto"/>
            <w:noWrap/>
            <w:vAlign w:val="center"/>
            <w:hideMark/>
          </w:tcPr>
          <w:p w14:paraId="05AA664D" w14:textId="3A7ACE98"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1"/>
                <w14:textFill>
                  <w14:solidFill>
                    <w14:srgbClr w14:val="000000">
                      <w14:alpha w14:val="100000"/>
                    </w14:srgbClr>
                  </w14:solidFill>
                </w14:textFill>
              </w:rPr>
              <w:t xml:space="preserve">　</w:t>
            </w:r>
            <w:r w:rsidRPr="00BD3549">
              <w:rPr>
                <w:color w:val="000000"/>
                <w:w w:val="16"/>
                <w:shd w:val="solid" w:color="000000" w:fill="000000"/>
                <w:fitText w:val="75" w:id="-893676021"/>
                <w14:textFill>
                  <w14:solidFill>
                    <w14:srgbClr w14:val="000000">
                      <w14:alpha w14:val="100000"/>
                    </w14:srgbClr>
                  </w14:solidFill>
                </w14:textFill>
              </w:rPr>
              <w:t>|</w:t>
            </w:r>
            <w:r w:rsidRPr="00BD3549">
              <w:rPr>
                <w:rFonts w:hint="eastAsia"/>
                <w:color w:val="000000"/>
                <w:spacing w:val="5"/>
                <w:w w:val="16"/>
                <w:shd w:val="solid" w:color="000000" w:fill="000000"/>
                <w:fitText w:val="75" w:id="-893676021"/>
                <w14:textFill>
                  <w14:solidFill>
                    <w14:srgbClr w14:val="000000">
                      <w14:alpha w14:val="100000"/>
                    </w14:srgbClr>
                  </w14:solidFill>
                </w14:textFill>
              </w:rPr>
              <w:t xml:space="preserve">　</w:t>
            </w:r>
            <w:r w:rsidR="0071174A" w:rsidRPr="00A36D12">
              <w:rPr>
                <w:vertAlign w:val="superscript"/>
              </w:rPr>
              <w:t>8</w:t>
            </w:r>
          </w:p>
        </w:tc>
      </w:tr>
      <w:tr w:rsidR="00C20DDD" w:rsidRPr="001611DC" w14:paraId="7836769B" w14:textId="77777777" w:rsidTr="00BD3549">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646BBF75" w14:textId="77777777" w:rsidR="00C20DDD" w:rsidRPr="001611DC" w:rsidRDefault="00C20DDD">
            <w:pPr>
              <w:pStyle w:val="TableText0"/>
              <w:ind w:left="166"/>
            </w:pPr>
            <w:r w:rsidRPr="001611DC">
              <w:t>MBS</w:t>
            </w:r>
          </w:p>
        </w:tc>
        <w:tc>
          <w:tcPr>
            <w:tcW w:w="591" w:type="pct"/>
            <w:tcBorders>
              <w:top w:val="nil"/>
              <w:left w:val="nil"/>
              <w:bottom w:val="single" w:sz="4" w:space="0" w:color="auto"/>
              <w:right w:val="single" w:sz="4" w:space="0" w:color="auto"/>
            </w:tcBorders>
            <w:shd w:val="clear" w:color="auto" w:fill="auto"/>
            <w:noWrap/>
            <w:vAlign w:val="center"/>
            <w:hideMark/>
          </w:tcPr>
          <w:p w14:paraId="149CE351" w14:textId="37934AA2"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0"/>
                <w14:textFill>
                  <w14:solidFill>
                    <w14:srgbClr w14:val="000000">
                      <w14:alpha w14:val="100000"/>
                    </w14:srgbClr>
                  </w14:solidFill>
                </w14:textFill>
              </w:rPr>
              <w:t xml:space="preserve">　</w:t>
            </w:r>
            <w:r w:rsidRPr="00BD3549">
              <w:rPr>
                <w:color w:val="000000"/>
                <w:w w:val="16"/>
                <w:shd w:val="solid" w:color="000000" w:fill="000000"/>
                <w:fitText w:val="75" w:id="-893676020"/>
                <w14:textFill>
                  <w14:solidFill>
                    <w14:srgbClr w14:val="000000">
                      <w14:alpha w14:val="100000"/>
                    </w14:srgbClr>
                  </w14:solidFill>
                </w14:textFill>
              </w:rPr>
              <w:t>|</w:t>
            </w:r>
            <w:r w:rsidRPr="00BD3549">
              <w:rPr>
                <w:rFonts w:hint="eastAsia"/>
                <w:color w:val="000000"/>
                <w:spacing w:val="5"/>
                <w:w w:val="16"/>
                <w:shd w:val="solid" w:color="000000" w:fill="000000"/>
                <w:fitText w:val="75" w:id="-893676020"/>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61C95EE9" w14:textId="18049BE4"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9"/>
                <w14:textFill>
                  <w14:solidFill>
                    <w14:srgbClr w14:val="000000">
                      <w14:alpha w14:val="100000"/>
                    </w14:srgbClr>
                  </w14:solidFill>
                </w14:textFill>
              </w:rPr>
              <w:t xml:space="preserve">　</w:t>
            </w:r>
            <w:r w:rsidRPr="00BD3549">
              <w:rPr>
                <w:color w:val="000000"/>
                <w:w w:val="16"/>
                <w:shd w:val="solid" w:color="000000" w:fill="000000"/>
                <w:fitText w:val="75" w:id="-893676019"/>
                <w14:textFill>
                  <w14:solidFill>
                    <w14:srgbClr w14:val="000000">
                      <w14:alpha w14:val="100000"/>
                    </w14:srgbClr>
                  </w14:solidFill>
                </w14:textFill>
              </w:rPr>
              <w:t>|</w:t>
            </w:r>
            <w:r w:rsidRPr="00BD3549">
              <w:rPr>
                <w:rFonts w:hint="eastAsia"/>
                <w:color w:val="000000"/>
                <w:spacing w:val="5"/>
                <w:w w:val="16"/>
                <w:shd w:val="solid" w:color="000000" w:fill="000000"/>
                <w:fitText w:val="75" w:id="-893676019"/>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54AEB3D" w14:textId="07DBE509" w:rsidR="00C20DDD" w:rsidRPr="00E9374D" w:rsidRDefault="00BD3549">
            <w:pPr>
              <w:pStyle w:val="TableText0"/>
              <w:jc w:val="center"/>
              <w:rPr>
                <w:highlight w:val="lightGray"/>
              </w:rPr>
            </w:pPr>
            <w:r w:rsidRPr="00BD3549">
              <w:rPr>
                <w:color w:val="000000"/>
                <w:spacing w:val="48"/>
                <w:shd w:val="solid" w:color="000000" w:fill="000000"/>
                <w:fitText w:val="315" w:id="-893676018"/>
                <w14:textFill>
                  <w14:solidFill>
                    <w14:srgbClr w14:val="000000">
                      <w14:alpha w14:val="100000"/>
                    </w14:srgbClr>
                  </w14:solidFill>
                </w14:textFill>
              </w:rPr>
              <w:t>|||</w:t>
            </w:r>
            <w:r w:rsidRPr="00BD3549">
              <w:rPr>
                <w:color w:val="000000"/>
                <w:spacing w:val="1"/>
                <w:shd w:val="solid" w:color="000000" w:fill="000000"/>
                <w:fitText w:val="315" w:id="-893676018"/>
                <w14:textFill>
                  <w14:solidFill>
                    <w14:srgbClr w14:val="000000">
                      <w14:alpha w14:val="100000"/>
                    </w14:srgbClr>
                  </w14:solidFill>
                </w14:textFill>
              </w:rPr>
              <w:t>|</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262F276D" w14:textId="46607D32"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6"/>
                <w14:textFill>
                  <w14:solidFill>
                    <w14:srgbClr w14:val="000000">
                      <w14:alpha w14:val="100000"/>
                    </w14:srgbClr>
                  </w14:solidFill>
                </w14:textFill>
              </w:rPr>
              <w:t xml:space="preserve">　</w:t>
            </w:r>
            <w:r w:rsidRPr="00BD3549">
              <w:rPr>
                <w:color w:val="000000"/>
                <w:w w:val="16"/>
                <w:shd w:val="solid" w:color="000000" w:fill="000000"/>
                <w:fitText w:val="75" w:id="-893676016"/>
                <w14:textFill>
                  <w14:solidFill>
                    <w14:srgbClr w14:val="000000">
                      <w14:alpha w14:val="100000"/>
                    </w14:srgbClr>
                  </w14:solidFill>
                </w14:textFill>
              </w:rPr>
              <w:t>|</w:t>
            </w:r>
            <w:r w:rsidRPr="00BD3549">
              <w:rPr>
                <w:rFonts w:hint="eastAsia"/>
                <w:color w:val="000000"/>
                <w:spacing w:val="5"/>
                <w:w w:val="16"/>
                <w:shd w:val="solid" w:color="000000" w:fill="000000"/>
                <w:fitText w:val="75" w:id="-893676016"/>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7A085723" w14:textId="65AC229F"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2"/>
                <w14:textFill>
                  <w14:solidFill>
                    <w14:srgbClr w14:val="000000">
                      <w14:alpha w14:val="100000"/>
                    </w14:srgbClr>
                  </w14:solidFill>
                </w14:textFill>
              </w:rPr>
              <w:t xml:space="preserve">　</w:t>
            </w:r>
            <w:r w:rsidRPr="00BD3549">
              <w:rPr>
                <w:color w:val="000000"/>
                <w:w w:val="16"/>
                <w:shd w:val="solid" w:color="000000" w:fill="000000"/>
                <w:fitText w:val="75" w:id="-893676032"/>
                <w14:textFill>
                  <w14:solidFill>
                    <w14:srgbClr w14:val="000000">
                      <w14:alpha w14:val="100000"/>
                    </w14:srgbClr>
                  </w14:solidFill>
                </w14:textFill>
              </w:rPr>
              <w:t>|</w:t>
            </w:r>
            <w:r w:rsidRPr="00BD3549">
              <w:rPr>
                <w:rFonts w:hint="eastAsia"/>
                <w:color w:val="000000"/>
                <w:spacing w:val="5"/>
                <w:w w:val="16"/>
                <w:shd w:val="solid" w:color="000000" w:fill="000000"/>
                <w:fitText w:val="75" w:id="-893676032"/>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2D03D20D" w14:textId="38AE673B"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1"/>
                <w14:textFill>
                  <w14:solidFill>
                    <w14:srgbClr w14:val="000000">
                      <w14:alpha w14:val="100000"/>
                    </w14:srgbClr>
                  </w14:solidFill>
                </w14:textFill>
              </w:rPr>
              <w:t xml:space="preserve">　</w:t>
            </w:r>
            <w:r w:rsidRPr="00BD3549">
              <w:rPr>
                <w:color w:val="000000"/>
                <w:w w:val="16"/>
                <w:shd w:val="solid" w:color="000000" w:fill="000000"/>
                <w:fitText w:val="75" w:id="-893676031"/>
                <w14:textFill>
                  <w14:solidFill>
                    <w14:srgbClr w14:val="000000">
                      <w14:alpha w14:val="100000"/>
                    </w14:srgbClr>
                  </w14:solidFill>
                </w14:textFill>
              </w:rPr>
              <w:t>|</w:t>
            </w:r>
            <w:r w:rsidRPr="00BD3549">
              <w:rPr>
                <w:rFonts w:hint="eastAsia"/>
                <w:color w:val="000000"/>
                <w:spacing w:val="5"/>
                <w:w w:val="16"/>
                <w:shd w:val="solid" w:color="000000" w:fill="000000"/>
                <w:fitText w:val="75" w:id="-893676031"/>
                <w14:textFill>
                  <w14:solidFill>
                    <w14:srgbClr w14:val="000000">
                      <w14:alpha w14:val="100000"/>
                    </w14:srgbClr>
                  </w14:solidFill>
                </w14:textFill>
              </w:rPr>
              <w:t xml:space="preserve">　</w:t>
            </w:r>
            <w:r w:rsidR="0071174A" w:rsidRPr="00A36D12">
              <w:rPr>
                <w:vertAlign w:val="superscript"/>
              </w:rPr>
              <w:t>8</w:t>
            </w:r>
          </w:p>
        </w:tc>
        <w:tc>
          <w:tcPr>
            <w:tcW w:w="592" w:type="pct"/>
            <w:tcBorders>
              <w:top w:val="nil"/>
              <w:left w:val="nil"/>
              <w:bottom w:val="single" w:sz="4" w:space="0" w:color="auto"/>
              <w:right w:val="single" w:sz="4" w:space="0" w:color="auto"/>
            </w:tcBorders>
            <w:shd w:val="clear" w:color="auto" w:fill="auto"/>
            <w:noWrap/>
            <w:vAlign w:val="center"/>
            <w:hideMark/>
          </w:tcPr>
          <w:p w14:paraId="069E0BC7" w14:textId="4C0817EA" w:rsidR="00C20DDD" w:rsidRPr="00E9374D" w:rsidRDefault="00BD3549">
            <w:pPr>
              <w:pStyle w:val="TableText0"/>
              <w:jc w:val="center"/>
              <w:rPr>
                <w:highlight w:val="lightGray"/>
              </w:rPr>
            </w:pPr>
            <w:r w:rsidRPr="00BD3549">
              <w:rPr>
                <w:rFonts w:hint="eastAsia"/>
                <w:color w:val="000000"/>
                <w:w w:val="16"/>
                <w:shd w:val="solid" w:color="000000" w:fill="000000"/>
                <w:fitText w:val="75" w:id="-893676030"/>
                <w14:textFill>
                  <w14:solidFill>
                    <w14:srgbClr w14:val="000000">
                      <w14:alpha w14:val="100000"/>
                    </w14:srgbClr>
                  </w14:solidFill>
                </w14:textFill>
              </w:rPr>
              <w:t xml:space="preserve">　</w:t>
            </w:r>
            <w:r w:rsidRPr="00BD3549">
              <w:rPr>
                <w:color w:val="000000"/>
                <w:w w:val="16"/>
                <w:shd w:val="solid" w:color="000000" w:fill="000000"/>
                <w:fitText w:val="75" w:id="-893676030"/>
                <w14:textFill>
                  <w14:solidFill>
                    <w14:srgbClr w14:val="000000">
                      <w14:alpha w14:val="100000"/>
                    </w14:srgbClr>
                  </w14:solidFill>
                </w14:textFill>
              </w:rPr>
              <w:t>|</w:t>
            </w:r>
            <w:r w:rsidRPr="00BD3549">
              <w:rPr>
                <w:rFonts w:hint="eastAsia"/>
                <w:color w:val="000000"/>
                <w:spacing w:val="5"/>
                <w:w w:val="16"/>
                <w:shd w:val="solid" w:color="000000" w:fill="000000"/>
                <w:fitText w:val="75" w:id="-893676030"/>
                <w14:textFill>
                  <w14:solidFill>
                    <w14:srgbClr w14:val="000000">
                      <w14:alpha w14:val="100000"/>
                    </w14:srgbClr>
                  </w14:solidFill>
                </w14:textFill>
              </w:rPr>
              <w:t xml:space="preserve">　</w:t>
            </w:r>
            <w:r w:rsidR="0071174A" w:rsidRPr="00A36D12">
              <w:rPr>
                <w:vertAlign w:val="superscript"/>
              </w:rPr>
              <w:t>8</w:t>
            </w:r>
          </w:p>
        </w:tc>
      </w:tr>
      <w:tr w:rsidR="00C20DDD" w:rsidRPr="001611DC" w14:paraId="2B170630" w14:textId="77777777" w:rsidTr="00330EA2">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5C7103AE" w14:textId="77777777" w:rsidR="00C20DDD" w:rsidRPr="001611DC" w:rsidRDefault="00C20DDD">
            <w:pPr>
              <w:pStyle w:val="TableText0"/>
              <w:ind w:left="166"/>
            </w:pPr>
            <w:r w:rsidRPr="001611DC">
              <w:t>Other</w:t>
            </w:r>
          </w:p>
        </w:tc>
        <w:tc>
          <w:tcPr>
            <w:tcW w:w="591" w:type="pct"/>
            <w:tcBorders>
              <w:top w:val="nil"/>
              <w:left w:val="nil"/>
              <w:bottom w:val="single" w:sz="4" w:space="0" w:color="auto"/>
              <w:right w:val="single" w:sz="4" w:space="0" w:color="auto"/>
            </w:tcBorders>
            <w:shd w:val="clear" w:color="auto" w:fill="auto"/>
            <w:noWrap/>
            <w:vAlign w:val="center"/>
            <w:hideMark/>
          </w:tcPr>
          <w:p w14:paraId="76A70F49" w14:textId="503B728B"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9"/>
                <w14:textFill>
                  <w14:solidFill>
                    <w14:srgbClr w14:val="000000">
                      <w14:alpha w14:val="100000"/>
                    </w14:srgbClr>
                  </w14:solidFill>
                </w14:textFill>
              </w:rPr>
              <w:t xml:space="preserve">　</w:t>
            </w:r>
            <w:r w:rsidRPr="00BD3549">
              <w:rPr>
                <w:color w:val="000000"/>
                <w:w w:val="16"/>
                <w:shd w:val="solid" w:color="000000" w:fill="000000"/>
                <w:fitText w:val="75" w:id="-893676029"/>
                <w14:textFill>
                  <w14:solidFill>
                    <w14:srgbClr w14:val="000000">
                      <w14:alpha w14:val="100000"/>
                    </w14:srgbClr>
                  </w14:solidFill>
                </w14:textFill>
              </w:rPr>
              <w:t>|</w:t>
            </w:r>
            <w:r w:rsidRPr="00BD3549">
              <w:rPr>
                <w:rFonts w:hint="eastAsia"/>
                <w:color w:val="000000"/>
                <w:spacing w:val="5"/>
                <w:w w:val="16"/>
                <w:shd w:val="solid" w:color="000000" w:fill="000000"/>
                <w:fitText w:val="75" w:id="-893676029"/>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2026500" w14:textId="5E030989"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8"/>
                <w14:textFill>
                  <w14:solidFill>
                    <w14:srgbClr w14:val="000000">
                      <w14:alpha w14:val="100000"/>
                    </w14:srgbClr>
                  </w14:solidFill>
                </w14:textFill>
              </w:rPr>
              <w:t xml:space="preserve">　</w:t>
            </w:r>
            <w:r w:rsidRPr="00BD3549">
              <w:rPr>
                <w:color w:val="000000"/>
                <w:w w:val="16"/>
                <w:shd w:val="solid" w:color="000000" w:fill="000000"/>
                <w:fitText w:val="75" w:id="-893676028"/>
                <w14:textFill>
                  <w14:solidFill>
                    <w14:srgbClr w14:val="000000">
                      <w14:alpha w14:val="100000"/>
                    </w14:srgbClr>
                  </w14:solidFill>
                </w14:textFill>
              </w:rPr>
              <w:t>|</w:t>
            </w:r>
            <w:r w:rsidRPr="00BD3549">
              <w:rPr>
                <w:rFonts w:hint="eastAsia"/>
                <w:color w:val="000000"/>
                <w:spacing w:val="5"/>
                <w:w w:val="16"/>
                <w:shd w:val="solid" w:color="000000" w:fill="000000"/>
                <w:fitText w:val="75" w:id="-893676028"/>
                <w14:textFill>
                  <w14:solidFill>
                    <w14:srgbClr w14:val="000000">
                      <w14:alpha w14:val="100000"/>
                    </w14:srgbClr>
                  </w14:solidFill>
                </w14:textFill>
              </w:rPr>
              <w:t xml:space="preserve">　</w:t>
            </w:r>
            <w:r w:rsidR="0071174A" w:rsidRPr="00A36D12">
              <w:rPr>
                <w:vertAlign w:val="superscript"/>
              </w:rPr>
              <w:t>8</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30E95FAE" w14:textId="66307E1F" w:rsidR="00C20DDD" w:rsidRPr="00E9374D" w:rsidRDefault="00330EA2">
            <w:pPr>
              <w:pStyle w:val="TableText0"/>
              <w:jc w:val="center"/>
              <w:rPr>
                <w:highlight w:val="lightGray"/>
              </w:rPr>
            </w:pPr>
            <w:r w:rsidRPr="00BD3549">
              <w:rPr>
                <w:color w:val="000000"/>
                <w:spacing w:val="169"/>
                <w:shd w:val="solid" w:color="000000" w:fill="000000"/>
                <w:fitText w:val="255" w:id="-893676017"/>
                <w14:textFill>
                  <w14:solidFill>
                    <w14:srgbClr w14:val="000000">
                      <w14:alpha w14:val="100000"/>
                    </w14:srgbClr>
                  </w14:solidFill>
                </w14:textFill>
              </w:rPr>
              <w:t>|</w:t>
            </w:r>
            <w:r w:rsidRPr="00BD3549">
              <w:rPr>
                <w:color w:val="000000"/>
                <w:spacing w:val="1"/>
                <w:shd w:val="solid" w:color="000000" w:fill="000000"/>
                <w:fitText w:val="255" w:id="-893676017"/>
                <w14:textFill>
                  <w14:solidFill>
                    <w14:srgbClr w14:val="000000">
                      <w14:alpha w14:val="100000"/>
                    </w14:srgbClr>
                  </w14:solidFill>
                </w14:textFill>
              </w:rPr>
              <w:t>|</w:t>
            </w:r>
            <w:r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4087646" w14:textId="7D99BD1C"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6"/>
                <w14:textFill>
                  <w14:solidFill>
                    <w14:srgbClr w14:val="000000">
                      <w14:alpha w14:val="100000"/>
                    </w14:srgbClr>
                  </w14:solidFill>
                </w14:textFill>
              </w:rPr>
              <w:t xml:space="preserve">　</w:t>
            </w:r>
            <w:r w:rsidRPr="00BD3549">
              <w:rPr>
                <w:color w:val="000000"/>
                <w:w w:val="16"/>
                <w:shd w:val="solid" w:color="000000" w:fill="000000"/>
                <w:fitText w:val="75" w:id="-893676026"/>
                <w14:textFill>
                  <w14:solidFill>
                    <w14:srgbClr w14:val="000000">
                      <w14:alpha w14:val="100000"/>
                    </w14:srgbClr>
                  </w14:solidFill>
                </w14:textFill>
              </w:rPr>
              <w:t>|</w:t>
            </w:r>
            <w:r w:rsidRPr="00BD3549">
              <w:rPr>
                <w:rFonts w:hint="eastAsia"/>
                <w:color w:val="000000"/>
                <w:spacing w:val="5"/>
                <w:w w:val="16"/>
                <w:shd w:val="solid" w:color="000000" w:fill="000000"/>
                <w:fitText w:val="75" w:id="-893676026"/>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53AE20AA" w14:textId="5EA6E6EC"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5"/>
                <w14:textFill>
                  <w14:solidFill>
                    <w14:srgbClr w14:val="000000">
                      <w14:alpha w14:val="100000"/>
                    </w14:srgbClr>
                  </w14:solidFill>
                </w14:textFill>
              </w:rPr>
              <w:t xml:space="preserve">　</w:t>
            </w:r>
            <w:r w:rsidRPr="00BD3549">
              <w:rPr>
                <w:color w:val="000000"/>
                <w:w w:val="16"/>
                <w:shd w:val="solid" w:color="000000" w:fill="000000"/>
                <w:fitText w:val="75" w:id="-893676025"/>
                <w14:textFill>
                  <w14:solidFill>
                    <w14:srgbClr w14:val="000000">
                      <w14:alpha w14:val="100000"/>
                    </w14:srgbClr>
                  </w14:solidFill>
                </w14:textFill>
              </w:rPr>
              <w:t>|</w:t>
            </w:r>
            <w:r w:rsidRPr="00BD3549">
              <w:rPr>
                <w:rFonts w:hint="eastAsia"/>
                <w:color w:val="000000"/>
                <w:spacing w:val="5"/>
                <w:w w:val="16"/>
                <w:shd w:val="solid" w:color="000000" w:fill="000000"/>
                <w:fitText w:val="75" w:id="-893676025"/>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5A27ED4D" w14:textId="11A6B6EE"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4"/>
                <w14:textFill>
                  <w14:solidFill>
                    <w14:srgbClr w14:val="000000">
                      <w14:alpha w14:val="100000"/>
                    </w14:srgbClr>
                  </w14:solidFill>
                </w14:textFill>
              </w:rPr>
              <w:t xml:space="preserve">　</w:t>
            </w:r>
            <w:r w:rsidRPr="00BD3549">
              <w:rPr>
                <w:color w:val="000000"/>
                <w:w w:val="16"/>
                <w:shd w:val="solid" w:color="000000" w:fill="000000"/>
                <w:fitText w:val="75" w:id="-893676024"/>
                <w14:textFill>
                  <w14:solidFill>
                    <w14:srgbClr w14:val="000000">
                      <w14:alpha w14:val="100000"/>
                    </w14:srgbClr>
                  </w14:solidFill>
                </w14:textFill>
              </w:rPr>
              <w:t>|</w:t>
            </w:r>
            <w:r w:rsidRPr="00BD3549">
              <w:rPr>
                <w:rFonts w:hint="eastAsia"/>
                <w:color w:val="000000"/>
                <w:spacing w:val="5"/>
                <w:w w:val="16"/>
                <w:shd w:val="solid" w:color="000000" w:fill="000000"/>
                <w:fitText w:val="75" w:id="-893676024"/>
                <w14:textFill>
                  <w14:solidFill>
                    <w14:srgbClr w14:val="000000">
                      <w14:alpha w14:val="100000"/>
                    </w14:srgbClr>
                  </w14:solidFill>
                </w14:textFill>
              </w:rPr>
              <w:t xml:space="preserve">　</w:t>
            </w:r>
            <w:r w:rsidR="0071174A" w:rsidRPr="00A36D12">
              <w:rPr>
                <w:vertAlign w:val="superscript"/>
              </w:rPr>
              <w:t>8</w:t>
            </w:r>
          </w:p>
        </w:tc>
        <w:tc>
          <w:tcPr>
            <w:tcW w:w="592" w:type="pct"/>
            <w:tcBorders>
              <w:top w:val="nil"/>
              <w:left w:val="nil"/>
              <w:bottom w:val="single" w:sz="4" w:space="0" w:color="auto"/>
              <w:right w:val="single" w:sz="4" w:space="0" w:color="auto"/>
            </w:tcBorders>
            <w:shd w:val="clear" w:color="auto" w:fill="auto"/>
            <w:noWrap/>
            <w:vAlign w:val="center"/>
            <w:hideMark/>
          </w:tcPr>
          <w:p w14:paraId="48C7911E" w14:textId="7A9C789C"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3"/>
                <w14:textFill>
                  <w14:solidFill>
                    <w14:srgbClr w14:val="000000">
                      <w14:alpha w14:val="100000"/>
                    </w14:srgbClr>
                  </w14:solidFill>
                </w14:textFill>
              </w:rPr>
              <w:t xml:space="preserve">　</w:t>
            </w:r>
            <w:r w:rsidRPr="00BD3549">
              <w:rPr>
                <w:color w:val="000000"/>
                <w:w w:val="16"/>
                <w:shd w:val="solid" w:color="000000" w:fill="000000"/>
                <w:fitText w:val="75" w:id="-893676023"/>
                <w14:textFill>
                  <w14:solidFill>
                    <w14:srgbClr w14:val="000000">
                      <w14:alpha w14:val="100000"/>
                    </w14:srgbClr>
                  </w14:solidFill>
                </w14:textFill>
              </w:rPr>
              <w:t>|</w:t>
            </w:r>
            <w:r w:rsidRPr="00BD3549">
              <w:rPr>
                <w:rFonts w:hint="eastAsia"/>
                <w:color w:val="000000"/>
                <w:spacing w:val="5"/>
                <w:w w:val="16"/>
                <w:shd w:val="solid" w:color="000000" w:fill="000000"/>
                <w:fitText w:val="75" w:id="-893676023"/>
                <w14:textFill>
                  <w14:solidFill>
                    <w14:srgbClr w14:val="000000">
                      <w14:alpha w14:val="100000"/>
                    </w14:srgbClr>
                  </w14:solidFill>
                </w14:textFill>
              </w:rPr>
              <w:t xml:space="preserve">　</w:t>
            </w:r>
            <w:r w:rsidR="0071174A" w:rsidRPr="00A36D12">
              <w:rPr>
                <w:vertAlign w:val="superscript"/>
              </w:rPr>
              <w:t>8</w:t>
            </w:r>
          </w:p>
        </w:tc>
      </w:tr>
      <w:tr w:rsidR="00C20DDD" w:rsidRPr="001611DC" w14:paraId="5CCA24D0" w14:textId="77777777">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hideMark/>
          </w:tcPr>
          <w:p w14:paraId="2D55348F" w14:textId="77777777" w:rsidR="00C20DDD" w:rsidRPr="001611DC" w:rsidRDefault="00C20DDD">
            <w:pPr>
              <w:pStyle w:val="TableText0"/>
            </w:pPr>
            <w:r w:rsidRPr="001611DC">
              <w:t>State and Territory Governments</w:t>
            </w:r>
          </w:p>
        </w:tc>
        <w:tc>
          <w:tcPr>
            <w:tcW w:w="591" w:type="pct"/>
            <w:tcBorders>
              <w:top w:val="nil"/>
              <w:left w:val="nil"/>
              <w:bottom w:val="single" w:sz="4" w:space="0" w:color="auto"/>
              <w:right w:val="single" w:sz="4" w:space="0" w:color="auto"/>
            </w:tcBorders>
            <w:shd w:val="clear" w:color="auto" w:fill="auto"/>
            <w:noWrap/>
            <w:vAlign w:val="center"/>
            <w:hideMark/>
          </w:tcPr>
          <w:p w14:paraId="38CE129D" w14:textId="4FF01F76"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2"/>
                <w14:textFill>
                  <w14:solidFill>
                    <w14:srgbClr w14:val="000000">
                      <w14:alpha w14:val="100000"/>
                    </w14:srgbClr>
                  </w14:solidFill>
                </w14:textFill>
              </w:rPr>
              <w:t xml:space="preserve">　</w:t>
            </w:r>
            <w:r w:rsidRPr="00BD3549">
              <w:rPr>
                <w:color w:val="000000"/>
                <w:w w:val="16"/>
                <w:shd w:val="solid" w:color="000000" w:fill="000000"/>
                <w:fitText w:val="75" w:id="-893676022"/>
                <w14:textFill>
                  <w14:solidFill>
                    <w14:srgbClr w14:val="000000">
                      <w14:alpha w14:val="100000"/>
                    </w14:srgbClr>
                  </w14:solidFill>
                </w14:textFill>
              </w:rPr>
              <w:t>|</w:t>
            </w:r>
            <w:r w:rsidRPr="00BD3549">
              <w:rPr>
                <w:rFonts w:hint="eastAsia"/>
                <w:color w:val="000000"/>
                <w:spacing w:val="5"/>
                <w:w w:val="16"/>
                <w:shd w:val="solid" w:color="000000" w:fill="000000"/>
                <w:fitText w:val="75" w:id="-893676022"/>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54ACE182" w14:textId="0E28251E"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1"/>
                <w14:textFill>
                  <w14:solidFill>
                    <w14:srgbClr w14:val="000000">
                      <w14:alpha w14:val="100000"/>
                    </w14:srgbClr>
                  </w14:solidFill>
                </w14:textFill>
              </w:rPr>
              <w:t xml:space="preserve">　</w:t>
            </w:r>
            <w:r w:rsidRPr="00BD3549">
              <w:rPr>
                <w:color w:val="000000"/>
                <w:w w:val="16"/>
                <w:shd w:val="solid" w:color="000000" w:fill="000000"/>
                <w:fitText w:val="75" w:id="-893676021"/>
                <w14:textFill>
                  <w14:solidFill>
                    <w14:srgbClr w14:val="000000">
                      <w14:alpha w14:val="100000"/>
                    </w14:srgbClr>
                  </w14:solidFill>
                </w14:textFill>
              </w:rPr>
              <w:t>|</w:t>
            </w:r>
            <w:r w:rsidRPr="00BD3549">
              <w:rPr>
                <w:rFonts w:hint="eastAsia"/>
                <w:color w:val="000000"/>
                <w:spacing w:val="5"/>
                <w:w w:val="16"/>
                <w:shd w:val="solid" w:color="000000" w:fill="000000"/>
                <w:fitText w:val="75" w:id="-893676021"/>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7541537" w14:textId="70BA8D83" w:rsidR="00C20DDD" w:rsidRPr="00E9374D" w:rsidRDefault="00BD3549">
            <w:pPr>
              <w:pStyle w:val="TableText0"/>
              <w:jc w:val="center"/>
              <w:rPr>
                <w:highlight w:val="lightGray"/>
              </w:rPr>
            </w:pPr>
            <w:r w:rsidRPr="00BD3549">
              <w:rPr>
                <w:rFonts w:hint="eastAsia"/>
                <w:color w:val="000000"/>
                <w:w w:val="16"/>
                <w:shd w:val="solid" w:color="000000" w:fill="000000"/>
                <w:fitText w:val="75" w:id="-893676020"/>
                <w14:textFill>
                  <w14:solidFill>
                    <w14:srgbClr w14:val="000000">
                      <w14:alpha w14:val="100000"/>
                    </w14:srgbClr>
                  </w14:solidFill>
                </w14:textFill>
              </w:rPr>
              <w:t xml:space="preserve">　</w:t>
            </w:r>
            <w:r w:rsidRPr="00BD3549">
              <w:rPr>
                <w:color w:val="000000"/>
                <w:w w:val="16"/>
                <w:shd w:val="solid" w:color="000000" w:fill="000000"/>
                <w:fitText w:val="75" w:id="-893676020"/>
                <w14:textFill>
                  <w14:solidFill>
                    <w14:srgbClr w14:val="000000">
                      <w14:alpha w14:val="100000"/>
                    </w14:srgbClr>
                  </w14:solidFill>
                </w14:textFill>
              </w:rPr>
              <w:t>|</w:t>
            </w:r>
            <w:r w:rsidRPr="00BD3549">
              <w:rPr>
                <w:rFonts w:hint="eastAsia"/>
                <w:color w:val="000000"/>
                <w:spacing w:val="5"/>
                <w:w w:val="16"/>
                <w:shd w:val="solid" w:color="000000" w:fill="000000"/>
                <w:fitText w:val="75" w:id="-893676020"/>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3FBEA26B" w14:textId="1BF82C14" w:rsidR="00C20DDD" w:rsidRPr="00E9374D" w:rsidRDefault="00BD3549">
            <w:pPr>
              <w:pStyle w:val="TableText0"/>
              <w:jc w:val="center"/>
              <w:rPr>
                <w:highlight w:val="lightGray"/>
              </w:rPr>
            </w:pPr>
            <w:r w:rsidRPr="00BD3549">
              <w:rPr>
                <w:rFonts w:hint="eastAsia"/>
                <w:color w:val="000000"/>
                <w:w w:val="16"/>
                <w:shd w:val="solid" w:color="000000" w:fill="000000"/>
                <w:fitText w:val="75" w:id="-893676019"/>
                <w14:textFill>
                  <w14:solidFill>
                    <w14:srgbClr w14:val="000000">
                      <w14:alpha w14:val="100000"/>
                    </w14:srgbClr>
                  </w14:solidFill>
                </w14:textFill>
              </w:rPr>
              <w:t xml:space="preserve">　</w:t>
            </w:r>
            <w:r w:rsidRPr="00BD3549">
              <w:rPr>
                <w:color w:val="000000"/>
                <w:w w:val="16"/>
                <w:shd w:val="solid" w:color="000000" w:fill="000000"/>
                <w:fitText w:val="75" w:id="-893676019"/>
                <w14:textFill>
                  <w14:solidFill>
                    <w14:srgbClr w14:val="000000">
                      <w14:alpha w14:val="100000"/>
                    </w14:srgbClr>
                  </w14:solidFill>
                </w14:textFill>
              </w:rPr>
              <w:t>|</w:t>
            </w:r>
            <w:r w:rsidRPr="00BD3549">
              <w:rPr>
                <w:rFonts w:hint="eastAsia"/>
                <w:color w:val="000000"/>
                <w:spacing w:val="5"/>
                <w:w w:val="16"/>
                <w:shd w:val="solid" w:color="000000" w:fill="000000"/>
                <w:fitText w:val="75" w:id="-893676019"/>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0F69A8A2" w14:textId="7871B325"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6"/>
                <w14:textFill>
                  <w14:solidFill>
                    <w14:srgbClr w14:val="000000">
                      <w14:alpha w14:val="100000"/>
                    </w14:srgbClr>
                  </w14:solidFill>
                </w14:textFill>
              </w:rPr>
              <w:t xml:space="preserve">　</w:t>
            </w:r>
            <w:r w:rsidRPr="00BD3549">
              <w:rPr>
                <w:color w:val="000000"/>
                <w:w w:val="16"/>
                <w:shd w:val="solid" w:color="000000" w:fill="000000"/>
                <w:fitText w:val="75" w:id="-893675776"/>
                <w14:textFill>
                  <w14:solidFill>
                    <w14:srgbClr w14:val="000000">
                      <w14:alpha w14:val="100000"/>
                    </w14:srgbClr>
                  </w14:solidFill>
                </w14:textFill>
              </w:rPr>
              <w:t>|</w:t>
            </w:r>
            <w:r w:rsidRPr="00BD3549">
              <w:rPr>
                <w:rFonts w:hint="eastAsia"/>
                <w:color w:val="000000"/>
                <w:spacing w:val="5"/>
                <w:w w:val="16"/>
                <w:shd w:val="solid" w:color="000000" w:fill="000000"/>
                <w:fitText w:val="75" w:id="-893675776"/>
                <w14:textFill>
                  <w14:solidFill>
                    <w14:srgbClr w14:val="000000">
                      <w14:alpha w14:val="100000"/>
                    </w14:srgbClr>
                  </w14:solidFill>
                </w14:textFill>
              </w:rPr>
              <w:t xml:space="preserve">　</w:t>
            </w:r>
            <w:r w:rsidR="0071174A" w:rsidRPr="00A36D12">
              <w:rPr>
                <w:vertAlign w:val="superscript"/>
              </w:rPr>
              <w:t>8</w:t>
            </w:r>
          </w:p>
        </w:tc>
        <w:tc>
          <w:tcPr>
            <w:tcW w:w="591" w:type="pct"/>
            <w:tcBorders>
              <w:top w:val="nil"/>
              <w:left w:val="nil"/>
              <w:bottom w:val="single" w:sz="4" w:space="0" w:color="auto"/>
              <w:right w:val="single" w:sz="4" w:space="0" w:color="auto"/>
            </w:tcBorders>
            <w:shd w:val="clear" w:color="auto" w:fill="auto"/>
            <w:noWrap/>
            <w:vAlign w:val="center"/>
            <w:hideMark/>
          </w:tcPr>
          <w:p w14:paraId="63770672" w14:textId="58872E25"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5"/>
                <w14:textFill>
                  <w14:solidFill>
                    <w14:srgbClr w14:val="000000">
                      <w14:alpha w14:val="100000"/>
                    </w14:srgbClr>
                  </w14:solidFill>
                </w14:textFill>
              </w:rPr>
              <w:t xml:space="preserve">　</w:t>
            </w:r>
            <w:r w:rsidRPr="00BD3549">
              <w:rPr>
                <w:color w:val="000000"/>
                <w:w w:val="16"/>
                <w:shd w:val="solid" w:color="000000" w:fill="000000"/>
                <w:fitText w:val="75" w:id="-893675775"/>
                <w14:textFill>
                  <w14:solidFill>
                    <w14:srgbClr w14:val="000000">
                      <w14:alpha w14:val="100000"/>
                    </w14:srgbClr>
                  </w14:solidFill>
                </w14:textFill>
              </w:rPr>
              <w:t>|</w:t>
            </w:r>
            <w:r w:rsidRPr="00BD3549">
              <w:rPr>
                <w:rFonts w:hint="eastAsia"/>
                <w:color w:val="000000"/>
                <w:spacing w:val="5"/>
                <w:w w:val="16"/>
                <w:shd w:val="solid" w:color="000000" w:fill="000000"/>
                <w:fitText w:val="75" w:id="-893675775"/>
                <w14:textFill>
                  <w14:solidFill>
                    <w14:srgbClr w14:val="000000">
                      <w14:alpha w14:val="100000"/>
                    </w14:srgbClr>
                  </w14:solidFill>
                </w14:textFill>
              </w:rPr>
              <w:t xml:space="preserve">　</w:t>
            </w:r>
            <w:r w:rsidR="0071174A" w:rsidRPr="00A36D12">
              <w:rPr>
                <w:vertAlign w:val="superscript"/>
              </w:rPr>
              <w:t>8</w:t>
            </w:r>
          </w:p>
        </w:tc>
        <w:tc>
          <w:tcPr>
            <w:tcW w:w="592" w:type="pct"/>
            <w:tcBorders>
              <w:top w:val="nil"/>
              <w:left w:val="nil"/>
              <w:bottom w:val="single" w:sz="4" w:space="0" w:color="auto"/>
              <w:right w:val="single" w:sz="4" w:space="0" w:color="auto"/>
            </w:tcBorders>
            <w:shd w:val="clear" w:color="auto" w:fill="auto"/>
            <w:noWrap/>
            <w:vAlign w:val="center"/>
            <w:hideMark/>
          </w:tcPr>
          <w:p w14:paraId="683F3B13" w14:textId="0A7C0913"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4"/>
                <w14:textFill>
                  <w14:solidFill>
                    <w14:srgbClr w14:val="000000">
                      <w14:alpha w14:val="100000"/>
                    </w14:srgbClr>
                  </w14:solidFill>
                </w14:textFill>
              </w:rPr>
              <w:t xml:space="preserve">　</w:t>
            </w:r>
            <w:r w:rsidRPr="00BD3549">
              <w:rPr>
                <w:color w:val="000000"/>
                <w:w w:val="16"/>
                <w:shd w:val="solid" w:color="000000" w:fill="000000"/>
                <w:fitText w:val="75" w:id="-893675774"/>
                <w14:textFill>
                  <w14:solidFill>
                    <w14:srgbClr w14:val="000000">
                      <w14:alpha w14:val="100000"/>
                    </w14:srgbClr>
                  </w14:solidFill>
                </w14:textFill>
              </w:rPr>
              <w:t>|</w:t>
            </w:r>
            <w:r w:rsidRPr="00BD3549">
              <w:rPr>
                <w:rFonts w:hint="eastAsia"/>
                <w:color w:val="000000"/>
                <w:spacing w:val="5"/>
                <w:w w:val="16"/>
                <w:shd w:val="solid" w:color="000000" w:fill="000000"/>
                <w:fitText w:val="75" w:id="-893675774"/>
                <w14:textFill>
                  <w14:solidFill>
                    <w14:srgbClr w14:val="000000">
                      <w14:alpha w14:val="100000"/>
                    </w14:srgbClr>
                  </w14:solidFill>
                </w14:textFill>
              </w:rPr>
              <w:t xml:space="preserve">　</w:t>
            </w:r>
            <w:r w:rsidR="0071174A" w:rsidRPr="00A36D12">
              <w:rPr>
                <w:vertAlign w:val="superscript"/>
              </w:rPr>
              <w:t>8</w:t>
            </w:r>
          </w:p>
        </w:tc>
      </w:tr>
      <w:tr w:rsidR="00C20DDD" w:rsidRPr="001611DC" w14:paraId="05640ABE" w14:textId="77777777">
        <w:trPr>
          <w:trHeight w:val="276"/>
        </w:trPr>
        <w:tc>
          <w:tcPr>
            <w:tcW w:w="862" w:type="pct"/>
            <w:tcBorders>
              <w:top w:val="nil"/>
              <w:left w:val="single" w:sz="4" w:space="0" w:color="auto"/>
              <w:bottom w:val="single" w:sz="4" w:space="0" w:color="auto"/>
              <w:right w:val="single" w:sz="4" w:space="0" w:color="auto"/>
            </w:tcBorders>
            <w:shd w:val="clear" w:color="auto" w:fill="auto"/>
            <w:noWrap/>
            <w:vAlign w:val="center"/>
          </w:tcPr>
          <w:p w14:paraId="51F32264" w14:textId="77777777" w:rsidR="00C20DDD" w:rsidRPr="001611DC" w:rsidRDefault="00C20DDD">
            <w:pPr>
              <w:pStyle w:val="TableText0"/>
            </w:pPr>
            <w:r w:rsidRPr="001611DC">
              <w:t>All budgets combined</w:t>
            </w:r>
          </w:p>
        </w:tc>
        <w:tc>
          <w:tcPr>
            <w:tcW w:w="591" w:type="pct"/>
            <w:tcBorders>
              <w:top w:val="nil"/>
              <w:left w:val="nil"/>
              <w:bottom w:val="single" w:sz="4" w:space="0" w:color="auto"/>
              <w:right w:val="single" w:sz="4" w:space="0" w:color="auto"/>
            </w:tcBorders>
            <w:shd w:val="clear" w:color="auto" w:fill="auto"/>
            <w:noWrap/>
            <w:vAlign w:val="center"/>
          </w:tcPr>
          <w:p w14:paraId="777B4691" w14:textId="2A4F1C72"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3"/>
                <w14:textFill>
                  <w14:solidFill>
                    <w14:srgbClr w14:val="000000">
                      <w14:alpha w14:val="100000"/>
                    </w14:srgbClr>
                  </w14:solidFill>
                </w14:textFill>
              </w:rPr>
              <w:t xml:space="preserve">　</w:t>
            </w:r>
            <w:r w:rsidRPr="00BD3549">
              <w:rPr>
                <w:color w:val="000000"/>
                <w:w w:val="16"/>
                <w:shd w:val="solid" w:color="000000" w:fill="000000"/>
                <w:fitText w:val="75" w:id="-893675773"/>
                <w14:textFill>
                  <w14:solidFill>
                    <w14:srgbClr w14:val="000000">
                      <w14:alpha w14:val="100000"/>
                    </w14:srgbClr>
                  </w14:solidFill>
                </w14:textFill>
              </w:rPr>
              <w:t>|</w:t>
            </w:r>
            <w:r w:rsidRPr="00BD3549">
              <w:rPr>
                <w:rFonts w:hint="eastAsia"/>
                <w:color w:val="000000"/>
                <w:spacing w:val="5"/>
                <w:w w:val="16"/>
                <w:shd w:val="solid" w:color="000000" w:fill="000000"/>
                <w:fitText w:val="75" w:id="-893675773"/>
                <w14:textFill>
                  <w14:solidFill>
                    <w14:srgbClr w14:val="000000">
                      <w14:alpha w14:val="100000"/>
                    </w14:srgbClr>
                  </w14:solidFill>
                </w14:textFill>
              </w:rPr>
              <w:t xml:space="preserve">　</w:t>
            </w:r>
            <w:r w:rsidR="00186E98" w:rsidRPr="005E1BF1">
              <w:rPr>
                <w:vertAlign w:val="superscript"/>
              </w:rPr>
              <w:t>4</w:t>
            </w:r>
          </w:p>
        </w:tc>
        <w:tc>
          <w:tcPr>
            <w:tcW w:w="591" w:type="pct"/>
            <w:tcBorders>
              <w:top w:val="nil"/>
              <w:left w:val="nil"/>
              <w:bottom w:val="single" w:sz="4" w:space="0" w:color="auto"/>
              <w:right w:val="single" w:sz="4" w:space="0" w:color="auto"/>
            </w:tcBorders>
            <w:shd w:val="clear" w:color="auto" w:fill="auto"/>
            <w:noWrap/>
            <w:vAlign w:val="center"/>
          </w:tcPr>
          <w:p w14:paraId="4F4F2CA0" w14:textId="4D904460"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2"/>
                <w14:textFill>
                  <w14:solidFill>
                    <w14:srgbClr w14:val="000000">
                      <w14:alpha w14:val="100000"/>
                    </w14:srgbClr>
                  </w14:solidFill>
                </w14:textFill>
              </w:rPr>
              <w:t xml:space="preserve">　</w:t>
            </w:r>
            <w:r w:rsidRPr="00BD3549">
              <w:rPr>
                <w:color w:val="000000"/>
                <w:w w:val="16"/>
                <w:shd w:val="solid" w:color="000000" w:fill="000000"/>
                <w:fitText w:val="75" w:id="-893675772"/>
                <w14:textFill>
                  <w14:solidFill>
                    <w14:srgbClr w14:val="000000">
                      <w14:alpha w14:val="100000"/>
                    </w14:srgbClr>
                  </w14:solidFill>
                </w14:textFill>
              </w:rPr>
              <w:t>|</w:t>
            </w:r>
            <w:r w:rsidRPr="00BD3549">
              <w:rPr>
                <w:rFonts w:hint="eastAsia"/>
                <w:color w:val="000000"/>
                <w:spacing w:val="5"/>
                <w:w w:val="16"/>
                <w:shd w:val="solid" w:color="000000" w:fill="000000"/>
                <w:fitText w:val="75" w:id="-893675772"/>
                <w14:textFill>
                  <w14:solidFill>
                    <w14:srgbClr w14:val="000000">
                      <w14:alpha w14:val="100000"/>
                    </w14:srgbClr>
                  </w14:solidFill>
                </w14:textFill>
              </w:rPr>
              <w:t xml:space="preserve">　</w:t>
            </w:r>
            <w:r w:rsidR="006A272F" w:rsidRPr="006A272F">
              <w:rPr>
                <w:vertAlign w:val="superscript"/>
              </w:rPr>
              <w:t>9</w:t>
            </w:r>
          </w:p>
        </w:tc>
        <w:tc>
          <w:tcPr>
            <w:tcW w:w="591" w:type="pct"/>
            <w:tcBorders>
              <w:top w:val="nil"/>
              <w:left w:val="nil"/>
              <w:bottom w:val="single" w:sz="4" w:space="0" w:color="auto"/>
              <w:right w:val="single" w:sz="4" w:space="0" w:color="auto"/>
            </w:tcBorders>
            <w:shd w:val="clear" w:color="auto" w:fill="auto"/>
            <w:noWrap/>
            <w:vAlign w:val="center"/>
          </w:tcPr>
          <w:p w14:paraId="2B6FCB05" w14:textId="05BD011E" w:rsidR="00C20DDD" w:rsidRPr="00E9374D" w:rsidRDefault="00BD3549">
            <w:pPr>
              <w:pStyle w:val="TableText0"/>
              <w:jc w:val="center"/>
              <w:rPr>
                <w:highlight w:val="lightGray"/>
              </w:rPr>
            </w:pPr>
            <w:r w:rsidRPr="00BD3549">
              <w:rPr>
                <w:rFonts w:hint="eastAsia"/>
                <w:color w:val="000000"/>
                <w:w w:val="16"/>
                <w:shd w:val="solid" w:color="000000" w:fill="000000"/>
                <w:fitText w:val="75" w:id="-893675771"/>
                <w14:textFill>
                  <w14:solidFill>
                    <w14:srgbClr w14:val="000000">
                      <w14:alpha w14:val="100000"/>
                    </w14:srgbClr>
                  </w14:solidFill>
                </w14:textFill>
              </w:rPr>
              <w:t xml:space="preserve">　</w:t>
            </w:r>
            <w:r w:rsidRPr="00BD3549">
              <w:rPr>
                <w:color w:val="000000"/>
                <w:w w:val="16"/>
                <w:shd w:val="solid" w:color="000000" w:fill="000000"/>
                <w:fitText w:val="75" w:id="-893675771"/>
                <w14:textFill>
                  <w14:solidFill>
                    <w14:srgbClr w14:val="000000">
                      <w14:alpha w14:val="100000"/>
                    </w14:srgbClr>
                  </w14:solidFill>
                </w14:textFill>
              </w:rPr>
              <w:t>|</w:t>
            </w:r>
            <w:r w:rsidRPr="00BD3549">
              <w:rPr>
                <w:rFonts w:hint="eastAsia"/>
                <w:color w:val="000000"/>
                <w:spacing w:val="5"/>
                <w:w w:val="16"/>
                <w:shd w:val="solid" w:color="000000" w:fill="000000"/>
                <w:fitText w:val="75" w:id="-893675771"/>
                <w14:textFill>
                  <w14:solidFill>
                    <w14:srgbClr w14:val="000000">
                      <w14:alpha w14:val="100000"/>
                    </w14:srgbClr>
                  </w14:solidFill>
                </w14:textFill>
              </w:rPr>
              <w:t xml:space="preserve">　</w:t>
            </w:r>
            <w:r w:rsidR="006A272F" w:rsidRPr="006E1E4A">
              <w:rPr>
                <w:vertAlign w:val="superscript"/>
              </w:rPr>
              <w:t>9</w:t>
            </w:r>
          </w:p>
        </w:tc>
        <w:tc>
          <w:tcPr>
            <w:tcW w:w="591" w:type="pct"/>
            <w:tcBorders>
              <w:top w:val="nil"/>
              <w:left w:val="nil"/>
              <w:bottom w:val="single" w:sz="4" w:space="0" w:color="auto"/>
              <w:right w:val="single" w:sz="4" w:space="0" w:color="auto"/>
            </w:tcBorders>
            <w:shd w:val="clear" w:color="auto" w:fill="auto"/>
            <w:noWrap/>
            <w:vAlign w:val="center"/>
          </w:tcPr>
          <w:p w14:paraId="7ACC50EF" w14:textId="7244A378" w:rsidR="00C20DDD" w:rsidRPr="00E9374D" w:rsidRDefault="00BD3549">
            <w:pPr>
              <w:pStyle w:val="TableText0"/>
              <w:jc w:val="center"/>
              <w:rPr>
                <w:highlight w:val="lightGray"/>
              </w:rPr>
            </w:pPr>
            <w:r w:rsidRPr="00BD3549">
              <w:rPr>
                <w:rFonts w:hint="eastAsia"/>
                <w:color w:val="000000"/>
                <w:w w:val="23"/>
                <w:shd w:val="solid" w:color="000000" w:fill="000000"/>
                <w:fitText w:val="105" w:id="-893675770"/>
                <w14:textFill>
                  <w14:solidFill>
                    <w14:srgbClr w14:val="000000">
                      <w14:alpha w14:val="100000"/>
                    </w14:srgbClr>
                  </w14:solidFill>
                </w14:textFill>
              </w:rPr>
              <w:t xml:space="preserve">　</w:t>
            </w:r>
            <w:r w:rsidRPr="00BD3549">
              <w:rPr>
                <w:color w:val="000000"/>
                <w:w w:val="23"/>
                <w:shd w:val="solid" w:color="000000" w:fill="000000"/>
                <w:fitText w:val="105" w:id="-893675770"/>
                <w14:textFill>
                  <w14:solidFill>
                    <w14:srgbClr w14:val="000000">
                      <w14:alpha w14:val="100000"/>
                    </w14:srgbClr>
                  </w14:solidFill>
                </w14:textFill>
              </w:rPr>
              <w:t>|</w:t>
            </w:r>
            <w:r w:rsidRPr="00BD3549">
              <w:rPr>
                <w:rFonts w:hint="eastAsia"/>
                <w:color w:val="000000"/>
                <w:spacing w:val="4"/>
                <w:w w:val="23"/>
                <w:shd w:val="solid" w:color="000000" w:fill="000000"/>
                <w:fitText w:val="105" w:id="-893675770"/>
                <w14:textFill>
                  <w14:solidFill>
                    <w14:srgbClr w14:val="000000">
                      <w14:alpha w14:val="100000"/>
                    </w14:srgbClr>
                  </w14:solidFill>
                </w14:textFill>
              </w:rPr>
              <w:t xml:space="preserve">　</w:t>
            </w:r>
            <w:r w:rsidR="006E1E4A" w:rsidRPr="006E1E4A">
              <w:rPr>
                <w:vertAlign w:val="superscript"/>
              </w:rPr>
              <w:t>10</w:t>
            </w:r>
          </w:p>
        </w:tc>
        <w:tc>
          <w:tcPr>
            <w:tcW w:w="591" w:type="pct"/>
            <w:tcBorders>
              <w:top w:val="nil"/>
              <w:left w:val="nil"/>
              <w:bottom w:val="single" w:sz="4" w:space="0" w:color="auto"/>
              <w:right w:val="single" w:sz="4" w:space="0" w:color="auto"/>
            </w:tcBorders>
            <w:shd w:val="clear" w:color="auto" w:fill="auto"/>
            <w:noWrap/>
            <w:vAlign w:val="center"/>
          </w:tcPr>
          <w:p w14:paraId="0B49E407" w14:textId="49A1C9D3" w:rsidR="00C20DDD" w:rsidRPr="00E9374D" w:rsidRDefault="00BD3549">
            <w:pPr>
              <w:pStyle w:val="TableText0"/>
              <w:jc w:val="center"/>
              <w:rPr>
                <w:highlight w:val="lightGray"/>
              </w:rPr>
            </w:pPr>
            <w:r w:rsidRPr="00BD3549">
              <w:rPr>
                <w:rFonts w:hint="eastAsia"/>
                <w:color w:val="000000"/>
                <w:w w:val="23"/>
                <w:shd w:val="solid" w:color="000000" w:fill="000000"/>
                <w:fitText w:val="105" w:id="-893675769"/>
                <w14:textFill>
                  <w14:solidFill>
                    <w14:srgbClr w14:val="000000">
                      <w14:alpha w14:val="100000"/>
                    </w14:srgbClr>
                  </w14:solidFill>
                </w14:textFill>
              </w:rPr>
              <w:t xml:space="preserve">　</w:t>
            </w:r>
            <w:r w:rsidRPr="00BD3549">
              <w:rPr>
                <w:color w:val="000000"/>
                <w:w w:val="23"/>
                <w:shd w:val="solid" w:color="000000" w:fill="000000"/>
                <w:fitText w:val="105" w:id="-893675769"/>
                <w14:textFill>
                  <w14:solidFill>
                    <w14:srgbClr w14:val="000000">
                      <w14:alpha w14:val="100000"/>
                    </w14:srgbClr>
                  </w14:solidFill>
                </w14:textFill>
              </w:rPr>
              <w:t>|</w:t>
            </w:r>
            <w:r w:rsidRPr="00BD3549">
              <w:rPr>
                <w:rFonts w:hint="eastAsia"/>
                <w:color w:val="000000"/>
                <w:spacing w:val="4"/>
                <w:w w:val="23"/>
                <w:shd w:val="solid" w:color="000000" w:fill="000000"/>
                <w:fitText w:val="105" w:id="-893675769"/>
                <w14:textFill>
                  <w14:solidFill>
                    <w14:srgbClr w14:val="000000">
                      <w14:alpha w14:val="100000"/>
                    </w14:srgbClr>
                  </w14:solidFill>
                </w14:textFill>
              </w:rPr>
              <w:t xml:space="preserve">　</w:t>
            </w:r>
            <w:r w:rsidR="006E1E4A" w:rsidRPr="006E1E4A">
              <w:rPr>
                <w:vertAlign w:val="superscript"/>
              </w:rPr>
              <w:t>10</w:t>
            </w:r>
          </w:p>
        </w:tc>
        <w:tc>
          <w:tcPr>
            <w:tcW w:w="591" w:type="pct"/>
            <w:tcBorders>
              <w:top w:val="nil"/>
              <w:left w:val="nil"/>
              <w:bottom w:val="single" w:sz="4" w:space="0" w:color="auto"/>
              <w:right w:val="single" w:sz="4" w:space="0" w:color="auto"/>
            </w:tcBorders>
            <w:shd w:val="clear" w:color="auto" w:fill="auto"/>
            <w:noWrap/>
            <w:vAlign w:val="center"/>
          </w:tcPr>
          <w:p w14:paraId="2CBD961E" w14:textId="6826D695" w:rsidR="00C20DDD" w:rsidRPr="00E9374D" w:rsidRDefault="00BD3549">
            <w:pPr>
              <w:pStyle w:val="TableText0"/>
              <w:jc w:val="center"/>
              <w:rPr>
                <w:highlight w:val="lightGray"/>
              </w:rPr>
            </w:pPr>
            <w:r w:rsidRPr="00BD3549">
              <w:rPr>
                <w:rFonts w:hint="eastAsia"/>
                <w:color w:val="000000"/>
                <w:w w:val="23"/>
                <w:shd w:val="solid" w:color="000000" w:fill="000000"/>
                <w:fitText w:val="105" w:id="-893675768"/>
                <w14:textFill>
                  <w14:solidFill>
                    <w14:srgbClr w14:val="000000">
                      <w14:alpha w14:val="100000"/>
                    </w14:srgbClr>
                  </w14:solidFill>
                </w14:textFill>
              </w:rPr>
              <w:t xml:space="preserve">　</w:t>
            </w:r>
            <w:r w:rsidRPr="00BD3549">
              <w:rPr>
                <w:color w:val="000000"/>
                <w:w w:val="23"/>
                <w:shd w:val="solid" w:color="000000" w:fill="000000"/>
                <w:fitText w:val="105" w:id="-893675768"/>
                <w14:textFill>
                  <w14:solidFill>
                    <w14:srgbClr w14:val="000000">
                      <w14:alpha w14:val="100000"/>
                    </w14:srgbClr>
                  </w14:solidFill>
                </w14:textFill>
              </w:rPr>
              <w:t>|</w:t>
            </w:r>
            <w:r w:rsidRPr="00BD3549">
              <w:rPr>
                <w:rFonts w:hint="eastAsia"/>
                <w:color w:val="000000"/>
                <w:spacing w:val="4"/>
                <w:w w:val="23"/>
                <w:shd w:val="solid" w:color="000000" w:fill="000000"/>
                <w:fitText w:val="105" w:id="-893675768"/>
                <w14:textFill>
                  <w14:solidFill>
                    <w14:srgbClr w14:val="000000">
                      <w14:alpha w14:val="100000"/>
                    </w14:srgbClr>
                  </w14:solidFill>
                </w14:textFill>
              </w:rPr>
              <w:t xml:space="preserve">　</w:t>
            </w:r>
            <w:r w:rsidR="006E1E4A" w:rsidRPr="006E1E4A">
              <w:rPr>
                <w:vertAlign w:val="superscript"/>
              </w:rPr>
              <w:t>10</w:t>
            </w:r>
          </w:p>
        </w:tc>
        <w:tc>
          <w:tcPr>
            <w:tcW w:w="592" w:type="pct"/>
            <w:tcBorders>
              <w:top w:val="nil"/>
              <w:left w:val="nil"/>
              <w:bottom w:val="single" w:sz="4" w:space="0" w:color="auto"/>
              <w:right w:val="single" w:sz="4" w:space="0" w:color="auto"/>
            </w:tcBorders>
            <w:shd w:val="clear" w:color="auto" w:fill="auto"/>
            <w:noWrap/>
            <w:vAlign w:val="center"/>
          </w:tcPr>
          <w:p w14:paraId="0034D1DF" w14:textId="51CB7024" w:rsidR="00C20DDD" w:rsidRPr="00E9374D" w:rsidRDefault="00BD3549">
            <w:pPr>
              <w:pStyle w:val="TableText0"/>
              <w:jc w:val="center"/>
              <w:rPr>
                <w:highlight w:val="lightGray"/>
              </w:rPr>
            </w:pPr>
            <w:r w:rsidRPr="00BD3549">
              <w:rPr>
                <w:rFonts w:hint="eastAsia"/>
                <w:color w:val="000000"/>
                <w:w w:val="23"/>
                <w:shd w:val="solid" w:color="000000" w:fill="000000"/>
                <w:fitText w:val="105" w:id="-893675767"/>
                <w14:textFill>
                  <w14:solidFill>
                    <w14:srgbClr w14:val="000000">
                      <w14:alpha w14:val="100000"/>
                    </w14:srgbClr>
                  </w14:solidFill>
                </w14:textFill>
              </w:rPr>
              <w:t xml:space="preserve">　</w:t>
            </w:r>
            <w:r w:rsidRPr="00BD3549">
              <w:rPr>
                <w:color w:val="000000"/>
                <w:w w:val="23"/>
                <w:shd w:val="solid" w:color="000000" w:fill="000000"/>
                <w:fitText w:val="105" w:id="-893675767"/>
                <w14:textFill>
                  <w14:solidFill>
                    <w14:srgbClr w14:val="000000">
                      <w14:alpha w14:val="100000"/>
                    </w14:srgbClr>
                  </w14:solidFill>
                </w14:textFill>
              </w:rPr>
              <w:t>|</w:t>
            </w:r>
            <w:r w:rsidRPr="00BD3549">
              <w:rPr>
                <w:rFonts w:hint="eastAsia"/>
                <w:color w:val="000000"/>
                <w:spacing w:val="4"/>
                <w:w w:val="23"/>
                <w:shd w:val="solid" w:color="000000" w:fill="000000"/>
                <w:fitText w:val="105" w:id="-893675767"/>
                <w14:textFill>
                  <w14:solidFill>
                    <w14:srgbClr w14:val="000000">
                      <w14:alpha w14:val="100000"/>
                    </w14:srgbClr>
                  </w14:solidFill>
                </w14:textFill>
              </w:rPr>
              <w:t xml:space="preserve">　</w:t>
            </w:r>
            <w:r w:rsidR="00235D46" w:rsidRPr="00235D46">
              <w:rPr>
                <w:vertAlign w:val="superscript"/>
              </w:rPr>
              <w:t>11</w:t>
            </w:r>
          </w:p>
        </w:tc>
      </w:tr>
    </w:tbl>
    <w:p w14:paraId="69FCCD60" w14:textId="765C035A" w:rsidR="00C20DDD" w:rsidRPr="001611DC" w:rsidRDefault="00C20DDD" w:rsidP="00C20DDD">
      <w:pPr>
        <w:pStyle w:val="FooterTableFigure"/>
      </w:pPr>
      <w:r w:rsidRPr="001611DC">
        <w:rPr>
          <w:rFonts w:eastAsiaTheme="majorEastAsia"/>
        </w:rPr>
        <w:t>Source: Table 4-62 of the submission.</w:t>
      </w:r>
      <w:r w:rsidRPr="001611DC">
        <w:t xml:space="preserve"> </w:t>
      </w:r>
    </w:p>
    <w:p w14:paraId="225FC67C" w14:textId="77777777" w:rsidR="00C20DDD" w:rsidRDefault="00C20DDD" w:rsidP="00C20DDD">
      <w:pPr>
        <w:pStyle w:val="FooterTableFigure"/>
        <w:rPr>
          <w:rFonts w:eastAsiaTheme="majorEastAsia"/>
        </w:rPr>
      </w:pPr>
      <w:r w:rsidRPr="001611DC">
        <w:rPr>
          <w:rFonts w:eastAsiaTheme="majorEastAsia"/>
        </w:rPr>
        <w:t>K = thousands; MBS = Medicare Benefits Schedule; NIP = National Immunisation Program; PBS = Pharmaceutical Benefits Schedule; YOA = years of age.</w:t>
      </w:r>
    </w:p>
    <w:p w14:paraId="121BBB33" w14:textId="77777777" w:rsidR="0037646F" w:rsidRPr="00330EA2" w:rsidRDefault="0037646F" w:rsidP="0037646F">
      <w:pPr>
        <w:pStyle w:val="FooterTableFigure"/>
        <w:rPr>
          <w:rFonts w:eastAsiaTheme="majorEastAsia"/>
          <w:i/>
          <w:iCs/>
        </w:rPr>
      </w:pPr>
      <w:bookmarkStart w:id="196" w:name="_Hlk176876964"/>
      <w:r w:rsidRPr="00330EA2">
        <w:rPr>
          <w:rFonts w:eastAsiaTheme="majorEastAsia"/>
          <w:i/>
          <w:iCs/>
        </w:rPr>
        <w:t>The redacted values correspond to the following ranges:</w:t>
      </w:r>
    </w:p>
    <w:p w14:paraId="6ED05E19" w14:textId="278ACF5C" w:rsidR="00FE1363" w:rsidRPr="00330EA2" w:rsidRDefault="00FE1363" w:rsidP="0037646F">
      <w:pPr>
        <w:pStyle w:val="FooterTableFigure"/>
        <w:rPr>
          <w:rFonts w:eastAsiaTheme="majorEastAsia"/>
          <w:i/>
          <w:iCs/>
        </w:rPr>
      </w:pPr>
      <w:r w:rsidRPr="00330EA2">
        <w:rPr>
          <w:rFonts w:eastAsiaTheme="majorEastAsia"/>
          <w:i/>
          <w:iCs/>
        </w:rPr>
        <w:t>1 500,000 to &lt; 600,000</w:t>
      </w:r>
    </w:p>
    <w:p w14:paraId="7A4B67FB" w14:textId="250D7234" w:rsidR="007F020E" w:rsidRPr="00330EA2" w:rsidRDefault="007F020E" w:rsidP="0037646F">
      <w:pPr>
        <w:pStyle w:val="FooterTableFigure"/>
        <w:rPr>
          <w:rFonts w:eastAsiaTheme="majorEastAsia"/>
          <w:i/>
          <w:iCs/>
        </w:rPr>
      </w:pPr>
      <w:r w:rsidRPr="00330EA2">
        <w:rPr>
          <w:rFonts w:eastAsiaTheme="majorEastAsia"/>
          <w:i/>
          <w:iCs/>
        </w:rPr>
        <w:t>2 100,000 to &lt; 200,000</w:t>
      </w:r>
    </w:p>
    <w:p w14:paraId="58C7F99D" w14:textId="0F15C715" w:rsidR="00C05508" w:rsidRPr="00330EA2" w:rsidRDefault="00C05508" w:rsidP="0037646F">
      <w:pPr>
        <w:pStyle w:val="FooterTableFigure"/>
        <w:rPr>
          <w:rFonts w:eastAsiaTheme="majorEastAsia"/>
          <w:i/>
          <w:iCs/>
        </w:rPr>
      </w:pPr>
      <w:r w:rsidRPr="00330EA2">
        <w:rPr>
          <w:rFonts w:eastAsiaTheme="majorEastAsia"/>
          <w:i/>
          <w:iCs/>
        </w:rPr>
        <w:t>3 1,000,000 to &lt; 2,000,000</w:t>
      </w:r>
    </w:p>
    <w:p w14:paraId="5D09F8DD" w14:textId="1CA88548" w:rsidR="00501F10" w:rsidRPr="00330EA2" w:rsidRDefault="001F175D" w:rsidP="0037646F">
      <w:pPr>
        <w:pStyle w:val="FooterTableFigure"/>
        <w:rPr>
          <w:rFonts w:eastAsiaTheme="majorEastAsia"/>
          <w:i/>
          <w:iCs/>
        </w:rPr>
      </w:pPr>
      <w:r w:rsidRPr="00330EA2">
        <w:rPr>
          <w:rFonts w:eastAsiaTheme="majorEastAsia"/>
          <w:i/>
          <w:iCs/>
        </w:rPr>
        <w:t>4 $100 million to &lt; $200 million</w:t>
      </w:r>
    </w:p>
    <w:p w14:paraId="3E710C28" w14:textId="1432FFCC" w:rsidR="00702208" w:rsidRPr="00330EA2" w:rsidRDefault="00702208" w:rsidP="0037646F">
      <w:pPr>
        <w:pStyle w:val="FooterTableFigure"/>
        <w:rPr>
          <w:rFonts w:eastAsiaTheme="majorEastAsia"/>
          <w:i/>
          <w:iCs/>
        </w:rPr>
      </w:pPr>
      <w:r w:rsidRPr="00330EA2">
        <w:rPr>
          <w:rFonts w:eastAsiaTheme="majorEastAsia"/>
          <w:i/>
          <w:iCs/>
        </w:rPr>
        <w:t>5 $30 million to &lt; $40 million</w:t>
      </w:r>
    </w:p>
    <w:p w14:paraId="085CB1B9" w14:textId="43755A00" w:rsidR="002C3171" w:rsidRPr="00330EA2" w:rsidRDefault="002C3171" w:rsidP="0037646F">
      <w:pPr>
        <w:pStyle w:val="FooterTableFigure"/>
        <w:rPr>
          <w:rFonts w:eastAsiaTheme="majorEastAsia"/>
          <w:i/>
          <w:iCs/>
        </w:rPr>
      </w:pPr>
      <w:r w:rsidRPr="00330EA2">
        <w:rPr>
          <w:rFonts w:eastAsiaTheme="majorEastAsia"/>
          <w:i/>
          <w:iCs/>
        </w:rPr>
        <w:t>6 $40 million to &lt; $50 million</w:t>
      </w:r>
    </w:p>
    <w:p w14:paraId="6C967E2C" w14:textId="40C9CA5D" w:rsidR="009B6948" w:rsidRPr="00330EA2" w:rsidRDefault="009B6948" w:rsidP="0037646F">
      <w:pPr>
        <w:pStyle w:val="FooterTableFigure"/>
        <w:rPr>
          <w:rFonts w:eastAsiaTheme="majorEastAsia"/>
          <w:i/>
          <w:iCs/>
        </w:rPr>
      </w:pPr>
      <w:r w:rsidRPr="00330EA2">
        <w:rPr>
          <w:rFonts w:eastAsiaTheme="majorEastAsia"/>
          <w:i/>
          <w:iCs/>
        </w:rPr>
        <w:t>7 $300 million to &lt; $400 million</w:t>
      </w:r>
    </w:p>
    <w:p w14:paraId="6BBECB20" w14:textId="38F17F3B" w:rsidR="003D664E" w:rsidRPr="00330EA2" w:rsidRDefault="003D664E" w:rsidP="0037646F">
      <w:pPr>
        <w:pStyle w:val="FooterTableFigure"/>
        <w:rPr>
          <w:rFonts w:eastAsiaTheme="majorEastAsia"/>
          <w:i/>
          <w:iCs/>
        </w:rPr>
      </w:pPr>
      <w:r w:rsidRPr="00330EA2">
        <w:rPr>
          <w:rFonts w:eastAsiaTheme="majorEastAsia"/>
          <w:i/>
          <w:iCs/>
        </w:rPr>
        <w:t>8 net cost saving</w:t>
      </w:r>
    </w:p>
    <w:p w14:paraId="60617D4B" w14:textId="50D36D6D" w:rsidR="003D664E" w:rsidRPr="00330EA2" w:rsidRDefault="003D664E" w:rsidP="0037646F">
      <w:pPr>
        <w:pStyle w:val="FooterTableFigure"/>
        <w:rPr>
          <w:rFonts w:eastAsiaTheme="majorEastAsia"/>
          <w:i/>
          <w:iCs/>
        </w:rPr>
      </w:pPr>
      <w:r w:rsidRPr="00330EA2">
        <w:rPr>
          <w:rFonts w:eastAsiaTheme="majorEastAsia"/>
          <w:i/>
          <w:iCs/>
        </w:rPr>
        <w:t>9 $10 million to &lt; $20 million</w:t>
      </w:r>
    </w:p>
    <w:p w14:paraId="4137ABB7" w14:textId="22C35B80" w:rsidR="004C1A5E" w:rsidRPr="00330EA2" w:rsidRDefault="004C1A5E" w:rsidP="0037646F">
      <w:pPr>
        <w:pStyle w:val="FooterTableFigure"/>
        <w:rPr>
          <w:rFonts w:eastAsiaTheme="majorEastAsia"/>
          <w:i/>
          <w:iCs/>
        </w:rPr>
      </w:pPr>
      <w:r w:rsidRPr="00330EA2">
        <w:rPr>
          <w:rFonts w:eastAsiaTheme="majorEastAsia"/>
          <w:i/>
          <w:iCs/>
        </w:rPr>
        <w:t>10 $20 million to &lt; $30 million</w:t>
      </w:r>
    </w:p>
    <w:p w14:paraId="4D683459" w14:textId="654ECB51" w:rsidR="00AA50D4" w:rsidRPr="00330EA2" w:rsidRDefault="00AA50D4" w:rsidP="0037646F">
      <w:pPr>
        <w:pStyle w:val="FooterTableFigure"/>
        <w:rPr>
          <w:rFonts w:eastAsiaTheme="majorEastAsia"/>
          <w:i/>
          <w:iCs/>
        </w:rPr>
      </w:pPr>
      <w:r w:rsidRPr="00330EA2">
        <w:rPr>
          <w:rFonts w:eastAsiaTheme="majorEastAsia"/>
          <w:i/>
          <w:iCs/>
        </w:rPr>
        <w:t>11 $200 million to &lt; $300 million</w:t>
      </w:r>
    </w:p>
    <w:bookmarkEnd w:id="196"/>
    <w:p w14:paraId="4F4E583D" w14:textId="615DD69E" w:rsidR="00C20DDD" w:rsidRPr="001611DC" w:rsidRDefault="00C20DDD" w:rsidP="00C20DDD">
      <w:pPr>
        <w:pStyle w:val="3-BodyText"/>
        <w:rPr>
          <w:color w:val="000000" w:themeColor="text1"/>
        </w:rPr>
      </w:pPr>
      <w:r w:rsidRPr="001611DC">
        <w:rPr>
          <w:rFonts w:eastAsiaTheme="majorEastAsia"/>
        </w:rPr>
        <w:t>Costs to the NIP estimated by the submission for increased risk persons 60</w:t>
      </w:r>
      <w:r w:rsidRPr="001611DC">
        <w:rPr>
          <w:rFonts w:eastAsiaTheme="majorEastAsia"/>
        </w:rPr>
        <w:noBreakHyphen/>
        <w:t>74 YOA were $</w:t>
      </w:r>
      <w:r w:rsidR="004A749C" w:rsidRPr="004A749C">
        <w:rPr>
          <w:rFonts w:eastAsiaTheme="majorEastAsia"/>
        </w:rPr>
        <w:t xml:space="preserve">300 million to &lt; $400 </w:t>
      </w:r>
      <w:r w:rsidR="00E3503D" w:rsidRPr="004A749C">
        <w:rPr>
          <w:rFonts w:eastAsiaTheme="majorEastAsia"/>
        </w:rPr>
        <w:t>million</w:t>
      </w:r>
      <w:r w:rsidR="00E3503D" w:rsidRPr="001611DC">
        <w:rPr>
          <w:rFonts w:eastAsiaTheme="majorEastAsia"/>
        </w:rPr>
        <w:t xml:space="preserve"> over</w:t>
      </w:r>
      <w:r w:rsidRPr="001611DC">
        <w:rPr>
          <w:rFonts w:eastAsiaTheme="majorEastAsia"/>
        </w:rPr>
        <w:t xml:space="preserve"> 6 years.</w:t>
      </w:r>
      <w:r w:rsidRPr="001611DC">
        <w:rPr>
          <w:iCs/>
        </w:rPr>
        <w:t xml:space="preserve"> </w:t>
      </w:r>
      <w:r w:rsidRPr="001611DC">
        <w:rPr>
          <w:rFonts w:eastAsiaTheme="majorEastAsia"/>
        </w:rPr>
        <w:t>Costs to all health budgets estimated by the submission for increased risk persons 60</w:t>
      </w:r>
      <w:r w:rsidRPr="001611DC">
        <w:rPr>
          <w:rFonts w:eastAsiaTheme="majorEastAsia"/>
        </w:rPr>
        <w:noBreakHyphen/>
        <w:t>74 YOA was $</w:t>
      </w:r>
      <w:r w:rsidR="0063013E" w:rsidRPr="0063013E">
        <w:rPr>
          <w:rFonts w:eastAsiaTheme="majorEastAsia"/>
        </w:rPr>
        <w:t>200 million to &lt;</w:t>
      </w:r>
      <w:r w:rsidR="00330EA2">
        <w:rPr>
          <w:rFonts w:eastAsiaTheme="majorEastAsia"/>
        </w:rPr>
        <w:t> </w:t>
      </w:r>
      <w:r w:rsidR="0063013E" w:rsidRPr="0063013E">
        <w:rPr>
          <w:rFonts w:eastAsiaTheme="majorEastAsia"/>
        </w:rPr>
        <w:t>$300</w:t>
      </w:r>
      <w:r w:rsidR="00330EA2">
        <w:rPr>
          <w:rFonts w:eastAsiaTheme="majorEastAsia"/>
        </w:rPr>
        <w:t> </w:t>
      </w:r>
      <w:r w:rsidR="0063013E" w:rsidRPr="0063013E">
        <w:rPr>
          <w:rFonts w:eastAsiaTheme="majorEastAsia"/>
        </w:rPr>
        <w:t>million</w:t>
      </w:r>
      <w:r w:rsidR="0063013E" w:rsidRPr="0063013E" w:rsidDel="0063013E">
        <w:rPr>
          <w:rFonts w:eastAsiaTheme="majorEastAsia"/>
        </w:rPr>
        <w:t xml:space="preserve"> </w:t>
      </w:r>
      <w:r w:rsidRPr="001611DC">
        <w:rPr>
          <w:rFonts w:eastAsiaTheme="majorEastAsia"/>
        </w:rPr>
        <w:t>over 6 years.</w:t>
      </w:r>
      <w:r w:rsidRPr="001611DC">
        <w:rPr>
          <w:iCs/>
        </w:rPr>
        <w:t xml:space="preserve"> </w:t>
      </w:r>
      <w:r w:rsidRPr="001611DC">
        <w:t xml:space="preserve">These estimates were uncertain given all parameters except uptake and population were estimated for the general population. </w:t>
      </w:r>
      <w:bookmarkStart w:id="197" w:name="_Hlk166931886"/>
      <w:r w:rsidRPr="001611DC">
        <w:t xml:space="preserve">Notably, costs to all health budgets for increased risk persons 60-74 YOA were higher than the </w:t>
      </w:r>
      <w:r w:rsidR="00E2719A" w:rsidRPr="001611DC">
        <w:rPr>
          <w:rFonts w:cstheme="minorHAnsi"/>
        </w:rPr>
        <w:t>≥</w:t>
      </w:r>
      <w:r w:rsidRPr="001611DC">
        <w:t>75 YOA population, despite a lower estimated number of patients receiving RSVPreF3 OA. This was driven by less cost offsets for States and Territory Governments, mainly due to hospitalisations. As the submission applied the same hospitalisation rates to increased risk persons 60-74 YOA than general population 60-74 YOA, cost offsets were reduced yielding higher costs to all health budgets.</w:t>
      </w:r>
      <w:bookmarkEnd w:id="197"/>
    </w:p>
    <w:p w14:paraId="7C3E6CE1" w14:textId="6D63997C" w:rsidR="00C20DDD" w:rsidRPr="00330EA2" w:rsidRDefault="00C20DDD" w:rsidP="00330EA2">
      <w:pPr>
        <w:pStyle w:val="3-BodyText"/>
        <w:spacing w:after="0"/>
        <w:rPr>
          <w:color w:val="000000" w:themeColor="text1"/>
        </w:rPr>
      </w:pPr>
      <w:r w:rsidRPr="001611DC">
        <w:rPr>
          <w:rFonts w:eastAsiaTheme="majorEastAsia"/>
        </w:rPr>
        <w:t xml:space="preserve">The combined financial impact to the NIP estimated by the submission for adults </w:t>
      </w:r>
      <w:r w:rsidR="00E2719A" w:rsidRPr="001611DC">
        <w:rPr>
          <w:rFonts w:eastAsiaTheme="majorEastAsia" w:cs="Calibri"/>
        </w:rPr>
        <w:t>≥</w:t>
      </w:r>
      <w:r w:rsidRPr="001611DC">
        <w:rPr>
          <w:rFonts w:eastAsiaTheme="majorEastAsia"/>
        </w:rPr>
        <w:t xml:space="preserve">75 YOA, First Nations </w:t>
      </w:r>
      <w:r w:rsidRPr="001611DC">
        <w:t xml:space="preserve">people </w:t>
      </w:r>
      <w:r w:rsidRPr="001611DC">
        <w:rPr>
          <w:rFonts w:eastAsiaTheme="majorEastAsia"/>
        </w:rPr>
        <w:t xml:space="preserve">60-74 YOA, and increased risk persons 60-74 YOA is presented in </w:t>
      </w:r>
      <w:r w:rsidRPr="001611DC">
        <w:rPr>
          <w:rFonts w:eastAsiaTheme="majorEastAsia"/>
        </w:rPr>
        <w:fldChar w:fldCharType="begin" w:fldLock="1"/>
      </w:r>
      <w:r w:rsidRPr="001611DC">
        <w:rPr>
          <w:rFonts w:eastAsiaTheme="majorEastAsia"/>
        </w:rPr>
        <w:instrText xml:space="preserve"> REF _Ref166859298 \h </w:instrText>
      </w:r>
      <w:r w:rsidRPr="001611DC">
        <w:rPr>
          <w:rFonts w:eastAsiaTheme="majorEastAsia"/>
        </w:rPr>
      </w:r>
      <w:r w:rsidRPr="001611DC">
        <w:rPr>
          <w:rFonts w:eastAsiaTheme="majorEastAsia"/>
        </w:rPr>
        <w:fldChar w:fldCharType="separate"/>
      </w:r>
      <w:r w:rsidR="00927933" w:rsidRPr="001611DC">
        <w:t>Table 34</w:t>
      </w:r>
      <w:r w:rsidRPr="001611DC">
        <w:rPr>
          <w:rFonts w:eastAsiaTheme="majorEastAsia"/>
        </w:rPr>
        <w:fldChar w:fldCharType="end"/>
      </w:r>
      <w:r w:rsidRPr="001611DC">
        <w:rPr>
          <w:rFonts w:eastAsiaTheme="majorEastAsia"/>
        </w:rPr>
        <w:t>.</w:t>
      </w:r>
    </w:p>
    <w:p w14:paraId="01E3F777" w14:textId="70F1B269" w:rsidR="00C20DDD" w:rsidRPr="001611DC" w:rsidRDefault="00C20DDD" w:rsidP="00C20DDD">
      <w:pPr>
        <w:pStyle w:val="Caption"/>
      </w:pPr>
      <w:bookmarkStart w:id="198" w:name="_Ref166859298"/>
      <w:r w:rsidRPr="001611DC">
        <w:lastRenderedPageBreak/>
        <w:t xml:space="preserve">Table </w:t>
      </w:r>
      <w:r w:rsidR="005473CE" w:rsidRPr="001611DC">
        <w:fldChar w:fldCharType="begin" w:fldLock="1"/>
      </w:r>
      <w:r w:rsidR="005473CE" w:rsidRPr="001611DC">
        <w:instrText xml:space="preserve"> SEQ Table \* ARABIC </w:instrText>
      </w:r>
      <w:r w:rsidR="005473CE" w:rsidRPr="001611DC">
        <w:fldChar w:fldCharType="separate"/>
      </w:r>
      <w:r w:rsidR="00927933" w:rsidRPr="001611DC">
        <w:t>34</w:t>
      </w:r>
      <w:r w:rsidR="005473CE" w:rsidRPr="001611DC">
        <w:fldChar w:fldCharType="end"/>
      </w:r>
      <w:bookmarkEnd w:id="198"/>
      <w:r w:rsidRPr="001611DC">
        <w:t xml:space="preserve">: Summary of net financial impact to the NIP combined for the </w:t>
      </w:r>
      <w:r w:rsidR="00E2719A" w:rsidRPr="001611DC">
        <w:t>≥</w:t>
      </w:r>
      <w:r w:rsidRPr="001611DC">
        <w:t>75 YOA population and populations of special interest</w:t>
      </w:r>
    </w:p>
    <w:tbl>
      <w:tblPr>
        <w:tblStyle w:val="TableGrid"/>
        <w:tblW w:w="5000" w:type="pct"/>
        <w:tblLayout w:type="fixed"/>
        <w:tblCellMar>
          <w:left w:w="28" w:type="dxa"/>
          <w:right w:w="28" w:type="dxa"/>
        </w:tblCellMar>
        <w:tblLook w:val="04A0" w:firstRow="1" w:lastRow="0" w:firstColumn="1" w:lastColumn="0" w:noHBand="0" w:noVBand="1"/>
        <w:tblCaption w:val="Table 34: Summary of net financial impact to the NIP combined for the ≥75 YOA population and populations of special interest"/>
      </w:tblPr>
      <w:tblGrid>
        <w:gridCol w:w="281"/>
        <w:gridCol w:w="1509"/>
        <w:gridCol w:w="1001"/>
        <w:gridCol w:w="1001"/>
        <w:gridCol w:w="1001"/>
        <w:gridCol w:w="1001"/>
        <w:gridCol w:w="1001"/>
        <w:gridCol w:w="1001"/>
        <w:gridCol w:w="1221"/>
      </w:tblGrid>
      <w:tr w:rsidR="00C20DDD" w:rsidRPr="001611DC" w14:paraId="1FB96B52" w14:textId="77777777">
        <w:trPr>
          <w:tblHeader/>
        </w:trPr>
        <w:tc>
          <w:tcPr>
            <w:tcW w:w="156" w:type="pct"/>
            <w:shd w:val="clear" w:color="auto" w:fill="auto"/>
            <w:vAlign w:val="center"/>
          </w:tcPr>
          <w:p w14:paraId="2199504C" w14:textId="77777777" w:rsidR="00C20DDD" w:rsidRPr="001611DC" w:rsidRDefault="00C20DDD">
            <w:pPr>
              <w:pStyle w:val="In-tableHeading"/>
              <w:jc w:val="both"/>
              <w:rPr>
                <w:lang w:val="en-AU"/>
              </w:rPr>
            </w:pPr>
          </w:p>
        </w:tc>
        <w:tc>
          <w:tcPr>
            <w:tcW w:w="837" w:type="pct"/>
            <w:shd w:val="clear" w:color="auto" w:fill="auto"/>
            <w:vAlign w:val="center"/>
          </w:tcPr>
          <w:p w14:paraId="11AA32B4" w14:textId="77777777" w:rsidR="00C20DDD" w:rsidRPr="001611DC" w:rsidRDefault="00C20DDD">
            <w:pPr>
              <w:pStyle w:val="In-tableHeading"/>
              <w:jc w:val="center"/>
              <w:rPr>
                <w:lang w:val="en-AU"/>
              </w:rPr>
            </w:pPr>
            <w:r w:rsidRPr="001611DC">
              <w:rPr>
                <w:lang w:val="en-AU"/>
              </w:rPr>
              <w:t>Population</w:t>
            </w:r>
          </w:p>
        </w:tc>
        <w:tc>
          <w:tcPr>
            <w:tcW w:w="555" w:type="pct"/>
            <w:shd w:val="clear" w:color="auto" w:fill="auto"/>
            <w:vAlign w:val="center"/>
          </w:tcPr>
          <w:p w14:paraId="4967EB9F" w14:textId="77777777" w:rsidR="00C20DDD" w:rsidRPr="001611DC" w:rsidRDefault="00C20DDD">
            <w:pPr>
              <w:pStyle w:val="In-tableHeading"/>
              <w:jc w:val="center"/>
              <w:rPr>
                <w:lang w:val="en-AU"/>
              </w:rPr>
            </w:pPr>
            <w:r w:rsidRPr="001611DC">
              <w:rPr>
                <w:lang w:val="en-AU"/>
              </w:rPr>
              <w:t>2025</w:t>
            </w:r>
          </w:p>
        </w:tc>
        <w:tc>
          <w:tcPr>
            <w:tcW w:w="555" w:type="pct"/>
            <w:shd w:val="clear" w:color="auto" w:fill="auto"/>
            <w:vAlign w:val="center"/>
          </w:tcPr>
          <w:p w14:paraId="32C71080" w14:textId="77777777" w:rsidR="00C20DDD" w:rsidRPr="001611DC" w:rsidRDefault="00C20DDD">
            <w:pPr>
              <w:pStyle w:val="In-tableHeading"/>
              <w:jc w:val="center"/>
              <w:rPr>
                <w:lang w:val="en-AU"/>
              </w:rPr>
            </w:pPr>
            <w:r w:rsidRPr="001611DC">
              <w:rPr>
                <w:lang w:val="en-AU"/>
              </w:rPr>
              <w:t>2026</w:t>
            </w:r>
          </w:p>
        </w:tc>
        <w:tc>
          <w:tcPr>
            <w:tcW w:w="555" w:type="pct"/>
            <w:shd w:val="clear" w:color="auto" w:fill="auto"/>
            <w:vAlign w:val="center"/>
          </w:tcPr>
          <w:p w14:paraId="19D0BAE5" w14:textId="77777777" w:rsidR="00C20DDD" w:rsidRPr="001611DC" w:rsidRDefault="00C20DDD">
            <w:pPr>
              <w:pStyle w:val="In-tableHeading"/>
              <w:jc w:val="center"/>
              <w:rPr>
                <w:lang w:val="en-AU"/>
              </w:rPr>
            </w:pPr>
            <w:r w:rsidRPr="001611DC">
              <w:rPr>
                <w:lang w:val="en-AU"/>
              </w:rPr>
              <w:t>2027</w:t>
            </w:r>
          </w:p>
        </w:tc>
        <w:tc>
          <w:tcPr>
            <w:tcW w:w="555" w:type="pct"/>
            <w:shd w:val="clear" w:color="auto" w:fill="auto"/>
            <w:vAlign w:val="center"/>
          </w:tcPr>
          <w:p w14:paraId="779EA619" w14:textId="77777777" w:rsidR="00C20DDD" w:rsidRPr="001611DC" w:rsidRDefault="00C20DDD">
            <w:pPr>
              <w:pStyle w:val="In-tableHeading"/>
              <w:jc w:val="center"/>
              <w:rPr>
                <w:lang w:val="en-AU"/>
              </w:rPr>
            </w:pPr>
            <w:r w:rsidRPr="001611DC">
              <w:rPr>
                <w:lang w:val="en-AU"/>
              </w:rPr>
              <w:t>2028</w:t>
            </w:r>
          </w:p>
        </w:tc>
        <w:tc>
          <w:tcPr>
            <w:tcW w:w="555" w:type="pct"/>
            <w:shd w:val="clear" w:color="auto" w:fill="auto"/>
            <w:vAlign w:val="center"/>
          </w:tcPr>
          <w:p w14:paraId="1C571528" w14:textId="77777777" w:rsidR="00C20DDD" w:rsidRPr="001611DC" w:rsidRDefault="00C20DDD">
            <w:pPr>
              <w:pStyle w:val="In-tableHeading"/>
              <w:jc w:val="center"/>
              <w:rPr>
                <w:lang w:val="en-AU"/>
              </w:rPr>
            </w:pPr>
            <w:r w:rsidRPr="001611DC">
              <w:rPr>
                <w:lang w:val="en-AU"/>
              </w:rPr>
              <w:t>2029</w:t>
            </w:r>
          </w:p>
        </w:tc>
        <w:tc>
          <w:tcPr>
            <w:tcW w:w="555" w:type="pct"/>
            <w:shd w:val="clear" w:color="auto" w:fill="auto"/>
            <w:vAlign w:val="center"/>
          </w:tcPr>
          <w:p w14:paraId="53D34D9C" w14:textId="77777777" w:rsidR="00C20DDD" w:rsidRPr="001611DC" w:rsidRDefault="00C20DDD">
            <w:pPr>
              <w:pStyle w:val="In-tableHeading"/>
              <w:jc w:val="center"/>
              <w:rPr>
                <w:lang w:val="en-AU"/>
              </w:rPr>
            </w:pPr>
            <w:r w:rsidRPr="001611DC">
              <w:rPr>
                <w:lang w:val="en-AU"/>
              </w:rPr>
              <w:t>2030</w:t>
            </w:r>
          </w:p>
        </w:tc>
        <w:tc>
          <w:tcPr>
            <w:tcW w:w="677" w:type="pct"/>
            <w:shd w:val="clear" w:color="auto" w:fill="auto"/>
            <w:vAlign w:val="center"/>
          </w:tcPr>
          <w:p w14:paraId="6C554EB5" w14:textId="77777777" w:rsidR="00C20DDD" w:rsidRPr="001611DC" w:rsidRDefault="00C20DDD">
            <w:pPr>
              <w:pStyle w:val="In-tableHeading"/>
              <w:jc w:val="center"/>
              <w:rPr>
                <w:lang w:val="en-AU"/>
              </w:rPr>
            </w:pPr>
            <w:r w:rsidRPr="001611DC">
              <w:rPr>
                <w:lang w:val="en-AU"/>
              </w:rPr>
              <w:t>Total</w:t>
            </w:r>
          </w:p>
        </w:tc>
      </w:tr>
      <w:tr w:rsidR="00C20DDD" w:rsidRPr="001611DC" w14:paraId="0B9DCCEC" w14:textId="77777777">
        <w:tc>
          <w:tcPr>
            <w:tcW w:w="156" w:type="pct"/>
            <w:vAlign w:val="center"/>
          </w:tcPr>
          <w:p w14:paraId="2756DC1E" w14:textId="77777777" w:rsidR="00C20DDD" w:rsidRPr="001611DC" w:rsidRDefault="00C20DDD">
            <w:pPr>
              <w:pStyle w:val="TableText0"/>
            </w:pPr>
            <w:r w:rsidRPr="001611DC">
              <w:t>A</w:t>
            </w:r>
          </w:p>
        </w:tc>
        <w:tc>
          <w:tcPr>
            <w:tcW w:w="837" w:type="pct"/>
            <w:vAlign w:val="center"/>
          </w:tcPr>
          <w:p w14:paraId="4A472EA2" w14:textId="3E04B18C" w:rsidR="00C20DDD" w:rsidRPr="001611DC" w:rsidRDefault="00C20DDD">
            <w:pPr>
              <w:pStyle w:val="TableText0"/>
            </w:pPr>
            <w:r w:rsidRPr="001611DC">
              <w:t xml:space="preserve">Adults </w:t>
            </w:r>
            <w:r w:rsidR="00E2719A" w:rsidRPr="001611DC">
              <w:t>≥</w:t>
            </w:r>
            <w:r w:rsidRPr="001611DC">
              <w:t>75 YOA</w:t>
            </w:r>
          </w:p>
        </w:tc>
        <w:tc>
          <w:tcPr>
            <w:tcW w:w="555" w:type="pct"/>
            <w:vAlign w:val="center"/>
          </w:tcPr>
          <w:p w14:paraId="27D4DE7C" w14:textId="66C10D9F"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6"/>
                <w14:textFill>
                  <w14:solidFill>
                    <w14:srgbClr w14:val="000000">
                      <w14:alpha w14:val="100000"/>
                    </w14:srgbClr>
                  </w14:solidFill>
                </w14:textFill>
              </w:rPr>
              <w:t xml:space="preserve">　</w:t>
            </w:r>
            <w:r w:rsidRPr="00BD3549">
              <w:rPr>
                <w:color w:val="000000"/>
                <w:w w:val="23"/>
                <w:shd w:val="solid" w:color="000000" w:fill="000000"/>
                <w:fitText w:val="105" w:id="-893675766"/>
                <w14:textFill>
                  <w14:solidFill>
                    <w14:srgbClr w14:val="000000">
                      <w14:alpha w14:val="100000"/>
                    </w14:srgbClr>
                  </w14:solidFill>
                </w14:textFill>
              </w:rPr>
              <w:t>|</w:t>
            </w:r>
            <w:r w:rsidRPr="00BD3549">
              <w:rPr>
                <w:rFonts w:hint="eastAsia"/>
                <w:color w:val="000000"/>
                <w:spacing w:val="4"/>
                <w:w w:val="23"/>
                <w:shd w:val="solid" w:color="000000" w:fill="000000"/>
                <w:fitText w:val="105" w:id="-893675766"/>
                <w14:textFill>
                  <w14:solidFill>
                    <w14:srgbClr w14:val="000000">
                      <w14:alpha w14:val="100000"/>
                    </w14:srgbClr>
                  </w14:solidFill>
                </w14:textFill>
              </w:rPr>
              <w:t xml:space="preserve">　</w:t>
            </w:r>
            <w:r w:rsidR="00FE3915" w:rsidRPr="00FE3915">
              <w:rPr>
                <w:vertAlign w:val="superscript"/>
              </w:rPr>
              <w:t>1</w:t>
            </w:r>
          </w:p>
        </w:tc>
        <w:tc>
          <w:tcPr>
            <w:tcW w:w="555" w:type="pct"/>
            <w:vAlign w:val="center"/>
          </w:tcPr>
          <w:p w14:paraId="2C680886" w14:textId="4B382875"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5"/>
                <w14:textFill>
                  <w14:solidFill>
                    <w14:srgbClr w14:val="000000">
                      <w14:alpha w14:val="100000"/>
                    </w14:srgbClr>
                  </w14:solidFill>
                </w14:textFill>
              </w:rPr>
              <w:t xml:space="preserve">　</w:t>
            </w:r>
            <w:r w:rsidRPr="00BD3549">
              <w:rPr>
                <w:color w:val="000000"/>
                <w:w w:val="23"/>
                <w:shd w:val="solid" w:color="000000" w:fill="000000"/>
                <w:fitText w:val="105" w:id="-893675765"/>
                <w14:textFill>
                  <w14:solidFill>
                    <w14:srgbClr w14:val="000000">
                      <w14:alpha w14:val="100000"/>
                    </w14:srgbClr>
                  </w14:solidFill>
                </w14:textFill>
              </w:rPr>
              <w:t>|</w:t>
            </w:r>
            <w:r w:rsidRPr="00BD3549">
              <w:rPr>
                <w:rFonts w:hint="eastAsia"/>
                <w:color w:val="000000"/>
                <w:spacing w:val="4"/>
                <w:w w:val="23"/>
                <w:shd w:val="solid" w:color="000000" w:fill="000000"/>
                <w:fitText w:val="105" w:id="-893675765"/>
                <w14:textFill>
                  <w14:solidFill>
                    <w14:srgbClr w14:val="000000">
                      <w14:alpha w14:val="100000"/>
                    </w14:srgbClr>
                  </w14:solidFill>
                </w14:textFill>
              </w:rPr>
              <w:t xml:space="preserve">　</w:t>
            </w:r>
            <w:r w:rsidR="005E2768" w:rsidRPr="005E2768">
              <w:rPr>
                <w:vertAlign w:val="superscript"/>
              </w:rPr>
              <w:t>2</w:t>
            </w:r>
          </w:p>
        </w:tc>
        <w:tc>
          <w:tcPr>
            <w:tcW w:w="555" w:type="pct"/>
            <w:vAlign w:val="center"/>
          </w:tcPr>
          <w:p w14:paraId="2E1BCF7A" w14:textId="54A17F27" w:rsidR="00C20DDD" w:rsidRPr="00685F0A" w:rsidRDefault="00BD3549">
            <w:pPr>
              <w:pStyle w:val="TableText0"/>
              <w:jc w:val="center"/>
              <w:rPr>
                <w:highlight w:val="lightGray"/>
              </w:rPr>
            </w:pPr>
            <w:r w:rsidRPr="00BD3549">
              <w:rPr>
                <w:color w:val="000000"/>
                <w:spacing w:val="48"/>
                <w:shd w:val="solid" w:color="000000" w:fill="000000"/>
                <w:fitText w:val="315" w:id="-893675764"/>
                <w14:textFill>
                  <w14:solidFill>
                    <w14:srgbClr w14:val="000000">
                      <w14:alpha w14:val="100000"/>
                    </w14:srgbClr>
                  </w14:solidFill>
                </w14:textFill>
              </w:rPr>
              <w:t>|||</w:t>
            </w:r>
            <w:r w:rsidRPr="00BD3549">
              <w:rPr>
                <w:color w:val="000000"/>
                <w:spacing w:val="1"/>
                <w:shd w:val="solid" w:color="000000" w:fill="000000"/>
                <w:fitText w:val="315" w:id="-893675764"/>
                <w14:textFill>
                  <w14:solidFill>
                    <w14:srgbClr w14:val="000000">
                      <w14:alpha w14:val="100000"/>
                    </w14:srgbClr>
                  </w14:solidFill>
                </w14:textFill>
              </w:rPr>
              <w:t>|</w:t>
            </w:r>
            <w:r w:rsidR="00611428" w:rsidRPr="005E2768">
              <w:rPr>
                <w:vertAlign w:val="superscript"/>
              </w:rPr>
              <w:t>2</w:t>
            </w:r>
          </w:p>
        </w:tc>
        <w:tc>
          <w:tcPr>
            <w:tcW w:w="555" w:type="pct"/>
            <w:vAlign w:val="center"/>
          </w:tcPr>
          <w:p w14:paraId="7BF34A24" w14:textId="2D329600"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2"/>
                <w14:textFill>
                  <w14:solidFill>
                    <w14:srgbClr w14:val="000000">
                      <w14:alpha w14:val="100000"/>
                    </w14:srgbClr>
                  </w14:solidFill>
                </w14:textFill>
              </w:rPr>
              <w:t xml:space="preserve">　</w:t>
            </w:r>
            <w:r w:rsidRPr="00BD3549">
              <w:rPr>
                <w:color w:val="000000"/>
                <w:w w:val="23"/>
                <w:shd w:val="solid" w:color="000000" w:fill="000000"/>
                <w:fitText w:val="105" w:id="-893675762"/>
                <w14:textFill>
                  <w14:solidFill>
                    <w14:srgbClr w14:val="000000">
                      <w14:alpha w14:val="100000"/>
                    </w14:srgbClr>
                  </w14:solidFill>
                </w14:textFill>
              </w:rPr>
              <w:t>|</w:t>
            </w:r>
            <w:r w:rsidRPr="00BD3549">
              <w:rPr>
                <w:rFonts w:hint="eastAsia"/>
                <w:color w:val="000000"/>
                <w:spacing w:val="4"/>
                <w:w w:val="23"/>
                <w:shd w:val="solid" w:color="000000" w:fill="000000"/>
                <w:fitText w:val="105" w:id="-893675762"/>
                <w14:textFill>
                  <w14:solidFill>
                    <w14:srgbClr w14:val="000000">
                      <w14:alpha w14:val="100000"/>
                    </w14:srgbClr>
                  </w14:solidFill>
                </w14:textFill>
              </w:rPr>
              <w:t xml:space="preserve">　</w:t>
            </w:r>
            <w:r w:rsidR="00611428" w:rsidRPr="00611428">
              <w:rPr>
                <w:vertAlign w:val="superscript"/>
              </w:rPr>
              <w:t>3</w:t>
            </w:r>
          </w:p>
        </w:tc>
        <w:tc>
          <w:tcPr>
            <w:tcW w:w="555" w:type="pct"/>
            <w:vAlign w:val="center"/>
          </w:tcPr>
          <w:p w14:paraId="3F704A94" w14:textId="0A656B0A"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1"/>
                <w14:textFill>
                  <w14:solidFill>
                    <w14:srgbClr w14:val="000000">
                      <w14:alpha w14:val="100000"/>
                    </w14:srgbClr>
                  </w14:solidFill>
                </w14:textFill>
              </w:rPr>
              <w:t xml:space="preserve">　</w:t>
            </w:r>
            <w:r w:rsidRPr="00BD3549">
              <w:rPr>
                <w:color w:val="000000"/>
                <w:w w:val="23"/>
                <w:shd w:val="solid" w:color="000000" w:fill="000000"/>
                <w:fitText w:val="105" w:id="-893675761"/>
                <w14:textFill>
                  <w14:solidFill>
                    <w14:srgbClr w14:val="000000">
                      <w14:alpha w14:val="100000"/>
                    </w14:srgbClr>
                  </w14:solidFill>
                </w14:textFill>
              </w:rPr>
              <w:t>|</w:t>
            </w:r>
            <w:r w:rsidRPr="00BD3549">
              <w:rPr>
                <w:rFonts w:hint="eastAsia"/>
                <w:color w:val="000000"/>
                <w:spacing w:val="4"/>
                <w:w w:val="23"/>
                <w:shd w:val="solid" w:color="000000" w:fill="000000"/>
                <w:fitText w:val="105" w:id="-893675761"/>
                <w14:textFill>
                  <w14:solidFill>
                    <w14:srgbClr w14:val="000000">
                      <w14:alpha w14:val="100000"/>
                    </w14:srgbClr>
                  </w14:solidFill>
                </w14:textFill>
              </w:rPr>
              <w:t xml:space="preserve">　</w:t>
            </w:r>
            <w:r w:rsidR="00482D77" w:rsidRPr="00611428">
              <w:rPr>
                <w:vertAlign w:val="superscript"/>
              </w:rPr>
              <w:t>3</w:t>
            </w:r>
          </w:p>
        </w:tc>
        <w:tc>
          <w:tcPr>
            <w:tcW w:w="555" w:type="pct"/>
            <w:vAlign w:val="center"/>
          </w:tcPr>
          <w:p w14:paraId="51E9E136" w14:textId="5297F05B" w:rsidR="00C20DDD" w:rsidRPr="00685F0A" w:rsidRDefault="00BD3549">
            <w:pPr>
              <w:pStyle w:val="TableText0"/>
              <w:jc w:val="center"/>
              <w:rPr>
                <w:highlight w:val="lightGray"/>
              </w:rPr>
            </w:pPr>
            <w:r w:rsidRPr="00BD3549">
              <w:rPr>
                <w:color w:val="000000"/>
                <w:spacing w:val="48"/>
                <w:shd w:val="solid" w:color="000000" w:fill="000000"/>
                <w:fitText w:val="315" w:id="-893675760"/>
                <w14:textFill>
                  <w14:solidFill>
                    <w14:srgbClr w14:val="000000">
                      <w14:alpha w14:val="100000"/>
                    </w14:srgbClr>
                  </w14:solidFill>
                </w14:textFill>
              </w:rPr>
              <w:t>|||</w:t>
            </w:r>
            <w:r w:rsidRPr="00BD3549">
              <w:rPr>
                <w:color w:val="000000"/>
                <w:spacing w:val="1"/>
                <w:shd w:val="solid" w:color="000000" w:fill="000000"/>
                <w:fitText w:val="315" w:id="-893675760"/>
                <w14:textFill>
                  <w14:solidFill>
                    <w14:srgbClr w14:val="000000">
                      <w14:alpha w14:val="100000"/>
                    </w14:srgbClr>
                  </w14:solidFill>
                </w14:textFill>
              </w:rPr>
              <w:t>|</w:t>
            </w:r>
            <w:r w:rsidR="00482D77" w:rsidRPr="00611428">
              <w:rPr>
                <w:vertAlign w:val="superscript"/>
              </w:rPr>
              <w:t>3</w:t>
            </w:r>
          </w:p>
        </w:tc>
        <w:tc>
          <w:tcPr>
            <w:tcW w:w="677" w:type="pct"/>
            <w:vAlign w:val="center"/>
          </w:tcPr>
          <w:p w14:paraId="58B2BDEC" w14:textId="77777777" w:rsidR="000C0D54" w:rsidRDefault="000C0D54" w:rsidP="000C0D54">
            <w:pPr>
              <w:pStyle w:val="TableText0"/>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4</w:t>
            </w:r>
          </w:p>
          <w:p w14:paraId="6ACB12D1" w14:textId="3FF5617B" w:rsidR="00C20DDD" w:rsidRPr="00685F0A" w:rsidRDefault="000C0D54" w:rsidP="000C0D54">
            <w:pPr>
              <w:pStyle w:val="TableText0"/>
              <w:jc w:val="center"/>
              <w:rPr>
                <w:i/>
                <w:iCs/>
                <w:highlight w:val="lightGray"/>
                <w:vertAlign w:val="superscript"/>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4a</w:t>
            </w:r>
            <w:r>
              <w:t>)</w:t>
            </w:r>
          </w:p>
        </w:tc>
      </w:tr>
      <w:tr w:rsidR="00C20DDD" w:rsidRPr="001611DC" w14:paraId="284B1348" w14:textId="77777777">
        <w:tc>
          <w:tcPr>
            <w:tcW w:w="156" w:type="pct"/>
            <w:vAlign w:val="center"/>
          </w:tcPr>
          <w:p w14:paraId="3FCB29EA" w14:textId="77777777" w:rsidR="00C20DDD" w:rsidRPr="001611DC" w:rsidRDefault="00C20DDD">
            <w:pPr>
              <w:pStyle w:val="TableText0"/>
            </w:pPr>
            <w:r w:rsidRPr="001611DC">
              <w:t>B</w:t>
            </w:r>
          </w:p>
        </w:tc>
        <w:tc>
          <w:tcPr>
            <w:tcW w:w="837" w:type="pct"/>
            <w:vAlign w:val="center"/>
          </w:tcPr>
          <w:p w14:paraId="7013C7FA" w14:textId="77777777" w:rsidR="00C20DDD" w:rsidRPr="001611DC" w:rsidRDefault="00C20DDD">
            <w:pPr>
              <w:pStyle w:val="TableText0"/>
            </w:pPr>
            <w:r w:rsidRPr="001611DC">
              <w:t>First Nations people 60-74 YOA</w:t>
            </w:r>
          </w:p>
        </w:tc>
        <w:tc>
          <w:tcPr>
            <w:tcW w:w="555" w:type="pct"/>
            <w:vAlign w:val="center"/>
          </w:tcPr>
          <w:p w14:paraId="41EBB715" w14:textId="567CDB07"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3"/>
                <w14:textFill>
                  <w14:solidFill>
                    <w14:srgbClr w14:val="000000">
                      <w14:alpha w14:val="100000"/>
                    </w14:srgbClr>
                  </w14:solidFill>
                </w14:textFill>
              </w:rPr>
              <w:t xml:space="preserve">　</w:t>
            </w:r>
            <w:r w:rsidRPr="00BD3549">
              <w:rPr>
                <w:color w:val="000000"/>
                <w:w w:val="23"/>
                <w:shd w:val="solid" w:color="000000" w:fill="000000"/>
                <w:fitText w:val="105" w:id="-893675773"/>
                <w14:textFill>
                  <w14:solidFill>
                    <w14:srgbClr w14:val="000000">
                      <w14:alpha w14:val="100000"/>
                    </w14:srgbClr>
                  </w14:solidFill>
                </w14:textFill>
              </w:rPr>
              <w:t>|</w:t>
            </w:r>
            <w:r w:rsidRPr="00BD3549">
              <w:rPr>
                <w:rFonts w:hint="eastAsia"/>
                <w:color w:val="000000"/>
                <w:spacing w:val="4"/>
                <w:w w:val="23"/>
                <w:shd w:val="solid" w:color="000000" w:fill="000000"/>
                <w:fitText w:val="105" w:id="-893675773"/>
                <w14:textFill>
                  <w14:solidFill>
                    <w14:srgbClr w14:val="000000">
                      <w14:alpha w14:val="100000"/>
                    </w14:srgbClr>
                  </w14:solidFill>
                </w14:textFill>
              </w:rPr>
              <w:t xml:space="preserve">　</w:t>
            </w:r>
            <w:r w:rsidR="00092270" w:rsidRPr="003833BE">
              <w:rPr>
                <w:vertAlign w:val="superscript"/>
              </w:rPr>
              <w:t>5</w:t>
            </w:r>
          </w:p>
        </w:tc>
        <w:tc>
          <w:tcPr>
            <w:tcW w:w="555" w:type="pct"/>
            <w:vAlign w:val="center"/>
          </w:tcPr>
          <w:p w14:paraId="0ADB84D0" w14:textId="2F60AB3C"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2"/>
                <w14:textFill>
                  <w14:solidFill>
                    <w14:srgbClr w14:val="000000">
                      <w14:alpha w14:val="100000"/>
                    </w14:srgbClr>
                  </w14:solidFill>
                </w14:textFill>
              </w:rPr>
              <w:t xml:space="preserve">　</w:t>
            </w:r>
            <w:r w:rsidRPr="00BD3549">
              <w:rPr>
                <w:color w:val="000000"/>
                <w:w w:val="23"/>
                <w:shd w:val="solid" w:color="000000" w:fill="000000"/>
                <w:fitText w:val="105" w:id="-893675772"/>
                <w14:textFill>
                  <w14:solidFill>
                    <w14:srgbClr w14:val="000000">
                      <w14:alpha w14:val="100000"/>
                    </w14:srgbClr>
                  </w14:solidFill>
                </w14:textFill>
              </w:rPr>
              <w:t>|</w:t>
            </w:r>
            <w:r w:rsidRPr="00BD3549">
              <w:rPr>
                <w:rFonts w:hint="eastAsia"/>
                <w:color w:val="000000"/>
                <w:spacing w:val="4"/>
                <w:w w:val="23"/>
                <w:shd w:val="solid" w:color="000000" w:fill="000000"/>
                <w:fitText w:val="105" w:id="-893675772"/>
                <w14:textFill>
                  <w14:solidFill>
                    <w14:srgbClr w14:val="000000">
                      <w14:alpha w14:val="100000"/>
                    </w14:srgbClr>
                  </w14:solidFill>
                </w14:textFill>
              </w:rPr>
              <w:t xml:space="preserve">　</w:t>
            </w:r>
            <w:r w:rsidR="003833BE" w:rsidRPr="003833BE">
              <w:rPr>
                <w:vertAlign w:val="superscript"/>
              </w:rPr>
              <w:t>5</w:t>
            </w:r>
          </w:p>
        </w:tc>
        <w:tc>
          <w:tcPr>
            <w:tcW w:w="555" w:type="pct"/>
            <w:vAlign w:val="center"/>
          </w:tcPr>
          <w:p w14:paraId="2282CD6C" w14:textId="10897B3F"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1"/>
                <w14:textFill>
                  <w14:solidFill>
                    <w14:srgbClr w14:val="000000">
                      <w14:alpha w14:val="100000"/>
                    </w14:srgbClr>
                  </w14:solidFill>
                </w14:textFill>
              </w:rPr>
              <w:t xml:space="preserve">　</w:t>
            </w:r>
            <w:r w:rsidRPr="00BD3549">
              <w:rPr>
                <w:color w:val="000000"/>
                <w:w w:val="23"/>
                <w:shd w:val="solid" w:color="000000" w:fill="000000"/>
                <w:fitText w:val="105" w:id="-893675771"/>
                <w14:textFill>
                  <w14:solidFill>
                    <w14:srgbClr w14:val="000000">
                      <w14:alpha w14:val="100000"/>
                    </w14:srgbClr>
                  </w14:solidFill>
                </w14:textFill>
              </w:rPr>
              <w:t>|</w:t>
            </w:r>
            <w:r w:rsidRPr="00BD3549">
              <w:rPr>
                <w:rFonts w:hint="eastAsia"/>
                <w:color w:val="000000"/>
                <w:spacing w:val="4"/>
                <w:w w:val="23"/>
                <w:shd w:val="solid" w:color="000000" w:fill="000000"/>
                <w:fitText w:val="105" w:id="-893675771"/>
                <w14:textFill>
                  <w14:solidFill>
                    <w14:srgbClr w14:val="000000">
                      <w14:alpha w14:val="100000"/>
                    </w14:srgbClr>
                  </w14:solidFill>
                </w14:textFill>
              </w:rPr>
              <w:t xml:space="preserve">　</w:t>
            </w:r>
            <w:r w:rsidR="003833BE" w:rsidRPr="003833BE">
              <w:rPr>
                <w:vertAlign w:val="superscript"/>
              </w:rPr>
              <w:t>5</w:t>
            </w:r>
          </w:p>
        </w:tc>
        <w:tc>
          <w:tcPr>
            <w:tcW w:w="555" w:type="pct"/>
            <w:vAlign w:val="center"/>
          </w:tcPr>
          <w:p w14:paraId="0F0F6202" w14:textId="72F6D17E"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0"/>
                <w14:textFill>
                  <w14:solidFill>
                    <w14:srgbClr w14:val="000000">
                      <w14:alpha w14:val="100000"/>
                    </w14:srgbClr>
                  </w14:solidFill>
                </w14:textFill>
              </w:rPr>
              <w:t xml:space="preserve">　</w:t>
            </w:r>
            <w:r w:rsidRPr="00BD3549">
              <w:rPr>
                <w:color w:val="000000"/>
                <w:w w:val="23"/>
                <w:shd w:val="solid" w:color="000000" w:fill="000000"/>
                <w:fitText w:val="105" w:id="-893675770"/>
                <w14:textFill>
                  <w14:solidFill>
                    <w14:srgbClr w14:val="000000">
                      <w14:alpha w14:val="100000"/>
                    </w14:srgbClr>
                  </w14:solidFill>
                </w14:textFill>
              </w:rPr>
              <w:t>|</w:t>
            </w:r>
            <w:r w:rsidRPr="00BD3549">
              <w:rPr>
                <w:rFonts w:hint="eastAsia"/>
                <w:color w:val="000000"/>
                <w:spacing w:val="4"/>
                <w:w w:val="23"/>
                <w:shd w:val="solid" w:color="000000" w:fill="000000"/>
                <w:fitText w:val="105" w:id="-893675770"/>
                <w14:textFill>
                  <w14:solidFill>
                    <w14:srgbClr w14:val="000000">
                      <w14:alpha w14:val="100000"/>
                    </w14:srgbClr>
                  </w14:solidFill>
                </w14:textFill>
              </w:rPr>
              <w:t xml:space="preserve">　</w:t>
            </w:r>
            <w:r w:rsidR="003833BE" w:rsidRPr="003833BE">
              <w:rPr>
                <w:vertAlign w:val="superscript"/>
              </w:rPr>
              <w:t>5</w:t>
            </w:r>
          </w:p>
        </w:tc>
        <w:tc>
          <w:tcPr>
            <w:tcW w:w="555" w:type="pct"/>
            <w:vAlign w:val="center"/>
          </w:tcPr>
          <w:p w14:paraId="5C2F9BED" w14:textId="61BD2A80"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9"/>
                <w14:textFill>
                  <w14:solidFill>
                    <w14:srgbClr w14:val="000000">
                      <w14:alpha w14:val="100000"/>
                    </w14:srgbClr>
                  </w14:solidFill>
                </w14:textFill>
              </w:rPr>
              <w:t xml:space="preserve">　</w:t>
            </w:r>
            <w:r w:rsidRPr="00BD3549">
              <w:rPr>
                <w:color w:val="000000"/>
                <w:w w:val="23"/>
                <w:shd w:val="solid" w:color="000000" w:fill="000000"/>
                <w:fitText w:val="105" w:id="-893675769"/>
                <w14:textFill>
                  <w14:solidFill>
                    <w14:srgbClr w14:val="000000">
                      <w14:alpha w14:val="100000"/>
                    </w14:srgbClr>
                  </w14:solidFill>
                </w14:textFill>
              </w:rPr>
              <w:t>|</w:t>
            </w:r>
            <w:r w:rsidRPr="00BD3549">
              <w:rPr>
                <w:rFonts w:hint="eastAsia"/>
                <w:color w:val="000000"/>
                <w:spacing w:val="4"/>
                <w:w w:val="23"/>
                <w:shd w:val="solid" w:color="000000" w:fill="000000"/>
                <w:fitText w:val="105" w:id="-893675769"/>
                <w14:textFill>
                  <w14:solidFill>
                    <w14:srgbClr w14:val="000000">
                      <w14:alpha w14:val="100000"/>
                    </w14:srgbClr>
                  </w14:solidFill>
                </w14:textFill>
              </w:rPr>
              <w:t xml:space="preserve">　</w:t>
            </w:r>
            <w:r w:rsidR="003833BE" w:rsidRPr="003833BE">
              <w:rPr>
                <w:vertAlign w:val="superscript"/>
              </w:rPr>
              <w:t>5</w:t>
            </w:r>
          </w:p>
        </w:tc>
        <w:tc>
          <w:tcPr>
            <w:tcW w:w="555" w:type="pct"/>
            <w:vAlign w:val="center"/>
          </w:tcPr>
          <w:p w14:paraId="297DAB97" w14:textId="75A6C5AE"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8"/>
                <w14:textFill>
                  <w14:solidFill>
                    <w14:srgbClr w14:val="000000">
                      <w14:alpha w14:val="100000"/>
                    </w14:srgbClr>
                  </w14:solidFill>
                </w14:textFill>
              </w:rPr>
              <w:t xml:space="preserve">　</w:t>
            </w:r>
            <w:r w:rsidRPr="00BD3549">
              <w:rPr>
                <w:color w:val="000000"/>
                <w:w w:val="23"/>
                <w:shd w:val="solid" w:color="000000" w:fill="000000"/>
                <w:fitText w:val="105" w:id="-893675768"/>
                <w14:textFill>
                  <w14:solidFill>
                    <w14:srgbClr w14:val="000000">
                      <w14:alpha w14:val="100000"/>
                    </w14:srgbClr>
                  </w14:solidFill>
                </w14:textFill>
              </w:rPr>
              <w:t>|</w:t>
            </w:r>
            <w:r w:rsidRPr="00BD3549">
              <w:rPr>
                <w:rFonts w:hint="eastAsia"/>
                <w:color w:val="000000"/>
                <w:spacing w:val="4"/>
                <w:w w:val="23"/>
                <w:shd w:val="solid" w:color="000000" w:fill="000000"/>
                <w:fitText w:val="105" w:id="-893675768"/>
                <w14:textFill>
                  <w14:solidFill>
                    <w14:srgbClr w14:val="000000">
                      <w14:alpha w14:val="100000"/>
                    </w14:srgbClr>
                  </w14:solidFill>
                </w14:textFill>
              </w:rPr>
              <w:t xml:space="preserve">　</w:t>
            </w:r>
            <w:r w:rsidR="003833BE" w:rsidRPr="003833BE">
              <w:rPr>
                <w:vertAlign w:val="superscript"/>
              </w:rPr>
              <w:t>5</w:t>
            </w:r>
          </w:p>
        </w:tc>
        <w:tc>
          <w:tcPr>
            <w:tcW w:w="677" w:type="pct"/>
            <w:vAlign w:val="center"/>
          </w:tcPr>
          <w:p w14:paraId="552C8730" w14:textId="0F5BAF9D" w:rsidR="00C20DDD" w:rsidRPr="00685F0A" w:rsidRDefault="00BD3549">
            <w:pPr>
              <w:pStyle w:val="TableText0"/>
              <w:jc w:val="center"/>
              <w:rPr>
                <w:highlight w:val="lightGray"/>
              </w:rPr>
            </w:pPr>
            <w:r w:rsidRPr="00BD3549">
              <w:rPr>
                <w:color w:val="000000"/>
                <w:shd w:val="solid" w:color="000000" w:fill="000000"/>
                <w14:textFill>
                  <w14:solidFill>
                    <w14:srgbClr w14:val="000000">
                      <w14:alpha w14:val="100000"/>
                    </w14:srgbClr>
                  </w14:solidFill>
                </w14:textFill>
              </w:rPr>
              <w:t>|</w:t>
            </w:r>
            <w:r w:rsidR="003833BE" w:rsidRPr="00134B00">
              <w:rPr>
                <w:vertAlign w:val="superscript"/>
              </w:rPr>
              <w:t>6</w:t>
            </w:r>
          </w:p>
        </w:tc>
      </w:tr>
      <w:tr w:rsidR="00C20DDD" w:rsidRPr="001611DC" w14:paraId="4D1D2D9E" w14:textId="77777777">
        <w:tc>
          <w:tcPr>
            <w:tcW w:w="156" w:type="pct"/>
            <w:vAlign w:val="center"/>
          </w:tcPr>
          <w:p w14:paraId="632F78A3" w14:textId="77777777" w:rsidR="00C20DDD" w:rsidRPr="001611DC" w:rsidRDefault="00C20DDD">
            <w:pPr>
              <w:pStyle w:val="TableText0"/>
            </w:pPr>
            <w:r w:rsidRPr="001611DC">
              <w:t>C</w:t>
            </w:r>
          </w:p>
        </w:tc>
        <w:tc>
          <w:tcPr>
            <w:tcW w:w="837" w:type="pct"/>
            <w:vAlign w:val="center"/>
          </w:tcPr>
          <w:p w14:paraId="2F33E9FF" w14:textId="77777777" w:rsidR="00C20DDD" w:rsidRPr="001611DC" w:rsidRDefault="00C20DDD">
            <w:pPr>
              <w:pStyle w:val="TableText0"/>
            </w:pPr>
            <w:r w:rsidRPr="001611DC">
              <w:t>Increased risk persons 60-74 YOA</w:t>
            </w:r>
          </w:p>
        </w:tc>
        <w:tc>
          <w:tcPr>
            <w:tcW w:w="555" w:type="pct"/>
            <w:vAlign w:val="center"/>
          </w:tcPr>
          <w:p w14:paraId="75A49AE0" w14:textId="3C993CEB"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7"/>
                <w14:textFill>
                  <w14:solidFill>
                    <w14:srgbClr w14:val="000000">
                      <w14:alpha w14:val="100000"/>
                    </w14:srgbClr>
                  </w14:solidFill>
                </w14:textFill>
              </w:rPr>
              <w:t xml:space="preserve">　</w:t>
            </w:r>
            <w:r w:rsidRPr="00BD3549">
              <w:rPr>
                <w:color w:val="000000"/>
                <w:w w:val="23"/>
                <w:shd w:val="solid" w:color="000000" w:fill="000000"/>
                <w:fitText w:val="105" w:id="-893675767"/>
                <w14:textFill>
                  <w14:solidFill>
                    <w14:srgbClr w14:val="000000">
                      <w14:alpha w14:val="100000"/>
                    </w14:srgbClr>
                  </w14:solidFill>
                </w14:textFill>
              </w:rPr>
              <w:t>|</w:t>
            </w:r>
            <w:r w:rsidRPr="00BD3549">
              <w:rPr>
                <w:rFonts w:hint="eastAsia"/>
                <w:color w:val="000000"/>
                <w:spacing w:val="4"/>
                <w:w w:val="23"/>
                <w:shd w:val="solid" w:color="000000" w:fill="000000"/>
                <w:fitText w:val="105" w:id="-893675767"/>
                <w14:textFill>
                  <w14:solidFill>
                    <w14:srgbClr w14:val="000000">
                      <w14:alpha w14:val="100000"/>
                    </w14:srgbClr>
                  </w14:solidFill>
                </w14:textFill>
              </w:rPr>
              <w:t xml:space="preserve">　</w:t>
            </w:r>
            <w:r w:rsidR="00134B00" w:rsidRPr="00134B00">
              <w:rPr>
                <w:vertAlign w:val="superscript"/>
              </w:rPr>
              <w:t>7</w:t>
            </w:r>
          </w:p>
        </w:tc>
        <w:tc>
          <w:tcPr>
            <w:tcW w:w="555" w:type="pct"/>
            <w:vAlign w:val="center"/>
          </w:tcPr>
          <w:p w14:paraId="46D668E7" w14:textId="134A3EB0"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6"/>
                <w14:textFill>
                  <w14:solidFill>
                    <w14:srgbClr w14:val="000000">
                      <w14:alpha w14:val="100000"/>
                    </w14:srgbClr>
                  </w14:solidFill>
                </w14:textFill>
              </w:rPr>
              <w:t xml:space="preserve">　</w:t>
            </w:r>
            <w:r w:rsidRPr="00BD3549">
              <w:rPr>
                <w:color w:val="000000"/>
                <w:w w:val="23"/>
                <w:shd w:val="solid" w:color="000000" w:fill="000000"/>
                <w:fitText w:val="105" w:id="-893675766"/>
                <w14:textFill>
                  <w14:solidFill>
                    <w14:srgbClr w14:val="000000">
                      <w14:alpha w14:val="100000"/>
                    </w14:srgbClr>
                  </w14:solidFill>
                </w14:textFill>
              </w:rPr>
              <w:t>|</w:t>
            </w:r>
            <w:r w:rsidRPr="00BD3549">
              <w:rPr>
                <w:rFonts w:hint="eastAsia"/>
                <w:color w:val="000000"/>
                <w:spacing w:val="4"/>
                <w:w w:val="23"/>
                <w:shd w:val="solid" w:color="000000" w:fill="000000"/>
                <w:fitText w:val="105" w:id="-893675766"/>
                <w14:textFill>
                  <w14:solidFill>
                    <w14:srgbClr w14:val="000000">
                      <w14:alpha w14:val="100000"/>
                    </w14:srgbClr>
                  </w14:solidFill>
                </w14:textFill>
              </w:rPr>
              <w:t xml:space="preserve">　</w:t>
            </w:r>
            <w:r w:rsidR="00134B00" w:rsidRPr="006B4DC6">
              <w:rPr>
                <w:vertAlign w:val="superscript"/>
              </w:rPr>
              <w:t>8</w:t>
            </w:r>
          </w:p>
        </w:tc>
        <w:tc>
          <w:tcPr>
            <w:tcW w:w="555" w:type="pct"/>
            <w:vAlign w:val="center"/>
          </w:tcPr>
          <w:p w14:paraId="2A83448E" w14:textId="6F6D03CF"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5"/>
                <w14:textFill>
                  <w14:solidFill>
                    <w14:srgbClr w14:val="000000">
                      <w14:alpha w14:val="100000"/>
                    </w14:srgbClr>
                  </w14:solidFill>
                </w14:textFill>
              </w:rPr>
              <w:t xml:space="preserve">　</w:t>
            </w:r>
            <w:r w:rsidRPr="00BD3549">
              <w:rPr>
                <w:color w:val="000000"/>
                <w:w w:val="23"/>
                <w:shd w:val="solid" w:color="000000" w:fill="000000"/>
                <w:fitText w:val="105" w:id="-893675765"/>
                <w14:textFill>
                  <w14:solidFill>
                    <w14:srgbClr w14:val="000000">
                      <w14:alpha w14:val="100000"/>
                    </w14:srgbClr>
                  </w14:solidFill>
                </w14:textFill>
              </w:rPr>
              <w:t>|</w:t>
            </w:r>
            <w:r w:rsidRPr="00BD3549">
              <w:rPr>
                <w:rFonts w:hint="eastAsia"/>
                <w:color w:val="000000"/>
                <w:spacing w:val="4"/>
                <w:w w:val="23"/>
                <w:shd w:val="solid" w:color="000000" w:fill="000000"/>
                <w:fitText w:val="105" w:id="-893675765"/>
                <w14:textFill>
                  <w14:solidFill>
                    <w14:srgbClr w14:val="000000">
                      <w14:alpha w14:val="100000"/>
                    </w14:srgbClr>
                  </w14:solidFill>
                </w14:textFill>
              </w:rPr>
              <w:t xml:space="preserve">　</w:t>
            </w:r>
            <w:r w:rsidR="006B4DC6" w:rsidRPr="006B4DC6">
              <w:rPr>
                <w:vertAlign w:val="superscript"/>
              </w:rPr>
              <w:t>8</w:t>
            </w:r>
          </w:p>
        </w:tc>
        <w:tc>
          <w:tcPr>
            <w:tcW w:w="555" w:type="pct"/>
            <w:vAlign w:val="center"/>
          </w:tcPr>
          <w:p w14:paraId="08E9BEE0" w14:textId="4293A003"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4"/>
                <w14:textFill>
                  <w14:solidFill>
                    <w14:srgbClr w14:val="000000">
                      <w14:alpha w14:val="100000"/>
                    </w14:srgbClr>
                  </w14:solidFill>
                </w14:textFill>
              </w:rPr>
              <w:t xml:space="preserve">　</w:t>
            </w:r>
            <w:r w:rsidRPr="00BD3549">
              <w:rPr>
                <w:color w:val="000000"/>
                <w:w w:val="23"/>
                <w:shd w:val="solid" w:color="000000" w:fill="000000"/>
                <w:fitText w:val="105" w:id="-893675764"/>
                <w14:textFill>
                  <w14:solidFill>
                    <w14:srgbClr w14:val="000000">
                      <w14:alpha w14:val="100000"/>
                    </w14:srgbClr>
                  </w14:solidFill>
                </w14:textFill>
              </w:rPr>
              <w:t>|</w:t>
            </w:r>
            <w:r w:rsidRPr="00BD3549">
              <w:rPr>
                <w:rFonts w:hint="eastAsia"/>
                <w:color w:val="000000"/>
                <w:spacing w:val="4"/>
                <w:w w:val="23"/>
                <w:shd w:val="solid" w:color="000000" w:fill="000000"/>
                <w:fitText w:val="105" w:id="-893675764"/>
                <w14:textFill>
                  <w14:solidFill>
                    <w14:srgbClr w14:val="000000">
                      <w14:alpha w14:val="100000"/>
                    </w14:srgbClr>
                  </w14:solidFill>
                </w14:textFill>
              </w:rPr>
              <w:t xml:space="preserve">　</w:t>
            </w:r>
            <w:r w:rsidR="006B4DC6" w:rsidRPr="006B4DC6">
              <w:rPr>
                <w:vertAlign w:val="superscript"/>
              </w:rPr>
              <w:t>9</w:t>
            </w:r>
          </w:p>
        </w:tc>
        <w:tc>
          <w:tcPr>
            <w:tcW w:w="555" w:type="pct"/>
            <w:vAlign w:val="center"/>
          </w:tcPr>
          <w:p w14:paraId="0A4C4F33" w14:textId="43D09477"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3"/>
                <w14:textFill>
                  <w14:solidFill>
                    <w14:srgbClr w14:val="000000">
                      <w14:alpha w14:val="100000"/>
                    </w14:srgbClr>
                  </w14:solidFill>
                </w14:textFill>
              </w:rPr>
              <w:t xml:space="preserve">　</w:t>
            </w:r>
            <w:r w:rsidRPr="00BD3549">
              <w:rPr>
                <w:color w:val="000000"/>
                <w:w w:val="23"/>
                <w:shd w:val="solid" w:color="000000" w:fill="000000"/>
                <w:fitText w:val="105" w:id="-893675763"/>
                <w14:textFill>
                  <w14:solidFill>
                    <w14:srgbClr w14:val="000000">
                      <w14:alpha w14:val="100000"/>
                    </w14:srgbClr>
                  </w14:solidFill>
                </w14:textFill>
              </w:rPr>
              <w:t>|</w:t>
            </w:r>
            <w:r w:rsidRPr="00BD3549">
              <w:rPr>
                <w:rFonts w:hint="eastAsia"/>
                <w:color w:val="000000"/>
                <w:spacing w:val="4"/>
                <w:w w:val="23"/>
                <w:shd w:val="solid" w:color="000000" w:fill="000000"/>
                <w:fitText w:val="105" w:id="-893675763"/>
                <w14:textFill>
                  <w14:solidFill>
                    <w14:srgbClr w14:val="000000">
                      <w14:alpha w14:val="100000"/>
                    </w14:srgbClr>
                  </w14:solidFill>
                </w14:textFill>
              </w:rPr>
              <w:t xml:space="preserve">　</w:t>
            </w:r>
            <w:r w:rsidR="006B4DC6" w:rsidRPr="006B4DC6">
              <w:rPr>
                <w:vertAlign w:val="superscript"/>
              </w:rPr>
              <w:t>9</w:t>
            </w:r>
          </w:p>
        </w:tc>
        <w:tc>
          <w:tcPr>
            <w:tcW w:w="555" w:type="pct"/>
            <w:vAlign w:val="center"/>
          </w:tcPr>
          <w:p w14:paraId="2C87175E" w14:textId="0366C1A1"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2"/>
                <w14:textFill>
                  <w14:solidFill>
                    <w14:srgbClr w14:val="000000">
                      <w14:alpha w14:val="100000"/>
                    </w14:srgbClr>
                  </w14:solidFill>
                </w14:textFill>
              </w:rPr>
              <w:t xml:space="preserve">　</w:t>
            </w:r>
            <w:r w:rsidRPr="00BD3549">
              <w:rPr>
                <w:color w:val="000000"/>
                <w:w w:val="23"/>
                <w:shd w:val="solid" w:color="000000" w:fill="000000"/>
                <w:fitText w:val="105" w:id="-893675762"/>
                <w14:textFill>
                  <w14:solidFill>
                    <w14:srgbClr w14:val="000000">
                      <w14:alpha w14:val="100000"/>
                    </w14:srgbClr>
                  </w14:solidFill>
                </w14:textFill>
              </w:rPr>
              <w:t>|</w:t>
            </w:r>
            <w:r w:rsidRPr="00BD3549">
              <w:rPr>
                <w:rFonts w:hint="eastAsia"/>
                <w:color w:val="000000"/>
                <w:spacing w:val="4"/>
                <w:w w:val="23"/>
                <w:shd w:val="solid" w:color="000000" w:fill="000000"/>
                <w:fitText w:val="105" w:id="-893675762"/>
                <w14:textFill>
                  <w14:solidFill>
                    <w14:srgbClr w14:val="000000">
                      <w14:alpha w14:val="100000"/>
                    </w14:srgbClr>
                  </w14:solidFill>
                </w14:textFill>
              </w:rPr>
              <w:t xml:space="preserve">　</w:t>
            </w:r>
            <w:r w:rsidR="006B4DC6" w:rsidRPr="006B4DC6">
              <w:rPr>
                <w:vertAlign w:val="superscript"/>
              </w:rPr>
              <w:t>9</w:t>
            </w:r>
          </w:p>
        </w:tc>
        <w:tc>
          <w:tcPr>
            <w:tcW w:w="677" w:type="pct"/>
            <w:vAlign w:val="center"/>
          </w:tcPr>
          <w:p w14:paraId="559841B2" w14:textId="1218A461" w:rsidR="00C20DDD" w:rsidRPr="00685F0A" w:rsidRDefault="00BD3549">
            <w:pPr>
              <w:pStyle w:val="TableText0"/>
              <w:jc w:val="center"/>
              <w:rPr>
                <w:i/>
                <w:iCs/>
                <w:highlight w:val="lightGray"/>
                <w:vertAlign w:val="superscript"/>
              </w:rPr>
            </w:pPr>
            <w:r w:rsidRPr="00101F19">
              <w:rPr>
                <w:rFonts w:hint="eastAsia"/>
                <w:color w:val="000000"/>
                <w:w w:val="15"/>
                <w:shd w:val="solid" w:color="000000" w:fill="000000"/>
                <w:fitText w:val="15" w:id="-893675761"/>
                <w14:textFill>
                  <w14:solidFill>
                    <w14:srgbClr w14:val="000000">
                      <w14:alpha w14:val="100000"/>
                    </w14:srgbClr>
                  </w14:solidFill>
                </w14:textFill>
              </w:rPr>
              <w:t xml:space="preserve">　</w:t>
            </w:r>
            <w:r w:rsidRPr="00101F19">
              <w:rPr>
                <w:color w:val="000000"/>
                <w:w w:val="15"/>
                <w:shd w:val="solid" w:color="000000" w:fill="000000"/>
                <w:fitText w:val="15" w:id="-893675761"/>
                <w14:textFill>
                  <w14:solidFill>
                    <w14:srgbClr w14:val="000000">
                      <w14:alpha w14:val="100000"/>
                    </w14:srgbClr>
                  </w14:solidFill>
                </w14:textFill>
              </w:rPr>
              <w:t>|</w:t>
            </w:r>
            <w:r w:rsidRPr="00101F19">
              <w:rPr>
                <w:rFonts w:hint="eastAsia"/>
                <w:color w:val="000000"/>
                <w:spacing w:val="-50"/>
                <w:w w:val="15"/>
                <w:shd w:val="solid" w:color="000000" w:fill="000000"/>
                <w:fitText w:val="15" w:id="-893675761"/>
                <w14:textFill>
                  <w14:solidFill>
                    <w14:srgbClr w14:val="000000">
                      <w14:alpha w14:val="100000"/>
                    </w14:srgbClr>
                  </w14:solidFill>
                </w14:textFill>
              </w:rPr>
              <w:t xml:space="preserve">　</w:t>
            </w:r>
            <w:r w:rsidR="006B4DC6" w:rsidRPr="006B4DC6">
              <w:rPr>
                <w:vertAlign w:val="superscript"/>
              </w:rPr>
              <w:t>10</w:t>
            </w:r>
          </w:p>
        </w:tc>
      </w:tr>
      <w:tr w:rsidR="00C20DDD" w:rsidRPr="001611DC" w14:paraId="0AA519D4" w14:textId="77777777">
        <w:tc>
          <w:tcPr>
            <w:tcW w:w="156" w:type="pct"/>
            <w:vAlign w:val="center"/>
          </w:tcPr>
          <w:p w14:paraId="736BEC13" w14:textId="77777777" w:rsidR="00C20DDD" w:rsidRPr="001611DC" w:rsidRDefault="00C20DDD">
            <w:pPr>
              <w:pStyle w:val="TableText0"/>
            </w:pPr>
            <w:r w:rsidRPr="001611DC">
              <w:t>D</w:t>
            </w:r>
          </w:p>
        </w:tc>
        <w:tc>
          <w:tcPr>
            <w:tcW w:w="837" w:type="pct"/>
            <w:vAlign w:val="center"/>
          </w:tcPr>
          <w:p w14:paraId="0E4C8167" w14:textId="77777777" w:rsidR="00C20DDD" w:rsidRPr="001611DC" w:rsidRDefault="00C20DDD">
            <w:pPr>
              <w:pStyle w:val="TableText0"/>
            </w:pPr>
            <w:r w:rsidRPr="001611DC">
              <w:t>A + B</w:t>
            </w:r>
          </w:p>
        </w:tc>
        <w:tc>
          <w:tcPr>
            <w:tcW w:w="555" w:type="pct"/>
            <w:vAlign w:val="center"/>
          </w:tcPr>
          <w:p w14:paraId="280D007F" w14:textId="497008C7"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0"/>
                <w14:textFill>
                  <w14:solidFill>
                    <w14:srgbClr w14:val="000000">
                      <w14:alpha w14:val="100000"/>
                    </w14:srgbClr>
                  </w14:solidFill>
                </w14:textFill>
              </w:rPr>
              <w:t xml:space="preserve">　</w:t>
            </w:r>
            <w:r w:rsidRPr="00BD3549">
              <w:rPr>
                <w:color w:val="000000"/>
                <w:w w:val="23"/>
                <w:shd w:val="solid" w:color="000000" w:fill="000000"/>
                <w:fitText w:val="105" w:id="-893675760"/>
                <w14:textFill>
                  <w14:solidFill>
                    <w14:srgbClr w14:val="000000">
                      <w14:alpha w14:val="100000"/>
                    </w14:srgbClr>
                  </w14:solidFill>
                </w14:textFill>
              </w:rPr>
              <w:t>|</w:t>
            </w:r>
            <w:r w:rsidRPr="00BD3549">
              <w:rPr>
                <w:rFonts w:hint="eastAsia"/>
                <w:color w:val="000000"/>
                <w:spacing w:val="4"/>
                <w:w w:val="23"/>
                <w:shd w:val="solid" w:color="000000" w:fill="000000"/>
                <w:fitText w:val="105" w:id="-893675760"/>
                <w14:textFill>
                  <w14:solidFill>
                    <w14:srgbClr w14:val="000000">
                      <w14:alpha w14:val="100000"/>
                    </w14:srgbClr>
                  </w14:solidFill>
                </w14:textFill>
              </w:rPr>
              <w:t xml:space="preserve">　</w:t>
            </w:r>
            <w:r w:rsidR="00FE3915" w:rsidRPr="00FE3915">
              <w:rPr>
                <w:vertAlign w:val="superscript"/>
              </w:rPr>
              <w:t>1</w:t>
            </w:r>
          </w:p>
        </w:tc>
        <w:tc>
          <w:tcPr>
            <w:tcW w:w="555" w:type="pct"/>
            <w:vAlign w:val="center"/>
          </w:tcPr>
          <w:p w14:paraId="15D8C4D5" w14:textId="610D6682"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6"/>
                <w14:textFill>
                  <w14:solidFill>
                    <w14:srgbClr w14:val="000000">
                      <w14:alpha w14:val="100000"/>
                    </w14:srgbClr>
                  </w14:solidFill>
                </w14:textFill>
              </w:rPr>
              <w:t xml:space="preserve">　</w:t>
            </w:r>
            <w:r w:rsidRPr="00BD3549">
              <w:rPr>
                <w:color w:val="000000"/>
                <w:w w:val="23"/>
                <w:shd w:val="solid" w:color="000000" w:fill="000000"/>
                <w:fitText w:val="105" w:id="-893675776"/>
                <w14:textFill>
                  <w14:solidFill>
                    <w14:srgbClr w14:val="000000">
                      <w14:alpha w14:val="100000"/>
                    </w14:srgbClr>
                  </w14:solidFill>
                </w14:textFill>
              </w:rPr>
              <w:t>|</w:t>
            </w:r>
            <w:r w:rsidRPr="00BD3549">
              <w:rPr>
                <w:rFonts w:hint="eastAsia"/>
                <w:color w:val="000000"/>
                <w:spacing w:val="4"/>
                <w:w w:val="23"/>
                <w:shd w:val="solid" w:color="000000" w:fill="000000"/>
                <w:fitText w:val="105" w:id="-893675776"/>
                <w14:textFill>
                  <w14:solidFill>
                    <w14:srgbClr w14:val="000000">
                      <w14:alpha w14:val="100000"/>
                    </w14:srgbClr>
                  </w14:solidFill>
                </w14:textFill>
              </w:rPr>
              <w:t xml:space="preserve">　</w:t>
            </w:r>
            <w:r w:rsidR="00611428" w:rsidRPr="005E2768">
              <w:rPr>
                <w:vertAlign w:val="superscript"/>
              </w:rPr>
              <w:t>2</w:t>
            </w:r>
          </w:p>
        </w:tc>
        <w:tc>
          <w:tcPr>
            <w:tcW w:w="555" w:type="pct"/>
            <w:vAlign w:val="center"/>
          </w:tcPr>
          <w:p w14:paraId="3803D7CD" w14:textId="7D7FF917"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5"/>
                <w14:textFill>
                  <w14:solidFill>
                    <w14:srgbClr w14:val="000000">
                      <w14:alpha w14:val="100000"/>
                    </w14:srgbClr>
                  </w14:solidFill>
                </w14:textFill>
              </w:rPr>
              <w:t xml:space="preserve">　</w:t>
            </w:r>
            <w:r w:rsidRPr="00BD3549">
              <w:rPr>
                <w:color w:val="000000"/>
                <w:w w:val="23"/>
                <w:shd w:val="solid" w:color="000000" w:fill="000000"/>
                <w:fitText w:val="105" w:id="-893675775"/>
                <w14:textFill>
                  <w14:solidFill>
                    <w14:srgbClr w14:val="000000">
                      <w14:alpha w14:val="100000"/>
                    </w14:srgbClr>
                  </w14:solidFill>
                </w14:textFill>
              </w:rPr>
              <w:t>|</w:t>
            </w:r>
            <w:r w:rsidRPr="00BD3549">
              <w:rPr>
                <w:rFonts w:hint="eastAsia"/>
                <w:color w:val="000000"/>
                <w:spacing w:val="4"/>
                <w:w w:val="23"/>
                <w:shd w:val="solid" w:color="000000" w:fill="000000"/>
                <w:fitText w:val="105" w:id="-893675775"/>
                <w14:textFill>
                  <w14:solidFill>
                    <w14:srgbClr w14:val="000000">
                      <w14:alpha w14:val="100000"/>
                    </w14:srgbClr>
                  </w14:solidFill>
                </w14:textFill>
              </w:rPr>
              <w:t xml:space="preserve">　</w:t>
            </w:r>
            <w:r w:rsidR="00611428" w:rsidRPr="005E2768">
              <w:rPr>
                <w:vertAlign w:val="superscript"/>
              </w:rPr>
              <w:t>2</w:t>
            </w:r>
          </w:p>
        </w:tc>
        <w:tc>
          <w:tcPr>
            <w:tcW w:w="555" w:type="pct"/>
            <w:vAlign w:val="center"/>
          </w:tcPr>
          <w:p w14:paraId="067AA4B3" w14:textId="633EF437"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4"/>
                <w14:textFill>
                  <w14:solidFill>
                    <w14:srgbClr w14:val="000000">
                      <w14:alpha w14:val="100000"/>
                    </w14:srgbClr>
                  </w14:solidFill>
                </w14:textFill>
              </w:rPr>
              <w:t xml:space="preserve">　</w:t>
            </w:r>
            <w:r w:rsidRPr="00BD3549">
              <w:rPr>
                <w:color w:val="000000"/>
                <w:w w:val="23"/>
                <w:shd w:val="solid" w:color="000000" w:fill="000000"/>
                <w:fitText w:val="105" w:id="-893675774"/>
                <w14:textFill>
                  <w14:solidFill>
                    <w14:srgbClr w14:val="000000">
                      <w14:alpha w14:val="100000"/>
                    </w14:srgbClr>
                  </w14:solidFill>
                </w14:textFill>
              </w:rPr>
              <w:t>|</w:t>
            </w:r>
            <w:r w:rsidRPr="00BD3549">
              <w:rPr>
                <w:rFonts w:hint="eastAsia"/>
                <w:color w:val="000000"/>
                <w:spacing w:val="4"/>
                <w:w w:val="23"/>
                <w:shd w:val="solid" w:color="000000" w:fill="000000"/>
                <w:fitText w:val="105" w:id="-893675774"/>
                <w14:textFill>
                  <w14:solidFill>
                    <w14:srgbClr w14:val="000000">
                      <w14:alpha w14:val="100000"/>
                    </w14:srgbClr>
                  </w14:solidFill>
                </w14:textFill>
              </w:rPr>
              <w:t xml:space="preserve">　</w:t>
            </w:r>
            <w:r w:rsidR="00482D77" w:rsidRPr="00611428">
              <w:rPr>
                <w:vertAlign w:val="superscript"/>
              </w:rPr>
              <w:t>3</w:t>
            </w:r>
          </w:p>
        </w:tc>
        <w:tc>
          <w:tcPr>
            <w:tcW w:w="555" w:type="pct"/>
            <w:vAlign w:val="center"/>
          </w:tcPr>
          <w:p w14:paraId="2A0D169C" w14:textId="2ABA9610"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3"/>
                <w14:textFill>
                  <w14:solidFill>
                    <w14:srgbClr w14:val="000000">
                      <w14:alpha w14:val="100000"/>
                    </w14:srgbClr>
                  </w14:solidFill>
                </w14:textFill>
              </w:rPr>
              <w:t xml:space="preserve">　</w:t>
            </w:r>
            <w:r w:rsidRPr="00BD3549">
              <w:rPr>
                <w:color w:val="000000"/>
                <w:w w:val="23"/>
                <w:shd w:val="solid" w:color="000000" w:fill="000000"/>
                <w:fitText w:val="105" w:id="-893675773"/>
                <w14:textFill>
                  <w14:solidFill>
                    <w14:srgbClr w14:val="000000">
                      <w14:alpha w14:val="100000"/>
                    </w14:srgbClr>
                  </w14:solidFill>
                </w14:textFill>
              </w:rPr>
              <w:t>|</w:t>
            </w:r>
            <w:r w:rsidRPr="00BD3549">
              <w:rPr>
                <w:rFonts w:hint="eastAsia"/>
                <w:color w:val="000000"/>
                <w:spacing w:val="4"/>
                <w:w w:val="23"/>
                <w:shd w:val="solid" w:color="000000" w:fill="000000"/>
                <w:fitText w:val="105" w:id="-893675773"/>
                <w14:textFill>
                  <w14:solidFill>
                    <w14:srgbClr w14:val="000000">
                      <w14:alpha w14:val="100000"/>
                    </w14:srgbClr>
                  </w14:solidFill>
                </w14:textFill>
              </w:rPr>
              <w:t xml:space="preserve">　</w:t>
            </w:r>
            <w:r w:rsidR="00482D77" w:rsidRPr="00611428">
              <w:rPr>
                <w:vertAlign w:val="superscript"/>
              </w:rPr>
              <w:t>3</w:t>
            </w:r>
          </w:p>
        </w:tc>
        <w:tc>
          <w:tcPr>
            <w:tcW w:w="555" w:type="pct"/>
            <w:vAlign w:val="center"/>
          </w:tcPr>
          <w:p w14:paraId="53291F42" w14:textId="70F37E53"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2"/>
                <w14:textFill>
                  <w14:solidFill>
                    <w14:srgbClr w14:val="000000">
                      <w14:alpha w14:val="100000"/>
                    </w14:srgbClr>
                  </w14:solidFill>
                </w14:textFill>
              </w:rPr>
              <w:t xml:space="preserve">　</w:t>
            </w:r>
            <w:r w:rsidRPr="00BD3549">
              <w:rPr>
                <w:color w:val="000000"/>
                <w:w w:val="23"/>
                <w:shd w:val="solid" w:color="000000" w:fill="000000"/>
                <w:fitText w:val="105" w:id="-893675772"/>
                <w14:textFill>
                  <w14:solidFill>
                    <w14:srgbClr w14:val="000000">
                      <w14:alpha w14:val="100000"/>
                    </w14:srgbClr>
                  </w14:solidFill>
                </w14:textFill>
              </w:rPr>
              <w:t>|</w:t>
            </w:r>
            <w:r w:rsidRPr="00BD3549">
              <w:rPr>
                <w:rFonts w:hint="eastAsia"/>
                <w:color w:val="000000"/>
                <w:spacing w:val="4"/>
                <w:w w:val="23"/>
                <w:shd w:val="solid" w:color="000000" w:fill="000000"/>
                <w:fitText w:val="105" w:id="-893675772"/>
                <w14:textFill>
                  <w14:solidFill>
                    <w14:srgbClr w14:val="000000">
                      <w14:alpha w14:val="100000"/>
                    </w14:srgbClr>
                  </w14:solidFill>
                </w14:textFill>
              </w:rPr>
              <w:t xml:space="preserve">　</w:t>
            </w:r>
            <w:r w:rsidR="00482D77" w:rsidRPr="00611428">
              <w:rPr>
                <w:vertAlign w:val="superscript"/>
              </w:rPr>
              <w:t>3</w:t>
            </w:r>
          </w:p>
        </w:tc>
        <w:tc>
          <w:tcPr>
            <w:tcW w:w="677" w:type="pct"/>
            <w:vAlign w:val="center"/>
          </w:tcPr>
          <w:p w14:paraId="5949194A" w14:textId="77777777" w:rsidR="000C0D54" w:rsidRDefault="000C0D54" w:rsidP="000C0D54">
            <w:pPr>
              <w:pStyle w:val="TableText0"/>
              <w:jc w:val="center"/>
              <w:rPr>
                <w:vertAlign w:val="superscript"/>
              </w:rPr>
            </w:pPr>
            <w:r w:rsidRPr="00BD3549">
              <w:rPr>
                <w:color w:val="000000"/>
                <w:spacing w:val="214"/>
                <w:shd w:val="solid" w:color="000000" w:fill="000000"/>
                <w:fitText w:val="300" w:id="-893676281"/>
                <w14:textFill>
                  <w14:solidFill>
                    <w14:srgbClr w14:val="000000">
                      <w14:alpha w14:val="100000"/>
                    </w14:srgbClr>
                  </w14:solidFill>
                </w14:textFill>
              </w:rPr>
              <w:t>|</w:t>
            </w:r>
            <w:r w:rsidRPr="00BD3549">
              <w:rPr>
                <w:color w:val="000000"/>
                <w:spacing w:val="1"/>
                <w:shd w:val="solid" w:color="000000" w:fill="000000"/>
                <w:fitText w:val="300" w:id="-893676281"/>
                <w14:textFill>
                  <w14:solidFill>
                    <w14:srgbClr w14:val="000000">
                      <w14:alpha w14:val="100000"/>
                    </w14:srgbClr>
                  </w14:solidFill>
                </w14:textFill>
              </w:rPr>
              <w:t>|</w:t>
            </w:r>
            <w:r>
              <w:rPr>
                <w:vertAlign w:val="superscript"/>
              </w:rPr>
              <w:t>4</w:t>
            </w:r>
          </w:p>
          <w:p w14:paraId="1DF63D94" w14:textId="08710E77" w:rsidR="00C20DDD" w:rsidRPr="00685F0A" w:rsidRDefault="000C0D54" w:rsidP="000C0D54">
            <w:pPr>
              <w:pStyle w:val="TableText0"/>
              <w:jc w:val="center"/>
              <w:rPr>
                <w:i/>
                <w:iCs/>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11</w:t>
            </w:r>
            <w:r>
              <w:t>)</w:t>
            </w:r>
          </w:p>
        </w:tc>
      </w:tr>
      <w:tr w:rsidR="00C20DDD" w:rsidRPr="001611DC" w14:paraId="78F13980" w14:textId="77777777">
        <w:tc>
          <w:tcPr>
            <w:tcW w:w="156" w:type="pct"/>
            <w:vAlign w:val="center"/>
          </w:tcPr>
          <w:p w14:paraId="7ADCA34B" w14:textId="77777777" w:rsidR="00C20DDD" w:rsidRPr="001611DC" w:rsidRDefault="00C20DDD">
            <w:pPr>
              <w:pStyle w:val="TableText0"/>
            </w:pPr>
            <w:r w:rsidRPr="001611DC">
              <w:t>E</w:t>
            </w:r>
          </w:p>
        </w:tc>
        <w:tc>
          <w:tcPr>
            <w:tcW w:w="837" w:type="pct"/>
            <w:vAlign w:val="center"/>
          </w:tcPr>
          <w:p w14:paraId="7D7166CF" w14:textId="77777777" w:rsidR="00C20DDD" w:rsidRPr="001611DC" w:rsidRDefault="00C20DDD">
            <w:pPr>
              <w:pStyle w:val="TableText0"/>
            </w:pPr>
            <w:r w:rsidRPr="001611DC">
              <w:t>A + C</w:t>
            </w:r>
          </w:p>
        </w:tc>
        <w:tc>
          <w:tcPr>
            <w:tcW w:w="555" w:type="pct"/>
            <w:vAlign w:val="center"/>
          </w:tcPr>
          <w:p w14:paraId="02820911" w14:textId="1ABF36A9" w:rsidR="00C20DDD" w:rsidRPr="00685F0A" w:rsidRDefault="00BD3549">
            <w:pPr>
              <w:pStyle w:val="TableText0"/>
              <w:jc w:val="center"/>
              <w:rPr>
                <w:highlight w:val="lightGray"/>
              </w:rPr>
            </w:pPr>
            <w:r w:rsidRPr="00BD3549">
              <w:rPr>
                <w:rFonts w:hint="eastAsia"/>
                <w:color w:val="000000"/>
                <w:w w:val="30"/>
                <w:shd w:val="solid" w:color="000000" w:fill="000000"/>
                <w:fitText w:val="135" w:id="-893675769"/>
                <w14:textFill>
                  <w14:solidFill>
                    <w14:srgbClr w14:val="000000">
                      <w14:alpha w14:val="100000"/>
                    </w14:srgbClr>
                  </w14:solidFill>
                </w14:textFill>
              </w:rPr>
              <w:t xml:space="preserve">　</w:t>
            </w:r>
            <w:r w:rsidRPr="00BD3549">
              <w:rPr>
                <w:color w:val="000000"/>
                <w:w w:val="30"/>
                <w:shd w:val="solid" w:color="000000" w:fill="000000"/>
                <w:fitText w:val="135" w:id="-893675769"/>
                <w14:textFill>
                  <w14:solidFill>
                    <w14:srgbClr w14:val="000000">
                      <w14:alpha w14:val="100000"/>
                    </w14:srgbClr>
                  </w14:solidFill>
                </w14:textFill>
              </w:rPr>
              <w:t>|</w:t>
            </w:r>
            <w:r w:rsidRPr="00BD3549">
              <w:rPr>
                <w:rFonts w:hint="eastAsia"/>
                <w:color w:val="000000"/>
                <w:spacing w:val="3"/>
                <w:w w:val="30"/>
                <w:shd w:val="solid" w:color="000000" w:fill="000000"/>
                <w:fitText w:val="135" w:id="-893675769"/>
                <w14:textFill>
                  <w14:solidFill>
                    <w14:srgbClr w14:val="000000">
                      <w14:alpha w14:val="100000"/>
                    </w14:srgbClr>
                  </w14:solidFill>
                </w14:textFill>
              </w:rPr>
              <w:t xml:space="preserve">　</w:t>
            </w:r>
            <w:r w:rsidR="006B4DC6" w:rsidRPr="006B4DC6">
              <w:rPr>
                <w:vertAlign w:val="superscript"/>
              </w:rPr>
              <w:t>10</w:t>
            </w:r>
          </w:p>
        </w:tc>
        <w:tc>
          <w:tcPr>
            <w:tcW w:w="555" w:type="pct"/>
            <w:vAlign w:val="center"/>
          </w:tcPr>
          <w:p w14:paraId="51A27A03" w14:textId="5493E103" w:rsidR="00C20DDD" w:rsidRPr="00685F0A" w:rsidRDefault="00BD3549">
            <w:pPr>
              <w:pStyle w:val="TableText0"/>
              <w:jc w:val="center"/>
              <w:rPr>
                <w:highlight w:val="lightGray"/>
              </w:rPr>
            </w:pPr>
            <w:r w:rsidRPr="00BD3549">
              <w:rPr>
                <w:rFonts w:hint="eastAsia"/>
                <w:color w:val="000000"/>
                <w:w w:val="30"/>
                <w:shd w:val="solid" w:color="000000" w:fill="000000"/>
                <w:fitText w:val="135" w:id="-893675768"/>
                <w14:textFill>
                  <w14:solidFill>
                    <w14:srgbClr w14:val="000000">
                      <w14:alpha w14:val="100000"/>
                    </w14:srgbClr>
                  </w14:solidFill>
                </w14:textFill>
              </w:rPr>
              <w:t xml:space="preserve">　</w:t>
            </w:r>
            <w:r w:rsidRPr="00BD3549">
              <w:rPr>
                <w:color w:val="000000"/>
                <w:w w:val="30"/>
                <w:shd w:val="solid" w:color="000000" w:fill="000000"/>
                <w:fitText w:val="135" w:id="-893675768"/>
                <w14:textFill>
                  <w14:solidFill>
                    <w14:srgbClr w14:val="000000">
                      <w14:alpha w14:val="100000"/>
                    </w14:srgbClr>
                  </w14:solidFill>
                </w14:textFill>
              </w:rPr>
              <w:t>|</w:t>
            </w:r>
            <w:r w:rsidRPr="00BD3549">
              <w:rPr>
                <w:rFonts w:hint="eastAsia"/>
                <w:color w:val="000000"/>
                <w:spacing w:val="3"/>
                <w:w w:val="30"/>
                <w:shd w:val="solid" w:color="000000" w:fill="000000"/>
                <w:fitText w:val="135" w:id="-893675768"/>
                <w14:textFill>
                  <w14:solidFill>
                    <w14:srgbClr w14:val="000000">
                      <w14:alpha w14:val="100000"/>
                    </w14:srgbClr>
                  </w14:solidFill>
                </w14:textFill>
              </w:rPr>
              <w:t xml:space="preserve">　</w:t>
            </w:r>
            <w:r w:rsidR="00AE638A" w:rsidRPr="002B0959">
              <w:rPr>
                <w:vertAlign w:val="superscript"/>
              </w:rPr>
              <w:t>12</w:t>
            </w:r>
          </w:p>
        </w:tc>
        <w:tc>
          <w:tcPr>
            <w:tcW w:w="555" w:type="pct"/>
            <w:vAlign w:val="center"/>
          </w:tcPr>
          <w:p w14:paraId="612F9EB4" w14:textId="38F25DE0" w:rsidR="00C20DDD" w:rsidRPr="00685F0A" w:rsidRDefault="00BD3549">
            <w:pPr>
              <w:pStyle w:val="TableText0"/>
              <w:jc w:val="center"/>
              <w:rPr>
                <w:highlight w:val="lightGray"/>
              </w:rPr>
            </w:pPr>
            <w:r w:rsidRPr="00BD3549">
              <w:rPr>
                <w:rFonts w:hint="eastAsia"/>
                <w:color w:val="000000"/>
                <w:w w:val="30"/>
                <w:shd w:val="solid" w:color="000000" w:fill="000000"/>
                <w:fitText w:val="135" w:id="-893675767"/>
                <w14:textFill>
                  <w14:solidFill>
                    <w14:srgbClr w14:val="000000">
                      <w14:alpha w14:val="100000"/>
                    </w14:srgbClr>
                  </w14:solidFill>
                </w14:textFill>
              </w:rPr>
              <w:t xml:space="preserve">　</w:t>
            </w:r>
            <w:r w:rsidRPr="00BD3549">
              <w:rPr>
                <w:color w:val="000000"/>
                <w:w w:val="30"/>
                <w:shd w:val="solid" w:color="000000" w:fill="000000"/>
                <w:fitText w:val="135" w:id="-893675767"/>
                <w14:textFill>
                  <w14:solidFill>
                    <w14:srgbClr w14:val="000000">
                      <w14:alpha w14:val="100000"/>
                    </w14:srgbClr>
                  </w14:solidFill>
                </w14:textFill>
              </w:rPr>
              <w:t>|</w:t>
            </w:r>
            <w:r w:rsidRPr="00BD3549">
              <w:rPr>
                <w:rFonts w:hint="eastAsia"/>
                <w:color w:val="000000"/>
                <w:spacing w:val="3"/>
                <w:w w:val="30"/>
                <w:shd w:val="solid" w:color="000000" w:fill="000000"/>
                <w:fitText w:val="135" w:id="-893675767"/>
                <w14:textFill>
                  <w14:solidFill>
                    <w14:srgbClr w14:val="000000">
                      <w14:alpha w14:val="100000"/>
                    </w14:srgbClr>
                  </w14:solidFill>
                </w14:textFill>
              </w:rPr>
              <w:t xml:space="preserve">　</w:t>
            </w:r>
            <w:r w:rsidR="002B0959" w:rsidRPr="002B0959">
              <w:rPr>
                <w:vertAlign w:val="superscript"/>
              </w:rPr>
              <w:t>12</w:t>
            </w:r>
          </w:p>
        </w:tc>
        <w:tc>
          <w:tcPr>
            <w:tcW w:w="555" w:type="pct"/>
            <w:vAlign w:val="center"/>
          </w:tcPr>
          <w:p w14:paraId="7AE85985" w14:textId="0788323C"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6"/>
                <w14:textFill>
                  <w14:solidFill>
                    <w14:srgbClr w14:val="000000">
                      <w14:alpha w14:val="100000"/>
                    </w14:srgbClr>
                  </w14:solidFill>
                </w14:textFill>
              </w:rPr>
              <w:t xml:space="preserve">　</w:t>
            </w:r>
            <w:r w:rsidRPr="00BD3549">
              <w:rPr>
                <w:color w:val="000000"/>
                <w:w w:val="23"/>
                <w:shd w:val="solid" w:color="000000" w:fill="000000"/>
                <w:fitText w:val="105" w:id="-893675766"/>
                <w14:textFill>
                  <w14:solidFill>
                    <w14:srgbClr w14:val="000000">
                      <w14:alpha w14:val="100000"/>
                    </w14:srgbClr>
                  </w14:solidFill>
                </w14:textFill>
              </w:rPr>
              <w:t>|</w:t>
            </w:r>
            <w:r w:rsidRPr="00BD3549">
              <w:rPr>
                <w:rFonts w:hint="eastAsia"/>
                <w:color w:val="000000"/>
                <w:spacing w:val="4"/>
                <w:w w:val="23"/>
                <w:shd w:val="solid" w:color="000000" w:fill="000000"/>
                <w:fitText w:val="105" w:id="-893675766"/>
                <w14:textFill>
                  <w14:solidFill>
                    <w14:srgbClr w14:val="000000">
                      <w14:alpha w14:val="100000"/>
                    </w14:srgbClr>
                  </w14:solidFill>
                </w14:textFill>
              </w:rPr>
              <w:t xml:space="preserve">　</w:t>
            </w:r>
            <w:r w:rsidR="00134B00" w:rsidRPr="00134B00">
              <w:rPr>
                <w:vertAlign w:val="superscript"/>
              </w:rPr>
              <w:t>7</w:t>
            </w:r>
          </w:p>
        </w:tc>
        <w:tc>
          <w:tcPr>
            <w:tcW w:w="555" w:type="pct"/>
            <w:vAlign w:val="center"/>
          </w:tcPr>
          <w:p w14:paraId="3EBF465E" w14:textId="1FD9C9D2"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5"/>
                <w14:textFill>
                  <w14:solidFill>
                    <w14:srgbClr w14:val="000000">
                      <w14:alpha w14:val="100000"/>
                    </w14:srgbClr>
                  </w14:solidFill>
                </w14:textFill>
              </w:rPr>
              <w:t xml:space="preserve">　</w:t>
            </w:r>
            <w:r w:rsidRPr="00BD3549">
              <w:rPr>
                <w:color w:val="000000"/>
                <w:w w:val="23"/>
                <w:shd w:val="solid" w:color="000000" w:fill="000000"/>
                <w:fitText w:val="105" w:id="-893675765"/>
                <w14:textFill>
                  <w14:solidFill>
                    <w14:srgbClr w14:val="000000">
                      <w14:alpha w14:val="100000"/>
                    </w14:srgbClr>
                  </w14:solidFill>
                </w14:textFill>
              </w:rPr>
              <w:t>|</w:t>
            </w:r>
            <w:r w:rsidRPr="00BD3549">
              <w:rPr>
                <w:rFonts w:hint="eastAsia"/>
                <w:color w:val="000000"/>
                <w:spacing w:val="4"/>
                <w:w w:val="23"/>
                <w:shd w:val="solid" w:color="000000" w:fill="000000"/>
                <w:fitText w:val="105" w:id="-893675765"/>
                <w14:textFill>
                  <w14:solidFill>
                    <w14:srgbClr w14:val="000000">
                      <w14:alpha w14:val="100000"/>
                    </w14:srgbClr>
                  </w14:solidFill>
                </w14:textFill>
              </w:rPr>
              <w:t xml:space="preserve">　</w:t>
            </w:r>
            <w:r w:rsidR="00134B00" w:rsidRPr="00134B00">
              <w:rPr>
                <w:vertAlign w:val="superscript"/>
              </w:rPr>
              <w:t>7</w:t>
            </w:r>
          </w:p>
        </w:tc>
        <w:tc>
          <w:tcPr>
            <w:tcW w:w="555" w:type="pct"/>
            <w:vAlign w:val="center"/>
          </w:tcPr>
          <w:p w14:paraId="4AFB5226" w14:textId="2F5F0B73"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64"/>
                <w14:textFill>
                  <w14:solidFill>
                    <w14:srgbClr w14:val="000000">
                      <w14:alpha w14:val="100000"/>
                    </w14:srgbClr>
                  </w14:solidFill>
                </w14:textFill>
              </w:rPr>
              <w:t xml:space="preserve">　</w:t>
            </w:r>
            <w:r w:rsidRPr="00BD3549">
              <w:rPr>
                <w:color w:val="000000"/>
                <w:w w:val="23"/>
                <w:shd w:val="solid" w:color="000000" w:fill="000000"/>
                <w:fitText w:val="105" w:id="-893675764"/>
                <w14:textFill>
                  <w14:solidFill>
                    <w14:srgbClr w14:val="000000">
                      <w14:alpha w14:val="100000"/>
                    </w14:srgbClr>
                  </w14:solidFill>
                </w14:textFill>
              </w:rPr>
              <w:t>|</w:t>
            </w:r>
            <w:r w:rsidRPr="00BD3549">
              <w:rPr>
                <w:rFonts w:hint="eastAsia"/>
                <w:color w:val="000000"/>
                <w:spacing w:val="4"/>
                <w:w w:val="23"/>
                <w:shd w:val="solid" w:color="000000" w:fill="000000"/>
                <w:fitText w:val="105" w:id="-893675764"/>
                <w14:textFill>
                  <w14:solidFill>
                    <w14:srgbClr w14:val="000000">
                      <w14:alpha w14:val="100000"/>
                    </w14:srgbClr>
                  </w14:solidFill>
                </w14:textFill>
              </w:rPr>
              <w:t xml:space="preserve">　</w:t>
            </w:r>
            <w:r w:rsidR="00134B00" w:rsidRPr="00134B00">
              <w:rPr>
                <w:vertAlign w:val="superscript"/>
              </w:rPr>
              <w:t>7</w:t>
            </w:r>
          </w:p>
        </w:tc>
        <w:tc>
          <w:tcPr>
            <w:tcW w:w="677" w:type="pct"/>
            <w:vAlign w:val="center"/>
          </w:tcPr>
          <w:p w14:paraId="0A21598E" w14:textId="29231FCF" w:rsidR="000C0D54" w:rsidRDefault="000C0D54" w:rsidP="000C0D54">
            <w:pPr>
              <w:pStyle w:val="TableText0"/>
              <w:jc w:val="center"/>
              <w:rPr>
                <w:vertAlign w:val="superscript"/>
              </w:rPr>
            </w:pPr>
            <w:r w:rsidRPr="000C0D54">
              <w:rPr>
                <w:color w:val="000000"/>
                <w:spacing w:val="214"/>
                <w:shd w:val="solid" w:color="000000" w:fill="000000"/>
                <w:fitText w:val="300" w:id="-893676281"/>
                <w14:textFill>
                  <w14:solidFill>
                    <w14:srgbClr w14:val="000000">
                      <w14:alpha w14:val="100000"/>
                    </w14:srgbClr>
                  </w14:solidFill>
                </w14:textFill>
              </w:rPr>
              <w:t>|</w:t>
            </w:r>
            <w:r w:rsidRPr="000C0D54">
              <w:rPr>
                <w:color w:val="000000"/>
                <w:shd w:val="solid" w:color="000000" w:fill="000000"/>
                <w:fitText w:val="300" w:id="-893676281"/>
                <w14:textFill>
                  <w14:solidFill>
                    <w14:srgbClr w14:val="000000">
                      <w14:alpha w14:val="100000"/>
                    </w14:srgbClr>
                  </w14:solidFill>
                </w14:textFill>
              </w:rPr>
              <w:t>|</w:t>
            </w:r>
            <w:r>
              <w:rPr>
                <w:vertAlign w:val="superscript"/>
              </w:rPr>
              <w:t>13</w:t>
            </w:r>
          </w:p>
          <w:p w14:paraId="4AE2C6CB" w14:textId="4388106E" w:rsidR="00C20DDD" w:rsidRPr="00685F0A" w:rsidRDefault="000C0D54" w:rsidP="000C0D54">
            <w:pPr>
              <w:pStyle w:val="TableText0"/>
              <w:jc w:val="center"/>
              <w:rPr>
                <w:i/>
                <w:iCs/>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14</w:t>
            </w:r>
            <w:r>
              <w:t>)</w:t>
            </w:r>
          </w:p>
        </w:tc>
      </w:tr>
      <w:tr w:rsidR="00C20DDD" w:rsidRPr="001611DC" w14:paraId="431A85F0" w14:textId="77777777">
        <w:tc>
          <w:tcPr>
            <w:tcW w:w="156" w:type="pct"/>
            <w:vAlign w:val="center"/>
          </w:tcPr>
          <w:p w14:paraId="5937E8F2" w14:textId="77777777" w:rsidR="00C20DDD" w:rsidRPr="001611DC" w:rsidRDefault="00C20DDD">
            <w:pPr>
              <w:pStyle w:val="TableText0"/>
            </w:pPr>
            <w:r w:rsidRPr="001611DC">
              <w:t>F</w:t>
            </w:r>
          </w:p>
        </w:tc>
        <w:tc>
          <w:tcPr>
            <w:tcW w:w="837" w:type="pct"/>
            <w:vAlign w:val="center"/>
          </w:tcPr>
          <w:p w14:paraId="50F07915" w14:textId="77777777" w:rsidR="00C20DDD" w:rsidRPr="001611DC" w:rsidRDefault="00C20DDD">
            <w:pPr>
              <w:pStyle w:val="TableText0"/>
            </w:pPr>
            <w:r w:rsidRPr="001611DC">
              <w:t>A + B + C</w:t>
            </w:r>
          </w:p>
        </w:tc>
        <w:tc>
          <w:tcPr>
            <w:tcW w:w="555" w:type="pct"/>
            <w:vAlign w:val="center"/>
          </w:tcPr>
          <w:p w14:paraId="34620D6C" w14:textId="5923D9CB" w:rsidR="00C20DDD" w:rsidRPr="00685F0A" w:rsidRDefault="00BD3549">
            <w:pPr>
              <w:pStyle w:val="TableText0"/>
              <w:jc w:val="center"/>
              <w:rPr>
                <w:highlight w:val="lightGray"/>
              </w:rPr>
            </w:pPr>
            <w:r w:rsidRPr="00BD3549">
              <w:rPr>
                <w:rFonts w:hint="eastAsia"/>
                <w:color w:val="000000"/>
                <w:w w:val="30"/>
                <w:shd w:val="solid" w:color="000000" w:fill="000000"/>
                <w:fitText w:val="135" w:id="-893675761"/>
                <w14:textFill>
                  <w14:solidFill>
                    <w14:srgbClr w14:val="000000">
                      <w14:alpha w14:val="100000"/>
                    </w14:srgbClr>
                  </w14:solidFill>
                </w14:textFill>
              </w:rPr>
              <w:t xml:space="preserve">　</w:t>
            </w:r>
            <w:r w:rsidRPr="00BD3549">
              <w:rPr>
                <w:color w:val="000000"/>
                <w:w w:val="30"/>
                <w:shd w:val="solid" w:color="000000" w:fill="000000"/>
                <w:fitText w:val="135" w:id="-893675761"/>
                <w14:textFill>
                  <w14:solidFill>
                    <w14:srgbClr w14:val="000000">
                      <w14:alpha w14:val="100000"/>
                    </w14:srgbClr>
                  </w14:solidFill>
                </w14:textFill>
              </w:rPr>
              <w:t>|</w:t>
            </w:r>
            <w:r w:rsidRPr="00BD3549">
              <w:rPr>
                <w:rFonts w:hint="eastAsia"/>
                <w:color w:val="000000"/>
                <w:spacing w:val="3"/>
                <w:w w:val="30"/>
                <w:shd w:val="solid" w:color="000000" w:fill="000000"/>
                <w:fitText w:val="135" w:id="-893675761"/>
                <w14:textFill>
                  <w14:solidFill>
                    <w14:srgbClr w14:val="000000">
                      <w14:alpha w14:val="100000"/>
                    </w14:srgbClr>
                  </w14:solidFill>
                </w14:textFill>
              </w:rPr>
              <w:t xml:space="preserve">　</w:t>
            </w:r>
            <w:r w:rsidR="006B4DC6" w:rsidRPr="006B4DC6">
              <w:rPr>
                <w:vertAlign w:val="superscript"/>
              </w:rPr>
              <w:t>10</w:t>
            </w:r>
          </w:p>
        </w:tc>
        <w:tc>
          <w:tcPr>
            <w:tcW w:w="555" w:type="pct"/>
            <w:vAlign w:val="center"/>
          </w:tcPr>
          <w:p w14:paraId="30A9A634" w14:textId="72BA2A73" w:rsidR="00C20DDD" w:rsidRPr="00685F0A" w:rsidRDefault="00BD3549">
            <w:pPr>
              <w:pStyle w:val="TableText0"/>
              <w:jc w:val="center"/>
              <w:rPr>
                <w:highlight w:val="lightGray"/>
              </w:rPr>
            </w:pPr>
            <w:r w:rsidRPr="00BD3549">
              <w:rPr>
                <w:color w:val="000000"/>
                <w:spacing w:val="214"/>
                <w:shd w:val="solid" w:color="000000" w:fill="000000"/>
                <w:fitText w:val="300" w:id="-893675760"/>
                <w14:textFill>
                  <w14:solidFill>
                    <w14:srgbClr w14:val="000000">
                      <w14:alpha w14:val="100000"/>
                    </w14:srgbClr>
                  </w14:solidFill>
                </w14:textFill>
              </w:rPr>
              <w:t>|</w:t>
            </w:r>
            <w:r w:rsidRPr="00BD3549">
              <w:rPr>
                <w:color w:val="000000"/>
                <w:spacing w:val="1"/>
                <w:shd w:val="solid" w:color="000000" w:fill="000000"/>
                <w:fitText w:val="300" w:id="-893675760"/>
                <w14:textFill>
                  <w14:solidFill>
                    <w14:srgbClr w14:val="000000">
                      <w14:alpha w14:val="100000"/>
                    </w14:srgbClr>
                  </w14:solidFill>
                </w14:textFill>
              </w:rPr>
              <w:t>|</w:t>
            </w:r>
            <w:r w:rsidR="002B0959" w:rsidRPr="002B0959">
              <w:rPr>
                <w:vertAlign w:val="superscript"/>
              </w:rPr>
              <w:t>12</w:t>
            </w:r>
          </w:p>
        </w:tc>
        <w:tc>
          <w:tcPr>
            <w:tcW w:w="555" w:type="pct"/>
            <w:vAlign w:val="center"/>
          </w:tcPr>
          <w:p w14:paraId="7759D4AE" w14:textId="134901E7" w:rsidR="00C20DDD" w:rsidRPr="00685F0A" w:rsidRDefault="00BD3549">
            <w:pPr>
              <w:pStyle w:val="TableText0"/>
              <w:jc w:val="center"/>
              <w:rPr>
                <w:highlight w:val="lightGray"/>
              </w:rPr>
            </w:pPr>
            <w:r w:rsidRPr="00BD3549">
              <w:rPr>
                <w:rFonts w:hint="eastAsia"/>
                <w:color w:val="000000"/>
                <w:w w:val="30"/>
                <w:shd w:val="solid" w:color="000000" w:fill="000000"/>
                <w:fitText w:val="135" w:id="-893675775"/>
                <w14:textFill>
                  <w14:solidFill>
                    <w14:srgbClr w14:val="000000">
                      <w14:alpha w14:val="100000"/>
                    </w14:srgbClr>
                  </w14:solidFill>
                </w14:textFill>
              </w:rPr>
              <w:t xml:space="preserve">　</w:t>
            </w:r>
            <w:r w:rsidRPr="00BD3549">
              <w:rPr>
                <w:color w:val="000000"/>
                <w:w w:val="30"/>
                <w:shd w:val="solid" w:color="000000" w:fill="000000"/>
                <w:fitText w:val="135" w:id="-893675775"/>
                <w14:textFill>
                  <w14:solidFill>
                    <w14:srgbClr w14:val="000000">
                      <w14:alpha w14:val="100000"/>
                    </w14:srgbClr>
                  </w14:solidFill>
                </w14:textFill>
              </w:rPr>
              <w:t>|</w:t>
            </w:r>
            <w:r w:rsidRPr="00BD3549">
              <w:rPr>
                <w:rFonts w:hint="eastAsia"/>
                <w:color w:val="000000"/>
                <w:spacing w:val="3"/>
                <w:w w:val="30"/>
                <w:shd w:val="solid" w:color="000000" w:fill="000000"/>
                <w:fitText w:val="135" w:id="-893675775"/>
                <w14:textFill>
                  <w14:solidFill>
                    <w14:srgbClr w14:val="000000">
                      <w14:alpha w14:val="100000"/>
                    </w14:srgbClr>
                  </w14:solidFill>
                </w14:textFill>
              </w:rPr>
              <w:t xml:space="preserve">　</w:t>
            </w:r>
            <w:r w:rsidR="002B0959" w:rsidRPr="002B0959">
              <w:rPr>
                <w:vertAlign w:val="superscript"/>
              </w:rPr>
              <w:t>12</w:t>
            </w:r>
          </w:p>
        </w:tc>
        <w:tc>
          <w:tcPr>
            <w:tcW w:w="555" w:type="pct"/>
            <w:vAlign w:val="center"/>
          </w:tcPr>
          <w:p w14:paraId="4C411577" w14:textId="4CFFD44D"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4"/>
                <w14:textFill>
                  <w14:solidFill>
                    <w14:srgbClr w14:val="000000">
                      <w14:alpha w14:val="100000"/>
                    </w14:srgbClr>
                  </w14:solidFill>
                </w14:textFill>
              </w:rPr>
              <w:t xml:space="preserve">　</w:t>
            </w:r>
            <w:r w:rsidRPr="00BD3549">
              <w:rPr>
                <w:color w:val="000000"/>
                <w:w w:val="23"/>
                <w:shd w:val="solid" w:color="000000" w:fill="000000"/>
                <w:fitText w:val="105" w:id="-893675774"/>
                <w14:textFill>
                  <w14:solidFill>
                    <w14:srgbClr w14:val="000000">
                      <w14:alpha w14:val="100000"/>
                    </w14:srgbClr>
                  </w14:solidFill>
                </w14:textFill>
              </w:rPr>
              <w:t>|</w:t>
            </w:r>
            <w:r w:rsidRPr="00BD3549">
              <w:rPr>
                <w:rFonts w:hint="eastAsia"/>
                <w:color w:val="000000"/>
                <w:spacing w:val="4"/>
                <w:w w:val="23"/>
                <w:shd w:val="solid" w:color="000000" w:fill="000000"/>
                <w:fitText w:val="105" w:id="-893675774"/>
                <w14:textFill>
                  <w14:solidFill>
                    <w14:srgbClr w14:val="000000">
                      <w14:alpha w14:val="100000"/>
                    </w14:srgbClr>
                  </w14:solidFill>
                </w14:textFill>
              </w:rPr>
              <w:t xml:space="preserve">　</w:t>
            </w:r>
            <w:r w:rsidR="006B4DC6" w:rsidRPr="00134B00">
              <w:rPr>
                <w:vertAlign w:val="superscript"/>
              </w:rPr>
              <w:t>7</w:t>
            </w:r>
          </w:p>
        </w:tc>
        <w:tc>
          <w:tcPr>
            <w:tcW w:w="555" w:type="pct"/>
            <w:vAlign w:val="center"/>
          </w:tcPr>
          <w:p w14:paraId="77E1529D" w14:textId="07F4E665"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3"/>
                <w14:textFill>
                  <w14:solidFill>
                    <w14:srgbClr w14:val="000000">
                      <w14:alpha w14:val="100000"/>
                    </w14:srgbClr>
                  </w14:solidFill>
                </w14:textFill>
              </w:rPr>
              <w:t xml:space="preserve">　</w:t>
            </w:r>
            <w:r w:rsidRPr="00BD3549">
              <w:rPr>
                <w:color w:val="000000"/>
                <w:w w:val="23"/>
                <w:shd w:val="solid" w:color="000000" w:fill="000000"/>
                <w:fitText w:val="105" w:id="-893675773"/>
                <w14:textFill>
                  <w14:solidFill>
                    <w14:srgbClr w14:val="000000">
                      <w14:alpha w14:val="100000"/>
                    </w14:srgbClr>
                  </w14:solidFill>
                </w14:textFill>
              </w:rPr>
              <w:t>|</w:t>
            </w:r>
            <w:r w:rsidRPr="00BD3549">
              <w:rPr>
                <w:rFonts w:hint="eastAsia"/>
                <w:color w:val="000000"/>
                <w:spacing w:val="4"/>
                <w:w w:val="23"/>
                <w:shd w:val="solid" w:color="000000" w:fill="000000"/>
                <w:fitText w:val="105" w:id="-893675773"/>
                <w14:textFill>
                  <w14:solidFill>
                    <w14:srgbClr w14:val="000000">
                      <w14:alpha w14:val="100000"/>
                    </w14:srgbClr>
                  </w14:solidFill>
                </w14:textFill>
              </w:rPr>
              <w:t xml:space="preserve">　</w:t>
            </w:r>
            <w:r w:rsidR="006B4DC6" w:rsidRPr="00134B00">
              <w:rPr>
                <w:vertAlign w:val="superscript"/>
              </w:rPr>
              <w:t>7</w:t>
            </w:r>
          </w:p>
        </w:tc>
        <w:tc>
          <w:tcPr>
            <w:tcW w:w="555" w:type="pct"/>
            <w:vAlign w:val="center"/>
          </w:tcPr>
          <w:p w14:paraId="1A2B4FD1" w14:textId="1A96C77C" w:rsidR="00C20DDD" w:rsidRPr="00685F0A" w:rsidRDefault="00BD3549">
            <w:pPr>
              <w:pStyle w:val="TableText0"/>
              <w:jc w:val="center"/>
              <w:rPr>
                <w:highlight w:val="lightGray"/>
              </w:rPr>
            </w:pPr>
            <w:r w:rsidRPr="00BD3549">
              <w:rPr>
                <w:rFonts w:hint="eastAsia"/>
                <w:color w:val="000000"/>
                <w:w w:val="23"/>
                <w:shd w:val="solid" w:color="000000" w:fill="000000"/>
                <w:fitText w:val="105" w:id="-893675772"/>
                <w14:textFill>
                  <w14:solidFill>
                    <w14:srgbClr w14:val="000000">
                      <w14:alpha w14:val="100000"/>
                    </w14:srgbClr>
                  </w14:solidFill>
                </w14:textFill>
              </w:rPr>
              <w:t xml:space="preserve">　</w:t>
            </w:r>
            <w:r w:rsidRPr="00BD3549">
              <w:rPr>
                <w:color w:val="000000"/>
                <w:w w:val="23"/>
                <w:shd w:val="solid" w:color="000000" w:fill="000000"/>
                <w:fitText w:val="105" w:id="-893675772"/>
                <w14:textFill>
                  <w14:solidFill>
                    <w14:srgbClr w14:val="000000">
                      <w14:alpha w14:val="100000"/>
                    </w14:srgbClr>
                  </w14:solidFill>
                </w14:textFill>
              </w:rPr>
              <w:t>|</w:t>
            </w:r>
            <w:r w:rsidRPr="00BD3549">
              <w:rPr>
                <w:rFonts w:hint="eastAsia"/>
                <w:color w:val="000000"/>
                <w:spacing w:val="4"/>
                <w:w w:val="23"/>
                <w:shd w:val="solid" w:color="000000" w:fill="000000"/>
                <w:fitText w:val="105" w:id="-893675772"/>
                <w14:textFill>
                  <w14:solidFill>
                    <w14:srgbClr w14:val="000000">
                      <w14:alpha w14:val="100000"/>
                    </w14:srgbClr>
                  </w14:solidFill>
                </w14:textFill>
              </w:rPr>
              <w:t xml:space="preserve">　</w:t>
            </w:r>
            <w:r w:rsidR="006B4DC6" w:rsidRPr="00134B00">
              <w:rPr>
                <w:vertAlign w:val="superscript"/>
              </w:rPr>
              <w:t>7</w:t>
            </w:r>
          </w:p>
        </w:tc>
        <w:tc>
          <w:tcPr>
            <w:tcW w:w="677" w:type="pct"/>
            <w:vAlign w:val="center"/>
          </w:tcPr>
          <w:p w14:paraId="124F6541" w14:textId="77777777" w:rsidR="000C0D54" w:rsidRDefault="000C0D54" w:rsidP="000C0D54">
            <w:pPr>
              <w:pStyle w:val="TableText0"/>
              <w:jc w:val="center"/>
              <w:rPr>
                <w:vertAlign w:val="superscript"/>
              </w:rPr>
            </w:pPr>
            <w:r w:rsidRPr="000C0D54">
              <w:rPr>
                <w:color w:val="000000"/>
                <w:spacing w:val="214"/>
                <w:shd w:val="solid" w:color="000000" w:fill="000000"/>
                <w:fitText w:val="300" w:id="-893676281"/>
                <w14:textFill>
                  <w14:solidFill>
                    <w14:srgbClr w14:val="000000">
                      <w14:alpha w14:val="100000"/>
                    </w14:srgbClr>
                  </w14:solidFill>
                </w14:textFill>
              </w:rPr>
              <w:t>|</w:t>
            </w:r>
            <w:r w:rsidRPr="000C0D54">
              <w:rPr>
                <w:color w:val="000000"/>
                <w:shd w:val="solid" w:color="000000" w:fill="000000"/>
                <w:fitText w:val="300" w:id="-893676281"/>
                <w14:textFill>
                  <w14:solidFill>
                    <w14:srgbClr w14:val="000000">
                      <w14:alpha w14:val="100000"/>
                    </w14:srgbClr>
                  </w14:solidFill>
                </w14:textFill>
              </w:rPr>
              <w:t>|</w:t>
            </w:r>
            <w:r>
              <w:rPr>
                <w:vertAlign w:val="superscript"/>
              </w:rPr>
              <w:t>13</w:t>
            </w:r>
          </w:p>
          <w:p w14:paraId="7B1A82D8" w14:textId="0AEC226E" w:rsidR="00C20DDD" w:rsidRPr="00685F0A" w:rsidRDefault="000C0D54" w:rsidP="000C0D54">
            <w:pPr>
              <w:pStyle w:val="TableText0"/>
              <w:jc w:val="center"/>
              <w:rPr>
                <w:i/>
                <w:iCs/>
                <w:highlight w:val="lightGray"/>
              </w:rPr>
            </w:pPr>
            <w:r w:rsidRPr="00397677">
              <w:t>(</w:t>
            </w:r>
            <w:r w:rsidRPr="00397677">
              <w:rPr>
                <w:color w:val="000000"/>
                <w:spacing w:val="154"/>
                <w:shd w:val="solid" w:color="000000" w:fill="000000"/>
                <w:fitText w:val="240" w:id="-893676280"/>
                <w14:textFill>
                  <w14:solidFill>
                    <w14:srgbClr w14:val="000000">
                      <w14:alpha w14:val="100000"/>
                    </w14:srgbClr>
                  </w14:solidFill>
                </w14:textFill>
              </w:rPr>
              <w:t>|</w:t>
            </w:r>
            <w:r w:rsidRPr="00397677">
              <w:rPr>
                <w:color w:val="000000"/>
                <w:shd w:val="solid" w:color="000000" w:fill="000000"/>
                <w:fitText w:val="240" w:id="-893676280"/>
                <w14:textFill>
                  <w14:solidFill>
                    <w14:srgbClr w14:val="000000">
                      <w14:alpha w14:val="100000"/>
                    </w14:srgbClr>
                  </w14:solidFill>
                </w14:textFill>
              </w:rPr>
              <w:t>|</w:t>
            </w:r>
            <w:r w:rsidRPr="00D32A2A">
              <w:rPr>
                <w:vertAlign w:val="superscript"/>
              </w:rPr>
              <w:t xml:space="preserve"> </w:t>
            </w:r>
            <w:r>
              <w:rPr>
                <w:vertAlign w:val="superscript"/>
              </w:rPr>
              <w:t>14</w:t>
            </w:r>
            <w:r>
              <w:t>)</w:t>
            </w:r>
          </w:p>
        </w:tc>
      </w:tr>
    </w:tbl>
    <w:p w14:paraId="6B91308F" w14:textId="5DB69D2D" w:rsidR="00C20DDD" w:rsidRPr="001611DC" w:rsidRDefault="00C20DDD" w:rsidP="00C20DDD">
      <w:pPr>
        <w:pStyle w:val="FooterTableFigure"/>
        <w:rPr>
          <w:rFonts w:eastAsiaTheme="majorEastAsia"/>
        </w:rPr>
      </w:pPr>
      <w:r w:rsidRPr="001611DC">
        <w:rPr>
          <w:rFonts w:eastAsiaTheme="majorEastAsia"/>
        </w:rPr>
        <w:t xml:space="preserve">Source: Table 4-63of the submission. Text in </w:t>
      </w:r>
      <w:r w:rsidR="00113832" w:rsidRPr="001611DC">
        <w:rPr>
          <w:rFonts w:eastAsiaTheme="majorEastAsia"/>
        </w:rPr>
        <w:t>brackets was</w:t>
      </w:r>
      <w:r w:rsidRPr="001611DC">
        <w:rPr>
          <w:rFonts w:eastAsiaTheme="majorEastAsia"/>
        </w:rPr>
        <w:t xml:space="preserve"> estimated in the </w:t>
      </w:r>
      <w:r w:rsidRPr="001611DC">
        <w:t>Commentary</w:t>
      </w:r>
      <w:r w:rsidRPr="001611DC">
        <w:rPr>
          <w:rFonts w:eastAsiaTheme="majorEastAsia"/>
        </w:rPr>
        <w:t>.</w:t>
      </w:r>
    </w:p>
    <w:p w14:paraId="3C00DF20" w14:textId="77777777" w:rsidR="00C20DDD" w:rsidRPr="001611DC" w:rsidRDefault="00C20DDD" w:rsidP="00C20DDD">
      <w:pPr>
        <w:pStyle w:val="FooterTableFigure"/>
        <w:rPr>
          <w:rFonts w:eastAsiaTheme="majorEastAsia"/>
        </w:rPr>
      </w:pPr>
      <w:r w:rsidRPr="001611DC">
        <w:rPr>
          <w:rFonts w:eastAsiaTheme="majorEastAsia"/>
        </w:rPr>
        <w:t>K = thousands; YOA = years of age.</w:t>
      </w:r>
    </w:p>
    <w:p w14:paraId="087CAE2A" w14:textId="10284364" w:rsidR="00C20DDD" w:rsidRDefault="00C20DDD" w:rsidP="00C20DDD">
      <w:pPr>
        <w:pStyle w:val="FooterTableFigure"/>
      </w:pPr>
      <w:r w:rsidRPr="001611DC">
        <w:rPr>
          <w:vertAlign w:val="superscript"/>
        </w:rPr>
        <w:t>a</w:t>
      </w:r>
      <w:r w:rsidRPr="001611DC">
        <w:t xml:space="preserve"> The submission applied uptake rates from the 60-64, 65-69, and 70-74 YOA cohorts in preparing its estimates for the newly eligible cohort 2025-27, respectively. Corrected</w:t>
      </w:r>
      <w:r w:rsidRPr="001611DC">
        <w:rPr>
          <w:iCs/>
          <w:color w:val="000000" w:themeColor="text1"/>
        </w:rPr>
        <w:t xml:space="preserve"> uptake application for the newly eligible cohort (2025-27)</w:t>
      </w:r>
      <w:r w:rsidRPr="001611DC">
        <w:t xml:space="preserve"> in the </w:t>
      </w:r>
      <w:r w:rsidR="00E2719A" w:rsidRPr="001611DC">
        <w:t>≥</w:t>
      </w:r>
      <w:r w:rsidRPr="001611DC">
        <w:t xml:space="preserve">75 YOA population </w:t>
      </w:r>
      <w:r w:rsidR="00113832" w:rsidRPr="001611DC">
        <w:t xml:space="preserve">are </w:t>
      </w:r>
      <w:r w:rsidRPr="001611DC">
        <w:t xml:space="preserve">presented in </w:t>
      </w:r>
      <w:r w:rsidR="00113832" w:rsidRPr="001611DC">
        <w:t>brackets</w:t>
      </w:r>
      <w:r w:rsidRPr="001611DC">
        <w:t>.</w:t>
      </w:r>
    </w:p>
    <w:p w14:paraId="62A957FA" w14:textId="77777777" w:rsidR="00FE3915" w:rsidRPr="00330EA2" w:rsidRDefault="00FE3915" w:rsidP="00FE3915">
      <w:pPr>
        <w:pStyle w:val="FooterTableFigure"/>
        <w:rPr>
          <w:rFonts w:eastAsiaTheme="majorEastAsia"/>
          <w:i/>
          <w:iCs/>
        </w:rPr>
      </w:pPr>
      <w:r w:rsidRPr="00330EA2">
        <w:rPr>
          <w:rFonts w:eastAsiaTheme="majorEastAsia"/>
          <w:i/>
          <w:iCs/>
        </w:rPr>
        <w:t>The redacted values correspond to the following ranges:</w:t>
      </w:r>
    </w:p>
    <w:p w14:paraId="71C36A07" w14:textId="0BCB4616" w:rsidR="00FE3915" w:rsidRPr="00330EA2" w:rsidRDefault="00FE3915" w:rsidP="00FE3915">
      <w:pPr>
        <w:pStyle w:val="FooterTableFigure"/>
        <w:rPr>
          <w:rFonts w:eastAsiaTheme="majorEastAsia"/>
          <w:i/>
          <w:iCs/>
        </w:rPr>
      </w:pPr>
      <w:r w:rsidRPr="00330EA2">
        <w:rPr>
          <w:rFonts w:eastAsiaTheme="majorEastAsia"/>
          <w:i/>
          <w:iCs/>
        </w:rPr>
        <w:t>1 $200 million to &lt; $300 million</w:t>
      </w:r>
    </w:p>
    <w:p w14:paraId="78750F90" w14:textId="0C61FB29" w:rsidR="00FE3915" w:rsidRPr="00330EA2" w:rsidRDefault="00611428" w:rsidP="00FE3915">
      <w:pPr>
        <w:pStyle w:val="FooterTableFigure"/>
        <w:rPr>
          <w:rFonts w:eastAsiaTheme="majorEastAsia"/>
          <w:i/>
          <w:iCs/>
        </w:rPr>
      </w:pPr>
      <w:r w:rsidRPr="00330EA2">
        <w:rPr>
          <w:rFonts w:eastAsiaTheme="majorEastAsia"/>
          <w:i/>
          <w:iCs/>
        </w:rPr>
        <w:t>2 $50 million to &lt; $60 million</w:t>
      </w:r>
    </w:p>
    <w:p w14:paraId="34D7426E" w14:textId="55D5FA55" w:rsidR="00482D77" w:rsidRPr="00330EA2" w:rsidRDefault="00482D77" w:rsidP="00FE3915">
      <w:pPr>
        <w:pStyle w:val="FooterTableFigure"/>
        <w:rPr>
          <w:rFonts w:eastAsiaTheme="majorEastAsia"/>
          <w:i/>
          <w:iCs/>
        </w:rPr>
      </w:pPr>
      <w:r w:rsidRPr="00330EA2">
        <w:rPr>
          <w:rFonts w:eastAsiaTheme="majorEastAsia"/>
          <w:i/>
          <w:iCs/>
        </w:rPr>
        <w:t>3 $60 million to &lt; $70 million</w:t>
      </w:r>
    </w:p>
    <w:p w14:paraId="70C10968" w14:textId="127FE4F8" w:rsidR="00092270" w:rsidRPr="00330EA2" w:rsidRDefault="00092270" w:rsidP="00FE3915">
      <w:pPr>
        <w:pStyle w:val="FooterTableFigure"/>
        <w:rPr>
          <w:rFonts w:eastAsiaTheme="majorEastAsia"/>
          <w:i/>
          <w:iCs/>
        </w:rPr>
      </w:pPr>
      <w:r w:rsidRPr="00330EA2">
        <w:rPr>
          <w:rFonts w:eastAsiaTheme="majorEastAsia"/>
          <w:i/>
          <w:iCs/>
        </w:rPr>
        <w:t>4 $500 million to &lt; $600 million</w:t>
      </w:r>
    </w:p>
    <w:p w14:paraId="5C42E654" w14:textId="7BB8CFA9" w:rsidR="003833BE" w:rsidRPr="00330EA2" w:rsidRDefault="003833BE" w:rsidP="00FE3915">
      <w:pPr>
        <w:pStyle w:val="FooterTableFigure"/>
        <w:rPr>
          <w:rFonts w:eastAsiaTheme="majorEastAsia"/>
          <w:i/>
          <w:iCs/>
        </w:rPr>
      </w:pPr>
      <w:r w:rsidRPr="00330EA2">
        <w:rPr>
          <w:rFonts w:eastAsiaTheme="majorEastAsia"/>
          <w:i/>
          <w:iCs/>
        </w:rPr>
        <w:t>5 $0 to &lt; $10 million</w:t>
      </w:r>
    </w:p>
    <w:p w14:paraId="646917B3" w14:textId="4602DAB8" w:rsidR="003833BE" w:rsidRPr="00330EA2" w:rsidRDefault="003833BE" w:rsidP="00FE3915">
      <w:pPr>
        <w:pStyle w:val="FooterTableFigure"/>
        <w:rPr>
          <w:rFonts w:eastAsiaTheme="majorEastAsia"/>
          <w:i/>
          <w:iCs/>
        </w:rPr>
      </w:pPr>
      <w:r w:rsidRPr="00330EA2">
        <w:rPr>
          <w:rFonts w:eastAsiaTheme="majorEastAsia"/>
          <w:i/>
          <w:iCs/>
        </w:rPr>
        <w:t>6 9 $10 million to &lt; $20 million</w:t>
      </w:r>
    </w:p>
    <w:p w14:paraId="722A2959" w14:textId="7F3F75B2" w:rsidR="00FE3915" w:rsidRPr="00330EA2" w:rsidRDefault="00134B00" w:rsidP="00FE3915">
      <w:pPr>
        <w:pStyle w:val="FooterTableFigure"/>
        <w:rPr>
          <w:rFonts w:eastAsiaTheme="majorEastAsia"/>
          <w:i/>
          <w:iCs/>
        </w:rPr>
      </w:pPr>
      <w:r w:rsidRPr="00330EA2">
        <w:rPr>
          <w:rFonts w:eastAsiaTheme="majorEastAsia"/>
          <w:i/>
          <w:iCs/>
        </w:rPr>
        <w:t>7</w:t>
      </w:r>
      <w:r w:rsidR="00FE3915" w:rsidRPr="00330EA2">
        <w:rPr>
          <w:rFonts w:eastAsiaTheme="majorEastAsia"/>
          <w:i/>
          <w:iCs/>
        </w:rPr>
        <w:t xml:space="preserve"> $100 million to &lt; $200 million</w:t>
      </w:r>
    </w:p>
    <w:p w14:paraId="56811E16" w14:textId="1CE55ACC" w:rsidR="00FE3915" w:rsidRPr="00330EA2" w:rsidRDefault="00134B00" w:rsidP="00FE3915">
      <w:pPr>
        <w:pStyle w:val="FooterTableFigure"/>
        <w:rPr>
          <w:rFonts w:eastAsiaTheme="majorEastAsia"/>
          <w:i/>
          <w:iCs/>
        </w:rPr>
      </w:pPr>
      <w:r w:rsidRPr="00330EA2">
        <w:rPr>
          <w:rFonts w:eastAsiaTheme="majorEastAsia"/>
          <w:i/>
          <w:iCs/>
        </w:rPr>
        <w:t>8</w:t>
      </w:r>
      <w:r w:rsidR="00FE3915" w:rsidRPr="00330EA2">
        <w:rPr>
          <w:rFonts w:eastAsiaTheme="majorEastAsia"/>
          <w:i/>
          <w:iCs/>
        </w:rPr>
        <w:t xml:space="preserve"> $30 million to &lt; $40 million</w:t>
      </w:r>
    </w:p>
    <w:p w14:paraId="326C1B6B" w14:textId="5802826D" w:rsidR="00FE3915" w:rsidRPr="00330EA2" w:rsidRDefault="006B4DC6" w:rsidP="00FE3915">
      <w:pPr>
        <w:pStyle w:val="FooterTableFigure"/>
        <w:rPr>
          <w:rFonts w:eastAsiaTheme="majorEastAsia"/>
          <w:i/>
          <w:iCs/>
        </w:rPr>
      </w:pPr>
      <w:r w:rsidRPr="00330EA2">
        <w:rPr>
          <w:rFonts w:eastAsiaTheme="majorEastAsia"/>
          <w:i/>
          <w:iCs/>
        </w:rPr>
        <w:t>9</w:t>
      </w:r>
      <w:r w:rsidR="00FE3915" w:rsidRPr="00330EA2">
        <w:rPr>
          <w:rFonts w:eastAsiaTheme="majorEastAsia"/>
          <w:i/>
          <w:iCs/>
        </w:rPr>
        <w:t xml:space="preserve"> $40 million to &lt; $50 million</w:t>
      </w:r>
    </w:p>
    <w:p w14:paraId="7864A126" w14:textId="238CC78A" w:rsidR="00FE3915" w:rsidRPr="00330EA2" w:rsidRDefault="006B4DC6" w:rsidP="00FE3915">
      <w:pPr>
        <w:pStyle w:val="FooterTableFigure"/>
        <w:rPr>
          <w:rFonts w:eastAsiaTheme="majorEastAsia"/>
          <w:i/>
          <w:iCs/>
        </w:rPr>
      </w:pPr>
      <w:r w:rsidRPr="00330EA2">
        <w:rPr>
          <w:rFonts w:eastAsiaTheme="majorEastAsia"/>
          <w:i/>
          <w:iCs/>
        </w:rPr>
        <w:t>10</w:t>
      </w:r>
      <w:r w:rsidR="00FE3915" w:rsidRPr="00330EA2">
        <w:rPr>
          <w:rFonts w:eastAsiaTheme="majorEastAsia"/>
          <w:i/>
          <w:iCs/>
        </w:rPr>
        <w:t xml:space="preserve"> $300 million to &lt; $400 million</w:t>
      </w:r>
    </w:p>
    <w:p w14:paraId="0B0ED9EE" w14:textId="4FD4DFE4" w:rsidR="00AE638A" w:rsidRPr="00330EA2" w:rsidRDefault="00AE638A" w:rsidP="00FE3915">
      <w:pPr>
        <w:pStyle w:val="FooterTableFigure"/>
        <w:rPr>
          <w:rFonts w:eastAsiaTheme="majorEastAsia"/>
          <w:i/>
          <w:iCs/>
        </w:rPr>
      </w:pPr>
      <w:r w:rsidRPr="00330EA2">
        <w:rPr>
          <w:rFonts w:eastAsiaTheme="majorEastAsia"/>
          <w:i/>
          <w:iCs/>
        </w:rPr>
        <w:t>11 $600 million to &lt; $700 million</w:t>
      </w:r>
    </w:p>
    <w:p w14:paraId="72EB0529" w14:textId="1BF614BC" w:rsidR="002B0959" w:rsidRPr="00330EA2" w:rsidRDefault="002B0959" w:rsidP="00FE3915">
      <w:pPr>
        <w:pStyle w:val="FooterTableFigure"/>
        <w:rPr>
          <w:rFonts w:eastAsiaTheme="majorEastAsia"/>
          <w:i/>
          <w:iCs/>
        </w:rPr>
      </w:pPr>
      <w:r w:rsidRPr="00330EA2">
        <w:rPr>
          <w:rFonts w:eastAsiaTheme="majorEastAsia"/>
          <w:i/>
          <w:iCs/>
        </w:rPr>
        <w:t>12 $90 million to &lt; $100 million</w:t>
      </w:r>
    </w:p>
    <w:p w14:paraId="781A29F2" w14:textId="6536F1F1" w:rsidR="00900085" w:rsidRPr="00330EA2" w:rsidRDefault="00900085" w:rsidP="00900085">
      <w:pPr>
        <w:pStyle w:val="FooterTableFigure"/>
        <w:rPr>
          <w:rFonts w:eastAsiaTheme="majorEastAsia"/>
          <w:i/>
          <w:iCs/>
        </w:rPr>
      </w:pPr>
      <w:r w:rsidRPr="00330EA2">
        <w:rPr>
          <w:rFonts w:eastAsiaTheme="majorEastAsia"/>
          <w:i/>
          <w:iCs/>
        </w:rPr>
        <w:t>13 $800 million to &lt; $900 million</w:t>
      </w:r>
    </w:p>
    <w:p w14:paraId="2BA93E74" w14:textId="44F0600C" w:rsidR="00FE3915" w:rsidRPr="00330EA2" w:rsidRDefault="00900085" w:rsidP="00C20DDD">
      <w:pPr>
        <w:pStyle w:val="FooterTableFigure"/>
        <w:rPr>
          <w:rFonts w:eastAsiaTheme="majorEastAsia"/>
          <w:i/>
          <w:iCs/>
        </w:rPr>
      </w:pPr>
      <w:r w:rsidRPr="00330EA2">
        <w:rPr>
          <w:rFonts w:eastAsiaTheme="majorEastAsia"/>
          <w:i/>
          <w:iCs/>
        </w:rPr>
        <w:t>14 $900 million to &lt; $1 billion</w:t>
      </w:r>
    </w:p>
    <w:p w14:paraId="234AB4EE" w14:textId="5C4C6CC0" w:rsidR="00C20DDD" w:rsidRPr="001611DC" w:rsidRDefault="00C20DDD" w:rsidP="00C20DDD">
      <w:pPr>
        <w:pStyle w:val="3-BodyText"/>
        <w:rPr>
          <w:rFonts w:eastAsiaTheme="majorEastAsia"/>
        </w:rPr>
      </w:pPr>
      <w:bookmarkStart w:id="199" w:name="_Hlk166931924"/>
      <w:r w:rsidRPr="001611DC">
        <w:rPr>
          <w:rFonts w:eastAsiaTheme="majorEastAsia"/>
        </w:rPr>
        <w:t>Costs to the NIP considering the ATAGI base case (</w:t>
      </w:r>
      <w:r w:rsidR="00E2719A" w:rsidRPr="001611DC">
        <w:rPr>
          <w:rFonts w:eastAsiaTheme="majorEastAsia"/>
        </w:rPr>
        <w:t>≥</w:t>
      </w:r>
      <w:r w:rsidRPr="001611DC">
        <w:rPr>
          <w:rFonts w:eastAsiaTheme="majorEastAsia"/>
        </w:rPr>
        <w:t>75 YOA) and populations of special interest presented by the submission were $</w:t>
      </w:r>
      <w:r w:rsidR="00DE5F56" w:rsidRPr="00DE5F56">
        <w:rPr>
          <w:rFonts w:eastAsiaTheme="majorEastAsia"/>
        </w:rPr>
        <w:t xml:space="preserve">800 million to &lt; $900 </w:t>
      </w:r>
      <w:r w:rsidR="00E3503D" w:rsidRPr="00DE5F56">
        <w:rPr>
          <w:rFonts w:eastAsiaTheme="majorEastAsia"/>
        </w:rPr>
        <w:t>million</w:t>
      </w:r>
      <w:r w:rsidR="00E3503D" w:rsidRPr="001611DC">
        <w:rPr>
          <w:rFonts w:eastAsiaTheme="majorEastAsia"/>
        </w:rPr>
        <w:t xml:space="preserve"> over</w:t>
      </w:r>
      <w:r w:rsidRPr="001611DC">
        <w:rPr>
          <w:rFonts w:eastAsiaTheme="majorEastAsia"/>
        </w:rPr>
        <w:t xml:space="preserve"> 6 years. This increased to $</w:t>
      </w:r>
      <w:r w:rsidR="00F25015" w:rsidRPr="00F25015">
        <w:rPr>
          <w:rFonts w:eastAsiaTheme="majorEastAsia"/>
        </w:rPr>
        <w:t xml:space="preserve">900 million to &lt; $1 </w:t>
      </w:r>
      <w:r w:rsidR="00E3503D" w:rsidRPr="00F25015">
        <w:rPr>
          <w:rFonts w:eastAsiaTheme="majorEastAsia"/>
        </w:rPr>
        <w:t>billion</w:t>
      </w:r>
      <w:r w:rsidR="00E3503D" w:rsidRPr="001611DC">
        <w:rPr>
          <w:color w:val="000000" w:themeColor="text1"/>
        </w:rPr>
        <w:t xml:space="preserve"> applying</w:t>
      </w:r>
      <w:r w:rsidRPr="001611DC">
        <w:rPr>
          <w:color w:val="000000" w:themeColor="text1"/>
        </w:rPr>
        <w:t xml:space="preserve"> uptake rates relevant to the </w:t>
      </w:r>
      <w:r w:rsidR="00E2719A" w:rsidRPr="001611DC">
        <w:rPr>
          <w:rFonts w:cstheme="minorHAnsi"/>
        </w:rPr>
        <w:t>≥</w:t>
      </w:r>
      <w:r w:rsidRPr="001611DC">
        <w:t xml:space="preserve">75 YOA </w:t>
      </w:r>
      <w:r w:rsidRPr="001611DC">
        <w:rPr>
          <w:color w:val="000000" w:themeColor="text1"/>
        </w:rPr>
        <w:t>newly eligible cohort (2025-27)</w:t>
      </w:r>
      <w:r w:rsidRPr="001611DC">
        <w:rPr>
          <w:rFonts w:eastAsiaTheme="majorEastAsia"/>
        </w:rPr>
        <w:t xml:space="preserve">. </w:t>
      </w:r>
      <w:r w:rsidRPr="001611DC">
        <w:t xml:space="preserve">Inclusion of these two subgroups would increase the size of the eligible population substantially, which may not be reasonable noting the submission did not </w:t>
      </w:r>
      <w:r w:rsidRPr="001611DC">
        <w:rPr>
          <w:bCs/>
        </w:rPr>
        <w:t>provide cost-effectiveness analyses for these groups.</w:t>
      </w:r>
      <w:bookmarkEnd w:id="199"/>
    </w:p>
    <w:p w14:paraId="0993AFA0" w14:textId="4C658430" w:rsidR="00C20DDD" w:rsidRPr="000C0D54" w:rsidRDefault="00D10AF0" w:rsidP="000C0D54">
      <w:pPr>
        <w:pStyle w:val="3-BodyText"/>
        <w:rPr>
          <w:rFonts w:eastAsiaTheme="majorEastAsia"/>
        </w:rPr>
      </w:pPr>
      <w:r w:rsidRPr="001611DC">
        <w:rPr>
          <w:rFonts w:eastAsiaTheme="majorEastAsia"/>
        </w:rPr>
        <w:t>Overall the DUSC considered the submission’s estimates to be uncertain as there was a lack of clarity regarding the requested populations</w:t>
      </w:r>
      <w:r w:rsidR="00E110FC" w:rsidRPr="001611DC">
        <w:rPr>
          <w:rFonts w:eastAsiaTheme="majorEastAsia"/>
        </w:rPr>
        <w:t xml:space="preserve">, </w:t>
      </w:r>
      <w:r w:rsidR="001B0F86" w:rsidRPr="001611DC">
        <w:rPr>
          <w:rFonts w:eastAsiaTheme="majorEastAsia"/>
        </w:rPr>
        <w:t xml:space="preserve">noting that the </w:t>
      </w:r>
      <w:r w:rsidR="00E110FC" w:rsidRPr="001611DC">
        <w:rPr>
          <w:rFonts w:eastAsiaTheme="majorEastAsia"/>
        </w:rPr>
        <w:t>submission</w:t>
      </w:r>
      <w:r w:rsidR="001B0F86" w:rsidRPr="001611DC">
        <w:rPr>
          <w:rFonts w:eastAsiaTheme="majorEastAsia"/>
        </w:rPr>
        <w:t xml:space="preserve">’s approach was not consistent with </w:t>
      </w:r>
      <w:r w:rsidR="00E110FC" w:rsidRPr="001611DC">
        <w:rPr>
          <w:rFonts w:eastAsiaTheme="majorEastAsia"/>
        </w:rPr>
        <w:t>the ATAGI’s advice</w:t>
      </w:r>
      <w:r w:rsidR="001B0F86" w:rsidRPr="001611DC">
        <w:rPr>
          <w:rFonts w:eastAsiaTheme="majorEastAsia"/>
        </w:rPr>
        <w:t xml:space="preserve"> concerning the populations most likely to benefit from the vaccine</w:t>
      </w:r>
      <w:r w:rsidRPr="001611DC">
        <w:rPr>
          <w:rFonts w:eastAsiaTheme="majorEastAsia"/>
        </w:rPr>
        <w:t>.</w:t>
      </w:r>
    </w:p>
    <w:p w14:paraId="1680BBCE" w14:textId="77777777" w:rsidR="00D454D9" w:rsidRPr="001611DC" w:rsidRDefault="00D454D9" w:rsidP="00D454D9">
      <w:pPr>
        <w:pStyle w:val="4-SubsectionHeading"/>
      </w:pPr>
      <w:bookmarkStart w:id="200" w:name="_Toc22897648"/>
      <w:bookmarkStart w:id="201" w:name="_Toc156993558"/>
      <w:bookmarkEnd w:id="170"/>
      <w:r w:rsidRPr="001611DC">
        <w:t>Quality Use of Medicines</w:t>
      </w:r>
      <w:bookmarkEnd w:id="200"/>
      <w:bookmarkEnd w:id="201"/>
    </w:p>
    <w:p w14:paraId="57D6D96C" w14:textId="7EB5F713" w:rsidR="00D454D9" w:rsidRPr="001611DC" w:rsidRDefault="00D454D9" w:rsidP="00D454D9">
      <w:pPr>
        <w:pStyle w:val="3-BodyText"/>
      </w:pPr>
      <w:r w:rsidRPr="001611DC">
        <w:t xml:space="preserve">The submission noted that requirements for RSVPreF3 OA will be </w:t>
      </w:r>
      <w:proofErr w:type="gramStart"/>
      <w:r w:rsidRPr="001611DC">
        <w:t>similar to</w:t>
      </w:r>
      <w:proofErr w:type="gramEnd"/>
      <w:r w:rsidRPr="001611DC">
        <w:t xml:space="preserve"> the administration of influenza vaccines, such as administration through GP practices or community pharmacies or cold chain issues. </w:t>
      </w:r>
    </w:p>
    <w:p w14:paraId="700582DC" w14:textId="09AD4904" w:rsidR="00D454D9" w:rsidRPr="001611DC" w:rsidRDefault="00D454D9" w:rsidP="00D454D9">
      <w:pPr>
        <w:pStyle w:val="3-BodyText"/>
      </w:pPr>
      <w:r w:rsidRPr="001611DC">
        <w:t>The submission noted the following post-marketing activities:</w:t>
      </w:r>
    </w:p>
    <w:p w14:paraId="1E7A2ADC" w14:textId="77777777" w:rsidR="00D454D9" w:rsidRPr="001611DC" w:rsidRDefault="00D454D9" w:rsidP="000C0D54">
      <w:pPr>
        <w:pStyle w:val="3-BodyText"/>
        <w:numPr>
          <w:ilvl w:val="1"/>
          <w:numId w:val="17"/>
        </w:numPr>
        <w:ind w:left="1134" w:hanging="425"/>
      </w:pPr>
      <w:r w:rsidRPr="001611DC">
        <w:lastRenderedPageBreak/>
        <w:t>Post-marketing pharmacovigilance plan through clinical trials, individual case safety report review, signal detection activities, literature analyses, and surveillance of AEs of special interest.</w:t>
      </w:r>
    </w:p>
    <w:p w14:paraId="4FCAF3FE" w14:textId="09AEC04D" w:rsidR="00D454D9" w:rsidRPr="001611DC" w:rsidRDefault="00D454D9" w:rsidP="000C0D54">
      <w:pPr>
        <w:pStyle w:val="3-BodyText"/>
        <w:numPr>
          <w:ilvl w:val="1"/>
          <w:numId w:val="17"/>
        </w:numPr>
        <w:ind w:left="1134" w:hanging="425"/>
      </w:pPr>
      <w:r w:rsidRPr="001611DC">
        <w:t xml:space="preserve">A post-marketing active surveillance study to evaluate GBS, ADEM and atrial fibrillation in adults </w:t>
      </w:r>
      <w:r w:rsidR="00E2719A" w:rsidRPr="001611DC">
        <w:t>≥</w:t>
      </w:r>
      <w:r w:rsidRPr="001611DC">
        <w:t>60 YOA in the US.</w:t>
      </w:r>
    </w:p>
    <w:p w14:paraId="29DE8266" w14:textId="0CBA79DB" w:rsidR="00CA5A68" w:rsidRPr="001611DC" w:rsidRDefault="00CA5A68">
      <w:pPr>
        <w:pStyle w:val="3-BodyText"/>
      </w:pPr>
      <w:r w:rsidRPr="001611DC">
        <w:t>The pre-PBAC response provided additional information about QUM activities planned by the sponsor, including collaboration with implementation partners, vaccine providers and consumer groups to help ensure QUM principles are upheld, for example in relation to quality use, safe storage and administration of the vaccine.</w:t>
      </w:r>
    </w:p>
    <w:p w14:paraId="561C747B" w14:textId="33A584E1" w:rsidR="00BA1199" w:rsidRPr="001611DC" w:rsidRDefault="000168BA" w:rsidP="004035B4">
      <w:pPr>
        <w:ind w:left="709"/>
        <w:jc w:val="left"/>
        <w:rPr>
          <w:rFonts w:eastAsia="Calibri"/>
          <w:iCs/>
          <w:szCs w:val="22"/>
        </w:rPr>
      </w:pPr>
      <w:bookmarkStart w:id="202" w:name="_Hlk103934877"/>
      <w:bookmarkEnd w:id="4"/>
      <w:bookmarkEnd w:id="5"/>
      <w:bookmarkEnd w:id="6"/>
      <w:bookmarkEnd w:id="7"/>
      <w:r w:rsidRPr="001611DC">
        <w:rPr>
          <w:rFonts w:asciiTheme="minorHAnsi" w:hAnsiTheme="minorHAnsi"/>
          <w:i/>
        </w:rPr>
        <w:t>For more detail on PBAC’s view, see section 7 PBAC outcome.</w:t>
      </w:r>
      <w:bookmarkEnd w:id="202"/>
    </w:p>
    <w:p w14:paraId="3061C5CA" w14:textId="77777777" w:rsidR="004035B4" w:rsidRPr="00E3503D" w:rsidRDefault="004035B4" w:rsidP="00E3503D">
      <w:pPr>
        <w:keepNext/>
        <w:numPr>
          <w:ilvl w:val="0"/>
          <w:numId w:val="1"/>
        </w:numPr>
        <w:spacing w:before="240" w:after="120"/>
        <w:jc w:val="left"/>
        <w:outlineLvl w:val="0"/>
        <w:rPr>
          <w:rFonts w:asciiTheme="minorHAnsi" w:hAnsiTheme="minorHAnsi"/>
          <w:b/>
          <w:snapToGrid w:val="0"/>
          <w:sz w:val="32"/>
          <w:szCs w:val="32"/>
        </w:rPr>
      </w:pPr>
      <w:bookmarkStart w:id="203" w:name="_Hlk76381249"/>
      <w:bookmarkStart w:id="204" w:name="_Hlk76377955"/>
      <w:r w:rsidRPr="00E3503D">
        <w:rPr>
          <w:rFonts w:asciiTheme="minorHAnsi" w:hAnsiTheme="minorHAnsi"/>
          <w:b/>
          <w:snapToGrid w:val="0"/>
          <w:sz w:val="32"/>
          <w:szCs w:val="32"/>
        </w:rPr>
        <w:t>PBAC Outcome</w:t>
      </w:r>
    </w:p>
    <w:p w14:paraId="6D3F779E" w14:textId="75903984" w:rsidR="00A270D0" w:rsidRPr="001611DC" w:rsidRDefault="00DB3EB3">
      <w:pPr>
        <w:widowControl w:val="0"/>
        <w:numPr>
          <w:ilvl w:val="1"/>
          <w:numId w:val="1"/>
        </w:numPr>
        <w:spacing w:after="120"/>
        <w:rPr>
          <w:rFonts w:asciiTheme="minorHAnsi" w:hAnsiTheme="minorHAnsi"/>
          <w:snapToGrid w:val="0"/>
        </w:rPr>
      </w:pPr>
      <w:bookmarkStart w:id="205" w:name="_Hlk174396896"/>
      <w:r w:rsidRPr="001611DC">
        <w:rPr>
          <w:rFonts w:asciiTheme="minorHAnsi" w:hAnsiTheme="minorHAnsi"/>
          <w:snapToGrid w:val="0"/>
        </w:rPr>
        <w:t xml:space="preserve">The PBAC did not recommend </w:t>
      </w:r>
      <w:r w:rsidR="00A270D0" w:rsidRPr="001611DC">
        <w:rPr>
          <w:snapToGrid w:val="0"/>
        </w:rPr>
        <w:t xml:space="preserve">that respiratory syncytial virus vaccine (Arexvy®, RSVpreF3 OA) be a designated vaccine for the purposes of the </w:t>
      </w:r>
      <w:r w:rsidR="00A270D0" w:rsidRPr="001611DC">
        <w:rPr>
          <w:i/>
          <w:iCs/>
          <w:snapToGrid w:val="0"/>
        </w:rPr>
        <w:t>National Health Act 1953</w:t>
      </w:r>
      <w:r w:rsidR="00A270D0" w:rsidRPr="001611DC">
        <w:rPr>
          <w:snapToGrid w:val="0"/>
        </w:rPr>
        <w:t xml:space="preserve"> </w:t>
      </w:r>
      <w:r w:rsidR="009C3D8D" w:rsidRPr="001611DC">
        <w:rPr>
          <w:rFonts w:asciiTheme="minorHAnsi" w:hAnsiTheme="minorHAnsi"/>
          <w:snapToGrid w:val="0"/>
        </w:rPr>
        <w:t>for the prevention of lower respiratory tract illness (LRTI) caused by respiratory syncytial virus (RSV).</w:t>
      </w:r>
      <w:r w:rsidR="009C3D8D" w:rsidRPr="001611DC">
        <w:t xml:space="preserve"> The PBAC noted that the submission had proposed </w:t>
      </w:r>
      <w:r w:rsidRPr="001611DC">
        <w:t>two alternative NIP schedules (i) among adults aged ≥60 years of age (YOA)</w:t>
      </w:r>
      <w:r w:rsidR="00D33194" w:rsidRPr="001611DC">
        <w:t>;</w:t>
      </w:r>
      <w:r w:rsidRPr="001611DC">
        <w:t xml:space="preserve"> </w:t>
      </w:r>
      <w:r w:rsidR="00D33194" w:rsidRPr="001611DC">
        <w:t>and</w:t>
      </w:r>
      <w:r w:rsidRPr="001611DC">
        <w:t xml:space="preserve"> (ii) </w:t>
      </w:r>
      <w:r w:rsidR="009C3D8D" w:rsidRPr="001611DC">
        <w:t xml:space="preserve">among adults </w:t>
      </w:r>
      <w:r w:rsidRPr="001611DC">
        <w:t>≥75 YOA.</w:t>
      </w:r>
      <w:r w:rsidR="001F4410">
        <w:t xml:space="preserve"> </w:t>
      </w:r>
      <w:r w:rsidR="00B16FEC" w:rsidRPr="001611DC">
        <w:rPr>
          <w:rFonts w:asciiTheme="minorHAnsi" w:hAnsiTheme="minorHAnsi"/>
          <w:snapToGrid w:val="0"/>
        </w:rPr>
        <w:t>The PBAC noted that ATAGI supported a listing for patients aged 75</w:t>
      </w:r>
      <w:r w:rsidR="005C5815">
        <w:rPr>
          <w:rFonts w:asciiTheme="minorHAnsi" w:hAnsiTheme="minorHAnsi"/>
          <w:snapToGrid w:val="0"/>
        </w:rPr>
        <w:t> </w:t>
      </w:r>
      <w:r w:rsidR="00B16FEC" w:rsidRPr="001611DC">
        <w:rPr>
          <w:rFonts w:asciiTheme="minorHAnsi" w:hAnsiTheme="minorHAnsi"/>
          <w:snapToGrid w:val="0"/>
        </w:rPr>
        <w:t>years and over; First Nations people aged 60 to 74 years; and people aged 60 to 74</w:t>
      </w:r>
      <w:r w:rsidR="005C5815">
        <w:rPr>
          <w:rFonts w:asciiTheme="minorHAnsi" w:hAnsiTheme="minorHAnsi"/>
          <w:snapToGrid w:val="0"/>
        </w:rPr>
        <w:t> </w:t>
      </w:r>
      <w:r w:rsidR="00B16FEC" w:rsidRPr="001611DC">
        <w:rPr>
          <w:rFonts w:asciiTheme="minorHAnsi" w:hAnsiTheme="minorHAnsi"/>
          <w:snapToGrid w:val="0"/>
        </w:rPr>
        <w:t xml:space="preserve">years with </w:t>
      </w:r>
      <w:r w:rsidR="00B16FEC" w:rsidRPr="001611DC">
        <w:t xml:space="preserve">conditions that increase their risk of severe disease due to RSV. </w:t>
      </w:r>
      <w:r w:rsidR="009C3D8D" w:rsidRPr="001611DC">
        <w:rPr>
          <w:rFonts w:asciiTheme="minorHAnsi" w:hAnsiTheme="minorHAnsi"/>
          <w:snapToGrid w:val="0"/>
        </w:rPr>
        <w:t>The PBAC considered that the vaccine was superior to no vaccine in terms of effectiveness with an acceptable safety profile.</w:t>
      </w:r>
      <w:r w:rsidR="001F4410">
        <w:rPr>
          <w:rFonts w:asciiTheme="minorHAnsi" w:hAnsiTheme="minorHAnsi"/>
          <w:snapToGrid w:val="0"/>
        </w:rPr>
        <w:t xml:space="preserve"> </w:t>
      </w:r>
      <w:r w:rsidR="009C3D8D" w:rsidRPr="001611DC">
        <w:rPr>
          <w:rFonts w:asciiTheme="minorHAnsi" w:hAnsiTheme="minorHAnsi"/>
          <w:snapToGrid w:val="0"/>
        </w:rPr>
        <w:t xml:space="preserve">The PBAC considered that </w:t>
      </w:r>
      <w:r w:rsidR="00A270D0" w:rsidRPr="001611DC">
        <w:rPr>
          <w:rFonts w:asciiTheme="minorHAnsi" w:hAnsiTheme="minorHAnsi"/>
          <w:snapToGrid w:val="0"/>
        </w:rPr>
        <w:t xml:space="preserve">the incremental cost-effectiveness ratio (ICER) </w:t>
      </w:r>
      <w:r w:rsidR="009C3D8D" w:rsidRPr="001611DC">
        <w:rPr>
          <w:rFonts w:asciiTheme="minorHAnsi" w:hAnsiTheme="minorHAnsi"/>
          <w:snapToGrid w:val="0"/>
        </w:rPr>
        <w:t>was</w:t>
      </w:r>
      <w:r w:rsidR="00A270D0" w:rsidRPr="001611DC">
        <w:rPr>
          <w:rFonts w:asciiTheme="minorHAnsi" w:hAnsiTheme="minorHAnsi"/>
          <w:snapToGrid w:val="0"/>
        </w:rPr>
        <w:t xml:space="preserve"> unacceptably high and uncertain</w:t>
      </w:r>
      <w:r w:rsidR="009C3D8D" w:rsidRPr="001611DC">
        <w:rPr>
          <w:rFonts w:asciiTheme="minorHAnsi" w:hAnsiTheme="minorHAnsi"/>
          <w:snapToGrid w:val="0"/>
        </w:rPr>
        <w:t xml:space="preserve"> for </w:t>
      </w:r>
      <w:r w:rsidR="00B16FEC" w:rsidRPr="001611DC">
        <w:rPr>
          <w:rFonts w:asciiTheme="minorHAnsi" w:hAnsiTheme="minorHAnsi"/>
          <w:snapToGrid w:val="0"/>
        </w:rPr>
        <w:t xml:space="preserve">adults </w:t>
      </w:r>
      <w:r w:rsidR="00B16FEC" w:rsidRPr="001611DC">
        <w:t>aged ≥60</w:t>
      </w:r>
      <w:r w:rsidR="005C5815">
        <w:t> </w:t>
      </w:r>
      <w:r w:rsidR="00B16FEC" w:rsidRPr="001611DC">
        <w:t xml:space="preserve">YOA and for </w:t>
      </w:r>
      <w:r w:rsidR="009E1157">
        <w:t xml:space="preserve">adults </w:t>
      </w:r>
      <w:r w:rsidR="00B16FEC" w:rsidRPr="001611DC">
        <w:t>aged ≥75 YOA.</w:t>
      </w:r>
      <w:r w:rsidR="00A270D0" w:rsidRPr="001611DC">
        <w:rPr>
          <w:rFonts w:asciiTheme="minorHAnsi" w:hAnsiTheme="minorHAnsi"/>
          <w:snapToGrid w:val="0"/>
        </w:rPr>
        <w:t xml:space="preserve"> The PBAC noted </w:t>
      </w:r>
      <w:r w:rsidR="00D33194" w:rsidRPr="001611DC">
        <w:rPr>
          <w:rFonts w:asciiTheme="minorHAnsi" w:hAnsiTheme="minorHAnsi"/>
          <w:snapToGrid w:val="0"/>
        </w:rPr>
        <w:t xml:space="preserve">that the </w:t>
      </w:r>
      <w:r w:rsidR="00A270D0" w:rsidRPr="001611DC">
        <w:rPr>
          <w:rFonts w:asciiTheme="minorHAnsi" w:hAnsiTheme="minorHAnsi"/>
          <w:snapToGrid w:val="0"/>
        </w:rPr>
        <w:t xml:space="preserve">cost-effectiveness </w:t>
      </w:r>
      <w:r w:rsidR="00D33194" w:rsidRPr="001611DC">
        <w:rPr>
          <w:snapToGrid w:val="0"/>
        </w:rPr>
        <w:t>RSVpreF3 OA</w:t>
      </w:r>
      <w:r w:rsidR="00D33194" w:rsidRPr="001611DC">
        <w:rPr>
          <w:rFonts w:asciiTheme="minorHAnsi" w:hAnsiTheme="minorHAnsi"/>
          <w:snapToGrid w:val="0"/>
        </w:rPr>
        <w:t xml:space="preserve"> </w:t>
      </w:r>
      <w:r w:rsidR="00A270D0" w:rsidRPr="001611DC">
        <w:rPr>
          <w:rFonts w:asciiTheme="minorHAnsi" w:hAnsiTheme="minorHAnsi"/>
          <w:snapToGrid w:val="0"/>
        </w:rPr>
        <w:t xml:space="preserve">in First Nations and high risk people aged 60-74 years was unknown as this was not addressed by the submission. </w:t>
      </w:r>
    </w:p>
    <w:bookmarkEnd w:id="205"/>
    <w:p w14:paraId="33BD09C7" w14:textId="46B3142E" w:rsidR="00350AC7" w:rsidRPr="004243F5" w:rsidRDefault="00350AC7">
      <w:pPr>
        <w:widowControl w:val="0"/>
        <w:numPr>
          <w:ilvl w:val="1"/>
          <w:numId w:val="1"/>
        </w:numPr>
        <w:spacing w:after="120"/>
        <w:rPr>
          <w:rFonts w:asciiTheme="minorHAnsi" w:hAnsiTheme="minorHAnsi"/>
          <w:snapToGrid w:val="0"/>
        </w:rPr>
      </w:pPr>
      <w:r w:rsidRPr="004243F5">
        <w:rPr>
          <w:rFonts w:asciiTheme="minorHAnsi" w:hAnsiTheme="minorHAnsi"/>
          <w:snapToGrid w:val="0"/>
        </w:rPr>
        <w:t xml:space="preserve">The primary reason for this outcome was due to </w:t>
      </w:r>
      <w:r w:rsidR="00CE39B3" w:rsidRPr="004243F5">
        <w:rPr>
          <w:rFonts w:asciiTheme="minorHAnsi" w:hAnsiTheme="minorHAnsi"/>
          <w:snapToGrid w:val="0"/>
        </w:rPr>
        <w:t xml:space="preserve">the </w:t>
      </w:r>
      <w:r w:rsidR="005B606B" w:rsidRPr="004243F5">
        <w:rPr>
          <w:rFonts w:asciiTheme="minorHAnsi" w:hAnsiTheme="minorHAnsi"/>
          <w:snapToGrid w:val="0"/>
        </w:rPr>
        <w:t>economic evaluation presented</w:t>
      </w:r>
      <w:r w:rsidRPr="004243F5">
        <w:rPr>
          <w:rFonts w:asciiTheme="minorHAnsi" w:hAnsiTheme="minorHAnsi"/>
          <w:snapToGrid w:val="0"/>
        </w:rPr>
        <w:t>.</w:t>
      </w:r>
      <w:r w:rsidRPr="004243F5">
        <w:t xml:space="preserve"> </w:t>
      </w:r>
    </w:p>
    <w:p w14:paraId="46A5799E" w14:textId="2716EAB6" w:rsidR="00685077" w:rsidRPr="001611DC" w:rsidRDefault="00685077" w:rsidP="00685077">
      <w:pPr>
        <w:widowControl w:val="0"/>
        <w:numPr>
          <w:ilvl w:val="1"/>
          <w:numId w:val="1"/>
        </w:numPr>
        <w:spacing w:after="120"/>
        <w:rPr>
          <w:iCs/>
        </w:rPr>
      </w:pPr>
      <w:r w:rsidRPr="001611DC">
        <w:rPr>
          <w:rFonts w:asciiTheme="minorHAnsi" w:hAnsiTheme="minorHAnsi"/>
          <w:snapToGrid w:val="0"/>
        </w:rPr>
        <w:t xml:space="preserve">The PBAC noted that </w:t>
      </w:r>
      <w:proofErr w:type="gramStart"/>
      <w:r w:rsidRPr="001611DC">
        <w:rPr>
          <w:rFonts w:asciiTheme="minorHAnsi" w:hAnsiTheme="minorHAnsi"/>
          <w:snapToGrid w:val="0"/>
        </w:rPr>
        <w:t>a number of</w:t>
      </w:r>
      <w:proofErr w:type="gramEnd"/>
      <w:r w:rsidRPr="001611DC">
        <w:rPr>
          <w:rFonts w:asciiTheme="minorHAnsi" w:hAnsiTheme="minorHAnsi"/>
          <w:snapToGrid w:val="0"/>
        </w:rPr>
        <w:t xml:space="preserve"> RSV vaccines and monoclonal antibodies are in development globally for prevention of RSV disease, and the clinical algorithm is changing following TGA registration and market launch of the first wave of these products in Australia, including </w:t>
      </w:r>
      <w:r w:rsidRPr="001611DC">
        <w:t>RSVPreF3 OA vaccine</w:t>
      </w:r>
      <w:r w:rsidRPr="001611DC">
        <w:rPr>
          <w:rFonts w:asciiTheme="minorHAnsi" w:hAnsiTheme="minorHAnsi"/>
          <w:snapToGrid w:val="0"/>
        </w:rPr>
        <w:t>.</w:t>
      </w:r>
      <w:r w:rsidR="001F4410">
        <w:rPr>
          <w:rFonts w:asciiTheme="minorHAnsi" w:hAnsiTheme="minorHAnsi"/>
          <w:snapToGrid w:val="0"/>
        </w:rPr>
        <w:t xml:space="preserve"> </w:t>
      </w:r>
    </w:p>
    <w:p w14:paraId="738B52A6" w14:textId="0AB03F11" w:rsidR="00685077" w:rsidRPr="001611DC" w:rsidRDefault="00685077">
      <w:pPr>
        <w:widowControl w:val="0"/>
        <w:numPr>
          <w:ilvl w:val="1"/>
          <w:numId w:val="1"/>
        </w:numPr>
        <w:spacing w:after="120"/>
        <w:rPr>
          <w:rFonts w:asciiTheme="minorHAnsi" w:hAnsiTheme="minorHAnsi"/>
          <w:bCs/>
        </w:rPr>
      </w:pPr>
      <w:r w:rsidRPr="001611DC">
        <w:t xml:space="preserve">The PBAC considered there is a high clinical need for vaccines, </w:t>
      </w:r>
      <w:r w:rsidR="00172B5F" w:rsidRPr="001611DC">
        <w:t xml:space="preserve">such as RSVPreF3 OA vaccine, </w:t>
      </w:r>
      <w:r w:rsidRPr="001611DC">
        <w:t xml:space="preserve">to reduce the risk of RSV in older adults, </w:t>
      </w:r>
      <w:r w:rsidRPr="001611DC">
        <w:rPr>
          <w:rFonts w:asciiTheme="minorHAnsi" w:hAnsiTheme="minorHAnsi"/>
          <w:snapToGrid w:val="0"/>
        </w:rPr>
        <w:t xml:space="preserve">especially </w:t>
      </w:r>
      <w:r w:rsidR="00172B5F" w:rsidRPr="001611DC">
        <w:rPr>
          <w:rFonts w:asciiTheme="minorHAnsi" w:hAnsiTheme="minorHAnsi"/>
          <w:snapToGrid w:val="0"/>
        </w:rPr>
        <w:t>those aged over 75 years</w:t>
      </w:r>
      <w:r w:rsidRPr="001611DC">
        <w:rPr>
          <w:rFonts w:asciiTheme="minorHAnsi" w:hAnsiTheme="minorHAnsi"/>
          <w:snapToGrid w:val="0"/>
        </w:rPr>
        <w:t xml:space="preserve">, </w:t>
      </w:r>
      <w:r w:rsidR="00172B5F" w:rsidRPr="001611DC">
        <w:rPr>
          <w:rFonts w:asciiTheme="minorHAnsi" w:hAnsiTheme="minorHAnsi"/>
          <w:snapToGrid w:val="0"/>
        </w:rPr>
        <w:t xml:space="preserve">and those </w:t>
      </w:r>
      <w:r w:rsidRPr="001611DC">
        <w:rPr>
          <w:rFonts w:asciiTheme="minorHAnsi" w:hAnsiTheme="minorHAnsi"/>
          <w:snapToGrid w:val="0"/>
        </w:rPr>
        <w:t xml:space="preserve">vulnerable </w:t>
      </w:r>
      <w:r w:rsidR="00172B5F" w:rsidRPr="001611DC">
        <w:rPr>
          <w:rFonts w:asciiTheme="minorHAnsi" w:hAnsiTheme="minorHAnsi"/>
          <w:snapToGrid w:val="0"/>
        </w:rPr>
        <w:t xml:space="preserve">due to existing medical conditions </w:t>
      </w:r>
      <w:r w:rsidRPr="001611DC">
        <w:rPr>
          <w:rFonts w:asciiTheme="minorHAnsi" w:hAnsiTheme="minorHAnsi"/>
          <w:snapToGrid w:val="0"/>
        </w:rPr>
        <w:t xml:space="preserve">and First Nations adults. The PBAC </w:t>
      </w:r>
      <w:r w:rsidRPr="001611DC">
        <w:t>noted that RSV is a common respiratory infection and although symptoms may be mild, some older adults develop severe disease such as acute bronchitis, pneumonia, or exacerbation of pre-existing conditions including asthma, chronic obstructive pulmonary disease and congestive heart failure. The PBAC noted the proposed listing of RSVPreF3 OA vaccine was supported by the consumer comments received for this submission.</w:t>
      </w:r>
    </w:p>
    <w:p w14:paraId="1231FFC6" w14:textId="7B135C26" w:rsidR="004D0975" w:rsidRPr="001611DC" w:rsidRDefault="004D0975">
      <w:pPr>
        <w:pStyle w:val="3-BodyText"/>
      </w:pPr>
      <w:r w:rsidRPr="001611DC">
        <w:lastRenderedPageBreak/>
        <w:t>The PBAC noted that RSVpreF3 OA is a combination of the RSVPreF3 antigen and the AS01</w:t>
      </w:r>
      <w:r w:rsidRPr="001611DC">
        <w:rPr>
          <w:vertAlign w:val="subscript"/>
        </w:rPr>
        <w:t>E</w:t>
      </w:r>
      <w:r w:rsidRPr="001611DC">
        <w:t xml:space="preserve"> adjuvant system. RSVPreF3 antigen is derived from the RSV</w:t>
      </w:r>
      <w:r w:rsidRPr="001611DC">
        <w:noBreakHyphen/>
        <w:t xml:space="preserve">A A2 strain, stabilised in the pre-fusion conformation of the naturally occurring F protein for which both RSV-A and B subtypes share high amino acid sequence homology. RSVPreF3 OA was designed to induce a functional humoral immune response against the RSV-A and RSV-B subtypes and antigen-specific cellular immune responses to protect against RSV-associated LRTD. </w:t>
      </w:r>
    </w:p>
    <w:p w14:paraId="48FC8AC6" w14:textId="1BC02C7A" w:rsidR="00D329E4" w:rsidRPr="001611DC" w:rsidRDefault="00D329E4" w:rsidP="00D329E4">
      <w:pPr>
        <w:widowControl w:val="0"/>
        <w:numPr>
          <w:ilvl w:val="1"/>
          <w:numId w:val="1"/>
        </w:numPr>
        <w:spacing w:after="120"/>
        <w:rPr>
          <w:rFonts w:asciiTheme="minorHAnsi" w:hAnsiTheme="minorHAnsi"/>
          <w:snapToGrid w:val="0"/>
        </w:rPr>
      </w:pPr>
      <w:bookmarkStart w:id="206" w:name="_Ref174451463"/>
      <w:r w:rsidRPr="001611DC">
        <w:t>The PBAC noted and welcomed the advice from the ATAGI that was provided to the PBAC to assist with consideration of this submission.</w:t>
      </w:r>
      <w:r w:rsidR="001F4410">
        <w:t xml:space="preserve"> </w:t>
      </w:r>
      <w:r w:rsidRPr="001611DC">
        <w:t>The PBAC noted that the ATAGI may update its advice in the future, as further evidence emerges.</w:t>
      </w:r>
    </w:p>
    <w:p w14:paraId="408D328E" w14:textId="0E49508F" w:rsidR="004B3E64" w:rsidRPr="001611DC" w:rsidRDefault="00783A8A" w:rsidP="00E3503D">
      <w:pPr>
        <w:widowControl w:val="0"/>
        <w:numPr>
          <w:ilvl w:val="1"/>
          <w:numId w:val="1"/>
        </w:numPr>
        <w:spacing w:after="120"/>
        <w:rPr>
          <w:rFonts w:asciiTheme="minorHAnsi" w:hAnsiTheme="minorHAnsi"/>
          <w:snapToGrid w:val="0"/>
        </w:rPr>
      </w:pPr>
      <w:r w:rsidRPr="001611DC">
        <w:t xml:space="preserve">The PBAC noted that ATAGI </w:t>
      </w:r>
      <w:r w:rsidR="005B606B" w:rsidRPr="001611DC">
        <w:t>recommends</w:t>
      </w:r>
      <w:r w:rsidR="001A1502" w:rsidRPr="001611DC">
        <w:t xml:space="preserve"> vaccination of the following groups as outlined in the </w:t>
      </w:r>
      <w:r w:rsidR="005F27A7" w:rsidRPr="001611DC">
        <w:t xml:space="preserve">ATAGI Pre-submission advice to the PBAC, and as noted in the </w:t>
      </w:r>
      <w:r w:rsidR="001A1502" w:rsidRPr="001611DC">
        <w:t>current Australian Immunisation Handbook (AIH):</w:t>
      </w:r>
      <w:r w:rsidR="005F27A7" w:rsidRPr="001611DC">
        <w:t xml:space="preserve"> </w:t>
      </w:r>
      <w:r w:rsidR="001A1502" w:rsidRPr="001611DC">
        <w:t>1) all people aged ≥75 years; 2) people with risk conditions aged ≥60 years (as defined in AIH); and 3) First Nations people aged ≥60 years.</w:t>
      </w:r>
      <w:r w:rsidR="001F4410">
        <w:t xml:space="preserve"> </w:t>
      </w:r>
      <w:r w:rsidR="001A1502" w:rsidRPr="001611DC">
        <w:t>It was also noted that ATAGI considers that epidemiologic data on First Nations populations within Australia is adequate for informing economic modelling and policy decisions for this group; and that ATAGI is confident that the proposed definition of high-risk conditions is appropriate and structurally clear for providers to identify eligible individuals aged 60</w:t>
      </w:r>
      <w:r w:rsidR="004B3E64" w:rsidRPr="001611DC">
        <w:noBreakHyphen/>
      </w:r>
      <w:r w:rsidR="001A1502" w:rsidRPr="001611DC">
        <w:t xml:space="preserve">74 years that meet </w:t>
      </w:r>
      <w:r w:rsidR="004B3E64" w:rsidRPr="001611DC">
        <w:t xml:space="preserve">the ATAGI’s </w:t>
      </w:r>
      <w:r w:rsidR="001A1502" w:rsidRPr="001611DC">
        <w:t xml:space="preserve">recommendation for RSV vaccination. </w:t>
      </w:r>
      <w:r w:rsidR="004B3E64" w:rsidRPr="001611DC">
        <w:t xml:space="preserve">The </w:t>
      </w:r>
      <w:r w:rsidR="004B3E64" w:rsidRPr="001611DC">
        <w:rPr>
          <w:rFonts w:cs="Calibri"/>
        </w:rPr>
        <w:t>ATAGI considered the definition to be sufficiently reliable to allow for an informative economic model for this group.</w:t>
      </w:r>
      <w:bookmarkEnd w:id="206"/>
    </w:p>
    <w:p w14:paraId="3D3D79C5" w14:textId="7C11EC92" w:rsidR="00940458" w:rsidRPr="001611DC" w:rsidRDefault="00B2523F" w:rsidP="00E3503D">
      <w:pPr>
        <w:widowControl w:val="0"/>
        <w:numPr>
          <w:ilvl w:val="1"/>
          <w:numId w:val="1"/>
        </w:numPr>
        <w:spacing w:after="120"/>
        <w:rPr>
          <w:rFonts w:asciiTheme="minorHAnsi" w:hAnsiTheme="minorHAnsi"/>
          <w:snapToGrid w:val="0"/>
        </w:rPr>
      </w:pPr>
      <w:bookmarkStart w:id="207" w:name="_Ref174399247"/>
      <w:r w:rsidRPr="001611DC">
        <w:rPr>
          <w:rFonts w:asciiTheme="minorHAnsi" w:hAnsiTheme="minorHAnsi"/>
          <w:snapToGrid w:val="0"/>
        </w:rPr>
        <w:t xml:space="preserve">The PBAC did not accept </w:t>
      </w:r>
      <w:r w:rsidRPr="001611DC">
        <w:rPr>
          <w:snapToGrid w:val="0"/>
        </w:rPr>
        <w:t xml:space="preserve">the clinical place for </w:t>
      </w:r>
      <w:r w:rsidRPr="001611DC">
        <w:t xml:space="preserve">RSVPreF3 OA as a single dose for </w:t>
      </w:r>
      <w:r w:rsidR="008E0679">
        <w:t xml:space="preserve">all </w:t>
      </w:r>
      <w:r w:rsidRPr="001611DC">
        <w:t xml:space="preserve">adults </w:t>
      </w:r>
      <w:r w:rsidRPr="001611DC">
        <w:rPr>
          <w:rFonts w:eastAsia="Calibri" w:cstheme="minorHAnsi"/>
          <w:iCs/>
          <w:color w:val="000000" w:themeColor="text1"/>
        </w:rPr>
        <w:t>≥</w:t>
      </w:r>
      <w:r w:rsidRPr="001611DC">
        <w:rPr>
          <w:rFonts w:eastAsia="Calibri"/>
          <w:iCs/>
          <w:color w:val="000000" w:themeColor="text1"/>
        </w:rPr>
        <w:t>60 YOA as proposed by the submission.</w:t>
      </w:r>
      <w:r w:rsidR="001F4410">
        <w:rPr>
          <w:rFonts w:eastAsia="Calibri"/>
          <w:iCs/>
          <w:color w:val="000000" w:themeColor="text1"/>
        </w:rPr>
        <w:t xml:space="preserve"> </w:t>
      </w:r>
      <w:r w:rsidRPr="001611DC">
        <w:rPr>
          <w:rFonts w:eastAsia="Calibri"/>
          <w:iCs/>
          <w:color w:val="000000" w:themeColor="text1"/>
        </w:rPr>
        <w:t>The PBAC considered that a future resubmission would need to request a NIP listing that corresponds to the populations recommended for vaccination by the ATAGI; or otherwise provide a suitable justification as to why this advice was not followed.</w:t>
      </w:r>
      <w:r w:rsidR="001F4410">
        <w:rPr>
          <w:rFonts w:eastAsia="Calibri"/>
          <w:iCs/>
          <w:color w:val="000000" w:themeColor="text1"/>
        </w:rPr>
        <w:t xml:space="preserve"> </w:t>
      </w:r>
      <w:bookmarkStart w:id="208" w:name="_Ref173761287"/>
      <w:bookmarkEnd w:id="207"/>
      <w:r w:rsidRPr="001611DC">
        <w:rPr>
          <w:snapToGrid w:val="0"/>
        </w:rPr>
        <w:t xml:space="preserve">The PBAC noted that the </w:t>
      </w:r>
      <w:r w:rsidRPr="001611DC">
        <w:t>Australian Immunisation Handbook (AIH) includes recommendations for use of vaccines for prophylaxis of RSV disease in OA, and that a resubmission should consider these recommendations when specifying proposed NIP populations.</w:t>
      </w:r>
      <w:bookmarkEnd w:id="208"/>
      <w:r w:rsidRPr="001611DC">
        <w:t xml:space="preserve"> </w:t>
      </w:r>
    </w:p>
    <w:p w14:paraId="7A755992" w14:textId="5AE6C2C1" w:rsidR="00940458" w:rsidRPr="001611DC" w:rsidRDefault="00940458" w:rsidP="00940458">
      <w:pPr>
        <w:pStyle w:val="3-BodyText"/>
      </w:pPr>
      <w:r w:rsidRPr="001611DC">
        <w:t>The PBAC noted that the pre-PBAC response had proposed the initiation of an RSV vaccination program for OAs ≥75 YOA and First Nations Persons 60-74 YOA with a single dose of RSV PreF3 OA.</w:t>
      </w:r>
      <w:r w:rsidR="001F4410">
        <w:t xml:space="preserve"> </w:t>
      </w:r>
      <w:r w:rsidRPr="001611DC">
        <w:t xml:space="preserve">The PBAC considered </w:t>
      </w:r>
      <w:r w:rsidR="001357A7" w:rsidRPr="001611DC">
        <w:t xml:space="preserve">it was inappropriate to </w:t>
      </w:r>
      <w:r w:rsidRPr="001611DC" w:rsidDel="00707E16">
        <w:rPr>
          <w:bCs/>
        </w:rPr>
        <w:t xml:space="preserve">exclude </w:t>
      </w:r>
      <w:r w:rsidRPr="001611DC">
        <w:rPr>
          <w:bCs/>
        </w:rPr>
        <w:t xml:space="preserve">high risk </w:t>
      </w:r>
      <w:r w:rsidRPr="001611DC" w:rsidDel="00707E16">
        <w:rPr>
          <w:bCs/>
        </w:rPr>
        <w:t>patients aged ≥60 with a clinical need.</w:t>
      </w:r>
    </w:p>
    <w:p w14:paraId="7F98CB18" w14:textId="28B25CDB" w:rsidR="001A6FFA" w:rsidRPr="001611DC" w:rsidRDefault="00872761">
      <w:pPr>
        <w:widowControl w:val="0"/>
        <w:numPr>
          <w:ilvl w:val="1"/>
          <w:numId w:val="1"/>
        </w:numPr>
        <w:spacing w:after="120"/>
        <w:rPr>
          <w:rFonts w:asciiTheme="minorHAnsi" w:hAnsiTheme="minorHAnsi"/>
          <w:snapToGrid w:val="0"/>
        </w:rPr>
      </w:pPr>
      <w:r w:rsidRPr="001611DC">
        <w:t>The PBAC noted that listing was requested based on a single dose of RSVPreF3 OA</w:t>
      </w:r>
      <w:r w:rsidR="00172B5F" w:rsidRPr="001611DC">
        <w:t>, and t</w:t>
      </w:r>
      <w:r w:rsidR="002B0C03" w:rsidRPr="001611DC">
        <w:t>h</w:t>
      </w:r>
      <w:r w:rsidRPr="001611DC">
        <w:t xml:space="preserve">e need for revaccination </w:t>
      </w:r>
      <w:r w:rsidR="00172B5F" w:rsidRPr="001611DC">
        <w:t>had</w:t>
      </w:r>
      <w:r w:rsidRPr="001611DC">
        <w:t xml:space="preserve"> not been established</w:t>
      </w:r>
      <w:r w:rsidR="00172B5F" w:rsidRPr="001611DC">
        <w:t>.</w:t>
      </w:r>
      <w:r w:rsidR="001F4410">
        <w:t xml:space="preserve"> </w:t>
      </w:r>
      <w:r w:rsidR="00172B5F" w:rsidRPr="001611DC">
        <w:t>The PBAC noted that the</w:t>
      </w:r>
      <w:r w:rsidR="00D247DD" w:rsidRPr="001611DC">
        <w:t xml:space="preserve"> ATAGI will make </w:t>
      </w:r>
      <w:r w:rsidR="00D247DD" w:rsidRPr="001611DC">
        <w:rPr>
          <w:iCs/>
        </w:rPr>
        <w:t>recommendations for subsequent doses when evidence is available</w:t>
      </w:r>
      <w:r w:rsidR="00997BE2" w:rsidRPr="001611DC">
        <w:rPr>
          <w:iCs/>
        </w:rPr>
        <w:t xml:space="preserve"> from </w:t>
      </w:r>
      <w:r w:rsidR="00997BE2" w:rsidRPr="001611DC">
        <w:t>follow-up data from the ongoing pivotal trial AReSVi-006 and immunogenicity trial AReSVi-004</w:t>
      </w:r>
      <w:r w:rsidR="00D247DD" w:rsidRPr="001611DC">
        <w:rPr>
          <w:iCs/>
        </w:rPr>
        <w:t>.</w:t>
      </w:r>
      <w:r w:rsidR="002B0C03" w:rsidRPr="001611DC">
        <w:rPr>
          <w:iCs/>
        </w:rPr>
        <w:t xml:space="preserve"> </w:t>
      </w:r>
      <w:r w:rsidR="00997BE2" w:rsidRPr="001611DC">
        <w:rPr>
          <w:iCs/>
        </w:rPr>
        <w:t xml:space="preserve">The PBAC noted that results from AReSVi-006 showed that revaccination at Month 12 conferred no additional protection at 17.8 months median follow-up. </w:t>
      </w:r>
      <w:r w:rsidR="002B0C03" w:rsidRPr="001611DC">
        <w:rPr>
          <w:iCs/>
        </w:rPr>
        <w:t xml:space="preserve">The PBAC agreed with the ESC that if revaccination is requested in the future, this would </w:t>
      </w:r>
      <w:r w:rsidR="00C14929" w:rsidRPr="001611DC">
        <w:rPr>
          <w:iCs/>
        </w:rPr>
        <w:t xml:space="preserve">impact </w:t>
      </w:r>
      <w:r w:rsidR="00172B5F" w:rsidRPr="001611DC">
        <w:rPr>
          <w:iCs/>
        </w:rPr>
        <w:t>both</w:t>
      </w:r>
      <w:r w:rsidR="002B0C03" w:rsidRPr="001611DC">
        <w:rPr>
          <w:iCs/>
        </w:rPr>
        <w:t xml:space="preserve"> cost</w:t>
      </w:r>
      <w:r w:rsidR="00172B5F" w:rsidRPr="001611DC">
        <w:rPr>
          <w:iCs/>
        </w:rPr>
        <w:t>-</w:t>
      </w:r>
      <w:r w:rsidR="002B0C03" w:rsidRPr="001611DC">
        <w:rPr>
          <w:iCs/>
        </w:rPr>
        <w:t xml:space="preserve">effectiveness and financial </w:t>
      </w:r>
      <w:r w:rsidR="00C14929" w:rsidRPr="001611DC">
        <w:rPr>
          <w:iCs/>
        </w:rPr>
        <w:t>implications</w:t>
      </w:r>
      <w:r w:rsidR="00172B5F" w:rsidRPr="001611DC">
        <w:rPr>
          <w:iCs/>
        </w:rPr>
        <w:t xml:space="preserve"> of the </w:t>
      </w:r>
      <w:r w:rsidR="00172B5F" w:rsidRPr="001611DC">
        <w:rPr>
          <w:iCs/>
        </w:rPr>
        <w:lastRenderedPageBreak/>
        <w:t>proposed listing</w:t>
      </w:r>
      <w:r w:rsidR="0052607B" w:rsidRPr="001611DC">
        <w:rPr>
          <w:iCs/>
        </w:rPr>
        <w:t>.</w:t>
      </w:r>
      <w:r w:rsidR="001F4410">
        <w:rPr>
          <w:iCs/>
        </w:rPr>
        <w:t xml:space="preserve"> </w:t>
      </w:r>
      <w:r w:rsidR="00526109" w:rsidRPr="001611DC">
        <w:t xml:space="preserve">The PBAC noted that the PSCR reported immunogenicity results from AreSVi-004 suggesting an immune response from revaccination with RSVPreF3 OA administered at 24 months (see paragraph </w:t>
      </w:r>
      <w:r w:rsidR="00526109" w:rsidRPr="001611DC">
        <w:rPr>
          <w:rFonts w:asciiTheme="minorHAnsi" w:hAnsiTheme="minorHAnsi"/>
          <w:snapToGrid w:val="0"/>
        </w:rPr>
        <w:fldChar w:fldCharType="begin" w:fldLock="1"/>
      </w:r>
      <w:r w:rsidR="00526109" w:rsidRPr="001611DC">
        <w:instrText xml:space="preserve"> REF _Ref174472796 \r \h </w:instrText>
      </w:r>
      <w:r w:rsidR="00526109" w:rsidRPr="001611DC">
        <w:rPr>
          <w:rFonts w:asciiTheme="minorHAnsi" w:hAnsiTheme="minorHAnsi"/>
          <w:snapToGrid w:val="0"/>
        </w:rPr>
      </w:r>
      <w:r w:rsidR="00526109" w:rsidRPr="001611DC">
        <w:rPr>
          <w:rFonts w:asciiTheme="minorHAnsi" w:hAnsiTheme="minorHAnsi"/>
          <w:snapToGrid w:val="0"/>
        </w:rPr>
        <w:fldChar w:fldCharType="separate"/>
      </w:r>
      <w:r w:rsidR="00927933" w:rsidRPr="001611DC">
        <w:t>6.22</w:t>
      </w:r>
      <w:r w:rsidR="00526109" w:rsidRPr="001611DC">
        <w:rPr>
          <w:rFonts w:asciiTheme="minorHAnsi" w:hAnsiTheme="minorHAnsi"/>
          <w:snapToGrid w:val="0"/>
        </w:rPr>
        <w:fldChar w:fldCharType="end"/>
      </w:r>
      <w:r w:rsidR="00526109" w:rsidRPr="001611DC">
        <w:t>).</w:t>
      </w:r>
      <w:r w:rsidR="001F4410">
        <w:t xml:space="preserve"> </w:t>
      </w:r>
      <w:r w:rsidR="001A1502" w:rsidRPr="001611DC">
        <w:rPr>
          <w:iCs/>
        </w:rPr>
        <w:t xml:space="preserve">The PBAC noted that further </w:t>
      </w:r>
      <w:r w:rsidR="001A1502" w:rsidRPr="001611DC">
        <w:t>r</w:t>
      </w:r>
      <w:r w:rsidR="001A1502" w:rsidRPr="001611DC">
        <w:rPr>
          <w:iCs/>
        </w:rPr>
        <w:t xml:space="preserve">esults from </w:t>
      </w:r>
      <w:r w:rsidR="001A1502" w:rsidRPr="3F376BAE">
        <w:t>AReSVi006</w:t>
      </w:r>
      <w:r w:rsidR="001A1502" w:rsidRPr="001611DC">
        <w:rPr>
          <w:iCs/>
        </w:rPr>
        <w:t xml:space="preserve"> and AReSVi-004 are expected in September 2024 and will provide further information regarding the appropriate timing</w:t>
      </w:r>
      <w:r w:rsidR="001A1502" w:rsidRPr="3F376BAE">
        <w:noBreakHyphen/>
      </w:r>
      <w:r w:rsidR="001A1502" w:rsidRPr="001611DC">
        <w:rPr>
          <w:iCs/>
        </w:rPr>
        <w:t xml:space="preserve"> of revaccination (see paragraph </w:t>
      </w:r>
      <w:r w:rsidR="001A1502" w:rsidRPr="001611DC">
        <w:rPr>
          <w:rFonts w:asciiTheme="minorHAnsi" w:hAnsiTheme="minorHAnsi"/>
          <w:iCs/>
          <w:snapToGrid w:val="0"/>
        </w:rPr>
        <w:fldChar w:fldCharType="begin" w:fldLock="1"/>
      </w:r>
      <w:r w:rsidR="001A1502" w:rsidRPr="001611DC">
        <w:rPr>
          <w:iCs/>
        </w:rPr>
        <w:instrText xml:space="preserve"> REF _Ref174399459 \r \h </w:instrText>
      </w:r>
      <w:r w:rsidR="001A1502" w:rsidRPr="001611DC">
        <w:rPr>
          <w:rFonts w:asciiTheme="minorHAnsi" w:hAnsiTheme="minorHAnsi"/>
          <w:iCs/>
          <w:snapToGrid w:val="0"/>
        </w:rPr>
      </w:r>
      <w:r w:rsidR="001A1502" w:rsidRPr="001611DC">
        <w:rPr>
          <w:rFonts w:asciiTheme="minorHAnsi" w:hAnsiTheme="minorHAnsi"/>
          <w:iCs/>
          <w:snapToGrid w:val="0"/>
        </w:rPr>
        <w:fldChar w:fldCharType="separate"/>
      </w:r>
      <w:r w:rsidR="00927933" w:rsidRPr="001611DC">
        <w:rPr>
          <w:iCs/>
        </w:rPr>
        <w:t>3.12</w:t>
      </w:r>
      <w:r w:rsidR="001A1502" w:rsidRPr="001611DC">
        <w:rPr>
          <w:rFonts w:asciiTheme="minorHAnsi" w:hAnsiTheme="minorHAnsi"/>
          <w:iCs/>
          <w:snapToGrid w:val="0"/>
        </w:rPr>
        <w:fldChar w:fldCharType="end"/>
      </w:r>
      <w:r w:rsidR="001A1502" w:rsidRPr="001611DC">
        <w:rPr>
          <w:iCs/>
        </w:rPr>
        <w:t>).</w:t>
      </w:r>
    </w:p>
    <w:p w14:paraId="337D13C2" w14:textId="4057C54C" w:rsidR="004035B4" w:rsidRPr="001611DC" w:rsidRDefault="00C24C30">
      <w:pPr>
        <w:widowControl w:val="0"/>
        <w:numPr>
          <w:ilvl w:val="1"/>
          <w:numId w:val="1"/>
        </w:numPr>
        <w:spacing w:after="120"/>
        <w:rPr>
          <w:rFonts w:asciiTheme="minorHAnsi" w:hAnsiTheme="minorHAnsi"/>
          <w:snapToGrid w:val="0"/>
        </w:rPr>
      </w:pPr>
      <w:r w:rsidRPr="001611DC">
        <w:rPr>
          <w:snapToGrid w:val="0"/>
        </w:rPr>
        <w:t xml:space="preserve">The PBAC </w:t>
      </w:r>
      <w:r w:rsidR="009D7CAA" w:rsidRPr="001611DC">
        <w:rPr>
          <w:snapToGrid w:val="0"/>
        </w:rPr>
        <w:t>considered</w:t>
      </w:r>
      <w:r w:rsidRPr="001611DC">
        <w:rPr>
          <w:snapToGrid w:val="0"/>
        </w:rPr>
        <w:t xml:space="preserve"> the </w:t>
      </w:r>
      <w:r w:rsidR="00BE1988" w:rsidRPr="001611DC">
        <w:rPr>
          <w:snapToGrid w:val="0"/>
        </w:rPr>
        <w:t xml:space="preserve">submission’s nomination of </w:t>
      </w:r>
      <w:r w:rsidR="009D7CAA" w:rsidRPr="001611DC">
        <w:rPr>
          <w:snapToGrid w:val="0"/>
        </w:rPr>
        <w:t xml:space="preserve">‘no vaccine’ was </w:t>
      </w:r>
      <w:r w:rsidR="00BE1988" w:rsidRPr="001611DC">
        <w:rPr>
          <w:snapToGrid w:val="0"/>
        </w:rPr>
        <w:t xml:space="preserve">as main comparator was </w:t>
      </w:r>
      <w:r w:rsidR="009D7CAA" w:rsidRPr="001611DC">
        <w:rPr>
          <w:snapToGrid w:val="0"/>
        </w:rPr>
        <w:t>appropriate</w:t>
      </w:r>
      <w:r w:rsidR="00BE1988" w:rsidRPr="001611DC">
        <w:rPr>
          <w:snapToGrid w:val="0"/>
        </w:rPr>
        <w:t xml:space="preserve"> in the absence of any vaccine for RSV being currently available on the NIP.</w:t>
      </w:r>
      <w:r w:rsidR="001F4410">
        <w:rPr>
          <w:snapToGrid w:val="0"/>
        </w:rPr>
        <w:t xml:space="preserve"> </w:t>
      </w:r>
      <w:r w:rsidR="00BE1988" w:rsidRPr="001611DC">
        <w:rPr>
          <w:snapToGrid w:val="0"/>
        </w:rPr>
        <w:t>T</w:t>
      </w:r>
      <w:r w:rsidR="0058620A" w:rsidRPr="001611DC">
        <w:rPr>
          <w:snapToGrid w:val="0"/>
        </w:rPr>
        <w:t>he PBAC</w:t>
      </w:r>
      <w:r w:rsidR="00EC2358" w:rsidRPr="001611DC">
        <w:rPr>
          <w:snapToGrid w:val="0"/>
        </w:rPr>
        <w:t xml:space="preserve"> also</w:t>
      </w:r>
      <w:r w:rsidR="0058620A" w:rsidRPr="001611DC">
        <w:rPr>
          <w:snapToGrid w:val="0"/>
        </w:rPr>
        <w:t xml:space="preserve"> considered that the proposed near market comparators (</w:t>
      </w:r>
      <w:r w:rsidR="0058620A" w:rsidRPr="001611DC">
        <w:t xml:space="preserve">RSVpreF vaccine </w:t>
      </w:r>
      <w:r w:rsidR="00C36156" w:rsidRPr="001611DC">
        <w:t>[</w:t>
      </w:r>
      <w:r w:rsidR="0058620A" w:rsidRPr="001611DC">
        <w:t>Pfizer</w:t>
      </w:r>
      <w:r w:rsidR="00C36156" w:rsidRPr="001611DC">
        <w:t>]</w:t>
      </w:r>
      <w:r w:rsidR="0058620A" w:rsidRPr="001611DC">
        <w:t xml:space="preserve"> and mRNA-1345 RSV vaccine </w:t>
      </w:r>
      <w:r w:rsidR="00C36156" w:rsidRPr="001611DC">
        <w:t>[</w:t>
      </w:r>
      <w:r w:rsidR="0058620A" w:rsidRPr="001611DC">
        <w:t>Moderna</w:t>
      </w:r>
      <w:r w:rsidR="00C36156" w:rsidRPr="001611DC">
        <w:t>]</w:t>
      </w:r>
      <w:r w:rsidR="0058620A" w:rsidRPr="001611DC">
        <w:rPr>
          <w:snapToGrid w:val="0"/>
        </w:rPr>
        <w:t>) were appropriate</w:t>
      </w:r>
      <w:r w:rsidR="00BE1988" w:rsidRPr="001611DC">
        <w:rPr>
          <w:snapToGrid w:val="0"/>
        </w:rPr>
        <w:t>.</w:t>
      </w:r>
    </w:p>
    <w:p w14:paraId="542FDBF3" w14:textId="1C1537DC" w:rsidR="004B6FB0" w:rsidRPr="001611DC" w:rsidRDefault="002B0C03">
      <w:pPr>
        <w:numPr>
          <w:ilvl w:val="1"/>
          <w:numId w:val="1"/>
        </w:numPr>
        <w:spacing w:after="120"/>
        <w:rPr>
          <w:rFonts w:asciiTheme="minorHAnsi" w:hAnsiTheme="minorHAnsi"/>
          <w:snapToGrid w:val="0"/>
        </w:rPr>
      </w:pPr>
      <w:r w:rsidRPr="001611DC">
        <w:rPr>
          <w:snapToGrid w:val="0"/>
        </w:rPr>
        <w:t>The clinical analysis was base</w:t>
      </w:r>
      <w:r w:rsidR="0042649C" w:rsidRPr="001611DC">
        <w:rPr>
          <w:snapToGrid w:val="0"/>
        </w:rPr>
        <w:t>d</w:t>
      </w:r>
      <w:r w:rsidRPr="001611DC">
        <w:rPr>
          <w:snapToGrid w:val="0"/>
        </w:rPr>
        <w:t xml:space="preserve"> on a randomised placebo controlled, head-to-head </w:t>
      </w:r>
      <w:r w:rsidRPr="001611DC">
        <w:t>trial (AreSVi-006) comparing the efficacy and safety of RSVPreF3 OA to placebo vaccine (saline solution) in adults</w:t>
      </w:r>
      <w:r w:rsidRPr="001611DC">
        <w:rPr>
          <w:iCs/>
        </w:rPr>
        <w:t xml:space="preserve"> </w:t>
      </w:r>
      <w:r w:rsidRPr="001611DC">
        <w:rPr>
          <w:rFonts w:cstheme="minorHAnsi"/>
          <w:iCs/>
        </w:rPr>
        <w:t>≥</w:t>
      </w:r>
      <w:r w:rsidRPr="001611DC">
        <w:rPr>
          <w:iCs/>
        </w:rPr>
        <w:t>60 YOA</w:t>
      </w:r>
      <w:r w:rsidRPr="001611DC">
        <w:t xml:space="preserve">, as well as a supportive trial </w:t>
      </w:r>
      <w:r w:rsidR="0042649C" w:rsidRPr="001611DC">
        <w:t xml:space="preserve">(AreSVi-004) </w:t>
      </w:r>
      <w:r w:rsidR="00DC1641" w:rsidRPr="001611DC">
        <w:t>as evidence</w:t>
      </w:r>
      <w:r w:rsidR="0042649C" w:rsidRPr="001611DC">
        <w:rPr>
          <w:iCs/>
        </w:rPr>
        <w:t xml:space="preserve"> for the efficacy claim of RSVPreF3 OA in adults </w:t>
      </w:r>
      <w:r w:rsidR="0042649C" w:rsidRPr="001611DC">
        <w:rPr>
          <w:rFonts w:cstheme="minorHAnsi"/>
          <w:iCs/>
        </w:rPr>
        <w:t>≥</w:t>
      </w:r>
      <w:r w:rsidR="0042649C" w:rsidRPr="001611DC">
        <w:rPr>
          <w:iCs/>
        </w:rPr>
        <w:t>75 YOA</w:t>
      </w:r>
      <w:r w:rsidR="0042649C" w:rsidRPr="001611DC">
        <w:rPr>
          <w:snapToGrid w:val="0"/>
        </w:rPr>
        <w:t>.</w:t>
      </w:r>
      <w:r w:rsidR="000A65E6" w:rsidRPr="001611DC">
        <w:rPr>
          <w:rFonts w:asciiTheme="minorHAnsi" w:hAnsiTheme="minorHAnsi"/>
          <w:snapToGrid w:val="0"/>
        </w:rPr>
        <w:t xml:space="preserve"> </w:t>
      </w:r>
      <w:r w:rsidR="00C7580A" w:rsidRPr="001611DC">
        <w:rPr>
          <w:rFonts w:asciiTheme="minorHAnsi" w:hAnsiTheme="minorHAnsi"/>
          <w:iCs/>
          <w:snapToGrid w:val="0"/>
        </w:rPr>
        <w:t xml:space="preserve">Based on evidence from the </w:t>
      </w:r>
      <w:r w:rsidR="00C7580A" w:rsidRPr="001611DC">
        <w:t>AreSVi-006 trial, t</w:t>
      </w:r>
      <w:r w:rsidR="00FB362C" w:rsidRPr="001611DC">
        <w:rPr>
          <w:rFonts w:asciiTheme="minorHAnsi" w:hAnsiTheme="minorHAnsi"/>
          <w:iCs/>
          <w:snapToGrid w:val="0"/>
        </w:rPr>
        <w:t>he</w:t>
      </w:r>
      <w:r w:rsidR="00FB362C" w:rsidRPr="001611DC">
        <w:rPr>
          <w:rFonts w:asciiTheme="minorHAnsi" w:hAnsiTheme="minorHAnsi"/>
          <w:snapToGrid w:val="0"/>
          <w:szCs w:val="20"/>
        </w:rPr>
        <w:t xml:space="preserve"> PBAC </w:t>
      </w:r>
      <w:r w:rsidR="00FB362C" w:rsidRPr="001611DC">
        <w:rPr>
          <w:szCs w:val="20"/>
        </w:rPr>
        <w:t xml:space="preserve">considered that RSVPreF3 OA vaccine </w:t>
      </w:r>
      <w:r w:rsidR="00BE1988" w:rsidRPr="001611DC">
        <w:rPr>
          <w:szCs w:val="20"/>
        </w:rPr>
        <w:t>was</w:t>
      </w:r>
      <w:r w:rsidR="00FB362C" w:rsidRPr="001611DC">
        <w:rPr>
          <w:szCs w:val="20"/>
        </w:rPr>
        <w:t xml:space="preserve"> an effective prevention for RSV</w:t>
      </w:r>
      <w:r w:rsidR="00E118CC" w:rsidRPr="001611DC">
        <w:rPr>
          <w:szCs w:val="20"/>
        </w:rPr>
        <w:t xml:space="preserve"> in adults ≥60 YOA, inclusive of those ≥75 YOA. </w:t>
      </w:r>
    </w:p>
    <w:p w14:paraId="260D13FF" w14:textId="5963174B" w:rsidR="004B6FB0" w:rsidRPr="001611DC" w:rsidRDefault="004B6FB0">
      <w:pPr>
        <w:numPr>
          <w:ilvl w:val="1"/>
          <w:numId w:val="1"/>
        </w:numPr>
        <w:spacing w:after="120"/>
        <w:rPr>
          <w:rFonts w:asciiTheme="minorHAnsi" w:hAnsiTheme="minorHAnsi"/>
          <w:snapToGrid w:val="0"/>
        </w:rPr>
      </w:pPr>
      <w:r w:rsidRPr="001611DC">
        <w:rPr>
          <w:rFonts w:asciiTheme="minorHAnsi" w:hAnsiTheme="minorHAnsi"/>
          <w:iCs/>
          <w:snapToGrid w:val="0"/>
        </w:rPr>
        <w:t>The</w:t>
      </w:r>
      <w:r w:rsidRPr="001611DC">
        <w:rPr>
          <w:rFonts w:asciiTheme="minorHAnsi" w:hAnsiTheme="minorHAnsi"/>
          <w:snapToGrid w:val="0"/>
          <w:szCs w:val="20"/>
        </w:rPr>
        <w:t xml:space="preserve"> PBAC considered that a claim of superior comparative effectiveness was reasonable for the main comparison between RSVPreF3 and no vaccination, as </w:t>
      </w:r>
      <w:r w:rsidRPr="001611DC">
        <w:rPr>
          <w:rFonts w:cstheme="minorHAnsi"/>
        </w:rPr>
        <w:t>supported by the estimates of VE</w:t>
      </w:r>
      <w:r w:rsidRPr="001611DC">
        <w:t xml:space="preserve"> in RT-PCR confirmed RSV-LRTD</w:t>
      </w:r>
      <w:r w:rsidR="00EE0E7E" w:rsidRPr="001611DC">
        <w:t xml:space="preserve"> (</w:t>
      </w:r>
      <w:r w:rsidR="00EE0E7E" w:rsidRPr="001611DC">
        <w:fldChar w:fldCharType="begin" w:fldLock="1"/>
      </w:r>
      <w:r w:rsidR="00EE0E7E" w:rsidRPr="001611DC">
        <w:instrText xml:space="preserve"> REF _Ref165828332 \h </w:instrText>
      </w:r>
      <w:r w:rsidR="00EE0E7E" w:rsidRPr="001611DC">
        <w:fldChar w:fldCharType="separate"/>
      </w:r>
      <w:r w:rsidR="00927933" w:rsidRPr="001611DC">
        <w:t>Table 13</w:t>
      </w:r>
      <w:r w:rsidR="00EE0E7E" w:rsidRPr="001611DC">
        <w:fldChar w:fldCharType="end"/>
      </w:r>
      <w:r w:rsidR="00EE0E7E" w:rsidRPr="001611DC">
        <w:t>)</w:t>
      </w:r>
      <w:r w:rsidRPr="001611DC">
        <w:t>.</w:t>
      </w:r>
      <w:r w:rsidR="001F4410">
        <w:t xml:space="preserve"> </w:t>
      </w:r>
      <w:r w:rsidRPr="001611DC">
        <w:t xml:space="preserve">The PBAC noted that </w:t>
      </w:r>
      <w:r w:rsidR="00EE0E7E" w:rsidRPr="001611DC">
        <w:t xml:space="preserve">estimates of </w:t>
      </w:r>
      <w:r w:rsidRPr="001611DC">
        <w:t xml:space="preserve">VE </w:t>
      </w:r>
      <w:r w:rsidR="00EE0E7E" w:rsidRPr="001611DC">
        <w:t xml:space="preserve">in RT-PCR confirmed RSV-LRTD associated with a single dose of </w:t>
      </w:r>
      <w:r w:rsidR="00EE0E7E" w:rsidRPr="001611DC">
        <w:rPr>
          <w:rFonts w:asciiTheme="minorHAnsi" w:hAnsiTheme="minorHAnsi"/>
          <w:snapToGrid w:val="0"/>
          <w:szCs w:val="20"/>
        </w:rPr>
        <w:t xml:space="preserve">RSVPreF3 </w:t>
      </w:r>
      <w:r w:rsidR="00CB71D4" w:rsidRPr="001611DC">
        <w:rPr>
          <w:rFonts w:asciiTheme="minorHAnsi" w:hAnsiTheme="minorHAnsi"/>
          <w:snapToGrid w:val="0"/>
          <w:szCs w:val="20"/>
        </w:rPr>
        <w:t xml:space="preserve">in the overall population (aged </w:t>
      </w:r>
      <w:r w:rsidR="00CB71D4" w:rsidRPr="001611DC">
        <w:rPr>
          <w:szCs w:val="20"/>
        </w:rPr>
        <w:t>≥60 YOA</w:t>
      </w:r>
      <w:r w:rsidR="00CB71D4" w:rsidRPr="001611DC">
        <w:rPr>
          <w:rFonts w:asciiTheme="minorHAnsi" w:hAnsiTheme="minorHAnsi"/>
          <w:snapToGrid w:val="0"/>
          <w:szCs w:val="20"/>
        </w:rPr>
        <w:t xml:space="preserve">) </w:t>
      </w:r>
      <w:r w:rsidR="00EE0E7E" w:rsidRPr="001611DC">
        <w:rPr>
          <w:rFonts w:asciiTheme="minorHAnsi" w:hAnsiTheme="minorHAnsi"/>
          <w:snapToGrid w:val="0"/>
          <w:szCs w:val="20"/>
        </w:rPr>
        <w:t>r</w:t>
      </w:r>
      <w:r w:rsidRPr="001611DC">
        <w:t xml:space="preserve">educed over time from 82.6% in VE analysis 1 (6.7 months), 78.9% in VE analysis 2 </w:t>
      </w:r>
      <w:r w:rsidR="009A1B57" w:rsidRPr="001611DC">
        <w:t>(</w:t>
      </w:r>
      <w:r w:rsidRPr="001611DC">
        <w:t>11.5 months</w:t>
      </w:r>
      <w:r w:rsidR="009A1B57" w:rsidRPr="001611DC">
        <w:t>)</w:t>
      </w:r>
      <w:r w:rsidR="00EE0E7E" w:rsidRPr="001611DC">
        <w:t>, 67.2% in VE analysis 3</w:t>
      </w:r>
      <w:r w:rsidR="009A1B57" w:rsidRPr="001611DC">
        <w:t xml:space="preserve"> (17.8 months)</w:t>
      </w:r>
      <w:r w:rsidR="00EE0E7E" w:rsidRPr="001611DC">
        <w:t>.</w:t>
      </w:r>
      <w:r w:rsidRPr="001611DC">
        <w:t xml:space="preserve"> </w:t>
      </w:r>
      <w:r w:rsidR="00EE0E7E" w:rsidRPr="001611DC">
        <w:t xml:space="preserve">The PBAC noted that the PSCR reported VE of 67.7% </w:t>
      </w:r>
      <w:r w:rsidR="00EE0E7E" w:rsidRPr="001611DC">
        <w:rPr>
          <w:rFonts w:cstheme="minorHAnsi"/>
        </w:rPr>
        <w:t>for</w:t>
      </w:r>
      <w:r w:rsidR="00EE0E7E" w:rsidRPr="001611DC">
        <w:t xml:space="preserve"> RT</w:t>
      </w:r>
      <w:r w:rsidR="009A1B57" w:rsidRPr="001611DC">
        <w:noBreakHyphen/>
      </w:r>
      <w:r w:rsidR="00EE0E7E" w:rsidRPr="001611DC">
        <w:t>PCR confirmed RSV-LRTD in VE analysis 4</w:t>
      </w:r>
      <w:r w:rsidR="009A1B57" w:rsidRPr="001611DC">
        <w:t xml:space="preserve"> (23.3 months)</w:t>
      </w:r>
      <w:r w:rsidR="00EE0E7E" w:rsidRPr="001611DC">
        <w:t>, which was improved in comparison with VE analysis 3 result but could not be verified as the PSCR did not provide source data for VE analysis 4.</w:t>
      </w:r>
    </w:p>
    <w:p w14:paraId="3C3C1962" w14:textId="040F03A4" w:rsidR="00EB6DE2" w:rsidRPr="001611DC" w:rsidRDefault="00CB71D4">
      <w:pPr>
        <w:numPr>
          <w:ilvl w:val="1"/>
          <w:numId w:val="1"/>
        </w:numPr>
        <w:spacing w:after="120"/>
        <w:rPr>
          <w:rFonts w:asciiTheme="minorHAnsi" w:hAnsiTheme="minorHAnsi"/>
          <w:snapToGrid w:val="0"/>
        </w:rPr>
      </w:pPr>
      <w:r w:rsidRPr="001611DC">
        <w:rPr>
          <w:rFonts w:asciiTheme="minorHAnsi" w:hAnsiTheme="minorHAnsi"/>
          <w:snapToGrid w:val="0"/>
        </w:rPr>
        <w:t xml:space="preserve">For the subgroup aged </w:t>
      </w:r>
      <w:r w:rsidRPr="001611DC">
        <w:rPr>
          <w:szCs w:val="20"/>
        </w:rPr>
        <w:t xml:space="preserve">≥75 YOA, the </w:t>
      </w:r>
      <w:r w:rsidRPr="001611DC">
        <w:t xml:space="preserve">estimates of VE associated with a single dose of </w:t>
      </w:r>
      <w:r w:rsidRPr="001611DC">
        <w:rPr>
          <w:rFonts w:asciiTheme="minorHAnsi" w:hAnsiTheme="minorHAnsi"/>
          <w:snapToGrid w:val="0"/>
          <w:szCs w:val="20"/>
        </w:rPr>
        <w:t>RSVPreF3 were considerably lower than the overall population.</w:t>
      </w:r>
      <w:r w:rsidR="001F4410">
        <w:rPr>
          <w:rFonts w:asciiTheme="minorHAnsi" w:hAnsiTheme="minorHAnsi"/>
          <w:snapToGrid w:val="0"/>
          <w:szCs w:val="20"/>
        </w:rPr>
        <w:t xml:space="preserve"> </w:t>
      </w:r>
      <w:r w:rsidRPr="001611DC">
        <w:rPr>
          <w:rFonts w:asciiTheme="minorHAnsi" w:hAnsiTheme="minorHAnsi"/>
          <w:snapToGrid w:val="0"/>
          <w:szCs w:val="20"/>
        </w:rPr>
        <w:t xml:space="preserve">The subgroup results </w:t>
      </w:r>
      <w:r w:rsidR="009A1B57" w:rsidRPr="001611DC">
        <w:rPr>
          <w:rFonts w:asciiTheme="minorHAnsi" w:hAnsiTheme="minorHAnsi"/>
          <w:snapToGrid w:val="0"/>
          <w:szCs w:val="20"/>
        </w:rPr>
        <w:t>indicated</w:t>
      </w:r>
      <w:r w:rsidRPr="001611DC">
        <w:rPr>
          <w:rFonts w:asciiTheme="minorHAnsi" w:hAnsiTheme="minorHAnsi"/>
          <w:snapToGrid w:val="0"/>
          <w:szCs w:val="20"/>
        </w:rPr>
        <w:t xml:space="preserve"> VE of 52</w:t>
      </w:r>
      <w:r w:rsidRPr="001611DC">
        <w:t>.5% in VE analysis 1 (6.7 months), and 49.3% in VE analysis 3 at 17.8</w:t>
      </w:r>
      <w:r w:rsidR="009A1B57" w:rsidRPr="001611DC">
        <w:t> </w:t>
      </w:r>
      <w:r w:rsidRPr="001611DC">
        <w:t>months</w:t>
      </w:r>
      <w:r w:rsidR="009A1B57" w:rsidRPr="001611DC">
        <w:t xml:space="preserve"> in RT-PCR confirmed RSV-LRTD (</w:t>
      </w:r>
      <w:r w:rsidR="009A1B57" w:rsidRPr="001611DC">
        <w:fldChar w:fldCharType="begin" w:fldLock="1"/>
      </w:r>
      <w:r w:rsidR="009A1B57" w:rsidRPr="001611DC">
        <w:instrText xml:space="preserve"> REF _Ref165828332 \h </w:instrText>
      </w:r>
      <w:r w:rsidR="009A1B57" w:rsidRPr="001611DC">
        <w:fldChar w:fldCharType="separate"/>
      </w:r>
      <w:r w:rsidR="00927933" w:rsidRPr="001611DC">
        <w:t>Table 13</w:t>
      </w:r>
      <w:r w:rsidR="009A1B57" w:rsidRPr="001611DC">
        <w:fldChar w:fldCharType="end"/>
      </w:r>
      <w:r w:rsidR="009A1B57" w:rsidRPr="001611DC">
        <w:t>).</w:t>
      </w:r>
      <w:r w:rsidR="001F4410">
        <w:t xml:space="preserve"> </w:t>
      </w:r>
      <w:r w:rsidR="009A1B57" w:rsidRPr="001611DC">
        <w:t>The</w:t>
      </w:r>
      <w:r w:rsidR="00417EEC" w:rsidRPr="001611DC">
        <w:rPr>
          <w:szCs w:val="20"/>
        </w:rPr>
        <w:t xml:space="preserve"> PBAC noted the small numbers of participants and infection cases observed, </w:t>
      </w:r>
      <w:r w:rsidR="009A1B57" w:rsidRPr="001611DC">
        <w:rPr>
          <w:szCs w:val="20"/>
        </w:rPr>
        <w:t xml:space="preserve">and </w:t>
      </w:r>
      <w:r w:rsidR="00417EEC" w:rsidRPr="001611DC">
        <w:rPr>
          <w:szCs w:val="20"/>
        </w:rPr>
        <w:t xml:space="preserve">considered it was reasonable to make assumptions of similar VE in the ≥60 and ≥75 age strata, in line with the ATAGI advice. </w:t>
      </w:r>
      <w:r w:rsidR="00E118CC" w:rsidRPr="001611DC">
        <w:rPr>
          <w:szCs w:val="20"/>
        </w:rPr>
        <w:t>However,</w:t>
      </w:r>
      <w:r w:rsidR="00FB362C" w:rsidRPr="001611DC">
        <w:rPr>
          <w:szCs w:val="20"/>
        </w:rPr>
        <w:t xml:space="preserve"> it noted uncertainty </w:t>
      </w:r>
      <w:proofErr w:type="gramStart"/>
      <w:r w:rsidR="005A7BA9" w:rsidRPr="001611DC">
        <w:rPr>
          <w:szCs w:val="20"/>
        </w:rPr>
        <w:t>in regard to</w:t>
      </w:r>
      <w:proofErr w:type="gramEnd"/>
      <w:r w:rsidR="005A7BA9" w:rsidRPr="001611DC">
        <w:rPr>
          <w:szCs w:val="20"/>
        </w:rPr>
        <w:t xml:space="preserve"> the </w:t>
      </w:r>
      <w:r w:rsidR="00FB362C" w:rsidRPr="001611DC">
        <w:rPr>
          <w:szCs w:val="20"/>
        </w:rPr>
        <w:t>duration of benefit</w:t>
      </w:r>
      <w:r w:rsidR="00E118CC" w:rsidRPr="001611DC">
        <w:rPr>
          <w:szCs w:val="20"/>
        </w:rPr>
        <w:t>,</w:t>
      </w:r>
      <w:r w:rsidR="00FB362C" w:rsidRPr="001611DC">
        <w:rPr>
          <w:szCs w:val="20"/>
        </w:rPr>
        <w:t xml:space="preserve"> given that VE waned</w:t>
      </w:r>
      <w:r w:rsidR="00097DEC" w:rsidRPr="001611DC">
        <w:rPr>
          <w:szCs w:val="20"/>
        </w:rPr>
        <w:t xml:space="preserve"> over time</w:t>
      </w:r>
      <w:r w:rsidR="00FB362C" w:rsidRPr="001611DC">
        <w:rPr>
          <w:szCs w:val="20"/>
        </w:rPr>
        <w:t>.</w:t>
      </w:r>
      <w:r w:rsidR="001F4410">
        <w:rPr>
          <w:szCs w:val="20"/>
        </w:rPr>
        <w:t xml:space="preserve"> </w:t>
      </w:r>
      <w:r w:rsidR="00FB18F9" w:rsidRPr="001611DC">
        <w:rPr>
          <w:rFonts w:eastAsia="Calibri"/>
          <w:iCs/>
        </w:rPr>
        <w:t xml:space="preserve">The PBAC considered that the claim that RSVPreF3 OA vaccine had an acceptable safety profile was reasonable, noting there were higher rates of AEs </w:t>
      </w:r>
      <w:r w:rsidR="00EB6DE2" w:rsidRPr="001611DC">
        <w:rPr>
          <w:rFonts w:eastAsia="Calibri"/>
          <w:iCs/>
        </w:rPr>
        <w:t>compared with placebo</w:t>
      </w:r>
      <w:r w:rsidR="00FB18F9" w:rsidRPr="001611DC">
        <w:rPr>
          <w:rFonts w:eastAsia="Calibri"/>
          <w:iCs/>
        </w:rPr>
        <w:t>, but overall the safety was comparable to other adjuvanted vaccines.</w:t>
      </w:r>
    </w:p>
    <w:p w14:paraId="58D70C9D" w14:textId="7C23FF6A" w:rsidR="00940458" w:rsidRPr="001611DC" w:rsidRDefault="00417EEC">
      <w:pPr>
        <w:pStyle w:val="3-BodyText"/>
        <w:widowControl w:val="0"/>
        <w:rPr>
          <w:bCs/>
        </w:rPr>
      </w:pPr>
      <w:r w:rsidRPr="001611DC">
        <w:t>The submission presented a cost-utility analysis based on the AReSVi-006 clinical trial.</w:t>
      </w:r>
      <w:r w:rsidR="001F4410">
        <w:t xml:space="preserve"> </w:t>
      </w:r>
      <w:r w:rsidRPr="001611DC">
        <w:t>The PBAC noted that the base case ICER in the submission was $</w:t>
      </w:r>
      <w:r w:rsidR="00627532" w:rsidRPr="00627532">
        <w:t>25,000</w:t>
      </w:r>
      <w:r w:rsidR="00E3503D">
        <w:t> </w:t>
      </w:r>
      <w:r w:rsidR="00627532" w:rsidRPr="00627532">
        <w:t>to</w:t>
      </w:r>
      <w:r w:rsidR="00E3503D">
        <w:t> </w:t>
      </w:r>
      <w:r w:rsidR="00627532" w:rsidRPr="00627532">
        <w:t>&lt;</w:t>
      </w:r>
      <w:r w:rsidR="00E3503D">
        <w:t> </w:t>
      </w:r>
      <w:r w:rsidR="00627532" w:rsidRPr="00627532">
        <w:t>$35,000</w:t>
      </w:r>
      <w:r w:rsidRPr="001611DC">
        <w:t>/QALY and $</w:t>
      </w:r>
      <w:r w:rsidR="008B2369" w:rsidRPr="008B2369">
        <w:t xml:space="preserve">5,000 to &lt; $15,000 </w:t>
      </w:r>
      <w:r w:rsidRPr="001611DC">
        <w:t xml:space="preserve">/QALY for the populations aged </w:t>
      </w:r>
      <w:r w:rsidRPr="001611DC">
        <w:lastRenderedPageBreak/>
        <w:t>≥60 YOA and ≥75 YOA, respectively.</w:t>
      </w:r>
      <w:r w:rsidR="001F4410">
        <w:t xml:space="preserve"> </w:t>
      </w:r>
      <w:r w:rsidR="00D10AF0" w:rsidRPr="001611DC">
        <w:t xml:space="preserve">The PBAC considered the results of the economic evaluation uncertain due to the concerns described by the ESC (see paragraph </w:t>
      </w:r>
      <w:r w:rsidR="00D10AF0" w:rsidRPr="001611DC">
        <w:fldChar w:fldCharType="begin" w:fldLock="1"/>
      </w:r>
      <w:r w:rsidR="00D10AF0" w:rsidRPr="001611DC">
        <w:instrText xml:space="preserve"> REF _Ref170083385 \r \h  \* MERGEFORMAT </w:instrText>
      </w:r>
      <w:r w:rsidR="00D10AF0" w:rsidRPr="001611DC">
        <w:fldChar w:fldCharType="separate"/>
      </w:r>
      <w:r w:rsidR="00927933" w:rsidRPr="001611DC">
        <w:t>6.89</w:t>
      </w:r>
      <w:r w:rsidR="00D10AF0" w:rsidRPr="001611DC">
        <w:fldChar w:fldCharType="end"/>
      </w:r>
      <w:r w:rsidR="00D10AF0" w:rsidRPr="001611DC">
        <w:t>).</w:t>
      </w:r>
      <w:bookmarkStart w:id="209" w:name="_Ref174394247"/>
      <w:r w:rsidR="001F4410">
        <w:t xml:space="preserve"> </w:t>
      </w:r>
    </w:p>
    <w:p w14:paraId="572AAE68" w14:textId="19C5518D" w:rsidR="00940458" w:rsidRPr="001611DC" w:rsidRDefault="00FF4EA9">
      <w:pPr>
        <w:pStyle w:val="3-BodyText"/>
        <w:widowControl w:val="0"/>
        <w:rPr>
          <w:bCs/>
        </w:rPr>
      </w:pPr>
      <w:r w:rsidRPr="001611DC">
        <w:rPr>
          <w:szCs w:val="20"/>
        </w:rPr>
        <w:t xml:space="preserve">The PBAC noted that the cost-effectiveness of RSVPreF3 OA had a strong age gradient, and this became very clear when the results were presented in age bands (e.g. 60-64 YOA, 65-69 YOA, etc) rather than by age thresholds (60+, 65+ etc) as shown in </w:t>
      </w:r>
      <w:r w:rsidRPr="001611DC">
        <w:rPr>
          <w:szCs w:val="20"/>
        </w:rPr>
        <w:fldChar w:fldCharType="begin" w:fldLock="1"/>
      </w:r>
      <w:r w:rsidRPr="001611DC">
        <w:rPr>
          <w:szCs w:val="20"/>
        </w:rPr>
        <w:instrText xml:space="preserve"> REF _Ref169885114 \h </w:instrText>
      </w:r>
      <w:r w:rsidR="004802E9" w:rsidRPr="001611DC">
        <w:rPr>
          <w:szCs w:val="20"/>
        </w:rPr>
        <w:instrText xml:space="preserve"> \* MERGEFORMAT </w:instrText>
      </w:r>
      <w:r w:rsidRPr="001611DC">
        <w:rPr>
          <w:szCs w:val="20"/>
        </w:rPr>
      </w:r>
      <w:r w:rsidRPr="001611DC">
        <w:rPr>
          <w:szCs w:val="20"/>
        </w:rPr>
        <w:fldChar w:fldCharType="separate"/>
      </w:r>
      <w:r w:rsidR="00927933" w:rsidRPr="001611DC">
        <w:t>Table 27</w:t>
      </w:r>
      <w:r w:rsidRPr="001611DC">
        <w:rPr>
          <w:szCs w:val="20"/>
        </w:rPr>
        <w:fldChar w:fldCharType="end"/>
      </w:r>
      <w:r w:rsidRPr="001611DC">
        <w:rPr>
          <w:szCs w:val="20"/>
        </w:rPr>
        <w:t>.</w:t>
      </w:r>
      <w:r w:rsidR="001F4410">
        <w:rPr>
          <w:szCs w:val="20"/>
        </w:rPr>
        <w:t xml:space="preserve"> </w:t>
      </w:r>
      <w:r w:rsidR="004802E9" w:rsidRPr="001611DC">
        <w:t xml:space="preserve">The PBAC noted the results showed significantly higher ICERs for patients aged less than 75 years, compared with those aged 75 years or above. </w:t>
      </w:r>
      <w:r w:rsidR="00417EEC" w:rsidRPr="001611DC">
        <w:t xml:space="preserve">Revised analyses were proposed in the pre-PBAC response </w:t>
      </w:r>
      <w:r w:rsidR="00E03C05" w:rsidRPr="001611DC">
        <w:t>which resulted in an ICER of $</w:t>
      </w:r>
      <w:r w:rsidR="00D7058A" w:rsidRPr="00D7058A">
        <w:t>35,000</w:t>
      </w:r>
      <w:r w:rsidR="00E3503D">
        <w:t> </w:t>
      </w:r>
      <w:r w:rsidR="00D7058A" w:rsidRPr="00D7058A">
        <w:t>to</w:t>
      </w:r>
      <w:r w:rsidR="00E3503D">
        <w:t> </w:t>
      </w:r>
      <w:r w:rsidR="00D7058A" w:rsidRPr="00D7058A">
        <w:t>&lt;</w:t>
      </w:r>
      <w:r w:rsidR="00E3503D">
        <w:t> </w:t>
      </w:r>
      <w:r w:rsidR="00D7058A" w:rsidRPr="00D7058A">
        <w:t>$45,000</w:t>
      </w:r>
      <w:r w:rsidR="00E3503D">
        <w:t xml:space="preserve"> </w:t>
      </w:r>
      <w:r w:rsidR="00E03C05" w:rsidRPr="001611DC">
        <w:t xml:space="preserve">/QALY for adults </w:t>
      </w:r>
      <w:r w:rsidR="00E03C05" w:rsidRPr="001611DC">
        <w:rPr>
          <w:rFonts w:cstheme="minorHAnsi"/>
        </w:rPr>
        <w:t>≥</w:t>
      </w:r>
      <w:r w:rsidR="00E03C05" w:rsidRPr="001611DC">
        <w:t>60 YOA and $</w:t>
      </w:r>
      <w:r w:rsidR="008B2369" w:rsidRPr="008B2369">
        <w:t xml:space="preserve">5,000 to &lt; $15,000 </w:t>
      </w:r>
      <w:r w:rsidR="00E03C05" w:rsidRPr="001611DC">
        <w:t xml:space="preserve">/QALY for adults </w:t>
      </w:r>
      <w:r w:rsidR="00E03C05" w:rsidRPr="001611DC">
        <w:rPr>
          <w:rFonts w:cstheme="minorHAnsi"/>
        </w:rPr>
        <w:t>≥</w:t>
      </w:r>
      <w:r w:rsidR="00E03C05" w:rsidRPr="001611DC">
        <w:t>75 YOA</w:t>
      </w:r>
      <w:r w:rsidR="00A222F6" w:rsidRPr="001611DC">
        <w:t xml:space="preserve"> (</w:t>
      </w:r>
      <w:r w:rsidR="00417EEC" w:rsidRPr="001611DC">
        <w:fldChar w:fldCharType="begin" w:fldLock="1"/>
      </w:r>
      <w:r w:rsidR="00417EEC" w:rsidRPr="001611DC">
        <w:instrText xml:space="preserve"> REF _Ref104804865 \h </w:instrText>
      </w:r>
      <w:r w:rsidR="00D10AF0" w:rsidRPr="001611DC">
        <w:instrText xml:space="preserve"> \* MERGEFORMAT </w:instrText>
      </w:r>
      <w:r w:rsidR="00417EEC" w:rsidRPr="001611DC">
        <w:fldChar w:fldCharType="separate"/>
      </w:r>
      <w:r w:rsidR="00927933" w:rsidRPr="001611DC">
        <w:t>Table 24</w:t>
      </w:r>
      <w:r w:rsidR="00417EEC" w:rsidRPr="001611DC">
        <w:fldChar w:fldCharType="end"/>
      </w:r>
      <w:r w:rsidR="00A222F6" w:rsidRPr="001611DC">
        <w:t>)</w:t>
      </w:r>
      <w:r w:rsidR="00417EEC" w:rsidRPr="001611DC">
        <w:t>.</w:t>
      </w:r>
      <w:r w:rsidR="001F4410">
        <w:t xml:space="preserve"> </w:t>
      </w:r>
      <w:r w:rsidR="00A222F6" w:rsidRPr="001611DC">
        <w:t>T</w:t>
      </w:r>
      <w:r w:rsidR="00417EEC" w:rsidRPr="001611DC">
        <w:t xml:space="preserve">he PBAC </w:t>
      </w:r>
      <w:r w:rsidR="001A6FFA" w:rsidRPr="001611DC">
        <w:t>noted</w:t>
      </w:r>
      <w:r w:rsidR="00A222F6" w:rsidRPr="001611DC">
        <w:t xml:space="preserve"> that </w:t>
      </w:r>
      <w:r w:rsidR="00417EEC" w:rsidRPr="001611DC">
        <w:t xml:space="preserve">the pre-PBAC response did not address </w:t>
      </w:r>
      <w:proofErr w:type="gramStart"/>
      <w:r w:rsidR="00417EEC" w:rsidRPr="001611DC">
        <w:t>all of</w:t>
      </w:r>
      <w:proofErr w:type="gramEnd"/>
      <w:r w:rsidR="00417EEC" w:rsidRPr="001611DC">
        <w:t xml:space="preserve"> the issues described by the ESC in paragraph </w:t>
      </w:r>
      <w:r w:rsidR="00417EEC" w:rsidRPr="001611DC">
        <w:fldChar w:fldCharType="begin" w:fldLock="1"/>
      </w:r>
      <w:r w:rsidR="00417EEC" w:rsidRPr="001611DC">
        <w:instrText xml:space="preserve"> REF _Ref170083385 \r \h </w:instrText>
      </w:r>
      <w:r w:rsidR="00D10AF0" w:rsidRPr="001611DC">
        <w:instrText xml:space="preserve"> \* MERGEFORMAT </w:instrText>
      </w:r>
      <w:r w:rsidR="00417EEC" w:rsidRPr="001611DC">
        <w:fldChar w:fldCharType="separate"/>
      </w:r>
      <w:r w:rsidR="00927933" w:rsidRPr="001611DC">
        <w:t>6.89</w:t>
      </w:r>
      <w:r w:rsidR="00417EEC" w:rsidRPr="001611DC">
        <w:fldChar w:fldCharType="end"/>
      </w:r>
      <w:r w:rsidR="00417EEC" w:rsidRPr="001611DC">
        <w:t>.</w:t>
      </w:r>
      <w:r w:rsidR="001F4410">
        <w:t xml:space="preserve"> </w:t>
      </w:r>
    </w:p>
    <w:p w14:paraId="3A2766E7" w14:textId="12DECD78" w:rsidR="00940458" w:rsidRPr="001611DC" w:rsidRDefault="00417EEC">
      <w:pPr>
        <w:pStyle w:val="3-BodyText"/>
        <w:widowControl w:val="0"/>
        <w:rPr>
          <w:bCs/>
        </w:rPr>
      </w:pPr>
      <w:r w:rsidRPr="001611DC">
        <w:t xml:space="preserve">The PBAC noted that an exploratory MSA </w:t>
      </w:r>
      <w:r w:rsidR="00125342" w:rsidRPr="001611DC">
        <w:t xml:space="preserve">based on the model provided with the pre-PBAC response </w:t>
      </w:r>
      <w:r w:rsidRPr="001611DC">
        <w:t xml:space="preserve">which </w:t>
      </w:r>
      <w:r w:rsidR="00125342" w:rsidRPr="001611DC">
        <w:t xml:space="preserve">also </w:t>
      </w:r>
      <w:r w:rsidRPr="001611DC">
        <w:t>assumed VE over 2 years using VE analysis 4</w:t>
      </w:r>
      <w:r w:rsidR="00A222F6" w:rsidRPr="001611DC">
        <w:t xml:space="preserve"> (corresponding to median follow-up of 23.3 months)</w:t>
      </w:r>
      <w:r w:rsidRPr="001611DC">
        <w:t>, and applied a reduced hospitalisation cost</w:t>
      </w:r>
      <w:r w:rsidR="00A222F6" w:rsidRPr="001611DC">
        <w:t xml:space="preserve"> (using unadjusted NHCDC cost weights hospitalisation costs)</w:t>
      </w:r>
      <w:r w:rsidRPr="001611DC">
        <w:t xml:space="preserve">, resulted in an ICER over </w:t>
      </w:r>
      <w:r w:rsidR="00125342" w:rsidRPr="001611DC">
        <w:t>$</w:t>
      </w:r>
      <w:r w:rsidR="009F5AF9" w:rsidRPr="009F5AF9">
        <w:t>55,000</w:t>
      </w:r>
      <w:r w:rsidR="00E3503D">
        <w:t> </w:t>
      </w:r>
      <w:r w:rsidR="009F5AF9" w:rsidRPr="009F5AF9">
        <w:t>to</w:t>
      </w:r>
      <w:r w:rsidR="00E3503D">
        <w:t> </w:t>
      </w:r>
      <w:r w:rsidR="009F5AF9" w:rsidRPr="009F5AF9">
        <w:t>&lt;</w:t>
      </w:r>
      <w:r w:rsidR="00E3503D">
        <w:t> </w:t>
      </w:r>
      <w:r w:rsidR="009F5AF9" w:rsidRPr="009F5AF9">
        <w:t xml:space="preserve">$75,000 </w:t>
      </w:r>
      <w:r w:rsidRPr="001611DC">
        <w:t xml:space="preserve">/QALY for </w:t>
      </w:r>
      <w:r w:rsidRPr="001611DC">
        <w:rPr>
          <w:rFonts w:cstheme="minorHAnsi"/>
        </w:rPr>
        <w:t>≥</w:t>
      </w:r>
      <w:r w:rsidRPr="001611DC">
        <w:t>60 YOA and over $</w:t>
      </w:r>
      <w:r w:rsidR="00E050F5" w:rsidRPr="00E050F5">
        <w:t>25,000 to &lt; $35,000</w:t>
      </w:r>
      <w:r w:rsidRPr="001611DC">
        <w:t xml:space="preserve">/QALY for </w:t>
      </w:r>
      <w:r w:rsidRPr="001611DC">
        <w:rPr>
          <w:rFonts w:cstheme="minorHAnsi"/>
        </w:rPr>
        <w:t>≥</w:t>
      </w:r>
      <w:r w:rsidRPr="001611DC">
        <w:t>75 YOA (</w:t>
      </w:r>
      <w:r w:rsidRPr="001611DC">
        <w:fldChar w:fldCharType="begin" w:fldLock="1"/>
      </w:r>
      <w:r w:rsidRPr="001611DC">
        <w:instrText xml:space="preserve"> REF _Ref104804865 \h </w:instrText>
      </w:r>
      <w:r w:rsidR="00D10AF0" w:rsidRPr="001611DC">
        <w:instrText xml:space="preserve"> \* MERGEFORMAT </w:instrText>
      </w:r>
      <w:r w:rsidRPr="001611DC">
        <w:fldChar w:fldCharType="separate"/>
      </w:r>
      <w:r w:rsidR="00927933" w:rsidRPr="001611DC">
        <w:t>Table 24</w:t>
      </w:r>
      <w:r w:rsidRPr="001611DC">
        <w:fldChar w:fldCharType="end"/>
      </w:r>
      <w:r w:rsidRPr="001611DC">
        <w:t>).</w:t>
      </w:r>
      <w:r w:rsidR="001F4410">
        <w:t xml:space="preserve"> </w:t>
      </w:r>
      <w:bookmarkEnd w:id="209"/>
      <w:r w:rsidRPr="001611DC">
        <w:t>The PBAC considered that the ICER was unacceptably high and uncertain for both populations proposed by the submission</w:t>
      </w:r>
      <w:r w:rsidR="00B52BB9" w:rsidRPr="001611DC">
        <w:t xml:space="preserve"> at the proposed price</w:t>
      </w:r>
      <w:r w:rsidRPr="001611DC">
        <w:t>.</w:t>
      </w:r>
      <w:r w:rsidR="001F4410">
        <w:t xml:space="preserve"> </w:t>
      </w:r>
      <w:r w:rsidR="00B52BB9" w:rsidRPr="001611DC">
        <w:t xml:space="preserve">The PBAC considered that a significant price reduction would be required to achieve a satisfactory ICER in a resubmission, noting that specific </w:t>
      </w:r>
      <w:r w:rsidR="00090DB1" w:rsidRPr="001611DC">
        <w:t>consideration</w:t>
      </w:r>
      <w:r w:rsidR="00B52BB9" w:rsidRPr="001611DC">
        <w:t xml:space="preserve"> on this matter would be </w:t>
      </w:r>
      <w:r w:rsidR="00090DB1" w:rsidRPr="001611DC">
        <w:t>advised</w:t>
      </w:r>
      <w:r w:rsidR="00B52BB9" w:rsidRPr="001611DC">
        <w:t xml:space="preserve"> after </w:t>
      </w:r>
      <w:r w:rsidR="00090DB1" w:rsidRPr="001611DC">
        <w:t>the concerns</w:t>
      </w:r>
      <w:r w:rsidR="00B52BB9" w:rsidRPr="001611DC">
        <w:t xml:space="preserve"> </w:t>
      </w:r>
      <w:r w:rsidR="00090DB1" w:rsidRPr="001611DC">
        <w:t xml:space="preserve">with the requested population and economic modelling </w:t>
      </w:r>
      <w:r w:rsidR="00B52BB9" w:rsidRPr="001611DC">
        <w:t>were addressed.</w:t>
      </w:r>
    </w:p>
    <w:p w14:paraId="0B46B600" w14:textId="087D35EF" w:rsidR="00940458" w:rsidRPr="001611DC" w:rsidRDefault="00940458">
      <w:pPr>
        <w:widowControl w:val="0"/>
        <w:numPr>
          <w:ilvl w:val="1"/>
          <w:numId w:val="1"/>
        </w:numPr>
        <w:spacing w:after="120"/>
        <w:rPr>
          <w:iCs/>
        </w:rPr>
      </w:pPr>
      <w:r w:rsidRPr="001611DC">
        <w:rPr>
          <w:iCs/>
        </w:rPr>
        <w:t>The PBAC noted that lowering the age threshold increase</w:t>
      </w:r>
      <w:r w:rsidR="004E11AB" w:rsidRPr="001611DC">
        <w:rPr>
          <w:iCs/>
        </w:rPr>
        <w:t>d the ICER substantially</w:t>
      </w:r>
      <w:r w:rsidRPr="001611DC">
        <w:rPr>
          <w:iCs/>
        </w:rPr>
        <w:t>.</w:t>
      </w:r>
      <w:r w:rsidR="001F4410">
        <w:rPr>
          <w:iCs/>
        </w:rPr>
        <w:t xml:space="preserve"> </w:t>
      </w:r>
      <w:r w:rsidRPr="001611DC">
        <w:rPr>
          <w:rFonts w:eastAsia="Calibri"/>
          <w:iCs/>
          <w:color w:val="000000" w:themeColor="text1"/>
        </w:rPr>
        <w:t xml:space="preserve">The PBAC did not agree with the submission’s claim that the cost-effectiveness for RSVPreF3 OA demonstrated in adults aged ≥75 years would be applicable to high risk 60-74 year old patients (see paragraph </w:t>
      </w:r>
      <w:r w:rsidRPr="001611DC">
        <w:rPr>
          <w:rFonts w:eastAsia="Calibri"/>
          <w:iCs/>
          <w:color w:val="000000" w:themeColor="text1"/>
        </w:rPr>
        <w:fldChar w:fldCharType="begin" w:fldLock="1"/>
      </w:r>
      <w:r w:rsidRPr="001611DC">
        <w:rPr>
          <w:rFonts w:eastAsia="Calibri"/>
          <w:iCs/>
          <w:color w:val="000000" w:themeColor="text1"/>
        </w:rPr>
        <w:instrText xml:space="preserve"> REF _Ref174392932 \r \h </w:instrText>
      </w:r>
      <w:r w:rsidRPr="001611DC">
        <w:rPr>
          <w:rFonts w:eastAsia="Calibri"/>
          <w:iCs/>
          <w:color w:val="000000" w:themeColor="text1"/>
        </w:rPr>
      </w:r>
      <w:r w:rsidRPr="001611DC">
        <w:rPr>
          <w:rFonts w:eastAsia="Calibri"/>
          <w:iCs/>
          <w:color w:val="000000" w:themeColor="text1"/>
        </w:rPr>
        <w:fldChar w:fldCharType="separate"/>
      </w:r>
      <w:r w:rsidR="00927933" w:rsidRPr="001611DC">
        <w:rPr>
          <w:rFonts w:eastAsia="Calibri"/>
          <w:iCs/>
          <w:color w:val="000000" w:themeColor="text1"/>
        </w:rPr>
        <w:t>6.46</w:t>
      </w:r>
      <w:r w:rsidRPr="001611DC">
        <w:rPr>
          <w:rFonts w:eastAsia="Calibri"/>
          <w:iCs/>
          <w:color w:val="000000" w:themeColor="text1"/>
        </w:rPr>
        <w:fldChar w:fldCharType="end"/>
      </w:r>
      <w:r w:rsidRPr="001611DC">
        <w:rPr>
          <w:rFonts w:eastAsia="Calibri"/>
          <w:iCs/>
          <w:color w:val="000000" w:themeColor="text1"/>
        </w:rPr>
        <w:t>), and advised that a resubmission would need to assess the cost-effectiveness for each of the proposed populations.</w:t>
      </w:r>
      <w:r w:rsidR="001F4410">
        <w:rPr>
          <w:rFonts w:eastAsia="Calibri"/>
          <w:iCs/>
          <w:color w:val="000000" w:themeColor="text1"/>
        </w:rPr>
        <w:t xml:space="preserve"> </w:t>
      </w:r>
    </w:p>
    <w:p w14:paraId="25F320E5" w14:textId="2117EED6" w:rsidR="00940458" w:rsidRPr="001611DC" w:rsidRDefault="00940458">
      <w:pPr>
        <w:widowControl w:val="0"/>
        <w:numPr>
          <w:ilvl w:val="1"/>
          <w:numId w:val="1"/>
        </w:numPr>
        <w:spacing w:after="120"/>
        <w:rPr>
          <w:iCs/>
        </w:rPr>
      </w:pPr>
      <w:r w:rsidRPr="001611DC">
        <w:t xml:space="preserve">The PBAC considered there was a high clinical need in high risk patients aged 60-74 as identified by the ATAGI, however the </w:t>
      </w:r>
      <w:r w:rsidR="00BC448F" w:rsidRPr="001611DC">
        <w:rPr>
          <w:iCs/>
        </w:rPr>
        <w:t xml:space="preserve">PBAC was unable to assess if </w:t>
      </w:r>
      <w:r w:rsidR="00BC448F" w:rsidRPr="001611DC">
        <w:t xml:space="preserve">RSVPreF3 OA was </w:t>
      </w:r>
      <w:r w:rsidR="00BC448F" w:rsidRPr="001611DC">
        <w:rPr>
          <w:iCs/>
        </w:rPr>
        <w:t>cost-effective based on the information presented in the submission</w:t>
      </w:r>
      <w:r w:rsidRPr="001611DC">
        <w:t xml:space="preserve"> for First Nations persons aged 60-74 YOA </w:t>
      </w:r>
      <w:r w:rsidR="00BC448F" w:rsidRPr="001611DC">
        <w:t>and</w:t>
      </w:r>
      <w:r w:rsidRPr="001611DC">
        <w:t xml:space="preserve"> high risk patients aged 60-74 YOA.</w:t>
      </w:r>
      <w:r w:rsidRPr="001611DC">
        <w:rPr>
          <w:iCs/>
        </w:rPr>
        <w:t xml:space="preserve"> </w:t>
      </w:r>
    </w:p>
    <w:p w14:paraId="2B507A10" w14:textId="7EAECCD5" w:rsidR="00940458" w:rsidRPr="001611DC" w:rsidRDefault="00940458" w:rsidP="00940458">
      <w:pPr>
        <w:pStyle w:val="3-BodyText"/>
        <w:widowControl w:val="0"/>
        <w:rPr>
          <w:bCs/>
        </w:rPr>
      </w:pPr>
      <w:r w:rsidRPr="001611DC">
        <w:t xml:space="preserve">The PBAC noted the high financial cost of listing RSVPreF3 OA on the NIP. </w:t>
      </w:r>
      <w:bookmarkStart w:id="210" w:name="_Ref173773252"/>
      <w:r w:rsidRPr="001611DC">
        <w:t xml:space="preserve">The PBAC considered that a number of updates should be considered in a resubmission in relation to the financial estimates, including updates to the proposed eligible population (paragraphs </w:t>
      </w:r>
      <w:r w:rsidRPr="001611DC">
        <w:fldChar w:fldCharType="begin" w:fldLock="1"/>
      </w:r>
      <w:r w:rsidRPr="001611DC">
        <w:instrText xml:space="preserve"> REF _Ref174399247 \r \h  \* MERGEFORMAT </w:instrText>
      </w:r>
      <w:r w:rsidRPr="001611DC">
        <w:fldChar w:fldCharType="separate"/>
      </w:r>
      <w:r w:rsidR="00927933" w:rsidRPr="001611DC">
        <w:t>7.8</w:t>
      </w:r>
      <w:r w:rsidRPr="001611DC">
        <w:fldChar w:fldCharType="end"/>
      </w:r>
      <w:r w:rsidRPr="001611DC">
        <w:t xml:space="preserve"> and </w:t>
      </w:r>
      <w:r w:rsidRPr="001611DC">
        <w:fldChar w:fldCharType="begin" w:fldLock="1"/>
      </w:r>
      <w:r w:rsidRPr="001611DC">
        <w:instrText xml:space="preserve"> REF _Ref173761287 \r \h  \* MERGEFORMAT </w:instrText>
      </w:r>
      <w:r w:rsidRPr="001611DC">
        <w:fldChar w:fldCharType="separate"/>
      </w:r>
      <w:r w:rsidR="00927933" w:rsidRPr="001611DC">
        <w:t>7.8</w:t>
      </w:r>
      <w:r w:rsidRPr="001611DC">
        <w:fldChar w:fldCharType="end"/>
      </w:r>
      <w:r w:rsidRPr="001611DC">
        <w:t>).</w:t>
      </w:r>
      <w:r w:rsidR="001F4410">
        <w:t xml:space="preserve"> </w:t>
      </w:r>
      <w:r w:rsidRPr="001611DC">
        <w:t xml:space="preserve">Additionally, the resubmission should </w:t>
      </w:r>
      <w:proofErr w:type="gramStart"/>
      <w:r w:rsidRPr="001611DC">
        <w:t>take into account</w:t>
      </w:r>
      <w:proofErr w:type="gramEnd"/>
      <w:r w:rsidRPr="001611DC">
        <w:t xml:space="preserve"> the corrections made during the evaluation, and the advice from the DUSC.</w:t>
      </w:r>
      <w:bookmarkEnd w:id="210"/>
      <w:r w:rsidR="001F4410">
        <w:t xml:space="preserve"> </w:t>
      </w:r>
    </w:p>
    <w:p w14:paraId="5A616EFC" w14:textId="3F2AE22E" w:rsidR="00E110FC" w:rsidRPr="001611DC" w:rsidRDefault="0008034D">
      <w:pPr>
        <w:pStyle w:val="3-BodyText"/>
        <w:rPr>
          <w:bCs/>
        </w:rPr>
      </w:pPr>
      <w:r w:rsidRPr="001611DC">
        <w:rPr>
          <w:rStyle w:val="ui-provider"/>
        </w:rPr>
        <w:t>The PBAC considered that a resubmission for RSVPreF3 OA should address the issues raised in th</w:t>
      </w:r>
      <w:r w:rsidR="00E3503D">
        <w:rPr>
          <w:rStyle w:val="ui-provider"/>
        </w:rPr>
        <w:t>i</w:t>
      </w:r>
      <w:r w:rsidRPr="001611DC">
        <w:rPr>
          <w:rStyle w:val="ui-provider"/>
        </w:rPr>
        <w:t xml:space="preserve">s </w:t>
      </w:r>
      <w:r w:rsidR="00E3503D">
        <w:rPr>
          <w:rStyle w:val="ui-provider"/>
        </w:rPr>
        <w:t>PSD</w:t>
      </w:r>
      <w:r w:rsidRPr="001611DC">
        <w:rPr>
          <w:rStyle w:val="ui-provider"/>
        </w:rPr>
        <w:t xml:space="preserve">. For each of the populations proposed for listing there should be an economic model to enable the cost-effectiveness to be assessed, and the model should be supported by applicable clinical data. The PBAC further considered that a resubmission should present information available regarding the need for </w:t>
      </w:r>
      <w:r w:rsidRPr="001611DC">
        <w:rPr>
          <w:rStyle w:val="ui-provider"/>
        </w:rPr>
        <w:lastRenderedPageBreak/>
        <w:t>revaccination, and if relevant include revaccination in the economic model. </w:t>
      </w:r>
      <w:r w:rsidR="00E110FC" w:rsidRPr="001611DC">
        <w:rPr>
          <w:bCs/>
        </w:rPr>
        <w:t>The resubmission may be lodged at any future standard due date for PBAC submissions using the standard re-entry pathway.</w:t>
      </w:r>
    </w:p>
    <w:p w14:paraId="5FD11BC5" w14:textId="5D7F73A7" w:rsidR="004035B4" w:rsidRPr="001611DC" w:rsidRDefault="005857E9" w:rsidP="004035B4">
      <w:pPr>
        <w:widowControl w:val="0"/>
        <w:numPr>
          <w:ilvl w:val="1"/>
          <w:numId w:val="1"/>
        </w:numPr>
        <w:spacing w:after="120"/>
        <w:rPr>
          <w:rFonts w:asciiTheme="minorHAnsi" w:hAnsiTheme="minorHAnsi"/>
          <w:bCs/>
          <w:snapToGrid w:val="0"/>
        </w:rPr>
      </w:pPr>
      <w:r w:rsidRPr="001611DC">
        <w:t>The PBAC noted that this submission is not eligible for an Independent Review because it is only relevant to submissions requesting a listing (or change to a listing) on the PBS</w:t>
      </w:r>
      <w:r w:rsidR="00475361" w:rsidRPr="001611DC">
        <w:rPr>
          <w:rFonts w:asciiTheme="minorHAnsi" w:hAnsiTheme="minorHAnsi"/>
          <w:bCs/>
          <w:snapToGrid w:val="0"/>
        </w:rPr>
        <w:t>.</w:t>
      </w:r>
    </w:p>
    <w:bookmarkEnd w:id="203"/>
    <w:p w14:paraId="40EFBA72" w14:textId="77777777" w:rsidR="00B31EDA" w:rsidRPr="001611DC" w:rsidRDefault="00B31EDA" w:rsidP="00B31EDA">
      <w:pPr>
        <w:spacing w:before="240"/>
        <w:rPr>
          <w:rFonts w:asciiTheme="minorHAnsi" w:hAnsiTheme="minorHAnsi"/>
          <w:b/>
          <w:bCs/>
          <w:snapToGrid w:val="0"/>
        </w:rPr>
      </w:pPr>
      <w:r w:rsidRPr="001611DC">
        <w:rPr>
          <w:rFonts w:asciiTheme="minorHAnsi" w:hAnsiTheme="minorHAnsi"/>
          <w:b/>
          <w:bCs/>
          <w:snapToGrid w:val="0"/>
        </w:rPr>
        <w:t>Outcome:</w:t>
      </w:r>
    </w:p>
    <w:p w14:paraId="47D0908A" w14:textId="77777777" w:rsidR="00B31EDA" w:rsidRPr="001611DC" w:rsidRDefault="00B31EDA" w:rsidP="00B31EDA">
      <w:pPr>
        <w:rPr>
          <w:rFonts w:asciiTheme="minorHAnsi" w:hAnsiTheme="minorHAnsi"/>
          <w:bCs/>
          <w:snapToGrid w:val="0"/>
        </w:rPr>
      </w:pPr>
      <w:r w:rsidRPr="001611DC">
        <w:rPr>
          <w:rFonts w:asciiTheme="minorHAnsi" w:hAnsiTheme="minorHAnsi"/>
          <w:bCs/>
          <w:snapToGrid w:val="0"/>
        </w:rPr>
        <w:t>Not recommended</w:t>
      </w:r>
    </w:p>
    <w:bookmarkEnd w:id="204"/>
    <w:p w14:paraId="4238228B" w14:textId="77777777" w:rsidR="00FF055C" w:rsidRPr="001F4410" w:rsidRDefault="00FF055C" w:rsidP="001F4410">
      <w:pPr>
        <w:keepNext/>
        <w:numPr>
          <w:ilvl w:val="0"/>
          <w:numId w:val="1"/>
        </w:numPr>
        <w:spacing w:before="240" w:after="120"/>
        <w:jc w:val="left"/>
        <w:outlineLvl w:val="0"/>
        <w:rPr>
          <w:rFonts w:asciiTheme="minorHAnsi" w:hAnsiTheme="minorHAnsi"/>
          <w:b/>
          <w:snapToGrid w:val="0"/>
          <w:sz w:val="32"/>
          <w:szCs w:val="32"/>
        </w:rPr>
      </w:pPr>
      <w:r w:rsidRPr="001F4410">
        <w:rPr>
          <w:rFonts w:asciiTheme="minorHAnsi" w:hAnsiTheme="minorHAnsi"/>
          <w:b/>
          <w:snapToGrid w:val="0"/>
          <w:sz w:val="32"/>
          <w:szCs w:val="32"/>
        </w:rPr>
        <w:t>Context for Decision</w:t>
      </w:r>
    </w:p>
    <w:p w14:paraId="7E9202F0" w14:textId="77777777" w:rsidR="00FF055C" w:rsidRPr="006E2A88" w:rsidRDefault="00FF055C" w:rsidP="00FF055C">
      <w:pPr>
        <w:spacing w:after="120"/>
        <w:ind w:left="720"/>
        <w:rPr>
          <w:rFonts w:asciiTheme="minorHAnsi" w:hAnsiTheme="minorHAnsi"/>
          <w:bCs/>
          <w:lang w:val="en-GB"/>
        </w:rPr>
      </w:pPr>
      <w:r w:rsidRPr="006E2A88">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287A63A" w14:textId="77777777" w:rsidR="00FF055C" w:rsidRPr="006E2A88" w:rsidRDefault="00FF055C" w:rsidP="00FF055C">
      <w:pPr>
        <w:keepNext/>
        <w:numPr>
          <w:ilvl w:val="0"/>
          <w:numId w:val="1"/>
        </w:numPr>
        <w:spacing w:before="240" w:after="120"/>
        <w:jc w:val="left"/>
        <w:outlineLvl w:val="0"/>
        <w:rPr>
          <w:rFonts w:asciiTheme="minorHAnsi" w:hAnsiTheme="minorHAnsi"/>
          <w:b/>
          <w:snapToGrid w:val="0"/>
          <w:sz w:val="32"/>
          <w:szCs w:val="32"/>
        </w:rPr>
      </w:pPr>
      <w:r w:rsidRPr="006E2A88">
        <w:rPr>
          <w:rFonts w:asciiTheme="minorHAnsi" w:hAnsiTheme="minorHAnsi"/>
          <w:b/>
          <w:snapToGrid w:val="0"/>
          <w:sz w:val="32"/>
          <w:szCs w:val="32"/>
        </w:rPr>
        <w:t>Sponsor’s Comment</w:t>
      </w:r>
    </w:p>
    <w:p w14:paraId="4289A8B5" w14:textId="6EC6E021" w:rsidR="004C61D4" w:rsidRPr="001F4410" w:rsidRDefault="0093445D" w:rsidP="00E3503D">
      <w:pPr>
        <w:widowControl w:val="0"/>
        <w:spacing w:after="120"/>
        <w:ind w:left="709"/>
        <w:rPr>
          <w:rFonts w:asciiTheme="minorHAnsi" w:hAnsiTheme="minorHAnsi"/>
          <w:bCs/>
          <w:lang w:val="en-GB"/>
        </w:rPr>
      </w:pPr>
      <w:r w:rsidRPr="001F4410">
        <w:rPr>
          <w:rFonts w:asciiTheme="minorHAnsi" w:hAnsiTheme="minorHAnsi"/>
          <w:bCs/>
          <w:lang w:val="en-GB"/>
        </w:rPr>
        <w:t xml:space="preserve">GSK is disappointed by the decision to not recommend Arexvy </w:t>
      </w:r>
      <w:r w:rsidR="00AA350D" w:rsidRPr="001F4410">
        <w:rPr>
          <w:rFonts w:asciiTheme="minorHAnsi" w:hAnsiTheme="minorHAnsi"/>
          <w:bCs/>
          <w:lang w:val="en-GB"/>
        </w:rPr>
        <w:t xml:space="preserve">in the base </w:t>
      </w:r>
      <w:r w:rsidR="004C61D4" w:rsidRPr="001F4410">
        <w:rPr>
          <w:rFonts w:asciiTheme="minorHAnsi" w:hAnsiTheme="minorHAnsi"/>
          <w:bCs/>
          <w:lang w:val="en-GB"/>
        </w:rPr>
        <w:t>program recommended by ATAG</w:t>
      </w:r>
      <w:r w:rsidR="00803C40" w:rsidRPr="001F4410">
        <w:rPr>
          <w:rFonts w:asciiTheme="minorHAnsi" w:hAnsiTheme="minorHAnsi"/>
          <w:bCs/>
          <w:lang w:val="en-GB"/>
        </w:rPr>
        <w:t>I</w:t>
      </w:r>
      <w:r w:rsidR="004C61D4" w:rsidRPr="001F4410">
        <w:rPr>
          <w:rFonts w:asciiTheme="minorHAnsi" w:hAnsiTheme="minorHAnsi"/>
          <w:bCs/>
          <w:lang w:val="en-GB"/>
        </w:rPr>
        <w:t xml:space="preserve"> in older adults aged 75+ years of age</w:t>
      </w:r>
      <w:r w:rsidR="0062301B" w:rsidRPr="001F4410">
        <w:rPr>
          <w:rFonts w:asciiTheme="minorHAnsi" w:hAnsiTheme="minorHAnsi"/>
          <w:bCs/>
          <w:lang w:val="en-GB"/>
        </w:rPr>
        <w:t>.</w:t>
      </w:r>
      <w:r w:rsidRPr="001F4410">
        <w:rPr>
          <w:rFonts w:asciiTheme="minorHAnsi" w:hAnsiTheme="minorHAnsi"/>
          <w:bCs/>
          <w:lang w:val="en-GB"/>
        </w:rPr>
        <w:t xml:space="preserve"> </w:t>
      </w:r>
    </w:p>
    <w:p w14:paraId="2745D1E8" w14:textId="1F31DFB4" w:rsidR="00B31EDA" w:rsidRPr="001F4410" w:rsidRDefault="0062301B" w:rsidP="001F4410">
      <w:pPr>
        <w:widowControl w:val="0"/>
        <w:ind w:left="709"/>
        <w:rPr>
          <w:rFonts w:asciiTheme="minorHAnsi" w:hAnsiTheme="minorHAnsi"/>
          <w:bCs/>
          <w:lang w:val="en-GB"/>
        </w:rPr>
      </w:pPr>
      <w:r w:rsidRPr="001F4410">
        <w:rPr>
          <w:rFonts w:asciiTheme="minorHAnsi" w:hAnsiTheme="minorHAnsi"/>
          <w:bCs/>
          <w:lang w:val="en-GB"/>
        </w:rPr>
        <w:t>We will continue</w:t>
      </w:r>
      <w:r w:rsidR="0093445D" w:rsidRPr="001F4410">
        <w:rPr>
          <w:rFonts w:asciiTheme="minorHAnsi" w:hAnsiTheme="minorHAnsi"/>
          <w:bCs/>
          <w:lang w:val="en-GB"/>
        </w:rPr>
        <w:t xml:space="preserve"> to work with the PBAC and ATAGI</w:t>
      </w:r>
      <w:r w:rsidR="2213CA74" w:rsidRPr="001F4410">
        <w:rPr>
          <w:rFonts w:asciiTheme="minorHAnsi" w:hAnsiTheme="minorHAnsi"/>
          <w:bCs/>
          <w:lang w:val="en-GB"/>
        </w:rPr>
        <w:t>. GSK is committed</w:t>
      </w:r>
      <w:r w:rsidR="0093445D" w:rsidRPr="001F4410">
        <w:rPr>
          <w:rFonts w:asciiTheme="minorHAnsi" w:hAnsiTheme="minorHAnsi"/>
          <w:bCs/>
          <w:lang w:val="en-GB"/>
        </w:rPr>
        <w:t xml:space="preserve"> to ensur</w:t>
      </w:r>
      <w:r w:rsidR="5FFEC84A" w:rsidRPr="001F4410">
        <w:rPr>
          <w:rFonts w:asciiTheme="minorHAnsi" w:hAnsiTheme="minorHAnsi"/>
          <w:bCs/>
          <w:lang w:val="en-GB"/>
        </w:rPr>
        <w:t>ing</w:t>
      </w:r>
      <w:r w:rsidR="6EA27391" w:rsidRPr="001F4410">
        <w:rPr>
          <w:rFonts w:asciiTheme="minorHAnsi" w:hAnsiTheme="minorHAnsi"/>
          <w:bCs/>
          <w:lang w:val="en-GB"/>
        </w:rPr>
        <w:t xml:space="preserve"> </w:t>
      </w:r>
      <w:r w:rsidR="215B3D08" w:rsidRPr="001F4410">
        <w:rPr>
          <w:rFonts w:asciiTheme="minorHAnsi" w:hAnsiTheme="minorHAnsi"/>
          <w:bCs/>
          <w:lang w:val="en-GB"/>
        </w:rPr>
        <w:t>vulnerable</w:t>
      </w:r>
      <w:r w:rsidR="0093445D" w:rsidRPr="001F4410">
        <w:rPr>
          <w:rFonts w:asciiTheme="minorHAnsi" w:hAnsiTheme="minorHAnsi"/>
          <w:bCs/>
          <w:lang w:val="en-GB"/>
        </w:rPr>
        <w:t xml:space="preserve"> older adults</w:t>
      </w:r>
      <w:r w:rsidR="004C61D4" w:rsidRPr="001F4410">
        <w:rPr>
          <w:rFonts w:asciiTheme="minorHAnsi" w:hAnsiTheme="minorHAnsi"/>
          <w:bCs/>
          <w:lang w:val="en-GB"/>
        </w:rPr>
        <w:t>, including those that are at severe risk,</w:t>
      </w:r>
      <w:r w:rsidR="0093445D" w:rsidRPr="001F4410">
        <w:rPr>
          <w:rFonts w:asciiTheme="minorHAnsi" w:hAnsiTheme="minorHAnsi"/>
          <w:bCs/>
          <w:lang w:val="en-GB"/>
        </w:rPr>
        <w:t xml:space="preserve"> are protected against lower respiratory tract illness caused by RSV</w:t>
      </w:r>
      <w:r w:rsidR="001F4410" w:rsidRPr="001F4410">
        <w:rPr>
          <w:rFonts w:asciiTheme="minorHAnsi" w:hAnsiTheme="minorHAnsi"/>
          <w:bCs/>
          <w:lang w:val="en-GB"/>
        </w:rPr>
        <w:t>.</w:t>
      </w:r>
    </w:p>
    <w:sectPr w:rsidR="00B31EDA" w:rsidRPr="001F4410" w:rsidSect="0010617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4E47C" w14:textId="77777777" w:rsidR="00C35CF6" w:rsidRDefault="00C35CF6" w:rsidP="00124A51">
      <w:r>
        <w:separator/>
      </w:r>
    </w:p>
    <w:p w14:paraId="1FBE6295" w14:textId="77777777" w:rsidR="00C35CF6" w:rsidRDefault="00C35CF6"/>
  </w:endnote>
  <w:endnote w:type="continuationSeparator" w:id="0">
    <w:p w14:paraId="464E9FDB" w14:textId="77777777" w:rsidR="00C35CF6" w:rsidRDefault="00C35CF6" w:rsidP="00124A51">
      <w:r>
        <w:continuationSeparator/>
      </w:r>
    </w:p>
    <w:p w14:paraId="515767CE" w14:textId="77777777" w:rsidR="00C35CF6" w:rsidRDefault="00C35CF6"/>
  </w:endnote>
  <w:endnote w:type="continuationNotice" w:id="1">
    <w:p w14:paraId="33E12295" w14:textId="77777777" w:rsidR="00C35CF6" w:rsidRDefault="00C35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TNEJMScalaSansLF">
    <w:altName w:val="Yu Gothic"/>
    <w:panose1 w:val="00000000000000000000"/>
    <w:charset w:val="8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ABCEF" w14:textId="77777777" w:rsidR="009C1C28" w:rsidRDefault="009C1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3511" w14:textId="77777777" w:rsidR="004263E4" w:rsidRDefault="004263E4" w:rsidP="00753B29">
    <w:pPr>
      <w:pStyle w:val="Footer"/>
      <w:jc w:val="center"/>
    </w:pPr>
  </w:p>
  <w:p w14:paraId="37484CD3" w14:textId="4BECE68F" w:rsidR="004263E4" w:rsidRPr="007C1CD9" w:rsidRDefault="00101F19" w:rsidP="00753B29">
    <w:pPr>
      <w:pStyle w:val="Footer"/>
      <w:jc w:val="center"/>
    </w:pPr>
    <w:sdt>
      <w:sdtPr>
        <w:id w:val="1036156457"/>
        <w:docPartObj>
          <w:docPartGallery w:val="Page Numbers (Bottom of Page)"/>
          <w:docPartUnique/>
        </w:docPartObj>
      </w:sdtPr>
      <w:sdtEndPr>
        <w:rPr>
          <w:noProof/>
        </w:rPr>
      </w:sdtEndPr>
      <w:sdtContent>
        <w:r w:rsidR="004263E4" w:rsidRPr="00013F14">
          <w:rPr>
            <w:b/>
            <w:bCs/>
          </w:rPr>
          <w:fldChar w:fldCharType="begin"/>
        </w:r>
        <w:r w:rsidR="004263E4" w:rsidRPr="00013F14">
          <w:rPr>
            <w:b/>
            <w:bCs/>
          </w:rPr>
          <w:instrText xml:space="preserve"> PAGE   \* MERGEFORMAT </w:instrText>
        </w:r>
        <w:r w:rsidR="004263E4" w:rsidRPr="00013F14">
          <w:rPr>
            <w:b/>
            <w:bCs/>
          </w:rPr>
          <w:fldChar w:fldCharType="separate"/>
        </w:r>
        <w:r w:rsidR="004263E4" w:rsidRPr="00013F14">
          <w:rPr>
            <w:b/>
            <w:bCs/>
            <w:noProof/>
          </w:rPr>
          <w:t>2</w:t>
        </w:r>
        <w:r w:rsidR="004263E4" w:rsidRPr="00013F14">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89748" w14:textId="77777777" w:rsidR="009C1C28" w:rsidRDefault="009C1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35C77" w14:textId="77777777" w:rsidR="00C35CF6" w:rsidRDefault="00C35CF6" w:rsidP="00124A51">
      <w:r>
        <w:separator/>
      </w:r>
    </w:p>
    <w:p w14:paraId="13DEFE3A" w14:textId="77777777" w:rsidR="00C35CF6" w:rsidRDefault="00C35CF6"/>
  </w:footnote>
  <w:footnote w:type="continuationSeparator" w:id="0">
    <w:p w14:paraId="5B85D81A" w14:textId="77777777" w:rsidR="00C35CF6" w:rsidRDefault="00C35CF6" w:rsidP="00124A51">
      <w:r>
        <w:continuationSeparator/>
      </w:r>
    </w:p>
    <w:p w14:paraId="38C034E3" w14:textId="77777777" w:rsidR="00C35CF6" w:rsidRDefault="00C35CF6"/>
  </w:footnote>
  <w:footnote w:type="continuationNotice" w:id="1">
    <w:p w14:paraId="313A9DB1" w14:textId="77777777" w:rsidR="00C35CF6" w:rsidRDefault="00C35CF6"/>
  </w:footnote>
  <w:footnote w:id="2">
    <w:p w14:paraId="3B7D6543" w14:textId="7F20B54A" w:rsidR="009C478A" w:rsidRDefault="009C478A">
      <w:pPr>
        <w:pStyle w:val="FootnoteText"/>
      </w:pPr>
      <w:r>
        <w:rPr>
          <w:rStyle w:val="FootnoteReference"/>
        </w:rPr>
        <w:footnoteRef/>
      </w:r>
      <w:r>
        <w:t xml:space="preserve"> </w:t>
      </w:r>
      <w:r w:rsidRPr="009C478A">
        <w:t>https://www.tga.gov.au/resources/prescription-medicines-under-evaluation/arexvy-glaxosmithkline-australia-pty-ltd</w:t>
      </w:r>
    </w:p>
  </w:footnote>
  <w:footnote w:id="3">
    <w:p w14:paraId="421C2591" w14:textId="4D2693C5" w:rsidR="005866A9" w:rsidRDefault="005866A9">
      <w:pPr>
        <w:pStyle w:val="FootnoteText"/>
      </w:pPr>
      <w:r>
        <w:rPr>
          <w:rStyle w:val="FootnoteReference"/>
        </w:rPr>
        <w:footnoteRef/>
      </w:r>
      <w:r>
        <w:t xml:space="preserve"> </w:t>
      </w:r>
      <w:r w:rsidRPr="007C076A">
        <w:t>ATAGI statement on the clinical use of Arexvy (RSV PRE-F3) vaccine for RSV</w:t>
      </w:r>
      <w:r>
        <w:t xml:space="preserve"> (</w:t>
      </w:r>
      <w:r w:rsidRPr="007C076A">
        <w:t>Version 1.0 Issue date: March 2024</w:t>
      </w:r>
      <w:r>
        <w:t xml:space="preserve">), available from </w:t>
      </w:r>
      <w:hyperlink r:id="rId1" w:history="1">
        <w:r w:rsidRPr="00FA263D">
          <w:rPr>
            <w:rStyle w:val="Hyperlink"/>
          </w:rPr>
          <w:t>https://www.health.gov.au/resources/publications/atagi-statement-on-the-clinical-use-of-arexvy-rsv-pre-f3-vaccine-for-rsv?language=en</w:t>
        </w:r>
      </w:hyperlink>
    </w:p>
  </w:footnote>
  <w:footnote w:id="4">
    <w:p w14:paraId="0D880D11" w14:textId="77777777" w:rsidR="004263E4" w:rsidRPr="00A26A27" w:rsidRDefault="004263E4" w:rsidP="009263AC">
      <w:pPr>
        <w:pStyle w:val="FootnoteText"/>
      </w:pPr>
      <w:r>
        <w:rPr>
          <w:rStyle w:val="FootnoteReference"/>
        </w:rPr>
        <w:footnoteRef/>
      </w:r>
      <w:r>
        <w:t xml:space="preserve"> </w:t>
      </w:r>
      <w:r w:rsidRPr="005434ED">
        <w:t xml:space="preserve">Moore, H. C., Jacoby, P., Hogan, A. B., Blyth, C. C., &amp; Mercer, G. N. (2014). Modelling the seasonal epidemics of respiratory syncytial virus in young children. </w:t>
      </w:r>
      <w:r w:rsidRPr="005434ED">
        <w:rPr>
          <w:i/>
          <w:iCs/>
        </w:rPr>
        <w:t>PLoS One</w:t>
      </w:r>
      <w:r w:rsidRPr="005434ED">
        <w:t xml:space="preserve">, </w:t>
      </w:r>
      <w:r w:rsidRPr="005434ED">
        <w:rPr>
          <w:i/>
          <w:iCs/>
        </w:rPr>
        <w:t>9</w:t>
      </w:r>
      <w:r w:rsidRPr="005434ED">
        <w:t>(6). https://doi.org/10.1371/journal.pone.0100422</w:t>
      </w:r>
    </w:p>
  </w:footnote>
  <w:footnote w:id="5">
    <w:p w14:paraId="376A08D6" w14:textId="77777777" w:rsidR="004263E4" w:rsidRPr="00710A3E" w:rsidRDefault="004263E4" w:rsidP="009263AC">
      <w:pPr>
        <w:pStyle w:val="FootnoteText"/>
      </w:pPr>
      <w:r>
        <w:rPr>
          <w:rStyle w:val="FootnoteReference"/>
        </w:rPr>
        <w:footnoteRef/>
      </w:r>
      <w:r>
        <w:t xml:space="preserve"> </w:t>
      </w:r>
      <w:r w:rsidRPr="007F30DB">
        <w:t xml:space="preserve">Ackerson, B., Tseng, H. F., Sy, L. S., Solano, Z., Slezak, J., Luo, Y., Fischetti, C. A., &amp; Shinde, V. (2019). Severe Morbidity and Mortality Associated With Respiratory Syncytial Virus Versus Influenza Infection in Hospitalized Older Adults. </w:t>
      </w:r>
      <w:r w:rsidRPr="007F30DB">
        <w:rPr>
          <w:i/>
          <w:iCs/>
        </w:rPr>
        <w:t>Clin Infect Dis</w:t>
      </w:r>
      <w:r w:rsidRPr="007F30DB">
        <w:t xml:space="preserve">, </w:t>
      </w:r>
      <w:r w:rsidRPr="007F30DB">
        <w:rPr>
          <w:i/>
          <w:iCs/>
        </w:rPr>
        <w:t>69</w:t>
      </w:r>
      <w:r w:rsidRPr="007F30DB">
        <w:t>(2), 197–203. https://doi.org/10.1093/cid/ciy991</w:t>
      </w:r>
    </w:p>
  </w:footnote>
  <w:footnote w:id="6">
    <w:p w14:paraId="79E1D467" w14:textId="77777777" w:rsidR="004263E4" w:rsidRPr="007430EB" w:rsidRDefault="004263E4" w:rsidP="009263AC">
      <w:pPr>
        <w:pStyle w:val="FootnoteText"/>
      </w:pPr>
      <w:r>
        <w:rPr>
          <w:rStyle w:val="FootnoteReference"/>
        </w:rPr>
        <w:footnoteRef/>
      </w:r>
      <w:r>
        <w:t xml:space="preserve"> </w:t>
      </w:r>
      <w:r w:rsidRPr="00710A3E">
        <w:t xml:space="preserve">Tseng, H. F., Sy, L. S., Ackerson, B., Solano, Z., Slezak, J., Luo, Y., Fischetti, C. A., &amp; Shinde, V. (2020). Severe Morbidity and Short- and Mid- to Long-term Mortality in Older Adults Hospitalized with Respiratory Syncytial Virus Infection. </w:t>
      </w:r>
      <w:r w:rsidRPr="00710A3E">
        <w:rPr>
          <w:i/>
          <w:iCs/>
        </w:rPr>
        <w:t>J Infect Dis</w:t>
      </w:r>
      <w:r w:rsidRPr="00710A3E">
        <w:t xml:space="preserve">, </w:t>
      </w:r>
      <w:r w:rsidRPr="00710A3E">
        <w:rPr>
          <w:i/>
          <w:iCs/>
        </w:rPr>
        <w:t>222</w:t>
      </w:r>
      <w:r w:rsidRPr="00710A3E">
        <w:t>(8), 1298–1310. https://doi.org/10.1093/infdis/jiaa361</w:t>
      </w:r>
    </w:p>
  </w:footnote>
  <w:footnote w:id="7">
    <w:p w14:paraId="679E6B60" w14:textId="77777777" w:rsidR="004263E4" w:rsidRPr="0094068F" w:rsidRDefault="004263E4" w:rsidP="009263AC">
      <w:pPr>
        <w:pStyle w:val="FootnoteText"/>
      </w:pPr>
      <w:r>
        <w:rPr>
          <w:rStyle w:val="FootnoteReference"/>
        </w:rPr>
        <w:footnoteRef/>
      </w:r>
      <w:r>
        <w:t xml:space="preserve"> </w:t>
      </w:r>
      <w:r w:rsidRPr="00BA7500">
        <w:t xml:space="preserve">Nguyen-Van-Tam, J. S., O’Leary, M., Martin, E. T., Heijnen, E., Callendret, B., Fleischhackl, R., Comeaux, C., Tran, T. M. P., Weber, K., O’leary, M., Martin, E. T., Heijnen, E., Callendret, B., Fleischhackl, R., Comeaux, C., Tran, T. M. P., &amp; Weber, K. (2022). Burden of respiratory syncytial virus infection in older and high-risk adults: a systematic review and meta-analysis of the evidence from developed countries. </w:t>
      </w:r>
      <w:r w:rsidRPr="00BA7500">
        <w:rPr>
          <w:i/>
          <w:iCs/>
        </w:rPr>
        <w:t>European Respiratory Review</w:t>
      </w:r>
      <w:r w:rsidRPr="00BA7500">
        <w:t xml:space="preserve">, </w:t>
      </w:r>
      <w:r w:rsidRPr="00BA7500">
        <w:rPr>
          <w:i/>
          <w:iCs/>
        </w:rPr>
        <w:t>31</w:t>
      </w:r>
      <w:r w:rsidRPr="00BA7500">
        <w:t>(166). https://doi.org/10.1183/16000617.0105-2022</w:t>
      </w:r>
    </w:p>
  </w:footnote>
  <w:footnote w:id="8">
    <w:p w14:paraId="438A3ABC" w14:textId="77777777" w:rsidR="004263E4" w:rsidRPr="007F0444" w:rsidRDefault="004263E4" w:rsidP="009263AC">
      <w:pPr>
        <w:pStyle w:val="FootnoteText"/>
      </w:pPr>
      <w:r>
        <w:rPr>
          <w:rStyle w:val="FootnoteReference"/>
        </w:rPr>
        <w:footnoteRef/>
      </w:r>
      <w:r>
        <w:t xml:space="preserve"> </w:t>
      </w:r>
      <w:r w:rsidRPr="009F75B5">
        <w:t xml:space="preserve">Fagan, P., McLeod, C., &amp; Baird, R. W. (2017). Seasonal variability of respiratory syncytial virus infection in the Top End of the Northern Territory (2012-2014). </w:t>
      </w:r>
      <w:r w:rsidRPr="009F75B5">
        <w:rPr>
          <w:i/>
          <w:iCs/>
        </w:rPr>
        <w:t>J. Paediatr. Child Health</w:t>
      </w:r>
      <w:r w:rsidRPr="009F75B5">
        <w:t xml:space="preserve">, </w:t>
      </w:r>
      <w:r w:rsidRPr="009F75B5">
        <w:rPr>
          <w:i/>
          <w:iCs/>
        </w:rPr>
        <w:t>53</w:t>
      </w:r>
      <w:r w:rsidRPr="009F75B5">
        <w:t>(1), 43–46. https://doi.org/10.1111/jpc.13303</w:t>
      </w:r>
    </w:p>
  </w:footnote>
  <w:footnote w:id="9">
    <w:p w14:paraId="6A22A94A" w14:textId="7AF4E121" w:rsidR="004263E4" w:rsidRPr="00E3503D" w:rsidRDefault="004263E4" w:rsidP="009263AC">
      <w:pPr>
        <w:pStyle w:val="FootnoteText"/>
      </w:pPr>
      <w:r>
        <w:rPr>
          <w:rStyle w:val="FootnoteReference"/>
        </w:rPr>
        <w:footnoteRef/>
      </w:r>
      <w:r>
        <w:t xml:space="preserve"> </w:t>
      </w:r>
      <w:r w:rsidRPr="007F0444">
        <w:t xml:space="preserve">Saravanos, G. L., Sheel, M., Homaira, N., Dey, A., Brown, E., Wang, H., Macartney, K., &amp; Wood, N. J. (2019). Respiratory syncytial virus-associated hospitalisations in Australia, 2006-2015. </w:t>
      </w:r>
      <w:r w:rsidRPr="007F0444">
        <w:rPr>
          <w:i/>
          <w:iCs/>
        </w:rPr>
        <w:t>Med. J. Aust.</w:t>
      </w:r>
      <w:r w:rsidRPr="007F0444">
        <w:t xml:space="preserve">, </w:t>
      </w:r>
      <w:r w:rsidRPr="007F0444">
        <w:rPr>
          <w:i/>
          <w:iCs/>
        </w:rPr>
        <w:t>210</w:t>
      </w:r>
      <w:r w:rsidRPr="007F0444">
        <w:t>(10), 447–453. https://doi.org/10.5694/mja2.50159</w:t>
      </w:r>
    </w:p>
  </w:footnote>
  <w:footnote w:id="10">
    <w:p w14:paraId="70182FFB" w14:textId="34153F5F" w:rsidR="000B66F7" w:rsidRDefault="000B66F7" w:rsidP="000B66F7">
      <w:pPr>
        <w:pStyle w:val="FootnoteText"/>
        <w:jc w:val="left"/>
      </w:pPr>
      <w:r>
        <w:rPr>
          <w:rStyle w:val="FootnoteReference"/>
        </w:rPr>
        <w:footnoteRef/>
      </w:r>
      <w:r>
        <w:t xml:space="preserve"> </w:t>
      </w:r>
      <w:r w:rsidRPr="00FF7174">
        <w:rPr>
          <w:rFonts w:ascii="Arial Narrow" w:hAnsi="Arial Narrow"/>
          <w:sz w:val="18"/>
          <w:szCs w:val="18"/>
        </w:rPr>
        <w:t>Australian Government Department of Health and Aged Care.</w:t>
      </w:r>
      <w:r w:rsidR="001F4410">
        <w:rPr>
          <w:rFonts w:ascii="Arial Narrow" w:hAnsi="Arial Narrow"/>
          <w:sz w:val="18"/>
          <w:szCs w:val="18"/>
        </w:rPr>
        <w:t xml:space="preserve"> </w:t>
      </w:r>
      <w:r w:rsidRPr="00FF7174">
        <w:rPr>
          <w:rFonts w:ascii="Arial Narrow" w:hAnsi="Arial Narrow"/>
          <w:sz w:val="18"/>
          <w:szCs w:val="18"/>
        </w:rPr>
        <w:t xml:space="preserve">Australian Immunisation Handbook, Respiratory syncytial virus (RSV) chapter, </w:t>
      </w:r>
      <w:r>
        <w:rPr>
          <w:rFonts w:ascii="Arial Narrow" w:hAnsi="Arial Narrow"/>
          <w:sz w:val="18"/>
          <w:szCs w:val="18"/>
        </w:rPr>
        <w:t xml:space="preserve">updated 27 June 2024, </w:t>
      </w:r>
      <w:r w:rsidRPr="00FF7174">
        <w:rPr>
          <w:rFonts w:ascii="Arial Narrow" w:hAnsi="Arial Narrow"/>
          <w:sz w:val="18"/>
          <w:szCs w:val="18"/>
        </w:rPr>
        <w:t>available at https://immunisationhandbook.health.gov.au/contents/vaccine-preventable-diseases/respiratory-syncytial-virus-rsv.</w:t>
      </w:r>
    </w:p>
  </w:footnote>
  <w:footnote w:id="11">
    <w:p w14:paraId="5569633B" w14:textId="0E7F3AA0" w:rsidR="001142B1" w:rsidRDefault="001142B1">
      <w:pPr>
        <w:pStyle w:val="FootnoteText"/>
      </w:pPr>
      <w:r>
        <w:rPr>
          <w:rStyle w:val="FootnoteReference"/>
        </w:rPr>
        <w:footnoteRef/>
      </w:r>
      <w:r>
        <w:t xml:space="preserve"> </w:t>
      </w:r>
      <w:r w:rsidRPr="001142B1">
        <w:t>Surie, D. (2024). Effectiveness of adult respiratory syncytial virus (RSV) vaccines, 2023–2024. https://www.cdc.gov/vaccines/acip/meetings/downloads/slides-2024-06-26-28/07-RSV-Adult-Surie-508.pdf</w:t>
      </w:r>
    </w:p>
  </w:footnote>
  <w:footnote w:id="12">
    <w:p w14:paraId="4CB1CFEB" w14:textId="77777777" w:rsidR="004263E4" w:rsidRPr="00013D28" w:rsidRDefault="004263E4" w:rsidP="002E6F4F">
      <w:pPr>
        <w:pStyle w:val="FooterTableFigure"/>
        <w:rPr>
          <w:lang w:val="es-CL"/>
        </w:rPr>
      </w:pPr>
      <w:r>
        <w:rPr>
          <w:rStyle w:val="FootnoteReference"/>
        </w:rPr>
        <w:footnoteRef/>
      </w:r>
      <w:r>
        <w:t xml:space="preserve"> </w:t>
      </w:r>
      <w:r w:rsidRPr="00BE58C8">
        <w:t>Redwood L</w:t>
      </w:r>
      <w:r>
        <w:t xml:space="preserve"> et al., (2024),</w:t>
      </w:r>
      <w:r w:rsidRPr="00BE58C8">
        <w:t xml:space="preserve"> Australian population norms for health-related quality of life measured using the EQ-5D-5L, and relationships with sociodemographic characteristics</w:t>
      </w:r>
      <w:r>
        <w:t>,</w:t>
      </w:r>
      <w:r w:rsidRPr="00BE58C8">
        <w:t xml:space="preserve"> Qual Life Res. </w:t>
      </w:r>
      <w:r w:rsidRPr="00013D28">
        <w:rPr>
          <w:lang w:val="es-CL"/>
        </w:rPr>
        <w:t xml:space="preserve">Mar;33(3): pp721-733. </w:t>
      </w:r>
    </w:p>
  </w:footnote>
  <w:footnote w:id="13">
    <w:p w14:paraId="5C824542" w14:textId="77777777" w:rsidR="004263E4" w:rsidRPr="00013D28" w:rsidRDefault="004263E4" w:rsidP="002E6F4F">
      <w:pPr>
        <w:pStyle w:val="FooterTableFigure"/>
        <w:rPr>
          <w:lang w:val="es-CL"/>
        </w:rPr>
      </w:pPr>
      <w:r>
        <w:rPr>
          <w:rStyle w:val="FootnoteReference"/>
        </w:rPr>
        <w:footnoteRef/>
      </w:r>
      <w:r w:rsidRPr="00013D28">
        <w:rPr>
          <w:lang w:val="es-CL"/>
        </w:rPr>
        <w:t xml:space="preserve"> https://www.ihacpa.gov.au/resources/national-hospital-cost-data-collection-nhcdc-public-sector-report-2019-20</w:t>
      </w:r>
    </w:p>
  </w:footnote>
  <w:footnote w:id="14">
    <w:p w14:paraId="2B299743" w14:textId="11810A96" w:rsidR="00857BD4" w:rsidRPr="004A4FE0" w:rsidRDefault="00857BD4">
      <w:pPr>
        <w:pStyle w:val="FootnoteText"/>
        <w:rPr>
          <w:rFonts w:ascii="Arial Narrow" w:hAnsi="Arial Narrow" w:cs="Times New Roman"/>
          <w:noProof/>
          <w:sz w:val="18"/>
        </w:rPr>
      </w:pPr>
      <w:r>
        <w:rPr>
          <w:rStyle w:val="FootnoteReference"/>
        </w:rPr>
        <w:footnoteRef/>
      </w:r>
      <w:r>
        <w:t xml:space="preserve"> </w:t>
      </w:r>
      <w:r w:rsidRPr="00F25E6B">
        <w:rPr>
          <w:rFonts w:ascii="Arial Narrow" w:hAnsi="Arial Narrow" w:cs="Times New Roman"/>
          <w:noProof/>
          <w:sz w:val="18"/>
        </w:rPr>
        <w:t>Surie, D., Yuengling, K. A., DeCuir, J., Zhu, Y., Gaglani, M., Ginde, A. A., Talbot, H. K., Casey, J. D., Mohr, N. M., Ghamande, S., Gibbs, K. W., Files, D. C., Hager, D. N., Ali, H., Prekker, M. E., Gong, M. N., Mohamed, A., Johnson, N. J., Steingrub, J. S., … Self, W. H. (2023). Disease Severity of Respiratory Syncytial Virus Compared with COVID-19 and</w:t>
      </w:r>
      <w:r w:rsidR="001F4410">
        <w:rPr>
          <w:rFonts w:ascii="Arial Narrow" w:hAnsi="Arial Narrow" w:cs="Times New Roman"/>
          <w:noProof/>
          <w:sz w:val="18"/>
        </w:rPr>
        <w:t xml:space="preserve"> </w:t>
      </w:r>
      <w:r w:rsidRPr="00F25E6B">
        <w:rPr>
          <w:rFonts w:ascii="Arial Narrow" w:hAnsi="Arial Narrow" w:cs="Times New Roman"/>
          <w:noProof/>
          <w:sz w:val="18"/>
        </w:rPr>
        <w:t xml:space="preserve">Influenza Among Hospitalized Adults Aged ≥60 Years - IVY Network, 20 U.S. States, February 2022-May 2023. </w:t>
      </w:r>
      <w:r w:rsidRPr="00F25E6B">
        <w:rPr>
          <w:rFonts w:ascii="Arial Narrow" w:hAnsi="Arial Narrow" w:cs="Times New Roman"/>
          <w:i/>
          <w:iCs/>
          <w:noProof/>
          <w:sz w:val="18"/>
        </w:rPr>
        <w:t>MMWR. Morbidity and Mortality Weekly Report</w:t>
      </w:r>
      <w:r w:rsidRPr="00F25E6B">
        <w:rPr>
          <w:rFonts w:ascii="Arial Narrow" w:hAnsi="Arial Narrow" w:cs="Times New Roman"/>
          <w:noProof/>
          <w:sz w:val="18"/>
        </w:rPr>
        <w:t xml:space="preserve">, </w:t>
      </w:r>
      <w:r w:rsidRPr="00F25E6B">
        <w:rPr>
          <w:rFonts w:ascii="Arial Narrow" w:hAnsi="Arial Narrow" w:cs="Times New Roman"/>
          <w:i/>
          <w:iCs/>
          <w:noProof/>
          <w:sz w:val="18"/>
        </w:rPr>
        <w:t>72</w:t>
      </w:r>
      <w:r w:rsidRPr="00F25E6B">
        <w:rPr>
          <w:rFonts w:ascii="Arial Narrow" w:hAnsi="Arial Narrow" w:cs="Times New Roman"/>
          <w:noProof/>
          <w:sz w:val="18"/>
        </w:rPr>
        <w:t xml:space="preserve">(40), 1083–1088. </w:t>
      </w:r>
      <w:hyperlink r:id="rId2" w:history="1">
        <w:r w:rsidRPr="00A730E8">
          <w:rPr>
            <w:rStyle w:val="Hyperlink"/>
            <w:rFonts w:ascii="Arial Narrow" w:hAnsi="Arial Narrow" w:cs="Times New Roman"/>
            <w:noProof/>
            <w:sz w:val="18"/>
          </w:rPr>
          <w:t>https://doi.org/10.15585/mmwr.mm7240a2</w:t>
        </w:r>
      </w:hyperlink>
    </w:p>
  </w:footnote>
  <w:footnote w:id="15">
    <w:p w14:paraId="30069367" w14:textId="609687C9" w:rsidR="00857BD4" w:rsidRDefault="00857BD4">
      <w:pPr>
        <w:pStyle w:val="FootnoteText"/>
      </w:pPr>
      <w:r>
        <w:rPr>
          <w:rStyle w:val="FootnoteReference"/>
        </w:rPr>
        <w:footnoteRef/>
      </w:r>
      <w:r>
        <w:t xml:space="preserve"> </w:t>
      </w:r>
      <w:r w:rsidRPr="00F25E6B">
        <w:rPr>
          <w:rFonts w:ascii="Arial Narrow" w:hAnsi="Arial Narrow" w:cs="Times New Roman"/>
          <w:noProof/>
          <w:sz w:val="18"/>
        </w:rPr>
        <w:t xml:space="preserve">Surie, D., Yuengling, K. A., DeCuir, J., Zhu, Y., Lauring, A. S., Gaglani, M., Ghamande, S., Peltan, I. D., Brown, S. M., Ginde, A. A., Martinez, A., Mohr, N. M., Gibbs, K. W., Hager, D. N., Ali, H., Prekker, M. E., Gong, M. N., Mohamed, A., Johnson, N. J., … Network, I. R. V. in the A. I. (IVY). (2024). Severity of Respiratory Syncytial Virus vs COVID-19 and Influenza Among Hospitalized US Adults. </w:t>
      </w:r>
      <w:r w:rsidRPr="00F25E6B">
        <w:rPr>
          <w:rFonts w:ascii="Arial Narrow" w:hAnsi="Arial Narrow" w:cs="Times New Roman"/>
          <w:i/>
          <w:iCs/>
          <w:noProof/>
          <w:sz w:val="18"/>
        </w:rPr>
        <w:t>JAMA Network Open</w:t>
      </w:r>
      <w:r w:rsidRPr="00F25E6B">
        <w:rPr>
          <w:rFonts w:ascii="Arial Narrow" w:hAnsi="Arial Narrow" w:cs="Times New Roman"/>
          <w:noProof/>
          <w:sz w:val="18"/>
        </w:rPr>
        <w:t xml:space="preserve">, </w:t>
      </w:r>
      <w:r w:rsidRPr="00F25E6B">
        <w:rPr>
          <w:rFonts w:ascii="Arial Narrow" w:hAnsi="Arial Narrow" w:cs="Times New Roman"/>
          <w:i/>
          <w:iCs/>
          <w:noProof/>
          <w:sz w:val="18"/>
        </w:rPr>
        <w:t>7</w:t>
      </w:r>
      <w:r w:rsidRPr="00F25E6B">
        <w:rPr>
          <w:rFonts w:ascii="Arial Narrow" w:hAnsi="Arial Narrow" w:cs="Times New Roman"/>
          <w:noProof/>
          <w:sz w:val="18"/>
        </w:rPr>
        <w:t>(4), e244954–e244954. https://doi.org/10.1001/jamanetworkopen.2024.4954</w:t>
      </w:r>
    </w:p>
  </w:footnote>
  <w:footnote w:id="16">
    <w:p w14:paraId="4F3D0921" w14:textId="77B7CF9A" w:rsidR="00916F70" w:rsidRDefault="00916F70">
      <w:pPr>
        <w:pStyle w:val="FootnoteText"/>
      </w:pPr>
      <w:r>
        <w:rPr>
          <w:rStyle w:val="FootnoteReference"/>
        </w:rPr>
        <w:footnoteRef/>
      </w:r>
      <w:r>
        <w:t xml:space="preserve"> For comparison, a </w:t>
      </w:r>
      <w:r w:rsidRPr="00916F70">
        <w:t xml:space="preserve">hospitalisation cost of </w:t>
      </w:r>
      <w:r w:rsidRPr="005E652E">
        <w:t>$</w:t>
      </w:r>
      <w:r w:rsidR="00BD3549" w:rsidRPr="001F4410">
        <w:rPr>
          <w:color w:val="000000"/>
          <w:w w:val="62"/>
          <w:shd w:val="solid" w:color="000000" w:fill="000000"/>
          <w:fitText w:val="400" w:id="-893675768"/>
          <w14:textFill>
            <w14:solidFill>
              <w14:srgbClr w14:val="000000">
                <w14:alpha w14:val="100000"/>
              </w14:srgbClr>
            </w14:solidFill>
          </w14:textFill>
        </w:rPr>
        <w:t>|||  ||</w:t>
      </w:r>
      <w:r w:rsidR="00BD3549" w:rsidRPr="001F4410">
        <w:rPr>
          <w:color w:val="000000"/>
          <w:spacing w:val="1"/>
          <w:w w:val="62"/>
          <w:shd w:val="solid" w:color="000000" w:fill="000000"/>
          <w:fitText w:val="400" w:id="-893675768"/>
          <w14:textFill>
            <w14:solidFill>
              <w14:srgbClr w14:val="000000">
                <w14:alpha w14:val="100000"/>
              </w14:srgbClr>
            </w14:solidFill>
          </w14:textFill>
        </w:rPr>
        <w:t>|</w:t>
      </w:r>
      <w:r w:rsidRPr="00916F70">
        <w:t xml:space="preserve"> </w:t>
      </w:r>
      <w:r>
        <w:t xml:space="preserve">was </w:t>
      </w:r>
      <w:r w:rsidRPr="00916F70">
        <w:t>proposed during the evaluation that removed adjustment for ICU and LOS</w:t>
      </w:r>
      <w:r>
        <w:t>.</w:t>
      </w:r>
      <w:r w:rsidR="001F4410">
        <w:t xml:space="preserve"> </w:t>
      </w:r>
      <w:r>
        <w:t xml:space="preserve">See </w:t>
      </w:r>
      <w:r>
        <w:fldChar w:fldCharType="begin"/>
      </w:r>
      <w:r>
        <w:instrText xml:space="preserve"> REF _Ref104804865 \h </w:instrText>
      </w:r>
      <w:r>
        <w:fldChar w:fldCharType="separate"/>
      </w:r>
      <w:r w:rsidR="00101F19" w:rsidRPr="001611DC">
        <w:t>Table 24</w:t>
      </w:r>
      <w:r>
        <w:fldChar w:fldCharType="end"/>
      </w:r>
      <w:r>
        <w:t>.</w:t>
      </w:r>
    </w:p>
  </w:footnote>
  <w:footnote w:id="17">
    <w:p w14:paraId="48C51CFF" w14:textId="6903410D" w:rsidR="00C20DDD" w:rsidRDefault="00C20DDD" w:rsidP="00C20DDD">
      <w:pPr>
        <w:pStyle w:val="FootnoteText"/>
      </w:pPr>
      <w:r>
        <w:rPr>
          <w:rStyle w:val="FootnoteReference"/>
        </w:rPr>
        <w:footnoteRef/>
      </w:r>
      <w:r>
        <w:t xml:space="preserve"> </w:t>
      </w:r>
      <w:r w:rsidRPr="00F869A8">
        <w:rPr>
          <w:bCs/>
          <w:iCs/>
        </w:rPr>
        <w:t xml:space="preserve">The ATAGI </w:t>
      </w:r>
      <w:r>
        <w:rPr>
          <w:bCs/>
          <w:iCs/>
        </w:rPr>
        <w:t xml:space="preserve">advice recommended consideration of those </w:t>
      </w:r>
      <w:r>
        <w:t>a</w:t>
      </w:r>
      <w:r w:rsidRPr="00F869A8">
        <w:rPr>
          <w:bCs/>
          <w:iCs/>
        </w:rPr>
        <w:t xml:space="preserve">ged </w:t>
      </w:r>
      <w:r w:rsidR="00E2719A">
        <w:rPr>
          <w:rFonts w:cs="Calibri"/>
          <w:bCs/>
          <w:iCs/>
        </w:rPr>
        <w:t>≥</w:t>
      </w:r>
      <w:r w:rsidRPr="00F869A8">
        <w:rPr>
          <w:bCs/>
          <w:iCs/>
        </w:rPr>
        <w:t>60</w:t>
      </w:r>
      <w:r>
        <w:rPr>
          <w:bCs/>
          <w:iCs/>
        </w:rPr>
        <w:t xml:space="preserve"> YOA</w:t>
      </w:r>
      <w:r w:rsidRPr="00F869A8">
        <w:rPr>
          <w:bCs/>
          <w:iCs/>
        </w:rPr>
        <w:t xml:space="preserve"> years with comorbidities or social factors likely to increase the risk of severe RSV or hospitalisation,</w:t>
      </w:r>
      <w:r w:rsidRPr="00F869A8">
        <w:rPr>
          <w:iCs/>
        </w:rPr>
        <w:t xml:space="preserve"> including: chronic respiratory conditions (e.g. chronic obstructive pulmonary disease, asthma); immunocompromising conditions (e.g. solid malignancy, haematological malignancy); diabetes mellitus; chronic kidney disease; chronic neurological conditions which increase the risk of respiratory infection; and Indigenous status</w:t>
      </w:r>
      <w:r>
        <w:rPr>
          <w:iCs/>
        </w:rPr>
        <w:t>.</w:t>
      </w:r>
      <w:r w:rsidRPr="00F869A8">
        <w:rPr>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69C6" w14:textId="77777777" w:rsidR="009C1C28" w:rsidRDefault="009C1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E204" w14:textId="206A5ADF" w:rsidR="004263E4" w:rsidRPr="001F4410" w:rsidRDefault="00851908" w:rsidP="00D822E2">
    <w:pPr>
      <w:pStyle w:val="Header"/>
      <w:rPr>
        <w:rFonts w:asciiTheme="minorHAnsi" w:hAnsiTheme="minorHAnsi"/>
        <w:i/>
      </w:rPr>
    </w:pPr>
    <w:r w:rsidRPr="001F4410">
      <w:rPr>
        <w:rFonts w:asciiTheme="minorHAnsi" w:hAnsiTheme="minorHAnsi"/>
        <w:i/>
      </w:rPr>
      <w:t xml:space="preserve">Public Summary Document </w:t>
    </w:r>
    <w:r w:rsidR="00013F14" w:rsidRPr="001F4410">
      <w:rPr>
        <w:rFonts w:asciiTheme="minorHAnsi" w:hAnsiTheme="minorHAnsi"/>
        <w:i/>
      </w:rPr>
      <w:t xml:space="preserve">– </w:t>
    </w:r>
    <w:r w:rsidR="004263E4" w:rsidRPr="001F4410">
      <w:rPr>
        <w:rFonts w:asciiTheme="minorHAnsi" w:hAnsiTheme="minorHAnsi"/>
        <w:i/>
      </w:rPr>
      <w:t>July 2024 PBAC Meeting</w:t>
    </w:r>
  </w:p>
  <w:p w14:paraId="03AF943B" w14:textId="77777777" w:rsidR="004263E4" w:rsidRPr="008C7ECB" w:rsidRDefault="00426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3017B" w14:textId="77777777" w:rsidR="009C1C28" w:rsidRDefault="009C1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2C818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C65951"/>
    <w:multiLevelType w:val="hybridMultilevel"/>
    <w:tmpl w:val="0CD2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930F46"/>
    <w:multiLevelType w:val="hybridMultilevel"/>
    <w:tmpl w:val="4E8E16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613AAE"/>
    <w:multiLevelType w:val="hybridMultilevel"/>
    <w:tmpl w:val="C33A16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0CE2936"/>
    <w:multiLevelType w:val="multilevel"/>
    <w:tmpl w:val="0B228506"/>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1E0CDB"/>
    <w:multiLevelType w:val="hybridMultilevel"/>
    <w:tmpl w:val="C484B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703E1B"/>
    <w:multiLevelType w:val="hybridMultilevel"/>
    <w:tmpl w:val="B67A0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51464C"/>
    <w:multiLevelType w:val="hybridMultilevel"/>
    <w:tmpl w:val="3A043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95A2CD5"/>
    <w:multiLevelType w:val="hybridMultilevel"/>
    <w:tmpl w:val="59800C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CD5CF2"/>
    <w:multiLevelType w:val="hybridMultilevel"/>
    <w:tmpl w:val="0C1E1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16037"/>
    <w:multiLevelType w:val="hybridMultilevel"/>
    <w:tmpl w:val="D0166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219DF"/>
    <w:multiLevelType w:val="hybridMultilevel"/>
    <w:tmpl w:val="5F467074"/>
    <w:lvl w:ilvl="0" w:tplc="9DF8AEA0">
      <w:start w:val="1"/>
      <w:numFmt w:val="bullet"/>
      <w:lvlText w:val=""/>
      <w:lvlJc w:val="left"/>
      <w:pPr>
        <w:ind w:left="720" w:hanging="360"/>
      </w:pPr>
      <w:rPr>
        <w:rFonts w:ascii="Symbol" w:hAnsi="Symbol"/>
      </w:rPr>
    </w:lvl>
    <w:lvl w:ilvl="1" w:tplc="B906B74C">
      <w:start w:val="1"/>
      <w:numFmt w:val="bullet"/>
      <w:lvlText w:val=""/>
      <w:lvlJc w:val="left"/>
      <w:pPr>
        <w:ind w:left="720" w:hanging="360"/>
      </w:pPr>
      <w:rPr>
        <w:rFonts w:ascii="Symbol" w:hAnsi="Symbol"/>
      </w:rPr>
    </w:lvl>
    <w:lvl w:ilvl="2" w:tplc="7BDC030C">
      <w:start w:val="1"/>
      <w:numFmt w:val="bullet"/>
      <w:lvlText w:val=""/>
      <w:lvlJc w:val="left"/>
      <w:pPr>
        <w:ind w:left="720" w:hanging="360"/>
      </w:pPr>
      <w:rPr>
        <w:rFonts w:ascii="Symbol" w:hAnsi="Symbol"/>
      </w:rPr>
    </w:lvl>
    <w:lvl w:ilvl="3" w:tplc="31BA145E">
      <w:start w:val="1"/>
      <w:numFmt w:val="bullet"/>
      <w:lvlText w:val=""/>
      <w:lvlJc w:val="left"/>
      <w:pPr>
        <w:ind w:left="720" w:hanging="360"/>
      </w:pPr>
      <w:rPr>
        <w:rFonts w:ascii="Symbol" w:hAnsi="Symbol"/>
      </w:rPr>
    </w:lvl>
    <w:lvl w:ilvl="4" w:tplc="9DF0865A">
      <w:start w:val="1"/>
      <w:numFmt w:val="bullet"/>
      <w:lvlText w:val=""/>
      <w:lvlJc w:val="left"/>
      <w:pPr>
        <w:ind w:left="720" w:hanging="360"/>
      </w:pPr>
      <w:rPr>
        <w:rFonts w:ascii="Symbol" w:hAnsi="Symbol"/>
      </w:rPr>
    </w:lvl>
    <w:lvl w:ilvl="5" w:tplc="8B68A83C">
      <w:start w:val="1"/>
      <w:numFmt w:val="bullet"/>
      <w:lvlText w:val=""/>
      <w:lvlJc w:val="left"/>
      <w:pPr>
        <w:ind w:left="720" w:hanging="360"/>
      </w:pPr>
      <w:rPr>
        <w:rFonts w:ascii="Symbol" w:hAnsi="Symbol"/>
      </w:rPr>
    </w:lvl>
    <w:lvl w:ilvl="6" w:tplc="A058CDD0">
      <w:start w:val="1"/>
      <w:numFmt w:val="bullet"/>
      <w:lvlText w:val=""/>
      <w:lvlJc w:val="left"/>
      <w:pPr>
        <w:ind w:left="720" w:hanging="360"/>
      </w:pPr>
      <w:rPr>
        <w:rFonts w:ascii="Symbol" w:hAnsi="Symbol"/>
      </w:rPr>
    </w:lvl>
    <w:lvl w:ilvl="7" w:tplc="278C7460">
      <w:start w:val="1"/>
      <w:numFmt w:val="bullet"/>
      <w:lvlText w:val=""/>
      <w:lvlJc w:val="left"/>
      <w:pPr>
        <w:ind w:left="720" w:hanging="360"/>
      </w:pPr>
      <w:rPr>
        <w:rFonts w:ascii="Symbol" w:hAnsi="Symbol"/>
      </w:rPr>
    </w:lvl>
    <w:lvl w:ilvl="8" w:tplc="29D06796">
      <w:start w:val="1"/>
      <w:numFmt w:val="bullet"/>
      <w:lvlText w:val=""/>
      <w:lvlJc w:val="left"/>
      <w:pPr>
        <w:ind w:left="720" w:hanging="360"/>
      </w:pPr>
      <w:rPr>
        <w:rFonts w:ascii="Symbol" w:hAnsi="Symbol"/>
      </w:rPr>
    </w:lvl>
  </w:abstractNum>
  <w:abstractNum w:abstractNumId="12" w15:restartNumberingAfterBreak="0">
    <w:nsid w:val="42794CB1"/>
    <w:multiLevelType w:val="hybridMultilevel"/>
    <w:tmpl w:val="EBF24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8585F"/>
    <w:multiLevelType w:val="hybridMultilevel"/>
    <w:tmpl w:val="D70A2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AA288F"/>
    <w:multiLevelType w:val="hybridMultilevel"/>
    <w:tmpl w:val="497EE0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E8A2311"/>
    <w:multiLevelType w:val="hybridMultilevel"/>
    <w:tmpl w:val="D23E4D42"/>
    <w:lvl w:ilvl="0" w:tplc="4C7A639A">
      <w:start w:val="1"/>
      <w:numFmt w:val="bullet"/>
      <w:lvlText w:val="•"/>
      <w:lvlJc w:val="left"/>
      <w:pPr>
        <w:tabs>
          <w:tab w:val="num" w:pos="720"/>
        </w:tabs>
        <w:ind w:left="720" w:hanging="360"/>
      </w:pPr>
      <w:rPr>
        <w:rFonts w:ascii="Arial" w:hAnsi="Arial" w:hint="default"/>
      </w:rPr>
    </w:lvl>
    <w:lvl w:ilvl="1" w:tplc="770EC3B4" w:tentative="1">
      <w:start w:val="1"/>
      <w:numFmt w:val="bullet"/>
      <w:lvlText w:val="•"/>
      <w:lvlJc w:val="left"/>
      <w:pPr>
        <w:tabs>
          <w:tab w:val="num" w:pos="1440"/>
        </w:tabs>
        <w:ind w:left="1440" w:hanging="360"/>
      </w:pPr>
      <w:rPr>
        <w:rFonts w:ascii="Arial" w:hAnsi="Arial" w:hint="default"/>
      </w:rPr>
    </w:lvl>
    <w:lvl w:ilvl="2" w:tplc="4AA4E938" w:tentative="1">
      <w:start w:val="1"/>
      <w:numFmt w:val="bullet"/>
      <w:lvlText w:val="•"/>
      <w:lvlJc w:val="left"/>
      <w:pPr>
        <w:tabs>
          <w:tab w:val="num" w:pos="2160"/>
        </w:tabs>
        <w:ind w:left="2160" w:hanging="360"/>
      </w:pPr>
      <w:rPr>
        <w:rFonts w:ascii="Arial" w:hAnsi="Arial" w:hint="default"/>
      </w:rPr>
    </w:lvl>
    <w:lvl w:ilvl="3" w:tplc="B23A0D1E" w:tentative="1">
      <w:start w:val="1"/>
      <w:numFmt w:val="bullet"/>
      <w:lvlText w:val="•"/>
      <w:lvlJc w:val="left"/>
      <w:pPr>
        <w:tabs>
          <w:tab w:val="num" w:pos="2880"/>
        </w:tabs>
        <w:ind w:left="2880" w:hanging="360"/>
      </w:pPr>
      <w:rPr>
        <w:rFonts w:ascii="Arial" w:hAnsi="Arial" w:hint="default"/>
      </w:rPr>
    </w:lvl>
    <w:lvl w:ilvl="4" w:tplc="8AE039D6" w:tentative="1">
      <w:start w:val="1"/>
      <w:numFmt w:val="bullet"/>
      <w:lvlText w:val="•"/>
      <w:lvlJc w:val="left"/>
      <w:pPr>
        <w:tabs>
          <w:tab w:val="num" w:pos="3600"/>
        </w:tabs>
        <w:ind w:left="3600" w:hanging="360"/>
      </w:pPr>
      <w:rPr>
        <w:rFonts w:ascii="Arial" w:hAnsi="Arial" w:hint="default"/>
      </w:rPr>
    </w:lvl>
    <w:lvl w:ilvl="5" w:tplc="552CEB88" w:tentative="1">
      <w:start w:val="1"/>
      <w:numFmt w:val="bullet"/>
      <w:lvlText w:val="•"/>
      <w:lvlJc w:val="left"/>
      <w:pPr>
        <w:tabs>
          <w:tab w:val="num" w:pos="4320"/>
        </w:tabs>
        <w:ind w:left="4320" w:hanging="360"/>
      </w:pPr>
      <w:rPr>
        <w:rFonts w:ascii="Arial" w:hAnsi="Arial" w:hint="default"/>
      </w:rPr>
    </w:lvl>
    <w:lvl w:ilvl="6" w:tplc="6B806686" w:tentative="1">
      <w:start w:val="1"/>
      <w:numFmt w:val="bullet"/>
      <w:lvlText w:val="•"/>
      <w:lvlJc w:val="left"/>
      <w:pPr>
        <w:tabs>
          <w:tab w:val="num" w:pos="5040"/>
        </w:tabs>
        <w:ind w:left="5040" w:hanging="360"/>
      </w:pPr>
      <w:rPr>
        <w:rFonts w:ascii="Arial" w:hAnsi="Arial" w:hint="default"/>
      </w:rPr>
    </w:lvl>
    <w:lvl w:ilvl="7" w:tplc="B2C25D30" w:tentative="1">
      <w:start w:val="1"/>
      <w:numFmt w:val="bullet"/>
      <w:lvlText w:val="•"/>
      <w:lvlJc w:val="left"/>
      <w:pPr>
        <w:tabs>
          <w:tab w:val="num" w:pos="5760"/>
        </w:tabs>
        <w:ind w:left="5760" w:hanging="360"/>
      </w:pPr>
      <w:rPr>
        <w:rFonts w:ascii="Arial" w:hAnsi="Arial" w:hint="default"/>
      </w:rPr>
    </w:lvl>
    <w:lvl w:ilvl="8" w:tplc="5ADAB8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0C47CB6"/>
    <w:multiLevelType w:val="hybridMultilevel"/>
    <w:tmpl w:val="68E81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65A4A98"/>
    <w:multiLevelType w:val="hybridMultilevel"/>
    <w:tmpl w:val="E716D0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9B813E9"/>
    <w:multiLevelType w:val="hybridMultilevel"/>
    <w:tmpl w:val="F5848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A3C06"/>
    <w:multiLevelType w:val="hybridMultilevel"/>
    <w:tmpl w:val="CEE6F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011D83"/>
    <w:multiLevelType w:val="hybridMultilevel"/>
    <w:tmpl w:val="80F4A3EA"/>
    <w:lvl w:ilvl="0" w:tplc="0C090001">
      <w:start w:val="1"/>
      <w:numFmt w:val="bullet"/>
      <w:lvlText w:val=""/>
      <w:lvlJc w:val="left"/>
      <w:pPr>
        <w:ind w:left="720" w:hanging="360"/>
      </w:pPr>
      <w:rPr>
        <w:rFonts w:ascii="Symbol" w:hAnsi="Symbol" w:hint="default"/>
      </w:rPr>
    </w:lvl>
    <w:lvl w:ilvl="1" w:tplc="EC40E2B8">
      <w:start w:val="1"/>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EC272B"/>
    <w:multiLevelType w:val="hybridMultilevel"/>
    <w:tmpl w:val="50089BAA"/>
    <w:lvl w:ilvl="0" w:tplc="0C090001">
      <w:start w:val="1"/>
      <w:numFmt w:val="bullet"/>
      <w:lvlText w:val=""/>
      <w:lvlJc w:val="left"/>
      <w:pPr>
        <w:ind w:left="720" w:hanging="360"/>
      </w:pPr>
      <w:rPr>
        <w:rFonts w:ascii="Symbol" w:hAnsi="Symbol" w:hint="default"/>
      </w:rPr>
    </w:lvl>
    <w:lvl w:ilvl="1" w:tplc="2E802FC4">
      <w:numFmt w:val="bullet"/>
      <w:lvlText w:val="•"/>
      <w:lvlJc w:val="left"/>
      <w:pPr>
        <w:ind w:left="1440" w:hanging="360"/>
      </w:pPr>
      <w:rPr>
        <w:rFonts w:ascii="Calibri" w:eastAsia="Times New Roman" w:hAnsi="Calibri" w:cs="Calibri" w:hint="default"/>
        <w:i/>
        <w:u w:val="single"/>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1C2B99"/>
    <w:multiLevelType w:val="hybridMultilevel"/>
    <w:tmpl w:val="13A4C22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6200576">
    <w:abstractNumId w:val="25"/>
  </w:num>
  <w:num w:numId="2" w16cid:durableId="1347094280">
    <w:abstractNumId w:val="13"/>
  </w:num>
  <w:num w:numId="3" w16cid:durableId="1197691537">
    <w:abstractNumId w:val="14"/>
  </w:num>
  <w:num w:numId="4" w16cid:durableId="1085153740">
    <w:abstractNumId w:val="0"/>
  </w:num>
  <w:num w:numId="5" w16cid:durableId="285432348">
    <w:abstractNumId w:val="25"/>
  </w:num>
  <w:num w:numId="6" w16cid:durableId="821585460">
    <w:abstractNumId w:val="26"/>
  </w:num>
  <w:num w:numId="7" w16cid:durableId="447702718">
    <w:abstractNumId w:val="19"/>
  </w:num>
  <w:num w:numId="8" w16cid:durableId="1216770961">
    <w:abstractNumId w:val="9"/>
  </w:num>
  <w:num w:numId="9" w16cid:durableId="1933854513">
    <w:abstractNumId w:val="7"/>
  </w:num>
  <w:num w:numId="10" w16cid:durableId="108360796">
    <w:abstractNumId w:val="16"/>
  </w:num>
  <w:num w:numId="11" w16cid:durableId="1454783543">
    <w:abstractNumId w:val="8"/>
  </w:num>
  <w:num w:numId="12" w16cid:durableId="752897415">
    <w:abstractNumId w:val="24"/>
  </w:num>
  <w:num w:numId="13" w16cid:durableId="2029410124">
    <w:abstractNumId w:val="5"/>
  </w:num>
  <w:num w:numId="14" w16cid:durableId="1690135280">
    <w:abstractNumId w:val="2"/>
  </w:num>
  <w:num w:numId="15" w16cid:durableId="1820883225">
    <w:abstractNumId w:val="18"/>
  </w:num>
  <w:num w:numId="16" w16cid:durableId="1377042986">
    <w:abstractNumId w:val="27"/>
  </w:num>
  <w:num w:numId="17" w16cid:durableId="617756742">
    <w:abstractNumId w:val="4"/>
  </w:num>
  <w:num w:numId="18" w16cid:durableId="856309068">
    <w:abstractNumId w:val="22"/>
  </w:num>
  <w:num w:numId="19" w16cid:durableId="1127745597">
    <w:abstractNumId w:val="10"/>
  </w:num>
  <w:num w:numId="20" w16cid:durableId="784809743">
    <w:abstractNumId w:val="15"/>
  </w:num>
  <w:num w:numId="21" w16cid:durableId="168715558">
    <w:abstractNumId w:val="6"/>
  </w:num>
  <w:num w:numId="22" w16cid:durableId="1507599135">
    <w:abstractNumId w:val="23"/>
  </w:num>
  <w:num w:numId="23" w16cid:durableId="647902876">
    <w:abstractNumId w:val="1"/>
  </w:num>
  <w:num w:numId="24" w16cid:durableId="317075374">
    <w:abstractNumId w:val="21"/>
  </w:num>
  <w:num w:numId="25" w16cid:durableId="1307734824">
    <w:abstractNumId w:val="3"/>
  </w:num>
  <w:num w:numId="26" w16cid:durableId="653918680">
    <w:abstractNumId w:val="11"/>
  </w:num>
  <w:num w:numId="27" w16cid:durableId="1823691186">
    <w:abstractNumId w:val="20"/>
  </w:num>
  <w:num w:numId="28" w16cid:durableId="1298729035">
    <w:abstractNumId w:val="17"/>
  </w:num>
  <w:num w:numId="29" w16cid:durableId="397021493">
    <w:abstractNumId w:val="12"/>
  </w:num>
  <w:num w:numId="30" w16cid:durableId="858397836">
    <w:abstractNumId w:val="25"/>
  </w:num>
  <w:num w:numId="31" w16cid:durableId="1476489470">
    <w:abstractNumId w:val="25"/>
  </w:num>
  <w:num w:numId="32" w16cid:durableId="165880144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05"/>
    <w:rsid w:val="00000790"/>
    <w:rsid w:val="0000110B"/>
    <w:rsid w:val="000016D0"/>
    <w:rsid w:val="00001950"/>
    <w:rsid w:val="00003499"/>
    <w:rsid w:val="000036E7"/>
    <w:rsid w:val="00003738"/>
    <w:rsid w:val="000039B7"/>
    <w:rsid w:val="000039DF"/>
    <w:rsid w:val="00004194"/>
    <w:rsid w:val="000045CB"/>
    <w:rsid w:val="00004C6E"/>
    <w:rsid w:val="000052E7"/>
    <w:rsid w:val="000056B9"/>
    <w:rsid w:val="00006164"/>
    <w:rsid w:val="0000639A"/>
    <w:rsid w:val="000077E8"/>
    <w:rsid w:val="00007DE4"/>
    <w:rsid w:val="0001045B"/>
    <w:rsid w:val="00010605"/>
    <w:rsid w:val="000106A6"/>
    <w:rsid w:val="00010786"/>
    <w:rsid w:val="00010926"/>
    <w:rsid w:val="00010F34"/>
    <w:rsid w:val="00013247"/>
    <w:rsid w:val="00013DBA"/>
    <w:rsid w:val="00013F14"/>
    <w:rsid w:val="00013FD4"/>
    <w:rsid w:val="0001432F"/>
    <w:rsid w:val="0001442D"/>
    <w:rsid w:val="000153C0"/>
    <w:rsid w:val="00015886"/>
    <w:rsid w:val="000162EF"/>
    <w:rsid w:val="000168BA"/>
    <w:rsid w:val="000203C9"/>
    <w:rsid w:val="000207C9"/>
    <w:rsid w:val="000209B3"/>
    <w:rsid w:val="00020AA4"/>
    <w:rsid w:val="00021884"/>
    <w:rsid w:val="0002225F"/>
    <w:rsid w:val="00023763"/>
    <w:rsid w:val="000243FE"/>
    <w:rsid w:val="00024EB5"/>
    <w:rsid w:val="00025146"/>
    <w:rsid w:val="0002640D"/>
    <w:rsid w:val="00026775"/>
    <w:rsid w:val="000269D7"/>
    <w:rsid w:val="00026D11"/>
    <w:rsid w:val="00026F7A"/>
    <w:rsid w:val="00027366"/>
    <w:rsid w:val="000274B8"/>
    <w:rsid w:val="000307AC"/>
    <w:rsid w:val="00030A7A"/>
    <w:rsid w:val="00032281"/>
    <w:rsid w:val="00032B08"/>
    <w:rsid w:val="0003366D"/>
    <w:rsid w:val="00033863"/>
    <w:rsid w:val="000339E5"/>
    <w:rsid w:val="00035453"/>
    <w:rsid w:val="00035DC0"/>
    <w:rsid w:val="000360AF"/>
    <w:rsid w:val="000361B2"/>
    <w:rsid w:val="00036346"/>
    <w:rsid w:val="00036705"/>
    <w:rsid w:val="00036829"/>
    <w:rsid w:val="00036EFD"/>
    <w:rsid w:val="0003797B"/>
    <w:rsid w:val="00037FA3"/>
    <w:rsid w:val="000402B3"/>
    <w:rsid w:val="00040895"/>
    <w:rsid w:val="0004089C"/>
    <w:rsid w:val="00040A1D"/>
    <w:rsid w:val="00040E7A"/>
    <w:rsid w:val="000410A0"/>
    <w:rsid w:val="0004123C"/>
    <w:rsid w:val="000419D0"/>
    <w:rsid w:val="00041A6D"/>
    <w:rsid w:val="000420D5"/>
    <w:rsid w:val="00042322"/>
    <w:rsid w:val="000424E9"/>
    <w:rsid w:val="00042CBB"/>
    <w:rsid w:val="000435EE"/>
    <w:rsid w:val="00043C37"/>
    <w:rsid w:val="00044351"/>
    <w:rsid w:val="000443F7"/>
    <w:rsid w:val="00045017"/>
    <w:rsid w:val="00045A2B"/>
    <w:rsid w:val="00046527"/>
    <w:rsid w:val="0004698F"/>
    <w:rsid w:val="00046D64"/>
    <w:rsid w:val="00047E69"/>
    <w:rsid w:val="000508C2"/>
    <w:rsid w:val="00051933"/>
    <w:rsid w:val="00051B7D"/>
    <w:rsid w:val="00052402"/>
    <w:rsid w:val="0005244E"/>
    <w:rsid w:val="00052476"/>
    <w:rsid w:val="000526A4"/>
    <w:rsid w:val="000539D0"/>
    <w:rsid w:val="000539E7"/>
    <w:rsid w:val="00053B12"/>
    <w:rsid w:val="00053BCE"/>
    <w:rsid w:val="00053E5C"/>
    <w:rsid w:val="00053F46"/>
    <w:rsid w:val="00054621"/>
    <w:rsid w:val="000546D7"/>
    <w:rsid w:val="00054A8D"/>
    <w:rsid w:val="00054E49"/>
    <w:rsid w:val="00055453"/>
    <w:rsid w:val="00055DC8"/>
    <w:rsid w:val="000565B5"/>
    <w:rsid w:val="00056ECF"/>
    <w:rsid w:val="00057022"/>
    <w:rsid w:val="000570DA"/>
    <w:rsid w:val="00057267"/>
    <w:rsid w:val="000604DF"/>
    <w:rsid w:val="000622D5"/>
    <w:rsid w:val="00062324"/>
    <w:rsid w:val="00064868"/>
    <w:rsid w:val="00064D78"/>
    <w:rsid w:val="00065240"/>
    <w:rsid w:val="000653B5"/>
    <w:rsid w:val="00065B90"/>
    <w:rsid w:val="00066348"/>
    <w:rsid w:val="00066360"/>
    <w:rsid w:val="00066AF8"/>
    <w:rsid w:val="00067361"/>
    <w:rsid w:val="000674B8"/>
    <w:rsid w:val="000675D7"/>
    <w:rsid w:val="00070A66"/>
    <w:rsid w:val="00071248"/>
    <w:rsid w:val="000714E3"/>
    <w:rsid w:val="00071B82"/>
    <w:rsid w:val="00071FFD"/>
    <w:rsid w:val="000720B9"/>
    <w:rsid w:val="00073313"/>
    <w:rsid w:val="000737F7"/>
    <w:rsid w:val="0007394E"/>
    <w:rsid w:val="000742FE"/>
    <w:rsid w:val="00074371"/>
    <w:rsid w:val="00074383"/>
    <w:rsid w:val="000744A0"/>
    <w:rsid w:val="0007489C"/>
    <w:rsid w:val="00074CDF"/>
    <w:rsid w:val="0007550F"/>
    <w:rsid w:val="00075889"/>
    <w:rsid w:val="00075CE1"/>
    <w:rsid w:val="000764F2"/>
    <w:rsid w:val="0007672F"/>
    <w:rsid w:val="00076B54"/>
    <w:rsid w:val="00076D04"/>
    <w:rsid w:val="00076D6C"/>
    <w:rsid w:val="00077472"/>
    <w:rsid w:val="000774F0"/>
    <w:rsid w:val="00077C0B"/>
    <w:rsid w:val="0008034D"/>
    <w:rsid w:val="000807F9"/>
    <w:rsid w:val="00080909"/>
    <w:rsid w:val="000812CA"/>
    <w:rsid w:val="00081B54"/>
    <w:rsid w:val="00081E63"/>
    <w:rsid w:val="00082188"/>
    <w:rsid w:val="0008258D"/>
    <w:rsid w:val="000827CC"/>
    <w:rsid w:val="0008298A"/>
    <w:rsid w:val="00082C8D"/>
    <w:rsid w:val="00083503"/>
    <w:rsid w:val="000839F7"/>
    <w:rsid w:val="00083D45"/>
    <w:rsid w:val="00083E99"/>
    <w:rsid w:val="000843C8"/>
    <w:rsid w:val="0008451E"/>
    <w:rsid w:val="00084973"/>
    <w:rsid w:val="00084A40"/>
    <w:rsid w:val="00084AC2"/>
    <w:rsid w:val="00084F2B"/>
    <w:rsid w:val="00084FA8"/>
    <w:rsid w:val="000856C5"/>
    <w:rsid w:val="00085C1A"/>
    <w:rsid w:val="00085C31"/>
    <w:rsid w:val="000863A8"/>
    <w:rsid w:val="000867BA"/>
    <w:rsid w:val="000902D9"/>
    <w:rsid w:val="000902F6"/>
    <w:rsid w:val="00090C7E"/>
    <w:rsid w:val="00090DB1"/>
    <w:rsid w:val="000911AC"/>
    <w:rsid w:val="000919E2"/>
    <w:rsid w:val="00091F3A"/>
    <w:rsid w:val="00092270"/>
    <w:rsid w:val="000922A7"/>
    <w:rsid w:val="000922BB"/>
    <w:rsid w:val="000925F6"/>
    <w:rsid w:val="00092600"/>
    <w:rsid w:val="0009262B"/>
    <w:rsid w:val="000926DA"/>
    <w:rsid w:val="00093310"/>
    <w:rsid w:val="00094227"/>
    <w:rsid w:val="0009445C"/>
    <w:rsid w:val="00094907"/>
    <w:rsid w:val="00094AA5"/>
    <w:rsid w:val="00094C0D"/>
    <w:rsid w:val="00095200"/>
    <w:rsid w:val="00095419"/>
    <w:rsid w:val="000958B8"/>
    <w:rsid w:val="00095BAD"/>
    <w:rsid w:val="00095CC0"/>
    <w:rsid w:val="00095DAE"/>
    <w:rsid w:val="00095E12"/>
    <w:rsid w:val="00095FE5"/>
    <w:rsid w:val="00096284"/>
    <w:rsid w:val="00096392"/>
    <w:rsid w:val="00096A0F"/>
    <w:rsid w:val="00096BF6"/>
    <w:rsid w:val="00097A01"/>
    <w:rsid w:val="00097AA7"/>
    <w:rsid w:val="00097DEC"/>
    <w:rsid w:val="000A0776"/>
    <w:rsid w:val="000A0BC5"/>
    <w:rsid w:val="000A1266"/>
    <w:rsid w:val="000A169B"/>
    <w:rsid w:val="000A1B4E"/>
    <w:rsid w:val="000A1BC0"/>
    <w:rsid w:val="000A2948"/>
    <w:rsid w:val="000A2BB1"/>
    <w:rsid w:val="000A2F9E"/>
    <w:rsid w:val="000A3044"/>
    <w:rsid w:val="000A3E47"/>
    <w:rsid w:val="000A4FC4"/>
    <w:rsid w:val="000A522B"/>
    <w:rsid w:val="000A5888"/>
    <w:rsid w:val="000A58A3"/>
    <w:rsid w:val="000A6039"/>
    <w:rsid w:val="000A65E6"/>
    <w:rsid w:val="000A7058"/>
    <w:rsid w:val="000A7453"/>
    <w:rsid w:val="000A7D08"/>
    <w:rsid w:val="000B0121"/>
    <w:rsid w:val="000B0380"/>
    <w:rsid w:val="000B0568"/>
    <w:rsid w:val="000B0670"/>
    <w:rsid w:val="000B0E75"/>
    <w:rsid w:val="000B15AB"/>
    <w:rsid w:val="000B1F73"/>
    <w:rsid w:val="000B1FC6"/>
    <w:rsid w:val="000B2DCB"/>
    <w:rsid w:val="000B3B7C"/>
    <w:rsid w:val="000B3C7F"/>
    <w:rsid w:val="000B46C8"/>
    <w:rsid w:val="000B47EE"/>
    <w:rsid w:val="000B4C2D"/>
    <w:rsid w:val="000B5545"/>
    <w:rsid w:val="000B5748"/>
    <w:rsid w:val="000B57E1"/>
    <w:rsid w:val="000B5CE0"/>
    <w:rsid w:val="000B6047"/>
    <w:rsid w:val="000B66F7"/>
    <w:rsid w:val="000B6CAC"/>
    <w:rsid w:val="000B7190"/>
    <w:rsid w:val="000B7612"/>
    <w:rsid w:val="000B7656"/>
    <w:rsid w:val="000B7692"/>
    <w:rsid w:val="000B78AE"/>
    <w:rsid w:val="000C011E"/>
    <w:rsid w:val="000C0D54"/>
    <w:rsid w:val="000C10A9"/>
    <w:rsid w:val="000C12CB"/>
    <w:rsid w:val="000C275D"/>
    <w:rsid w:val="000C27A8"/>
    <w:rsid w:val="000C27E2"/>
    <w:rsid w:val="000C3DF9"/>
    <w:rsid w:val="000C4805"/>
    <w:rsid w:val="000C4CF2"/>
    <w:rsid w:val="000C4CFC"/>
    <w:rsid w:val="000C5350"/>
    <w:rsid w:val="000C6713"/>
    <w:rsid w:val="000C6C0A"/>
    <w:rsid w:val="000C6FD9"/>
    <w:rsid w:val="000C74C7"/>
    <w:rsid w:val="000C76D6"/>
    <w:rsid w:val="000C7B3A"/>
    <w:rsid w:val="000C7D75"/>
    <w:rsid w:val="000D0D77"/>
    <w:rsid w:val="000D0EFA"/>
    <w:rsid w:val="000D10C2"/>
    <w:rsid w:val="000D18FF"/>
    <w:rsid w:val="000D1919"/>
    <w:rsid w:val="000D1BFC"/>
    <w:rsid w:val="000D1D5D"/>
    <w:rsid w:val="000D281A"/>
    <w:rsid w:val="000D2848"/>
    <w:rsid w:val="000D2D7F"/>
    <w:rsid w:val="000D326A"/>
    <w:rsid w:val="000D4638"/>
    <w:rsid w:val="000D50D5"/>
    <w:rsid w:val="000D51DB"/>
    <w:rsid w:val="000D51FB"/>
    <w:rsid w:val="000D554B"/>
    <w:rsid w:val="000D6339"/>
    <w:rsid w:val="000D6384"/>
    <w:rsid w:val="000D76AE"/>
    <w:rsid w:val="000D7FA2"/>
    <w:rsid w:val="000E0640"/>
    <w:rsid w:val="000E07CC"/>
    <w:rsid w:val="000E0B0D"/>
    <w:rsid w:val="000E0F48"/>
    <w:rsid w:val="000E135D"/>
    <w:rsid w:val="000E253C"/>
    <w:rsid w:val="000E331B"/>
    <w:rsid w:val="000E4564"/>
    <w:rsid w:val="000E50D6"/>
    <w:rsid w:val="000E574D"/>
    <w:rsid w:val="000E6481"/>
    <w:rsid w:val="000E6715"/>
    <w:rsid w:val="000E6949"/>
    <w:rsid w:val="000F00BA"/>
    <w:rsid w:val="000F056E"/>
    <w:rsid w:val="000F08C8"/>
    <w:rsid w:val="000F2032"/>
    <w:rsid w:val="000F2816"/>
    <w:rsid w:val="000F316A"/>
    <w:rsid w:val="000F3553"/>
    <w:rsid w:val="000F3C74"/>
    <w:rsid w:val="000F4B31"/>
    <w:rsid w:val="000F4B74"/>
    <w:rsid w:val="000F4BB8"/>
    <w:rsid w:val="000F4FA9"/>
    <w:rsid w:val="000F53FB"/>
    <w:rsid w:val="000F5897"/>
    <w:rsid w:val="000F5B82"/>
    <w:rsid w:val="000F6944"/>
    <w:rsid w:val="000F7074"/>
    <w:rsid w:val="000F7127"/>
    <w:rsid w:val="000F74EC"/>
    <w:rsid w:val="000F769B"/>
    <w:rsid w:val="000F76C2"/>
    <w:rsid w:val="000F7B54"/>
    <w:rsid w:val="001000B3"/>
    <w:rsid w:val="00100641"/>
    <w:rsid w:val="00100F8A"/>
    <w:rsid w:val="00101D82"/>
    <w:rsid w:val="00101ECB"/>
    <w:rsid w:val="00101F19"/>
    <w:rsid w:val="00102633"/>
    <w:rsid w:val="001026F5"/>
    <w:rsid w:val="00102772"/>
    <w:rsid w:val="00102CC7"/>
    <w:rsid w:val="00103880"/>
    <w:rsid w:val="0010452E"/>
    <w:rsid w:val="00104E55"/>
    <w:rsid w:val="001053A0"/>
    <w:rsid w:val="00105AE2"/>
    <w:rsid w:val="00105BA5"/>
    <w:rsid w:val="00105C9E"/>
    <w:rsid w:val="00106008"/>
    <w:rsid w:val="001060C6"/>
    <w:rsid w:val="0010617E"/>
    <w:rsid w:val="00106B80"/>
    <w:rsid w:val="00106E71"/>
    <w:rsid w:val="00107580"/>
    <w:rsid w:val="00107A17"/>
    <w:rsid w:val="00107E23"/>
    <w:rsid w:val="00107F2A"/>
    <w:rsid w:val="0011032E"/>
    <w:rsid w:val="00110AB4"/>
    <w:rsid w:val="00110B25"/>
    <w:rsid w:val="0011107D"/>
    <w:rsid w:val="0011129D"/>
    <w:rsid w:val="001117C1"/>
    <w:rsid w:val="00112DCA"/>
    <w:rsid w:val="0011348B"/>
    <w:rsid w:val="00113832"/>
    <w:rsid w:val="00113D31"/>
    <w:rsid w:val="001142B1"/>
    <w:rsid w:val="001144F0"/>
    <w:rsid w:val="0011583D"/>
    <w:rsid w:val="00115922"/>
    <w:rsid w:val="00115982"/>
    <w:rsid w:val="00116C53"/>
    <w:rsid w:val="001171D2"/>
    <w:rsid w:val="001208E6"/>
    <w:rsid w:val="001213CB"/>
    <w:rsid w:val="00121799"/>
    <w:rsid w:val="001218D9"/>
    <w:rsid w:val="00121912"/>
    <w:rsid w:val="00121B9E"/>
    <w:rsid w:val="001222FC"/>
    <w:rsid w:val="00122834"/>
    <w:rsid w:val="00122DF9"/>
    <w:rsid w:val="00123902"/>
    <w:rsid w:val="00124456"/>
    <w:rsid w:val="0012447B"/>
    <w:rsid w:val="0012450F"/>
    <w:rsid w:val="00124A51"/>
    <w:rsid w:val="00124B32"/>
    <w:rsid w:val="00124DD4"/>
    <w:rsid w:val="00125342"/>
    <w:rsid w:val="00126621"/>
    <w:rsid w:val="001266A5"/>
    <w:rsid w:val="00126B1D"/>
    <w:rsid w:val="00126C5C"/>
    <w:rsid w:val="00126F20"/>
    <w:rsid w:val="00126F3C"/>
    <w:rsid w:val="00127052"/>
    <w:rsid w:val="00127275"/>
    <w:rsid w:val="0012775B"/>
    <w:rsid w:val="001301E9"/>
    <w:rsid w:val="0013110E"/>
    <w:rsid w:val="00131621"/>
    <w:rsid w:val="001316CF"/>
    <w:rsid w:val="00131D82"/>
    <w:rsid w:val="0013231D"/>
    <w:rsid w:val="00132930"/>
    <w:rsid w:val="00132B22"/>
    <w:rsid w:val="00132C73"/>
    <w:rsid w:val="0013358B"/>
    <w:rsid w:val="00133999"/>
    <w:rsid w:val="00133D36"/>
    <w:rsid w:val="00133F34"/>
    <w:rsid w:val="00134B00"/>
    <w:rsid w:val="0013508B"/>
    <w:rsid w:val="001357A7"/>
    <w:rsid w:val="00135EA2"/>
    <w:rsid w:val="00136447"/>
    <w:rsid w:val="0013693B"/>
    <w:rsid w:val="00136C77"/>
    <w:rsid w:val="00137401"/>
    <w:rsid w:val="00137645"/>
    <w:rsid w:val="001379C1"/>
    <w:rsid w:val="00137FAB"/>
    <w:rsid w:val="0014015A"/>
    <w:rsid w:val="00140482"/>
    <w:rsid w:val="00140541"/>
    <w:rsid w:val="00140E99"/>
    <w:rsid w:val="00141E2A"/>
    <w:rsid w:val="00142CDB"/>
    <w:rsid w:val="0014314D"/>
    <w:rsid w:val="0014354F"/>
    <w:rsid w:val="00143901"/>
    <w:rsid w:val="00143D53"/>
    <w:rsid w:val="00143F67"/>
    <w:rsid w:val="00145167"/>
    <w:rsid w:val="00145234"/>
    <w:rsid w:val="00145540"/>
    <w:rsid w:val="001456B0"/>
    <w:rsid w:val="00145F76"/>
    <w:rsid w:val="001462F9"/>
    <w:rsid w:val="00146524"/>
    <w:rsid w:val="00146904"/>
    <w:rsid w:val="00147549"/>
    <w:rsid w:val="00147830"/>
    <w:rsid w:val="00147A00"/>
    <w:rsid w:val="001502F7"/>
    <w:rsid w:val="00150469"/>
    <w:rsid w:val="0015078E"/>
    <w:rsid w:val="00150CB4"/>
    <w:rsid w:val="00150D72"/>
    <w:rsid w:val="00151259"/>
    <w:rsid w:val="00151A73"/>
    <w:rsid w:val="00152AF5"/>
    <w:rsid w:val="00152C60"/>
    <w:rsid w:val="00152F87"/>
    <w:rsid w:val="00152FFF"/>
    <w:rsid w:val="001539AF"/>
    <w:rsid w:val="0015455D"/>
    <w:rsid w:val="001547AB"/>
    <w:rsid w:val="00154A6C"/>
    <w:rsid w:val="0015569E"/>
    <w:rsid w:val="00155745"/>
    <w:rsid w:val="00155FCA"/>
    <w:rsid w:val="00156F8F"/>
    <w:rsid w:val="00157130"/>
    <w:rsid w:val="001576B1"/>
    <w:rsid w:val="00157AFB"/>
    <w:rsid w:val="00160076"/>
    <w:rsid w:val="0016047B"/>
    <w:rsid w:val="001607DE"/>
    <w:rsid w:val="00160A4C"/>
    <w:rsid w:val="00160D8B"/>
    <w:rsid w:val="001611DC"/>
    <w:rsid w:val="00161307"/>
    <w:rsid w:val="001615D1"/>
    <w:rsid w:val="001624FF"/>
    <w:rsid w:val="00162913"/>
    <w:rsid w:val="00163DD1"/>
    <w:rsid w:val="00163EFF"/>
    <w:rsid w:val="00163F66"/>
    <w:rsid w:val="001644CF"/>
    <w:rsid w:val="0016478E"/>
    <w:rsid w:val="00164D50"/>
    <w:rsid w:val="00165EC4"/>
    <w:rsid w:val="001661FB"/>
    <w:rsid w:val="001671A0"/>
    <w:rsid w:val="0016767F"/>
    <w:rsid w:val="00170F42"/>
    <w:rsid w:val="00171270"/>
    <w:rsid w:val="00171E5B"/>
    <w:rsid w:val="001720C9"/>
    <w:rsid w:val="00172562"/>
    <w:rsid w:val="00172B5F"/>
    <w:rsid w:val="001733B3"/>
    <w:rsid w:val="001733BB"/>
    <w:rsid w:val="00173565"/>
    <w:rsid w:val="00173794"/>
    <w:rsid w:val="00173B07"/>
    <w:rsid w:val="00173F41"/>
    <w:rsid w:val="00174A87"/>
    <w:rsid w:val="001751FA"/>
    <w:rsid w:val="00176651"/>
    <w:rsid w:val="00176C22"/>
    <w:rsid w:val="00176F05"/>
    <w:rsid w:val="00177218"/>
    <w:rsid w:val="00177255"/>
    <w:rsid w:val="00180099"/>
    <w:rsid w:val="001801D8"/>
    <w:rsid w:val="00181C10"/>
    <w:rsid w:val="00181D9C"/>
    <w:rsid w:val="0018214B"/>
    <w:rsid w:val="00183008"/>
    <w:rsid w:val="001837FF"/>
    <w:rsid w:val="0018435E"/>
    <w:rsid w:val="0018496D"/>
    <w:rsid w:val="00184B0E"/>
    <w:rsid w:val="00185943"/>
    <w:rsid w:val="00186E98"/>
    <w:rsid w:val="00187358"/>
    <w:rsid w:val="0018752F"/>
    <w:rsid w:val="00187675"/>
    <w:rsid w:val="0018774F"/>
    <w:rsid w:val="001908BE"/>
    <w:rsid w:val="00191458"/>
    <w:rsid w:val="00192978"/>
    <w:rsid w:val="00192F4E"/>
    <w:rsid w:val="00193838"/>
    <w:rsid w:val="00193C0A"/>
    <w:rsid w:val="00194112"/>
    <w:rsid w:val="00194382"/>
    <w:rsid w:val="00194AD8"/>
    <w:rsid w:val="00194F04"/>
    <w:rsid w:val="001950C6"/>
    <w:rsid w:val="00195222"/>
    <w:rsid w:val="00195452"/>
    <w:rsid w:val="00196341"/>
    <w:rsid w:val="001968DB"/>
    <w:rsid w:val="001975D8"/>
    <w:rsid w:val="00197606"/>
    <w:rsid w:val="00197664"/>
    <w:rsid w:val="001A0A56"/>
    <w:rsid w:val="001A0C31"/>
    <w:rsid w:val="001A1502"/>
    <w:rsid w:val="001A178E"/>
    <w:rsid w:val="001A358A"/>
    <w:rsid w:val="001A3DE9"/>
    <w:rsid w:val="001A4322"/>
    <w:rsid w:val="001A43FA"/>
    <w:rsid w:val="001A47C5"/>
    <w:rsid w:val="001A4956"/>
    <w:rsid w:val="001A4D8A"/>
    <w:rsid w:val="001A4F87"/>
    <w:rsid w:val="001A589A"/>
    <w:rsid w:val="001A59FB"/>
    <w:rsid w:val="001A5E9E"/>
    <w:rsid w:val="001A6354"/>
    <w:rsid w:val="001A6366"/>
    <w:rsid w:val="001A64F4"/>
    <w:rsid w:val="001A68C6"/>
    <w:rsid w:val="001A6E96"/>
    <w:rsid w:val="001A6FFA"/>
    <w:rsid w:val="001A7020"/>
    <w:rsid w:val="001A7306"/>
    <w:rsid w:val="001A73E6"/>
    <w:rsid w:val="001A768A"/>
    <w:rsid w:val="001A7AE8"/>
    <w:rsid w:val="001A7BD0"/>
    <w:rsid w:val="001B0F86"/>
    <w:rsid w:val="001B1401"/>
    <w:rsid w:val="001B170D"/>
    <w:rsid w:val="001B17DE"/>
    <w:rsid w:val="001B204E"/>
    <w:rsid w:val="001B2201"/>
    <w:rsid w:val="001B2372"/>
    <w:rsid w:val="001B23AF"/>
    <w:rsid w:val="001B266F"/>
    <w:rsid w:val="001B26C1"/>
    <w:rsid w:val="001B3443"/>
    <w:rsid w:val="001B345D"/>
    <w:rsid w:val="001B41F8"/>
    <w:rsid w:val="001B4769"/>
    <w:rsid w:val="001B4D20"/>
    <w:rsid w:val="001B5458"/>
    <w:rsid w:val="001B5D38"/>
    <w:rsid w:val="001B6739"/>
    <w:rsid w:val="001B6957"/>
    <w:rsid w:val="001B6AC8"/>
    <w:rsid w:val="001B6FBB"/>
    <w:rsid w:val="001B7AC2"/>
    <w:rsid w:val="001B7CBF"/>
    <w:rsid w:val="001B7F5D"/>
    <w:rsid w:val="001B7F84"/>
    <w:rsid w:val="001C0584"/>
    <w:rsid w:val="001C1B2B"/>
    <w:rsid w:val="001C1CD8"/>
    <w:rsid w:val="001C2A9B"/>
    <w:rsid w:val="001C3DD6"/>
    <w:rsid w:val="001C4299"/>
    <w:rsid w:val="001C4874"/>
    <w:rsid w:val="001C4AC1"/>
    <w:rsid w:val="001C54C9"/>
    <w:rsid w:val="001C57F5"/>
    <w:rsid w:val="001C5F94"/>
    <w:rsid w:val="001C623C"/>
    <w:rsid w:val="001C64D1"/>
    <w:rsid w:val="001C6E66"/>
    <w:rsid w:val="001D0324"/>
    <w:rsid w:val="001D06E3"/>
    <w:rsid w:val="001D1100"/>
    <w:rsid w:val="001D1391"/>
    <w:rsid w:val="001D153D"/>
    <w:rsid w:val="001D25D7"/>
    <w:rsid w:val="001D2DC6"/>
    <w:rsid w:val="001D50B2"/>
    <w:rsid w:val="001D5120"/>
    <w:rsid w:val="001D5216"/>
    <w:rsid w:val="001D546B"/>
    <w:rsid w:val="001D55F5"/>
    <w:rsid w:val="001D5D62"/>
    <w:rsid w:val="001D71F4"/>
    <w:rsid w:val="001D7645"/>
    <w:rsid w:val="001D7D2D"/>
    <w:rsid w:val="001E115B"/>
    <w:rsid w:val="001E1E2A"/>
    <w:rsid w:val="001E1E86"/>
    <w:rsid w:val="001E238E"/>
    <w:rsid w:val="001E241F"/>
    <w:rsid w:val="001E2483"/>
    <w:rsid w:val="001E2B1E"/>
    <w:rsid w:val="001E2CFF"/>
    <w:rsid w:val="001E2DFC"/>
    <w:rsid w:val="001E2F24"/>
    <w:rsid w:val="001E30D4"/>
    <w:rsid w:val="001E3213"/>
    <w:rsid w:val="001E34DF"/>
    <w:rsid w:val="001E3AC7"/>
    <w:rsid w:val="001E4D23"/>
    <w:rsid w:val="001E52EB"/>
    <w:rsid w:val="001E61D2"/>
    <w:rsid w:val="001E62D4"/>
    <w:rsid w:val="001E740C"/>
    <w:rsid w:val="001E7A37"/>
    <w:rsid w:val="001F0423"/>
    <w:rsid w:val="001F06A7"/>
    <w:rsid w:val="001F1235"/>
    <w:rsid w:val="001F175D"/>
    <w:rsid w:val="001F1CB3"/>
    <w:rsid w:val="001F201A"/>
    <w:rsid w:val="001F2C30"/>
    <w:rsid w:val="001F2D52"/>
    <w:rsid w:val="001F38B5"/>
    <w:rsid w:val="001F3EDE"/>
    <w:rsid w:val="001F4081"/>
    <w:rsid w:val="001F416A"/>
    <w:rsid w:val="001F4410"/>
    <w:rsid w:val="001F5AFA"/>
    <w:rsid w:val="001F5F82"/>
    <w:rsid w:val="001F6115"/>
    <w:rsid w:val="001F7361"/>
    <w:rsid w:val="001F7629"/>
    <w:rsid w:val="001F7A6C"/>
    <w:rsid w:val="001F7DEB"/>
    <w:rsid w:val="00200B28"/>
    <w:rsid w:val="002011B0"/>
    <w:rsid w:val="00201962"/>
    <w:rsid w:val="00202E08"/>
    <w:rsid w:val="00203181"/>
    <w:rsid w:val="002035D0"/>
    <w:rsid w:val="00203783"/>
    <w:rsid w:val="0020385F"/>
    <w:rsid w:val="00203D78"/>
    <w:rsid w:val="00203DF7"/>
    <w:rsid w:val="00203E5C"/>
    <w:rsid w:val="00204808"/>
    <w:rsid w:val="0020490D"/>
    <w:rsid w:val="00204DE3"/>
    <w:rsid w:val="00204EA0"/>
    <w:rsid w:val="0020552C"/>
    <w:rsid w:val="00205786"/>
    <w:rsid w:val="00205A52"/>
    <w:rsid w:val="002068A0"/>
    <w:rsid w:val="00207021"/>
    <w:rsid w:val="00207243"/>
    <w:rsid w:val="0020732F"/>
    <w:rsid w:val="00207938"/>
    <w:rsid w:val="00207D00"/>
    <w:rsid w:val="002105C1"/>
    <w:rsid w:val="0021083F"/>
    <w:rsid w:val="00210F5E"/>
    <w:rsid w:val="002116FD"/>
    <w:rsid w:val="00211779"/>
    <w:rsid w:val="0021191B"/>
    <w:rsid w:val="00211D38"/>
    <w:rsid w:val="0021238B"/>
    <w:rsid w:val="0021242C"/>
    <w:rsid w:val="00213276"/>
    <w:rsid w:val="00213C0D"/>
    <w:rsid w:val="00213E69"/>
    <w:rsid w:val="00213EF5"/>
    <w:rsid w:val="002141F5"/>
    <w:rsid w:val="00214B7B"/>
    <w:rsid w:val="00215117"/>
    <w:rsid w:val="00215FBA"/>
    <w:rsid w:val="00216BF5"/>
    <w:rsid w:val="002171D7"/>
    <w:rsid w:val="00220476"/>
    <w:rsid w:val="002224A0"/>
    <w:rsid w:val="002235BE"/>
    <w:rsid w:val="00223B49"/>
    <w:rsid w:val="00223D5A"/>
    <w:rsid w:val="00224354"/>
    <w:rsid w:val="00224B65"/>
    <w:rsid w:val="00224DD4"/>
    <w:rsid w:val="002250DE"/>
    <w:rsid w:val="002252DF"/>
    <w:rsid w:val="002259E6"/>
    <w:rsid w:val="00226157"/>
    <w:rsid w:val="00226E52"/>
    <w:rsid w:val="00227600"/>
    <w:rsid w:val="002278A0"/>
    <w:rsid w:val="00227B35"/>
    <w:rsid w:val="002307C9"/>
    <w:rsid w:val="002309CC"/>
    <w:rsid w:val="00230C0C"/>
    <w:rsid w:val="00230C33"/>
    <w:rsid w:val="00231BA9"/>
    <w:rsid w:val="0023209F"/>
    <w:rsid w:val="002333CE"/>
    <w:rsid w:val="00233C01"/>
    <w:rsid w:val="0023413C"/>
    <w:rsid w:val="002346F0"/>
    <w:rsid w:val="0023595C"/>
    <w:rsid w:val="00235D46"/>
    <w:rsid w:val="0023629D"/>
    <w:rsid w:val="00237083"/>
    <w:rsid w:val="00237255"/>
    <w:rsid w:val="00237900"/>
    <w:rsid w:val="002404AA"/>
    <w:rsid w:val="00241886"/>
    <w:rsid w:val="002424AF"/>
    <w:rsid w:val="00243816"/>
    <w:rsid w:val="0024384B"/>
    <w:rsid w:val="002439DC"/>
    <w:rsid w:val="002441D2"/>
    <w:rsid w:val="00244541"/>
    <w:rsid w:val="00244DC8"/>
    <w:rsid w:val="00244FC9"/>
    <w:rsid w:val="002451F7"/>
    <w:rsid w:val="002458BA"/>
    <w:rsid w:val="00245CE9"/>
    <w:rsid w:val="00245D7C"/>
    <w:rsid w:val="00245E51"/>
    <w:rsid w:val="00245EF7"/>
    <w:rsid w:val="0024634D"/>
    <w:rsid w:val="0024636C"/>
    <w:rsid w:val="0024692E"/>
    <w:rsid w:val="00247582"/>
    <w:rsid w:val="00247925"/>
    <w:rsid w:val="002501E1"/>
    <w:rsid w:val="0025059B"/>
    <w:rsid w:val="00251006"/>
    <w:rsid w:val="00251066"/>
    <w:rsid w:val="00251EF6"/>
    <w:rsid w:val="00251F21"/>
    <w:rsid w:val="002524D5"/>
    <w:rsid w:val="00253B1D"/>
    <w:rsid w:val="00254D95"/>
    <w:rsid w:val="00254DCF"/>
    <w:rsid w:val="0025515D"/>
    <w:rsid w:val="0025534B"/>
    <w:rsid w:val="00255637"/>
    <w:rsid w:val="00255BB7"/>
    <w:rsid w:val="002568F0"/>
    <w:rsid w:val="00257024"/>
    <w:rsid w:val="00257541"/>
    <w:rsid w:val="00257A39"/>
    <w:rsid w:val="00257AC4"/>
    <w:rsid w:val="00257BBE"/>
    <w:rsid w:val="00260236"/>
    <w:rsid w:val="00260DE9"/>
    <w:rsid w:val="002611DD"/>
    <w:rsid w:val="00261BAC"/>
    <w:rsid w:val="00261D99"/>
    <w:rsid w:val="00261EEF"/>
    <w:rsid w:val="00262A1A"/>
    <w:rsid w:val="00262A87"/>
    <w:rsid w:val="00262C74"/>
    <w:rsid w:val="00263619"/>
    <w:rsid w:val="00264D26"/>
    <w:rsid w:val="00265141"/>
    <w:rsid w:val="002654F3"/>
    <w:rsid w:val="00265A1C"/>
    <w:rsid w:val="00265D7C"/>
    <w:rsid w:val="00267511"/>
    <w:rsid w:val="00267642"/>
    <w:rsid w:val="00267AEA"/>
    <w:rsid w:val="00267BCF"/>
    <w:rsid w:val="002700E6"/>
    <w:rsid w:val="00271071"/>
    <w:rsid w:val="0027149C"/>
    <w:rsid w:val="002724BD"/>
    <w:rsid w:val="0027294B"/>
    <w:rsid w:val="00272BBC"/>
    <w:rsid w:val="00272F9B"/>
    <w:rsid w:val="002730BD"/>
    <w:rsid w:val="00273B90"/>
    <w:rsid w:val="00273EB4"/>
    <w:rsid w:val="002742E3"/>
    <w:rsid w:val="00274682"/>
    <w:rsid w:val="00274814"/>
    <w:rsid w:val="00274D70"/>
    <w:rsid w:val="00275158"/>
    <w:rsid w:val="002751A4"/>
    <w:rsid w:val="00275C5A"/>
    <w:rsid w:val="00275C97"/>
    <w:rsid w:val="0027605A"/>
    <w:rsid w:val="002762AC"/>
    <w:rsid w:val="0027677F"/>
    <w:rsid w:val="00277C32"/>
    <w:rsid w:val="00281014"/>
    <w:rsid w:val="00281034"/>
    <w:rsid w:val="00281774"/>
    <w:rsid w:val="00281F21"/>
    <w:rsid w:val="00283FDE"/>
    <w:rsid w:val="00284223"/>
    <w:rsid w:val="00284D4D"/>
    <w:rsid w:val="00284FAC"/>
    <w:rsid w:val="0028519F"/>
    <w:rsid w:val="002853A9"/>
    <w:rsid w:val="00285B3C"/>
    <w:rsid w:val="00285BCE"/>
    <w:rsid w:val="0028665D"/>
    <w:rsid w:val="00287171"/>
    <w:rsid w:val="002879A2"/>
    <w:rsid w:val="00287B94"/>
    <w:rsid w:val="00287C07"/>
    <w:rsid w:val="00292656"/>
    <w:rsid w:val="00292949"/>
    <w:rsid w:val="002936FF"/>
    <w:rsid w:val="00294DF8"/>
    <w:rsid w:val="002951E6"/>
    <w:rsid w:val="00295942"/>
    <w:rsid w:val="00296296"/>
    <w:rsid w:val="00296BEB"/>
    <w:rsid w:val="002A04F5"/>
    <w:rsid w:val="002A0C69"/>
    <w:rsid w:val="002A0EFA"/>
    <w:rsid w:val="002A14AB"/>
    <w:rsid w:val="002A1F8F"/>
    <w:rsid w:val="002A2ADE"/>
    <w:rsid w:val="002A2F50"/>
    <w:rsid w:val="002A430C"/>
    <w:rsid w:val="002A57E2"/>
    <w:rsid w:val="002A5A0C"/>
    <w:rsid w:val="002A6313"/>
    <w:rsid w:val="002A6417"/>
    <w:rsid w:val="002A68C2"/>
    <w:rsid w:val="002A6F72"/>
    <w:rsid w:val="002A7045"/>
    <w:rsid w:val="002A71A3"/>
    <w:rsid w:val="002A7943"/>
    <w:rsid w:val="002A7DF9"/>
    <w:rsid w:val="002A7F16"/>
    <w:rsid w:val="002B00B0"/>
    <w:rsid w:val="002B05A1"/>
    <w:rsid w:val="002B0959"/>
    <w:rsid w:val="002B09A4"/>
    <w:rsid w:val="002B0C03"/>
    <w:rsid w:val="002B0D83"/>
    <w:rsid w:val="002B1C1F"/>
    <w:rsid w:val="002B1F39"/>
    <w:rsid w:val="002B2077"/>
    <w:rsid w:val="002B22D8"/>
    <w:rsid w:val="002B4057"/>
    <w:rsid w:val="002B432F"/>
    <w:rsid w:val="002B457E"/>
    <w:rsid w:val="002B51B7"/>
    <w:rsid w:val="002B5CFE"/>
    <w:rsid w:val="002B62B3"/>
    <w:rsid w:val="002B6324"/>
    <w:rsid w:val="002B6754"/>
    <w:rsid w:val="002B6CCE"/>
    <w:rsid w:val="002B7856"/>
    <w:rsid w:val="002B7EEA"/>
    <w:rsid w:val="002C2510"/>
    <w:rsid w:val="002C2775"/>
    <w:rsid w:val="002C27C1"/>
    <w:rsid w:val="002C2DC5"/>
    <w:rsid w:val="002C3171"/>
    <w:rsid w:val="002C36E3"/>
    <w:rsid w:val="002C3960"/>
    <w:rsid w:val="002C5099"/>
    <w:rsid w:val="002C5208"/>
    <w:rsid w:val="002C5889"/>
    <w:rsid w:val="002C5F2C"/>
    <w:rsid w:val="002C6149"/>
    <w:rsid w:val="002C6385"/>
    <w:rsid w:val="002C71CE"/>
    <w:rsid w:val="002C7821"/>
    <w:rsid w:val="002D0213"/>
    <w:rsid w:val="002D08F8"/>
    <w:rsid w:val="002D112C"/>
    <w:rsid w:val="002D15F0"/>
    <w:rsid w:val="002D333A"/>
    <w:rsid w:val="002D3DE2"/>
    <w:rsid w:val="002D3F9E"/>
    <w:rsid w:val="002D41BF"/>
    <w:rsid w:val="002D4ACA"/>
    <w:rsid w:val="002D4C13"/>
    <w:rsid w:val="002D4C5A"/>
    <w:rsid w:val="002D546B"/>
    <w:rsid w:val="002D577C"/>
    <w:rsid w:val="002D69E5"/>
    <w:rsid w:val="002D7287"/>
    <w:rsid w:val="002D72A5"/>
    <w:rsid w:val="002D7832"/>
    <w:rsid w:val="002E1071"/>
    <w:rsid w:val="002E15B9"/>
    <w:rsid w:val="002E2158"/>
    <w:rsid w:val="002E2B82"/>
    <w:rsid w:val="002E48E6"/>
    <w:rsid w:val="002E4D7C"/>
    <w:rsid w:val="002E4F02"/>
    <w:rsid w:val="002E52FD"/>
    <w:rsid w:val="002E60CB"/>
    <w:rsid w:val="002E6519"/>
    <w:rsid w:val="002E6F4F"/>
    <w:rsid w:val="002E7722"/>
    <w:rsid w:val="002F04DC"/>
    <w:rsid w:val="002F07BA"/>
    <w:rsid w:val="002F0DA9"/>
    <w:rsid w:val="002F1014"/>
    <w:rsid w:val="002F1E3B"/>
    <w:rsid w:val="002F2C81"/>
    <w:rsid w:val="002F4E41"/>
    <w:rsid w:val="002F4EA0"/>
    <w:rsid w:val="002F54B2"/>
    <w:rsid w:val="002F57B3"/>
    <w:rsid w:val="002F5994"/>
    <w:rsid w:val="002F5DFF"/>
    <w:rsid w:val="002F643C"/>
    <w:rsid w:val="002F6DFB"/>
    <w:rsid w:val="002F6E88"/>
    <w:rsid w:val="002F6FBC"/>
    <w:rsid w:val="002F71C0"/>
    <w:rsid w:val="002F736F"/>
    <w:rsid w:val="002F74F1"/>
    <w:rsid w:val="002F74FD"/>
    <w:rsid w:val="002F78F7"/>
    <w:rsid w:val="002F79F9"/>
    <w:rsid w:val="0030030D"/>
    <w:rsid w:val="00300D16"/>
    <w:rsid w:val="00300D3C"/>
    <w:rsid w:val="00301017"/>
    <w:rsid w:val="0030155F"/>
    <w:rsid w:val="00301F2C"/>
    <w:rsid w:val="003023F5"/>
    <w:rsid w:val="003026CF"/>
    <w:rsid w:val="00302C53"/>
    <w:rsid w:val="003034A9"/>
    <w:rsid w:val="0030433F"/>
    <w:rsid w:val="003043F2"/>
    <w:rsid w:val="003048BE"/>
    <w:rsid w:val="00304E4D"/>
    <w:rsid w:val="003054FD"/>
    <w:rsid w:val="0030587B"/>
    <w:rsid w:val="00306430"/>
    <w:rsid w:val="003068FA"/>
    <w:rsid w:val="00306BC8"/>
    <w:rsid w:val="00306D98"/>
    <w:rsid w:val="0030786C"/>
    <w:rsid w:val="00307A07"/>
    <w:rsid w:val="0031031A"/>
    <w:rsid w:val="00310981"/>
    <w:rsid w:val="00310BD4"/>
    <w:rsid w:val="00311AD4"/>
    <w:rsid w:val="00311D9B"/>
    <w:rsid w:val="0031246E"/>
    <w:rsid w:val="003124D9"/>
    <w:rsid w:val="00312594"/>
    <w:rsid w:val="00312D38"/>
    <w:rsid w:val="0031377A"/>
    <w:rsid w:val="00313C73"/>
    <w:rsid w:val="0031458B"/>
    <w:rsid w:val="00315132"/>
    <w:rsid w:val="00315498"/>
    <w:rsid w:val="00315895"/>
    <w:rsid w:val="00316474"/>
    <w:rsid w:val="00316EC3"/>
    <w:rsid w:val="00317411"/>
    <w:rsid w:val="00320786"/>
    <w:rsid w:val="003209AD"/>
    <w:rsid w:val="00320B30"/>
    <w:rsid w:val="0032136C"/>
    <w:rsid w:val="0032183A"/>
    <w:rsid w:val="003219D7"/>
    <w:rsid w:val="00322107"/>
    <w:rsid w:val="003221D6"/>
    <w:rsid w:val="00322355"/>
    <w:rsid w:val="00322846"/>
    <w:rsid w:val="00322C5A"/>
    <w:rsid w:val="0032398C"/>
    <w:rsid w:val="00323CED"/>
    <w:rsid w:val="003245AC"/>
    <w:rsid w:val="00324D53"/>
    <w:rsid w:val="003255D5"/>
    <w:rsid w:val="003258CB"/>
    <w:rsid w:val="003260CA"/>
    <w:rsid w:val="003265E0"/>
    <w:rsid w:val="003269E7"/>
    <w:rsid w:val="00326AD8"/>
    <w:rsid w:val="00326D1C"/>
    <w:rsid w:val="00326DA7"/>
    <w:rsid w:val="003270E4"/>
    <w:rsid w:val="003272E0"/>
    <w:rsid w:val="00327C87"/>
    <w:rsid w:val="00327DA3"/>
    <w:rsid w:val="00330DAA"/>
    <w:rsid w:val="00330EA2"/>
    <w:rsid w:val="00330F5C"/>
    <w:rsid w:val="00331C2F"/>
    <w:rsid w:val="00332DE7"/>
    <w:rsid w:val="00333D76"/>
    <w:rsid w:val="003356F0"/>
    <w:rsid w:val="003366C9"/>
    <w:rsid w:val="003371B0"/>
    <w:rsid w:val="00337456"/>
    <w:rsid w:val="003401C4"/>
    <w:rsid w:val="003405B3"/>
    <w:rsid w:val="00340DF1"/>
    <w:rsid w:val="003410BF"/>
    <w:rsid w:val="003413DC"/>
    <w:rsid w:val="00341635"/>
    <w:rsid w:val="00342284"/>
    <w:rsid w:val="00343792"/>
    <w:rsid w:val="003439F7"/>
    <w:rsid w:val="00343ED4"/>
    <w:rsid w:val="00345720"/>
    <w:rsid w:val="00345727"/>
    <w:rsid w:val="00345D8B"/>
    <w:rsid w:val="0034622A"/>
    <w:rsid w:val="0034779E"/>
    <w:rsid w:val="00347BC6"/>
    <w:rsid w:val="00350785"/>
    <w:rsid w:val="00350AC7"/>
    <w:rsid w:val="00351731"/>
    <w:rsid w:val="003517F9"/>
    <w:rsid w:val="00351995"/>
    <w:rsid w:val="00351BA9"/>
    <w:rsid w:val="003527E1"/>
    <w:rsid w:val="00352A69"/>
    <w:rsid w:val="00352D86"/>
    <w:rsid w:val="0035305E"/>
    <w:rsid w:val="00353119"/>
    <w:rsid w:val="00354F64"/>
    <w:rsid w:val="00356076"/>
    <w:rsid w:val="00356130"/>
    <w:rsid w:val="00356185"/>
    <w:rsid w:val="0035620E"/>
    <w:rsid w:val="0035746A"/>
    <w:rsid w:val="003575BE"/>
    <w:rsid w:val="0035781A"/>
    <w:rsid w:val="00360345"/>
    <w:rsid w:val="00361A05"/>
    <w:rsid w:val="003624C4"/>
    <w:rsid w:val="00362DC0"/>
    <w:rsid w:val="0036336C"/>
    <w:rsid w:val="003633D4"/>
    <w:rsid w:val="00363AEF"/>
    <w:rsid w:val="00363B00"/>
    <w:rsid w:val="00363CD8"/>
    <w:rsid w:val="00363DB2"/>
    <w:rsid w:val="00364311"/>
    <w:rsid w:val="0036508E"/>
    <w:rsid w:val="003653DE"/>
    <w:rsid w:val="003654AC"/>
    <w:rsid w:val="003672D5"/>
    <w:rsid w:val="00367387"/>
    <w:rsid w:val="00367B68"/>
    <w:rsid w:val="00371086"/>
    <w:rsid w:val="003710CF"/>
    <w:rsid w:val="0037137E"/>
    <w:rsid w:val="00371781"/>
    <w:rsid w:val="003719AC"/>
    <w:rsid w:val="00371AA0"/>
    <w:rsid w:val="00373203"/>
    <w:rsid w:val="0037358A"/>
    <w:rsid w:val="003737B8"/>
    <w:rsid w:val="00373B3E"/>
    <w:rsid w:val="00373D87"/>
    <w:rsid w:val="003750F6"/>
    <w:rsid w:val="00375BAC"/>
    <w:rsid w:val="003760F2"/>
    <w:rsid w:val="003760FC"/>
    <w:rsid w:val="0037646F"/>
    <w:rsid w:val="0037654B"/>
    <w:rsid w:val="0037660F"/>
    <w:rsid w:val="0037681A"/>
    <w:rsid w:val="003770FB"/>
    <w:rsid w:val="00377734"/>
    <w:rsid w:val="0038007A"/>
    <w:rsid w:val="00382964"/>
    <w:rsid w:val="00382BCC"/>
    <w:rsid w:val="003830C0"/>
    <w:rsid w:val="003833BE"/>
    <w:rsid w:val="0038365C"/>
    <w:rsid w:val="0038369B"/>
    <w:rsid w:val="00383B76"/>
    <w:rsid w:val="00383B78"/>
    <w:rsid w:val="00383FEA"/>
    <w:rsid w:val="00384208"/>
    <w:rsid w:val="00384E58"/>
    <w:rsid w:val="00385076"/>
    <w:rsid w:val="003850DC"/>
    <w:rsid w:val="00385A9D"/>
    <w:rsid w:val="003865E3"/>
    <w:rsid w:val="00386A64"/>
    <w:rsid w:val="0038711A"/>
    <w:rsid w:val="00387121"/>
    <w:rsid w:val="00387197"/>
    <w:rsid w:val="00387618"/>
    <w:rsid w:val="00387B75"/>
    <w:rsid w:val="003902B1"/>
    <w:rsid w:val="0039075D"/>
    <w:rsid w:val="00390E03"/>
    <w:rsid w:val="00391631"/>
    <w:rsid w:val="0039179C"/>
    <w:rsid w:val="0039293F"/>
    <w:rsid w:val="003943A5"/>
    <w:rsid w:val="003945FE"/>
    <w:rsid w:val="0039492C"/>
    <w:rsid w:val="00394E46"/>
    <w:rsid w:val="00395965"/>
    <w:rsid w:val="00396043"/>
    <w:rsid w:val="00396896"/>
    <w:rsid w:val="00396B58"/>
    <w:rsid w:val="00396FD0"/>
    <w:rsid w:val="00397677"/>
    <w:rsid w:val="003A0586"/>
    <w:rsid w:val="003A1A7A"/>
    <w:rsid w:val="003A1AAE"/>
    <w:rsid w:val="003A2392"/>
    <w:rsid w:val="003A2831"/>
    <w:rsid w:val="003A3451"/>
    <w:rsid w:val="003A3CB6"/>
    <w:rsid w:val="003A3D79"/>
    <w:rsid w:val="003A3ED1"/>
    <w:rsid w:val="003A42D4"/>
    <w:rsid w:val="003A44C5"/>
    <w:rsid w:val="003A44DB"/>
    <w:rsid w:val="003A450F"/>
    <w:rsid w:val="003A4C14"/>
    <w:rsid w:val="003A5698"/>
    <w:rsid w:val="003A5D01"/>
    <w:rsid w:val="003A61CE"/>
    <w:rsid w:val="003A6B7D"/>
    <w:rsid w:val="003A6EA8"/>
    <w:rsid w:val="003A7B49"/>
    <w:rsid w:val="003B0976"/>
    <w:rsid w:val="003B09DF"/>
    <w:rsid w:val="003B0C64"/>
    <w:rsid w:val="003B0E89"/>
    <w:rsid w:val="003B3971"/>
    <w:rsid w:val="003B3A58"/>
    <w:rsid w:val="003B416E"/>
    <w:rsid w:val="003B4F21"/>
    <w:rsid w:val="003B53A5"/>
    <w:rsid w:val="003B55D1"/>
    <w:rsid w:val="003B5B61"/>
    <w:rsid w:val="003B62D7"/>
    <w:rsid w:val="003B6327"/>
    <w:rsid w:val="003B6684"/>
    <w:rsid w:val="003B66C9"/>
    <w:rsid w:val="003B6784"/>
    <w:rsid w:val="003B6B1A"/>
    <w:rsid w:val="003B6B54"/>
    <w:rsid w:val="003B6E94"/>
    <w:rsid w:val="003B746F"/>
    <w:rsid w:val="003B75BB"/>
    <w:rsid w:val="003C06F5"/>
    <w:rsid w:val="003C1127"/>
    <w:rsid w:val="003C1423"/>
    <w:rsid w:val="003C1654"/>
    <w:rsid w:val="003C2075"/>
    <w:rsid w:val="003C3C0D"/>
    <w:rsid w:val="003C3D54"/>
    <w:rsid w:val="003C49C4"/>
    <w:rsid w:val="003C4BFB"/>
    <w:rsid w:val="003C4D42"/>
    <w:rsid w:val="003C4D97"/>
    <w:rsid w:val="003C551B"/>
    <w:rsid w:val="003C5542"/>
    <w:rsid w:val="003C5B5B"/>
    <w:rsid w:val="003C60DD"/>
    <w:rsid w:val="003C73FA"/>
    <w:rsid w:val="003C7C15"/>
    <w:rsid w:val="003C7D19"/>
    <w:rsid w:val="003C7D2F"/>
    <w:rsid w:val="003D063C"/>
    <w:rsid w:val="003D069B"/>
    <w:rsid w:val="003D09DE"/>
    <w:rsid w:val="003D0C5A"/>
    <w:rsid w:val="003D1409"/>
    <w:rsid w:val="003D147D"/>
    <w:rsid w:val="003D1828"/>
    <w:rsid w:val="003D1D29"/>
    <w:rsid w:val="003D1DE4"/>
    <w:rsid w:val="003D1E9A"/>
    <w:rsid w:val="003D2422"/>
    <w:rsid w:val="003D2567"/>
    <w:rsid w:val="003D2F88"/>
    <w:rsid w:val="003D3045"/>
    <w:rsid w:val="003D3429"/>
    <w:rsid w:val="003D39A1"/>
    <w:rsid w:val="003D3FBF"/>
    <w:rsid w:val="003D46A4"/>
    <w:rsid w:val="003D4A30"/>
    <w:rsid w:val="003D5395"/>
    <w:rsid w:val="003D54B5"/>
    <w:rsid w:val="003D5E78"/>
    <w:rsid w:val="003D61A1"/>
    <w:rsid w:val="003D63E3"/>
    <w:rsid w:val="003D664E"/>
    <w:rsid w:val="003D7247"/>
    <w:rsid w:val="003D7346"/>
    <w:rsid w:val="003D7452"/>
    <w:rsid w:val="003D79BB"/>
    <w:rsid w:val="003D7A46"/>
    <w:rsid w:val="003D7C98"/>
    <w:rsid w:val="003D7D9D"/>
    <w:rsid w:val="003E0308"/>
    <w:rsid w:val="003E0543"/>
    <w:rsid w:val="003E1AED"/>
    <w:rsid w:val="003E22C4"/>
    <w:rsid w:val="003E2654"/>
    <w:rsid w:val="003E297C"/>
    <w:rsid w:val="003E55BC"/>
    <w:rsid w:val="003E5603"/>
    <w:rsid w:val="003E5AC2"/>
    <w:rsid w:val="003E6103"/>
    <w:rsid w:val="003E6327"/>
    <w:rsid w:val="003E6751"/>
    <w:rsid w:val="003E6C4F"/>
    <w:rsid w:val="003E6F4E"/>
    <w:rsid w:val="003E749E"/>
    <w:rsid w:val="003E77C8"/>
    <w:rsid w:val="003F061D"/>
    <w:rsid w:val="003F0A3F"/>
    <w:rsid w:val="003F0F06"/>
    <w:rsid w:val="003F1185"/>
    <w:rsid w:val="003F152E"/>
    <w:rsid w:val="003F1650"/>
    <w:rsid w:val="003F1814"/>
    <w:rsid w:val="003F1DA4"/>
    <w:rsid w:val="003F2770"/>
    <w:rsid w:val="003F2C62"/>
    <w:rsid w:val="003F33F0"/>
    <w:rsid w:val="003F357E"/>
    <w:rsid w:val="003F3912"/>
    <w:rsid w:val="003F4156"/>
    <w:rsid w:val="003F44FA"/>
    <w:rsid w:val="003F4A7D"/>
    <w:rsid w:val="003F4CAF"/>
    <w:rsid w:val="003F590A"/>
    <w:rsid w:val="003F59ED"/>
    <w:rsid w:val="003F5ADF"/>
    <w:rsid w:val="003F6EA6"/>
    <w:rsid w:val="004007FA"/>
    <w:rsid w:val="00400B29"/>
    <w:rsid w:val="004010A5"/>
    <w:rsid w:val="00401A4E"/>
    <w:rsid w:val="00401B67"/>
    <w:rsid w:val="00401E8A"/>
    <w:rsid w:val="00402159"/>
    <w:rsid w:val="004024BE"/>
    <w:rsid w:val="00402812"/>
    <w:rsid w:val="00402E15"/>
    <w:rsid w:val="00402EA9"/>
    <w:rsid w:val="004035B4"/>
    <w:rsid w:val="004037C2"/>
    <w:rsid w:val="00403B38"/>
    <w:rsid w:val="00404250"/>
    <w:rsid w:val="00404A11"/>
    <w:rsid w:val="00404A88"/>
    <w:rsid w:val="00404B36"/>
    <w:rsid w:val="00404D1D"/>
    <w:rsid w:val="0040504B"/>
    <w:rsid w:val="004056E9"/>
    <w:rsid w:val="004059F4"/>
    <w:rsid w:val="00407FE5"/>
    <w:rsid w:val="004101B0"/>
    <w:rsid w:val="00410326"/>
    <w:rsid w:val="00410708"/>
    <w:rsid w:val="00410EC7"/>
    <w:rsid w:val="00411119"/>
    <w:rsid w:val="0041185C"/>
    <w:rsid w:val="004119D7"/>
    <w:rsid w:val="00411B39"/>
    <w:rsid w:val="00412536"/>
    <w:rsid w:val="00412694"/>
    <w:rsid w:val="004127A7"/>
    <w:rsid w:val="00412DFB"/>
    <w:rsid w:val="00413223"/>
    <w:rsid w:val="00413401"/>
    <w:rsid w:val="004135F5"/>
    <w:rsid w:val="00413A1E"/>
    <w:rsid w:val="00413CC1"/>
    <w:rsid w:val="00413DED"/>
    <w:rsid w:val="004141B8"/>
    <w:rsid w:val="00414476"/>
    <w:rsid w:val="00414C2E"/>
    <w:rsid w:val="004151CF"/>
    <w:rsid w:val="00416364"/>
    <w:rsid w:val="004168E7"/>
    <w:rsid w:val="004177DC"/>
    <w:rsid w:val="00417EEC"/>
    <w:rsid w:val="0042047F"/>
    <w:rsid w:val="00420A68"/>
    <w:rsid w:val="00420AA6"/>
    <w:rsid w:val="00420B9F"/>
    <w:rsid w:val="0042192C"/>
    <w:rsid w:val="00421C53"/>
    <w:rsid w:val="00422260"/>
    <w:rsid w:val="004226E9"/>
    <w:rsid w:val="0042288C"/>
    <w:rsid w:val="00423DD9"/>
    <w:rsid w:val="0042413F"/>
    <w:rsid w:val="004243F5"/>
    <w:rsid w:val="0042458F"/>
    <w:rsid w:val="00424F01"/>
    <w:rsid w:val="00425446"/>
    <w:rsid w:val="00425577"/>
    <w:rsid w:val="00425F58"/>
    <w:rsid w:val="004263E4"/>
    <w:rsid w:val="0042649C"/>
    <w:rsid w:val="004278B5"/>
    <w:rsid w:val="00427EF9"/>
    <w:rsid w:val="00427F1F"/>
    <w:rsid w:val="00430A50"/>
    <w:rsid w:val="00430A9D"/>
    <w:rsid w:val="004311DB"/>
    <w:rsid w:val="004319F8"/>
    <w:rsid w:val="00431A37"/>
    <w:rsid w:val="00431ABD"/>
    <w:rsid w:val="00431E55"/>
    <w:rsid w:val="0043214D"/>
    <w:rsid w:val="004321F6"/>
    <w:rsid w:val="00432F11"/>
    <w:rsid w:val="00433044"/>
    <w:rsid w:val="00433E3D"/>
    <w:rsid w:val="00434088"/>
    <w:rsid w:val="00434AB7"/>
    <w:rsid w:val="00435668"/>
    <w:rsid w:val="004364E0"/>
    <w:rsid w:val="0043699A"/>
    <w:rsid w:val="00437476"/>
    <w:rsid w:val="004375B9"/>
    <w:rsid w:val="004375EE"/>
    <w:rsid w:val="0043776B"/>
    <w:rsid w:val="004379A9"/>
    <w:rsid w:val="00440E55"/>
    <w:rsid w:val="00440E7F"/>
    <w:rsid w:val="00441230"/>
    <w:rsid w:val="00441B5D"/>
    <w:rsid w:val="004428D0"/>
    <w:rsid w:val="004429C7"/>
    <w:rsid w:val="00442A70"/>
    <w:rsid w:val="00442CC7"/>
    <w:rsid w:val="00442E98"/>
    <w:rsid w:val="004431C7"/>
    <w:rsid w:val="00443387"/>
    <w:rsid w:val="00443B5D"/>
    <w:rsid w:val="00443FA3"/>
    <w:rsid w:val="00444185"/>
    <w:rsid w:val="004443A7"/>
    <w:rsid w:val="0044442C"/>
    <w:rsid w:val="00444ECB"/>
    <w:rsid w:val="004455EE"/>
    <w:rsid w:val="0044566E"/>
    <w:rsid w:val="00445941"/>
    <w:rsid w:val="004464EB"/>
    <w:rsid w:val="00446718"/>
    <w:rsid w:val="00446874"/>
    <w:rsid w:val="004469EE"/>
    <w:rsid w:val="00447302"/>
    <w:rsid w:val="00447C5F"/>
    <w:rsid w:val="00447D26"/>
    <w:rsid w:val="00447DFC"/>
    <w:rsid w:val="00447FED"/>
    <w:rsid w:val="004503B2"/>
    <w:rsid w:val="004509AE"/>
    <w:rsid w:val="00450A64"/>
    <w:rsid w:val="00450CA2"/>
    <w:rsid w:val="00450D0C"/>
    <w:rsid w:val="004515D8"/>
    <w:rsid w:val="004519B3"/>
    <w:rsid w:val="00452D58"/>
    <w:rsid w:val="00453062"/>
    <w:rsid w:val="00453FC9"/>
    <w:rsid w:val="00454165"/>
    <w:rsid w:val="0045426E"/>
    <w:rsid w:val="00454916"/>
    <w:rsid w:val="004554EC"/>
    <w:rsid w:val="0045567B"/>
    <w:rsid w:val="0045576F"/>
    <w:rsid w:val="00455D45"/>
    <w:rsid w:val="00456F2A"/>
    <w:rsid w:val="00460D29"/>
    <w:rsid w:val="00461F5F"/>
    <w:rsid w:val="00462FA5"/>
    <w:rsid w:val="0046379C"/>
    <w:rsid w:val="0046388C"/>
    <w:rsid w:val="00464595"/>
    <w:rsid w:val="004658B5"/>
    <w:rsid w:val="00465ED1"/>
    <w:rsid w:val="004660E9"/>
    <w:rsid w:val="00466B09"/>
    <w:rsid w:val="004674DF"/>
    <w:rsid w:val="00471034"/>
    <w:rsid w:val="004714C2"/>
    <w:rsid w:val="00471EA5"/>
    <w:rsid w:val="004725D6"/>
    <w:rsid w:val="00472A79"/>
    <w:rsid w:val="00473A03"/>
    <w:rsid w:val="00473F19"/>
    <w:rsid w:val="004741BD"/>
    <w:rsid w:val="004748DA"/>
    <w:rsid w:val="00475027"/>
    <w:rsid w:val="00475361"/>
    <w:rsid w:val="00475E22"/>
    <w:rsid w:val="00476855"/>
    <w:rsid w:val="00476EBE"/>
    <w:rsid w:val="00477648"/>
    <w:rsid w:val="0048025F"/>
    <w:rsid w:val="004802E9"/>
    <w:rsid w:val="0048088E"/>
    <w:rsid w:val="004808FF"/>
    <w:rsid w:val="0048096C"/>
    <w:rsid w:val="00480F2B"/>
    <w:rsid w:val="004818B7"/>
    <w:rsid w:val="0048263E"/>
    <w:rsid w:val="00482720"/>
    <w:rsid w:val="00482AE5"/>
    <w:rsid w:val="00482D56"/>
    <w:rsid w:val="00482D77"/>
    <w:rsid w:val="004832A9"/>
    <w:rsid w:val="004835E7"/>
    <w:rsid w:val="00483E18"/>
    <w:rsid w:val="00484198"/>
    <w:rsid w:val="0048475B"/>
    <w:rsid w:val="00485598"/>
    <w:rsid w:val="004855D2"/>
    <w:rsid w:val="004859E1"/>
    <w:rsid w:val="00485D07"/>
    <w:rsid w:val="0048614B"/>
    <w:rsid w:val="004867E2"/>
    <w:rsid w:val="004878FD"/>
    <w:rsid w:val="00490B17"/>
    <w:rsid w:val="00491A98"/>
    <w:rsid w:val="00491B3A"/>
    <w:rsid w:val="0049211D"/>
    <w:rsid w:val="00492AC0"/>
    <w:rsid w:val="00492B7C"/>
    <w:rsid w:val="00492CFD"/>
    <w:rsid w:val="0049321C"/>
    <w:rsid w:val="00493D57"/>
    <w:rsid w:val="00494207"/>
    <w:rsid w:val="00494A0C"/>
    <w:rsid w:val="00494DD5"/>
    <w:rsid w:val="00495F05"/>
    <w:rsid w:val="004962D2"/>
    <w:rsid w:val="00496641"/>
    <w:rsid w:val="00497066"/>
    <w:rsid w:val="00497173"/>
    <w:rsid w:val="00497ECA"/>
    <w:rsid w:val="004A02F0"/>
    <w:rsid w:val="004A0DA1"/>
    <w:rsid w:val="004A13D6"/>
    <w:rsid w:val="004A1658"/>
    <w:rsid w:val="004A25F8"/>
    <w:rsid w:val="004A26FE"/>
    <w:rsid w:val="004A282D"/>
    <w:rsid w:val="004A33C3"/>
    <w:rsid w:val="004A410C"/>
    <w:rsid w:val="004A431E"/>
    <w:rsid w:val="004A4FE0"/>
    <w:rsid w:val="004A52E9"/>
    <w:rsid w:val="004A6040"/>
    <w:rsid w:val="004A6289"/>
    <w:rsid w:val="004A6597"/>
    <w:rsid w:val="004A6FBF"/>
    <w:rsid w:val="004A749C"/>
    <w:rsid w:val="004A7848"/>
    <w:rsid w:val="004A793B"/>
    <w:rsid w:val="004A7B54"/>
    <w:rsid w:val="004A7D76"/>
    <w:rsid w:val="004B0718"/>
    <w:rsid w:val="004B09D4"/>
    <w:rsid w:val="004B13AE"/>
    <w:rsid w:val="004B1B84"/>
    <w:rsid w:val="004B1CB4"/>
    <w:rsid w:val="004B1E9F"/>
    <w:rsid w:val="004B201C"/>
    <w:rsid w:val="004B21AA"/>
    <w:rsid w:val="004B2A32"/>
    <w:rsid w:val="004B2F18"/>
    <w:rsid w:val="004B3DDB"/>
    <w:rsid w:val="004B3E64"/>
    <w:rsid w:val="004B403D"/>
    <w:rsid w:val="004B4334"/>
    <w:rsid w:val="004B44FD"/>
    <w:rsid w:val="004B4CBD"/>
    <w:rsid w:val="004B5367"/>
    <w:rsid w:val="004B562F"/>
    <w:rsid w:val="004B56EC"/>
    <w:rsid w:val="004B5CFC"/>
    <w:rsid w:val="004B6F79"/>
    <w:rsid w:val="004B6FB0"/>
    <w:rsid w:val="004B71F2"/>
    <w:rsid w:val="004B7730"/>
    <w:rsid w:val="004B774D"/>
    <w:rsid w:val="004C00FF"/>
    <w:rsid w:val="004C0E01"/>
    <w:rsid w:val="004C10D8"/>
    <w:rsid w:val="004C11E2"/>
    <w:rsid w:val="004C131B"/>
    <w:rsid w:val="004C1A5E"/>
    <w:rsid w:val="004C1E42"/>
    <w:rsid w:val="004C2AC2"/>
    <w:rsid w:val="004C2FB6"/>
    <w:rsid w:val="004C31D0"/>
    <w:rsid w:val="004C3A6A"/>
    <w:rsid w:val="004C3D6F"/>
    <w:rsid w:val="004C4AED"/>
    <w:rsid w:val="004C5463"/>
    <w:rsid w:val="004C57A6"/>
    <w:rsid w:val="004C5B1F"/>
    <w:rsid w:val="004C6073"/>
    <w:rsid w:val="004C61D4"/>
    <w:rsid w:val="004C74CA"/>
    <w:rsid w:val="004C7647"/>
    <w:rsid w:val="004C7C8D"/>
    <w:rsid w:val="004C7DD6"/>
    <w:rsid w:val="004D0975"/>
    <w:rsid w:val="004D0E74"/>
    <w:rsid w:val="004D132E"/>
    <w:rsid w:val="004D1406"/>
    <w:rsid w:val="004D1C86"/>
    <w:rsid w:val="004D2042"/>
    <w:rsid w:val="004D2086"/>
    <w:rsid w:val="004D2C2D"/>
    <w:rsid w:val="004D38C1"/>
    <w:rsid w:val="004D3984"/>
    <w:rsid w:val="004D4523"/>
    <w:rsid w:val="004D4A13"/>
    <w:rsid w:val="004D50EB"/>
    <w:rsid w:val="004D625A"/>
    <w:rsid w:val="004D6732"/>
    <w:rsid w:val="004D69B5"/>
    <w:rsid w:val="004D7227"/>
    <w:rsid w:val="004D7B5E"/>
    <w:rsid w:val="004D7D5A"/>
    <w:rsid w:val="004E01FE"/>
    <w:rsid w:val="004E049D"/>
    <w:rsid w:val="004E0D44"/>
    <w:rsid w:val="004E0E7F"/>
    <w:rsid w:val="004E0EB8"/>
    <w:rsid w:val="004E0F7B"/>
    <w:rsid w:val="004E11AB"/>
    <w:rsid w:val="004E1495"/>
    <w:rsid w:val="004E1714"/>
    <w:rsid w:val="004E18BD"/>
    <w:rsid w:val="004E18E9"/>
    <w:rsid w:val="004E1B28"/>
    <w:rsid w:val="004E243F"/>
    <w:rsid w:val="004E25D8"/>
    <w:rsid w:val="004E2ADC"/>
    <w:rsid w:val="004E3A93"/>
    <w:rsid w:val="004E3EAC"/>
    <w:rsid w:val="004E3F41"/>
    <w:rsid w:val="004E43B2"/>
    <w:rsid w:val="004E486A"/>
    <w:rsid w:val="004E6F60"/>
    <w:rsid w:val="004E6FF1"/>
    <w:rsid w:val="004E7876"/>
    <w:rsid w:val="004E7E7B"/>
    <w:rsid w:val="004E7F43"/>
    <w:rsid w:val="004F0384"/>
    <w:rsid w:val="004F1D02"/>
    <w:rsid w:val="004F1F97"/>
    <w:rsid w:val="004F215C"/>
    <w:rsid w:val="004F2679"/>
    <w:rsid w:val="004F27BE"/>
    <w:rsid w:val="004F2AB7"/>
    <w:rsid w:val="004F2F21"/>
    <w:rsid w:val="004F3DE5"/>
    <w:rsid w:val="004F4F1B"/>
    <w:rsid w:val="004F56D1"/>
    <w:rsid w:val="004F5867"/>
    <w:rsid w:val="004F5D15"/>
    <w:rsid w:val="004F5DA6"/>
    <w:rsid w:val="004F6512"/>
    <w:rsid w:val="004F6913"/>
    <w:rsid w:val="004F7865"/>
    <w:rsid w:val="004F7DDA"/>
    <w:rsid w:val="0050118E"/>
    <w:rsid w:val="0050174E"/>
    <w:rsid w:val="00501854"/>
    <w:rsid w:val="00501A24"/>
    <w:rsid w:val="00501F10"/>
    <w:rsid w:val="0050219B"/>
    <w:rsid w:val="0050296F"/>
    <w:rsid w:val="00503F17"/>
    <w:rsid w:val="00503F3A"/>
    <w:rsid w:val="00504163"/>
    <w:rsid w:val="00504853"/>
    <w:rsid w:val="00504984"/>
    <w:rsid w:val="00504DB8"/>
    <w:rsid w:val="0050531C"/>
    <w:rsid w:val="00506135"/>
    <w:rsid w:val="00506300"/>
    <w:rsid w:val="005063E5"/>
    <w:rsid w:val="00506928"/>
    <w:rsid w:val="00506CE4"/>
    <w:rsid w:val="00506E9E"/>
    <w:rsid w:val="005071B5"/>
    <w:rsid w:val="005077EF"/>
    <w:rsid w:val="005078F2"/>
    <w:rsid w:val="005115CF"/>
    <w:rsid w:val="00511AD5"/>
    <w:rsid w:val="00511DC7"/>
    <w:rsid w:val="00512435"/>
    <w:rsid w:val="00513BA4"/>
    <w:rsid w:val="005142C5"/>
    <w:rsid w:val="005144CD"/>
    <w:rsid w:val="0051501B"/>
    <w:rsid w:val="0051505B"/>
    <w:rsid w:val="005152B5"/>
    <w:rsid w:val="00515886"/>
    <w:rsid w:val="00516883"/>
    <w:rsid w:val="00516951"/>
    <w:rsid w:val="00516DE9"/>
    <w:rsid w:val="00517CA1"/>
    <w:rsid w:val="005208C4"/>
    <w:rsid w:val="00520C78"/>
    <w:rsid w:val="0052123C"/>
    <w:rsid w:val="00521319"/>
    <w:rsid w:val="00522BC8"/>
    <w:rsid w:val="00523C28"/>
    <w:rsid w:val="00525C0D"/>
    <w:rsid w:val="0052607B"/>
    <w:rsid w:val="00526109"/>
    <w:rsid w:val="00526AA7"/>
    <w:rsid w:val="00526CF7"/>
    <w:rsid w:val="0052754A"/>
    <w:rsid w:val="005275CE"/>
    <w:rsid w:val="00527D6A"/>
    <w:rsid w:val="005301DC"/>
    <w:rsid w:val="0053073A"/>
    <w:rsid w:val="00530807"/>
    <w:rsid w:val="005312DA"/>
    <w:rsid w:val="0053176B"/>
    <w:rsid w:val="00531A60"/>
    <w:rsid w:val="00531C64"/>
    <w:rsid w:val="00532BAA"/>
    <w:rsid w:val="005332FA"/>
    <w:rsid w:val="00533FB2"/>
    <w:rsid w:val="005341B3"/>
    <w:rsid w:val="005358CB"/>
    <w:rsid w:val="0053618C"/>
    <w:rsid w:val="00536614"/>
    <w:rsid w:val="00536BFC"/>
    <w:rsid w:val="00536F42"/>
    <w:rsid w:val="00537182"/>
    <w:rsid w:val="00540375"/>
    <w:rsid w:val="00540529"/>
    <w:rsid w:val="00540689"/>
    <w:rsid w:val="00540773"/>
    <w:rsid w:val="00540EDD"/>
    <w:rsid w:val="00541455"/>
    <w:rsid w:val="00541EDD"/>
    <w:rsid w:val="005420FE"/>
    <w:rsid w:val="00542743"/>
    <w:rsid w:val="005429D3"/>
    <w:rsid w:val="00542C2D"/>
    <w:rsid w:val="00542D05"/>
    <w:rsid w:val="0054384B"/>
    <w:rsid w:val="00543AD2"/>
    <w:rsid w:val="00543E6D"/>
    <w:rsid w:val="0054462B"/>
    <w:rsid w:val="005473CE"/>
    <w:rsid w:val="005476CC"/>
    <w:rsid w:val="005478BD"/>
    <w:rsid w:val="005479E3"/>
    <w:rsid w:val="00547BC4"/>
    <w:rsid w:val="00550989"/>
    <w:rsid w:val="00551985"/>
    <w:rsid w:val="00551BA0"/>
    <w:rsid w:val="005525F4"/>
    <w:rsid w:val="00552BD3"/>
    <w:rsid w:val="005532A0"/>
    <w:rsid w:val="00553524"/>
    <w:rsid w:val="00553738"/>
    <w:rsid w:val="00553CE6"/>
    <w:rsid w:val="005540F9"/>
    <w:rsid w:val="00555109"/>
    <w:rsid w:val="00555D01"/>
    <w:rsid w:val="00556B35"/>
    <w:rsid w:val="0055741A"/>
    <w:rsid w:val="0056003B"/>
    <w:rsid w:val="00560103"/>
    <w:rsid w:val="005611B7"/>
    <w:rsid w:val="005618D4"/>
    <w:rsid w:val="00562567"/>
    <w:rsid w:val="005627AA"/>
    <w:rsid w:val="005627E4"/>
    <w:rsid w:val="00563D6E"/>
    <w:rsid w:val="005642AF"/>
    <w:rsid w:val="00564867"/>
    <w:rsid w:val="0056487D"/>
    <w:rsid w:val="0056561D"/>
    <w:rsid w:val="00565C79"/>
    <w:rsid w:val="00565DF0"/>
    <w:rsid w:val="00565F09"/>
    <w:rsid w:val="005661DF"/>
    <w:rsid w:val="00566593"/>
    <w:rsid w:val="0056696F"/>
    <w:rsid w:val="005679C1"/>
    <w:rsid w:val="00567F08"/>
    <w:rsid w:val="00567FCD"/>
    <w:rsid w:val="00570399"/>
    <w:rsid w:val="00572269"/>
    <w:rsid w:val="0057244A"/>
    <w:rsid w:val="00572744"/>
    <w:rsid w:val="00572A09"/>
    <w:rsid w:val="00572BE0"/>
    <w:rsid w:val="00572F26"/>
    <w:rsid w:val="005750C5"/>
    <w:rsid w:val="005752DE"/>
    <w:rsid w:val="00575C3B"/>
    <w:rsid w:val="00575D60"/>
    <w:rsid w:val="00575D8D"/>
    <w:rsid w:val="00576972"/>
    <w:rsid w:val="00576993"/>
    <w:rsid w:val="00576F25"/>
    <w:rsid w:val="00577248"/>
    <w:rsid w:val="00577AC4"/>
    <w:rsid w:val="0058006E"/>
    <w:rsid w:val="0058012B"/>
    <w:rsid w:val="0058016C"/>
    <w:rsid w:val="00580301"/>
    <w:rsid w:val="00580B3F"/>
    <w:rsid w:val="00580C2C"/>
    <w:rsid w:val="0058143F"/>
    <w:rsid w:val="0058269C"/>
    <w:rsid w:val="00583498"/>
    <w:rsid w:val="00583699"/>
    <w:rsid w:val="00583C99"/>
    <w:rsid w:val="00584576"/>
    <w:rsid w:val="005845EF"/>
    <w:rsid w:val="0058500A"/>
    <w:rsid w:val="005857E9"/>
    <w:rsid w:val="00585CDD"/>
    <w:rsid w:val="0058620A"/>
    <w:rsid w:val="005866A9"/>
    <w:rsid w:val="00587058"/>
    <w:rsid w:val="0058783F"/>
    <w:rsid w:val="005879B9"/>
    <w:rsid w:val="00590855"/>
    <w:rsid w:val="005914D9"/>
    <w:rsid w:val="00591957"/>
    <w:rsid w:val="00591FFC"/>
    <w:rsid w:val="00592A31"/>
    <w:rsid w:val="005933E6"/>
    <w:rsid w:val="0059348D"/>
    <w:rsid w:val="005936EC"/>
    <w:rsid w:val="00593A4C"/>
    <w:rsid w:val="00593F48"/>
    <w:rsid w:val="0059452B"/>
    <w:rsid w:val="0059518A"/>
    <w:rsid w:val="00596302"/>
    <w:rsid w:val="00596B26"/>
    <w:rsid w:val="00597BF9"/>
    <w:rsid w:val="00597F45"/>
    <w:rsid w:val="005A0433"/>
    <w:rsid w:val="005A0582"/>
    <w:rsid w:val="005A094F"/>
    <w:rsid w:val="005A0C11"/>
    <w:rsid w:val="005A2812"/>
    <w:rsid w:val="005A309A"/>
    <w:rsid w:val="005A32AE"/>
    <w:rsid w:val="005A373D"/>
    <w:rsid w:val="005A3958"/>
    <w:rsid w:val="005A45B7"/>
    <w:rsid w:val="005A4CC4"/>
    <w:rsid w:val="005A5A07"/>
    <w:rsid w:val="005A5C3F"/>
    <w:rsid w:val="005A6ABA"/>
    <w:rsid w:val="005A7372"/>
    <w:rsid w:val="005A761C"/>
    <w:rsid w:val="005A7828"/>
    <w:rsid w:val="005A7BA9"/>
    <w:rsid w:val="005A7C4B"/>
    <w:rsid w:val="005B038A"/>
    <w:rsid w:val="005B0B58"/>
    <w:rsid w:val="005B0BB7"/>
    <w:rsid w:val="005B177F"/>
    <w:rsid w:val="005B243D"/>
    <w:rsid w:val="005B2488"/>
    <w:rsid w:val="005B2BB9"/>
    <w:rsid w:val="005B3499"/>
    <w:rsid w:val="005B390E"/>
    <w:rsid w:val="005B3F9D"/>
    <w:rsid w:val="005B4CE1"/>
    <w:rsid w:val="005B4E53"/>
    <w:rsid w:val="005B5857"/>
    <w:rsid w:val="005B606B"/>
    <w:rsid w:val="005B74A3"/>
    <w:rsid w:val="005B7573"/>
    <w:rsid w:val="005C003D"/>
    <w:rsid w:val="005C0251"/>
    <w:rsid w:val="005C1746"/>
    <w:rsid w:val="005C19C4"/>
    <w:rsid w:val="005C1B83"/>
    <w:rsid w:val="005C22BB"/>
    <w:rsid w:val="005C25FF"/>
    <w:rsid w:val="005C2D55"/>
    <w:rsid w:val="005C346B"/>
    <w:rsid w:val="005C3890"/>
    <w:rsid w:val="005C420C"/>
    <w:rsid w:val="005C4A70"/>
    <w:rsid w:val="005C510D"/>
    <w:rsid w:val="005C567A"/>
    <w:rsid w:val="005C5815"/>
    <w:rsid w:val="005C5ABC"/>
    <w:rsid w:val="005C5AD4"/>
    <w:rsid w:val="005C76D2"/>
    <w:rsid w:val="005C7A39"/>
    <w:rsid w:val="005C7AF0"/>
    <w:rsid w:val="005C7FEF"/>
    <w:rsid w:val="005D044D"/>
    <w:rsid w:val="005D0ABD"/>
    <w:rsid w:val="005D0B10"/>
    <w:rsid w:val="005D0BED"/>
    <w:rsid w:val="005D1678"/>
    <w:rsid w:val="005D18AD"/>
    <w:rsid w:val="005D1A1E"/>
    <w:rsid w:val="005D1A47"/>
    <w:rsid w:val="005D2483"/>
    <w:rsid w:val="005D26B4"/>
    <w:rsid w:val="005D2C10"/>
    <w:rsid w:val="005D2F0A"/>
    <w:rsid w:val="005D3A34"/>
    <w:rsid w:val="005D3C11"/>
    <w:rsid w:val="005D3F95"/>
    <w:rsid w:val="005D43EE"/>
    <w:rsid w:val="005D6881"/>
    <w:rsid w:val="005D6D82"/>
    <w:rsid w:val="005D6F5F"/>
    <w:rsid w:val="005D7A82"/>
    <w:rsid w:val="005D7FA2"/>
    <w:rsid w:val="005E00F6"/>
    <w:rsid w:val="005E0F7B"/>
    <w:rsid w:val="005E16FE"/>
    <w:rsid w:val="005E1995"/>
    <w:rsid w:val="005E1B5D"/>
    <w:rsid w:val="005E1BF1"/>
    <w:rsid w:val="005E2768"/>
    <w:rsid w:val="005E3134"/>
    <w:rsid w:val="005E4C64"/>
    <w:rsid w:val="005E4D91"/>
    <w:rsid w:val="005E4F53"/>
    <w:rsid w:val="005E5149"/>
    <w:rsid w:val="005E5A92"/>
    <w:rsid w:val="005E652E"/>
    <w:rsid w:val="005E6ACB"/>
    <w:rsid w:val="005E6C52"/>
    <w:rsid w:val="005E6CBC"/>
    <w:rsid w:val="005E72FF"/>
    <w:rsid w:val="005E73C0"/>
    <w:rsid w:val="005F07ED"/>
    <w:rsid w:val="005F132E"/>
    <w:rsid w:val="005F1C52"/>
    <w:rsid w:val="005F21CC"/>
    <w:rsid w:val="005F2706"/>
    <w:rsid w:val="005F27A7"/>
    <w:rsid w:val="005F2BCA"/>
    <w:rsid w:val="005F31BD"/>
    <w:rsid w:val="005F3249"/>
    <w:rsid w:val="005F36A7"/>
    <w:rsid w:val="005F3E63"/>
    <w:rsid w:val="005F4552"/>
    <w:rsid w:val="005F45FB"/>
    <w:rsid w:val="005F46DC"/>
    <w:rsid w:val="005F4FA5"/>
    <w:rsid w:val="005F510D"/>
    <w:rsid w:val="005F6897"/>
    <w:rsid w:val="005F6A8F"/>
    <w:rsid w:val="005F6BB7"/>
    <w:rsid w:val="005F7588"/>
    <w:rsid w:val="00600A85"/>
    <w:rsid w:val="00600D6F"/>
    <w:rsid w:val="0060231C"/>
    <w:rsid w:val="00602745"/>
    <w:rsid w:val="006039BD"/>
    <w:rsid w:val="00603B6D"/>
    <w:rsid w:val="00603DB9"/>
    <w:rsid w:val="00603E33"/>
    <w:rsid w:val="00603EB4"/>
    <w:rsid w:val="0060520D"/>
    <w:rsid w:val="00606F86"/>
    <w:rsid w:val="00606FBA"/>
    <w:rsid w:val="00607669"/>
    <w:rsid w:val="006076F4"/>
    <w:rsid w:val="00607790"/>
    <w:rsid w:val="00607AFD"/>
    <w:rsid w:val="00610A47"/>
    <w:rsid w:val="00611428"/>
    <w:rsid w:val="00611B12"/>
    <w:rsid w:val="00612B11"/>
    <w:rsid w:val="00612CD2"/>
    <w:rsid w:val="00612F97"/>
    <w:rsid w:val="00613283"/>
    <w:rsid w:val="0061345D"/>
    <w:rsid w:val="00613542"/>
    <w:rsid w:val="00613729"/>
    <w:rsid w:val="0061549B"/>
    <w:rsid w:val="006164FE"/>
    <w:rsid w:val="00616802"/>
    <w:rsid w:val="00617E12"/>
    <w:rsid w:val="00620665"/>
    <w:rsid w:val="00620C25"/>
    <w:rsid w:val="00621477"/>
    <w:rsid w:val="00621941"/>
    <w:rsid w:val="00621ADA"/>
    <w:rsid w:val="00622849"/>
    <w:rsid w:val="0062301B"/>
    <w:rsid w:val="006231D5"/>
    <w:rsid w:val="00623A30"/>
    <w:rsid w:val="00623F7B"/>
    <w:rsid w:val="006248FA"/>
    <w:rsid w:val="00624BD4"/>
    <w:rsid w:val="00624DC3"/>
    <w:rsid w:val="00625D2F"/>
    <w:rsid w:val="00626435"/>
    <w:rsid w:val="00626A9C"/>
    <w:rsid w:val="00626B8A"/>
    <w:rsid w:val="00627532"/>
    <w:rsid w:val="00627D87"/>
    <w:rsid w:val="00630090"/>
    <w:rsid w:val="0063013E"/>
    <w:rsid w:val="006306CD"/>
    <w:rsid w:val="00630E27"/>
    <w:rsid w:val="00631226"/>
    <w:rsid w:val="0063158F"/>
    <w:rsid w:val="00631B18"/>
    <w:rsid w:val="00631D6B"/>
    <w:rsid w:val="00632183"/>
    <w:rsid w:val="00633068"/>
    <w:rsid w:val="006330A1"/>
    <w:rsid w:val="00633B8B"/>
    <w:rsid w:val="00634250"/>
    <w:rsid w:val="0063479F"/>
    <w:rsid w:val="00634D72"/>
    <w:rsid w:val="006353F0"/>
    <w:rsid w:val="006357B5"/>
    <w:rsid w:val="006364A1"/>
    <w:rsid w:val="0063678E"/>
    <w:rsid w:val="00637973"/>
    <w:rsid w:val="00637BFD"/>
    <w:rsid w:val="00637C5C"/>
    <w:rsid w:val="00637FF6"/>
    <w:rsid w:val="0064009E"/>
    <w:rsid w:val="00640D83"/>
    <w:rsid w:val="00641588"/>
    <w:rsid w:val="00641C4E"/>
    <w:rsid w:val="00641FB3"/>
    <w:rsid w:val="0064241A"/>
    <w:rsid w:val="00642BA7"/>
    <w:rsid w:val="00643367"/>
    <w:rsid w:val="00643BFA"/>
    <w:rsid w:val="0064434C"/>
    <w:rsid w:val="00644AB8"/>
    <w:rsid w:val="00644AE3"/>
    <w:rsid w:val="00646056"/>
    <w:rsid w:val="006471CC"/>
    <w:rsid w:val="006472FE"/>
    <w:rsid w:val="00647A29"/>
    <w:rsid w:val="00647D69"/>
    <w:rsid w:val="0065079F"/>
    <w:rsid w:val="00650847"/>
    <w:rsid w:val="0065176B"/>
    <w:rsid w:val="00651DC7"/>
    <w:rsid w:val="006525FC"/>
    <w:rsid w:val="00652A28"/>
    <w:rsid w:val="0065379F"/>
    <w:rsid w:val="00654465"/>
    <w:rsid w:val="00655022"/>
    <w:rsid w:val="00655B8E"/>
    <w:rsid w:val="00656188"/>
    <w:rsid w:val="006567E2"/>
    <w:rsid w:val="0065715A"/>
    <w:rsid w:val="006574EF"/>
    <w:rsid w:val="0065784C"/>
    <w:rsid w:val="0066041C"/>
    <w:rsid w:val="00660A7A"/>
    <w:rsid w:val="00660CCD"/>
    <w:rsid w:val="006610F1"/>
    <w:rsid w:val="00661343"/>
    <w:rsid w:val="00661765"/>
    <w:rsid w:val="00661C6B"/>
    <w:rsid w:val="006620C8"/>
    <w:rsid w:val="0066228C"/>
    <w:rsid w:val="00662303"/>
    <w:rsid w:val="00662738"/>
    <w:rsid w:val="00662D3E"/>
    <w:rsid w:val="00663849"/>
    <w:rsid w:val="006638BA"/>
    <w:rsid w:val="00664067"/>
    <w:rsid w:val="00664416"/>
    <w:rsid w:val="00665579"/>
    <w:rsid w:val="006657B4"/>
    <w:rsid w:val="006667D3"/>
    <w:rsid w:val="006679CB"/>
    <w:rsid w:val="00667A7C"/>
    <w:rsid w:val="00667BE3"/>
    <w:rsid w:val="0067012F"/>
    <w:rsid w:val="00670180"/>
    <w:rsid w:val="0067093E"/>
    <w:rsid w:val="00671004"/>
    <w:rsid w:val="00671383"/>
    <w:rsid w:val="006721D8"/>
    <w:rsid w:val="00672269"/>
    <w:rsid w:val="00672646"/>
    <w:rsid w:val="00672735"/>
    <w:rsid w:val="00673517"/>
    <w:rsid w:val="006749E9"/>
    <w:rsid w:val="00674E42"/>
    <w:rsid w:val="006755D4"/>
    <w:rsid w:val="00675C3E"/>
    <w:rsid w:val="00675F6D"/>
    <w:rsid w:val="00676494"/>
    <w:rsid w:val="00676563"/>
    <w:rsid w:val="006777A1"/>
    <w:rsid w:val="00680206"/>
    <w:rsid w:val="00680276"/>
    <w:rsid w:val="006804EA"/>
    <w:rsid w:val="00681000"/>
    <w:rsid w:val="006813F8"/>
    <w:rsid w:val="0068159C"/>
    <w:rsid w:val="00682082"/>
    <w:rsid w:val="00682112"/>
    <w:rsid w:val="006823FD"/>
    <w:rsid w:val="00682831"/>
    <w:rsid w:val="00682BA6"/>
    <w:rsid w:val="00683164"/>
    <w:rsid w:val="00683B0C"/>
    <w:rsid w:val="00683BC1"/>
    <w:rsid w:val="00683FC2"/>
    <w:rsid w:val="00684639"/>
    <w:rsid w:val="00685008"/>
    <w:rsid w:val="00685077"/>
    <w:rsid w:val="00685622"/>
    <w:rsid w:val="00685A44"/>
    <w:rsid w:val="00685A71"/>
    <w:rsid w:val="00685F0A"/>
    <w:rsid w:val="00686056"/>
    <w:rsid w:val="00686957"/>
    <w:rsid w:val="006872BA"/>
    <w:rsid w:val="006877F8"/>
    <w:rsid w:val="0069052D"/>
    <w:rsid w:val="00690795"/>
    <w:rsid w:val="00690F4B"/>
    <w:rsid w:val="00690F9E"/>
    <w:rsid w:val="0069138B"/>
    <w:rsid w:val="00691648"/>
    <w:rsid w:val="006917D7"/>
    <w:rsid w:val="00691DE9"/>
    <w:rsid w:val="00693877"/>
    <w:rsid w:val="0069434C"/>
    <w:rsid w:val="0069443F"/>
    <w:rsid w:val="00694F44"/>
    <w:rsid w:val="00695CC2"/>
    <w:rsid w:val="006969F0"/>
    <w:rsid w:val="00696EF9"/>
    <w:rsid w:val="00696F51"/>
    <w:rsid w:val="0069770C"/>
    <w:rsid w:val="006979A5"/>
    <w:rsid w:val="006A016F"/>
    <w:rsid w:val="006A03B4"/>
    <w:rsid w:val="006A0DF7"/>
    <w:rsid w:val="006A1DC7"/>
    <w:rsid w:val="006A272F"/>
    <w:rsid w:val="006A27A0"/>
    <w:rsid w:val="006A2ED2"/>
    <w:rsid w:val="006A3A59"/>
    <w:rsid w:val="006A3AF6"/>
    <w:rsid w:val="006A4302"/>
    <w:rsid w:val="006A431B"/>
    <w:rsid w:val="006A4321"/>
    <w:rsid w:val="006A43D9"/>
    <w:rsid w:val="006A5C34"/>
    <w:rsid w:val="006A5D5F"/>
    <w:rsid w:val="006A6B99"/>
    <w:rsid w:val="006A7308"/>
    <w:rsid w:val="006A741E"/>
    <w:rsid w:val="006A7E5F"/>
    <w:rsid w:val="006B0576"/>
    <w:rsid w:val="006B16C1"/>
    <w:rsid w:val="006B199C"/>
    <w:rsid w:val="006B2311"/>
    <w:rsid w:val="006B25AC"/>
    <w:rsid w:val="006B261B"/>
    <w:rsid w:val="006B2C90"/>
    <w:rsid w:val="006B333B"/>
    <w:rsid w:val="006B35E6"/>
    <w:rsid w:val="006B3786"/>
    <w:rsid w:val="006B465A"/>
    <w:rsid w:val="006B4827"/>
    <w:rsid w:val="006B4DC6"/>
    <w:rsid w:val="006B53BE"/>
    <w:rsid w:val="006B6AB7"/>
    <w:rsid w:val="006B6DD0"/>
    <w:rsid w:val="006B7937"/>
    <w:rsid w:val="006C0399"/>
    <w:rsid w:val="006C2A8E"/>
    <w:rsid w:val="006C2C9F"/>
    <w:rsid w:val="006C3255"/>
    <w:rsid w:val="006C3272"/>
    <w:rsid w:val="006C34C7"/>
    <w:rsid w:val="006C3F26"/>
    <w:rsid w:val="006C4354"/>
    <w:rsid w:val="006C4747"/>
    <w:rsid w:val="006C5BAC"/>
    <w:rsid w:val="006D0D17"/>
    <w:rsid w:val="006D0DD3"/>
    <w:rsid w:val="006D1AE4"/>
    <w:rsid w:val="006D2D35"/>
    <w:rsid w:val="006D2E8F"/>
    <w:rsid w:val="006D2FBB"/>
    <w:rsid w:val="006D3C7D"/>
    <w:rsid w:val="006D3F1C"/>
    <w:rsid w:val="006D4659"/>
    <w:rsid w:val="006D5D5F"/>
    <w:rsid w:val="006D6833"/>
    <w:rsid w:val="006D68FB"/>
    <w:rsid w:val="006D70FF"/>
    <w:rsid w:val="006E0584"/>
    <w:rsid w:val="006E0674"/>
    <w:rsid w:val="006E0989"/>
    <w:rsid w:val="006E1224"/>
    <w:rsid w:val="006E138A"/>
    <w:rsid w:val="006E1581"/>
    <w:rsid w:val="006E1629"/>
    <w:rsid w:val="006E1E4A"/>
    <w:rsid w:val="006E2868"/>
    <w:rsid w:val="006E36F7"/>
    <w:rsid w:val="006E482B"/>
    <w:rsid w:val="006E5A53"/>
    <w:rsid w:val="006E5C5B"/>
    <w:rsid w:val="006E637C"/>
    <w:rsid w:val="006F0288"/>
    <w:rsid w:val="006F0DB2"/>
    <w:rsid w:val="006F275E"/>
    <w:rsid w:val="006F2C58"/>
    <w:rsid w:val="006F2CAF"/>
    <w:rsid w:val="006F306C"/>
    <w:rsid w:val="006F315D"/>
    <w:rsid w:val="006F3B09"/>
    <w:rsid w:val="006F4E27"/>
    <w:rsid w:val="006F59D7"/>
    <w:rsid w:val="006F5D3B"/>
    <w:rsid w:val="006F5DC5"/>
    <w:rsid w:val="006F63A5"/>
    <w:rsid w:val="006F63FA"/>
    <w:rsid w:val="006F6D4B"/>
    <w:rsid w:val="006F711A"/>
    <w:rsid w:val="006F7138"/>
    <w:rsid w:val="006F7EE7"/>
    <w:rsid w:val="007004A9"/>
    <w:rsid w:val="00700A68"/>
    <w:rsid w:val="00701131"/>
    <w:rsid w:val="0070119B"/>
    <w:rsid w:val="00701358"/>
    <w:rsid w:val="0070142B"/>
    <w:rsid w:val="007016CF"/>
    <w:rsid w:val="00702208"/>
    <w:rsid w:val="00702272"/>
    <w:rsid w:val="0070276E"/>
    <w:rsid w:val="00702F8F"/>
    <w:rsid w:val="00704EBD"/>
    <w:rsid w:val="00705405"/>
    <w:rsid w:val="00706DAB"/>
    <w:rsid w:val="007079FC"/>
    <w:rsid w:val="00707E16"/>
    <w:rsid w:val="00710215"/>
    <w:rsid w:val="00710B6D"/>
    <w:rsid w:val="007116B9"/>
    <w:rsid w:val="0071174A"/>
    <w:rsid w:val="007117DB"/>
    <w:rsid w:val="00711A36"/>
    <w:rsid w:val="007125D3"/>
    <w:rsid w:val="00713575"/>
    <w:rsid w:val="00713B8A"/>
    <w:rsid w:val="007144FE"/>
    <w:rsid w:val="00714C26"/>
    <w:rsid w:val="0071529C"/>
    <w:rsid w:val="00715FCA"/>
    <w:rsid w:val="007163D3"/>
    <w:rsid w:val="007170DA"/>
    <w:rsid w:val="007172AD"/>
    <w:rsid w:val="007173B7"/>
    <w:rsid w:val="00717546"/>
    <w:rsid w:val="0071782A"/>
    <w:rsid w:val="00720038"/>
    <w:rsid w:val="007201F7"/>
    <w:rsid w:val="00720801"/>
    <w:rsid w:val="00720E92"/>
    <w:rsid w:val="007211B3"/>
    <w:rsid w:val="00721CDA"/>
    <w:rsid w:val="00722AA1"/>
    <w:rsid w:val="00722B1B"/>
    <w:rsid w:val="00722E8F"/>
    <w:rsid w:val="0072416F"/>
    <w:rsid w:val="00724306"/>
    <w:rsid w:val="00724AF8"/>
    <w:rsid w:val="007251C0"/>
    <w:rsid w:val="00725455"/>
    <w:rsid w:val="0072636F"/>
    <w:rsid w:val="00727C94"/>
    <w:rsid w:val="00730374"/>
    <w:rsid w:val="00731B0A"/>
    <w:rsid w:val="00731D25"/>
    <w:rsid w:val="00731EAE"/>
    <w:rsid w:val="00733073"/>
    <w:rsid w:val="0073352B"/>
    <w:rsid w:val="0073380F"/>
    <w:rsid w:val="00733A83"/>
    <w:rsid w:val="00734075"/>
    <w:rsid w:val="00734C1B"/>
    <w:rsid w:val="00734FB3"/>
    <w:rsid w:val="00735033"/>
    <w:rsid w:val="00735328"/>
    <w:rsid w:val="00735525"/>
    <w:rsid w:val="00735D88"/>
    <w:rsid w:val="0073685B"/>
    <w:rsid w:val="00736BF7"/>
    <w:rsid w:val="00736F66"/>
    <w:rsid w:val="00737399"/>
    <w:rsid w:val="007375E1"/>
    <w:rsid w:val="0074118B"/>
    <w:rsid w:val="00741200"/>
    <w:rsid w:val="00741208"/>
    <w:rsid w:val="007413D8"/>
    <w:rsid w:val="007419CA"/>
    <w:rsid w:val="00742710"/>
    <w:rsid w:val="00742CD1"/>
    <w:rsid w:val="00743148"/>
    <w:rsid w:val="007432A9"/>
    <w:rsid w:val="00743835"/>
    <w:rsid w:val="007443F4"/>
    <w:rsid w:val="007449BF"/>
    <w:rsid w:val="0074500F"/>
    <w:rsid w:val="007458C0"/>
    <w:rsid w:val="007463FE"/>
    <w:rsid w:val="00746B97"/>
    <w:rsid w:val="00746BC0"/>
    <w:rsid w:val="00746CBE"/>
    <w:rsid w:val="00747175"/>
    <w:rsid w:val="00750388"/>
    <w:rsid w:val="007510B4"/>
    <w:rsid w:val="00751BF9"/>
    <w:rsid w:val="00752142"/>
    <w:rsid w:val="007522AA"/>
    <w:rsid w:val="007523F9"/>
    <w:rsid w:val="00753341"/>
    <w:rsid w:val="0075357E"/>
    <w:rsid w:val="007536B0"/>
    <w:rsid w:val="00753A89"/>
    <w:rsid w:val="00753B1F"/>
    <w:rsid w:val="00753B29"/>
    <w:rsid w:val="00754491"/>
    <w:rsid w:val="007546D9"/>
    <w:rsid w:val="007546DD"/>
    <w:rsid w:val="00754CA9"/>
    <w:rsid w:val="00754E28"/>
    <w:rsid w:val="00754ED4"/>
    <w:rsid w:val="0075503A"/>
    <w:rsid w:val="007552C3"/>
    <w:rsid w:val="007566AE"/>
    <w:rsid w:val="00756700"/>
    <w:rsid w:val="0075735D"/>
    <w:rsid w:val="007573E8"/>
    <w:rsid w:val="007606B3"/>
    <w:rsid w:val="00760C4E"/>
    <w:rsid w:val="00760F9E"/>
    <w:rsid w:val="00761209"/>
    <w:rsid w:val="0076160D"/>
    <w:rsid w:val="007616E6"/>
    <w:rsid w:val="007620D3"/>
    <w:rsid w:val="00762260"/>
    <w:rsid w:val="00762756"/>
    <w:rsid w:val="007627BE"/>
    <w:rsid w:val="00763574"/>
    <w:rsid w:val="007637DB"/>
    <w:rsid w:val="00763BFF"/>
    <w:rsid w:val="00763C2B"/>
    <w:rsid w:val="00764895"/>
    <w:rsid w:val="00764934"/>
    <w:rsid w:val="00764F03"/>
    <w:rsid w:val="00765B1A"/>
    <w:rsid w:val="00765DC1"/>
    <w:rsid w:val="007663F8"/>
    <w:rsid w:val="0077095A"/>
    <w:rsid w:val="00771069"/>
    <w:rsid w:val="007724C1"/>
    <w:rsid w:val="00772554"/>
    <w:rsid w:val="0077278E"/>
    <w:rsid w:val="00773E9C"/>
    <w:rsid w:val="007740A4"/>
    <w:rsid w:val="007748D3"/>
    <w:rsid w:val="007751D7"/>
    <w:rsid w:val="00775234"/>
    <w:rsid w:val="007758BD"/>
    <w:rsid w:val="00775E48"/>
    <w:rsid w:val="00776ECE"/>
    <w:rsid w:val="00777335"/>
    <w:rsid w:val="00777A4E"/>
    <w:rsid w:val="0078018A"/>
    <w:rsid w:val="00780418"/>
    <w:rsid w:val="007809EA"/>
    <w:rsid w:val="0078131A"/>
    <w:rsid w:val="007822AB"/>
    <w:rsid w:val="00783A8A"/>
    <w:rsid w:val="007841A0"/>
    <w:rsid w:val="007843F2"/>
    <w:rsid w:val="007844C5"/>
    <w:rsid w:val="007846FA"/>
    <w:rsid w:val="00784C76"/>
    <w:rsid w:val="00784D60"/>
    <w:rsid w:val="00785718"/>
    <w:rsid w:val="00785A9F"/>
    <w:rsid w:val="00786E58"/>
    <w:rsid w:val="00786F59"/>
    <w:rsid w:val="0079085E"/>
    <w:rsid w:val="0079134E"/>
    <w:rsid w:val="00791BB3"/>
    <w:rsid w:val="007925DF"/>
    <w:rsid w:val="007928C4"/>
    <w:rsid w:val="00792BF1"/>
    <w:rsid w:val="00792E7E"/>
    <w:rsid w:val="00793E8A"/>
    <w:rsid w:val="007948F4"/>
    <w:rsid w:val="00794CAC"/>
    <w:rsid w:val="00795BB7"/>
    <w:rsid w:val="0079612B"/>
    <w:rsid w:val="00796630"/>
    <w:rsid w:val="00796EDD"/>
    <w:rsid w:val="00797733"/>
    <w:rsid w:val="00797EC1"/>
    <w:rsid w:val="00797F12"/>
    <w:rsid w:val="007A0317"/>
    <w:rsid w:val="007A0636"/>
    <w:rsid w:val="007A08AA"/>
    <w:rsid w:val="007A0A12"/>
    <w:rsid w:val="007A132D"/>
    <w:rsid w:val="007A1345"/>
    <w:rsid w:val="007A186D"/>
    <w:rsid w:val="007A2DDB"/>
    <w:rsid w:val="007A2F5F"/>
    <w:rsid w:val="007A3964"/>
    <w:rsid w:val="007A5FBF"/>
    <w:rsid w:val="007A6847"/>
    <w:rsid w:val="007A6C39"/>
    <w:rsid w:val="007A70BA"/>
    <w:rsid w:val="007A76D8"/>
    <w:rsid w:val="007A7DDF"/>
    <w:rsid w:val="007A7F78"/>
    <w:rsid w:val="007B044D"/>
    <w:rsid w:val="007B052D"/>
    <w:rsid w:val="007B0D68"/>
    <w:rsid w:val="007B1475"/>
    <w:rsid w:val="007B1DFF"/>
    <w:rsid w:val="007B251D"/>
    <w:rsid w:val="007B2996"/>
    <w:rsid w:val="007B309C"/>
    <w:rsid w:val="007B3533"/>
    <w:rsid w:val="007B3842"/>
    <w:rsid w:val="007B3921"/>
    <w:rsid w:val="007B3B2A"/>
    <w:rsid w:val="007B4CCC"/>
    <w:rsid w:val="007B4F58"/>
    <w:rsid w:val="007B528D"/>
    <w:rsid w:val="007B5643"/>
    <w:rsid w:val="007B63CA"/>
    <w:rsid w:val="007B6A18"/>
    <w:rsid w:val="007B6DA8"/>
    <w:rsid w:val="007B7228"/>
    <w:rsid w:val="007B72DD"/>
    <w:rsid w:val="007B7697"/>
    <w:rsid w:val="007B77A3"/>
    <w:rsid w:val="007B77D1"/>
    <w:rsid w:val="007B7CD5"/>
    <w:rsid w:val="007B7E45"/>
    <w:rsid w:val="007C02EA"/>
    <w:rsid w:val="007C076A"/>
    <w:rsid w:val="007C07C7"/>
    <w:rsid w:val="007C1173"/>
    <w:rsid w:val="007C1315"/>
    <w:rsid w:val="007C1CD9"/>
    <w:rsid w:val="007C2379"/>
    <w:rsid w:val="007C2DD3"/>
    <w:rsid w:val="007C32EF"/>
    <w:rsid w:val="007C3586"/>
    <w:rsid w:val="007C361D"/>
    <w:rsid w:val="007C36CA"/>
    <w:rsid w:val="007C3958"/>
    <w:rsid w:val="007C3E28"/>
    <w:rsid w:val="007C4013"/>
    <w:rsid w:val="007C41E9"/>
    <w:rsid w:val="007C485A"/>
    <w:rsid w:val="007C485C"/>
    <w:rsid w:val="007C4B84"/>
    <w:rsid w:val="007C4D97"/>
    <w:rsid w:val="007C4F0E"/>
    <w:rsid w:val="007C4FD3"/>
    <w:rsid w:val="007C590D"/>
    <w:rsid w:val="007C5CEC"/>
    <w:rsid w:val="007C643C"/>
    <w:rsid w:val="007C65FA"/>
    <w:rsid w:val="007C70FF"/>
    <w:rsid w:val="007C75A2"/>
    <w:rsid w:val="007C76E1"/>
    <w:rsid w:val="007C7C25"/>
    <w:rsid w:val="007D004F"/>
    <w:rsid w:val="007D035F"/>
    <w:rsid w:val="007D06B2"/>
    <w:rsid w:val="007D0B38"/>
    <w:rsid w:val="007D0E53"/>
    <w:rsid w:val="007D19F6"/>
    <w:rsid w:val="007D2889"/>
    <w:rsid w:val="007D2BFB"/>
    <w:rsid w:val="007D338A"/>
    <w:rsid w:val="007D38BF"/>
    <w:rsid w:val="007D38EE"/>
    <w:rsid w:val="007D5440"/>
    <w:rsid w:val="007D6056"/>
    <w:rsid w:val="007D607E"/>
    <w:rsid w:val="007D69EB"/>
    <w:rsid w:val="007D6FF7"/>
    <w:rsid w:val="007D77CA"/>
    <w:rsid w:val="007E039C"/>
    <w:rsid w:val="007E128F"/>
    <w:rsid w:val="007E1387"/>
    <w:rsid w:val="007E1DA7"/>
    <w:rsid w:val="007E3286"/>
    <w:rsid w:val="007E3798"/>
    <w:rsid w:val="007E4CBC"/>
    <w:rsid w:val="007E55D7"/>
    <w:rsid w:val="007E55F8"/>
    <w:rsid w:val="007E6F34"/>
    <w:rsid w:val="007E6FA2"/>
    <w:rsid w:val="007E73C2"/>
    <w:rsid w:val="007E7A1F"/>
    <w:rsid w:val="007E7BD4"/>
    <w:rsid w:val="007E7D34"/>
    <w:rsid w:val="007F00D9"/>
    <w:rsid w:val="007F020E"/>
    <w:rsid w:val="007F0246"/>
    <w:rsid w:val="007F0FCD"/>
    <w:rsid w:val="007F1017"/>
    <w:rsid w:val="007F213F"/>
    <w:rsid w:val="007F26B2"/>
    <w:rsid w:val="007F3E51"/>
    <w:rsid w:val="007F4A3F"/>
    <w:rsid w:val="007F4A61"/>
    <w:rsid w:val="007F4B95"/>
    <w:rsid w:val="007F4E8B"/>
    <w:rsid w:val="007F5255"/>
    <w:rsid w:val="007F56CC"/>
    <w:rsid w:val="007F5F00"/>
    <w:rsid w:val="007F61C2"/>
    <w:rsid w:val="007F6213"/>
    <w:rsid w:val="007F729F"/>
    <w:rsid w:val="007F7A2B"/>
    <w:rsid w:val="00800711"/>
    <w:rsid w:val="00801840"/>
    <w:rsid w:val="00801DF6"/>
    <w:rsid w:val="008023A8"/>
    <w:rsid w:val="00802602"/>
    <w:rsid w:val="00803C40"/>
    <w:rsid w:val="00804BDB"/>
    <w:rsid w:val="00804D47"/>
    <w:rsid w:val="00805142"/>
    <w:rsid w:val="008054D5"/>
    <w:rsid w:val="00805FCE"/>
    <w:rsid w:val="0080616B"/>
    <w:rsid w:val="008061B5"/>
    <w:rsid w:val="00806754"/>
    <w:rsid w:val="008069D0"/>
    <w:rsid w:val="008071C2"/>
    <w:rsid w:val="00807801"/>
    <w:rsid w:val="00807A8B"/>
    <w:rsid w:val="0081004F"/>
    <w:rsid w:val="0081072D"/>
    <w:rsid w:val="00810942"/>
    <w:rsid w:val="00810CC1"/>
    <w:rsid w:val="00811383"/>
    <w:rsid w:val="008114F5"/>
    <w:rsid w:val="00811D51"/>
    <w:rsid w:val="00812149"/>
    <w:rsid w:val="00812A9D"/>
    <w:rsid w:val="00812CAC"/>
    <w:rsid w:val="008139FD"/>
    <w:rsid w:val="00813C51"/>
    <w:rsid w:val="008159AD"/>
    <w:rsid w:val="00816361"/>
    <w:rsid w:val="008166EF"/>
    <w:rsid w:val="00816FEF"/>
    <w:rsid w:val="008177F6"/>
    <w:rsid w:val="008178AF"/>
    <w:rsid w:val="0082039E"/>
    <w:rsid w:val="00820A8C"/>
    <w:rsid w:val="00820B70"/>
    <w:rsid w:val="0082144A"/>
    <w:rsid w:val="008215FB"/>
    <w:rsid w:val="00821B03"/>
    <w:rsid w:val="008220C9"/>
    <w:rsid w:val="008220CC"/>
    <w:rsid w:val="00822A9C"/>
    <w:rsid w:val="00822BB8"/>
    <w:rsid w:val="00823174"/>
    <w:rsid w:val="00823C34"/>
    <w:rsid w:val="00824956"/>
    <w:rsid w:val="00825006"/>
    <w:rsid w:val="008255C1"/>
    <w:rsid w:val="00825751"/>
    <w:rsid w:val="00825E33"/>
    <w:rsid w:val="008264EB"/>
    <w:rsid w:val="008268CE"/>
    <w:rsid w:val="00826C06"/>
    <w:rsid w:val="00827149"/>
    <w:rsid w:val="00827C23"/>
    <w:rsid w:val="008306F9"/>
    <w:rsid w:val="008308C7"/>
    <w:rsid w:val="0083099B"/>
    <w:rsid w:val="00830D69"/>
    <w:rsid w:val="00832DAE"/>
    <w:rsid w:val="008334EE"/>
    <w:rsid w:val="00833565"/>
    <w:rsid w:val="00833B05"/>
    <w:rsid w:val="008341AA"/>
    <w:rsid w:val="00834C81"/>
    <w:rsid w:val="0083549F"/>
    <w:rsid w:val="0083552E"/>
    <w:rsid w:val="008362B4"/>
    <w:rsid w:val="00836AB9"/>
    <w:rsid w:val="00836DA4"/>
    <w:rsid w:val="00837529"/>
    <w:rsid w:val="00837F32"/>
    <w:rsid w:val="00837FF1"/>
    <w:rsid w:val="00840CA2"/>
    <w:rsid w:val="00840FED"/>
    <w:rsid w:val="00841A5A"/>
    <w:rsid w:val="00842C94"/>
    <w:rsid w:val="00843038"/>
    <w:rsid w:val="008436CC"/>
    <w:rsid w:val="0084374F"/>
    <w:rsid w:val="008446ED"/>
    <w:rsid w:val="00844771"/>
    <w:rsid w:val="00844A22"/>
    <w:rsid w:val="00844F2C"/>
    <w:rsid w:val="00844FA5"/>
    <w:rsid w:val="00845BB8"/>
    <w:rsid w:val="00846449"/>
    <w:rsid w:val="0084682D"/>
    <w:rsid w:val="00846F89"/>
    <w:rsid w:val="00847703"/>
    <w:rsid w:val="00847DF5"/>
    <w:rsid w:val="00850027"/>
    <w:rsid w:val="008509A0"/>
    <w:rsid w:val="00851908"/>
    <w:rsid w:val="00853009"/>
    <w:rsid w:val="0085309D"/>
    <w:rsid w:val="00853B49"/>
    <w:rsid w:val="00853E09"/>
    <w:rsid w:val="00853EC2"/>
    <w:rsid w:val="008545E4"/>
    <w:rsid w:val="0085489E"/>
    <w:rsid w:val="008548CC"/>
    <w:rsid w:val="00855EC2"/>
    <w:rsid w:val="0085601B"/>
    <w:rsid w:val="008565A1"/>
    <w:rsid w:val="00856686"/>
    <w:rsid w:val="00856897"/>
    <w:rsid w:val="00856E9A"/>
    <w:rsid w:val="00857B68"/>
    <w:rsid w:val="00857BD4"/>
    <w:rsid w:val="0086075D"/>
    <w:rsid w:val="008607C8"/>
    <w:rsid w:val="0086208D"/>
    <w:rsid w:val="008622A2"/>
    <w:rsid w:val="00862502"/>
    <w:rsid w:val="00862CC1"/>
    <w:rsid w:val="00863455"/>
    <w:rsid w:val="008640B4"/>
    <w:rsid w:val="008642A7"/>
    <w:rsid w:val="00865D05"/>
    <w:rsid w:val="008660D4"/>
    <w:rsid w:val="00866617"/>
    <w:rsid w:val="00866B86"/>
    <w:rsid w:val="00867BF7"/>
    <w:rsid w:val="00870730"/>
    <w:rsid w:val="00870806"/>
    <w:rsid w:val="00871448"/>
    <w:rsid w:val="008714BF"/>
    <w:rsid w:val="008715DE"/>
    <w:rsid w:val="0087162E"/>
    <w:rsid w:val="00871FA9"/>
    <w:rsid w:val="008722F1"/>
    <w:rsid w:val="00872761"/>
    <w:rsid w:val="008728E9"/>
    <w:rsid w:val="008736DB"/>
    <w:rsid w:val="00874200"/>
    <w:rsid w:val="00874350"/>
    <w:rsid w:val="00874546"/>
    <w:rsid w:val="00874FDA"/>
    <w:rsid w:val="00875C70"/>
    <w:rsid w:val="00875E39"/>
    <w:rsid w:val="0087600E"/>
    <w:rsid w:val="00876453"/>
    <w:rsid w:val="00877870"/>
    <w:rsid w:val="00877CD6"/>
    <w:rsid w:val="00880238"/>
    <w:rsid w:val="00881390"/>
    <w:rsid w:val="00881E4B"/>
    <w:rsid w:val="0088246B"/>
    <w:rsid w:val="00882874"/>
    <w:rsid w:val="00882AF2"/>
    <w:rsid w:val="00882C6C"/>
    <w:rsid w:val="00882E3C"/>
    <w:rsid w:val="0088308A"/>
    <w:rsid w:val="00883787"/>
    <w:rsid w:val="0088383A"/>
    <w:rsid w:val="0088478B"/>
    <w:rsid w:val="0088512D"/>
    <w:rsid w:val="008851B5"/>
    <w:rsid w:val="008855E4"/>
    <w:rsid w:val="008867C8"/>
    <w:rsid w:val="00886CD2"/>
    <w:rsid w:val="00886FFE"/>
    <w:rsid w:val="008875E4"/>
    <w:rsid w:val="00887639"/>
    <w:rsid w:val="008877D7"/>
    <w:rsid w:val="008903EB"/>
    <w:rsid w:val="00890EC9"/>
    <w:rsid w:val="00890F01"/>
    <w:rsid w:val="00891421"/>
    <w:rsid w:val="0089183F"/>
    <w:rsid w:val="00891E6F"/>
    <w:rsid w:val="00891F41"/>
    <w:rsid w:val="0089275D"/>
    <w:rsid w:val="00892A36"/>
    <w:rsid w:val="00893239"/>
    <w:rsid w:val="008941E3"/>
    <w:rsid w:val="00894489"/>
    <w:rsid w:val="0089486D"/>
    <w:rsid w:val="008948D8"/>
    <w:rsid w:val="00894CD6"/>
    <w:rsid w:val="008960EB"/>
    <w:rsid w:val="008962D5"/>
    <w:rsid w:val="008963A5"/>
    <w:rsid w:val="00896D5D"/>
    <w:rsid w:val="0089746E"/>
    <w:rsid w:val="00897528"/>
    <w:rsid w:val="008A03BD"/>
    <w:rsid w:val="008A0BA2"/>
    <w:rsid w:val="008A13F9"/>
    <w:rsid w:val="008A1885"/>
    <w:rsid w:val="008A3158"/>
    <w:rsid w:val="008A32D8"/>
    <w:rsid w:val="008A3363"/>
    <w:rsid w:val="008A3371"/>
    <w:rsid w:val="008A3BA0"/>
    <w:rsid w:val="008A3C3E"/>
    <w:rsid w:val="008A4710"/>
    <w:rsid w:val="008A5B0F"/>
    <w:rsid w:val="008A5D89"/>
    <w:rsid w:val="008A7023"/>
    <w:rsid w:val="008A778B"/>
    <w:rsid w:val="008A79DE"/>
    <w:rsid w:val="008A7A18"/>
    <w:rsid w:val="008B10FF"/>
    <w:rsid w:val="008B1757"/>
    <w:rsid w:val="008B1C33"/>
    <w:rsid w:val="008B1FAF"/>
    <w:rsid w:val="008B2369"/>
    <w:rsid w:val="008B24DC"/>
    <w:rsid w:val="008B319F"/>
    <w:rsid w:val="008B41A0"/>
    <w:rsid w:val="008B44FD"/>
    <w:rsid w:val="008B4B6F"/>
    <w:rsid w:val="008B5190"/>
    <w:rsid w:val="008B56B6"/>
    <w:rsid w:val="008B6996"/>
    <w:rsid w:val="008B6B42"/>
    <w:rsid w:val="008B7992"/>
    <w:rsid w:val="008B7D63"/>
    <w:rsid w:val="008B7D7E"/>
    <w:rsid w:val="008C02D8"/>
    <w:rsid w:val="008C1033"/>
    <w:rsid w:val="008C2B6B"/>
    <w:rsid w:val="008C3387"/>
    <w:rsid w:val="008C3B38"/>
    <w:rsid w:val="008C3B82"/>
    <w:rsid w:val="008C441E"/>
    <w:rsid w:val="008C44C4"/>
    <w:rsid w:val="008C4B4D"/>
    <w:rsid w:val="008C5610"/>
    <w:rsid w:val="008C5739"/>
    <w:rsid w:val="008C5DF6"/>
    <w:rsid w:val="008C5FE3"/>
    <w:rsid w:val="008C6A83"/>
    <w:rsid w:val="008C7282"/>
    <w:rsid w:val="008C7ECB"/>
    <w:rsid w:val="008D2362"/>
    <w:rsid w:val="008D2837"/>
    <w:rsid w:val="008D3867"/>
    <w:rsid w:val="008D3B86"/>
    <w:rsid w:val="008D43FD"/>
    <w:rsid w:val="008D4755"/>
    <w:rsid w:val="008D4C3D"/>
    <w:rsid w:val="008D53C0"/>
    <w:rsid w:val="008D743C"/>
    <w:rsid w:val="008D77F8"/>
    <w:rsid w:val="008D7EB6"/>
    <w:rsid w:val="008E0679"/>
    <w:rsid w:val="008E0A8B"/>
    <w:rsid w:val="008E0CA3"/>
    <w:rsid w:val="008E0D3C"/>
    <w:rsid w:val="008E1144"/>
    <w:rsid w:val="008E14DD"/>
    <w:rsid w:val="008E1B9E"/>
    <w:rsid w:val="008E2321"/>
    <w:rsid w:val="008E2F3C"/>
    <w:rsid w:val="008E37A7"/>
    <w:rsid w:val="008E37C0"/>
    <w:rsid w:val="008E3EC7"/>
    <w:rsid w:val="008E444F"/>
    <w:rsid w:val="008E480D"/>
    <w:rsid w:val="008E4AE6"/>
    <w:rsid w:val="008E4C56"/>
    <w:rsid w:val="008E4DB5"/>
    <w:rsid w:val="008E51A9"/>
    <w:rsid w:val="008E5286"/>
    <w:rsid w:val="008E52FF"/>
    <w:rsid w:val="008E55AB"/>
    <w:rsid w:val="008E614A"/>
    <w:rsid w:val="008E7153"/>
    <w:rsid w:val="008E7BAD"/>
    <w:rsid w:val="008E7BFA"/>
    <w:rsid w:val="008E7CDC"/>
    <w:rsid w:val="008F120A"/>
    <w:rsid w:val="008F1879"/>
    <w:rsid w:val="008F23CF"/>
    <w:rsid w:val="008F27E0"/>
    <w:rsid w:val="008F30BD"/>
    <w:rsid w:val="008F3130"/>
    <w:rsid w:val="008F3189"/>
    <w:rsid w:val="008F3385"/>
    <w:rsid w:val="008F3CAC"/>
    <w:rsid w:val="008F48EB"/>
    <w:rsid w:val="008F4A1B"/>
    <w:rsid w:val="008F4E61"/>
    <w:rsid w:val="008F4F0B"/>
    <w:rsid w:val="008F5D30"/>
    <w:rsid w:val="008F6628"/>
    <w:rsid w:val="008F6DE3"/>
    <w:rsid w:val="008F7390"/>
    <w:rsid w:val="008F7730"/>
    <w:rsid w:val="008F7BD9"/>
    <w:rsid w:val="008F7E57"/>
    <w:rsid w:val="008F7FCC"/>
    <w:rsid w:val="00900085"/>
    <w:rsid w:val="00900C6F"/>
    <w:rsid w:val="00901326"/>
    <w:rsid w:val="0090183D"/>
    <w:rsid w:val="00901948"/>
    <w:rsid w:val="00901E49"/>
    <w:rsid w:val="00901F4C"/>
    <w:rsid w:val="0090220E"/>
    <w:rsid w:val="00902433"/>
    <w:rsid w:val="00902466"/>
    <w:rsid w:val="00902660"/>
    <w:rsid w:val="00903D43"/>
    <w:rsid w:val="009046C4"/>
    <w:rsid w:val="009052E2"/>
    <w:rsid w:val="00905B05"/>
    <w:rsid w:val="0090614F"/>
    <w:rsid w:val="009062A5"/>
    <w:rsid w:val="009075EA"/>
    <w:rsid w:val="00907699"/>
    <w:rsid w:val="009079E1"/>
    <w:rsid w:val="00910FA7"/>
    <w:rsid w:val="00911272"/>
    <w:rsid w:val="00911339"/>
    <w:rsid w:val="0091159A"/>
    <w:rsid w:val="00912149"/>
    <w:rsid w:val="00912A26"/>
    <w:rsid w:val="00912E82"/>
    <w:rsid w:val="009135D6"/>
    <w:rsid w:val="00913958"/>
    <w:rsid w:val="00914C77"/>
    <w:rsid w:val="009156AF"/>
    <w:rsid w:val="00915EB5"/>
    <w:rsid w:val="00916592"/>
    <w:rsid w:val="00916AE5"/>
    <w:rsid w:val="00916CDA"/>
    <w:rsid w:val="00916F3B"/>
    <w:rsid w:val="00916F70"/>
    <w:rsid w:val="009175C5"/>
    <w:rsid w:val="009175D9"/>
    <w:rsid w:val="00917B9B"/>
    <w:rsid w:val="0092147E"/>
    <w:rsid w:val="00921840"/>
    <w:rsid w:val="00921ACB"/>
    <w:rsid w:val="00921AF4"/>
    <w:rsid w:val="009224AC"/>
    <w:rsid w:val="00922DB8"/>
    <w:rsid w:val="0092305A"/>
    <w:rsid w:val="00923609"/>
    <w:rsid w:val="0092369B"/>
    <w:rsid w:val="009255E5"/>
    <w:rsid w:val="0092634C"/>
    <w:rsid w:val="009263AC"/>
    <w:rsid w:val="0092696C"/>
    <w:rsid w:val="0092705C"/>
    <w:rsid w:val="009275AD"/>
    <w:rsid w:val="00927933"/>
    <w:rsid w:val="00927BAC"/>
    <w:rsid w:val="009317E3"/>
    <w:rsid w:val="00931917"/>
    <w:rsid w:val="0093325E"/>
    <w:rsid w:val="00933B09"/>
    <w:rsid w:val="00933D05"/>
    <w:rsid w:val="0093445D"/>
    <w:rsid w:val="00934988"/>
    <w:rsid w:val="00935674"/>
    <w:rsid w:val="009358BA"/>
    <w:rsid w:val="00936819"/>
    <w:rsid w:val="0093690A"/>
    <w:rsid w:val="00936EF8"/>
    <w:rsid w:val="00937060"/>
    <w:rsid w:val="00937064"/>
    <w:rsid w:val="00937089"/>
    <w:rsid w:val="009375DF"/>
    <w:rsid w:val="00937781"/>
    <w:rsid w:val="00940458"/>
    <w:rsid w:val="0094069D"/>
    <w:rsid w:val="009417DE"/>
    <w:rsid w:val="00941ACF"/>
    <w:rsid w:val="00942D1F"/>
    <w:rsid w:val="0094353B"/>
    <w:rsid w:val="009442BA"/>
    <w:rsid w:val="00944491"/>
    <w:rsid w:val="009444F4"/>
    <w:rsid w:val="00944F8A"/>
    <w:rsid w:val="00945784"/>
    <w:rsid w:val="00945E72"/>
    <w:rsid w:val="00946EB0"/>
    <w:rsid w:val="009506B6"/>
    <w:rsid w:val="009506CE"/>
    <w:rsid w:val="009510A2"/>
    <w:rsid w:val="0095174E"/>
    <w:rsid w:val="00951A64"/>
    <w:rsid w:val="00951FB6"/>
    <w:rsid w:val="009521E8"/>
    <w:rsid w:val="00952DD9"/>
    <w:rsid w:val="00952EDE"/>
    <w:rsid w:val="00953257"/>
    <w:rsid w:val="00953CC6"/>
    <w:rsid w:val="00953D3A"/>
    <w:rsid w:val="0095474C"/>
    <w:rsid w:val="00955B02"/>
    <w:rsid w:val="00955C62"/>
    <w:rsid w:val="00956363"/>
    <w:rsid w:val="0095643A"/>
    <w:rsid w:val="00957990"/>
    <w:rsid w:val="00957AB1"/>
    <w:rsid w:val="00957D92"/>
    <w:rsid w:val="00962976"/>
    <w:rsid w:val="00962CB9"/>
    <w:rsid w:val="00963D92"/>
    <w:rsid w:val="00963F1A"/>
    <w:rsid w:val="00964001"/>
    <w:rsid w:val="00964312"/>
    <w:rsid w:val="0096450A"/>
    <w:rsid w:val="009646F2"/>
    <w:rsid w:val="00964D0B"/>
    <w:rsid w:val="00964DC8"/>
    <w:rsid w:val="00965B8A"/>
    <w:rsid w:val="00965CD6"/>
    <w:rsid w:val="00965F17"/>
    <w:rsid w:val="009661D5"/>
    <w:rsid w:val="009673D9"/>
    <w:rsid w:val="00967C46"/>
    <w:rsid w:val="00970509"/>
    <w:rsid w:val="0097071F"/>
    <w:rsid w:val="00971310"/>
    <w:rsid w:val="009715EA"/>
    <w:rsid w:val="009717AC"/>
    <w:rsid w:val="00971A9A"/>
    <w:rsid w:val="009728B8"/>
    <w:rsid w:val="00972ABE"/>
    <w:rsid w:val="00973409"/>
    <w:rsid w:val="00974261"/>
    <w:rsid w:val="00974ED7"/>
    <w:rsid w:val="009751C1"/>
    <w:rsid w:val="0098065B"/>
    <w:rsid w:val="009811F1"/>
    <w:rsid w:val="00982005"/>
    <w:rsid w:val="009820BC"/>
    <w:rsid w:val="009822EF"/>
    <w:rsid w:val="009826F9"/>
    <w:rsid w:val="00982779"/>
    <w:rsid w:val="00983903"/>
    <w:rsid w:val="00983E57"/>
    <w:rsid w:val="00985257"/>
    <w:rsid w:val="00985DE2"/>
    <w:rsid w:val="0098675D"/>
    <w:rsid w:val="009872D1"/>
    <w:rsid w:val="00987BA4"/>
    <w:rsid w:val="0099155D"/>
    <w:rsid w:val="00991E3F"/>
    <w:rsid w:val="009926E0"/>
    <w:rsid w:val="0099342C"/>
    <w:rsid w:val="00993F91"/>
    <w:rsid w:val="00994343"/>
    <w:rsid w:val="0099451E"/>
    <w:rsid w:val="00994A6C"/>
    <w:rsid w:val="00994CD1"/>
    <w:rsid w:val="0099521D"/>
    <w:rsid w:val="00995536"/>
    <w:rsid w:val="00995E56"/>
    <w:rsid w:val="00995F90"/>
    <w:rsid w:val="00996B1A"/>
    <w:rsid w:val="00996FE8"/>
    <w:rsid w:val="009972F4"/>
    <w:rsid w:val="00997535"/>
    <w:rsid w:val="00997BAC"/>
    <w:rsid w:val="00997BE2"/>
    <w:rsid w:val="00997CF8"/>
    <w:rsid w:val="00997D5C"/>
    <w:rsid w:val="00997ECD"/>
    <w:rsid w:val="009A07BD"/>
    <w:rsid w:val="009A134F"/>
    <w:rsid w:val="009A18BC"/>
    <w:rsid w:val="009A18F6"/>
    <w:rsid w:val="009A1B57"/>
    <w:rsid w:val="009A2DCC"/>
    <w:rsid w:val="009A2F69"/>
    <w:rsid w:val="009A4313"/>
    <w:rsid w:val="009A4F16"/>
    <w:rsid w:val="009A5466"/>
    <w:rsid w:val="009A5ABC"/>
    <w:rsid w:val="009A6F3C"/>
    <w:rsid w:val="009A7F10"/>
    <w:rsid w:val="009B0B28"/>
    <w:rsid w:val="009B0D87"/>
    <w:rsid w:val="009B12D4"/>
    <w:rsid w:val="009B2508"/>
    <w:rsid w:val="009B2600"/>
    <w:rsid w:val="009B2F5A"/>
    <w:rsid w:val="009B3C8D"/>
    <w:rsid w:val="009B3E26"/>
    <w:rsid w:val="009B4CD9"/>
    <w:rsid w:val="009B6948"/>
    <w:rsid w:val="009B7519"/>
    <w:rsid w:val="009B7FE2"/>
    <w:rsid w:val="009C0026"/>
    <w:rsid w:val="009C0075"/>
    <w:rsid w:val="009C1271"/>
    <w:rsid w:val="009C1419"/>
    <w:rsid w:val="009C1C28"/>
    <w:rsid w:val="009C1DBA"/>
    <w:rsid w:val="009C1F30"/>
    <w:rsid w:val="009C2295"/>
    <w:rsid w:val="009C2D29"/>
    <w:rsid w:val="009C3627"/>
    <w:rsid w:val="009C3706"/>
    <w:rsid w:val="009C380B"/>
    <w:rsid w:val="009C39C5"/>
    <w:rsid w:val="009C3A3A"/>
    <w:rsid w:val="009C3B9C"/>
    <w:rsid w:val="009C3D8D"/>
    <w:rsid w:val="009C4001"/>
    <w:rsid w:val="009C478A"/>
    <w:rsid w:val="009C5613"/>
    <w:rsid w:val="009C6CEA"/>
    <w:rsid w:val="009C7B85"/>
    <w:rsid w:val="009C7CE3"/>
    <w:rsid w:val="009D0254"/>
    <w:rsid w:val="009D10C1"/>
    <w:rsid w:val="009D1490"/>
    <w:rsid w:val="009D1A27"/>
    <w:rsid w:val="009D1A64"/>
    <w:rsid w:val="009D26AB"/>
    <w:rsid w:val="009D3CC9"/>
    <w:rsid w:val="009D4E6A"/>
    <w:rsid w:val="009D517F"/>
    <w:rsid w:val="009D5B2D"/>
    <w:rsid w:val="009D5B3D"/>
    <w:rsid w:val="009D5B91"/>
    <w:rsid w:val="009D792E"/>
    <w:rsid w:val="009D7CAA"/>
    <w:rsid w:val="009E0DFE"/>
    <w:rsid w:val="009E1157"/>
    <w:rsid w:val="009E31F6"/>
    <w:rsid w:val="009E35DB"/>
    <w:rsid w:val="009E3779"/>
    <w:rsid w:val="009E49E2"/>
    <w:rsid w:val="009E4C07"/>
    <w:rsid w:val="009E51E0"/>
    <w:rsid w:val="009E56DC"/>
    <w:rsid w:val="009E5E9D"/>
    <w:rsid w:val="009E5F0B"/>
    <w:rsid w:val="009E628D"/>
    <w:rsid w:val="009E68E9"/>
    <w:rsid w:val="009E6B23"/>
    <w:rsid w:val="009E777F"/>
    <w:rsid w:val="009F01BA"/>
    <w:rsid w:val="009F02CA"/>
    <w:rsid w:val="009F0443"/>
    <w:rsid w:val="009F0C07"/>
    <w:rsid w:val="009F10C5"/>
    <w:rsid w:val="009F27A9"/>
    <w:rsid w:val="009F2903"/>
    <w:rsid w:val="009F2944"/>
    <w:rsid w:val="009F2B13"/>
    <w:rsid w:val="009F2DAA"/>
    <w:rsid w:val="009F2ED0"/>
    <w:rsid w:val="009F3754"/>
    <w:rsid w:val="009F4727"/>
    <w:rsid w:val="009F4CF7"/>
    <w:rsid w:val="009F5015"/>
    <w:rsid w:val="009F5AF9"/>
    <w:rsid w:val="009F5F5E"/>
    <w:rsid w:val="009F6120"/>
    <w:rsid w:val="009F61C3"/>
    <w:rsid w:val="009F632E"/>
    <w:rsid w:val="009F6865"/>
    <w:rsid w:val="009F77D3"/>
    <w:rsid w:val="00A00D76"/>
    <w:rsid w:val="00A00DD8"/>
    <w:rsid w:val="00A01184"/>
    <w:rsid w:val="00A01449"/>
    <w:rsid w:val="00A014B2"/>
    <w:rsid w:val="00A0271E"/>
    <w:rsid w:val="00A02ABF"/>
    <w:rsid w:val="00A03378"/>
    <w:rsid w:val="00A03464"/>
    <w:rsid w:val="00A037C2"/>
    <w:rsid w:val="00A03BB4"/>
    <w:rsid w:val="00A03D43"/>
    <w:rsid w:val="00A04380"/>
    <w:rsid w:val="00A04719"/>
    <w:rsid w:val="00A04786"/>
    <w:rsid w:val="00A047CC"/>
    <w:rsid w:val="00A05096"/>
    <w:rsid w:val="00A05472"/>
    <w:rsid w:val="00A05C32"/>
    <w:rsid w:val="00A0653F"/>
    <w:rsid w:val="00A06561"/>
    <w:rsid w:val="00A07690"/>
    <w:rsid w:val="00A104F2"/>
    <w:rsid w:val="00A106A1"/>
    <w:rsid w:val="00A106CC"/>
    <w:rsid w:val="00A10C5A"/>
    <w:rsid w:val="00A10EFC"/>
    <w:rsid w:val="00A10F47"/>
    <w:rsid w:val="00A110BE"/>
    <w:rsid w:val="00A11739"/>
    <w:rsid w:val="00A117AF"/>
    <w:rsid w:val="00A11CD0"/>
    <w:rsid w:val="00A11E6B"/>
    <w:rsid w:val="00A1301A"/>
    <w:rsid w:val="00A13948"/>
    <w:rsid w:val="00A141E0"/>
    <w:rsid w:val="00A14D84"/>
    <w:rsid w:val="00A152AA"/>
    <w:rsid w:val="00A1555B"/>
    <w:rsid w:val="00A155C5"/>
    <w:rsid w:val="00A16154"/>
    <w:rsid w:val="00A16309"/>
    <w:rsid w:val="00A16324"/>
    <w:rsid w:val="00A165B1"/>
    <w:rsid w:val="00A16AD8"/>
    <w:rsid w:val="00A16C35"/>
    <w:rsid w:val="00A16E61"/>
    <w:rsid w:val="00A2021E"/>
    <w:rsid w:val="00A209A5"/>
    <w:rsid w:val="00A21B6C"/>
    <w:rsid w:val="00A21C95"/>
    <w:rsid w:val="00A21CF3"/>
    <w:rsid w:val="00A22025"/>
    <w:rsid w:val="00A222F6"/>
    <w:rsid w:val="00A22686"/>
    <w:rsid w:val="00A24813"/>
    <w:rsid w:val="00A2483B"/>
    <w:rsid w:val="00A249D3"/>
    <w:rsid w:val="00A25734"/>
    <w:rsid w:val="00A270D0"/>
    <w:rsid w:val="00A27AEC"/>
    <w:rsid w:val="00A301F6"/>
    <w:rsid w:val="00A30657"/>
    <w:rsid w:val="00A30E73"/>
    <w:rsid w:val="00A31225"/>
    <w:rsid w:val="00A320DB"/>
    <w:rsid w:val="00A325C9"/>
    <w:rsid w:val="00A32A4B"/>
    <w:rsid w:val="00A32B70"/>
    <w:rsid w:val="00A32D93"/>
    <w:rsid w:val="00A33828"/>
    <w:rsid w:val="00A3400A"/>
    <w:rsid w:val="00A34660"/>
    <w:rsid w:val="00A347D6"/>
    <w:rsid w:val="00A3555E"/>
    <w:rsid w:val="00A35A89"/>
    <w:rsid w:val="00A35D16"/>
    <w:rsid w:val="00A35D83"/>
    <w:rsid w:val="00A36085"/>
    <w:rsid w:val="00A365B6"/>
    <w:rsid w:val="00A36653"/>
    <w:rsid w:val="00A36CCE"/>
    <w:rsid w:val="00A36D12"/>
    <w:rsid w:val="00A37BA6"/>
    <w:rsid w:val="00A37BCD"/>
    <w:rsid w:val="00A41558"/>
    <w:rsid w:val="00A41689"/>
    <w:rsid w:val="00A417A1"/>
    <w:rsid w:val="00A42592"/>
    <w:rsid w:val="00A428FA"/>
    <w:rsid w:val="00A42C94"/>
    <w:rsid w:val="00A43C59"/>
    <w:rsid w:val="00A4404E"/>
    <w:rsid w:val="00A454E3"/>
    <w:rsid w:val="00A4591E"/>
    <w:rsid w:val="00A46559"/>
    <w:rsid w:val="00A46652"/>
    <w:rsid w:val="00A4675E"/>
    <w:rsid w:val="00A46AF4"/>
    <w:rsid w:val="00A47FE4"/>
    <w:rsid w:val="00A50815"/>
    <w:rsid w:val="00A50ECD"/>
    <w:rsid w:val="00A518F3"/>
    <w:rsid w:val="00A52729"/>
    <w:rsid w:val="00A53171"/>
    <w:rsid w:val="00A53675"/>
    <w:rsid w:val="00A546DB"/>
    <w:rsid w:val="00A547E5"/>
    <w:rsid w:val="00A54E18"/>
    <w:rsid w:val="00A54FDD"/>
    <w:rsid w:val="00A555FD"/>
    <w:rsid w:val="00A55C0E"/>
    <w:rsid w:val="00A562E6"/>
    <w:rsid w:val="00A564D7"/>
    <w:rsid w:val="00A56B6A"/>
    <w:rsid w:val="00A578DC"/>
    <w:rsid w:val="00A60B44"/>
    <w:rsid w:val="00A6159B"/>
    <w:rsid w:val="00A61A34"/>
    <w:rsid w:val="00A621D5"/>
    <w:rsid w:val="00A634E9"/>
    <w:rsid w:val="00A63CA1"/>
    <w:rsid w:val="00A63EAE"/>
    <w:rsid w:val="00A63EB3"/>
    <w:rsid w:val="00A6406E"/>
    <w:rsid w:val="00A640E2"/>
    <w:rsid w:val="00A64D65"/>
    <w:rsid w:val="00A6605D"/>
    <w:rsid w:val="00A660E9"/>
    <w:rsid w:val="00A66219"/>
    <w:rsid w:val="00A666B8"/>
    <w:rsid w:val="00A66819"/>
    <w:rsid w:val="00A66CAB"/>
    <w:rsid w:val="00A6725B"/>
    <w:rsid w:val="00A67C10"/>
    <w:rsid w:val="00A7023F"/>
    <w:rsid w:val="00A70605"/>
    <w:rsid w:val="00A7085D"/>
    <w:rsid w:val="00A715BF"/>
    <w:rsid w:val="00A72373"/>
    <w:rsid w:val="00A7259A"/>
    <w:rsid w:val="00A72EF1"/>
    <w:rsid w:val="00A73134"/>
    <w:rsid w:val="00A7365A"/>
    <w:rsid w:val="00A739CB"/>
    <w:rsid w:val="00A73FE9"/>
    <w:rsid w:val="00A74496"/>
    <w:rsid w:val="00A74E28"/>
    <w:rsid w:val="00A7529E"/>
    <w:rsid w:val="00A75A50"/>
    <w:rsid w:val="00A76001"/>
    <w:rsid w:val="00A768EC"/>
    <w:rsid w:val="00A76B3D"/>
    <w:rsid w:val="00A76FE8"/>
    <w:rsid w:val="00A777B2"/>
    <w:rsid w:val="00A77A91"/>
    <w:rsid w:val="00A77BBF"/>
    <w:rsid w:val="00A80C39"/>
    <w:rsid w:val="00A825D4"/>
    <w:rsid w:val="00A827B9"/>
    <w:rsid w:val="00A828F6"/>
    <w:rsid w:val="00A82B73"/>
    <w:rsid w:val="00A83FC1"/>
    <w:rsid w:val="00A84B54"/>
    <w:rsid w:val="00A85D0A"/>
    <w:rsid w:val="00A86E8B"/>
    <w:rsid w:val="00A87164"/>
    <w:rsid w:val="00A871A9"/>
    <w:rsid w:val="00A90942"/>
    <w:rsid w:val="00A920BA"/>
    <w:rsid w:val="00A92D10"/>
    <w:rsid w:val="00A93072"/>
    <w:rsid w:val="00A9311E"/>
    <w:rsid w:val="00A938BD"/>
    <w:rsid w:val="00A93953"/>
    <w:rsid w:val="00A93EBD"/>
    <w:rsid w:val="00A9456E"/>
    <w:rsid w:val="00A9468C"/>
    <w:rsid w:val="00A95398"/>
    <w:rsid w:val="00A959D8"/>
    <w:rsid w:val="00A97282"/>
    <w:rsid w:val="00A9776F"/>
    <w:rsid w:val="00A97B96"/>
    <w:rsid w:val="00A97C64"/>
    <w:rsid w:val="00AA04F9"/>
    <w:rsid w:val="00AA062A"/>
    <w:rsid w:val="00AA0E6B"/>
    <w:rsid w:val="00AA113D"/>
    <w:rsid w:val="00AA179E"/>
    <w:rsid w:val="00AA1F53"/>
    <w:rsid w:val="00AA350D"/>
    <w:rsid w:val="00AA386D"/>
    <w:rsid w:val="00AA50D4"/>
    <w:rsid w:val="00AA5272"/>
    <w:rsid w:val="00AA57EF"/>
    <w:rsid w:val="00AA599F"/>
    <w:rsid w:val="00AA6BD5"/>
    <w:rsid w:val="00AA6BD8"/>
    <w:rsid w:val="00AA6C7D"/>
    <w:rsid w:val="00AA72A5"/>
    <w:rsid w:val="00AA72FB"/>
    <w:rsid w:val="00AA7D10"/>
    <w:rsid w:val="00AA7FD6"/>
    <w:rsid w:val="00AB0288"/>
    <w:rsid w:val="00AB042A"/>
    <w:rsid w:val="00AB0D5D"/>
    <w:rsid w:val="00AB11AD"/>
    <w:rsid w:val="00AB19EF"/>
    <w:rsid w:val="00AB1BE7"/>
    <w:rsid w:val="00AB2444"/>
    <w:rsid w:val="00AB2495"/>
    <w:rsid w:val="00AB2D34"/>
    <w:rsid w:val="00AB2D8F"/>
    <w:rsid w:val="00AB3430"/>
    <w:rsid w:val="00AB3588"/>
    <w:rsid w:val="00AB3799"/>
    <w:rsid w:val="00AB37B9"/>
    <w:rsid w:val="00AB3A5A"/>
    <w:rsid w:val="00AB4472"/>
    <w:rsid w:val="00AB4698"/>
    <w:rsid w:val="00AB4AD1"/>
    <w:rsid w:val="00AB522E"/>
    <w:rsid w:val="00AB5E07"/>
    <w:rsid w:val="00AB6944"/>
    <w:rsid w:val="00AB6C04"/>
    <w:rsid w:val="00AB6EE2"/>
    <w:rsid w:val="00AB7CFA"/>
    <w:rsid w:val="00AC1B63"/>
    <w:rsid w:val="00AC21C0"/>
    <w:rsid w:val="00AC2364"/>
    <w:rsid w:val="00AC2769"/>
    <w:rsid w:val="00AC285E"/>
    <w:rsid w:val="00AC3414"/>
    <w:rsid w:val="00AC3D4B"/>
    <w:rsid w:val="00AC5180"/>
    <w:rsid w:val="00AC5B42"/>
    <w:rsid w:val="00AC5B48"/>
    <w:rsid w:val="00AD02CC"/>
    <w:rsid w:val="00AD055B"/>
    <w:rsid w:val="00AD1450"/>
    <w:rsid w:val="00AD15E8"/>
    <w:rsid w:val="00AD1E36"/>
    <w:rsid w:val="00AD266E"/>
    <w:rsid w:val="00AD310E"/>
    <w:rsid w:val="00AD356D"/>
    <w:rsid w:val="00AD38EE"/>
    <w:rsid w:val="00AD3A88"/>
    <w:rsid w:val="00AD4E02"/>
    <w:rsid w:val="00AD5630"/>
    <w:rsid w:val="00AD5E29"/>
    <w:rsid w:val="00AD608C"/>
    <w:rsid w:val="00AD64E6"/>
    <w:rsid w:val="00AD6502"/>
    <w:rsid w:val="00AD67AC"/>
    <w:rsid w:val="00AD7A57"/>
    <w:rsid w:val="00AE0695"/>
    <w:rsid w:val="00AE0854"/>
    <w:rsid w:val="00AE0FBB"/>
    <w:rsid w:val="00AE1074"/>
    <w:rsid w:val="00AE149E"/>
    <w:rsid w:val="00AE1E30"/>
    <w:rsid w:val="00AE267B"/>
    <w:rsid w:val="00AE2C59"/>
    <w:rsid w:val="00AE3B3E"/>
    <w:rsid w:val="00AE3E7E"/>
    <w:rsid w:val="00AE638A"/>
    <w:rsid w:val="00AE67F4"/>
    <w:rsid w:val="00AE6A83"/>
    <w:rsid w:val="00AE7C5F"/>
    <w:rsid w:val="00AE7E53"/>
    <w:rsid w:val="00AF0977"/>
    <w:rsid w:val="00AF12FD"/>
    <w:rsid w:val="00AF1315"/>
    <w:rsid w:val="00AF13A3"/>
    <w:rsid w:val="00AF13C1"/>
    <w:rsid w:val="00AF157A"/>
    <w:rsid w:val="00AF19BF"/>
    <w:rsid w:val="00AF1B5A"/>
    <w:rsid w:val="00AF1DB4"/>
    <w:rsid w:val="00AF2DC3"/>
    <w:rsid w:val="00AF42FD"/>
    <w:rsid w:val="00AF4460"/>
    <w:rsid w:val="00AF4D9A"/>
    <w:rsid w:val="00AF65CB"/>
    <w:rsid w:val="00B00104"/>
    <w:rsid w:val="00B00437"/>
    <w:rsid w:val="00B01DB3"/>
    <w:rsid w:val="00B0204C"/>
    <w:rsid w:val="00B027CF"/>
    <w:rsid w:val="00B02821"/>
    <w:rsid w:val="00B033E5"/>
    <w:rsid w:val="00B03419"/>
    <w:rsid w:val="00B0396A"/>
    <w:rsid w:val="00B03A63"/>
    <w:rsid w:val="00B045E8"/>
    <w:rsid w:val="00B047EB"/>
    <w:rsid w:val="00B04DB0"/>
    <w:rsid w:val="00B04F7A"/>
    <w:rsid w:val="00B0500A"/>
    <w:rsid w:val="00B0556F"/>
    <w:rsid w:val="00B05753"/>
    <w:rsid w:val="00B05758"/>
    <w:rsid w:val="00B058B4"/>
    <w:rsid w:val="00B07E75"/>
    <w:rsid w:val="00B1057C"/>
    <w:rsid w:val="00B11A73"/>
    <w:rsid w:val="00B11F45"/>
    <w:rsid w:val="00B129A4"/>
    <w:rsid w:val="00B12CA5"/>
    <w:rsid w:val="00B12ED6"/>
    <w:rsid w:val="00B13322"/>
    <w:rsid w:val="00B145F8"/>
    <w:rsid w:val="00B150BC"/>
    <w:rsid w:val="00B151F5"/>
    <w:rsid w:val="00B15685"/>
    <w:rsid w:val="00B15A43"/>
    <w:rsid w:val="00B16BA9"/>
    <w:rsid w:val="00B16FEC"/>
    <w:rsid w:val="00B17598"/>
    <w:rsid w:val="00B179D5"/>
    <w:rsid w:val="00B17B05"/>
    <w:rsid w:val="00B17C5B"/>
    <w:rsid w:val="00B201A4"/>
    <w:rsid w:val="00B201D1"/>
    <w:rsid w:val="00B213A6"/>
    <w:rsid w:val="00B219F7"/>
    <w:rsid w:val="00B21CE6"/>
    <w:rsid w:val="00B2299F"/>
    <w:rsid w:val="00B235B0"/>
    <w:rsid w:val="00B24DF6"/>
    <w:rsid w:val="00B251CD"/>
    <w:rsid w:val="00B2523F"/>
    <w:rsid w:val="00B26FA2"/>
    <w:rsid w:val="00B27148"/>
    <w:rsid w:val="00B27A61"/>
    <w:rsid w:val="00B319E1"/>
    <w:rsid w:val="00B31EDA"/>
    <w:rsid w:val="00B31FC8"/>
    <w:rsid w:val="00B33579"/>
    <w:rsid w:val="00B33D8E"/>
    <w:rsid w:val="00B341D0"/>
    <w:rsid w:val="00B34FE2"/>
    <w:rsid w:val="00B35166"/>
    <w:rsid w:val="00B357D8"/>
    <w:rsid w:val="00B35EB6"/>
    <w:rsid w:val="00B360F4"/>
    <w:rsid w:val="00B36A00"/>
    <w:rsid w:val="00B37054"/>
    <w:rsid w:val="00B3792B"/>
    <w:rsid w:val="00B37962"/>
    <w:rsid w:val="00B37BFC"/>
    <w:rsid w:val="00B40358"/>
    <w:rsid w:val="00B412C7"/>
    <w:rsid w:val="00B413A9"/>
    <w:rsid w:val="00B41614"/>
    <w:rsid w:val="00B42058"/>
    <w:rsid w:val="00B4267A"/>
    <w:rsid w:val="00B42851"/>
    <w:rsid w:val="00B42A10"/>
    <w:rsid w:val="00B42A8C"/>
    <w:rsid w:val="00B42F80"/>
    <w:rsid w:val="00B435CB"/>
    <w:rsid w:val="00B43838"/>
    <w:rsid w:val="00B43CD6"/>
    <w:rsid w:val="00B465EC"/>
    <w:rsid w:val="00B475B4"/>
    <w:rsid w:val="00B47681"/>
    <w:rsid w:val="00B477BD"/>
    <w:rsid w:val="00B5010A"/>
    <w:rsid w:val="00B505C8"/>
    <w:rsid w:val="00B50ADA"/>
    <w:rsid w:val="00B50CE3"/>
    <w:rsid w:val="00B50DB8"/>
    <w:rsid w:val="00B513BE"/>
    <w:rsid w:val="00B52BB9"/>
    <w:rsid w:val="00B52C37"/>
    <w:rsid w:val="00B52CF5"/>
    <w:rsid w:val="00B534CC"/>
    <w:rsid w:val="00B53608"/>
    <w:rsid w:val="00B53654"/>
    <w:rsid w:val="00B53905"/>
    <w:rsid w:val="00B53FBF"/>
    <w:rsid w:val="00B546AB"/>
    <w:rsid w:val="00B546DB"/>
    <w:rsid w:val="00B54B5B"/>
    <w:rsid w:val="00B54C77"/>
    <w:rsid w:val="00B5562E"/>
    <w:rsid w:val="00B55862"/>
    <w:rsid w:val="00B55BAF"/>
    <w:rsid w:val="00B55D65"/>
    <w:rsid w:val="00B56305"/>
    <w:rsid w:val="00B563E7"/>
    <w:rsid w:val="00B5644B"/>
    <w:rsid w:val="00B56539"/>
    <w:rsid w:val="00B56842"/>
    <w:rsid w:val="00B57000"/>
    <w:rsid w:val="00B575CC"/>
    <w:rsid w:val="00B576AC"/>
    <w:rsid w:val="00B577AB"/>
    <w:rsid w:val="00B60939"/>
    <w:rsid w:val="00B60AFD"/>
    <w:rsid w:val="00B61106"/>
    <w:rsid w:val="00B61FA7"/>
    <w:rsid w:val="00B62715"/>
    <w:rsid w:val="00B62AC6"/>
    <w:rsid w:val="00B63360"/>
    <w:rsid w:val="00B637A5"/>
    <w:rsid w:val="00B63ED3"/>
    <w:rsid w:val="00B64968"/>
    <w:rsid w:val="00B64E09"/>
    <w:rsid w:val="00B65611"/>
    <w:rsid w:val="00B65BC6"/>
    <w:rsid w:val="00B664C0"/>
    <w:rsid w:val="00B67A8D"/>
    <w:rsid w:val="00B67C54"/>
    <w:rsid w:val="00B70CC9"/>
    <w:rsid w:val="00B70E8E"/>
    <w:rsid w:val="00B7139E"/>
    <w:rsid w:val="00B71AA7"/>
    <w:rsid w:val="00B72044"/>
    <w:rsid w:val="00B72A68"/>
    <w:rsid w:val="00B732EB"/>
    <w:rsid w:val="00B7363C"/>
    <w:rsid w:val="00B73E82"/>
    <w:rsid w:val="00B7434C"/>
    <w:rsid w:val="00B743E9"/>
    <w:rsid w:val="00B74D72"/>
    <w:rsid w:val="00B75348"/>
    <w:rsid w:val="00B75623"/>
    <w:rsid w:val="00B75F3B"/>
    <w:rsid w:val="00B75F8D"/>
    <w:rsid w:val="00B76C92"/>
    <w:rsid w:val="00B77256"/>
    <w:rsid w:val="00B80099"/>
    <w:rsid w:val="00B800C7"/>
    <w:rsid w:val="00B80EFD"/>
    <w:rsid w:val="00B818A4"/>
    <w:rsid w:val="00B818B6"/>
    <w:rsid w:val="00B81AA6"/>
    <w:rsid w:val="00B821B7"/>
    <w:rsid w:val="00B82231"/>
    <w:rsid w:val="00B82357"/>
    <w:rsid w:val="00B82373"/>
    <w:rsid w:val="00B823A3"/>
    <w:rsid w:val="00B83739"/>
    <w:rsid w:val="00B837AD"/>
    <w:rsid w:val="00B838D4"/>
    <w:rsid w:val="00B84117"/>
    <w:rsid w:val="00B84916"/>
    <w:rsid w:val="00B849BD"/>
    <w:rsid w:val="00B84B6D"/>
    <w:rsid w:val="00B8519E"/>
    <w:rsid w:val="00B8578B"/>
    <w:rsid w:val="00B858F0"/>
    <w:rsid w:val="00B85AA2"/>
    <w:rsid w:val="00B86465"/>
    <w:rsid w:val="00B8649C"/>
    <w:rsid w:val="00B8695D"/>
    <w:rsid w:val="00B87B77"/>
    <w:rsid w:val="00B87F0A"/>
    <w:rsid w:val="00B900C7"/>
    <w:rsid w:val="00B918B5"/>
    <w:rsid w:val="00B91EFD"/>
    <w:rsid w:val="00B922CD"/>
    <w:rsid w:val="00B925C7"/>
    <w:rsid w:val="00B92D0B"/>
    <w:rsid w:val="00B92E5D"/>
    <w:rsid w:val="00B92EA4"/>
    <w:rsid w:val="00B93296"/>
    <w:rsid w:val="00B933C6"/>
    <w:rsid w:val="00B94945"/>
    <w:rsid w:val="00B949AB"/>
    <w:rsid w:val="00B94BF3"/>
    <w:rsid w:val="00B94DD6"/>
    <w:rsid w:val="00B9544C"/>
    <w:rsid w:val="00B97B3F"/>
    <w:rsid w:val="00BA06C4"/>
    <w:rsid w:val="00BA0BAD"/>
    <w:rsid w:val="00BA1199"/>
    <w:rsid w:val="00BA136F"/>
    <w:rsid w:val="00BA2619"/>
    <w:rsid w:val="00BA2945"/>
    <w:rsid w:val="00BA311B"/>
    <w:rsid w:val="00BA322D"/>
    <w:rsid w:val="00BA3A0E"/>
    <w:rsid w:val="00BA3E6D"/>
    <w:rsid w:val="00BA4C66"/>
    <w:rsid w:val="00BA52D6"/>
    <w:rsid w:val="00BA5556"/>
    <w:rsid w:val="00BA592C"/>
    <w:rsid w:val="00BA5BC9"/>
    <w:rsid w:val="00BA63FA"/>
    <w:rsid w:val="00BA7730"/>
    <w:rsid w:val="00BB00B3"/>
    <w:rsid w:val="00BB00F5"/>
    <w:rsid w:val="00BB0BDD"/>
    <w:rsid w:val="00BB0C7E"/>
    <w:rsid w:val="00BB176C"/>
    <w:rsid w:val="00BB1C00"/>
    <w:rsid w:val="00BB248C"/>
    <w:rsid w:val="00BB2641"/>
    <w:rsid w:val="00BB2A73"/>
    <w:rsid w:val="00BB35DF"/>
    <w:rsid w:val="00BB3A45"/>
    <w:rsid w:val="00BB4153"/>
    <w:rsid w:val="00BB47B6"/>
    <w:rsid w:val="00BB4ACC"/>
    <w:rsid w:val="00BB4C7A"/>
    <w:rsid w:val="00BB5C42"/>
    <w:rsid w:val="00BB61F7"/>
    <w:rsid w:val="00BB703E"/>
    <w:rsid w:val="00BB70D2"/>
    <w:rsid w:val="00BB72D3"/>
    <w:rsid w:val="00BB732D"/>
    <w:rsid w:val="00BB7405"/>
    <w:rsid w:val="00BC04C2"/>
    <w:rsid w:val="00BC0759"/>
    <w:rsid w:val="00BC0796"/>
    <w:rsid w:val="00BC21F9"/>
    <w:rsid w:val="00BC3631"/>
    <w:rsid w:val="00BC448F"/>
    <w:rsid w:val="00BC4ABA"/>
    <w:rsid w:val="00BC57D4"/>
    <w:rsid w:val="00BC591F"/>
    <w:rsid w:val="00BC61B8"/>
    <w:rsid w:val="00BC62B0"/>
    <w:rsid w:val="00BC64C2"/>
    <w:rsid w:val="00BC74C5"/>
    <w:rsid w:val="00BC7782"/>
    <w:rsid w:val="00BC7AE9"/>
    <w:rsid w:val="00BC7D6D"/>
    <w:rsid w:val="00BD1942"/>
    <w:rsid w:val="00BD1B22"/>
    <w:rsid w:val="00BD2108"/>
    <w:rsid w:val="00BD3549"/>
    <w:rsid w:val="00BD4A9A"/>
    <w:rsid w:val="00BD4DB4"/>
    <w:rsid w:val="00BD53A2"/>
    <w:rsid w:val="00BD54EB"/>
    <w:rsid w:val="00BD57AE"/>
    <w:rsid w:val="00BD6860"/>
    <w:rsid w:val="00BD68A3"/>
    <w:rsid w:val="00BD6938"/>
    <w:rsid w:val="00BD6CAC"/>
    <w:rsid w:val="00BD6CF3"/>
    <w:rsid w:val="00BD7379"/>
    <w:rsid w:val="00BD7BFB"/>
    <w:rsid w:val="00BD7F13"/>
    <w:rsid w:val="00BD7F72"/>
    <w:rsid w:val="00BE072F"/>
    <w:rsid w:val="00BE0ECA"/>
    <w:rsid w:val="00BE14B2"/>
    <w:rsid w:val="00BE16F8"/>
    <w:rsid w:val="00BE1988"/>
    <w:rsid w:val="00BE1C73"/>
    <w:rsid w:val="00BE2180"/>
    <w:rsid w:val="00BE21F2"/>
    <w:rsid w:val="00BE254C"/>
    <w:rsid w:val="00BE25CB"/>
    <w:rsid w:val="00BE298F"/>
    <w:rsid w:val="00BE2A84"/>
    <w:rsid w:val="00BE3D88"/>
    <w:rsid w:val="00BE4275"/>
    <w:rsid w:val="00BE4B62"/>
    <w:rsid w:val="00BE6B2A"/>
    <w:rsid w:val="00BF06AE"/>
    <w:rsid w:val="00BF0F95"/>
    <w:rsid w:val="00BF1B27"/>
    <w:rsid w:val="00BF2433"/>
    <w:rsid w:val="00BF25D6"/>
    <w:rsid w:val="00BF2E6E"/>
    <w:rsid w:val="00BF329A"/>
    <w:rsid w:val="00BF61C9"/>
    <w:rsid w:val="00BF62D2"/>
    <w:rsid w:val="00BF6C94"/>
    <w:rsid w:val="00BF715E"/>
    <w:rsid w:val="00BF73D4"/>
    <w:rsid w:val="00C0006F"/>
    <w:rsid w:val="00C001FB"/>
    <w:rsid w:val="00C00424"/>
    <w:rsid w:val="00C00BB0"/>
    <w:rsid w:val="00C01395"/>
    <w:rsid w:val="00C013B1"/>
    <w:rsid w:val="00C019ED"/>
    <w:rsid w:val="00C01CD4"/>
    <w:rsid w:val="00C01E35"/>
    <w:rsid w:val="00C01E69"/>
    <w:rsid w:val="00C04217"/>
    <w:rsid w:val="00C0438C"/>
    <w:rsid w:val="00C053FB"/>
    <w:rsid w:val="00C05508"/>
    <w:rsid w:val="00C0569F"/>
    <w:rsid w:val="00C05890"/>
    <w:rsid w:val="00C06ABC"/>
    <w:rsid w:val="00C0779D"/>
    <w:rsid w:val="00C07AC4"/>
    <w:rsid w:val="00C07C8D"/>
    <w:rsid w:val="00C10876"/>
    <w:rsid w:val="00C1097B"/>
    <w:rsid w:val="00C1179F"/>
    <w:rsid w:val="00C11C76"/>
    <w:rsid w:val="00C126E2"/>
    <w:rsid w:val="00C127B9"/>
    <w:rsid w:val="00C128FA"/>
    <w:rsid w:val="00C12C14"/>
    <w:rsid w:val="00C13434"/>
    <w:rsid w:val="00C13DF6"/>
    <w:rsid w:val="00C1403B"/>
    <w:rsid w:val="00C14929"/>
    <w:rsid w:val="00C14EBD"/>
    <w:rsid w:val="00C15F04"/>
    <w:rsid w:val="00C16782"/>
    <w:rsid w:val="00C179B3"/>
    <w:rsid w:val="00C17E3F"/>
    <w:rsid w:val="00C200AA"/>
    <w:rsid w:val="00C20CCB"/>
    <w:rsid w:val="00C20DDD"/>
    <w:rsid w:val="00C2112D"/>
    <w:rsid w:val="00C220AA"/>
    <w:rsid w:val="00C237ED"/>
    <w:rsid w:val="00C243F0"/>
    <w:rsid w:val="00C24632"/>
    <w:rsid w:val="00C24687"/>
    <w:rsid w:val="00C24A74"/>
    <w:rsid w:val="00C24AFA"/>
    <w:rsid w:val="00C24C02"/>
    <w:rsid w:val="00C24C30"/>
    <w:rsid w:val="00C24CFD"/>
    <w:rsid w:val="00C24E69"/>
    <w:rsid w:val="00C250F3"/>
    <w:rsid w:val="00C25418"/>
    <w:rsid w:val="00C255E4"/>
    <w:rsid w:val="00C25D9C"/>
    <w:rsid w:val="00C2754E"/>
    <w:rsid w:val="00C2778B"/>
    <w:rsid w:val="00C27C25"/>
    <w:rsid w:val="00C305EB"/>
    <w:rsid w:val="00C31649"/>
    <w:rsid w:val="00C31766"/>
    <w:rsid w:val="00C317FD"/>
    <w:rsid w:val="00C32386"/>
    <w:rsid w:val="00C326D5"/>
    <w:rsid w:val="00C3303F"/>
    <w:rsid w:val="00C3434C"/>
    <w:rsid w:val="00C34D75"/>
    <w:rsid w:val="00C35764"/>
    <w:rsid w:val="00C35CF6"/>
    <w:rsid w:val="00C35FA5"/>
    <w:rsid w:val="00C36156"/>
    <w:rsid w:val="00C36719"/>
    <w:rsid w:val="00C37F54"/>
    <w:rsid w:val="00C40385"/>
    <w:rsid w:val="00C41185"/>
    <w:rsid w:val="00C41768"/>
    <w:rsid w:val="00C42354"/>
    <w:rsid w:val="00C43BD2"/>
    <w:rsid w:val="00C43EFF"/>
    <w:rsid w:val="00C4413D"/>
    <w:rsid w:val="00C4443A"/>
    <w:rsid w:val="00C44553"/>
    <w:rsid w:val="00C44891"/>
    <w:rsid w:val="00C467D8"/>
    <w:rsid w:val="00C46E37"/>
    <w:rsid w:val="00C4746F"/>
    <w:rsid w:val="00C475AA"/>
    <w:rsid w:val="00C47C2E"/>
    <w:rsid w:val="00C47EB7"/>
    <w:rsid w:val="00C515EB"/>
    <w:rsid w:val="00C516E9"/>
    <w:rsid w:val="00C520FA"/>
    <w:rsid w:val="00C52375"/>
    <w:rsid w:val="00C527C7"/>
    <w:rsid w:val="00C5296E"/>
    <w:rsid w:val="00C52F73"/>
    <w:rsid w:val="00C537BA"/>
    <w:rsid w:val="00C53C98"/>
    <w:rsid w:val="00C53E29"/>
    <w:rsid w:val="00C54112"/>
    <w:rsid w:val="00C549B1"/>
    <w:rsid w:val="00C549E9"/>
    <w:rsid w:val="00C56FCF"/>
    <w:rsid w:val="00C57668"/>
    <w:rsid w:val="00C57B6C"/>
    <w:rsid w:val="00C60CE1"/>
    <w:rsid w:val="00C61A59"/>
    <w:rsid w:val="00C62217"/>
    <w:rsid w:val="00C62704"/>
    <w:rsid w:val="00C628A6"/>
    <w:rsid w:val="00C632CC"/>
    <w:rsid w:val="00C64344"/>
    <w:rsid w:val="00C64519"/>
    <w:rsid w:val="00C647D1"/>
    <w:rsid w:val="00C64BF7"/>
    <w:rsid w:val="00C65108"/>
    <w:rsid w:val="00C65576"/>
    <w:rsid w:val="00C6599E"/>
    <w:rsid w:val="00C65AA7"/>
    <w:rsid w:val="00C660E2"/>
    <w:rsid w:val="00C66165"/>
    <w:rsid w:val="00C66648"/>
    <w:rsid w:val="00C67434"/>
    <w:rsid w:val="00C678CB"/>
    <w:rsid w:val="00C7060A"/>
    <w:rsid w:val="00C7151A"/>
    <w:rsid w:val="00C71567"/>
    <w:rsid w:val="00C71592"/>
    <w:rsid w:val="00C717E3"/>
    <w:rsid w:val="00C71F60"/>
    <w:rsid w:val="00C72241"/>
    <w:rsid w:val="00C729FB"/>
    <w:rsid w:val="00C73331"/>
    <w:rsid w:val="00C739B2"/>
    <w:rsid w:val="00C73C36"/>
    <w:rsid w:val="00C73FC0"/>
    <w:rsid w:val="00C741EA"/>
    <w:rsid w:val="00C747F8"/>
    <w:rsid w:val="00C750C8"/>
    <w:rsid w:val="00C7560F"/>
    <w:rsid w:val="00C7580A"/>
    <w:rsid w:val="00C75849"/>
    <w:rsid w:val="00C75B21"/>
    <w:rsid w:val="00C75FCF"/>
    <w:rsid w:val="00C762BB"/>
    <w:rsid w:val="00C765BA"/>
    <w:rsid w:val="00C76813"/>
    <w:rsid w:val="00C76E78"/>
    <w:rsid w:val="00C77166"/>
    <w:rsid w:val="00C77412"/>
    <w:rsid w:val="00C778C4"/>
    <w:rsid w:val="00C77AEC"/>
    <w:rsid w:val="00C77C36"/>
    <w:rsid w:val="00C77FD7"/>
    <w:rsid w:val="00C80025"/>
    <w:rsid w:val="00C80A0E"/>
    <w:rsid w:val="00C80EB0"/>
    <w:rsid w:val="00C81A43"/>
    <w:rsid w:val="00C8213F"/>
    <w:rsid w:val="00C82697"/>
    <w:rsid w:val="00C828E4"/>
    <w:rsid w:val="00C8303F"/>
    <w:rsid w:val="00C83536"/>
    <w:rsid w:val="00C83D16"/>
    <w:rsid w:val="00C85154"/>
    <w:rsid w:val="00C852B9"/>
    <w:rsid w:val="00C85A70"/>
    <w:rsid w:val="00C85CB2"/>
    <w:rsid w:val="00C867BD"/>
    <w:rsid w:val="00C86DBD"/>
    <w:rsid w:val="00C86E3A"/>
    <w:rsid w:val="00C86F48"/>
    <w:rsid w:val="00C86F5C"/>
    <w:rsid w:val="00C87222"/>
    <w:rsid w:val="00C8735B"/>
    <w:rsid w:val="00C8797A"/>
    <w:rsid w:val="00C879FD"/>
    <w:rsid w:val="00C900B8"/>
    <w:rsid w:val="00C90197"/>
    <w:rsid w:val="00C90768"/>
    <w:rsid w:val="00C90C71"/>
    <w:rsid w:val="00C918D6"/>
    <w:rsid w:val="00C91D88"/>
    <w:rsid w:val="00C91FD1"/>
    <w:rsid w:val="00C926C7"/>
    <w:rsid w:val="00C931CF"/>
    <w:rsid w:val="00C938CF"/>
    <w:rsid w:val="00C93FE5"/>
    <w:rsid w:val="00C94053"/>
    <w:rsid w:val="00C9444A"/>
    <w:rsid w:val="00C95822"/>
    <w:rsid w:val="00C9616E"/>
    <w:rsid w:val="00C9624D"/>
    <w:rsid w:val="00C96617"/>
    <w:rsid w:val="00C969DA"/>
    <w:rsid w:val="00CA004E"/>
    <w:rsid w:val="00CA1087"/>
    <w:rsid w:val="00CA11E3"/>
    <w:rsid w:val="00CA14D8"/>
    <w:rsid w:val="00CA26AB"/>
    <w:rsid w:val="00CA2C77"/>
    <w:rsid w:val="00CA444F"/>
    <w:rsid w:val="00CA5245"/>
    <w:rsid w:val="00CA5A68"/>
    <w:rsid w:val="00CA5ADE"/>
    <w:rsid w:val="00CA5FE5"/>
    <w:rsid w:val="00CA6808"/>
    <w:rsid w:val="00CA6F32"/>
    <w:rsid w:val="00CA6F91"/>
    <w:rsid w:val="00CA71F4"/>
    <w:rsid w:val="00CA7912"/>
    <w:rsid w:val="00CA7B09"/>
    <w:rsid w:val="00CB017D"/>
    <w:rsid w:val="00CB0B04"/>
    <w:rsid w:val="00CB112D"/>
    <w:rsid w:val="00CB12A5"/>
    <w:rsid w:val="00CB14A6"/>
    <w:rsid w:val="00CB1CAC"/>
    <w:rsid w:val="00CB1EA8"/>
    <w:rsid w:val="00CB2466"/>
    <w:rsid w:val="00CB2F2A"/>
    <w:rsid w:val="00CB3CFD"/>
    <w:rsid w:val="00CB3FC3"/>
    <w:rsid w:val="00CB5643"/>
    <w:rsid w:val="00CB56D7"/>
    <w:rsid w:val="00CB5B1A"/>
    <w:rsid w:val="00CB6805"/>
    <w:rsid w:val="00CB6B22"/>
    <w:rsid w:val="00CB71D4"/>
    <w:rsid w:val="00CB7F5F"/>
    <w:rsid w:val="00CC0D9C"/>
    <w:rsid w:val="00CC1B39"/>
    <w:rsid w:val="00CC1BFA"/>
    <w:rsid w:val="00CC22FD"/>
    <w:rsid w:val="00CC2736"/>
    <w:rsid w:val="00CC2789"/>
    <w:rsid w:val="00CC2A9B"/>
    <w:rsid w:val="00CC2C7D"/>
    <w:rsid w:val="00CC2C80"/>
    <w:rsid w:val="00CC2E9F"/>
    <w:rsid w:val="00CC2EB0"/>
    <w:rsid w:val="00CC2FBE"/>
    <w:rsid w:val="00CC35EA"/>
    <w:rsid w:val="00CC3848"/>
    <w:rsid w:val="00CC42FB"/>
    <w:rsid w:val="00CC4815"/>
    <w:rsid w:val="00CC58AC"/>
    <w:rsid w:val="00CC6CD8"/>
    <w:rsid w:val="00CC6D5E"/>
    <w:rsid w:val="00CC7E8D"/>
    <w:rsid w:val="00CD0200"/>
    <w:rsid w:val="00CD0DD6"/>
    <w:rsid w:val="00CD0EC7"/>
    <w:rsid w:val="00CD21C4"/>
    <w:rsid w:val="00CD27D9"/>
    <w:rsid w:val="00CD2C1D"/>
    <w:rsid w:val="00CD3107"/>
    <w:rsid w:val="00CD3945"/>
    <w:rsid w:val="00CD3F77"/>
    <w:rsid w:val="00CD4A3B"/>
    <w:rsid w:val="00CD5A1D"/>
    <w:rsid w:val="00CD6917"/>
    <w:rsid w:val="00CD6ADC"/>
    <w:rsid w:val="00CD7193"/>
    <w:rsid w:val="00CE1A16"/>
    <w:rsid w:val="00CE38C8"/>
    <w:rsid w:val="00CE39B3"/>
    <w:rsid w:val="00CE3AAD"/>
    <w:rsid w:val="00CE4771"/>
    <w:rsid w:val="00CE47CA"/>
    <w:rsid w:val="00CE524F"/>
    <w:rsid w:val="00CE58CC"/>
    <w:rsid w:val="00CE6274"/>
    <w:rsid w:val="00CE63BC"/>
    <w:rsid w:val="00CE688D"/>
    <w:rsid w:val="00CE69CD"/>
    <w:rsid w:val="00CE6AF6"/>
    <w:rsid w:val="00CE6B8A"/>
    <w:rsid w:val="00CE71D8"/>
    <w:rsid w:val="00CE741E"/>
    <w:rsid w:val="00CE77B6"/>
    <w:rsid w:val="00CE7D4F"/>
    <w:rsid w:val="00CF1070"/>
    <w:rsid w:val="00CF2492"/>
    <w:rsid w:val="00CF2594"/>
    <w:rsid w:val="00CF25F6"/>
    <w:rsid w:val="00CF2B8D"/>
    <w:rsid w:val="00CF2B9B"/>
    <w:rsid w:val="00CF398C"/>
    <w:rsid w:val="00CF3A1B"/>
    <w:rsid w:val="00CF41EA"/>
    <w:rsid w:val="00CF456B"/>
    <w:rsid w:val="00CF4E18"/>
    <w:rsid w:val="00CF4F40"/>
    <w:rsid w:val="00CF5064"/>
    <w:rsid w:val="00CF5194"/>
    <w:rsid w:val="00CF5A22"/>
    <w:rsid w:val="00CF5A4C"/>
    <w:rsid w:val="00CF622E"/>
    <w:rsid w:val="00CF6C53"/>
    <w:rsid w:val="00CF7FF8"/>
    <w:rsid w:val="00D0049B"/>
    <w:rsid w:val="00D00ABE"/>
    <w:rsid w:val="00D01119"/>
    <w:rsid w:val="00D01784"/>
    <w:rsid w:val="00D022C6"/>
    <w:rsid w:val="00D024CC"/>
    <w:rsid w:val="00D0262E"/>
    <w:rsid w:val="00D0277A"/>
    <w:rsid w:val="00D03679"/>
    <w:rsid w:val="00D039C4"/>
    <w:rsid w:val="00D03B14"/>
    <w:rsid w:val="00D03F50"/>
    <w:rsid w:val="00D051B8"/>
    <w:rsid w:val="00D051E9"/>
    <w:rsid w:val="00D0563D"/>
    <w:rsid w:val="00D05E3D"/>
    <w:rsid w:val="00D06139"/>
    <w:rsid w:val="00D06450"/>
    <w:rsid w:val="00D071BA"/>
    <w:rsid w:val="00D109B4"/>
    <w:rsid w:val="00D10AED"/>
    <w:rsid w:val="00D10AF0"/>
    <w:rsid w:val="00D110BD"/>
    <w:rsid w:val="00D1197F"/>
    <w:rsid w:val="00D11F97"/>
    <w:rsid w:val="00D13675"/>
    <w:rsid w:val="00D141E1"/>
    <w:rsid w:val="00D144BF"/>
    <w:rsid w:val="00D14F1D"/>
    <w:rsid w:val="00D15314"/>
    <w:rsid w:val="00D153EF"/>
    <w:rsid w:val="00D15A36"/>
    <w:rsid w:val="00D15B48"/>
    <w:rsid w:val="00D1612A"/>
    <w:rsid w:val="00D17268"/>
    <w:rsid w:val="00D17D6C"/>
    <w:rsid w:val="00D20302"/>
    <w:rsid w:val="00D20AAC"/>
    <w:rsid w:val="00D2155B"/>
    <w:rsid w:val="00D21F47"/>
    <w:rsid w:val="00D22A83"/>
    <w:rsid w:val="00D236D8"/>
    <w:rsid w:val="00D23D11"/>
    <w:rsid w:val="00D242A3"/>
    <w:rsid w:val="00D244B6"/>
    <w:rsid w:val="00D247DD"/>
    <w:rsid w:val="00D24ADA"/>
    <w:rsid w:val="00D25440"/>
    <w:rsid w:val="00D2582D"/>
    <w:rsid w:val="00D262E8"/>
    <w:rsid w:val="00D270F8"/>
    <w:rsid w:val="00D274F6"/>
    <w:rsid w:val="00D2754D"/>
    <w:rsid w:val="00D27B27"/>
    <w:rsid w:val="00D27E41"/>
    <w:rsid w:val="00D30D5B"/>
    <w:rsid w:val="00D324D6"/>
    <w:rsid w:val="00D329E4"/>
    <w:rsid w:val="00D32A2A"/>
    <w:rsid w:val="00D32C6D"/>
    <w:rsid w:val="00D33145"/>
    <w:rsid w:val="00D33194"/>
    <w:rsid w:val="00D338A2"/>
    <w:rsid w:val="00D33BE9"/>
    <w:rsid w:val="00D33F93"/>
    <w:rsid w:val="00D34026"/>
    <w:rsid w:val="00D34385"/>
    <w:rsid w:val="00D345A3"/>
    <w:rsid w:val="00D345FC"/>
    <w:rsid w:val="00D35381"/>
    <w:rsid w:val="00D35561"/>
    <w:rsid w:val="00D357FF"/>
    <w:rsid w:val="00D36330"/>
    <w:rsid w:val="00D374A7"/>
    <w:rsid w:val="00D3782A"/>
    <w:rsid w:val="00D37D9C"/>
    <w:rsid w:val="00D40502"/>
    <w:rsid w:val="00D414D2"/>
    <w:rsid w:val="00D424C7"/>
    <w:rsid w:val="00D4262C"/>
    <w:rsid w:val="00D4368C"/>
    <w:rsid w:val="00D43AF9"/>
    <w:rsid w:val="00D43B2A"/>
    <w:rsid w:val="00D43CC5"/>
    <w:rsid w:val="00D43CF1"/>
    <w:rsid w:val="00D43D83"/>
    <w:rsid w:val="00D4484F"/>
    <w:rsid w:val="00D4493B"/>
    <w:rsid w:val="00D44D36"/>
    <w:rsid w:val="00D454D9"/>
    <w:rsid w:val="00D470B6"/>
    <w:rsid w:val="00D47575"/>
    <w:rsid w:val="00D47E85"/>
    <w:rsid w:val="00D505DC"/>
    <w:rsid w:val="00D50B9B"/>
    <w:rsid w:val="00D51282"/>
    <w:rsid w:val="00D5243B"/>
    <w:rsid w:val="00D527DE"/>
    <w:rsid w:val="00D52E6C"/>
    <w:rsid w:val="00D533B9"/>
    <w:rsid w:val="00D533EC"/>
    <w:rsid w:val="00D54CDD"/>
    <w:rsid w:val="00D55585"/>
    <w:rsid w:val="00D55C5C"/>
    <w:rsid w:val="00D56A95"/>
    <w:rsid w:val="00D57C29"/>
    <w:rsid w:val="00D60112"/>
    <w:rsid w:val="00D60758"/>
    <w:rsid w:val="00D6076E"/>
    <w:rsid w:val="00D60789"/>
    <w:rsid w:val="00D60E4F"/>
    <w:rsid w:val="00D6147F"/>
    <w:rsid w:val="00D614E7"/>
    <w:rsid w:val="00D62177"/>
    <w:rsid w:val="00D637C8"/>
    <w:rsid w:val="00D64CB2"/>
    <w:rsid w:val="00D65DDC"/>
    <w:rsid w:val="00D66090"/>
    <w:rsid w:val="00D663F8"/>
    <w:rsid w:val="00D67C76"/>
    <w:rsid w:val="00D67ECD"/>
    <w:rsid w:val="00D7058A"/>
    <w:rsid w:val="00D70F16"/>
    <w:rsid w:val="00D715D3"/>
    <w:rsid w:val="00D72617"/>
    <w:rsid w:val="00D72A3B"/>
    <w:rsid w:val="00D72F57"/>
    <w:rsid w:val="00D73452"/>
    <w:rsid w:val="00D73E09"/>
    <w:rsid w:val="00D73E80"/>
    <w:rsid w:val="00D73FCD"/>
    <w:rsid w:val="00D74DD9"/>
    <w:rsid w:val="00D75480"/>
    <w:rsid w:val="00D75B24"/>
    <w:rsid w:val="00D766C7"/>
    <w:rsid w:val="00D768CC"/>
    <w:rsid w:val="00D76A44"/>
    <w:rsid w:val="00D778F4"/>
    <w:rsid w:val="00D77F58"/>
    <w:rsid w:val="00D80BA5"/>
    <w:rsid w:val="00D80FBD"/>
    <w:rsid w:val="00D8144F"/>
    <w:rsid w:val="00D815EF"/>
    <w:rsid w:val="00D81949"/>
    <w:rsid w:val="00D81CD4"/>
    <w:rsid w:val="00D81F26"/>
    <w:rsid w:val="00D822E2"/>
    <w:rsid w:val="00D835CF"/>
    <w:rsid w:val="00D83E69"/>
    <w:rsid w:val="00D843F2"/>
    <w:rsid w:val="00D8496C"/>
    <w:rsid w:val="00D8503A"/>
    <w:rsid w:val="00D85329"/>
    <w:rsid w:val="00D85477"/>
    <w:rsid w:val="00D86231"/>
    <w:rsid w:val="00D87ABF"/>
    <w:rsid w:val="00D9077F"/>
    <w:rsid w:val="00D90BF8"/>
    <w:rsid w:val="00D91288"/>
    <w:rsid w:val="00D912AB"/>
    <w:rsid w:val="00D91923"/>
    <w:rsid w:val="00D91A7C"/>
    <w:rsid w:val="00D92850"/>
    <w:rsid w:val="00D931D7"/>
    <w:rsid w:val="00D932D1"/>
    <w:rsid w:val="00D93464"/>
    <w:rsid w:val="00D93753"/>
    <w:rsid w:val="00D93F0D"/>
    <w:rsid w:val="00D940A9"/>
    <w:rsid w:val="00D94353"/>
    <w:rsid w:val="00D95265"/>
    <w:rsid w:val="00D95D11"/>
    <w:rsid w:val="00D95E01"/>
    <w:rsid w:val="00D96B4D"/>
    <w:rsid w:val="00DA0886"/>
    <w:rsid w:val="00DA1293"/>
    <w:rsid w:val="00DA2419"/>
    <w:rsid w:val="00DA3167"/>
    <w:rsid w:val="00DA4DC3"/>
    <w:rsid w:val="00DA4F45"/>
    <w:rsid w:val="00DA57DB"/>
    <w:rsid w:val="00DA5904"/>
    <w:rsid w:val="00DA66B7"/>
    <w:rsid w:val="00DA6D70"/>
    <w:rsid w:val="00DA71CC"/>
    <w:rsid w:val="00DA7670"/>
    <w:rsid w:val="00DA77A5"/>
    <w:rsid w:val="00DB0E36"/>
    <w:rsid w:val="00DB308C"/>
    <w:rsid w:val="00DB3778"/>
    <w:rsid w:val="00DB3D14"/>
    <w:rsid w:val="00DB3DBF"/>
    <w:rsid w:val="00DB3EB3"/>
    <w:rsid w:val="00DB484F"/>
    <w:rsid w:val="00DB4F6E"/>
    <w:rsid w:val="00DB56CD"/>
    <w:rsid w:val="00DB615E"/>
    <w:rsid w:val="00DB65E4"/>
    <w:rsid w:val="00DB661C"/>
    <w:rsid w:val="00DB686B"/>
    <w:rsid w:val="00DB75E7"/>
    <w:rsid w:val="00DB7743"/>
    <w:rsid w:val="00DC04F6"/>
    <w:rsid w:val="00DC0690"/>
    <w:rsid w:val="00DC09AE"/>
    <w:rsid w:val="00DC1641"/>
    <w:rsid w:val="00DC18BE"/>
    <w:rsid w:val="00DC19A8"/>
    <w:rsid w:val="00DC1D65"/>
    <w:rsid w:val="00DC2040"/>
    <w:rsid w:val="00DC3C57"/>
    <w:rsid w:val="00DC3EE7"/>
    <w:rsid w:val="00DC5501"/>
    <w:rsid w:val="00DC5B95"/>
    <w:rsid w:val="00DC5DE4"/>
    <w:rsid w:val="00DC6D77"/>
    <w:rsid w:val="00DC6E1B"/>
    <w:rsid w:val="00DC7154"/>
    <w:rsid w:val="00DC7E8A"/>
    <w:rsid w:val="00DD0EA0"/>
    <w:rsid w:val="00DD0F78"/>
    <w:rsid w:val="00DD125C"/>
    <w:rsid w:val="00DD1934"/>
    <w:rsid w:val="00DD2275"/>
    <w:rsid w:val="00DD273C"/>
    <w:rsid w:val="00DD3361"/>
    <w:rsid w:val="00DD3F28"/>
    <w:rsid w:val="00DD3FC0"/>
    <w:rsid w:val="00DD4315"/>
    <w:rsid w:val="00DD4446"/>
    <w:rsid w:val="00DD444E"/>
    <w:rsid w:val="00DD4537"/>
    <w:rsid w:val="00DD4606"/>
    <w:rsid w:val="00DD4B3A"/>
    <w:rsid w:val="00DD4E15"/>
    <w:rsid w:val="00DD5D11"/>
    <w:rsid w:val="00DD7058"/>
    <w:rsid w:val="00DE0075"/>
    <w:rsid w:val="00DE14DA"/>
    <w:rsid w:val="00DE169B"/>
    <w:rsid w:val="00DE2304"/>
    <w:rsid w:val="00DE2FDB"/>
    <w:rsid w:val="00DE3109"/>
    <w:rsid w:val="00DE3138"/>
    <w:rsid w:val="00DE35CB"/>
    <w:rsid w:val="00DE37F8"/>
    <w:rsid w:val="00DE4273"/>
    <w:rsid w:val="00DE4481"/>
    <w:rsid w:val="00DE47BC"/>
    <w:rsid w:val="00DE4FCB"/>
    <w:rsid w:val="00DE534D"/>
    <w:rsid w:val="00DE5A41"/>
    <w:rsid w:val="00DE5D07"/>
    <w:rsid w:val="00DE5F56"/>
    <w:rsid w:val="00DE60FD"/>
    <w:rsid w:val="00DE65F4"/>
    <w:rsid w:val="00DE684B"/>
    <w:rsid w:val="00DE72A7"/>
    <w:rsid w:val="00DE7832"/>
    <w:rsid w:val="00DF0F9F"/>
    <w:rsid w:val="00DF18FC"/>
    <w:rsid w:val="00DF1A33"/>
    <w:rsid w:val="00DF1CFA"/>
    <w:rsid w:val="00DF234D"/>
    <w:rsid w:val="00DF23C8"/>
    <w:rsid w:val="00DF2B79"/>
    <w:rsid w:val="00DF2F26"/>
    <w:rsid w:val="00DF3D84"/>
    <w:rsid w:val="00DF5AE7"/>
    <w:rsid w:val="00DF5D2B"/>
    <w:rsid w:val="00DF6341"/>
    <w:rsid w:val="00DF659A"/>
    <w:rsid w:val="00DF6634"/>
    <w:rsid w:val="00DF6B0A"/>
    <w:rsid w:val="00DF6FF7"/>
    <w:rsid w:val="00DF7C81"/>
    <w:rsid w:val="00DF7D48"/>
    <w:rsid w:val="00E005CA"/>
    <w:rsid w:val="00E00E8E"/>
    <w:rsid w:val="00E00F7A"/>
    <w:rsid w:val="00E00FFC"/>
    <w:rsid w:val="00E01309"/>
    <w:rsid w:val="00E021B6"/>
    <w:rsid w:val="00E0281C"/>
    <w:rsid w:val="00E02EF2"/>
    <w:rsid w:val="00E03361"/>
    <w:rsid w:val="00E03C05"/>
    <w:rsid w:val="00E049B6"/>
    <w:rsid w:val="00E050F5"/>
    <w:rsid w:val="00E055EC"/>
    <w:rsid w:val="00E05630"/>
    <w:rsid w:val="00E06007"/>
    <w:rsid w:val="00E06562"/>
    <w:rsid w:val="00E066AA"/>
    <w:rsid w:val="00E06908"/>
    <w:rsid w:val="00E06DBB"/>
    <w:rsid w:val="00E06DEB"/>
    <w:rsid w:val="00E0751E"/>
    <w:rsid w:val="00E10099"/>
    <w:rsid w:val="00E10149"/>
    <w:rsid w:val="00E10563"/>
    <w:rsid w:val="00E11005"/>
    <w:rsid w:val="00E110FC"/>
    <w:rsid w:val="00E11340"/>
    <w:rsid w:val="00E118CC"/>
    <w:rsid w:val="00E11D79"/>
    <w:rsid w:val="00E120BB"/>
    <w:rsid w:val="00E122A1"/>
    <w:rsid w:val="00E12760"/>
    <w:rsid w:val="00E12935"/>
    <w:rsid w:val="00E12983"/>
    <w:rsid w:val="00E131BE"/>
    <w:rsid w:val="00E13F26"/>
    <w:rsid w:val="00E14D5C"/>
    <w:rsid w:val="00E14FAD"/>
    <w:rsid w:val="00E1501A"/>
    <w:rsid w:val="00E15893"/>
    <w:rsid w:val="00E15BA7"/>
    <w:rsid w:val="00E16372"/>
    <w:rsid w:val="00E1674B"/>
    <w:rsid w:val="00E16AD8"/>
    <w:rsid w:val="00E17407"/>
    <w:rsid w:val="00E17FFA"/>
    <w:rsid w:val="00E20E4D"/>
    <w:rsid w:val="00E20ED6"/>
    <w:rsid w:val="00E21358"/>
    <w:rsid w:val="00E2249B"/>
    <w:rsid w:val="00E2278F"/>
    <w:rsid w:val="00E22A0D"/>
    <w:rsid w:val="00E244F6"/>
    <w:rsid w:val="00E2455D"/>
    <w:rsid w:val="00E24F72"/>
    <w:rsid w:val="00E24FF6"/>
    <w:rsid w:val="00E258DB"/>
    <w:rsid w:val="00E2591A"/>
    <w:rsid w:val="00E25BB3"/>
    <w:rsid w:val="00E2719A"/>
    <w:rsid w:val="00E274F0"/>
    <w:rsid w:val="00E275AC"/>
    <w:rsid w:val="00E2771E"/>
    <w:rsid w:val="00E27B4B"/>
    <w:rsid w:val="00E300FE"/>
    <w:rsid w:val="00E301BF"/>
    <w:rsid w:val="00E30491"/>
    <w:rsid w:val="00E30F52"/>
    <w:rsid w:val="00E311EF"/>
    <w:rsid w:val="00E32180"/>
    <w:rsid w:val="00E335A3"/>
    <w:rsid w:val="00E338BB"/>
    <w:rsid w:val="00E34948"/>
    <w:rsid w:val="00E3503D"/>
    <w:rsid w:val="00E3578D"/>
    <w:rsid w:val="00E35BEE"/>
    <w:rsid w:val="00E37569"/>
    <w:rsid w:val="00E37749"/>
    <w:rsid w:val="00E37A94"/>
    <w:rsid w:val="00E37BEE"/>
    <w:rsid w:val="00E401B2"/>
    <w:rsid w:val="00E40992"/>
    <w:rsid w:val="00E40C59"/>
    <w:rsid w:val="00E41057"/>
    <w:rsid w:val="00E412A5"/>
    <w:rsid w:val="00E41B93"/>
    <w:rsid w:val="00E41E30"/>
    <w:rsid w:val="00E423DA"/>
    <w:rsid w:val="00E4268B"/>
    <w:rsid w:val="00E42AF1"/>
    <w:rsid w:val="00E42F73"/>
    <w:rsid w:val="00E43638"/>
    <w:rsid w:val="00E43D70"/>
    <w:rsid w:val="00E4423B"/>
    <w:rsid w:val="00E4517A"/>
    <w:rsid w:val="00E465DC"/>
    <w:rsid w:val="00E466F3"/>
    <w:rsid w:val="00E4761C"/>
    <w:rsid w:val="00E47B2C"/>
    <w:rsid w:val="00E5015B"/>
    <w:rsid w:val="00E50520"/>
    <w:rsid w:val="00E5105D"/>
    <w:rsid w:val="00E513FF"/>
    <w:rsid w:val="00E51560"/>
    <w:rsid w:val="00E51821"/>
    <w:rsid w:val="00E53FC8"/>
    <w:rsid w:val="00E54347"/>
    <w:rsid w:val="00E54CCE"/>
    <w:rsid w:val="00E54F62"/>
    <w:rsid w:val="00E55424"/>
    <w:rsid w:val="00E55915"/>
    <w:rsid w:val="00E55BB5"/>
    <w:rsid w:val="00E56F73"/>
    <w:rsid w:val="00E5722C"/>
    <w:rsid w:val="00E57FDC"/>
    <w:rsid w:val="00E602E1"/>
    <w:rsid w:val="00E60BE6"/>
    <w:rsid w:val="00E60E69"/>
    <w:rsid w:val="00E611DF"/>
    <w:rsid w:val="00E6250E"/>
    <w:rsid w:val="00E62A61"/>
    <w:rsid w:val="00E62F20"/>
    <w:rsid w:val="00E62F60"/>
    <w:rsid w:val="00E64EDA"/>
    <w:rsid w:val="00E65C1C"/>
    <w:rsid w:val="00E65E79"/>
    <w:rsid w:val="00E65F7E"/>
    <w:rsid w:val="00E6671B"/>
    <w:rsid w:val="00E66BA2"/>
    <w:rsid w:val="00E66CDB"/>
    <w:rsid w:val="00E66FCD"/>
    <w:rsid w:val="00E670B8"/>
    <w:rsid w:val="00E67416"/>
    <w:rsid w:val="00E704CF"/>
    <w:rsid w:val="00E718B6"/>
    <w:rsid w:val="00E723BA"/>
    <w:rsid w:val="00E73581"/>
    <w:rsid w:val="00E749A1"/>
    <w:rsid w:val="00E74CE3"/>
    <w:rsid w:val="00E74F4E"/>
    <w:rsid w:val="00E777DC"/>
    <w:rsid w:val="00E7783D"/>
    <w:rsid w:val="00E801C5"/>
    <w:rsid w:val="00E80763"/>
    <w:rsid w:val="00E813DD"/>
    <w:rsid w:val="00E8194D"/>
    <w:rsid w:val="00E81DA1"/>
    <w:rsid w:val="00E825FC"/>
    <w:rsid w:val="00E8264A"/>
    <w:rsid w:val="00E833F7"/>
    <w:rsid w:val="00E83789"/>
    <w:rsid w:val="00E838A2"/>
    <w:rsid w:val="00E83965"/>
    <w:rsid w:val="00E83BDF"/>
    <w:rsid w:val="00E8404D"/>
    <w:rsid w:val="00E8455C"/>
    <w:rsid w:val="00E846C6"/>
    <w:rsid w:val="00E84AE5"/>
    <w:rsid w:val="00E850AC"/>
    <w:rsid w:val="00E851AE"/>
    <w:rsid w:val="00E85ABC"/>
    <w:rsid w:val="00E85AC5"/>
    <w:rsid w:val="00E85B0E"/>
    <w:rsid w:val="00E85F69"/>
    <w:rsid w:val="00E864F2"/>
    <w:rsid w:val="00E86692"/>
    <w:rsid w:val="00E868D4"/>
    <w:rsid w:val="00E86FCC"/>
    <w:rsid w:val="00E87A1D"/>
    <w:rsid w:val="00E87AEF"/>
    <w:rsid w:val="00E90047"/>
    <w:rsid w:val="00E900B8"/>
    <w:rsid w:val="00E905C3"/>
    <w:rsid w:val="00E9094A"/>
    <w:rsid w:val="00E91685"/>
    <w:rsid w:val="00E916B2"/>
    <w:rsid w:val="00E91D35"/>
    <w:rsid w:val="00E92292"/>
    <w:rsid w:val="00E9250A"/>
    <w:rsid w:val="00E926A5"/>
    <w:rsid w:val="00E9281A"/>
    <w:rsid w:val="00E92BCC"/>
    <w:rsid w:val="00E9374D"/>
    <w:rsid w:val="00E94432"/>
    <w:rsid w:val="00E94FB0"/>
    <w:rsid w:val="00E95461"/>
    <w:rsid w:val="00E962CC"/>
    <w:rsid w:val="00E96859"/>
    <w:rsid w:val="00E97122"/>
    <w:rsid w:val="00E977BE"/>
    <w:rsid w:val="00E97AE5"/>
    <w:rsid w:val="00EA17C3"/>
    <w:rsid w:val="00EA2BC8"/>
    <w:rsid w:val="00EA2CAA"/>
    <w:rsid w:val="00EA3214"/>
    <w:rsid w:val="00EA3864"/>
    <w:rsid w:val="00EA3892"/>
    <w:rsid w:val="00EA3EC2"/>
    <w:rsid w:val="00EA3EC7"/>
    <w:rsid w:val="00EA41D0"/>
    <w:rsid w:val="00EA41EF"/>
    <w:rsid w:val="00EA478A"/>
    <w:rsid w:val="00EA579B"/>
    <w:rsid w:val="00EA64D9"/>
    <w:rsid w:val="00EA7F1C"/>
    <w:rsid w:val="00EB0A8F"/>
    <w:rsid w:val="00EB145B"/>
    <w:rsid w:val="00EB15B6"/>
    <w:rsid w:val="00EB1E98"/>
    <w:rsid w:val="00EB201E"/>
    <w:rsid w:val="00EB3A3D"/>
    <w:rsid w:val="00EB3D06"/>
    <w:rsid w:val="00EB42C8"/>
    <w:rsid w:val="00EB4916"/>
    <w:rsid w:val="00EB4D13"/>
    <w:rsid w:val="00EB4D29"/>
    <w:rsid w:val="00EB5135"/>
    <w:rsid w:val="00EB51A2"/>
    <w:rsid w:val="00EB57C1"/>
    <w:rsid w:val="00EB6894"/>
    <w:rsid w:val="00EB6D19"/>
    <w:rsid w:val="00EB6DE2"/>
    <w:rsid w:val="00EB7BB1"/>
    <w:rsid w:val="00EB7C45"/>
    <w:rsid w:val="00EB7C96"/>
    <w:rsid w:val="00EC00C9"/>
    <w:rsid w:val="00EC06E0"/>
    <w:rsid w:val="00EC0CDF"/>
    <w:rsid w:val="00EC0DD9"/>
    <w:rsid w:val="00EC2358"/>
    <w:rsid w:val="00EC2649"/>
    <w:rsid w:val="00EC31ED"/>
    <w:rsid w:val="00EC37CB"/>
    <w:rsid w:val="00EC3F85"/>
    <w:rsid w:val="00EC4FEE"/>
    <w:rsid w:val="00EC563F"/>
    <w:rsid w:val="00EC5836"/>
    <w:rsid w:val="00EC5E09"/>
    <w:rsid w:val="00EC5FF8"/>
    <w:rsid w:val="00EC619B"/>
    <w:rsid w:val="00EC688C"/>
    <w:rsid w:val="00EC6D83"/>
    <w:rsid w:val="00EC6D9E"/>
    <w:rsid w:val="00EC6E69"/>
    <w:rsid w:val="00EC7363"/>
    <w:rsid w:val="00EC77F3"/>
    <w:rsid w:val="00ED0B47"/>
    <w:rsid w:val="00ED0BEF"/>
    <w:rsid w:val="00ED0C22"/>
    <w:rsid w:val="00ED12E3"/>
    <w:rsid w:val="00ED20D1"/>
    <w:rsid w:val="00ED220C"/>
    <w:rsid w:val="00ED26C7"/>
    <w:rsid w:val="00ED3473"/>
    <w:rsid w:val="00ED36A0"/>
    <w:rsid w:val="00ED3D7F"/>
    <w:rsid w:val="00ED3E71"/>
    <w:rsid w:val="00ED3FB7"/>
    <w:rsid w:val="00ED4B04"/>
    <w:rsid w:val="00ED4BE2"/>
    <w:rsid w:val="00ED4F97"/>
    <w:rsid w:val="00ED57EA"/>
    <w:rsid w:val="00ED5BD4"/>
    <w:rsid w:val="00ED5F31"/>
    <w:rsid w:val="00ED6760"/>
    <w:rsid w:val="00EE07D3"/>
    <w:rsid w:val="00EE0E7E"/>
    <w:rsid w:val="00EE0F52"/>
    <w:rsid w:val="00EE1179"/>
    <w:rsid w:val="00EE11B0"/>
    <w:rsid w:val="00EE1996"/>
    <w:rsid w:val="00EE1C01"/>
    <w:rsid w:val="00EE2239"/>
    <w:rsid w:val="00EE22AF"/>
    <w:rsid w:val="00EE2A49"/>
    <w:rsid w:val="00EE2D16"/>
    <w:rsid w:val="00EE3A9C"/>
    <w:rsid w:val="00EE3F9B"/>
    <w:rsid w:val="00EE5067"/>
    <w:rsid w:val="00EE542F"/>
    <w:rsid w:val="00EE5BEA"/>
    <w:rsid w:val="00EE5E04"/>
    <w:rsid w:val="00EE6885"/>
    <w:rsid w:val="00EE6BBE"/>
    <w:rsid w:val="00EE74FD"/>
    <w:rsid w:val="00EE7BED"/>
    <w:rsid w:val="00EF0171"/>
    <w:rsid w:val="00EF046E"/>
    <w:rsid w:val="00EF0BB7"/>
    <w:rsid w:val="00EF1B25"/>
    <w:rsid w:val="00EF1DA0"/>
    <w:rsid w:val="00EF2187"/>
    <w:rsid w:val="00EF2A73"/>
    <w:rsid w:val="00EF372A"/>
    <w:rsid w:val="00EF4747"/>
    <w:rsid w:val="00EF4BF8"/>
    <w:rsid w:val="00EF4FDF"/>
    <w:rsid w:val="00EF5228"/>
    <w:rsid w:val="00EF56C8"/>
    <w:rsid w:val="00EF591C"/>
    <w:rsid w:val="00EF60B7"/>
    <w:rsid w:val="00EF64CF"/>
    <w:rsid w:val="00EF70F9"/>
    <w:rsid w:val="00EF7201"/>
    <w:rsid w:val="00EF7647"/>
    <w:rsid w:val="00EF7BE6"/>
    <w:rsid w:val="00F00881"/>
    <w:rsid w:val="00F009B0"/>
    <w:rsid w:val="00F011D1"/>
    <w:rsid w:val="00F0171F"/>
    <w:rsid w:val="00F01FFC"/>
    <w:rsid w:val="00F02244"/>
    <w:rsid w:val="00F02253"/>
    <w:rsid w:val="00F02D33"/>
    <w:rsid w:val="00F038D4"/>
    <w:rsid w:val="00F03C2E"/>
    <w:rsid w:val="00F03FDF"/>
    <w:rsid w:val="00F040CF"/>
    <w:rsid w:val="00F04A66"/>
    <w:rsid w:val="00F04B4B"/>
    <w:rsid w:val="00F0516C"/>
    <w:rsid w:val="00F05858"/>
    <w:rsid w:val="00F058F1"/>
    <w:rsid w:val="00F0590C"/>
    <w:rsid w:val="00F05CB2"/>
    <w:rsid w:val="00F06453"/>
    <w:rsid w:val="00F067A2"/>
    <w:rsid w:val="00F06C07"/>
    <w:rsid w:val="00F0701B"/>
    <w:rsid w:val="00F07B55"/>
    <w:rsid w:val="00F07B9E"/>
    <w:rsid w:val="00F07C12"/>
    <w:rsid w:val="00F10330"/>
    <w:rsid w:val="00F1116F"/>
    <w:rsid w:val="00F112B5"/>
    <w:rsid w:val="00F11772"/>
    <w:rsid w:val="00F11897"/>
    <w:rsid w:val="00F1263A"/>
    <w:rsid w:val="00F139C5"/>
    <w:rsid w:val="00F13CED"/>
    <w:rsid w:val="00F13DA4"/>
    <w:rsid w:val="00F145CA"/>
    <w:rsid w:val="00F146CE"/>
    <w:rsid w:val="00F1549B"/>
    <w:rsid w:val="00F15B77"/>
    <w:rsid w:val="00F177AE"/>
    <w:rsid w:val="00F17B3E"/>
    <w:rsid w:val="00F21236"/>
    <w:rsid w:val="00F21637"/>
    <w:rsid w:val="00F21EE8"/>
    <w:rsid w:val="00F21F3C"/>
    <w:rsid w:val="00F2381F"/>
    <w:rsid w:val="00F239DF"/>
    <w:rsid w:val="00F24111"/>
    <w:rsid w:val="00F24837"/>
    <w:rsid w:val="00F25015"/>
    <w:rsid w:val="00F2550A"/>
    <w:rsid w:val="00F2575F"/>
    <w:rsid w:val="00F2598D"/>
    <w:rsid w:val="00F26025"/>
    <w:rsid w:val="00F263C6"/>
    <w:rsid w:val="00F27565"/>
    <w:rsid w:val="00F276BB"/>
    <w:rsid w:val="00F27BC3"/>
    <w:rsid w:val="00F27C2D"/>
    <w:rsid w:val="00F3018F"/>
    <w:rsid w:val="00F30D60"/>
    <w:rsid w:val="00F30DB0"/>
    <w:rsid w:val="00F310D4"/>
    <w:rsid w:val="00F31ADE"/>
    <w:rsid w:val="00F31D5A"/>
    <w:rsid w:val="00F32ED4"/>
    <w:rsid w:val="00F33837"/>
    <w:rsid w:val="00F33975"/>
    <w:rsid w:val="00F339E0"/>
    <w:rsid w:val="00F33CC0"/>
    <w:rsid w:val="00F33DE9"/>
    <w:rsid w:val="00F343BD"/>
    <w:rsid w:val="00F3446A"/>
    <w:rsid w:val="00F34549"/>
    <w:rsid w:val="00F354E7"/>
    <w:rsid w:val="00F35759"/>
    <w:rsid w:val="00F35E67"/>
    <w:rsid w:val="00F35E6D"/>
    <w:rsid w:val="00F3619A"/>
    <w:rsid w:val="00F362A8"/>
    <w:rsid w:val="00F4071D"/>
    <w:rsid w:val="00F40AAA"/>
    <w:rsid w:val="00F40BA7"/>
    <w:rsid w:val="00F40F9D"/>
    <w:rsid w:val="00F41ACD"/>
    <w:rsid w:val="00F43144"/>
    <w:rsid w:val="00F43AE1"/>
    <w:rsid w:val="00F44374"/>
    <w:rsid w:val="00F445D1"/>
    <w:rsid w:val="00F4566E"/>
    <w:rsid w:val="00F4677B"/>
    <w:rsid w:val="00F46CB6"/>
    <w:rsid w:val="00F46DFD"/>
    <w:rsid w:val="00F4727A"/>
    <w:rsid w:val="00F4756D"/>
    <w:rsid w:val="00F47BA8"/>
    <w:rsid w:val="00F47BF5"/>
    <w:rsid w:val="00F47DE8"/>
    <w:rsid w:val="00F502A2"/>
    <w:rsid w:val="00F50752"/>
    <w:rsid w:val="00F51932"/>
    <w:rsid w:val="00F53A32"/>
    <w:rsid w:val="00F542C1"/>
    <w:rsid w:val="00F547BC"/>
    <w:rsid w:val="00F550E3"/>
    <w:rsid w:val="00F559E8"/>
    <w:rsid w:val="00F55A02"/>
    <w:rsid w:val="00F55D7E"/>
    <w:rsid w:val="00F55E73"/>
    <w:rsid w:val="00F55EDA"/>
    <w:rsid w:val="00F567C8"/>
    <w:rsid w:val="00F56C80"/>
    <w:rsid w:val="00F57280"/>
    <w:rsid w:val="00F57D56"/>
    <w:rsid w:val="00F57E49"/>
    <w:rsid w:val="00F60092"/>
    <w:rsid w:val="00F6065C"/>
    <w:rsid w:val="00F61884"/>
    <w:rsid w:val="00F61C18"/>
    <w:rsid w:val="00F61DDC"/>
    <w:rsid w:val="00F626CA"/>
    <w:rsid w:val="00F62AF1"/>
    <w:rsid w:val="00F6315C"/>
    <w:rsid w:val="00F63B1B"/>
    <w:rsid w:val="00F63DC4"/>
    <w:rsid w:val="00F65C56"/>
    <w:rsid w:val="00F65D34"/>
    <w:rsid w:val="00F65F4B"/>
    <w:rsid w:val="00F66B88"/>
    <w:rsid w:val="00F66BB1"/>
    <w:rsid w:val="00F66C1B"/>
    <w:rsid w:val="00F678A9"/>
    <w:rsid w:val="00F67A69"/>
    <w:rsid w:val="00F67E64"/>
    <w:rsid w:val="00F70B1A"/>
    <w:rsid w:val="00F70BFF"/>
    <w:rsid w:val="00F70C9D"/>
    <w:rsid w:val="00F71494"/>
    <w:rsid w:val="00F71AFD"/>
    <w:rsid w:val="00F72D59"/>
    <w:rsid w:val="00F72FD3"/>
    <w:rsid w:val="00F73191"/>
    <w:rsid w:val="00F73408"/>
    <w:rsid w:val="00F73E08"/>
    <w:rsid w:val="00F74882"/>
    <w:rsid w:val="00F74CD9"/>
    <w:rsid w:val="00F7508D"/>
    <w:rsid w:val="00F756DD"/>
    <w:rsid w:val="00F75C7F"/>
    <w:rsid w:val="00F75FD4"/>
    <w:rsid w:val="00F76166"/>
    <w:rsid w:val="00F77049"/>
    <w:rsid w:val="00F80A7B"/>
    <w:rsid w:val="00F80AE4"/>
    <w:rsid w:val="00F80E5D"/>
    <w:rsid w:val="00F81E78"/>
    <w:rsid w:val="00F82BE4"/>
    <w:rsid w:val="00F83916"/>
    <w:rsid w:val="00F84D1A"/>
    <w:rsid w:val="00F851CE"/>
    <w:rsid w:val="00F8578E"/>
    <w:rsid w:val="00F869A8"/>
    <w:rsid w:val="00F87AF3"/>
    <w:rsid w:val="00F87EE9"/>
    <w:rsid w:val="00F9000A"/>
    <w:rsid w:val="00F900CB"/>
    <w:rsid w:val="00F902AE"/>
    <w:rsid w:val="00F91219"/>
    <w:rsid w:val="00F914C8"/>
    <w:rsid w:val="00F92444"/>
    <w:rsid w:val="00F92BF1"/>
    <w:rsid w:val="00F92E94"/>
    <w:rsid w:val="00F9393E"/>
    <w:rsid w:val="00F9396B"/>
    <w:rsid w:val="00F94DC9"/>
    <w:rsid w:val="00F958D5"/>
    <w:rsid w:val="00F960AE"/>
    <w:rsid w:val="00F96950"/>
    <w:rsid w:val="00F96F57"/>
    <w:rsid w:val="00F96FD0"/>
    <w:rsid w:val="00F971C3"/>
    <w:rsid w:val="00F97A78"/>
    <w:rsid w:val="00F97AD5"/>
    <w:rsid w:val="00FA05E6"/>
    <w:rsid w:val="00FA0B20"/>
    <w:rsid w:val="00FA0D19"/>
    <w:rsid w:val="00FA24E7"/>
    <w:rsid w:val="00FA3152"/>
    <w:rsid w:val="00FA35B8"/>
    <w:rsid w:val="00FA4583"/>
    <w:rsid w:val="00FA4D1A"/>
    <w:rsid w:val="00FA4E51"/>
    <w:rsid w:val="00FA4EAC"/>
    <w:rsid w:val="00FA4F66"/>
    <w:rsid w:val="00FA5EE6"/>
    <w:rsid w:val="00FA5F1E"/>
    <w:rsid w:val="00FA680C"/>
    <w:rsid w:val="00FA692D"/>
    <w:rsid w:val="00FA7956"/>
    <w:rsid w:val="00FA7A73"/>
    <w:rsid w:val="00FA7EBE"/>
    <w:rsid w:val="00FB0203"/>
    <w:rsid w:val="00FB0824"/>
    <w:rsid w:val="00FB18F9"/>
    <w:rsid w:val="00FB1E00"/>
    <w:rsid w:val="00FB258D"/>
    <w:rsid w:val="00FB2E3C"/>
    <w:rsid w:val="00FB2FCB"/>
    <w:rsid w:val="00FB31E1"/>
    <w:rsid w:val="00FB362C"/>
    <w:rsid w:val="00FB3B87"/>
    <w:rsid w:val="00FB3E63"/>
    <w:rsid w:val="00FB4C9C"/>
    <w:rsid w:val="00FB5FB6"/>
    <w:rsid w:val="00FB6514"/>
    <w:rsid w:val="00FB6808"/>
    <w:rsid w:val="00FB7C55"/>
    <w:rsid w:val="00FC0632"/>
    <w:rsid w:val="00FC0D1B"/>
    <w:rsid w:val="00FC1074"/>
    <w:rsid w:val="00FC1791"/>
    <w:rsid w:val="00FC1884"/>
    <w:rsid w:val="00FC19AF"/>
    <w:rsid w:val="00FC1F29"/>
    <w:rsid w:val="00FC1F77"/>
    <w:rsid w:val="00FC2268"/>
    <w:rsid w:val="00FC26CF"/>
    <w:rsid w:val="00FC2B7C"/>
    <w:rsid w:val="00FC371D"/>
    <w:rsid w:val="00FC3A8F"/>
    <w:rsid w:val="00FC3A9A"/>
    <w:rsid w:val="00FC51AA"/>
    <w:rsid w:val="00FC5240"/>
    <w:rsid w:val="00FC554E"/>
    <w:rsid w:val="00FC5F0B"/>
    <w:rsid w:val="00FC69CC"/>
    <w:rsid w:val="00FC6B33"/>
    <w:rsid w:val="00FC700C"/>
    <w:rsid w:val="00FC75A2"/>
    <w:rsid w:val="00FC7D6E"/>
    <w:rsid w:val="00FC7D83"/>
    <w:rsid w:val="00FD15FC"/>
    <w:rsid w:val="00FD1D23"/>
    <w:rsid w:val="00FD2100"/>
    <w:rsid w:val="00FD2F11"/>
    <w:rsid w:val="00FD38B0"/>
    <w:rsid w:val="00FD3913"/>
    <w:rsid w:val="00FD3D2A"/>
    <w:rsid w:val="00FD436C"/>
    <w:rsid w:val="00FD446D"/>
    <w:rsid w:val="00FD48E1"/>
    <w:rsid w:val="00FD4F2C"/>
    <w:rsid w:val="00FD5698"/>
    <w:rsid w:val="00FD5979"/>
    <w:rsid w:val="00FD6355"/>
    <w:rsid w:val="00FD6394"/>
    <w:rsid w:val="00FD6870"/>
    <w:rsid w:val="00FD6918"/>
    <w:rsid w:val="00FD7843"/>
    <w:rsid w:val="00FD79EB"/>
    <w:rsid w:val="00FE0152"/>
    <w:rsid w:val="00FE0E6C"/>
    <w:rsid w:val="00FE0ECB"/>
    <w:rsid w:val="00FE1014"/>
    <w:rsid w:val="00FE1363"/>
    <w:rsid w:val="00FE1C49"/>
    <w:rsid w:val="00FE1CDC"/>
    <w:rsid w:val="00FE1D24"/>
    <w:rsid w:val="00FE2572"/>
    <w:rsid w:val="00FE279B"/>
    <w:rsid w:val="00FE31C1"/>
    <w:rsid w:val="00FE3915"/>
    <w:rsid w:val="00FE3B95"/>
    <w:rsid w:val="00FE3BD4"/>
    <w:rsid w:val="00FE3DE1"/>
    <w:rsid w:val="00FE4A52"/>
    <w:rsid w:val="00FE50B8"/>
    <w:rsid w:val="00FE5420"/>
    <w:rsid w:val="00FE58E6"/>
    <w:rsid w:val="00FE5C67"/>
    <w:rsid w:val="00FE65FF"/>
    <w:rsid w:val="00FE70C3"/>
    <w:rsid w:val="00FE7372"/>
    <w:rsid w:val="00FE76B9"/>
    <w:rsid w:val="00FE79F3"/>
    <w:rsid w:val="00FE7C5F"/>
    <w:rsid w:val="00FF055C"/>
    <w:rsid w:val="00FF05B3"/>
    <w:rsid w:val="00FF1546"/>
    <w:rsid w:val="00FF1A8B"/>
    <w:rsid w:val="00FF1AB9"/>
    <w:rsid w:val="00FF2102"/>
    <w:rsid w:val="00FF2AD9"/>
    <w:rsid w:val="00FF359F"/>
    <w:rsid w:val="00FF3DCF"/>
    <w:rsid w:val="00FF45F1"/>
    <w:rsid w:val="00FF492C"/>
    <w:rsid w:val="00FF4A21"/>
    <w:rsid w:val="00FF4AE3"/>
    <w:rsid w:val="00FF4EA9"/>
    <w:rsid w:val="00FF52FD"/>
    <w:rsid w:val="00FF5AA3"/>
    <w:rsid w:val="00FF5AD8"/>
    <w:rsid w:val="00FF5B5C"/>
    <w:rsid w:val="00FF5D7C"/>
    <w:rsid w:val="00FF7130"/>
    <w:rsid w:val="00FF73C0"/>
    <w:rsid w:val="00FF7448"/>
    <w:rsid w:val="0191D7B8"/>
    <w:rsid w:val="02C99786"/>
    <w:rsid w:val="03329E05"/>
    <w:rsid w:val="0822C453"/>
    <w:rsid w:val="0CF85B36"/>
    <w:rsid w:val="0D440FDA"/>
    <w:rsid w:val="0D8BDC48"/>
    <w:rsid w:val="0D960D1A"/>
    <w:rsid w:val="0DF199A6"/>
    <w:rsid w:val="137A944E"/>
    <w:rsid w:val="198A634D"/>
    <w:rsid w:val="1A27759C"/>
    <w:rsid w:val="1D44AE37"/>
    <w:rsid w:val="215B3D08"/>
    <w:rsid w:val="2213CA74"/>
    <w:rsid w:val="23DB6F09"/>
    <w:rsid w:val="262AA06C"/>
    <w:rsid w:val="26FD689E"/>
    <w:rsid w:val="292DF17B"/>
    <w:rsid w:val="2E366CDF"/>
    <w:rsid w:val="30EFB8EF"/>
    <w:rsid w:val="358E059B"/>
    <w:rsid w:val="3870D744"/>
    <w:rsid w:val="3D1EAF59"/>
    <w:rsid w:val="3F376BAE"/>
    <w:rsid w:val="406D568F"/>
    <w:rsid w:val="45F0C21B"/>
    <w:rsid w:val="4A07A240"/>
    <w:rsid w:val="4DA42DC0"/>
    <w:rsid w:val="544EF9EB"/>
    <w:rsid w:val="54D65834"/>
    <w:rsid w:val="55F37728"/>
    <w:rsid w:val="570FF98A"/>
    <w:rsid w:val="57727FCB"/>
    <w:rsid w:val="5B485B4D"/>
    <w:rsid w:val="5FFEC84A"/>
    <w:rsid w:val="6230B819"/>
    <w:rsid w:val="64CF10C8"/>
    <w:rsid w:val="680AA9B3"/>
    <w:rsid w:val="6A152694"/>
    <w:rsid w:val="6EA27391"/>
    <w:rsid w:val="6F76F3CD"/>
    <w:rsid w:val="71C7EC4C"/>
    <w:rsid w:val="71EBC40F"/>
    <w:rsid w:val="73F322C3"/>
    <w:rsid w:val="76E5D4A2"/>
    <w:rsid w:val="787D3111"/>
    <w:rsid w:val="7D0AF838"/>
    <w:rsid w:val="7D875C88"/>
    <w:rsid w:val="7DAB1F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3A9"/>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Summary Bullets,Footer Setting,FooterText,numbered,Paragraphe de liste1,列出段落,列出段落1,リスト段落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Summary Bullets Char,numbered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table" w:styleId="LightShading-Accent3">
    <w:name w:val="Light Shading Accent 3"/>
    <w:basedOn w:val="TableNormal"/>
    <w:uiPriority w:val="60"/>
    <w:unhideWhenUsed/>
    <w:rsid w:val="00644AE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ormaltextrun">
    <w:name w:val="normaltextrun"/>
    <w:basedOn w:val="DefaultParagraphFont"/>
    <w:rsid w:val="00644AE3"/>
  </w:style>
  <w:style w:type="character" w:styleId="IntenseReference">
    <w:name w:val="Intense Reference"/>
    <w:basedOn w:val="DefaultParagraphFont"/>
    <w:uiPriority w:val="32"/>
    <w:rsid w:val="00644AE3"/>
    <w:rPr>
      <w:b/>
      <w:smallCaps/>
    </w:rPr>
  </w:style>
  <w:style w:type="table" w:customStyle="1" w:styleId="TableGrid0">
    <w:name w:val="Table Grid0"/>
    <w:basedOn w:val="TableNormal"/>
    <w:uiPriority w:val="39"/>
    <w:rsid w:val="005A6AB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uiPriority w:val="99"/>
    <w:qFormat/>
    <w:rsid w:val="005A6ABA"/>
    <w:pPr>
      <w:keepNext/>
      <w:keepLines/>
      <w:suppressLineNumbers/>
      <w:spacing w:after="20"/>
      <w:textboxTightWrap w:val="allLines"/>
    </w:pPr>
    <w:rPr>
      <w:rFonts w:ascii="Arial" w:hAnsi="Arial" w:cs="Arial"/>
      <w:szCs w:val="24"/>
      <w:lang w:eastAsia="en-GB"/>
    </w:rPr>
  </w:style>
  <w:style w:type="character" w:customStyle="1" w:styleId="TableHeadingChar">
    <w:name w:val="TableHeading Char"/>
    <w:link w:val="TableHeading"/>
    <w:locked/>
    <w:rsid w:val="005A6ABA"/>
    <w:rPr>
      <w:rFonts w:ascii="Arial Narrow" w:hAnsi="Arial Narrow" w:cs="Arial Narrow"/>
      <w:b/>
      <w:bCs/>
      <w:snapToGrid w:val="0"/>
      <w:szCs w:val="24"/>
    </w:rPr>
  </w:style>
  <w:style w:type="table" w:customStyle="1" w:styleId="ASDTable1">
    <w:name w:val="ASD Table1"/>
    <w:basedOn w:val="TableNormal"/>
    <w:next w:val="TableGrid"/>
    <w:uiPriority w:val="39"/>
    <w:rsid w:val="005A6AB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2"/>
    <w:qFormat/>
    <w:rsid w:val="005A6ABA"/>
    <w:pPr>
      <w:spacing w:before="200" w:line="280" w:lineRule="exact"/>
      <w:jc w:val="left"/>
    </w:pPr>
    <w:rPr>
      <w:rFonts w:ascii="Arial" w:hAnsi="Arial" w:cs="Times New Roman"/>
      <w:sz w:val="20"/>
      <w:lang w:val="en-US" w:eastAsia="en-US"/>
    </w:rPr>
  </w:style>
  <w:style w:type="character" w:customStyle="1" w:styleId="paragraphChar2">
    <w:name w:val="paragraph Char2"/>
    <w:basedOn w:val="DefaultParagraphFont"/>
    <w:link w:val="paragraph"/>
    <w:rsid w:val="005A6ABA"/>
    <w:rPr>
      <w:rFonts w:ascii="Arial" w:hAnsi="Arial"/>
      <w:szCs w:val="24"/>
      <w:lang w:val="en-US" w:eastAsia="en-US"/>
    </w:rPr>
  </w:style>
  <w:style w:type="character" w:customStyle="1" w:styleId="eop">
    <w:name w:val="eop"/>
    <w:basedOn w:val="DefaultParagraphFont"/>
    <w:rsid w:val="005A6ABA"/>
  </w:style>
  <w:style w:type="paragraph" w:customStyle="1" w:styleId="pf0">
    <w:name w:val="pf0"/>
    <w:basedOn w:val="Normal"/>
    <w:rsid w:val="005A6AB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5A6ABA"/>
    <w:rPr>
      <w:rFonts w:ascii="Segoe UI" w:hAnsi="Segoe UI" w:cs="Segoe UI" w:hint="default"/>
      <w:sz w:val="18"/>
      <w:szCs w:val="18"/>
    </w:rPr>
  </w:style>
  <w:style w:type="paragraph" w:styleId="EndnoteText">
    <w:name w:val="endnote text"/>
    <w:basedOn w:val="Normal"/>
    <w:link w:val="EndnoteTextChar"/>
    <w:semiHidden/>
    <w:unhideWhenUsed/>
    <w:rsid w:val="0065176B"/>
    <w:rPr>
      <w:sz w:val="20"/>
      <w:szCs w:val="20"/>
    </w:rPr>
  </w:style>
  <w:style w:type="character" w:customStyle="1" w:styleId="EndnoteTextChar">
    <w:name w:val="Endnote Text Char"/>
    <w:basedOn w:val="DefaultParagraphFont"/>
    <w:link w:val="EndnoteText"/>
    <w:semiHidden/>
    <w:rsid w:val="0065176B"/>
    <w:rPr>
      <w:rFonts w:ascii="Calibri" w:hAnsi="Calibri" w:cs="Arial"/>
    </w:rPr>
  </w:style>
  <w:style w:type="character" w:styleId="EndnoteReference">
    <w:name w:val="endnote reference"/>
    <w:basedOn w:val="DefaultParagraphFont"/>
    <w:semiHidden/>
    <w:unhideWhenUsed/>
    <w:rsid w:val="0065176B"/>
    <w:rPr>
      <w:vertAlign w:val="superscript"/>
    </w:rPr>
  </w:style>
  <w:style w:type="paragraph" w:styleId="FootnoteText">
    <w:name w:val="footnote text"/>
    <w:basedOn w:val="Normal"/>
    <w:link w:val="FootnoteTextChar"/>
    <w:unhideWhenUsed/>
    <w:qFormat/>
    <w:rsid w:val="00550989"/>
    <w:rPr>
      <w:sz w:val="20"/>
      <w:szCs w:val="20"/>
    </w:rPr>
  </w:style>
  <w:style w:type="character" w:customStyle="1" w:styleId="FootnoteTextChar">
    <w:name w:val="Footnote Text Char"/>
    <w:basedOn w:val="DefaultParagraphFont"/>
    <w:link w:val="FootnoteText"/>
    <w:rsid w:val="00550989"/>
    <w:rPr>
      <w:rFonts w:ascii="Calibri" w:hAnsi="Calibri" w:cs="Arial"/>
    </w:rPr>
  </w:style>
  <w:style w:type="character" w:styleId="FootnoteReference">
    <w:name w:val="footnote reference"/>
    <w:basedOn w:val="DefaultParagraphFont"/>
    <w:unhideWhenUsed/>
    <w:rsid w:val="00550989"/>
    <w:rPr>
      <w:vertAlign w:val="superscript"/>
    </w:rPr>
  </w:style>
  <w:style w:type="paragraph" w:customStyle="1" w:styleId="TableNotes">
    <w:name w:val="Table Notes"/>
    <w:basedOn w:val="Normal"/>
    <w:link w:val="TableNotesChar"/>
    <w:uiPriority w:val="6"/>
    <w:qFormat/>
    <w:rsid w:val="005D7FA2"/>
    <w:pPr>
      <w:spacing w:after="240"/>
      <w:contextualSpacing/>
    </w:pPr>
    <w:rPr>
      <w:rFonts w:ascii="Arial Narrow" w:eastAsiaTheme="majorEastAsia" w:hAnsi="Arial Narrow" w:cstheme="majorBidi"/>
      <w:sz w:val="18"/>
      <w:szCs w:val="22"/>
      <w:lang w:eastAsia="en-US"/>
    </w:rPr>
  </w:style>
  <w:style w:type="character" w:customStyle="1" w:styleId="TableNotesChar">
    <w:name w:val="Table Notes Char"/>
    <w:basedOn w:val="DefaultParagraphFont"/>
    <w:link w:val="TableNotes"/>
    <w:uiPriority w:val="6"/>
    <w:locked/>
    <w:rsid w:val="005D7FA2"/>
    <w:rPr>
      <w:rFonts w:ascii="Arial Narrow" w:eastAsiaTheme="majorEastAsia" w:hAnsi="Arial Narrow" w:cstheme="majorBidi"/>
      <w:sz w:val="18"/>
      <w:szCs w:val="22"/>
      <w:lang w:eastAsia="en-US"/>
    </w:rPr>
  </w:style>
  <w:style w:type="character" w:styleId="UnresolvedMention">
    <w:name w:val="Unresolved Mention"/>
    <w:basedOn w:val="DefaultParagraphFont"/>
    <w:uiPriority w:val="99"/>
    <w:semiHidden/>
    <w:unhideWhenUsed/>
    <w:rsid w:val="00F75FD4"/>
    <w:rPr>
      <w:color w:val="605E5C"/>
      <w:shd w:val="clear" w:color="auto" w:fill="E1DFDD"/>
    </w:rPr>
  </w:style>
  <w:style w:type="character" w:styleId="PlaceholderText">
    <w:name w:val="Placeholder Text"/>
    <w:basedOn w:val="DefaultParagraphFont"/>
    <w:uiPriority w:val="99"/>
    <w:semiHidden/>
    <w:rsid w:val="001F7629"/>
    <w:rPr>
      <w:color w:val="666666"/>
    </w:rPr>
  </w:style>
  <w:style w:type="character" w:customStyle="1" w:styleId="Heading1Char">
    <w:name w:val="Heading 1 Char"/>
    <w:basedOn w:val="DefaultParagraphFont"/>
    <w:link w:val="Heading1"/>
    <w:uiPriority w:val="1"/>
    <w:rsid w:val="007C485C"/>
    <w:rPr>
      <w:rFonts w:ascii="Calibri" w:hAnsi="Calibri" w:cs="Arial"/>
      <w:b/>
      <w:caps/>
      <w:sz w:val="32"/>
      <w:szCs w:val="24"/>
    </w:rPr>
  </w:style>
  <w:style w:type="character" w:customStyle="1" w:styleId="Heading3Char">
    <w:name w:val="Heading 3 Char"/>
    <w:basedOn w:val="DefaultParagraphFont"/>
    <w:link w:val="Heading3"/>
    <w:rsid w:val="007C485C"/>
    <w:rPr>
      <w:rFonts w:ascii="Calibri" w:hAnsi="Calibri" w:cs="Arial"/>
      <w:sz w:val="24"/>
      <w:szCs w:val="24"/>
      <w:u w:val="single"/>
    </w:rPr>
  </w:style>
  <w:style w:type="character" w:customStyle="1" w:styleId="Heading4Char">
    <w:name w:val="Heading 4 Char"/>
    <w:basedOn w:val="DefaultParagraphFont"/>
    <w:link w:val="Heading4"/>
    <w:rsid w:val="007C485C"/>
    <w:rPr>
      <w:rFonts w:ascii="Calibri" w:hAnsi="Calibri" w:cs="Arial"/>
      <w:b/>
      <w:bCs/>
      <w:i/>
      <w:sz w:val="26"/>
      <w:szCs w:val="28"/>
    </w:rPr>
  </w:style>
  <w:style w:type="character" w:customStyle="1" w:styleId="Heading5Char">
    <w:name w:val="Heading 5 Char"/>
    <w:basedOn w:val="DefaultParagraphFont"/>
    <w:link w:val="Heading5"/>
    <w:rsid w:val="007C485C"/>
    <w:rPr>
      <w:rFonts w:ascii="Calibri" w:hAnsi="Calibri" w:cs="Arial"/>
      <w:b/>
      <w:bCs/>
      <w:iCs/>
      <w:sz w:val="26"/>
      <w:szCs w:val="26"/>
    </w:rPr>
  </w:style>
  <w:style w:type="character" w:customStyle="1" w:styleId="Heading6Char">
    <w:name w:val="Heading 6 Char"/>
    <w:basedOn w:val="DefaultParagraphFont"/>
    <w:link w:val="Heading6"/>
    <w:rsid w:val="007C485C"/>
    <w:rPr>
      <w:rFonts w:ascii="Calibri" w:hAnsi="Calibri" w:cs="Arial"/>
      <w:b/>
      <w:bCs/>
      <w:i/>
      <w:sz w:val="24"/>
      <w:szCs w:val="24"/>
    </w:rPr>
  </w:style>
  <w:style w:type="paragraph" w:styleId="Quote">
    <w:name w:val="Quote"/>
    <w:basedOn w:val="Normal"/>
    <w:next w:val="Normal"/>
    <w:link w:val="QuoteChar"/>
    <w:uiPriority w:val="29"/>
    <w:qFormat/>
    <w:rsid w:val="007C485C"/>
    <w:pPr>
      <w:spacing w:before="160"/>
      <w:jc w:val="center"/>
    </w:pPr>
    <w:rPr>
      <w:i/>
      <w:iCs/>
      <w:color w:val="404040" w:themeColor="text1" w:themeTint="BF"/>
    </w:rPr>
  </w:style>
  <w:style w:type="character" w:customStyle="1" w:styleId="QuoteChar">
    <w:name w:val="Quote Char"/>
    <w:basedOn w:val="DefaultParagraphFont"/>
    <w:link w:val="Quote"/>
    <w:uiPriority w:val="29"/>
    <w:rsid w:val="007C485C"/>
    <w:rPr>
      <w:rFonts w:ascii="Calibri" w:hAnsi="Calibri" w:cs="Arial"/>
      <w:i/>
      <w:iCs/>
      <w:color w:val="404040" w:themeColor="text1" w:themeTint="BF"/>
      <w:sz w:val="24"/>
      <w:szCs w:val="24"/>
    </w:rPr>
  </w:style>
  <w:style w:type="paragraph" w:customStyle="1" w:styleId="3-SubsectionHeading">
    <w:name w:val="3-Subsection Heading"/>
    <w:basedOn w:val="Heading2"/>
    <w:next w:val="Normal"/>
    <w:link w:val="3-SubsectionHeadingChar"/>
    <w:qFormat/>
    <w:rsid w:val="00A92D1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92D10"/>
    <w:rPr>
      <w:rFonts w:asciiTheme="minorHAnsi" w:eastAsiaTheme="majorEastAsia" w:hAnsiTheme="minorHAnsi" w:cstheme="majorBidi"/>
      <w:b/>
      <w:i/>
      <w:snapToGrid/>
      <w:spacing w:val="5"/>
      <w:kern w:val="28"/>
      <w:sz w:val="28"/>
      <w:szCs w:val="36"/>
      <w:lang w:eastAsia="en-US"/>
    </w:rPr>
  </w:style>
  <w:style w:type="character" w:customStyle="1" w:styleId="ui-provider">
    <w:name w:val="ui-provider"/>
    <w:basedOn w:val="DefaultParagraphFont"/>
    <w:rsid w:val="0008034D"/>
  </w:style>
  <w:style w:type="character" w:styleId="Mention">
    <w:name w:val="Mention"/>
    <w:basedOn w:val="DefaultParagraphFont"/>
    <w:uiPriority w:val="99"/>
    <w:unhideWhenUsed/>
    <w:rsid w:val="005C17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4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0444774">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3421342">
      <w:bodyDiv w:val="1"/>
      <w:marLeft w:val="0"/>
      <w:marRight w:val="0"/>
      <w:marTop w:val="0"/>
      <w:marBottom w:val="0"/>
      <w:divBdr>
        <w:top w:val="none" w:sz="0" w:space="0" w:color="auto"/>
        <w:left w:val="none" w:sz="0" w:space="0" w:color="auto"/>
        <w:bottom w:val="none" w:sz="0" w:space="0" w:color="auto"/>
        <w:right w:val="none" w:sz="0" w:space="0" w:color="auto"/>
      </w:divBdr>
      <w:divsChild>
        <w:div w:id="271254165">
          <w:marLeft w:val="360"/>
          <w:marRight w:val="0"/>
          <w:marTop w:val="200"/>
          <w:marBottom w:val="0"/>
          <w:divBdr>
            <w:top w:val="none" w:sz="0" w:space="0" w:color="auto"/>
            <w:left w:val="none" w:sz="0" w:space="0" w:color="auto"/>
            <w:bottom w:val="none" w:sz="0" w:space="0" w:color="auto"/>
            <w:right w:val="none" w:sz="0" w:space="0" w:color="auto"/>
          </w:divBdr>
        </w:div>
      </w:divsChild>
    </w:div>
    <w:div w:id="208566163">
      <w:bodyDiv w:val="1"/>
      <w:marLeft w:val="0"/>
      <w:marRight w:val="0"/>
      <w:marTop w:val="0"/>
      <w:marBottom w:val="0"/>
      <w:divBdr>
        <w:top w:val="none" w:sz="0" w:space="0" w:color="auto"/>
        <w:left w:val="none" w:sz="0" w:space="0" w:color="auto"/>
        <w:bottom w:val="none" w:sz="0" w:space="0" w:color="auto"/>
        <w:right w:val="none" w:sz="0" w:space="0" w:color="auto"/>
      </w:divBdr>
    </w:div>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300161778">
      <w:bodyDiv w:val="1"/>
      <w:marLeft w:val="0"/>
      <w:marRight w:val="0"/>
      <w:marTop w:val="0"/>
      <w:marBottom w:val="0"/>
      <w:divBdr>
        <w:top w:val="none" w:sz="0" w:space="0" w:color="auto"/>
        <w:left w:val="none" w:sz="0" w:space="0" w:color="auto"/>
        <w:bottom w:val="none" w:sz="0" w:space="0" w:color="auto"/>
        <w:right w:val="none" w:sz="0" w:space="0" w:color="auto"/>
      </w:divBdr>
      <w:divsChild>
        <w:div w:id="387612077">
          <w:marLeft w:val="360"/>
          <w:marRight w:val="0"/>
          <w:marTop w:val="200"/>
          <w:marBottom w:val="0"/>
          <w:divBdr>
            <w:top w:val="none" w:sz="0" w:space="0" w:color="auto"/>
            <w:left w:val="none" w:sz="0" w:space="0" w:color="auto"/>
            <w:bottom w:val="none" w:sz="0" w:space="0" w:color="auto"/>
            <w:right w:val="none" w:sz="0" w:space="0" w:color="auto"/>
          </w:divBdr>
        </w:div>
      </w:divsChild>
    </w:div>
    <w:div w:id="30127619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9600084">
      <w:bodyDiv w:val="1"/>
      <w:marLeft w:val="0"/>
      <w:marRight w:val="0"/>
      <w:marTop w:val="0"/>
      <w:marBottom w:val="0"/>
      <w:divBdr>
        <w:top w:val="none" w:sz="0" w:space="0" w:color="auto"/>
        <w:left w:val="none" w:sz="0" w:space="0" w:color="auto"/>
        <w:bottom w:val="none" w:sz="0" w:space="0" w:color="auto"/>
        <w:right w:val="none" w:sz="0" w:space="0" w:color="auto"/>
      </w:divBdr>
      <w:divsChild>
        <w:div w:id="1757511673">
          <w:marLeft w:val="547"/>
          <w:marRight w:val="0"/>
          <w:marTop w:val="200"/>
          <w:marBottom w:val="120"/>
          <w:divBdr>
            <w:top w:val="none" w:sz="0" w:space="0" w:color="auto"/>
            <w:left w:val="none" w:sz="0" w:space="0" w:color="auto"/>
            <w:bottom w:val="none" w:sz="0" w:space="0" w:color="auto"/>
            <w:right w:val="none" w:sz="0" w:space="0" w:color="auto"/>
          </w:divBdr>
        </w:div>
      </w:divsChild>
    </w:div>
    <w:div w:id="520166795">
      <w:bodyDiv w:val="1"/>
      <w:marLeft w:val="0"/>
      <w:marRight w:val="0"/>
      <w:marTop w:val="0"/>
      <w:marBottom w:val="0"/>
      <w:divBdr>
        <w:top w:val="none" w:sz="0" w:space="0" w:color="auto"/>
        <w:left w:val="none" w:sz="0" w:space="0" w:color="auto"/>
        <w:bottom w:val="none" w:sz="0" w:space="0" w:color="auto"/>
        <w:right w:val="none" w:sz="0" w:space="0" w:color="auto"/>
      </w:divBdr>
    </w:div>
    <w:div w:id="688482837">
      <w:bodyDiv w:val="1"/>
      <w:marLeft w:val="0"/>
      <w:marRight w:val="0"/>
      <w:marTop w:val="0"/>
      <w:marBottom w:val="0"/>
      <w:divBdr>
        <w:top w:val="none" w:sz="0" w:space="0" w:color="auto"/>
        <w:left w:val="none" w:sz="0" w:space="0" w:color="auto"/>
        <w:bottom w:val="none" w:sz="0" w:space="0" w:color="auto"/>
        <w:right w:val="none" w:sz="0" w:space="0" w:color="auto"/>
      </w:divBdr>
      <w:divsChild>
        <w:div w:id="1264916560">
          <w:marLeft w:val="547"/>
          <w:marRight w:val="0"/>
          <w:marTop w:val="200"/>
          <w:marBottom w:val="120"/>
          <w:divBdr>
            <w:top w:val="none" w:sz="0" w:space="0" w:color="auto"/>
            <w:left w:val="none" w:sz="0" w:space="0" w:color="auto"/>
            <w:bottom w:val="none" w:sz="0" w:space="0" w:color="auto"/>
            <w:right w:val="none" w:sz="0" w:space="0" w:color="auto"/>
          </w:divBdr>
        </w:div>
        <w:div w:id="1371569972">
          <w:marLeft w:val="547"/>
          <w:marRight w:val="0"/>
          <w:marTop w:val="200"/>
          <w:marBottom w:val="120"/>
          <w:divBdr>
            <w:top w:val="none" w:sz="0" w:space="0" w:color="auto"/>
            <w:left w:val="none" w:sz="0" w:space="0" w:color="auto"/>
            <w:bottom w:val="none" w:sz="0" w:space="0" w:color="auto"/>
            <w:right w:val="none" w:sz="0" w:space="0" w:color="auto"/>
          </w:divBdr>
        </w:div>
        <w:div w:id="1773285824">
          <w:marLeft w:val="547"/>
          <w:marRight w:val="0"/>
          <w:marTop w:val="200"/>
          <w:marBottom w:val="120"/>
          <w:divBdr>
            <w:top w:val="none" w:sz="0" w:space="0" w:color="auto"/>
            <w:left w:val="none" w:sz="0" w:space="0" w:color="auto"/>
            <w:bottom w:val="none" w:sz="0" w:space="0" w:color="auto"/>
            <w:right w:val="none" w:sz="0" w:space="0" w:color="auto"/>
          </w:divBdr>
        </w:div>
      </w:divsChild>
    </w:div>
    <w:div w:id="82558688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3517417">
      <w:bodyDiv w:val="1"/>
      <w:marLeft w:val="0"/>
      <w:marRight w:val="0"/>
      <w:marTop w:val="0"/>
      <w:marBottom w:val="0"/>
      <w:divBdr>
        <w:top w:val="none" w:sz="0" w:space="0" w:color="auto"/>
        <w:left w:val="none" w:sz="0" w:space="0" w:color="auto"/>
        <w:bottom w:val="none" w:sz="0" w:space="0" w:color="auto"/>
        <w:right w:val="none" w:sz="0" w:space="0" w:color="auto"/>
      </w:divBdr>
    </w:div>
    <w:div w:id="958536897">
      <w:bodyDiv w:val="1"/>
      <w:marLeft w:val="0"/>
      <w:marRight w:val="0"/>
      <w:marTop w:val="0"/>
      <w:marBottom w:val="0"/>
      <w:divBdr>
        <w:top w:val="none" w:sz="0" w:space="0" w:color="auto"/>
        <w:left w:val="none" w:sz="0" w:space="0" w:color="auto"/>
        <w:bottom w:val="none" w:sz="0" w:space="0" w:color="auto"/>
        <w:right w:val="none" w:sz="0" w:space="0" w:color="auto"/>
      </w:divBdr>
    </w:div>
    <w:div w:id="980622474">
      <w:bodyDiv w:val="1"/>
      <w:marLeft w:val="0"/>
      <w:marRight w:val="0"/>
      <w:marTop w:val="0"/>
      <w:marBottom w:val="0"/>
      <w:divBdr>
        <w:top w:val="none" w:sz="0" w:space="0" w:color="auto"/>
        <w:left w:val="none" w:sz="0" w:space="0" w:color="auto"/>
        <w:bottom w:val="none" w:sz="0" w:space="0" w:color="auto"/>
        <w:right w:val="none" w:sz="0" w:space="0" w:color="auto"/>
      </w:divBdr>
      <w:divsChild>
        <w:div w:id="529875093">
          <w:marLeft w:val="360"/>
          <w:marRight w:val="0"/>
          <w:marTop w:val="200"/>
          <w:marBottom w:val="0"/>
          <w:divBdr>
            <w:top w:val="none" w:sz="0" w:space="0" w:color="auto"/>
            <w:left w:val="none" w:sz="0" w:space="0" w:color="auto"/>
            <w:bottom w:val="none" w:sz="0" w:space="0" w:color="auto"/>
            <w:right w:val="none" w:sz="0" w:space="0" w:color="auto"/>
          </w:divBdr>
        </w:div>
        <w:div w:id="679819442">
          <w:marLeft w:val="1080"/>
          <w:marRight w:val="0"/>
          <w:marTop w:val="100"/>
          <w:marBottom w:val="0"/>
          <w:divBdr>
            <w:top w:val="none" w:sz="0" w:space="0" w:color="auto"/>
            <w:left w:val="none" w:sz="0" w:space="0" w:color="auto"/>
            <w:bottom w:val="none" w:sz="0" w:space="0" w:color="auto"/>
            <w:right w:val="none" w:sz="0" w:space="0" w:color="auto"/>
          </w:divBdr>
        </w:div>
        <w:div w:id="977148927">
          <w:marLeft w:val="1080"/>
          <w:marRight w:val="0"/>
          <w:marTop w:val="100"/>
          <w:marBottom w:val="0"/>
          <w:divBdr>
            <w:top w:val="none" w:sz="0" w:space="0" w:color="auto"/>
            <w:left w:val="none" w:sz="0" w:space="0" w:color="auto"/>
            <w:bottom w:val="none" w:sz="0" w:space="0" w:color="auto"/>
            <w:right w:val="none" w:sz="0" w:space="0" w:color="auto"/>
          </w:divBdr>
        </w:div>
        <w:div w:id="1099831146">
          <w:marLeft w:val="360"/>
          <w:marRight w:val="0"/>
          <w:marTop w:val="200"/>
          <w:marBottom w:val="0"/>
          <w:divBdr>
            <w:top w:val="none" w:sz="0" w:space="0" w:color="auto"/>
            <w:left w:val="none" w:sz="0" w:space="0" w:color="auto"/>
            <w:bottom w:val="none" w:sz="0" w:space="0" w:color="auto"/>
            <w:right w:val="none" w:sz="0" w:space="0" w:color="auto"/>
          </w:divBdr>
        </w:div>
        <w:div w:id="1371108131">
          <w:marLeft w:val="360"/>
          <w:marRight w:val="0"/>
          <w:marTop w:val="200"/>
          <w:marBottom w:val="0"/>
          <w:divBdr>
            <w:top w:val="none" w:sz="0" w:space="0" w:color="auto"/>
            <w:left w:val="none" w:sz="0" w:space="0" w:color="auto"/>
            <w:bottom w:val="none" w:sz="0" w:space="0" w:color="auto"/>
            <w:right w:val="none" w:sz="0" w:space="0" w:color="auto"/>
          </w:divBdr>
        </w:div>
        <w:div w:id="2100788361">
          <w:marLeft w:val="1080"/>
          <w:marRight w:val="0"/>
          <w:marTop w:val="100"/>
          <w:marBottom w:val="0"/>
          <w:divBdr>
            <w:top w:val="none" w:sz="0" w:space="0" w:color="auto"/>
            <w:left w:val="none" w:sz="0" w:space="0" w:color="auto"/>
            <w:bottom w:val="none" w:sz="0" w:space="0" w:color="auto"/>
            <w:right w:val="none" w:sz="0" w:space="0" w:color="auto"/>
          </w:divBdr>
        </w:div>
      </w:divsChild>
    </w:div>
    <w:div w:id="985664672">
      <w:bodyDiv w:val="1"/>
      <w:marLeft w:val="0"/>
      <w:marRight w:val="0"/>
      <w:marTop w:val="0"/>
      <w:marBottom w:val="0"/>
      <w:divBdr>
        <w:top w:val="none" w:sz="0" w:space="0" w:color="auto"/>
        <w:left w:val="none" w:sz="0" w:space="0" w:color="auto"/>
        <w:bottom w:val="none" w:sz="0" w:space="0" w:color="auto"/>
        <w:right w:val="none" w:sz="0" w:space="0" w:color="auto"/>
      </w:divBdr>
    </w:div>
    <w:div w:id="989360259">
      <w:bodyDiv w:val="1"/>
      <w:marLeft w:val="0"/>
      <w:marRight w:val="0"/>
      <w:marTop w:val="0"/>
      <w:marBottom w:val="0"/>
      <w:divBdr>
        <w:top w:val="none" w:sz="0" w:space="0" w:color="auto"/>
        <w:left w:val="none" w:sz="0" w:space="0" w:color="auto"/>
        <w:bottom w:val="none" w:sz="0" w:space="0" w:color="auto"/>
        <w:right w:val="none" w:sz="0" w:space="0" w:color="auto"/>
      </w:divBdr>
    </w:div>
    <w:div w:id="1036584847">
      <w:bodyDiv w:val="1"/>
      <w:marLeft w:val="0"/>
      <w:marRight w:val="0"/>
      <w:marTop w:val="0"/>
      <w:marBottom w:val="0"/>
      <w:divBdr>
        <w:top w:val="none" w:sz="0" w:space="0" w:color="auto"/>
        <w:left w:val="none" w:sz="0" w:space="0" w:color="auto"/>
        <w:bottom w:val="none" w:sz="0" w:space="0" w:color="auto"/>
        <w:right w:val="none" w:sz="0" w:space="0" w:color="auto"/>
      </w:divBdr>
      <w:divsChild>
        <w:div w:id="1641809445">
          <w:marLeft w:val="360"/>
          <w:marRight w:val="0"/>
          <w:marTop w:val="200"/>
          <w:marBottom w:val="0"/>
          <w:divBdr>
            <w:top w:val="none" w:sz="0" w:space="0" w:color="auto"/>
            <w:left w:val="none" w:sz="0" w:space="0" w:color="auto"/>
            <w:bottom w:val="none" w:sz="0" w:space="0" w:color="auto"/>
            <w:right w:val="none" w:sz="0" w:space="0" w:color="auto"/>
          </w:divBdr>
        </w:div>
      </w:divsChild>
    </w:div>
    <w:div w:id="1036931594">
      <w:bodyDiv w:val="1"/>
      <w:marLeft w:val="0"/>
      <w:marRight w:val="0"/>
      <w:marTop w:val="0"/>
      <w:marBottom w:val="0"/>
      <w:divBdr>
        <w:top w:val="none" w:sz="0" w:space="0" w:color="auto"/>
        <w:left w:val="none" w:sz="0" w:space="0" w:color="auto"/>
        <w:bottom w:val="none" w:sz="0" w:space="0" w:color="auto"/>
        <w:right w:val="none" w:sz="0" w:space="0" w:color="auto"/>
      </w:divBdr>
    </w:div>
    <w:div w:id="1061292778">
      <w:bodyDiv w:val="1"/>
      <w:marLeft w:val="0"/>
      <w:marRight w:val="0"/>
      <w:marTop w:val="0"/>
      <w:marBottom w:val="0"/>
      <w:divBdr>
        <w:top w:val="none" w:sz="0" w:space="0" w:color="auto"/>
        <w:left w:val="none" w:sz="0" w:space="0" w:color="auto"/>
        <w:bottom w:val="none" w:sz="0" w:space="0" w:color="auto"/>
        <w:right w:val="none" w:sz="0" w:space="0" w:color="auto"/>
      </w:divBdr>
    </w:div>
    <w:div w:id="1119252325">
      <w:bodyDiv w:val="1"/>
      <w:marLeft w:val="0"/>
      <w:marRight w:val="0"/>
      <w:marTop w:val="0"/>
      <w:marBottom w:val="0"/>
      <w:divBdr>
        <w:top w:val="none" w:sz="0" w:space="0" w:color="auto"/>
        <w:left w:val="none" w:sz="0" w:space="0" w:color="auto"/>
        <w:bottom w:val="none" w:sz="0" w:space="0" w:color="auto"/>
        <w:right w:val="none" w:sz="0" w:space="0" w:color="auto"/>
      </w:divBdr>
    </w:div>
    <w:div w:id="1137799141">
      <w:bodyDiv w:val="1"/>
      <w:marLeft w:val="0"/>
      <w:marRight w:val="0"/>
      <w:marTop w:val="0"/>
      <w:marBottom w:val="0"/>
      <w:divBdr>
        <w:top w:val="none" w:sz="0" w:space="0" w:color="auto"/>
        <w:left w:val="none" w:sz="0" w:space="0" w:color="auto"/>
        <w:bottom w:val="none" w:sz="0" w:space="0" w:color="auto"/>
        <w:right w:val="none" w:sz="0" w:space="0" w:color="auto"/>
      </w:divBdr>
    </w:div>
    <w:div w:id="115317810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20422367">
      <w:bodyDiv w:val="1"/>
      <w:marLeft w:val="0"/>
      <w:marRight w:val="0"/>
      <w:marTop w:val="0"/>
      <w:marBottom w:val="0"/>
      <w:divBdr>
        <w:top w:val="none" w:sz="0" w:space="0" w:color="auto"/>
        <w:left w:val="none" w:sz="0" w:space="0" w:color="auto"/>
        <w:bottom w:val="none" w:sz="0" w:space="0" w:color="auto"/>
        <w:right w:val="none" w:sz="0" w:space="0" w:color="auto"/>
      </w:divBdr>
    </w:div>
    <w:div w:id="1571889795">
      <w:bodyDiv w:val="1"/>
      <w:marLeft w:val="0"/>
      <w:marRight w:val="0"/>
      <w:marTop w:val="0"/>
      <w:marBottom w:val="0"/>
      <w:divBdr>
        <w:top w:val="none" w:sz="0" w:space="0" w:color="auto"/>
        <w:left w:val="none" w:sz="0" w:space="0" w:color="auto"/>
        <w:bottom w:val="none" w:sz="0" w:space="0" w:color="auto"/>
        <w:right w:val="none" w:sz="0" w:space="0" w:color="auto"/>
      </w:divBdr>
    </w:div>
    <w:div w:id="1643466778">
      <w:bodyDiv w:val="1"/>
      <w:marLeft w:val="0"/>
      <w:marRight w:val="0"/>
      <w:marTop w:val="0"/>
      <w:marBottom w:val="0"/>
      <w:divBdr>
        <w:top w:val="none" w:sz="0" w:space="0" w:color="auto"/>
        <w:left w:val="none" w:sz="0" w:space="0" w:color="auto"/>
        <w:bottom w:val="none" w:sz="0" w:space="0" w:color="auto"/>
        <w:right w:val="none" w:sz="0" w:space="0" w:color="auto"/>
      </w:divBdr>
      <w:divsChild>
        <w:div w:id="1983532574">
          <w:marLeft w:val="360"/>
          <w:marRight w:val="0"/>
          <w:marTop w:val="200"/>
          <w:marBottom w:val="0"/>
          <w:divBdr>
            <w:top w:val="none" w:sz="0" w:space="0" w:color="auto"/>
            <w:left w:val="none" w:sz="0" w:space="0" w:color="auto"/>
            <w:bottom w:val="none" w:sz="0" w:space="0" w:color="auto"/>
            <w:right w:val="none" w:sz="0" w:space="0" w:color="auto"/>
          </w:divBdr>
        </w:div>
      </w:divsChild>
    </w:div>
    <w:div w:id="1692565410">
      <w:bodyDiv w:val="1"/>
      <w:marLeft w:val="0"/>
      <w:marRight w:val="0"/>
      <w:marTop w:val="0"/>
      <w:marBottom w:val="0"/>
      <w:divBdr>
        <w:top w:val="none" w:sz="0" w:space="0" w:color="auto"/>
        <w:left w:val="none" w:sz="0" w:space="0" w:color="auto"/>
        <w:bottom w:val="none" w:sz="0" w:space="0" w:color="auto"/>
        <w:right w:val="none" w:sz="0" w:space="0" w:color="auto"/>
      </w:divBdr>
    </w:div>
    <w:div w:id="1709184396">
      <w:bodyDiv w:val="1"/>
      <w:marLeft w:val="0"/>
      <w:marRight w:val="0"/>
      <w:marTop w:val="0"/>
      <w:marBottom w:val="0"/>
      <w:divBdr>
        <w:top w:val="none" w:sz="0" w:space="0" w:color="auto"/>
        <w:left w:val="none" w:sz="0" w:space="0" w:color="auto"/>
        <w:bottom w:val="none" w:sz="0" w:space="0" w:color="auto"/>
        <w:right w:val="none" w:sz="0" w:space="0" w:color="auto"/>
      </w:divBdr>
      <w:divsChild>
        <w:div w:id="1494948685">
          <w:marLeft w:val="1080"/>
          <w:marRight w:val="0"/>
          <w:marTop w:val="100"/>
          <w:marBottom w:val="0"/>
          <w:divBdr>
            <w:top w:val="none" w:sz="0" w:space="0" w:color="auto"/>
            <w:left w:val="none" w:sz="0" w:space="0" w:color="auto"/>
            <w:bottom w:val="none" w:sz="0" w:space="0" w:color="auto"/>
            <w:right w:val="none" w:sz="0" w:space="0" w:color="auto"/>
          </w:divBdr>
        </w:div>
      </w:divsChild>
    </w:div>
    <w:div w:id="1789205508">
      <w:bodyDiv w:val="1"/>
      <w:marLeft w:val="0"/>
      <w:marRight w:val="0"/>
      <w:marTop w:val="0"/>
      <w:marBottom w:val="0"/>
      <w:divBdr>
        <w:top w:val="none" w:sz="0" w:space="0" w:color="auto"/>
        <w:left w:val="none" w:sz="0" w:space="0" w:color="auto"/>
        <w:bottom w:val="none" w:sz="0" w:space="0" w:color="auto"/>
        <w:right w:val="none" w:sz="0" w:space="0" w:color="auto"/>
      </w:divBdr>
      <w:divsChild>
        <w:div w:id="648827172">
          <w:marLeft w:val="1080"/>
          <w:marRight w:val="0"/>
          <w:marTop w:val="100"/>
          <w:marBottom w:val="0"/>
          <w:divBdr>
            <w:top w:val="none" w:sz="0" w:space="0" w:color="auto"/>
            <w:left w:val="none" w:sz="0" w:space="0" w:color="auto"/>
            <w:bottom w:val="none" w:sz="0" w:space="0" w:color="auto"/>
            <w:right w:val="none" w:sz="0" w:space="0" w:color="auto"/>
          </w:divBdr>
        </w:div>
      </w:divsChild>
    </w:div>
    <w:div w:id="1792283430">
      <w:bodyDiv w:val="1"/>
      <w:marLeft w:val="0"/>
      <w:marRight w:val="0"/>
      <w:marTop w:val="0"/>
      <w:marBottom w:val="0"/>
      <w:divBdr>
        <w:top w:val="none" w:sz="0" w:space="0" w:color="auto"/>
        <w:left w:val="none" w:sz="0" w:space="0" w:color="auto"/>
        <w:bottom w:val="none" w:sz="0" w:space="0" w:color="auto"/>
        <w:right w:val="none" w:sz="0" w:space="0" w:color="auto"/>
      </w:divBdr>
    </w:div>
    <w:div w:id="1832601421">
      <w:bodyDiv w:val="1"/>
      <w:marLeft w:val="0"/>
      <w:marRight w:val="0"/>
      <w:marTop w:val="0"/>
      <w:marBottom w:val="0"/>
      <w:divBdr>
        <w:top w:val="none" w:sz="0" w:space="0" w:color="auto"/>
        <w:left w:val="none" w:sz="0" w:space="0" w:color="auto"/>
        <w:bottom w:val="none" w:sz="0" w:space="0" w:color="auto"/>
        <w:right w:val="none" w:sz="0" w:space="0" w:color="auto"/>
      </w:divBdr>
      <w:divsChild>
        <w:div w:id="136380452">
          <w:marLeft w:val="360"/>
          <w:marRight w:val="0"/>
          <w:marTop w:val="200"/>
          <w:marBottom w:val="0"/>
          <w:divBdr>
            <w:top w:val="none" w:sz="0" w:space="0" w:color="auto"/>
            <w:left w:val="none" w:sz="0" w:space="0" w:color="auto"/>
            <w:bottom w:val="none" w:sz="0" w:space="0" w:color="auto"/>
            <w:right w:val="none" w:sz="0" w:space="0" w:color="auto"/>
          </w:divBdr>
        </w:div>
      </w:divsChild>
    </w:div>
    <w:div w:id="1915122222">
      <w:bodyDiv w:val="1"/>
      <w:marLeft w:val="0"/>
      <w:marRight w:val="0"/>
      <w:marTop w:val="0"/>
      <w:marBottom w:val="0"/>
      <w:divBdr>
        <w:top w:val="none" w:sz="0" w:space="0" w:color="auto"/>
        <w:left w:val="none" w:sz="0" w:space="0" w:color="auto"/>
        <w:bottom w:val="none" w:sz="0" w:space="0" w:color="auto"/>
        <w:right w:val="none" w:sz="0" w:space="0" w:color="auto"/>
      </w:divBdr>
    </w:div>
    <w:div w:id="193149877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31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5585/mmwr.mm7240a2" TargetMode="External"/><Relationship Id="rId1" Type="http://schemas.openxmlformats.org/officeDocument/2006/relationships/hyperlink" Target="https://www.health.gov.au/resources/publications/atagi-statement-on-the-clinical-use-of-arexvy-rsv-pre-f3-vaccine-for-rsv?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5E32-3658-41E2-B05D-F18201F023E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61</Pages>
  <Words>25391</Words>
  <Characters>135108</Characters>
  <Application>Microsoft Office Word</Application>
  <DocSecurity>0</DocSecurity>
  <Lines>1125</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160179</CharactersWithSpaces>
  <SharedDoc>false</SharedDoc>
  <HLinks>
    <vt:vector size="12" baseType="variant">
      <vt:variant>
        <vt:i4>6619240</vt:i4>
      </vt:variant>
      <vt:variant>
        <vt:i4>3</vt:i4>
      </vt:variant>
      <vt:variant>
        <vt:i4>0</vt:i4>
      </vt:variant>
      <vt:variant>
        <vt:i4>5</vt:i4>
      </vt:variant>
      <vt:variant>
        <vt:lpwstr>https://doi.org/10.15585/mmwr.mm7240a2</vt:lpwstr>
      </vt:variant>
      <vt:variant>
        <vt:lpwstr/>
      </vt:variant>
      <vt:variant>
        <vt:i4>64</vt:i4>
      </vt:variant>
      <vt:variant>
        <vt:i4>0</vt:i4>
      </vt:variant>
      <vt:variant>
        <vt:i4>0</vt:i4>
      </vt:variant>
      <vt:variant>
        <vt:i4>5</vt:i4>
      </vt:variant>
      <vt:variant>
        <vt:lpwstr>https://www.health.gov.au/resources/publications/atagi-statement-on-the-clinical-use-of-arexvy-rsv-pre-f3-vaccine-for-rsv?language=en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2024-10-25T04:53:00Z</dcterms:created>
  <dcterms:modified xsi:type="dcterms:W3CDTF">2024-11-15T00:45:00Z</dcterms:modified>
</cp:coreProperties>
</file>