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6701A" w14:textId="4CE549C1" w:rsidR="00B60939" w:rsidRPr="00C61670" w:rsidRDefault="00D723E4" w:rsidP="007A4E5B">
      <w:pPr>
        <w:pStyle w:val="1-MainHeading"/>
      </w:pPr>
      <w:bookmarkStart w:id="0" w:name="_Toc167202911"/>
      <w:r w:rsidRPr="00C61670">
        <w:t>6.</w:t>
      </w:r>
      <w:r w:rsidR="000C4B4B">
        <w:t>0</w:t>
      </w:r>
      <w:r w:rsidRPr="00C61670">
        <w:t>4</w:t>
      </w:r>
      <w:r w:rsidR="00163F66" w:rsidRPr="00C61670">
        <w:tab/>
      </w:r>
      <w:r w:rsidR="007A4E5B" w:rsidRPr="00C61670">
        <w:t>RISDIPLAM,</w:t>
      </w:r>
      <w:r w:rsidR="007A4E5B" w:rsidRPr="00C61670">
        <w:br/>
        <w:t xml:space="preserve">Powder for oral solution </w:t>
      </w:r>
      <w:r w:rsidRPr="00C61670">
        <w:t>750</w:t>
      </w:r>
      <w:r w:rsidR="007A4E5B" w:rsidRPr="00C61670">
        <w:t xml:space="preserve"> m</w:t>
      </w:r>
      <w:r w:rsidRPr="00C61670">
        <w:t>icrograms</w:t>
      </w:r>
      <w:r w:rsidR="007A4E5B" w:rsidRPr="00C61670">
        <w:t xml:space="preserve"> per mL,</w:t>
      </w:r>
      <w:r w:rsidR="007A4E5B" w:rsidRPr="00C61670">
        <w:br/>
        <w:t>80 mL,</w:t>
      </w:r>
      <w:r w:rsidR="007A4E5B" w:rsidRPr="00C61670">
        <w:br/>
        <w:t>Evrysdi</w:t>
      </w:r>
      <w:r w:rsidR="007A4E5B" w:rsidRPr="00C61670">
        <w:rPr>
          <w:vertAlign w:val="superscript"/>
        </w:rPr>
        <w:t>®</w:t>
      </w:r>
      <w:r w:rsidR="007A4E5B" w:rsidRPr="00C61670">
        <w:t>,</w:t>
      </w:r>
      <w:r w:rsidR="007A4E5B" w:rsidRPr="00C61670">
        <w:br/>
        <w:t>Roche Products Pty Ltd.</w:t>
      </w:r>
      <w:bookmarkEnd w:id="0"/>
    </w:p>
    <w:p w14:paraId="46851CF3" w14:textId="77777777" w:rsidR="0007132E" w:rsidRPr="00C61670" w:rsidRDefault="0007132E" w:rsidP="0007132E">
      <w:pPr>
        <w:pStyle w:val="2-SectionHeading"/>
      </w:pPr>
      <w:bookmarkStart w:id="1" w:name="_Toc167202913"/>
      <w:r w:rsidRPr="00C61670">
        <w:t>Purpose of submission</w:t>
      </w:r>
      <w:bookmarkEnd w:id="1"/>
    </w:p>
    <w:p w14:paraId="7BB47CA0" w14:textId="42AC4723" w:rsidR="0007132E" w:rsidRPr="00C61670" w:rsidRDefault="0007132E" w:rsidP="0007132E">
      <w:pPr>
        <w:pStyle w:val="3-BodyText"/>
      </w:pPr>
      <w:r w:rsidRPr="00C61670">
        <w:t xml:space="preserve">The </w:t>
      </w:r>
      <w:r w:rsidR="00790CD4">
        <w:t>Category 2 submission</w:t>
      </w:r>
      <w:r w:rsidRPr="00C61670">
        <w:t xml:space="preserve"> requested Section 100 (Highly Specialised Drugs Program) Authority Required (Written) listing for the treatment of patients with confirmed genetic diagnosis of </w:t>
      </w:r>
      <w:r w:rsidR="001978FC" w:rsidRPr="00C61670">
        <w:t xml:space="preserve">spinal muscular atrophy (SMA) </w:t>
      </w:r>
      <w:r w:rsidRPr="00C61670">
        <w:t>(</w:t>
      </w:r>
      <w:r w:rsidRPr="008410A8">
        <w:rPr>
          <w:i/>
          <w:iCs/>
        </w:rPr>
        <w:t>SM</w:t>
      </w:r>
      <w:r w:rsidR="008410A8" w:rsidRPr="008410A8">
        <w:rPr>
          <w:i/>
          <w:iCs/>
        </w:rPr>
        <w:t>N</w:t>
      </w:r>
      <w:r w:rsidRPr="008410A8">
        <w:rPr>
          <w:i/>
          <w:iCs/>
        </w:rPr>
        <w:t>1</w:t>
      </w:r>
      <w:r w:rsidRPr="00C61670">
        <w:t xml:space="preserve"> deletion or mutation) who have a </w:t>
      </w:r>
      <w:r w:rsidRPr="00C61670">
        <w:rPr>
          <w:i/>
          <w:iCs/>
        </w:rPr>
        <w:t>SMN2</w:t>
      </w:r>
      <w:r w:rsidRPr="00C61670">
        <w:t xml:space="preserve"> gene copy number of three</w:t>
      </w:r>
      <w:r w:rsidRPr="00C61670">
        <w:rPr>
          <w:color w:val="000000"/>
          <w:sz w:val="27"/>
          <w:szCs w:val="27"/>
        </w:rPr>
        <w:t>.</w:t>
      </w:r>
    </w:p>
    <w:p w14:paraId="561E0AF9" w14:textId="200454A3" w:rsidR="0007132E" w:rsidRPr="00C61670" w:rsidRDefault="0007132E" w:rsidP="0007132E">
      <w:pPr>
        <w:pStyle w:val="3-BodyText"/>
      </w:pPr>
      <w:r w:rsidRPr="00C61670">
        <w:t xml:space="preserve">Listing was requested </w:t>
      </w:r>
      <w:proofErr w:type="gramStart"/>
      <w:r w:rsidRPr="00C61670">
        <w:t>on the basis of</w:t>
      </w:r>
      <w:proofErr w:type="gramEnd"/>
      <w:r w:rsidRPr="00C61670">
        <w:t xml:space="preserve"> a cost-minimisation approach </w:t>
      </w:r>
      <w:r w:rsidR="003E3FD6">
        <w:t xml:space="preserve">(CMA) </w:t>
      </w:r>
      <w:r w:rsidRPr="00C61670">
        <w:t xml:space="preserve">versus nusinersen. </w:t>
      </w:r>
      <w:r w:rsidRPr="00C61670">
        <w:fldChar w:fldCharType="begin" w:fldLock="1"/>
      </w:r>
      <w:r w:rsidRPr="00C61670">
        <w:instrText xml:space="preserve"> REF _Ref165652279 \h </w:instrText>
      </w:r>
      <w:r w:rsidRPr="00C61670">
        <w:fldChar w:fldCharType="separate"/>
      </w:r>
      <w:r w:rsidR="00AA25E7" w:rsidRPr="00C61670">
        <w:t xml:space="preserve">Table </w:t>
      </w:r>
      <w:r w:rsidR="00AA25E7">
        <w:rPr>
          <w:noProof/>
        </w:rPr>
        <w:t>1</w:t>
      </w:r>
      <w:r w:rsidRPr="00C61670">
        <w:fldChar w:fldCharType="end"/>
      </w:r>
      <w:r w:rsidRPr="00C61670">
        <w:t xml:space="preserve"> provides a summary of the key components of the </w:t>
      </w:r>
      <w:r w:rsidR="0007089E">
        <w:t>submission</w:t>
      </w:r>
      <w:r w:rsidRPr="00C61670">
        <w:t>.</w:t>
      </w:r>
    </w:p>
    <w:p w14:paraId="5997CE3E" w14:textId="62F88863" w:rsidR="0007132E" w:rsidRPr="00C61670" w:rsidRDefault="0007132E" w:rsidP="006A7E33">
      <w:pPr>
        <w:pStyle w:val="Caption"/>
        <w:rPr>
          <w:rStyle w:val="CommentReference"/>
          <w:b/>
          <w:szCs w:val="24"/>
        </w:rPr>
      </w:pPr>
      <w:bookmarkStart w:id="2" w:name="_Ref165652279"/>
      <w:r w:rsidRPr="00C61670">
        <w:t xml:space="preserve">Table </w:t>
      </w:r>
      <w:r w:rsidR="002906A9">
        <w:fldChar w:fldCharType="begin" w:fldLock="1"/>
      </w:r>
      <w:r w:rsidR="002906A9">
        <w:instrText xml:space="preserve"> SEQ Table \* ARABIC </w:instrText>
      </w:r>
      <w:r w:rsidR="002906A9">
        <w:fldChar w:fldCharType="separate"/>
      </w:r>
      <w:r w:rsidR="00AA25E7">
        <w:rPr>
          <w:noProof/>
        </w:rPr>
        <w:t>1</w:t>
      </w:r>
      <w:r w:rsidR="002906A9">
        <w:rPr>
          <w:noProof/>
        </w:rPr>
        <w:fldChar w:fldCharType="end"/>
      </w:r>
      <w:bookmarkEnd w:id="2"/>
      <w:r w:rsidRPr="00C61670">
        <w:t>:</w:t>
      </w:r>
      <w:r w:rsidRPr="00C61670">
        <w:rPr>
          <w:rStyle w:val="CommentReference"/>
          <w:b/>
          <w:szCs w:val="24"/>
        </w:rPr>
        <w:t xml:space="preserve"> Key components of the clinical issue addressed by the </w:t>
      </w:r>
      <w:r w:rsidR="0007089E">
        <w:rPr>
          <w:rStyle w:val="CommentReference"/>
          <w:b/>
          <w:szCs w:val="24"/>
        </w:rPr>
        <w:t>submission</w:t>
      </w:r>
      <w:r w:rsidRPr="00C61670">
        <w:rPr>
          <w:rStyle w:val="CommentReference"/>
          <w:b/>
          <w:szCs w:val="24"/>
        </w:rPr>
        <w:t xml:space="preserve"> (as stated in the </w:t>
      </w:r>
      <w:r w:rsidR="0007089E">
        <w:rPr>
          <w:rStyle w:val="CommentReference"/>
          <w:b/>
          <w:szCs w:val="24"/>
        </w:rPr>
        <w:t>submission</w:t>
      </w:r>
      <w:r w:rsidRPr="00C61670">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183"/>
        <w:gridCol w:w="7834"/>
      </w:tblGrid>
      <w:tr w:rsidR="0007132E" w:rsidRPr="00C61670" w14:paraId="7623BE5A" w14:textId="77777777" w:rsidTr="00AA0FE0">
        <w:trPr>
          <w:cantSplit/>
          <w:tblHeader/>
        </w:trPr>
        <w:tc>
          <w:tcPr>
            <w:tcW w:w="656" w:type="pct"/>
            <w:vAlign w:val="center"/>
          </w:tcPr>
          <w:p w14:paraId="2FD00DEC" w14:textId="77777777" w:rsidR="0007132E" w:rsidRPr="00C61670" w:rsidRDefault="0007132E" w:rsidP="006A7E33">
            <w:pPr>
              <w:pStyle w:val="In-tableHeading"/>
              <w:keepLines/>
              <w:rPr>
                <w:lang w:val="en-AU"/>
              </w:rPr>
            </w:pPr>
            <w:r w:rsidRPr="00C61670">
              <w:rPr>
                <w:lang w:val="en-AU"/>
              </w:rPr>
              <w:t>Component</w:t>
            </w:r>
          </w:p>
        </w:tc>
        <w:tc>
          <w:tcPr>
            <w:tcW w:w="4344" w:type="pct"/>
          </w:tcPr>
          <w:p w14:paraId="5BB2D1B4" w14:textId="77777777" w:rsidR="0007132E" w:rsidRPr="00C61670" w:rsidRDefault="0007132E" w:rsidP="006A7E33">
            <w:pPr>
              <w:pStyle w:val="In-tableHeading"/>
              <w:keepLines/>
              <w:rPr>
                <w:lang w:val="en-AU"/>
              </w:rPr>
            </w:pPr>
            <w:r w:rsidRPr="00C61670">
              <w:rPr>
                <w:lang w:val="en-AU"/>
              </w:rPr>
              <w:t>Description</w:t>
            </w:r>
          </w:p>
        </w:tc>
      </w:tr>
      <w:tr w:rsidR="0007132E" w:rsidRPr="00C61670" w14:paraId="753E1F8D" w14:textId="77777777" w:rsidTr="00AA0FE0">
        <w:trPr>
          <w:cantSplit/>
        </w:trPr>
        <w:tc>
          <w:tcPr>
            <w:tcW w:w="656" w:type="pct"/>
            <w:vAlign w:val="center"/>
          </w:tcPr>
          <w:p w14:paraId="544A8C56" w14:textId="77777777" w:rsidR="0007132E" w:rsidRPr="00C61670" w:rsidRDefault="0007132E" w:rsidP="006A7E33">
            <w:pPr>
              <w:pStyle w:val="TableText0"/>
              <w:keepLines/>
            </w:pPr>
            <w:r w:rsidRPr="00C61670">
              <w:t>Population</w:t>
            </w:r>
          </w:p>
        </w:tc>
        <w:tc>
          <w:tcPr>
            <w:tcW w:w="4344" w:type="pct"/>
          </w:tcPr>
          <w:p w14:paraId="4AF6B302" w14:textId="77777777" w:rsidR="0007132E" w:rsidRPr="00C61670" w:rsidRDefault="0007132E" w:rsidP="006A7E33">
            <w:pPr>
              <w:pStyle w:val="TableText0"/>
              <w:keepLines/>
            </w:pPr>
            <w:r w:rsidRPr="00C61670">
              <w:t>Patients with confirmed genetic diagnosis of SMA (</w:t>
            </w:r>
            <w:r w:rsidRPr="00C61670">
              <w:rPr>
                <w:i/>
                <w:iCs/>
              </w:rPr>
              <w:t>SMN1</w:t>
            </w:r>
            <w:r w:rsidRPr="00C61670">
              <w:t xml:space="preserve"> deletion or mutation) who have an </w:t>
            </w:r>
            <w:r w:rsidRPr="00C61670">
              <w:rPr>
                <w:i/>
                <w:iCs/>
              </w:rPr>
              <w:t>SMN2</w:t>
            </w:r>
            <w:r w:rsidRPr="00C61670">
              <w:t xml:space="preserve"> gene copy number of 3 </w:t>
            </w:r>
            <w:r w:rsidRPr="00C61670">
              <w:rPr>
                <w:vertAlign w:val="superscript"/>
              </w:rPr>
              <w:t>a</w:t>
            </w:r>
          </w:p>
        </w:tc>
      </w:tr>
      <w:tr w:rsidR="0007132E" w:rsidRPr="00C61670" w14:paraId="25C4B176" w14:textId="77777777" w:rsidTr="00AA0FE0">
        <w:trPr>
          <w:cantSplit/>
        </w:trPr>
        <w:tc>
          <w:tcPr>
            <w:tcW w:w="656" w:type="pct"/>
            <w:vAlign w:val="center"/>
          </w:tcPr>
          <w:p w14:paraId="6B4D5D87" w14:textId="77777777" w:rsidR="0007132E" w:rsidRPr="00C61670" w:rsidRDefault="0007132E" w:rsidP="006A7E33">
            <w:pPr>
              <w:pStyle w:val="TableText0"/>
              <w:keepLines/>
            </w:pPr>
            <w:r w:rsidRPr="00C61670">
              <w:t>Intervention</w:t>
            </w:r>
          </w:p>
        </w:tc>
        <w:tc>
          <w:tcPr>
            <w:tcW w:w="4344" w:type="pct"/>
          </w:tcPr>
          <w:p w14:paraId="120A073F" w14:textId="77777777" w:rsidR="0007132E" w:rsidRPr="00C61670" w:rsidRDefault="0007132E" w:rsidP="006A7E33">
            <w:pPr>
              <w:pStyle w:val="TableText0"/>
              <w:keepLines/>
            </w:pPr>
            <w:r w:rsidRPr="00C61670">
              <w:t xml:space="preserve">Risdiplam solution administered orally as chronic treatment </w:t>
            </w:r>
            <w:r w:rsidRPr="00C61670">
              <w:rPr>
                <w:vertAlign w:val="superscript"/>
              </w:rPr>
              <w:t>b</w:t>
            </w:r>
          </w:p>
        </w:tc>
      </w:tr>
      <w:tr w:rsidR="0007132E" w:rsidRPr="00C61670" w14:paraId="7E051617" w14:textId="77777777" w:rsidTr="00AA0FE0">
        <w:trPr>
          <w:cantSplit/>
        </w:trPr>
        <w:tc>
          <w:tcPr>
            <w:tcW w:w="656" w:type="pct"/>
            <w:vAlign w:val="center"/>
          </w:tcPr>
          <w:p w14:paraId="05D8D0D7" w14:textId="77777777" w:rsidR="0007132E" w:rsidRPr="00C61670" w:rsidRDefault="0007132E" w:rsidP="006A7E33">
            <w:pPr>
              <w:pStyle w:val="TableText0"/>
              <w:keepLines/>
            </w:pPr>
            <w:r w:rsidRPr="00C61670">
              <w:t>Comparator</w:t>
            </w:r>
          </w:p>
        </w:tc>
        <w:tc>
          <w:tcPr>
            <w:tcW w:w="4344" w:type="pct"/>
          </w:tcPr>
          <w:p w14:paraId="69D07AD4" w14:textId="77777777" w:rsidR="0007132E" w:rsidRPr="00C61670" w:rsidRDefault="0007132E" w:rsidP="006A7E33">
            <w:pPr>
              <w:pStyle w:val="TableText0"/>
              <w:keepLines/>
            </w:pPr>
            <w:r w:rsidRPr="00C61670">
              <w:t>Nusinersen solution for injection administered intrathecally as chronic treatment</w:t>
            </w:r>
          </w:p>
        </w:tc>
      </w:tr>
      <w:tr w:rsidR="0007132E" w:rsidRPr="00C61670" w14:paraId="0A83B833" w14:textId="77777777" w:rsidTr="00AA0FE0">
        <w:trPr>
          <w:cantSplit/>
        </w:trPr>
        <w:tc>
          <w:tcPr>
            <w:tcW w:w="656" w:type="pct"/>
            <w:vAlign w:val="center"/>
          </w:tcPr>
          <w:p w14:paraId="242D72F5" w14:textId="77777777" w:rsidR="0007132E" w:rsidRPr="00C61670" w:rsidRDefault="0007132E" w:rsidP="006A7E33">
            <w:pPr>
              <w:pStyle w:val="TableText0"/>
              <w:keepLines/>
            </w:pPr>
            <w:r w:rsidRPr="00C61670">
              <w:t>Outcomes</w:t>
            </w:r>
          </w:p>
        </w:tc>
        <w:tc>
          <w:tcPr>
            <w:tcW w:w="4344" w:type="pct"/>
          </w:tcPr>
          <w:p w14:paraId="7E9FEB8E" w14:textId="77777777" w:rsidR="0007132E" w:rsidRPr="00C61670" w:rsidRDefault="0007132E" w:rsidP="006A7E33">
            <w:pPr>
              <w:pStyle w:val="TableText0"/>
              <w:keepLines/>
            </w:pPr>
            <w:r w:rsidRPr="00C61670">
              <w:t>Event free survival</w:t>
            </w:r>
          </w:p>
          <w:p w14:paraId="581C9C86" w14:textId="77777777" w:rsidR="0007132E" w:rsidRPr="00C61670" w:rsidRDefault="0007132E" w:rsidP="006A7E33">
            <w:pPr>
              <w:pStyle w:val="TableText0"/>
              <w:keepLines/>
            </w:pPr>
            <w:r w:rsidRPr="00C61670">
              <w:t>Overall survival</w:t>
            </w:r>
          </w:p>
          <w:p w14:paraId="5CAD96EC" w14:textId="77777777" w:rsidR="0007132E" w:rsidRPr="00C61670" w:rsidRDefault="0007132E" w:rsidP="006A7E33">
            <w:pPr>
              <w:pStyle w:val="TableText0"/>
              <w:keepLines/>
            </w:pPr>
            <w:r w:rsidRPr="00C61670">
              <w:t>Individual motor milestone scores and achievements as measured by the HINE-2 and CHOP-INTEND</w:t>
            </w:r>
          </w:p>
        </w:tc>
      </w:tr>
      <w:tr w:rsidR="0007132E" w:rsidRPr="00C61670" w14:paraId="70329691" w14:textId="77777777" w:rsidTr="00AA0FE0">
        <w:trPr>
          <w:cantSplit/>
        </w:trPr>
        <w:tc>
          <w:tcPr>
            <w:tcW w:w="656" w:type="pct"/>
            <w:vAlign w:val="center"/>
          </w:tcPr>
          <w:p w14:paraId="7A3E358B" w14:textId="77777777" w:rsidR="0007132E" w:rsidRPr="00C61670" w:rsidRDefault="0007132E" w:rsidP="006A7E33">
            <w:pPr>
              <w:pStyle w:val="TableText0"/>
              <w:keepLines/>
            </w:pPr>
            <w:r w:rsidRPr="00C61670">
              <w:t>Clinical claim</w:t>
            </w:r>
          </w:p>
        </w:tc>
        <w:tc>
          <w:tcPr>
            <w:tcW w:w="4344" w:type="pct"/>
          </w:tcPr>
          <w:p w14:paraId="3F991E77" w14:textId="77777777" w:rsidR="0007132E" w:rsidRPr="00C61670" w:rsidRDefault="0007132E" w:rsidP="006A7E33">
            <w:pPr>
              <w:pStyle w:val="TableText0"/>
              <w:keepLines/>
            </w:pPr>
            <w:r w:rsidRPr="00C61670">
              <w:t xml:space="preserve">In pre-symptomatic SMA patients with genetically confirmed </w:t>
            </w:r>
            <w:r w:rsidRPr="00C61670">
              <w:rPr>
                <w:i/>
                <w:iCs/>
              </w:rPr>
              <w:t>SMN1</w:t>
            </w:r>
            <w:r w:rsidRPr="00C61670">
              <w:t xml:space="preserve"> deletion or mutation and a </w:t>
            </w:r>
            <w:r w:rsidRPr="00C61670">
              <w:rPr>
                <w:i/>
                <w:iCs/>
              </w:rPr>
              <w:t>SMN2</w:t>
            </w:r>
            <w:r w:rsidRPr="00C61670">
              <w:t xml:space="preserve"> gene copy number of 3, risdiplam is non-inferior in terms of efficacy and safety compared with nusinersen. Risdiplam also has a favourable safety profile in some patients due to a less invasive administration method (oral vs intrathecal).</w:t>
            </w:r>
          </w:p>
        </w:tc>
      </w:tr>
    </w:tbl>
    <w:p w14:paraId="5FC7229F" w14:textId="2AB02123" w:rsidR="0007132E" w:rsidRPr="00C61670" w:rsidRDefault="0007132E" w:rsidP="006A7E33">
      <w:pPr>
        <w:pStyle w:val="FooterTableFigure"/>
        <w:keepNext/>
        <w:keepLines/>
      </w:pPr>
      <w:r w:rsidRPr="00C61670">
        <w:t>CHOP-INTEND</w:t>
      </w:r>
      <w:r w:rsidR="001978FC" w:rsidRPr="00C61670">
        <w:t xml:space="preserve"> </w:t>
      </w:r>
      <w:r w:rsidRPr="00C61670">
        <w:t>=</w:t>
      </w:r>
      <w:r w:rsidR="001978FC" w:rsidRPr="00C61670">
        <w:t xml:space="preserve"> </w:t>
      </w:r>
      <w:r w:rsidRPr="00C61670">
        <w:t>Children's Hospital of Philadelphia Infant Test of Neuromuscular Disorders; HINE-2</w:t>
      </w:r>
      <w:r w:rsidR="001978FC" w:rsidRPr="00C61670">
        <w:t xml:space="preserve"> </w:t>
      </w:r>
      <w:r w:rsidRPr="00C61670">
        <w:t>=</w:t>
      </w:r>
      <w:r w:rsidR="001978FC" w:rsidRPr="00C61670">
        <w:t xml:space="preserve"> </w:t>
      </w:r>
      <w:r w:rsidRPr="00C61670">
        <w:t>Hammersmith Infant Neuromuscular Examination Module 2; SMA = spinal muscular dystrophy; SMN = survival motor neuron</w:t>
      </w:r>
    </w:p>
    <w:p w14:paraId="758827F8" w14:textId="7278B001" w:rsidR="0007132E" w:rsidRPr="00C61670" w:rsidRDefault="0007132E" w:rsidP="006A7E33">
      <w:pPr>
        <w:pStyle w:val="FooterTableFigure"/>
        <w:keepNext/>
        <w:keepLines/>
      </w:pPr>
      <w:r w:rsidRPr="00C61670">
        <w:rPr>
          <w:vertAlign w:val="superscript"/>
        </w:rPr>
        <w:t>a</w:t>
      </w:r>
      <w:r w:rsidRPr="00C61670">
        <w:t xml:space="preserve"> The </w:t>
      </w:r>
      <w:r w:rsidR="0007089E">
        <w:t>submission</w:t>
      </w:r>
      <w:r w:rsidRPr="00C61670">
        <w:t xml:space="preserve"> presented data consistent with Population 3 (pre-symptomatic SMA patients with 3 copies of the </w:t>
      </w:r>
      <w:r w:rsidRPr="00C61670">
        <w:rPr>
          <w:i/>
          <w:iCs/>
        </w:rPr>
        <w:t>SMN2</w:t>
      </w:r>
      <w:r w:rsidRPr="00C61670">
        <w:t xml:space="preserve"> gene) in the March 2023 risdiplam PBAC submission, however this population subgroup was withdrawn from consideration</w:t>
      </w:r>
      <w:r w:rsidR="00931FAD" w:rsidRPr="00C61670">
        <w:t xml:space="preserve"> in March 2023</w:t>
      </w:r>
      <w:r w:rsidRPr="00C61670">
        <w:t>.</w:t>
      </w:r>
    </w:p>
    <w:p w14:paraId="037238C1" w14:textId="2EA0212F" w:rsidR="0007132E" w:rsidRPr="00C61670" w:rsidRDefault="0007132E" w:rsidP="006A7E33">
      <w:pPr>
        <w:pStyle w:val="FooterTableFigure"/>
        <w:keepNext/>
        <w:keepLines/>
      </w:pPr>
      <w:r w:rsidRPr="00C61670">
        <w:rPr>
          <w:vertAlign w:val="superscript"/>
        </w:rPr>
        <w:t>b</w:t>
      </w:r>
      <w:r w:rsidRPr="00C61670">
        <w:t xml:space="preserve"> Risdiplam dosage dependent on age and weight, with </w:t>
      </w:r>
      <w:r w:rsidR="001978FC" w:rsidRPr="00C61670">
        <w:t xml:space="preserve">a </w:t>
      </w:r>
      <w:r w:rsidRPr="00C61670">
        <w:t>maximum daily dose of 5</w:t>
      </w:r>
      <w:r w:rsidR="00C210EA">
        <w:t xml:space="preserve"> </w:t>
      </w:r>
      <w:r w:rsidRPr="00C61670">
        <w:t>mg.</w:t>
      </w:r>
    </w:p>
    <w:p w14:paraId="4FF7E7B4" w14:textId="127FA454" w:rsidR="0007132E" w:rsidRPr="00C61670" w:rsidRDefault="0007132E" w:rsidP="006A7E33">
      <w:pPr>
        <w:pStyle w:val="FooterTableFigure"/>
        <w:keepNext/>
        <w:keepLines/>
      </w:pPr>
      <w:r w:rsidRPr="00C61670">
        <w:t xml:space="preserve">Source: Table 1.1, p3 of the </w:t>
      </w:r>
      <w:r w:rsidR="0007089E">
        <w:t>submission</w:t>
      </w:r>
    </w:p>
    <w:p w14:paraId="7480C8F1" w14:textId="77777777" w:rsidR="0007132E" w:rsidRPr="00C61670" w:rsidRDefault="0007132E" w:rsidP="0007132E">
      <w:pPr>
        <w:pStyle w:val="2-SectionHeading"/>
      </w:pPr>
      <w:bookmarkStart w:id="3" w:name="_Toc167202914"/>
      <w:r w:rsidRPr="00C61670">
        <w:t>Background</w:t>
      </w:r>
      <w:bookmarkEnd w:id="3"/>
    </w:p>
    <w:p w14:paraId="0BA9BC9E" w14:textId="77777777" w:rsidR="0007132E" w:rsidRPr="00C61670" w:rsidRDefault="0007132E" w:rsidP="0007132E">
      <w:pPr>
        <w:pStyle w:val="4-SubsectionHeading"/>
      </w:pPr>
      <w:bookmarkStart w:id="4" w:name="_Toc167202915"/>
      <w:r w:rsidRPr="00C61670">
        <w:t>Registration status</w:t>
      </w:r>
      <w:bookmarkEnd w:id="4"/>
    </w:p>
    <w:p w14:paraId="09B59EA4" w14:textId="2BE67E63" w:rsidR="0007132E" w:rsidRPr="00C61670" w:rsidRDefault="0007132E" w:rsidP="0007132E">
      <w:pPr>
        <w:pStyle w:val="3-BodyText"/>
      </w:pPr>
      <w:r w:rsidRPr="00C61670">
        <w:t xml:space="preserve">Risdiplam was initially registered by the TGA on the 2 June 2021 ‘for the treatment of 5q SMA in patients aged 2 months and older’. The indication was amended on 19 May 2023 to remove the age restriction. </w:t>
      </w:r>
    </w:p>
    <w:p w14:paraId="1793B79F" w14:textId="77777777" w:rsidR="0007132E" w:rsidRPr="00C61670" w:rsidRDefault="0007132E" w:rsidP="0007132E">
      <w:pPr>
        <w:pStyle w:val="4-SubsectionHeading"/>
      </w:pPr>
      <w:bookmarkStart w:id="5" w:name="_Toc167202916"/>
      <w:r w:rsidRPr="00C61670">
        <w:t>Previous PBAC consideration</w:t>
      </w:r>
      <w:bookmarkEnd w:id="5"/>
    </w:p>
    <w:p w14:paraId="18F81187" w14:textId="033B445C" w:rsidR="0007132E" w:rsidRPr="00C61670" w:rsidRDefault="0007132E" w:rsidP="0007132E">
      <w:pPr>
        <w:pStyle w:val="3-BodyText"/>
      </w:pPr>
      <w:r w:rsidRPr="00C61670">
        <w:t xml:space="preserve">Risdiplam was recommended for PBS listing for the treatment of SMA Type 1, 2 or 3a in patients aged 18 years or less, based on non-inferiority to nusinersen at the March </w:t>
      </w:r>
      <w:r w:rsidRPr="00C61670">
        <w:lastRenderedPageBreak/>
        <w:t xml:space="preserve">2021 PBAC meeting. A listing for patients with SMA Type 3b was not recommended by the PBAC at this time, however the SMA Type 3b and 3c sub-population was PBS-listed </w:t>
      </w:r>
      <w:proofErr w:type="gramStart"/>
      <w:r w:rsidRPr="00C61670">
        <w:t>as a result of</w:t>
      </w:r>
      <w:proofErr w:type="gramEnd"/>
      <w:r w:rsidRPr="00C61670">
        <w:t xml:space="preserve"> a flow on of the positive recommendation for a subsequent nusinersen PBAC submission (paragraph 7.23, nusinersen </w:t>
      </w:r>
      <w:r w:rsidR="00B87C84" w:rsidRPr="00B87C84">
        <w:rPr>
          <w:iCs/>
        </w:rPr>
        <w:t>Public Summary Document</w:t>
      </w:r>
      <w:r w:rsidR="00B87C84" w:rsidRPr="00B87C84">
        <w:rPr>
          <w:i/>
        </w:rPr>
        <w:t xml:space="preserve"> </w:t>
      </w:r>
      <w:r w:rsidR="00B87C84">
        <w:t>(</w:t>
      </w:r>
      <w:r w:rsidRPr="00C61670">
        <w:t>PSD</w:t>
      </w:r>
      <w:r w:rsidR="00B87C84">
        <w:t>)</w:t>
      </w:r>
      <w:r w:rsidRPr="00C61670">
        <w:t>, July 2021 PBAC meeting).</w:t>
      </w:r>
    </w:p>
    <w:p w14:paraId="7FC51572" w14:textId="39E86B5C" w:rsidR="0007132E" w:rsidRDefault="0007132E" w:rsidP="0007132E">
      <w:pPr>
        <w:pStyle w:val="3-BodyText"/>
      </w:pPr>
      <w:r w:rsidRPr="00C61670">
        <w:t>Risdiplam was recommended for PBS listing for the treatment of pre-symptomatic patients with a confirmed genetic diagnosis of SMA who have a</w:t>
      </w:r>
      <w:r w:rsidR="00960F88">
        <w:t>n</w:t>
      </w:r>
      <w:r w:rsidRPr="00C61670">
        <w:t xml:space="preserve"> </w:t>
      </w:r>
      <w:r w:rsidRPr="00C61670">
        <w:rPr>
          <w:i/>
          <w:iCs/>
        </w:rPr>
        <w:t>SMN2</w:t>
      </w:r>
      <w:r w:rsidRPr="00C61670">
        <w:t xml:space="preserve"> gene copy number of one or two at the March 2023 PBAC meeting. The sponsor also initially requested PBS-listing of risdiplam for patients with SMA and an </w:t>
      </w:r>
      <w:r w:rsidRPr="00C61670">
        <w:rPr>
          <w:i/>
          <w:iCs/>
        </w:rPr>
        <w:t>SMN2</w:t>
      </w:r>
      <w:r w:rsidRPr="00C61670">
        <w:t xml:space="preserve"> gene copy number of three, but this population subgroup was withdrawn </w:t>
      </w:r>
      <w:r w:rsidR="00EF7693">
        <w:t>prior to</w:t>
      </w:r>
      <w:r w:rsidR="00EF7693" w:rsidRPr="00C61670">
        <w:t xml:space="preserve"> </w:t>
      </w:r>
      <w:r w:rsidRPr="00C61670">
        <w:t>PBAC consideration as the nominated near market comparator onasemnogene abeparvovec (ONA) was not recommended for funding at the November 2022 PBAC meeting.</w:t>
      </w:r>
    </w:p>
    <w:p w14:paraId="46D4B977" w14:textId="77777777" w:rsidR="0007132E" w:rsidRPr="00C61670" w:rsidRDefault="0007132E" w:rsidP="0007132E">
      <w:pPr>
        <w:pStyle w:val="2-SectionHeading"/>
      </w:pPr>
      <w:bookmarkStart w:id="6" w:name="_Toc167202917"/>
      <w:r w:rsidRPr="00C61670">
        <w:t>Requested listing</w:t>
      </w:r>
      <w:bookmarkEnd w:id="6"/>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3135"/>
        <w:gridCol w:w="992"/>
        <w:gridCol w:w="992"/>
        <w:gridCol w:w="1504"/>
      </w:tblGrid>
      <w:tr w:rsidR="0007132E" w:rsidRPr="00C61670" w14:paraId="69F520EC" w14:textId="77777777" w:rsidTr="00AA0FE0">
        <w:trPr>
          <w:cantSplit/>
          <w:trHeight w:val="20"/>
        </w:trPr>
        <w:tc>
          <w:tcPr>
            <w:tcW w:w="2394" w:type="dxa"/>
            <w:vAlign w:val="center"/>
          </w:tcPr>
          <w:p w14:paraId="69DBD83B" w14:textId="77777777" w:rsidR="0007132E" w:rsidRPr="00C61670" w:rsidRDefault="0007132E" w:rsidP="00AA0FE0">
            <w:pPr>
              <w:keepNext/>
              <w:keepLines/>
              <w:rPr>
                <w:rFonts w:ascii="Arial Narrow" w:hAnsi="Arial Narrow"/>
                <w:b/>
                <w:bCs/>
                <w:sz w:val="20"/>
                <w:szCs w:val="20"/>
              </w:rPr>
            </w:pPr>
            <w:r w:rsidRPr="00C61670">
              <w:rPr>
                <w:rFonts w:ascii="Arial Narrow" w:hAnsi="Arial Narrow"/>
                <w:b/>
                <w:bCs/>
                <w:sz w:val="20"/>
                <w:szCs w:val="20"/>
              </w:rPr>
              <w:t>MEDICINAL PRODUCT</w:t>
            </w:r>
          </w:p>
          <w:p w14:paraId="32032CA5" w14:textId="77777777" w:rsidR="0007132E" w:rsidRPr="00C61670" w:rsidRDefault="0007132E" w:rsidP="00AA0FE0">
            <w:pPr>
              <w:keepNext/>
              <w:keepLines/>
              <w:rPr>
                <w:rFonts w:ascii="Arial Narrow" w:hAnsi="Arial Narrow"/>
                <w:b/>
                <w:sz w:val="20"/>
                <w:szCs w:val="20"/>
              </w:rPr>
            </w:pPr>
            <w:r w:rsidRPr="00C61670">
              <w:rPr>
                <w:rFonts w:ascii="Arial Narrow" w:hAnsi="Arial Narrow"/>
                <w:b/>
                <w:bCs/>
                <w:sz w:val="20"/>
                <w:szCs w:val="20"/>
              </w:rPr>
              <w:t>medicinal product pack</w:t>
            </w:r>
          </w:p>
        </w:tc>
        <w:tc>
          <w:tcPr>
            <w:tcW w:w="3135" w:type="dxa"/>
            <w:vAlign w:val="center"/>
          </w:tcPr>
          <w:p w14:paraId="3ED48E48" w14:textId="77777777" w:rsidR="0007132E" w:rsidRPr="00C61670" w:rsidRDefault="0007132E" w:rsidP="00AA0FE0">
            <w:pPr>
              <w:pStyle w:val="TableText0"/>
              <w:keepLines/>
              <w:jc w:val="center"/>
              <w:rPr>
                <w:b/>
                <w:bCs w:val="0"/>
                <w:szCs w:val="20"/>
              </w:rPr>
            </w:pPr>
            <w:r w:rsidRPr="00C61670">
              <w:rPr>
                <w:b/>
                <w:bCs w:val="0"/>
                <w:snapToGrid w:val="0"/>
              </w:rPr>
              <w:t>Dispensed Price for Max. Qty</w:t>
            </w:r>
          </w:p>
        </w:tc>
        <w:tc>
          <w:tcPr>
            <w:tcW w:w="992" w:type="dxa"/>
            <w:vAlign w:val="center"/>
          </w:tcPr>
          <w:p w14:paraId="7B633FE9" w14:textId="77777777" w:rsidR="0007132E" w:rsidRPr="00C61670" w:rsidRDefault="0007132E" w:rsidP="00AA0FE0">
            <w:pPr>
              <w:keepNext/>
              <w:keepLines/>
              <w:jc w:val="center"/>
              <w:rPr>
                <w:rFonts w:ascii="Arial Narrow" w:hAnsi="Arial Narrow"/>
                <w:b/>
                <w:sz w:val="20"/>
                <w:szCs w:val="20"/>
              </w:rPr>
            </w:pPr>
            <w:r w:rsidRPr="00C61670">
              <w:rPr>
                <w:rFonts w:ascii="Arial Narrow" w:hAnsi="Arial Narrow"/>
                <w:b/>
                <w:sz w:val="20"/>
                <w:szCs w:val="20"/>
              </w:rPr>
              <w:t>Max. qty units</w:t>
            </w:r>
          </w:p>
        </w:tc>
        <w:tc>
          <w:tcPr>
            <w:tcW w:w="992" w:type="dxa"/>
            <w:vAlign w:val="center"/>
          </w:tcPr>
          <w:p w14:paraId="2997D318" w14:textId="77777777" w:rsidR="0007132E" w:rsidRPr="00C61670" w:rsidRDefault="0007132E" w:rsidP="00AA0FE0">
            <w:pPr>
              <w:keepNext/>
              <w:keepLines/>
              <w:jc w:val="center"/>
              <w:rPr>
                <w:rFonts w:ascii="Arial Narrow" w:hAnsi="Arial Narrow"/>
                <w:b/>
                <w:sz w:val="20"/>
                <w:szCs w:val="20"/>
              </w:rPr>
            </w:pPr>
            <w:r w:rsidRPr="00C61670">
              <w:rPr>
                <w:rFonts w:ascii="Arial Narrow" w:hAnsi="Arial Narrow"/>
                <w:b/>
                <w:sz w:val="20"/>
                <w:szCs w:val="20"/>
              </w:rPr>
              <w:t>№.of</w:t>
            </w:r>
          </w:p>
          <w:p w14:paraId="408A0687" w14:textId="77777777" w:rsidR="0007132E" w:rsidRPr="00C61670" w:rsidRDefault="0007132E" w:rsidP="00AA0FE0">
            <w:pPr>
              <w:keepNext/>
              <w:keepLines/>
              <w:jc w:val="center"/>
              <w:rPr>
                <w:rFonts w:ascii="Arial Narrow" w:hAnsi="Arial Narrow"/>
                <w:b/>
                <w:sz w:val="20"/>
                <w:szCs w:val="20"/>
              </w:rPr>
            </w:pPr>
            <w:r w:rsidRPr="00C61670">
              <w:rPr>
                <w:rFonts w:ascii="Arial Narrow" w:hAnsi="Arial Narrow"/>
                <w:b/>
                <w:sz w:val="20"/>
                <w:szCs w:val="20"/>
              </w:rPr>
              <w:t>Rpts</w:t>
            </w:r>
          </w:p>
        </w:tc>
        <w:tc>
          <w:tcPr>
            <w:tcW w:w="1504" w:type="dxa"/>
            <w:vAlign w:val="center"/>
          </w:tcPr>
          <w:p w14:paraId="0A293579" w14:textId="77777777" w:rsidR="0007132E" w:rsidRPr="00C61670" w:rsidRDefault="0007132E" w:rsidP="00AA0FE0">
            <w:pPr>
              <w:keepNext/>
              <w:keepLines/>
              <w:jc w:val="center"/>
              <w:rPr>
                <w:rFonts w:ascii="Arial Narrow" w:hAnsi="Arial Narrow"/>
                <w:b/>
                <w:sz w:val="20"/>
                <w:szCs w:val="20"/>
              </w:rPr>
            </w:pPr>
            <w:r w:rsidRPr="00C61670">
              <w:rPr>
                <w:rFonts w:ascii="Arial Narrow" w:hAnsi="Arial Narrow"/>
                <w:b/>
                <w:sz w:val="20"/>
                <w:szCs w:val="20"/>
              </w:rPr>
              <w:t>Available brands</w:t>
            </w:r>
          </w:p>
        </w:tc>
      </w:tr>
      <w:tr w:rsidR="0007132E" w:rsidRPr="00C61670" w14:paraId="0869C397" w14:textId="77777777" w:rsidTr="00AA0FE0">
        <w:trPr>
          <w:cantSplit/>
          <w:trHeight w:val="20"/>
        </w:trPr>
        <w:tc>
          <w:tcPr>
            <w:tcW w:w="2394" w:type="dxa"/>
            <w:vAlign w:val="center"/>
          </w:tcPr>
          <w:p w14:paraId="7BFCDFE3" w14:textId="77777777" w:rsidR="0007132E" w:rsidRPr="00C61670" w:rsidRDefault="0007132E" w:rsidP="00AA0FE0">
            <w:pPr>
              <w:keepNext/>
              <w:keepLines/>
              <w:rPr>
                <w:rFonts w:ascii="Arial Narrow" w:hAnsi="Arial Narrow"/>
                <w:sz w:val="20"/>
                <w:szCs w:val="20"/>
              </w:rPr>
            </w:pPr>
            <w:r w:rsidRPr="00C61670">
              <w:rPr>
                <w:rFonts w:ascii="Arial Narrow" w:hAnsi="Arial Narrow"/>
                <w:sz w:val="20"/>
                <w:szCs w:val="20"/>
              </w:rPr>
              <w:t>Risdiplam 60mg, powder for oral solution</w:t>
            </w:r>
          </w:p>
        </w:tc>
        <w:tc>
          <w:tcPr>
            <w:tcW w:w="3135" w:type="dxa"/>
          </w:tcPr>
          <w:p w14:paraId="2F2605B8" w14:textId="77777777" w:rsidR="0007132E" w:rsidRPr="0081032F" w:rsidRDefault="0007132E" w:rsidP="00AA0FE0">
            <w:pPr>
              <w:pStyle w:val="Tabletext"/>
              <w:jc w:val="center"/>
            </w:pPr>
            <w:r w:rsidRPr="0081032F">
              <w:t xml:space="preserve">$10,890.26 private published price </w:t>
            </w:r>
            <w:r w:rsidRPr="0081032F">
              <w:rPr>
                <w:vertAlign w:val="superscript"/>
              </w:rPr>
              <w:t>a</w:t>
            </w:r>
          </w:p>
          <w:p w14:paraId="60B6403B" w14:textId="77777777" w:rsidR="0007132E" w:rsidRPr="0081032F" w:rsidRDefault="0007132E" w:rsidP="00AA0FE0">
            <w:pPr>
              <w:pStyle w:val="Tabletext"/>
              <w:jc w:val="center"/>
            </w:pPr>
            <w:r w:rsidRPr="0081032F">
              <w:t>$10,841.89 public published price</w:t>
            </w:r>
          </w:p>
          <w:p w14:paraId="66603E8F" w14:textId="1672853D" w:rsidR="0007132E" w:rsidRPr="00C61670" w:rsidRDefault="0007132E" w:rsidP="00AA0FE0">
            <w:pPr>
              <w:pStyle w:val="TableText0"/>
              <w:keepLines/>
              <w:jc w:val="center"/>
              <w:rPr>
                <w:szCs w:val="20"/>
              </w:rPr>
            </w:pPr>
          </w:p>
        </w:tc>
        <w:tc>
          <w:tcPr>
            <w:tcW w:w="992" w:type="dxa"/>
            <w:vAlign w:val="center"/>
          </w:tcPr>
          <w:p w14:paraId="154CCEEA" w14:textId="77777777" w:rsidR="0007132E" w:rsidRPr="00C61670" w:rsidRDefault="0007132E" w:rsidP="00AA0FE0">
            <w:pPr>
              <w:keepNext/>
              <w:keepLines/>
              <w:jc w:val="center"/>
              <w:rPr>
                <w:rFonts w:ascii="Arial Narrow" w:hAnsi="Arial Narrow"/>
                <w:sz w:val="20"/>
                <w:szCs w:val="20"/>
              </w:rPr>
            </w:pPr>
            <w:r w:rsidRPr="00C61670">
              <w:rPr>
                <w:rFonts w:ascii="Arial Narrow" w:hAnsi="Arial Narrow"/>
                <w:sz w:val="20"/>
              </w:rPr>
              <w:t>1 bottle</w:t>
            </w:r>
          </w:p>
        </w:tc>
        <w:tc>
          <w:tcPr>
            <w:tcW w:w="992" w:type="dxa"/>
            <w:vAlign w:val="center"/>
          </w:tcPr>
          <w:p w14:paraId="3EAAAE1D" w14:textId="77777777" w:rsidR="0007132E" w:rsidRPr="00C61670" w:rsidRDefault="0007132E" w:rsidP="00AA0FE0">
            <w:pPr>
              <w:keepNext/>
              <w:keepLines/>
              <w:jc w:val="center"/>
              <w:rPr>
                <w:rFonts w:ascii="Arial Narrow" w:hAnsi="Arial Narrow"/>
                <w:sz w:val="20"/>
                <w:szCs w:val="20"/>
              </w:rPr>
            </w:pPr>
            <w:r w:rsidRPr="00C61670">
              <w:rPr>
                <w:rFonts w:ascii="Arial Narrow" w:hAnsi="Arial Narrow"/>
                <w:sz w:val="20"/>
              </w:rPr>
              <w:t>0</w:t>
            </w:r>
          </w:p>
        </w:tc>
        <w:tc>
          <w:tcPr>
            <w:tcW w:w="1504" w:type="dxa"/>
            <w:vAlign w:val="center"/>
          </w:tcPr>
          <w:p w14:paraId="34E676D6" w14:textId="77777777" w:rsidR="0007132E" w:rsidRPr="00C61670" w:rsidRDefault="0007132E" w:rsidP="00AA0FE0">
            <w:pPr>
              <w:keepNext/>
              <w:keepLines/>
              <w:jc w:val="center"/>
              <w:rPr>
                <w:rFonts w:ascii="Arial Narrow" w:hAnsi="Arial Narrow"/>
                <w:sz w:val="20"/>
                <w:szCs w:val="20"/>
              </w:rPr>
            </w:pPr>
            <w:r w:rsidRPr="00C61670">
              <w:rPr>
                <w:rFonts w:ascii="Arial Narrow" w:hAnsi="Arial Narrow"/>
                <w:sz w:val="20"/>
                <w:szCs w:val="20"/>
              </w:rPr>
              <w:t>Evrysdi</w:t>
            </w:r>
          </w:p>
        </w:tc>
      </w:tr>
    </w:tbl>
    <w:p w14:paraId="63E0BC9B" w14:textId="77777777" w:rsidR="0007132E" w:rsidRPr="00C61670" w:rsidRDefault="0007132E" w:rsidP="0007132E">
      <w:pPr>
        <w:pStyle w:val="TableFooter"/>
      </w:pPr>
      <w:r w:rsidRPr="00C61670">
        <w:rPr>
          <w:vertAlign w:val="superscript"/>
        </w:rPr>
        <w:t>a</w:t>
      </w:r>
      <w:r w:rsidRPr="00C61670">
        <w:t xml:space="preserve"> Includes $8.37 ready prepared fee and $40.00 pharmacy mark-up; </w:t>
      </w:r>
    </w:p>
    <w:p w14:paraId="71A986D2" w14:textId="131C0037" w:rsidR="0007132E" w:rsidRPr="00C61670" w:rsidRDefault="0007132E" w:rsidP="0007132E">
      <w:pPr>
        <w:pStyle w:val="TableFooter"/>
      </w:pPr>
      <w:r w:rsidRPr="00C61670">
        <w:t xml:space="preserve">Source: Table 1.9of the </w:t>
      </w:r>
      <w:r w:rsidR="0007089E">
        <w:t>submission</w:t>
      </w:r>
    </w:p>
    <w:p w14:paraId="0FA6176F" w14:textId="77777777" w:rsidR="0007132E" w:rsidRPr="00C61670" w:rsidRDefault="0007132E" w:rsidP="000713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07132E" w:rsidRPr="00C61670" w14:paraId="62726785" w14:textId="77777777" w:rsidTr="00AA0FE0">
        <w:trPr>
          <w:cantSplit/>
          <w:trHeight w:val="20"/>
        </w:trPr>
        <w:tc>
          <w:tcPr>
            <w:tcW w:w="5000" w:type="pct"/>
          </w:tcPr>
          <w:p w14:paraId="71DDBB96" w14:textId="1DB35DEC" w:rsidR="0007132E" w:rsidRPr="00C61670" w:rsidRDefault="0007132E" w:rsidP="00AA0FE0">
            <w:pPr>
              <w:pStyle w:val="TableText0"/>
              <w:keepNext w:val="0"/>
              <w:widowControl w:val="0"/>
            </w:pPr>
            <w:r w:rsidRPr="00C61670">
              <w:rPr>
                <w:b/>
              </w:rPr>
              <w:t xml:space="preserve">Category / Program: </w:t>
            </w:r>
            <w:r w:rsidRPr="00C61670">
              <w:t>Section 100</w:t>
            </w:r>
          </w:p>
        </w:tc>
      </w:tr>
      <w:tr w:rsidR="0007132E" w:rsidRPr="00C61670" w14:paraId="718BB48B" w14:textId="77777777" w:rsidTr="00AA0FE0">
        <w:trPr>
          <w:cantSplit/>
          <w:trHeight w:val="20"/>
        </w:trPr>
        <w:tc>
          <w:tcPr>
            <w:tcW w:w="5000" w:type="pct"/>
          </w:tcPr>
          <w:p w14:paraId="59FA473C" w14:textId="77777777" w:rsidR="0007132E" w:rsidRPr="00C61670" w:rsidRDefault="0007132E" w:rsidP="00AA0FE0">
            <w:pPr>
              <w:pStyle w:val="TableText0"/>
              <w:keepNext w:val="0"/>
              <w:widowControl w:val="0"/>
              <w:rPr>
                <w:b/>
              </w:rPr>
            </w:pPr>
            <w:r w:rsidRPr="00C61670">
              <w:rPr>
                <w:b/>
              </w:rPr>
              <w:t>Prescriber type</w:t>
            </w:r>
            <w:r w:rsidRPr="00C61670">
              <w:t xml:space="preserve"> </w:t>
            </w:r>
            <w:r w:rsidRPr="00C61670">
              <w:fldChar w:fldCharType="begin" w:fldLock="1">
                <w:ffData>
                  <w:name w:val=""/>
                  <w:enabled/>
                  <w:calcOnExit w:val="0"/>
                  <w:checkBox>
                    <w:sizeAuto/>
                    <w:default w:val="1"/>
                  </w:checkBox>
                </w:ffData>
              </w:fldChar>
            </w:r>
            <w:r w:rsidRPr="00C61670">
              <w:instrText xml:space="preserve"> FORMCHECKBOX </w:instrText>
            </w:r>
            <w:r w:rsidR="00A20CDB">
              <w:fldChar w:fldCharType="separate"/>
            </w:r>
            <w:r w:rsidRPr="00C61670">
              <w:fldChar w:fldCharType="end"/>
            </w:r>
            <w:r w:rsidRPr="00C61670">
              <w:t>Medical Practitioners</w:t>
            </w:r>
          </w:p>
        </w:tc>
      </w:tr>
      <w:tr w:rsidR="0007132E" w:rsidRPr="00C61670" w14:paraId="0DE371CD" w14:textId="77777777" w:rsidTr="00AA0FE0">
        <w:trPr>
          <w:cantSplit/>
          <w:trHeight w:val="20"/>
        </w:trPr>
        <w:tc>
          <w:tcPr>
            <w:tcW w:w="5000" w:type="pct"/>
          </w:tcPr>
          <w:p w14:paraId="179A19FB" w14:textId="77777777" w:rsidR="0007132E" w:rsidRPr="00C61670" w:rsidRDefault="0007132E" w:rsidP="00AA0FE0">
            <w:pPr>
              <w:pStyle w:val="TableText0"/>
              <w:keepNext w:val="0"/>
              <w:widowControl w:val="0"/>
              <w:rPr>
                <w:rFonts w:eastAsia="Times New Roman"/>
              </w:rPr>
            </w:pPr>
            <w:r w:rsidRPr="00C61670">
              <w:rPr>
                <w:b/>
              </w:rPr>
              <w:t xml:space="preserve">Restriction type: </w:t>
            </w:r>
            <w:r w:rsidRPr="00C61670">
              <w:rPr>
                <w:rFonts w:eastAsia="Times New Roman"/>
              </w:rPr>
              <w:fldChar w:fldCharType="begin" w:fldLock="1">
                <w:ffData>
                  <w:name w:val=""/>
                  <w:enabled/>
                  <w:calcOnExit w:val="0"/>
                  <w:checkBox>
                    <w:sizeAuto/>
                    <w:default w:val="1"/>
                  </w:checkBox>
                </w:ffData>
              </w:fldChar>
            </w:r>
            <w:r w:rsidRPr="00C61670">
              <w:rPr>
                <w:rFonts w:eastAsia="Times New Roman"/>
              </w:rPr>
              <w:instrText xml:space="preserve"> FORMCHECKBOX </w:instrText>
            </w:r>
            <w:r w:rsidR="00A20CDB">
              <w:rPr>
                <w:rFonts w:eastAsia="Times New Roman"/>
              </w:rPr>
            </w:r>
            <w:r w:rsidR="00A20CDB">
              <w:rPr>
                <w:rFonts w:eastAsia="Times New Roman"/>
              </w:rPr>
              <w:fldChar w:fldCharType="separate"/>
            </w:r>
            <w:r w:rsidRPr="00C61670">
              <w:rPr>
                <w:rFonts w:eastAsia="Times New Roman"/>
              </w:rPr>
              <w:fldChar w:fldCharType="end"/>
            </w:r>
            <w:r w:rsidRPr="00C61670">
              <w:rPr>
                <w:rFonts w:eastAsia="Times New Roman"/>
              </w:rPr>
              <w:t>Authority Required – In Writing</w:t>
            </w:r>
          </w:p>
        </w:tc>
      </w:tr>
      <w:tr w:rsidR="0007132E" w:rsidRPr="00C61670" w14:paraId="0E1325DB" w14:textId="77777777" w:rsidTr="00AA0FE0">
        <w:trPr>
          <w:cantSplit/>
          <w:trHeight w:val="20"/>
        </w:trPr>
        <w:tc>
          <w:tcPr>
            <w:tcW w:w="5000" w:type="pct"/>
            <w:vAlign w:val="center"/>
          </w:tcPr>
          <w:p w14:paraId="6991811D" w14:textId="77777777" w:rsidR="0007132E" w:rsidRPr="00C61670" w:rsidRDefault="0007132E" w:rsidP="00AA0FE0">
            <w:pPr>
              <w:pStyle w:val="TableText0"/>
              <w:keepNext w:val="0"/>
              <w:widowControl w:val="0"/>
              <w:rPr>
                <w:b/>
              </w:rPr>
            </w:pPr>
            <w:r w:rsidRPr="00C61670">
              <w:rPr>
                <w:b/>
              </w:rPr>
              <w:t xml:space="preserve">Condition: </w:t>
            </w:r>
            <w:r w:rsidRPr="00C61670">
              <w:rPr>
                <w:bCs w:val="0"/>
              </w:rPr>
              <w:t>Spinal Muscular Atrophy (SMA)</w:t>
            </w:r>
            <w:r w:rsidRPr="00C61670">
              <w:rPr>
                <w:color w:val="0066FF"/>
              </w:rPr>
              <w:t xml:space="preserve"> </w:t>
            </w:r>
          </w:p>
        </w:tc>
      </w:tr>
      <w:tr w:rsidR="0007132E" w:rsidRPr="00C61670" w14:paraId="08499674" w14:textId="77777777" w:rsidTr="00AA0FE0">
        <w:trPr>
          <w:cantSplit/>
          <w:trHeight w:val="20"/>
        </w:trPr>
        <w:tc>
          <w:tcPr>
            <w:tcW w:w="5000" w:type="pct"/>
            <w:vAlign w:val="center"/>
            <w:hideMark/>
          </w:tcPr>
          <w:p w14:paraId="0FA000C1" w14:textId="77777777" w:rsidR="0007132E" w:rsidRPr="00C61670" w:rsidRDefault="0007132E" w:rsidP="00AA0FE0">
            <w:pPr>
              <w:pStyle w:val="TableText0"/>
              <w:keepNext w:val="0"/>
              <w:widowControl w:val="0"/>
            </w:pPr>
            <w:r w:rsidRPr="00C61670">
              <w:rPr>
                <w:b/>
              </w:rPr>
              <w:t>Treatment Phase:</w:t>
            </w:r>
            <w:r w:rsidRPr="00C61670">
              <w:t xml:space="preserve"> </w:t>
            </w:r>
            <w:r w:rsidRPr="00C61670">
              <w:rPr>
                <w:bCs w:val="0"/>
              </w:rPr>
              <w:t>Initial</w:t>
            </w:r>
          </w:p>
        </w:tc>
      </w:tr>
      <w:tr w:rsidR="0007132E" w:rsidRPr="00C61670" w14:paraId="298FDEC6" w14:textId="77777777" w:rsidTr="00AA0FE0">
        <w:trPr>
          <w:cantSplit/>
          <w:trHeight w:val="20"/>
        </w:trPr>
        <w:tc>
          <w:tcPr>
            <w:tcW w:w="5000" w:type="pct"/>
            <w:vAlign w:val="center"/>
            <w:hideMark/>
          </w:tcPr>
          <w:p w14:paraId="0A1D854F" w14:textId="77777777" w:rsidR="0007132E" w:rsidRPr="00C61670" w:rsidRDefault="0007132E" w:rsidP="00AA0FE0">
            <w:pPr>
              <w:pStyle w:val="TableText0"/>
              <w:keepNext w:val="0"/>
              <w:widowControl w:val="0"/>
            </w:pPr>
            <w:r w:rsidRPr="00C61670">
              <w:rPr>
                <w:b/>
              </w:rPr>
              <w:t>Treatment criteria:</w:t>
            </w:r>
          </w:p>
        </w:tc>
      </w:tr>
      <w:tr w:rsidR="0007132E" w:rsidRPr="00C61670" w14:paraId="7541752C" w14:textId="77777777" w:rsidTr="00AA0FE0">
        <w:trPr>
          <w:cantSplit/>
          <w:trHeight w:val="20"/>
        </w:trPr>
        <w:tc>
          <w:tcPr>
            <w:tcW w:w="5000" w:type="pct"/>
            <w:vAlign w:val="center"/>
            <w:hideMark/>
          </w:tcPr>
          <w:p w14:paraId="0F6218D1" w14:textId="77777777" w:rsidR="0007132E" w:rsidRPr="00C61670" w:rsidRDefault="0007132E" w:rsidP="00AA0FE0">
            <w:pPr>
              <w:pStyle w:val="TableText0"/>
              <w:keepNext w:val="0"/>
              <w:widowControl w:val="0"/>
            </w:pPr>
            <w:r w:rsidRPr="00C61670">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p w14:paraId="415EB6F5" w14:textId="77777777" w:rsidR="0007132E" w:rsidRPr="00C61670" w:rsidRDefault="0007132E" w:rsidP="00AA0FE0">
            <w:pPr>
              <w:pStyle w:val="TableText0"/>
              <w:keepNext w:val="0"/>
              <w:widowControl w:val="0"/>
              <w:rPr>
                <w:u w:val="single"/>
              </w:rPr>
            </w:pPr>
            <w:r w:rsidRPr="00C61670">
              <w:rPr>
                <w:u w:val="single"/>
              </w:rPr>
              <w:t>AND</w:t>
            </w:r>
          </w:p>
          <w:p w14:paraId="699DB536" w14:textId="77777777" w:rsidR="0007132E" w:rsidRPr="00C61670" w:rsidRDefault="0007132E" w:rsidP="00AA0FE0">
            <w:pPr>
              <w:pStyle w:val="TableText0"/>
              <w:keepNext w:val="0"/>
              <w:widowControl w:val="0"/>
              <w:rPr>
                <w:u w:val="single"/>
              </w:rPr>
            </w:pPr>
            <w:r w:rsidRPr="00C61670">
              <w:rPr>
                <w:u w:val="single"/>
              </w:rPr>
              <w:t>Patient must be undergoing initial PBS-subsidised treatment with this drug for untreated disease; OR</w:t>
            </w:r>
          </w:p>
          <w:p w14:paraId="623DBB25" w14:textId="77777777" w:rsidR="0007132E" w:rsidRPr="00C61670" w:rsidRDefault="0007132E" w:rsidP="00AA0FE0">
            <w:pPr>
              <w:pStyle w:val="TableText0"/>
              <w:keepNext w:val="0"/>
              <w:widowControl w:val="0"/>
            </w:pPr>
            <w:r w:rsidRPr="00C61670">
              <w:rPr>
                <w:u w:val="single"/>
              </w:rPr>
              <w:t>Patient must be undergoing initial PBS-subsidised treatment, but the patient has initiated treatment via non-PBS supply (e.g. clinical trial, sponsor compassionate access)</w:t>
            </w:r>
          </w:p>
        </w:tc>
      </w:tr>
      <w:tr w:rsidR="0007132E" w:rsidRPr="00C61670" w14:paraId="05D0777C" w14:textId="77777777" w:rsidTr="00AA0FE0">
        <w:trPr>
          <w:cantSplit/>
          <w:trHeight w:val="20"/>
        </w:trPr>
        <w:tc>
          <w:tcPr>
            <w:tcW w:w="5000" w:type="pct"/>
            <w:vAlign w:val="center"/>
            <w:hideMark/>
          </w:tcPr>
          <w:p w14:paraId="6B39070D" w14:textId="77777777" w:rsidR="0007132E" w:rsidRPr="00C61670" w:rsidRDefault="0007132E" w:rsidP="00AA0FE0">
            <w:pPr>
              <w:pStyle w:val="TableText0"/>
              <w:keepNext w:val="0"/>
              <w:widowControl w:val="0"/>
            </w:pPr>
            <w:r w:rsidRPr="00C61670">
              <w:rPr>
                <w:b/>
              </w:rPr>
              <w:t>Clinical criteria:</w:t>
            </w:r>
          </w:p>
        </w:tc>
      </w:tr>
      <w:tr w:rsidR="0007132E" w:rsidRPr="00C61670" w14:paraId="758D7ADC" w14:textId="77777777" w:rsidTr="00AA0FE0">
        <w:trPr>
          <w:cantSplit/>
          <w:trHeight w:val="20"/>
        </w:trPr>
        <w:tc>
          <w:tcPr>
            <w:tcW w:w="5000" w:type="pct"/>
            <w:vAlign w:val="center"/>
            <w:hideMark/>
          </w:tcPr>
          <w:p w14:paraId="298489F8" w14:textId="77777777" w:rsidR="0007132E" w:rsidRPr="00C61670" w:rsidRDefault="0007132E" w:rsidP="00AA0FE0">
            <w:pPr>
              <w:pStyle w:val="TableText0"/>
              <w:keepNext w:val="0"/>
              <w:widowControl w:val="0"/>
            </w:pPr>
            <w:r w:rsidRPr="00C61670">
              <w:lastRenderedPageBreak/>
              <w:t>The condition must have genetic confirmation of 5q homozygous deletion of the survival motor neuron 1 (</w:t>
            </w:r>
            <w:r w:rsidRPr="00C61670">
              <w:rPr>
                <w:i/>
                <w:iCs/>
              </w:rPr>
              <w:t>SMN1</w:t>
            </w:r>
            <w:r w:rsidRPr="00C61670">
              <w:t>) gene;</w:t>
            </w:r>
          </w:p>
          <w:p w14:paraId="5CADB23A" w14:textId="77777777" w:rsidR="0007132E" w:rsidRPr="00C61670" w:rsidRDefault="0007132E" w:rsidP="00AA0FE0">
            <w:pPr>
              <w:pStyle w:val="TableText0"/>
              <w:keepNext w:val="0"/>
              <w:widowControl w:val="0"/>
            </w:pPr>
            <w:r w:rsidRPr="00C61670">
              <w:t>OR</w:t>
            </w:r>
          </w:p>
          <w:p w14:paraId="0E9B51AF" w14:textId="77777777" w:rsidR="0007132E" w:rsidRPr="00C61670" w:rsidRDefault="0007132E" w:rsidP="00AA0FE0">
            <w:pPr>
              <w:pStyle w:val="TableText0"/>
              <w:keepNext w:val="0"/>
              <w:widowControl w:val="0"/>
            </w:pPr>
            <w:r w:rsidRPr="00C61670">
              <w:t xml:space="preserve">The condition must have genetic confirmation of deletion of one copy of the </w:t>
            </w:r>
            <w:r w:rsidRPr="00960F88">
              <w:rPr>
                <w:i/>
                <w:iCs/>
              </w:rPr>
              <w:t>SMN1</w:t>
            </w:r>
            <w:r w:rsidRPr="00C61670">
              <w:t xml:space="preserve"> gene in addition to a pathogenic/likely pathogenic variant in the remaining single copy of the </w:t>
            </w:r>
            <w:r w:rsidRPr="00C61670">
              <w:rPr>
                <w:i/>
                <w:iCs/>
              </w:rPr>
              <w:t>SMN1</w:t>
            </w:r>
            <w:r w:rsidRPr="00C61670">
              <w:t xml:space="preserve"> gene,</w:t>
            </w:r>
          </w:p>
          <w:p w14:paraId="77996EA7" w14:textId="77777777" w:rsidR="0007132E" w:rsidRPr="00C61670" w:rsidRDefault="0007132E" w:rsidP="00AA0FE0">
            <w:pPr>
              <w:pStyle w:val="TableText0"/>
              <w:keepNext w:val="0"/>
              <w:widowControl w:val="0"/>
            </w:pPr>
            <w:r w:rsidRPr="00C61670">
              <w:t>AND</w:t>
            </w:r>
          </w:p>
          <w:p w14:paraId="5436F2D4" w14:textId="77777777" w:rsidR="0007132E" w:rsidRPr="00C61670" w:rsidRDefault="0007132E" w:rsidP="00AA0FE0">
            <w:pPr>
              <w:pStyle w:val="TableText0"/>
              <w:keepNext w:val="0"/>
              <w:widowControl w:val="0"/>
            </w:pPr>
            <w:r w:rsidRPr="00C61670">
              <w:t>The condition must be pre-symptomatic SMA, with genetic confirmation that there are 1 to 2 copies of the survival motor neuron 2 (</w:t>
            </w:r>
            <w:r w:rsidRPr="00C61670">
              <w:rPr>
                <w:i/>
                <w:iCs/>
              </w:rPr>
              <w:t>SMN2</w:t>
            </w:r>
            <w:r w:rsidRPr="00C61670">
              <w:t xml:space="preserve">) gene; </w:t>
            </w:r>
            <w:r w:rsidRPr="00C61670">
              <w:rPr>
                <w:vertAlign w:val="superscript"/>
              </w:rPr>
              <w:t>a</w:t>
            </w:r>
          </w:p>
          <w:p w14:paraId="5B0E9A16" w14:textId="77777777" w:rsidR="0007132E" w:rsidRPr="00C61670" w:rsidRDefault="0007132E" w:rsidP="00AA0FE0">
            <w:pPr>
              <w:pStyle w:val="TableText0"/>
              <w:keepNext w:val="0"/>
              <w:widowControl w:val="0"/>
            </w:pPr>
            <w:r w:rsidRPr="00C61670">
              <w:t>OR</w:t>
            </w:r>
          </w:p>
          <w:p w14:paraId="5A3A2D7C" w14:textId="77777777" w:rsidR="0007132E" w:rsidRPr="00C61670" w:rsidRDefault="0007132E" w:rsidP="00AA0FE0">
            <w:pPr>
              <w:pStyle w:val="TableText0"/>
              <w:keepNext w:val="0"/>
              <w:widowControl w:val="0"/>
              <w:rPr>
                <w:u w:val="single"/>
              </w:rPr>
            </w:pPr>
            <w:r w:rsidRPr="00C61670">
              <w:rPr>
                <w:u w:val="single"/>
              </w:rPr>
              <w:t>The condition must be pre-symptomatic SMA, with genetic confirmation that there are 3 copies of the survival motor neuron 2 (</w:t>
            </w:r>
            <w:r w:rsidRPr="00C61670">
              <w:rPr>
                <w:i/>
                <w:iCs/>
                <w:u w:val="single"/>
              </w:rPr>
              <w:t>SMN2</w:t>
            </w:r>
            <w:r w:rsidRPr="00C61670">
              <w:rPr>
                <w:u w:val="single"/>
              </w:rPr>
              <w:t>) gene;</w:t>
            </w:r>
          </w:p>
          <w:p w14:paraId="04EFD2AE" w14:textId="77777777" w:rsidR="0007132E" w:rsidRPr="00C61670" w:rsidRDefault="0007132E" w:rsidP="00AA0FE0">
            <w:pPr>
              <w:pStyle w:val="TableText0"/>
              <w:keepNext w:val="0"/>
              <w:widowControl w:val="0"/>
            </w:pPr>
            <w:r w:rsidRPr="00C61670">
              <w:t>AND</w:t>
            </w:r>
          </w:p>
          <w:p w14:paraId="7F720E83" w14:textId="77777777" w:rsidR="0007132E" w:rsidRPr="00C61670" w:rsidRDefault="0007132E" w:rsidP="00AA0FE0">
            <w:pPr>
              <w:pStyle w:val="TableText0"/>
              <w:keepNext w:val="0"/>
              <w:widowControl w:val="0"/>
            </w:pPr>
            <w:r w:rsidRPr="00C61670">
              <w:t>The condition must be pre-symptomatic;</w:t>
            </w:r>
          </w:p>
          <w:p w14:paraId="55A3A55C" w14:textId="77777777" w:rsidR="0007132E" w:rsidRPr="00C61670" w:rsidRDefault="0007132E" w:rsidP="00AA0FE0">
            <w:pPr>
              <w:pStyle w:val="TableText0"/>
              <w:keepNext w:val="0"/>
              <w:widowControl w:val="0"/>
            </w:pPr>
            <w:r w:rsidRPr="00C61670">
              <w:t>AND</w:t>
            </w:r>
          </w:p>
          <w:p w14:paraId="020B9850" w14:textId="77777777" w:rsidR="0007132E" w:rsidRPr="00C61670" w:rsidRDefault="0007132E" w:rsidP="00AA0FE0">
            <w:pPr>
              <w:pStyle w:val="TableText0"/>
              <w:keepNext w:val="0"/>
              <w:widowControl w:val="0"/>
            </w:pPr>
            <w:r w:rsidRPr="00C61670">
              <w:t>The treatment must be given concomitantly with best supportive care for this condition;</w:t>
            </w:r>
          </w:p>
          <w:p w14:paraId="11DED908" w14:textId="77777777" w:rsidR="0007132E" w:rsidRPr="00C61670" w:rsidRDefault="0007132E" w:rsidP="00AA0FE0">
            <w:pPr>
              <w:pStyle w:val="TableText0"/>
              <w:keepNext w:val="0"/>
              <w:widowControl w:val="0"/>
            </w:pPr>
            <w:r w:rsidRPr="00C61670">
              <w:t>AND</w:t>
            </w:r>
          </w:p>
          <w:p w14:paraId="2D38C294" w14:textId="77777777" w:rsidR="0007132E" w:rsidRPr="00C61670" w:rsidRDefault="0007132E" w:rsidP="00AA0FE0">
            <w:pPr>
              <w:pStyle w:val="TableText0"/>
              <w:keepNext w:val="0"/>
              <w:widowControl w:val="0"/>
            </w:pPr>
            <w:r w:rsidRPr="00C61670">
              <w:t>Patient must be untreated with gene therapy.</w:t>
            </w:r>
          </w:p>
        </w:tc>
      </w:tr>
      <w:tr w:rsidR="0007132E" w:rsidRPr="00C61670" w14:paraId="0F82846B" w14:textId="77777777" w:rsidTr="00AA0FE0">
        <w:trPr>
          <w:cantSplit/>
          <w:trHeight w:val="20"/>
        </w:trPr>
        <w:tc>
          <w:tcPr>
            <w:tcW w:w="5000" w:type="pct"/>
            <w:vAlign w:val="center"/>
            <w:hideMark/>
          </w:tcPr>
          <w:p w14:paraId="4FAF349E" w14:textId="77777777" w:rsidR="0007132E" w:rsidRPr="00C61670" w:rsidRDefault="0007132E" w:rsidP="00AA0FE0">
            <w:pPr>
              <w:pStyle w:val="TableText0"/>
              <w:keepNext w:val="0"/>
              <w:widowControl w:val="0"/>
            </w:pPr>
            <w:r w:rsidRPr="00C61670">
              <w:rPr>
                <w:b/>
              </w:rPr>
              <w:t>Population criteria:</w:t>
            </w:r>
          </w:p>
        </w:tc>
      </w:tr>
      <w:tr w:rsidR="0007132E" w:rsidRPr="00C61670" w14:paraId="3C54C408" w14:textId="77777777" w:rsidTr="00AA0FE0">
        <w:trPr>
          <w:cantSplit/>
          <w:trHeight w:val="20"/>
        </w:trPr>
        <w:tc>
          <w:tcPr>
            <w:tcW w:w="5000" w:type="pct"/>
            <w:vAlign w:val="center"/>
          </w:tcPr>
          <w:p w14:paraId="1D1EA962" w14:textId="77777777" w:rsidR="0007132E" w:rsidRPr="00C61670" w:rsidRDefault="0007132E" w:rsidP="00AA0FE0">
            <w:pPr>
              <w:pStyle w:val="TableText0"/>
              <w:keepNext w:val="0"/>
              <w:widowControl w:val="0"/>
            </w:pPr>
            <w:r w:rsidRPr="00C61670">
              <w:t>Patient must be aged under 36 months prior to commencing treatment.</w:t>
            </w:r>
          </w:p>
        </w:tc>
      </w:tr>
      <w:tr w:rsidR="0007132E" w:rsidRPr="00C61670" w14:paraId="5EAE49DB" w14:textId="77777777" w:rsidTr="00AA0FE0">
        <w:trPr>
          <w:cantSplit/>
          <w:trHeight w:val="20"/>
        </w:trPr>
        <w:tc>
          <w:tcPr>
            <w:tcW w:w="5000" w:type="pct"/>
            <w:vAlign w:val="center"/>
            <w:hideMark/>
          </w:tcPr>
          <w:p w14:paraId="1AF13FEC" w14:textId="77777777" w:rsidR="0007132E" w:rsidRPr="00C61670" w:rsidRDefault="0007132E" w:rsidP="00AA0FE0">
            <w:pPr>
              <w:pStyle w:val="TableText0"/>
              <w:keepNext w:val="0"/>
              <w:widowControl w:val="0"/>
            </w:pPr>
            <w:r w:rsidRPr="00C61670">
              <w:rPr>
                <w:b/>
              </w:rPr>
              <w:t xml:space="preserve">Prescribing Instructions: </w:t>
            </w:r>
            <w:r w:rsidRPr="00C61670">
              <w:t>Application for authorisation of initial treatment must be in writing (lodged via postal service or electronic upload) and must include:</w:t>
            </w:r>
          </w:p>
          <w:p w14:paraId="342E127B" w14:textId="77777777" w:rsidR="0007132E" w:rsidRPr="00C61670" w:rsidRDefault="0007132E" w:rsidP="00AA0FE0">
            <w:pPr>
              <w:pStyle w:val="TableText0"/>
              <w:keepNext w:val="0"/>
              <w:widowControl w:val="0"/>
            </w:pPr>
            <w:r w:rsidRPr="00C61670">
              <w:t>(a) a completed authority prescription form; and</w:t>
            </w:r>
          </w:p>
          <w:p w14:paraId="6687D90A" w14:textId="77777777" w:rsidR="0007132E" w:rsidRPr="00C61670" w:rsidRDefault="0007132E" w:rsidP="00AA0FE0">
            <w:pPr>
              <w:pStyle w:val="TableText0"/>
              <w:keepNext w:val="0"/>
              <w:widowControl w:val="0"/>
            </w:pPr>
            <w:r w:rsidRPr="00C61670">
              <w:t>(b) a completed spinal muscular atrophy PBS Authority Application Form which includes the following:</w:t>
            </w:r>
          </w:p>
          <w:p w14:paraId="049E451B" w14:textId="77777777" w:rsidR="0007132E" w:rsidRPr="00C61670" w:rsidRDefault="0007132E" w:rsidP="00AA0FE0">
            <w:pPr>
              <w:pStyle w:val="TableText0"/>
              <w:keepNext w:val="0"/>
              <w:widowControl w:val="0"/>
              <w:ind w:left="173"/>
            </w:pPr>
            <w:r w:rsidRPr="00C61670">
              <w:t>(i) confirmation of genetic diagnosis of SMA; and</w:t>
            </w:r>
          </w:p>
          <w:p w14:paraId="46CDC293" w14:textId="77777777" w:rsidR="0007132E" w:rsidRPr="00C61670" w:rsidRDefault="0007132E" w:rsidP="00AA0FE0">
            <w:pPr>
              <w:pStyle w:val="TableText0"/>
              <w:keepNext w:val="0"/>
              <w:widowControl w:val="0"/>
              <w:ind w:left="173"/>
            </w:pPr>
            <w:r w:rsidRPr="00C61670">
              <w:t xml:space="preserve">(ii) a copy of the results substantiating the number of </w:t>
            </w:r>
            <w:r w:rsidRPr="00C61670">
              <w:rPr>
                <w:i/>
                <w:iCs/>
              </w:rPr>
              <w:t>SMN2</w:t>
            </w:r>
            <w:r w:rsidRPr="00C61670">
              <w:t xml:space="preserve"> gene copies determined by quantitative polymerase chain reaction (qPCR) or multiple ligation dependent probe amplification (MLPA)</w:t>
            </w:r>
          </w:p>
        </w:tc>
      </w:tr>
      <w:tr w:rsidR="0007132E" w:rsidRPr="00C61670" w14:paraId="07B0372F" w14:textId="77777777" w:rsidTr="00AA0FE0">
        <w:trPr>
          <w:cantSplit/>
          <w:trHeight w:val="20"/>
        </w:trPr>
        <w:tc>
          <w:tcPr>
            <w:tcW w:w="5000" w:type="pct"/>
            <w:vAlign w:val="center"/>
            <w:hideMark/>
          </w:tcPr>
          <w:p w14:paraId="5F544933" w14:textId="77777777" w:rsidR="0007132E" w:rsidRPr="00C61670" w:rsidRDefault="0007132E" w:rsidP="00AA0FE0">
            <w:pPr>
              <w:pStyle w:val="TableText0"/>
              <w:keepNext w:val="0"/>
              <w:widowControl w:val="0"/>
              <w:rPr>
                <w:b/>
              </w:rPr>
            </w:pPr>
            <w:r w:rsidRPr="00C61670">
              <w:rPr>
                <w:b/>
              </w:rPr>
              <w:t xml:space="preserve">Administrative Advice: </w:t>
            </w:r>
          </w:p>
          <w:p w14:paraId="3F88FFEC" w14:textId="77777777" w:rsidR="0007132E" w:rsidRPr="00C61670" w:rsidRDefault="0007132E" w:rsidP="00AA0FE0">
            <w:pPr>
              <w:pStyle w:val="TableText0"/>
              <w:keepNext w:val="0"/>
              <w:widowControl w:val="0"/>
            </w:pPr>
            <w:r w:rsidRPr="00C61670">
              <w:t>No increase in the maximum number of repeats may be authorised.</w:t>
            </w:r>
          </w:p>
          <w:p w14:paraId="05CEC4C6" w14:textId="77777777" w:rsidR="0007132E" w:rsidRPr="00C61670" w:rsidRDefault="0007132E" w:rsidP="00AA0FE0">
            <w:pPr>
              <w:pStyle w:val="TableText0"/>
              <w:keepNext w:val="0"/>
              <w:widowControl w:val="0"/>
            </w:pPr>
            <w:r w:rsidRPr="00C61670">
              <w:t>No increase in the maximum quantity or number of units may be authorised.</w:t>
            </w:r>
          </w:p>
          <w:p w14:paraId="685F90B5" w14:textId="77777777" w:rsidR="0007132E" w:rsidRPr="00C61670" w:rsidRDefault="0007132E" w:rsidP="00AA0FE0">
            <w:pPr>
              <w:pStyle w:val="TableText0"/>
              <w:keepNext w:val="0"/>
              <w:widowControl w:val="0"/>
            </w:pPr>
            <w:r w:rsidRPr="00C61670">
              <w:t>The approved Product Information recommended dosing is as follows:</w:t>
            </w:r>
          </w:p>
          <w:p w14:paraId="353F531C" w14:textId="77777777" w:rsidR="0007132E" w:rsidRPr="00C61670" w:rsidRDefault="0007132E" w:rsidP="00AA0FE0">
            <w:pPr>
              <w:pStyle w:val="TableText0"/>
              <w:keepNext w:val="0"/>
              <w:widowControl w:val="0"/>
            </w:pPr>
            <w:r w:rsidRPr="00C61670">
              <w:t>(i) 16 days to less than 2 months of age: 0.15 mg/kg</w:t>
            </w:r>
          </w:p>
          <w:p w14:paraId="59642D77" w14:textId="77777777" w:rsidR="0007132E" w:rsidRPr="00C61670" w:rsidRDefault="0007132E" w:rsidP="00AA0FE0">
            <w:pPr>
              <w:pStyle w:val="TableText0"/>
              <w:keepNext w:val="0"/>
              <w:widowControl w:val="0"/>
            </w:pPr>
            <w:r w:rsidRPr="00C61670">
              <w:t>(ii) 2 months to less than 2 years of age: 0.20 mg/kg</w:t>
            </w:r>
          </w:p>
          <w:p w14:paraId="73311554" w14:textId="77777777" w:rsidR="0007132E" w:rsidRPr="00C61670" w:rsidRDefault="0007132E" w:rsidP="00AA0FE0">
            <w:pPr>
              <w:pStyle w:val="TableText0"/>
              <w:keepNext w:val="0"/>
              <w:widowControl w:val="0"/>
            </w:pPr>
            <w:r w:rsidRPr="00C61670">
              <w:t>(iii) 2 years of age and older weighing less than 20 kg: 0.25 mg/kg</w:t>
            </w:r>
          </w:p>
          <w:p w14:paraId="3D0C3552" w14:textId="77777777" w:rsidR="0007132E" w:rsidRPr="00C61670" w:rsidRDefault="0007132E" w:rsidP="00AA0FE0">
            <w:pPr>
              <w:pStyle w:val="TableText0"/>
              <w:keepNext w:val="0"/>
              <w:widowControl w:val="0"/>
            </w:pPr>
            <w:r w:rsidRPr="00C61670">
              <w:t>(iv) 2 years of age and older weighing 20 kg or more: 5 mg</w:t>
            </w:r>
          </w:p>
          <w:p w14:paraId="186663BB" w14:textId="77777777" w:rsidR="0007132E" w:rsidRPr="00C61670" w:rsidRDefault="0007132E" w:rsidP="00AA0FE0">
            <w:pPr>
              <w:pStyle w:val="TableText0"/>
              <w:keepNext w:val="0"/>
              <w:widowControl w:val="0"/>
            </w:pPr>
            <w:r w:rsidRPr="00C61670">
              <w:t>In this authority application, state which of (i) to (iv) above applies to the patient. Based on (i) to (iv), prescribe up to:</w:t>
            </w:r>
          </w:p>
          <w:p w14:paraId="2B0CC7B7" w14:textId="77777777" w:rsidR="0007132E" w:rsidRPr="00C61670" w:rsidRDefault="0007132E" w:rsidP="00AA0FE0">
            <w:pPr>
              <w:pStyle w:val="TableText0"/>
              <w:keepNext w:val="0"/>
              <w:widowControl w:val="0"/>
            </w:pPr>
            <w:r w:rsidRPr="00C61670">
              <w:t>1 unit where (i) applies;</w:t>
            </w:r>
          </w:p>
          <w:p w14:paraId="24567599" w14:textId="77777777" w:rsidR="0007132E" w:rsidRPr="00C61670" w:rsidRDefault="0007132E" w:rsidP="00AA0FE0">
            <w:pPr>
              <w:pStyle w:val="TableText0"/>
              <w:keepNext w:val="0"/>
              <w:widowControl w:val="0"/>
            </w:pPr>
            <w:r w:rsidRPr="00C61670">
              <w:t>2 units where (ii) applies;</w:t>
            </w:r>
          </w:p>
          <w:p w14:paraId="23EA3850" w14:textId="77777777" w:rsidR="0007132E" w:rsidRPr="00C61670" w:rsidRDefault="0007132E" w:rsidP="00AA0FE0">
            <w:pPr>
              <w:pStyle w:val="TableText0"/>
              <w:keepNext w:val="0"/>
              <w:widowControl w:val="0"/>
            </w:pPr>
            <w:r w:rsidRPr="00C61670">
              <w:t>3 units where (iii) applies;</w:t>
            </w:r>
          </w:p>
          <w:p w14:paraId="6B7F24B5" w14:textId="77777777" w:rsidR="0007132E" w:rsidRPr="00C61670" w:rsidRDefault="0007132E" w:rsidP="00AA0FE0">
            <w:pPr>
              <w:pStyle w:val="TableText0"/>
              <w:keepNext w:val="0"/>
              <w:widowControl w:val="0"/>
            </w:pPr>
            <w:r w:rsidRPr="00C61670">
              <w:t>3 units where (iv) applies.</w:t>
            </w:r>
          </w:p>
        </w:tc>
      </w:tr>
    </w:tbl>
    <w:p w14:paraId="0E41AA45" w14:textId="342E11BD" w:rsidR="0007132E" w:rsidRPr="00C61670" w:rsidRDefault="0007132E" w:rsidP="0007132E">
      <w:pPr>
        <w:pStyle w:val="FooterTableFigure"/>
      </w:pPr>
      <w:r w:rsidRPr="00C61670">
        <w:t xml:space="preserve">Note: </w:t>
      </w:r>
      <w:r w:rsidRPr="00C61670">
        <w:rPr>
          <w:u w:val="single"/>
        </w:rPr>
        <w:t>Underlined</w:t>
      </w:r>
      <w:r w:rsidRPr="00C61670">
        <w:t xml:space="preserve"> text refers to proposed amendment of the currently</w:t>
      </w:r>
      <w:r w:rsidR="005D18DB">
        <w:t xml:space="preserve"> </w:t>
      </w:r>
      <w:r w:rsidRPr="00C61670">
        <w:t>listed risdiplam pre-symptomatic PBS restriction.</w:t>
      </w:r>
    </w:p>
    <w:p w14:paraId="082DC248" w14:textId="77777777" w:rsidR="0007132E" w:rsidRPr="00C61670" w:rsidRDefault="0007132E" w:rsidP="0007132E">
      <w:pPr>
        <w:pStyle w:val="FooterTableFigure"/>
      </w:pPr>
      <w:r w:rsidRPr="00C61670">
        <w:rPr>
          <w:vertAlign w:val="superscript"/>
        </w:rPr>
        <w:t>a</w:t>
      </w:r>
      <w:r w:rsidRPr="00C61670">
        <w:t xml:space="preserve"> The term “pre-symptomatic SMA” is not included in this sentence of the current risdiplam pre-symptomatic listing but is included separately as a subsequent clinical criteria (as also included above).</w:t>
      </w:r>
    </w:p>
    <w:p w14:paraId="5E82F3E2" w14:textId="3440E7F1" w:rsidR="0007132E" w:rsidRPr="00C61670" w:rsidRDefault="0007132E" w:rsidP="0007132E">
      <w:pPr>
        <w:pStyle w:val="FooterTableFigure"/>
      </w:pPr>
      <w:r w:rsidRPr="00C61670">
        <w:t xml:space="preserve">Source: Table 1.10of the </w:t>
      </w:r>
      <w:r w:rsidR="0007089E">
        <w:t>submission</w:t>
      </w:r>
      <w:r w:rsidRPr="00C61670">
        <w:t xml:space="preserve"> </w:t>
      </w:r>
    </w:p>
    <w:p w14:paraId="1D98E68A" w14:textId="6B93888B" w:rsidR="0007132E" w:rsidRPr="00C61670" w:rsidRDefault="0007132E" w:rsidP="0007132E">
      <w:pPr>
        <w:pStyle w:val="ExecSumBodyText"/>
        <w:numPr>
          <w:ilvl w:val="1"/>
          <w:numId w:val="1"/>
        </w:numPr>
      </w:pPr>
      <w:r w:rsidRPr="00C61670">
        <w:t xml:space="preserve">The </w:t>
      </w:r>
      <w:r w:rsidR="0007089E">
        <w:t>submission</w:t>
      </w:r>
      <w:r w:rsidRPr="00C61670">
        <w:t xml:space="preserve"> did not propose an effective price for risdiplam and stated that the effective price for nusinersen for the pre-symptomatic treatment of patients with three </w:t>
      </w:r>
      <w:r w:rsidRPr="00C61670">
        <w:rPr>
          <w:i/>
          <w:iCs/>
        </w:rPr>
        <w:t>SMN2</w:t>
      </w:r>
      <w:r w:rsidRPr="00C61670">
        <w:t xml:space="preserve"> gene copies (to which risdiplam was cost-minimised) would not be disclosed to the sponsor until a positive recommendation has occurred for risdiplam in this population and upon the sponsor signing a Deed of Confidentiality. Therefore, the sponsor lodged the </w:t>
      </w:r>
      <w:r w:rsidR="0007089E">
        <w:t>submission</w:t>
      </w:r>
      <w:r w:rsidRPr="00C61670">
        <w:t xml:space="preserve"> </w:t>
      </w:r>
      <w:proofErr w:type="gramStart"/>
      <w:r w:rsidRPr="00C61670">
        <w:t>on the basis of</w:t>
      </w:r>
      <w:proofErr w:type="gramEnd"/>
      <w:r w:rsidRPr="00C61670">
        <w:t xml:space="preserve"> an in-principle agreement that the effective price for risdiplam will be no higher than the cost</w:t>
      </w:r>
      <w:r w:rsidRPr="00C61670">
        <w:rPr>
          <w:rFonts w:ascii="Cambria Math" w:hAnsi="Cambria Math" w:cs="Cambria Math"/>
        </w:rPr>
        <w:t>‑</w:t>
      </w:r>
      <w:r w:rsidRPr="00C61670">
        <w:t xml:space="preserve">minimised effective price for the main comparator, nusinersen. </w:t>
      </w:r>
    </w:p>
    <w:p w14:paraId="19C4CD9D" w14:textId="3A296865" w:rsidR="00295E4F" w:rsidRPr="00295E4F" w:rsidRDefault="00295E4F" w:rsidP="0007132E">
      <w:pPr>
        <w:pStyle w:val="3-BodyText"/>
      </w:pPr>
      <w:r w:rsidRPr="00295E4F">
        <w:rPr>
          <w:rFonts w:cstheme="minorHAnsi"/>
        </w:rPr>
        <w:lastRenderedPageBreak/>
        <w:t>The submission proposed a</w:t>
      </w:r>
      <w:r w:rsidR="00A923AC">
        <w:rPr>
          <w:rFonts w:cstheme="minorHAnsi"/>
        </w:rPr>
        <w:t xml:space="preserve"> change to the</w:t>
      </w:r>
      <w:r w:rsidRPr="00295E4F">
        <w:rPr>
          <w:rFonts w:cstheme="minorHAnsi"/>
        </w:rPr>
        <w:t xml:space="preserve"> </w:t>
      </w:r>
      <w:r w:rsidR="00A0282C">
        <w:rPr>
          <w:rFonts w:cstheme="minorHAnsi"/>
        </w:rPr>
        <w:t xml:space="preserve">existing </w:t>
      </w:r>
      <w:r w:rsidRPr="00295E4F">
        <w:rPr>
          <w:rFonts w:cstheme="minorHAnsi"/>
        </w:rPr>
        <w:t>restriction for initial treatment</w:t>
      </w:r>
      <w:r w:rsidR="00A0282C">
        <w:rPr>
          <w:rFonts w:cstheme="minorHAnsi"/>
        </w:rPr>
        <w:t xml:space="preserve"> of pre-symptomatic patients with 1-2 copies </w:t>
      </w:r>
      <w:r w:rsidR="00A0282C" w:rsidRPr="00A0282C">
        <w:rPr>
          <w:rFonts w:cstheme="minorHAnsi"/>
          <w:i/>
          <w:iCs/>
        </w:rPr>
        <w:t>SMN2</w:t>
      </w:r>
      <w:r w:rsidR="00A923AC">
        <w:rPr>
          <w:rFonts w:cstheme="minorHAnsi"/>
        </w:rPr>
        <w:t xml:space="preserve"> to include patients with 3 copies </w:t>
      </w:r>
      <w:r w:rsidR="00A923AC" w:rsidRPr="00A923AC">
        <w:rPr>
          <w:rFonts w:cstheme="minorHAnsi"/>
          <w:i/>
          <w:iCs/>
        </w:rPr>
        <w:t>SMN2</w:t>
      </w:r>
      <w:r w:rsidR="00A0282C">
        <w:rPr>
          <w:rFonts w:cstheme="minorHAnsi"/>
          <w:i/>
          <w:iCs/>
        </w:rPr>
        <w:t xml:space="preserve">. </w:t>
      </w:r>
      <w:r w:rsidR="00A0282C" w:rsidRPr="00A0282C">
        <w:rPr>
          <w:rFonts w:cstheme="minorHAnsi"/>
        </w:rPr>
        <w:t>The submission</w:t>
      </w:r>
      <w:r w:rsidRPr="00A0282C">
        <w:rPr>
          <w:rFonts w:cstheme="minorHAnsi"/>
        </w:rPr>
        <w:t xml:space="preserve"> did</w:t>
      </w:r>
      <w:r w:rsidRPr="00295E4F">
        <w:rPr>
          <w:rFonts w:cstheme="minorHAnsi"/>
        </w:rPr>
        <w:t xml:space="preserve"> not specifically detail a continuation restriction</w:t>
      </w:r>
      <w:r>
        <w:rPr>
          <w:rFonts w:cstheme="minorHAnsi"/>
        </w:rPr>
        <w:t xml:space="preserve">, noting </w:t>
      </w:r>
      <w:r w:rsidRPr="00295E4F">
        <w:rPr>
          <w:rFonts w:cstheme="minorHAnsi"/>
        </w:rPr>
        <w:t xml:space="preserve">that the current continuation restriction (with an expansion </w:t>
      </w:r>
      <w:r w:rsidR="00A0282C">
        <w:rPr>
          <w:rFonts w:cstheme="minorHAnsi"/>
        </w:rPr>
        <w:t>of</w:t>
      </w:r>
      <w:r w:rsidRPr="00295E4F">
        <w:rPr>
          <w:rFonts w:cstheme="minorHAnsi"/>
        </w:rPr>
        <w:t xml:space="preserve"> the treatment phase to include </w:t>
      </w:r>
      <w:r w:rsidR="00A0282C">
        <w:rPr>
          <w:rFonts w:cstheme="minorHAnsi"/>
        </w:rPr>
        <w:t xml:space="preserve">patients with 1-3 copies </w:t>
      </w:r>
      <w:r w:rsidR="00A0282C" w:rsidRPr="00A0282C">
        <w:rPr>
          <w:rFonts w:cstheme="minorHAnsi"/>
          <w:i/>
          <w:iCs/>
        </w:rPr>
        <w:t>SMN2</w:t>
      </w:r>
      <w:r w:rsidRPr="00295E4F">
        <w:rPr>
          <w:rFonts w:cstheme="minorHAnsi"/>
        </w:rPr>
        <w:t xml:space="preserve"> would be appropriate for patients initiated on risdiplam under this restriction. The </w:t>
      </w:r>
      <w:r>
        <w:rPr>
          <w:rFonts w:cstheme="minorHAnsi"/>
        </w:rPr>
        <w:t xml:space="preserve">Secretariat noted that </w:t>
      </w:r>
      <w:r w:rsidRPr="00295E4F">
        <w:rPr>
          <w:rFonts w:cstheme="minorHAnsi"/>
        </w:rPr>
        <w:t xml:space="preserve">listings for nusinersen and onasemnogene abeparvovec in patients with pre-symptomatic SMA with 3 copies of the </w:t>
      </w:r>
      <w:r w:rsidRPr="00295E4F">
        <w:rPr>
          <w:rFonts w:cstheme="minorHAnsi"/>
          <w:i/>
          <w:iCs/>
        </w:rPr>
        <w:t>SMN2</w:t>
      </w:r>
      <w:r w:rsidRPr="00295E4F">
        <w:rPr>
          <w:rFonts w:cstheme="minorHAnsi"/>
        </w:rPr>
        <w:t xml:space="preserve"> gene are separate PBS item codes from the listings for patients with 1-2 copies. The PBAC consider</w:t>
      </w:r>
      <w:r>
        <w:rPr>
          <w:rFonts w:cstheme="minorHAnsi"/>
        </w:rPr>
        <w:t>ed</w:t>
      </w:r>
      <w:r w:rsidRPr="00295E4F">
        <w:rPr>
          <w:rFonts w:cstheme="minorHAnsi"/>
        </w:rPr>
        <w:t xml:space="preserve"> </w:t>
      </w:r>
      <w:r>
        <w:rPr>
          <w:rFonts w:cstheme="minorHAnsi"/>
        </w:rPr>
        <w:t>this approach</w:t>
      </w:r>
      <w:r w:rsidRPr="00295E4F">
        <w:rPr>
          <w:rFonts w:cstheme="minorHAnsi"/>
        </w:rPr>
        <w:t xml:space="preserve"> would also be reasonable for the proposed risdiplam listings for patients with 3 copies of the </w:t>
      </w:r>
      <w:r w:rsidRPr="00295E4F">
        <w:rPr>
          <w:rFonts w:cstheme="minorHAnsi"/>
          <w:i/>
          <w:iCs/>
        </w:rPr>
        <w:t>SMN2</w:t>
      </w:r>
      <w:r w:rsidRPr="00295E4F">
        <w:rPr>
          <w:rFonts w:cstheme="minorHAnsi"/>
        </w:rPr>
        <w:t xml:space="preserve"> gene</w:t>
      </w:r>
      <w:r w:rsidRPr="00295E4F">
        <w:t>.</w:t>
      </w:r>
    </w:p>
    <w:p w14:paraId="24B89782" w14:textId="4EC2AEE1" w:rsidR="0007132E" w:rsidRPr="00C61670" w:rsidRDefault="00295E4F" w:rsidP="0007132E">
      <w:pPr>
        <w:pStyle w:val="3-BodyText"/>
      </w:pPr>
      <w:r>
        <w:t>T</w:t>
      </w:r>
      <w:r w:rsidR="0007132E" w:rsidRPr="00C61670">
        <w:t xml:space="preserve">he </w:t>
      </w:r>
      <w:r w:rsidR="0007089E">
        <w:t>submission</w:t>
      </w:r>
      <w:r w:rsidR="0007132E" w:rsidRPr="00C61670">
        <w:t xml:space="preserve"> did not propose a specific grandfathering </w:t>
      </w:r>
      <w:r w:rsidR="004556F6">
        <w:t>restriction</w:t>
      </w:r>
      <w:r w:rsidR="004556F6" w:rsidRPr="00C61670">
        <w:t xml:space="preserve"> </w:t>
      </w:r>
      <w:r w:rsidR="0007132E" w:rsidRPr="00C61670">
        <w:t xml:space="preserve">but included treatment criteria to include patients undergoing initial PBS-subsidised treatment who initiated treatment via non-PBS supply (e.g. clinical trial, sponsor compassionate access). </w:t>
      </w:r>
      <w:r w:rsidR="0007132E" w:rsidRPr="0081032F">
        <w:rPr>
          <w:iCs/>
        </w:rPr>
        <w:t xml:space="preserve">The </w:t>
      </w:r>
      <w:r w:rsidR="0007089E" w:rsidRPr="0081032F">
        <w:rPr>
          <w:iCs/>
        </w:rPr>
        <w:t>submission</w:t>
      </w:r>
      <w:r w:rsidR="0007132E" w:rsidRPr="0081032F">
        <w:rPr>
          <w:iCs/>
        </w:rPr>
        <w:t xml:space="preserve"> reported that eight pre-symptomatic Australian SMA patients, including </w:t>
      </w:r>
      <w:r w:rsidR="00A241D4" w:rsidRPr="0081032F">
        <w:rPr>
          <w:iCs/>
        </w:rPr>
        <w:t>six</w:t>
      </w:r>
      <w:r w:rsidR="0007132E" w:rsidRPr="0081032F">
        <w:rPr>
          <w:iCs/>
        </w:rPr>
        <w:t xml:space="preserve"> patients with three copies of </w:t>
      </w:r>
      <w:r w:rsidR="0007132E" w:rsidRPr="000F1040">
        <w:rPr>
          <w:i/>
        </w:rPr>
        <w:t>SMN2</w:t>
      </w:r>
      <w:r w:rsidR="0007132E" w:rsidRPr="0081032F">
        <w:rPr>
          <w:iCs/>
        </w:rPr>
        <w:t xml:space="preserve">, are currently accessing risdiplam as part of the RAINBOWFISH study. These </w:t>
      </w:r>
      <w:r w:rsidR="00D637C2">
        <w:rPr>
          <w:iCs/>
        </w:rPr>
        <w:t xml:space="preserve">six </w:t>
      </w:r>
      <w:r w:rsidR="0007132E" w:rsidRPr="0081032F">
        <w:rPr>
          <w:iCs/>
        </w:rPr>
        <w:t>patients would be eligible for PBS-listed risdiplam under the proposed listing.</w:t>
      </w:r>
      <w:r w:rsidR="00113569" w:rsidRPr="0081032F">
        <w:rPr>
          <w:iCs/>
        </w:rPr>
        <w:t xml:space="preserve"> However</w:t>
      </w:r>
      <w:r w:rsidR="00B97455">
        <w:rPr>
          <w:iCs/>
        </w:rPr>
        <w:t>,</w:t>
      </w:r>
      <w:r w:rsidR="00113569" w:rsidRPr="0081032F">
        <w:rPr>
          <w:iCs/>
        </w:rPr>
        <w:t xml:space="preserve"> these patients were not considered in the </w:t>
      </w:r>
      <w:r w:rsidR="0007089E" w:rsidRPr="0081032F">
        <w:rPr>
          <w:iCs/>
        </w:rPr>
        <w:t>submission</w:t>
      </w:r>
      <w:r w:rsidR="00113569" w:rsidRPr="0081032F">
        <w:rPr>
          <w:iCs/>
        </w:rPr>
        <w:t>’s financial estimates</w:t>
      </w:r>
      <w:r w:rsidR="00DA1EAA" w:rsidRPr="0081032F">
        <w:rPr>
          <w:iCs/>
        </w:rPr>
        <w:t>, which may be inappropriate</w:t>
      </w:r>
      <w:r w:rsidR="009B0A57" w:rsidRPr="0081032F">
        <w:rPr>
          <w:iCs/>
        </w:rPr>
        <w:t>.</w:t>
      </w:r>
      <w:r w:rsidR="00DA1EAA" w:rsidRPr="0081032F">
        <w:rPr>
          <w:iCs/>
        </w:rPr>
        <w:t xml:space="preserve"> </w:t>
      </w:r>
    </w:p>
    <w:p w14:paraId="447A27B1" w14:textId="77777777" w:rsidR="00CF4FAF" w:rsidRPr="00C33D30" w:rsidRDefault="00CF4FAF" w:rsidP="00CF4FAF">
      <w:pPr>
        <w:ind w:firstLine="709"/>
        <w:rPr>
          <w:rFonts w:asciiTheme="minorHAnsi" w:hAnsiTheme="minorHAnsi"/>
          <w:i/>
        </w:rPr>
      </w:pPr>
      <w:r w:rsidRPr="00C33D30">
        <w:rPr>
          <w:rFonts w:asciiTheme="minorHAnsi" w:hAnsiTheme="minorHAnsi"/>
          <w:i/>
        </w:rPr>
        <w:t>For more detail on PBAC’s view, see section 7 PBAC outcome.</w:t>
      </w:r>
    </w:p>
    <w:p w14:paraId="04ED4F59" w14:textId="77777777" w:rsidR="0007132E" w:rsidRPr="00C61670" w:rsidDel="00195452" w:rsidRDefault="0007132E" w:rsidP="0007132E">
      <w:pPr>
        <w:pStyle w:val="2-SectionHeading"/>
      </w:pPr>
      <w:bookmarkStart w:id="7" w:name="_Toc167202918"/>
      <w:r w:rsidRPr="00C61670" w:rsidDel="00195452">
        <w:t>Population and disease</w:t>
      </w:r>
      <w:bookmarkEnd w:id="7"/>
    </w:p>
    <w:p w14:paraId="1F09B58B" w14:textId="3DEF84D4" w:rsidR="0007132E" w:rsidRPr="00C61670" w:rsidRDefault="0007132E" w:rsidP="0007132E">
      <w:pPr>
        <w:pStyle w:val="3-BodyText"/>
      </w:pPr>
      <w:r w:rsidRPr="00C61670">
        <w:rPr>
          <w:rFonts w:eastAsiaTheme="minorEastAsia" w:cstheme="minorBidi"/>
          <w:lang w:eastAsia="zh-CN"/>
        </w:rPr>
        <w:t xml:space="preserve">SMA is </w:t>
      </w:r>
      <w:r w:rsidRPr="00C61670">
        <w:t xml:space="preserve">an autosomal recessive progressive neuromuscular disease </w:t>
      </w:r>
      <w:r w:rsidRPr="00C61670">
        <w:rPr>
          <w:rFonts w:eastAsiaTheme="minorEastAsia" w:cstheme="minorBidi"/>
          <w:lang w:eastAsia="zh-CN"/>
        </w:rPr>
        <w:t xml:space="preserve">that causes progressive atrophy of skeletal muscles, generalised weakness and disease‐related complications that can impact survival. It is caused by the deletion, conversion and/or mutation of the </w:t>
      </w:r>
      <w:r w:rsidRPr="00C61670">
        <w:rPr>
          <w:rFonts w:eastAsiaTheme="minorEastAsia" w:cstheme="minorBidi"/>
          <w:i/>
          <w:lang w:eastAsia="zh-CN"/>
        </w:rPr>
        <w:t xml:space="preserve">SMN1 </w:t>
      </w:r>
      <w:r w:rsidRPr="00C61670">
        <w:rPr>
          <w:rFonts w:eastAsiaTheme="minorEastAsia" w:cstheme="minorBidi"/>
          <w:lang w:eastAsia="zh-CN"/>
        </w:rPr>
        <w:t>gene on chromosome 5q13, resulting in insufficient levels of functional SMN protein.</w:t>
      </w:r>
      <w:r w:rsidRPr="00C61670">
        <w:t xml:space="preserve"> </w:t>
      </w:r>
      <w:r w:rsidRPr="00C61670">
        <w:rPr>
          <w:rFonts w:eastAsiaTheme="minorEastAsia" w:cstheme="minorBidi"/>
          <w:lang w:eastAsia="zh-CN"/>
        </w:rPr>
        <w:t xml:space="preserve">The SMN gene is duplicated in humans to give rise to a second SMN gene, </w:t>
      </w:r>
      <w:r w:rsidRPr="00C61670">
        <w:rPr>
          <w:rFonts w:eastAsiaTheme="minorEastAsia" w:cstheme="minorBidi"/>
          <w:i/>
          <w:iCs/>
          <w:lang w:eastAsia="zh-CN"/>
        </w:rPr>
        <w:t>SMN2</w:t>
      </w:r>
      <w:r w:rsidRPr="00C61670">
        <w:rPr>
          <w:rFonts w:eastAsiaTheme="minorEastAsia" w:cstheme="minorBidi"/>
          <w:lang w:eastAsia="zh-CN"/>
        </w:rPr>
        <w:t xml:space="preserve">. </w:t>
      </w:r>
      <w:r w:rsidRPr="00C61670">
        <w:t xml:space="preserve">Although only 10–20% of the </w:t>
      </w:r>
      <w:r w:rsidRPr="00C61670">
        <w:rPr>
          <w:i/>
          <w:iCs/>
        </w:rPr>
        <w:t>SMN2</w:t>
      </w:r>
      <w:r w:rsidRPr="00C61670">
        <w:t xml:space="preserve"> gene protein is fully functional, increased genomic copies of </w:t>
      </w:r>
      <w:r w:rsidRPr="00C61670">
        <w:rPr>
          <w:i/>
          <w:iCs/>
        </w:rPr>
        <w:t>SMN2</w:t>
      </w:r>
      <w:r w:rsidRPr="00C61670">
        <w:t xml:space="preserve"> inversely correlates with disease severity among individuals with SMA i.e. patients with milder forms of SMA have higher copy numbers than patients with severe SMA.</w:t>
      </w:r>
      <w:r w:rsidRPr="00C61670">
        <w:rPr>
          <w:shd w:val="clear" w:color="auto" w:fill="FFFFFF"/>
        </w:rPr>
        <w:t xml:space="preserve"> </w:t>
      </w:r>
      <w:r w:rsidR="00B97455" w:rsidRPr="00C61670">
        <w:rPr>
          <w:shd w:val="clear" w:color="auto" w:fill="FFFFFF"/>
        </w:rPr>
        <w:t>Consequently,</w:t>
      </w:r>
      <w:r w:rsidRPr="00C61670">
        <w:rPr>
          <w:shd w:val="clear" w:color="auto" w:fill="FFFFFF"/>
        </w:rPr>
        <w:t xml:space="preserve"> SMA presents across a broad clinical spectrum, ranging from extremely weak infants with a historically dismal prognosis, to more mildly affected, ambulatory children and adults.</w:t>
      </w:r>
    </w:p>
    <w:p w14:paraId="52864F6A" w14:textId="5F94D636" w:rsidR="0007132E" w:rsidRPr="0081032F" w:rsidRDefault="0007132E" w:rsidP="0007132E">
      <w:pPr>
        <w:pStyle w:val="3-BodyText"/>
        <w:rPr>
          <w:iCs/>
        </w:rPr>
      </w:pPr>
      <w:r w:rsidRPr="00C61670">
        <w:t xml:space="preserve">The </w:t>
      </w:r>
      <w:r w:rsidR="0007089E">
        <w:t>submission</w:t>
      </w:r>
      <w:r w:rsidRPr="00C61670">
        <w:t xml:space="preserve"> presented an overview of SMA clinical classification (</w:t>
      </w:r>
      <w:r w:rsidRPr="00C61670">
        <w:fldChar w:fldCharType="begin" w:fldLock="1"/>
      </w:r>
      <w:r w:rsidRPr="00C61670">
        <w:instrText xml:space="preserve"> REF _Ref165730295 \h  \* MERGEFORMAT </w:instrText>
      </w:r>
      <w:r w:rsidRPr="00C61670">
        <w:fldChar w:fldCharType="separate"/>
      </w:r>
      <w:r w:rsidR="00AA25E7" w:rsidRPr="00C61670">
        <w:t xml:space="preserve">Table </w:t>
      </w:r>
      <w:r w:rsidR="00AA25E7">
        <w:rPr>
          <w:noProof/>
        </w:rPr>
        <w:t>2</w:t>
      </w:r>
      <w:r w:rsidRPr="00C61670">
        <w:fldChar w:fldCharType="end"/>
      </w:r>
      <w:r w:rsidRPr="00C61670">
        <w:t>).</w:t>
      </w:r>
      <w:r w:rsidRPr="0081032F">
        <w:rPr>
          <w:iCs/>
        </w:rPr>
        <w:t xml:space="preserve"> This provided a more simplified description of the typical </w:t>
      </w:r>
      <w:r w:rsidRPr="00E94743">
        <w:rPr>
          <w:i/>
        </w:rPr>
        <w:t>SMN2</w:t>
      </w:r>
      <w:r w:rsidRPr="0081032F">
        <w:rPr>
          <w:iCs/>
        </w:rPr>
        <w:t xml:space="preserve"> copy number for each SMA type compared to details previously considered by the PBAC (paragraph 4.2, risdiplam PSD, March 2023 PBAC meeting and paragraph 4.1, nusinersen PSD, July 2023 PBAC meeting). Notably, the table below states that patients with SMA Type 2 typically have an </w:t>
      </w:r>
      <w:r w:rsidRPr="00E94743">
        <w:rPr>
          <w:i/>
        </w:rPr>
        <w:t>SMN2</w:t>
      </w:r>
      <w:r w:rsidRPr="0081032F">
        <w:rPr>
          <w:iCs/>
        </w:rPr>
        <w:t xml:space="preserve"> copy number of three whereas previous descriptions stated that patients with an </w:t>
      </w:r>
      <w:r w:rsidRPr="00E94743">
        <w:rPr>
          <w:i/>
        </w:rPr>
        <w:t>SMN2</w:t>
      </w:r>
      <w:r w:rsidRPr="0081032F">
        <w:rPr>
          <w:iCs/>
        </w:rPr>
        <w:t xml:space="preserve"> copy number of three were commonly classified as having either SMA Type 2 or 3 (3a or 3b).</w:t>
      </w:r>
    </w:p>
    <w:p w14:paraId="05A17F03" w14:textId="60F9862C" w:rsidR="0007132E" w:rsidRPr="00C61670" w:rsidRDefault="0007132E" w:rsidP="0007132E">
      <w:pPr>
        <w:pStyle w:val="Caption"/>
      </w:pPr>
      <w:bookmarkStart w:id="8" w:name="_Ref165730295"/>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2</w:t>
      </w:r>
      <w:r w:rsidR="002906A9">
        <w:rPr>
          <w:noProof/>
        </w:rPr>
        <w:fldChar w:fldCharType="end"/>
      </w:r>
      <w:bookmarkEnd w:id="8"/>
      <w:r w:rsidRPr="00C61670">
        <w:t xml:space="preserve">: SMA clinical classification according to onset, achieved milestones, evolution and </w:t>
      </w:r>
      <w:r w:rsidRPr="000F1040">
        <w:rPr>
          <w:i/>
          <w:iCs/>
        </w:rPr>
        <w:t>SMN2</w:t>
      </w:r>
      <w:r w:rsidRPr="00C61670">
        <w:t xml:space="preserve"> genotype </w:t>
      </w:r>
      <w:r w:rsidRPr="00C61670">
        <w:rPr>
          <w:szCs w:val="20"/>
          <w:vertAlign w:val="superscript"/>
        </w:rPr>
        <w:t>a</w:t>
      </w:r>
    </w:p>
    <w:tbl>
      <w:tblPr>
        <w:tblStyle w:val="HTAtableplain1"/>
        <w:tblW w:w="5000" w:type="pct"/>
        <w:tblLook w:val="04A0" w:firstRow="1" w:lastRow="0" w:firstColumn="1" w:lastColumn="0" w:noHBand="0" w:noVBand="1"/>
        <w:tblCaption w:val="Table 2: SMA clinical classification according to onset, achieved milestones, evolution and SMN2 genotype a"/>
      </w:tblPr>
      <w:tblGrid>
        <w:gridCol w:w="1405"/>
        <w:gridCol w:w="1270"/>
        <w:gridCol w:w="846"/>
        <w:gridCol w:w="986"/>
        <w:gridCol w:w="988"/>
        <w:gridCol w:w="1270"/>
        <w:gridCol w:w="1127"/>
        <w:gridCol w:w="1125"/>
      </w:tblGrid>
      <w:tr w:rsidR="0007132E" w:rsidRPr="00C61670" w14:paraId="2B137A7F" w14:textId="77777777" w:rsidTr="00C3117B">
        <w:tc>
          <w:tcPr>
            <w:tcW w:w="779" w:type="pct"/>
          </w:tcPr>
          <w:p w14:paraId="1F923FFA" w14:textId="77777777" w:rsidR="0007132E" w:rsidRPr="00C61670" w:rsidRDefault="0007132E" w:rsidP="00AA0FE0">
            <w:pPr>
              <w:pStyle w:val="In-tableHeading"/>
              <w:rPr>
                <w:sz w:val="20"/>
                <w:szCs w:val="20"/>
                <w:lang w:val="en-AU"/>
              </w:rPr>
            </w:pPr>
            <w:r w:rsidRPr="00C61670">
              <w:rPr>
                <w:sz w:val="20"/>
                <w:szCs w:val="20"/>
                <w:lang w:val="en-AU"/>
              </w:rPr>
              <w:t xml:space="preserve">SMA Type without access to treatment </w:t>
            </w:r>
          </w:p>
        </w:tc>
        <w:tc>
          <w:tcPr>
            <w:tcW w:w="704" w:type="pct"/>
            <w:vAlign w:val="center"/>
          </w:tcPr>
          <w:p w14:paraId="48AD21E7" w14:textId="77777777" w:rsidR="0007132E" w:rsidRPr="00C61670" w:rsidRDefault="0007132E" w:rsidP="00E86797">
            <w:pPr>
              <w:pStyle w:val="In-tableHeading"/>
              <w:jc w:val="center"/>
              <w:rPr>
                <w:sz w:val="20"/>
                <w:szCs w:val="20"/>
                <w:lang w:val="en-AU"/>
              </w:rPr>
            </w:pPr>
            <w:r w:rsidRPr="00C61670">
              <w:rPr>
                <w:sz w:val="20"/>
                <w:szCs w:val="20"/>
                <w:lang w:val="en-AU"/>
              </w:rPr>
              <w:t>Age at symptom onset</w:t>
            </w:r>
          </w:p>
        </w:tc>
        <w:tc>
          <w:tcPr>
            <w:tcW w:w="469" w:type="pct"/>
            <w:vAlign w:val="center"/>
          </w:tcPr>
          <w:p w14:paraId="34FA6AB8" w14:textId="77777777" w:rsidR="0007132E" w:rsidRPr="00C61670" w:rsidRDefault="0007132E" w:rsidP="00E86797">
            <w:pPr>
              <w:pStyle w:val="In-tableHeading"/>
              <w:jc w:val="center"/>
              <w:rPr>
                <w:sz w:val="20"/>
                <w:szCs w:val="20"/>
                <w:lang w:val="en-AU"/>
              </w:rPr>
            </w:pPr>
            <w:r w:rsidRPr="00C61670">
              <w:rPr>
                <w:sz w:val="20"/>
                <w:szCs w:val="20"/>
                <w:lang w:val="en-AU"/>
              </w:rPr>
              <w:t>Able to sit</w:t>
            </w:r>
          </w:p>
        </w:tc>
        <w:tc>
          <w:tcPr>
            <w:tcW w:w="547" w:type="pct"/>
            <w:vAlign w:val="center"/>
          </w:tcPr>
          <w:p w14:paraId="05DCD97B" w14:textId="77777777" w:rsidR="0007132E" w:rsidRPr="00C61670" w:rsidRDefault="0007132E" w:rsidP="00E86797">
            <w:pPr>
              <w:pStyle w:val="In-tableHeading"/>
              <w:jc w:val="center"/>
              <w:rPr>
                <w:sz w:val="20"/>
                <w:szCs w:val="20"/>
                <w:lang w:val="en-AU"/>
              </w:rPr>
            </w:pPr>
            <w:r w:rsidRPr="00C61670">
              <w:rPr>
                <w:sz w:val="20"/>
                <w:szCs w:val="20"/>
                <w:lang w:val="en-AU"/>
              </w:rPr>
              <w:t>Able to stand</w:t>
            </w:r>
          </w:p>
        </w:tc>
        <w:tc>
          <w:tcPr>
            <w:tcW w:w="548" w:type="pct"/>
            <w:vAlign w:val="center"/>
          </w:tcPr>
          <w:p w14:paraId="049005D9" w14:textId="77777777" w:rsidR="0007132E" w:rsidRPr="00C61670" w:rsidRDefault="0007132E" w:rsidP="00E86797">
            <w:pPr>
              <w:pStyle w:val="In-tableHeading"/>
              <w:jc w:val="center"/>
              <w:rPr>
                <w:sz w:val="20"/>
                <w:szCs w:val="20"/>
                <w:lang w:val="en-AU"/>
              </w:rPr>
            </w:pPr>
            <w:r w:rsidRPr="00C61670">
              <w:rPr>
                <w:sz w:val="20"/>
                <w:szCs w:val="20"/>
                <w:lang w:val="en-AU"/>
              </w:rPr>
              <w:t>Able to walk</w:t>
            </w:r>
          </w:p>
        </w:tc>
        <w:tc>
          <w:tcPr>
            <w:tcW w:w="704" w:type="pct"/>
            <w:vAlign w:val="center"/>
          </w:tcPr>
          <w:p w14:paraId="243D1838" w14:textId="77777777" w:rsidR="0007132E" w:rsidRPr="00C61670" w:rsidRDefault="0007132E" w:rsidP="00E86797">
            <w:pPr>
              <w:pStyle w:val="In-tableHeading"/>
              <w:jc w:val="center"/>
              <w:rPr>
                <w:sz w:val="20"/>
                <w:szCs w:val="20"/>
                <w:lang w:val="en-AU"/>
              </w:rPr>
            </w:pPr>
            <w:r w:rsidRPr="00C61670">
              <w:rPr>
                <w:sz w:val="20"/>
                <w:szCs w:val="20"/>
                <w:lang w:val="en-AU"/>
              </w:rPr>
              <w:t>Typical symptoms</w:t>
            </w:r>
          </w:p>
        </w:tc>
        <w:tc>
          <w:tcPr>
            <w:tcW w:w="625" w:type="pct"/>
            <w:vAlign w:val="center"/>
          </w:tcPr>
          <w:p w14:paraId="56D6F3A2" w14:textId="77777777" w:rsidR="0007132E" w:rsidRPr="00C61670" w:rsidRDefault="0007132E" w:rsidP="00E86797">
            <w:pPr>
              <w:pStyle w:val="In-tableHeading"/>
              <w:jc w:val="center"/>
              <w:rPr>
                <w:sz w:val="20"/>
                <w:szCs w:val="20"/>
                <w:lang w:val="en-AU"/>
              </w:rPr>
            </w:pPr>
            <w:r w:rsidRPr="00C61670">
              <w:rPr>
                <w:sz w:val="20"/>
                <w:szCs w:val="20"/>
                <w:lang w:val="en-AU"/>
              </w:rPr>
              <w:t>Life expectancy</w:t>
            </w:r>
          </w:p>
        </w:tc>
        <w:tc>
          <w:tcPr>
            <w:tcW w:w="625" w:type="pct"/>
            <w:vAlign w:val="center"/>
          </w:tcPr>
          <w:p w14:paraId="0F4D7F25" w14:textId="77777777" w:rsidR="0007132E" w:rsidRPr="00C61670" w:rsidRDefault="0007132E" w:rsidP="00E86797">
            <w:pPr>
              <w:pStyle w:val="In-tableHeading"/>
              <w:jc w:val="center"/>
              <w:rPr>
                <w:sz w:val="20"/>
                <w:szCs w:val="20"/>
                <w:lang w:val="en-AU"/>
              </w:rPr>
            </w:pPr>
            <w:r w:rsidRPr="00C61670">
              <w:rPr>
                <w:sz w:val="20"/>
                <w:szCs w:val="20"/>
                <w:lang w:val="en-AU"/>
              </w:rPr>
              <w:t xml:space="preserve">Typical </w:t>
            </w:r>
            <w:r w:rsidRPr="00C61670">
              <w:rPr>
                <w:i/>
                <w:iCs/>
                <w:sz w:val="20"/>
                <w:szCs w:val="20"/>
                <w:lang w:val="en-AU"/>
              </w:rPr>
              <w:t>SMN2</w:t>
            </w:r>
            <w:r w:rsidRPr="00C61670">
              <w:rPr>
                <w:sz w:val="20"/>
                <w:szCs w:val="20"/>
                <w:lang w:val="en-AU"/>
              </w:rPr>
              <w:t xml:space="preserve"> copy number </w:t>
            </w:r>
            <w:r w:rsidRPr="00C61670">
              <w:rPr>
                <w:sz w:val="20"/>
                <w:szCs w:val="20"/>
                <w:vertAlign w:val="superscript"/>
                <w:lang w:val="en-AU"/>
              </w:rPr>
              <w:t>c</w:t>
            </w:r>
          </w:p>
        </w:tc>
      </w:tr>
      <w:tr w:rsidR="0007132E" w:rsidRPr="00C61670" w14:paraId="10F8F21F" w14:textId="77777777" w:rsidTr="00C3117B">
        <w:tc>
          <w:tcPr>
            <w:tcW w:w="779" w:type="pct"/>
            <w:vAlign w:val="center"/>
          </w:tcPr>
          <w:p w14:paraId="254F1BA0" w14:textId="77777777" w:rsidR="0007132E" w:rsidRPr="00C61670" w:rsidRDefault="0007132E" w:rsidP="00AA0FE0">
            <w:pPr>
              <w:pStyle w:val="TableText0"/>
              <w:rPr>
                <w:sz w:val="20"/>
                <w:szCs w:val="20"/>
              </w:rPr>
            </w:pPr>
            <w:r w:rsidRPr="00C61670">
              <w:rPr>
                <w:sz w:val="20"/>
                <w:szCs w:val="20"/>
              </w:rPr>
              <w:t>0</w:t>
            </w:r>
          </w:p>
        </w:tc>
        <w:tc>
          <w:tcPr>
            <w:tcW w:w="704" w:type="pct"/>
            <w:vAlign w:val="center"/>
          </w:tcPr>
          <w:p w14:paraId="66E39985" w14:textId="77777777" w:rsidR="0007132E" w:rsidRPr="00C61670" w:rsidRDefault="0007132E" w:rsidP="00AA0FE0">
            <w:pPr>
              <w:pStyle w:val="TableText0"/>
              <w:jc w:val="center"/>
              <w:rPr>
                <w:sz w:val="20"/>
                <w:szCs w:val="20"/>
              </w:rPr>
            </w:pPr>
            <w:r w:rsidRPr="00C61670">
              <w:rPr>
                <w:sz w:val="20"/>
                <w:szCs w:val="20"/>
              </w:rPr>
              <w:t>Prenatal</w:t>
            </w:r>
          </w:p>
        </w:tc>
        <w:tc>
          <w:tcPr>
            <w:tcW w:w="469" w:type="pct"/>
            <w:shd w:val="clear" w:color="auto" w:fill="auto"/>
            <w:vAlign w:val="center"/>
          </w:tcPr>
          <w:p w14:paraId="44857FB3" w14:textId="77777777" w:rsidR="0007132E" w:rsidRPr="00C61670" w:rsidRDefault="0007132E" w:rsidP="00AA0FE0">
            <w:pPr>
              <w:pStyle w:val="TableText0"/>
              <w:jc w:val="center"/>
              <w:rPr>
                <w:sz w:val="20"/>
                <w:szCs w:val="20"/>
              </w:rPr>
            </w:pPr>
            <w:r w:rsidRPr="00C61670">
              <w:rPr>
                <w:sz w:val="20"/>
                <w:szCs w:val="20"/>
              </w:rPr>
              <w:t>X</w:t>
            </w:r>
          </w:p>
        </w:tc>
        <w:tc>
          <w:tcPr>
            <w:tcW w:w="547" w:type="pct"/>
            <w:shd w:val="clear" w:color="auto" w:fill="auto"/>
            <w:vAlign w:val="center"/>
          </w:tcPr>
          <w:p w14:paraId="5080BD95" w14:textId="77777777" w:rsidR="0007132E" w:rsidRPr="00C61670" w:rsidRDefault="0007132E" w:rsidP="00AA0FE0">
            <w:pPr>
              <w:pStyle w:val="TableText0"/>
              <w:jc w:val="center"/>
              <w:rPr>
                <w:sz w:val="20"/>
                <w:szCs w:val="20"/>
              </w:rPr>
            </w:pPr>
            <w:r w:rsidRPr="00C61670">
              <w:rPr>
                <w:sz w:val="20"/>
                <w:szCs w:val="20"/>
              </w:rPr>
              <w:t>X</w:t>
            </w:r>
          </w:p>
        </w:tc>
        <w:tc>
          <w:tcPr>
            <w:tcW w:w="548" w:type="pct"/>
            <w:shd w:val="clear" w:color="auto" w:fill="auto"/>
            <w:vAlign w:val="center"/>
          </w:tcPr>
          <w:p w14:paraId="75F5E8DF" w14:textId="77777777" w:rsidR="0007132E" w:rsidRPr="00C61670" w:rsidRDefault="0007132E" w:rsidP="00AA0FE0">
            <w:pPr>
              <w:pStyle w:val="TableText0"/>
              <w:jc w:val="center"/>
              <w:rPr>
                <w:sz w:val="20"/>
                <w:szCs w:val="20"/>
              </w:rPr>
            </w:pPr>
            <w:r w:rsidRPr="00C61670">
              <w:rPr>
                <w:sz w:val="20"/>
                <w:szCs w:val="20"/>
              </w:rPr>
              <w:t>X</w:t>
            </w:r>
          </w:p>
        </w:tc>
        <w:tc>
          <w:tcPr>
            <w:tcW w:w="704" w:type="pct"/>
            <w:vAlign w:val="center"/>
          </w:tcPr>
          <w:p w14:paraId="75F3BADB" w14:textId="77777777" w:rsidR="0007132E" w:rsidRPr="00C61670" w:rsidRDefault="0007132E" w:rsidP="00AA0FE0">
            <w:pPr>
              <w:pStyle w:val="TableText0"/>
              <w:jc w:val="center"/>
              <w:rPr>
                <w:sz w:val="20"/>
                <w:szCs w:val="20"/>
              </w:rPr>
            </w:pPr>
            <w:r w:rsidRPr="00C61670">
              <w:rPr>
                <w:sz w:val="20"/>
                <w:szCs w:val="20"/>
              </w:rPr>
              <w:t xml:space="preserve">Severe hypotonia </w:t>
            </w:r>
            <w:r w:rsidRPr="00C61670">
              <w:rPr>
                <w:sz w:val="20"/>
                <w:szCs w:val="20"/>
                <w:vertAlign w:val="superscript"/>
              </w:rPr>
              <w:t>b</w:t>
            </w:r>
          </w:p>
        </w:tc>
        <w:tc>
          <w:tcPr>
            <w:tcW w:w="625" w:type="pct"/>
            <w:vAlign w:val="center"/>
          </w:tcPr>
          <w:p w14:paraId="2254498A" w14:textId="77777777" w:rsidR="0007132E" w:rsidRPr="00C61670" w:rsidRDefault="0007132E" w:rsidP="00AA0FE0">
            <w:pPr>
              <w:pStyle w:val="TableText0"/>
              <w:jc w:val="center"/>
              <w:rPr>
                <w:sz w:val="20"/>
                <w:szCs w:val="20"/>
              </w:rPr>
            </w:pPr>
            <w:r w:rsidRPr="00C61670">
              <w:rPr>
                <w:sz w:val="20"/>
                <w:szCs w:val="20"/>
              </w:rPr>
              <w:t>Death in weeks</w:t>
            </w:r>
          </w:p>
        </w:tc>
        <w:tc>
          <w:tcPr>
            <w:tcW w:w="625" w:type="pct"/>
            <w:vAlign w:val="center"/>
          </w:tcPr>
          <w:p w14:paraId="1695EEDB" w14:textId="77777777" w:rsidR="0007132E" w:rsidRPr="00C61670" w:rsidRDefault="0007132E" w:rsidP="00AA0FE0">
            <w:pPr>
              <w:pStyle w:val="TableText0"/>
              <w:jc w:val="center"/>
              <w:rPr>
                <w:sz w:val="20"/>
                <w:szCs w:val="20"/>
              </w:rPr>
            </w:pPr>
            <w:r w:rsidRPr="00C61670">
              <w:rPr>
                <w:sz w:val="20"/>
                <w:szCs w:val="20"/>
              </w:rPr>
              <w:t>1</w:t>
            </w:r>
          </w:p>
        </w:tc>
      </w:tr>
      <w:tr w:rsidR="0007132E" w:rsidRPr="00C61670" w14:paraId="32B53F00" w14:textId="77777777" w:rsidTr="00C3117B">
        <w:tc>
          <w:tcPr>
            <w:tcW w:w="779" w:type="pct"/>
            <w:vAlign w:val="center"/>
          </w:tcPr>
          <w:p w14:paraId="396D4955" w14:textId="77777777" w:rsidR="0007132E" w:rsidRPr="00C61670" w:rsidRDefault="0007132E" w:rsidP="00AA0FE0">
            <w:pPr>
              <w:pStyle w:val="TableText0"/>
              <w:rPr>
                <w:sz w:val="20"/>
                <w:szCs w:val="20"/>
              </w:rPr>
            </w:pPr>
            <w:r w:rsidRPr="00C61670">
              <w:rPr>
                <w:sz w:val="20"/>
                <w:szCs w:val="20"/>
              </w:rPr>
              <w:t>1</w:t>
            </w:r>
          </w:p>
        </w:tc>
        <w:tc>
          <w:tcPr>
            <w:tcW w:w="704" w:type="pct"/>
            <w:vAlign w:val="center"/>
          </w:tcPr>
          <w:p w14:paraId="30A312F4" w14:textId="77777777" w:rsidR="0007132E" w:rsidRPr="00C61670" w:rsidRDefault="0007132E" w:rsidP="00AA0FE0">
            <w:pPr>
              <w:pStyle w:val="TableText0"/>
              <w:jc w:val="center"/>
              <w:rPr>
                <w:sz w:val="20"/>
                <w:szCs w:val="20"/>
              </w:rPr>
            </w:pPr>
            <w:r w:rsidRPr="00C61670">
              <w:rPr>
                <w:sz w:val="20"/>
                <w:szCs w:val="20"/>
              </w:rPr>
              <w:t>&lt; 6 months</w:t>
            </w:r>
          </w:p>
        </w:tc>
        <w:tc>
          <w:tcPr>
            <w:tcW w:w="469" w:type="pct"/>
            <w:shd w:val="clear" w:color="auto" w:fill="auto"/>
            <w:vAlign w:val="center"/>
          </w:tcPr>
          <w:p w14:paraId="7B1AE2A5" w14:textId="77777777" w:rsidR="0007132E" w:rsidRPr="00C61670" w:rsidRDefault="0007132E" w:rsidP="00AA0FE0">
            <w:pPr>
              <w:pStyle w:val="TableText0"/>
              <w:jc w:val="center"/>
              <w:rPr>
                <w:sz w:val="20"/>
                <w:szCs w:val="20"/>
              </w:rPr>
            </w:pPr>
            <w:r w:rsidRPr="00C61670">
              <w:rPr>
                <w:sz w:val="20"/>
                <w:szCs w:val="20"/>
              </w:rPr>
              <w:t>X</w:t>
            </w:r>
          </w:p>
        </w:tc>
        <w:tc>
          <w:tcPr>
            <w:tcW w:w="547" w:type="pct"/>
            <w:shd w:val="clear" w:color="auto" w:fill="auto"/>
            <w:vAlign w:val="center"/>
          </w:tcPr>
          <w:p w14:paraId="5175C322" w14:textId="77777777" w:rsidR="0007132E" w:rsidRPr="00C61670" w:rsidRDefault="0007132E" w:rsidP="00AA0FE0">
            <w:pPr>
              <w:pStyle w:val="TableText0"/>
              <w:jc w:val="center"/>
              <w:rPr>
                <w:sz w:val="20"/>
                <w:szCs w:val="20"/>
              </w:rPr>
            </w:pPr>
            <w:r w:rsidRPr="00C61670">
              <w:rPr>
                <w:sz w:val="20"/>
                <w:szCs w:val="20"/>
              </w:rPr>
              <w:t>X</w:t>
            </w:r>
          </w:p>
        </w:tc>
        <w:tc>
          <w:tcPr>
            <w:tcW w:w="548" w:type="pct"/>
            <w:shd w:val="clear" w:color="auto" w:fill="auto"/>
            <w:vAlign w:val="center"/>
          </w:tcPr>
          <w:p w14:paraId="2DCBDE79" w14:textId="77777777" w:rsidR="0007132E" w:rsidRPr="00C61670" w:rsidRDefault="0007132E" w:rsidP="00AA0FE0">
            <w:pPr>
              <w:pStyle w:val="TableText0"/>
              <w:jc w:val="center"/>
              <w:rPr>
                <w:sz w:val="20"/>
                <w:szCs w:val="20"/>
              </w:rPr>
            </w:pPr>
            <w:r w:rsidRPr="00C61670">
              <w:rPr>
                <w:sz w:val="20"/>
                <w:szCs w:val="20"/>
              </w:rPr>
              <w:t>X</w:t>
            </w:r>
          </w:p>
        </w:tc>
        <w:tc>
          <w:tcPr>
            <w:tcW w:w="704" w:type="pct"/>
            <w:vAlign w:val="center"/>
          </w:tcPr>
          <w:p w14:paraId="012289C0" w14:textId="77777777" w:rsidR="0007132E" w:rsidRPr="00C61670" w:rsidRDefault="0007132E" w:rsidP="00AA0FE0">
            <w:pPr>
              <w:pStyle w:val="TableText0"/>
              <w:jc w:val="center"/>
              <w:rPr>
                <w:sz w:val="20"/>
                <w:szCs w:val="20"/>
              </w:rPr>
            </w:pPr>
            <w:r w:rsidRPr="00C61670">
              <w:rPr>
                <w:sz w:val="20"/>
                <w:szCs w:val="20"/>
              </w:rPr>
              <w:t>Respiratory failure</w:t>
            </w:r>
          </w:p>
        </w:tc>
        <w:tc>
          <w:tcPr>
            <w:tcW w:w="625" w:type="pct"/>
            <w:vAlign w:val="center"/>
          </w:tcPr>
          <w:p w14:paraId="250B2A4C" w14:textId="77777777" w:rsidR="0007132E" w:rsidRPr="00C61670" w:rsidRDefault="0007132E" w:rsidP="00AA0FE0">
            <w:pPr>
              <w:pStyle w:val="TableText0"/>
              <w:jc w:val="center"/>
              <w:rPr>
                <w:sz w:val="20"/>
                <w:szCs w:val="20"/>
              </w:rPr>
            </w:pPr>
            <w:r w:rsidRPr="00C61670">
              <w:rPr>
                <w:sz w:val="20"/>
                <w:szCs w:val="20"/>
              </w:rPr>
              <w:t>Death by 2 years</w:t>
            </w:r>
          </w:p>
        </w:tc>
        <w:tc>
          <w:tcPr>
            <w:tcW w:w="625" w:type="pct"/>
            <w:vAlign w:val="center"/>
          </w:tcPr>
          <w:p w14:paraId="38626B25" w14:textId="77777777" w:rsidR="0007132E" w:rsidRPr="00C61670" w:rsidRDefault="0007132E" w:rsidP="00AA0FE0">
            <w:pPr>
              <w:pStyle w:val="TableText0"/>
              <w:jc w:val="center"/>
              <w:rPr>
                <w:sz w:val="20"/>
                <w:szCs w:val="20"/>
              </w:rPr>
            </w:pPr>
            <w:r w:rsidRPr="00C61670">
              <w:rPr>
                <w:sz w:val="20"/>
                <w:szCs w:val="20"/>
              </w:rPr>
              <w:t>2</w:t>
            </w:r>
          </w:p>
        </w:tc>
      </w:tr>
      <w:tr w:rsidR="0007132E" w:rsidRPr="00C61670" w14:paraId="6DEAD217" w14:textId="77777777" w:rsidTr="00C3117B">
        <w:tc>
          <w:tcPr>
            <w:tcW w:w="779" w:type="pct"/>
            <w:vAlign w:val="center"/>
          </w:tcPr>
          <w:p w14:paraId="6E3EA8FB" w14:textId="77777777" w:rsidR="0007132E" w:rsidRPr="00C61670" w:rsidRDefault="0007132E" w:rsidP="00AA0FE0">
            <w:pPr>
              <w:pStyle w:val="TableText0"/>
              <w:rPr>
                <w:sz w:val="20"/>
                <w:szCs w:val="20"/>
              </w:rPr>
            </w:pPr>
            <w:r w:rsidRPr="00C61670">
              <w:rPr>
                <w:sz w:val="20"/>
                <w:szCs w:val="20"/>
              </w:rPr>
              <w:t>2</w:t>
            </w:r>
          </w:p>
        </w:tc>
        <w:tc>
          <w:tcPr>
            <w:tcW w:w="704" w:type="pct"/>
            <w:vAlign w:val="center"/>
          </w:tcPr>
          <w:p w14:paraId="74E5980C" w14:textId="77777777" w:rsidR="0007132E" w:rsidRPr="00C61670" w:rsidRDefault="0007132E" w:rsidP="00AA0FE0">
            <w:pPr>
              <w:pStyle w:val="TableText0"/>
              <w:jc w:val="center"/>
              <w:rPr>
                <w:sz w:val="20"/>
                <w:szCs w:val="20"/>
              </w:rPr>
            </w:pPr>
            <w:r w:rsidRPr="00C61670">
              <w:rPr>
                <w:sz w:val="20"/>
                <w:szCs w:val="20"/>
              </w:rPr>
              <w:t>6-18 months</w:t>
            </w:r>
          </w:p>
        </w:tc>
        <w:tc>
          <w:tcPr>
            <w:tcW w:w="469" w:type="pct"/>
            <w:shd w:val="clear" w:color="auto" w:fill="auto"/>
            <w:vAlign w:val="center"/>
          </w:tcPr>
          <w:p w14:paraId="2706EFBC"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547" w:type="pct"/>
            <w:shd w:val="clear" w:color="auto" w:fill="auto"/>
            <w:vAlign w:val="center"/>
          </w:tcPr>
          <w:p w14:paraId="5027BE03" w14:textId="77777777" w:rsidR="0007132E" w:rsidRPr="00C61670" w:rsidRDefault="0007132E" w:rsidP="00AA0FE0">
            <w:pPr>
              <w:pStyle w:val="TableText0"/>
              <w:jc w:val="center"/>
              <w:rPr>
                <w:sz w:val="20"/>
                <w:szCs w:val="20"/>
              </w:rPr>
            </w:pPr>
            <w:r w:rsidRPr="00C61670">
              <w:rPr>
                <w:sz w:val="20"/>
                <w:szCs w:val="20"/>
              </w:rPr>
              <w:t>X</w:t>
            </w:r>
          </w:p>
        </w:tc>
        <w:tc>
          <w:tcPr>
            <w:tcW w:w="548" w:type="pct"/>
            <w:shd w:val="clear" w:color="auto" w:fill="auto"/>
            <w:vAlign w:val="center"/>
          </w:tcPr>
          <w:p w14:paraId="1FB15434" w14:textId="77777777" w:rsidR="0007132E" w:rsidRPr="00C61670" w:rsidRDefault="0007132E" w:rsidP="00AA0FE0">
            <w:pPr>
              <w:pStyle w:val="TableText0"/>
              <w:jc w:val="center"/>
              <w:rPr>
                <w:sz w:val="20"/>
                <w:szCs w:val="20"/>
              </w:rPr>
            </w:pPr>
            <w:r w:rsidRPr="00C61670">
              <w:rPr>
                <w:sz w:val="20"/>
                <w:szCs w:val="20"/>
              </w:rPr>
              <w:t>X</w:t>
            </w:r>
          </w:p>
        </w:tc>
        <w:tc>
          <w:tcPr>
            <w:tcW w:w="704" w:type="pct"/>
            <w:vAlign w:val="center"/>
          </w:tcPr>
          <w:p w14:paraId="70F823EE" w14:textId="77777777" w:rsidR="0007132E" w:rsidRPr="00C61670" w:rsidRDefault="0007132E" w:rsidP="00AA0FE0">
            <w:pPr>
              <w:pStyle w:val="TableText0"/>
              <w:jc w:val="center"/>
              <w:rPr>
                <w:sz w:val="20"/>
                <w:szCs w:val="20"/>
              </w:rPr>
            </w:pPr>
            <w:r w:rsidRPr="00C61670">
              <w:rPr>
                <w:sz w:val="20"/>
                <w:szCs w:val="20"/>
              </w:rPr>
              <w:t>Respiratory complications, wheelchair bound</w:t>
            </w:r>
          </w:p>
        </w:tc>
        <w:tc>
          <w:tcPr>
            <w:tcW w:w="625" w:type="pct"/>
            <w:vAlign w:val="center"/>
          </w:tcPr>
          <w:p w14:paraId="7A8767E1" w14:textId="77777777" w:rsidR="0007132E" w:rsidRPr="00C61670" w:rsidRDefault="0007132E" w:rsidP="00AA0FE0">
            <w:pPr>
              <w:pStyle w:val="TableText0"/>
              <w:jc w:val="center"/>
              <w:rPr>
                <w:sz w:val="20"/>
                <w:szCs w:val="20"/>
              </w:rPr>
            </w:pPr>
            <w:r w:rsidRPr="00C61670">
              <w:rPr>
                <w:sz w:val="20"/>
                <w:szCs w:val="20"/>
              </w:rPr>
              <w:t>10—40 years</w:t>
            </w:r>
          </w:p>
        </w:tc>
        <w:tc>
          <w:tcPr>
            <w:tcW w:w="625" w:type="pct"/>
            <w:vAlign w:val="center"/>
          </w:tcPr>
          <w:p w14:paraId="37A91DD9" w14:textId="77777777" w:rsidR="0007132E" w:rsidRPr="00C61670" w:rsidRDefault="0007132E" w:rsidP="00AA0FE0">
            <w:pPr>
              <w:pStyle w:val="TableText0"/>
              <w:jc w:val="center"/>
              <w:rPr>
                <w:sz w:val="20"/>
                <w:szCs w:val="20"/>
              </w:rPr>
            </w:pPr>
            <w:r w:rsidRPr="00C61670">
              <w:rPr>
                <w:sz w:val="20"/>
                <w:szCs w:val="20"/>
              </w:rPr>
              <w:t>3</w:t>
            </w:r>
          </w:p>
        </w:tc>
      </w:tr>
      <w:tr w:rsidR="0007132E" w:rsidRPr="00C61670" w14:paraId="139CE497" w14:textId="77777777" w:rsidTr="00C3117B">
        <w:tc>
          <w:tcPr>
            <w:tcW w:w="779" w:type="pct"/>
            <w:vAlign w:val="center"/>
          </w:tcPr>
          <w:p w14:paraId="648AA866" w14:textId="77777777" w:rsidR="0007132E" w:rsidRPr="00C61670" w:rsidRDefault="0007132E" w:rsidP="00AA0FE0">
            <w:pPr>
              <w:pStyle w:val="TableText0"/>
              <w:rPr>
                <w:sz w:val="20"/>
                <w:szCs w:val="20"/>
              </w:rPr>
            </w:pPr>
            <w:r w:rsidRPr="00C61670">
              <w:rPr>
                <w:sz w:val="20"/>
                <w:szCs w:val="20"/>
              </w:rPr>
              <w:t>3a</w:t>
            </w:r>
          </w:p>
        </w:tc>
        <w:tc>
          <w:tcPr>
            <w:tcW w:w="704" w:type="pct"/>
            <w:vAlign w:val="center"/>
          </w:tcPr>
          <w:p w14:paraId="366B4E8F" w14:textId="77777777" w:rsidR="0007132E" w:rsidRPr="00C61670" w:rsidRDefault="0007132E" w:rsidP="00AA0FE0">
            <w:pPr>
              <w:pStyle w:val="TableText0"/>
              <w:jc w:val="center"/>
              <w:rPr>
                <w:sz w:val="20"/>
                <w:szCs w:val="20"/>
              </w:rPr>
            </w:pPr>
            <w:r w:rsidRPr="00C61670">
              <w:rPr>
                <w:sz w:val="20"/>
                <w:szCs w:val="20"/>
              </w:rPr>
              <w:t>18 months – 3 years</w:t>
            </w:r>
          </w:p>
        </w:tc>
        <w:tc>
          <w:tcPr>
            <w:tcW w:w="469" w:type="pct"/>
            <w:shd w:val="clear" w:color="auto" w:fill="auto"/>
            <w:vAlign w:val="center"/>
          </w:tcPr>
          <w:p w14:paraId="4DB1A74E"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547" w:type="pct"/>
            <w:shd w:val="clear" w:color="auto" w:fill="auto"/>
            <w:vAlign w:val="center"/>
          </w:tcPr>
          <w:p w14:paraId="336C2FA2"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548" w:type="pct"/>
            <w:shd w:val="clear" w:color="auto" w:fill="auto"/>
            <w:vAlign w:val="center"/>
          </w:tcPr>
          <w:p w14:paraId="586C1A97" w14:textId="77777777" w:rsidR="0007132E" w:rsidRPr="00C61670" w:rsidRDefault="0007132E" w:rsidP="00AA0FE0">
            <w:pPr>
              <w:pStyle w:val="TableText0"/>
              <w:jc w:val="center"/>
              <w:rPr>
                <w:sz w:val="20"/>
                <w:szCs w:val="20"/>
              </w:rPr>
            </w:pPr>
            <w:r w:rsidRPr="00C61670">
              <w:rPr>
                <w:sz w:val="20"/>
                <w:szCs w:val="20"/>
              </w:rPr>
              <w:t>Assisted</w:t>
            </w:r>
          </w:p>
        </w:tc>
        <w:tc>
          <w:tcPr>
            <w:tcW w:w="704" w:type="pct"/>
            <w:vAlign w:val="center"/>
          </w:tcPr>
          <w:p w14:paraId="4644EA4C" w14:textId="77777777" w:rsidR="0007132E" w:rsidRPr="00C61670" w:rsidRDefault="0007132E" w:rsidP="00AA0FE0">
            <w:pPr>
              <w:pStyle w:val="TableText0"/>
              <w:jc w:val="center"/>
              <w:rPr>
                <w:sz w:val="20"/>
                <w:szCs w:val="20"/>
              </w:rPr>
            </w:pPr>
            <w:r w:rsidRPr="00C61670">
              <w:rPr>
                <w:sz w:val="20"/>
                <w:szCs w:val="20"/>
              </w:rPr>
              <w:t>Early loss of ambulation</w:t>
            </w:r>
          </w:p>
        </w:tc>
        <w:tc>
          <w:tcPr>
            <w:tcW w:w="625" w:type="pct"/>
            <w:vMerge w:val="restart"/>
            <w:vAlign w:val="center"/>
          </w:tcPr>
          <w:p w14:paraId="5CDD3E79" w14:textId="77777777" w:rsidR="0007132E" w:rsidRPr="00C61670" w:rsidRDefault="0007132E" w:rsidP="00AA0FE0">
            <w:pPr>
              <w:pStyle w:val="TableText0"/>
              <w:jc w:val="center"/>
              <w:rPr>
                <w:sz w:val="20"/>
                <w:szCs w:val="20"/>
              </w:rPr>
            </w:pPr>
            <w:r w:rsidRPr="00C61670">
              <w:rPr>
                <w:sz w:val="20"/>
                <w:szCs w:val="20"/>
              </w:rPr>
              <w:t>Normal</w:t>
            </w:r>
          </w:p>
        </w:tc>
        <w:tc>
          <w:tcPr>
            <w:tcW w:w="625" w:type="pct"/>
            <w:vMerge w:val="restart"/>
            <w:vAlign w:val="center"/>
          </w:tcPr>
          <w:p w14:paraId="2EB29222" w14:textId="77777777" w:rsidR="0007132E" w:rsidRPr="00C61670" w:rsidRDefault="0007132E" w:rsidP="00AA0FE0">
            <w:pPr>
              <w:pStyle w:val="TableText0"/>
              <w:jc w:val="center"/>
              <w:rPr>
                <w:sz w:val="20"/>
                <w:szCs w:val="20"/>
              </w:rPr>
            </w:pPr>
            <w:r w:rsidRPr="00C61670">
              <w:rPr>
                <w:sz w:val="20"/>
                <w:szCs w:val="20"/>
              </w:rPr>
              <w:t>4</w:t>
            </w:r>
          </w:p>
        </w:tc>
      </w:tr>
      <w:tr w:rsidR="0007132E" w:rsidRPr="00C61670" w14:paraId="3BE8F6D9" w14:textId="77777777" w:rsidTr="00C3117B">
        <w:tc>
          <w:tcPr>
            <w:tcW w:w="779" w:type="pct"/>
            <w:vAlign w:val="center"/>
          </w:tcPr>
          <w:p w14:paraId="04FA3E37" w14:textId="77777777" w:rsidR="0007132E" w:rsidRPr="00C61670" w:rsidRDefault="0007132E" w:rsidP="00AA0FE0">
            <w:pPr>
              <w:pStyle w:val="TableText0"/>
              <w:rPr>
                <w:sz w:val="20"/>
                <w:szCs w:val="20"/>
              </w:rPr>
            </w:pPr>
            <w:r w:rsidRPr="00C61670">
              <w:rPr>
                <w:sz w:val="20"/>
                <w:szCs w:val="20"/>
              </w:rPr>
              <w:t>3b</w:t>
            </w:r>
          </w:p>
        </w:tc>
        <w:tc>
          <w:tcPr>
            <w:tcW w:w="704" w:type="pct"/>
            <w:vAlign w:val="center"/>
          </w:tcPr>
          <w:p w14:paraId="0F3170CA" w14:textId="77777777" w:rsidR="0007132E" w:rsidRPr="00C61670" w:rsidRDefault="0007132E" w:rsidP="00AA0FE0">
            <w:pPr>
              <w:pStyle w:val="TableText0"/>
              <w:jc w:val="center"/>
              <w:rPr>
                <w:sz w:val="20"/>
                <w:szCs w:val="20"/>
              </w:rPr>
            </w:pPr>
            <w:r w:rsidRPr="00C61670">
              <w:rPr>
                <w:sz w:val="20"/>
                <w:szCs w:val="20"/>
              </w:rPr>
              <w:t>&gt;3 years</w:t>
            </w:r>
          </w:p>
        </w:tc>
        <w:tc>
          <w:tcPr>
            <w:tcW w:w="469" w:type="pct"/>
            <w:shd w:val="clear" w:color="auto" w:fill="auto"/>
            <w:vAlign w:val="center"/>
          </w:tcPr>
          <w:p w14:paraId="76C0C0AF"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547" w:type="pct"/>
            <w:shd w:val="clear" w:color="auto" w:fill="auto"/>
            <w:vAlign w:val="center"/>
          </w:tcPr>
          <w:p w14:paraId="5BACE877"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548" w:type="pct"/>
            <w:shd w:val="clear" w:color="auto" w:fill="auto"/>
            <w:vAlign w:val="center"/>
          </w:tcPr>
          <w:p w14:paraId="135F16D8" w14:textId="77777777" w:rsidR="0007132E" w:rsidRPr="00C61670" w:rsidRDefault="0007132E" w:rsidP="00AA0FE0">
            <w:pPr>
              <w:pStyle w:val="TableText0"/>
              <w:jc w:val="center"/>
              <w:rPr>
                <w:sz w:val="20"/>
                <w:szCs w:val="20"/>
              </w:rPr>
            </w:pPr>
            <w:r w:rsidRPr="00C61670">
              <w:rPr>
                <w:sz w:val="20"/>
                <w:szCs w:val="20"/>
              </w:rPr>
              <w:t>Assisted</w:t>
            </w:r>
          </w:p>
        </w:tc>
        <w:tc>
          <w:tcPr>
            <w:tcW w:w="704" w:type="pct"/>
            <w:vAlign w:val="center"/>
          </w:tcPr>
          <w:p w14:paraId="41FC0860" w14:textId="77777777" w:rsidR="0007132E" w:rsidRPr="00C61670" w:rsidRDefault="0007132E" w:rsidP="00AA0FE0">
            <w:pPr>
              <w:pStyle w:val="TableText0"/>
              <w:jc w:val="center"/>
              <w:rPr>
                <w:sz w:val="20"/>
                <w:szCs w:val="20"/>
              </w:rPr>
            </w:pPr>
            <w:r w:rsidRPr="00C61670">
              <w:rPr>
                <w:sz w:val="20"/>
                <w:szCs w:val="20"/>
              </w:rPr>
              <w:t>Later loss of ambulation</w:t>
            </w:r>
          </w:p>
        </w:tc>
        <w:tc>
          <w:tcPr>
            <w:tcW w:w="625" w:type="pct"/>
            <w:vMerge/>
            <w:vAlign w:val="center"/>
          </w:tcPr>
          <w:p w14:paraId="7CDA35A5" w14:textId="77777777" w:rsidR="0007132E" w:rsidRPr="00C61670" w:rsidRDefault="0007132E" w:rsidP="00AA0FE0">
            <w:pPr>
              <w:pStyle w:val="TableText0"/>
              <w:jc w:val="center"/>
              <w:rPr>
                <w:sz w:val="20"/>
                <w:szCs w:val="20"/>
              </w:rPr>
            </w:pPr>
          </w:p>
        </w:tc>
        <w:tc>
          <w:tcPr>
            <w:tcW w:w="625" w:type="pct"/>
            <w:vMerge/>
            <w:vAlign w:val="center"/>
          </w:tcPr>
          <w:p w14:paraId="5A48F4EC" w14:textId="77777777" w:rsidR="0007132E" w:rsidRPr="00C61670" w:rsidRDefault="0007132E" w:rsidP="00AA0FE0">
            <w:pPr>
              <w:pStyle w:val="TableText0"/>
              <w:jc w:val="center"/>
              <w:rPr>
                <w:sz w:val="20"/>
                <w:szCs w:val="20"/>
              </w:rPr>
            </w:pPr>
          </w:p>
        </w:tc>
      </w:tr>
      <w:tr w:rsidR="0007132E" w:rsidRPr="00C61670" w14:paraId="01603088" w14:textId="77777777" w:rsidTr="00C3117B">
        <w:tc>
          <w:tcPr>
            <w:tcW w:w="779" w:type="pct"/>
            <w:vAlign w:val="center"/>
          </w:tcPr>
          <w:p w14:paraId="7352B8FF" w14:textId="77777777" w:rsidR="0007132E" w:rsidRPr="00C61670" w:rsidRDefault="0007132E" w:rsidP="00AA0FE0">
            <w:pPr>
              <w:pStyle w:val="TableText0"/>
              <w:rPr>
                <w:sz w:val="20"/>
                <w:szCs w:val="20"/>
              </w:rPr>
            </w:pPr>
            <w:r w:rsidRPr="00C61670">
              <w:rPr>
                <w:sz w:val="20"/>
                <w:szCs w:val="20"/>
              </w:rPr>
              <w:t>4</w:t>
            </w:r>
          </w:p>
        </w:tc>
        <w:tc>
          <w:tcPr>
            <w:tcW w:w="704" w:type="pct"/>
            <w:vAlign w:val="center"/>
          </w:tcPr>
          <w:p w14:paraId="47900A7E" w14:textId="77777777" w:rsidR="0007132E" w:rsidRPr="00C61670" w:rsidRDefault="0007132E" w:rsidP="00AA0FE0">
            <w:pPr>
              <w:pStyle w:val="TableText0"/>
              <w:jc w:val="center"/>
              <w:rPr>
                <w:sz w:val="20"/>
                <w:szCs w:val="20"/>
              </w:rPr>
            </w:pPr>
            <w:r w:rsidRPr="00C61670">
              <w:rPr>
                <w:sz w:val="20"/>
                <w:szCs w:val="20"/>
              </w:rPr>
              <w:t>&gt;18 years</w:t>
            </w:r>
          </w:p>
        </w:tc>
        <w:tc>
          <w:tcPr>
            <w:tcW w:w="469" w:type="pct"/>
            <w:shd w:val="clear" w:color="auto" w:fill="auto"/>
            <w:vAlign w:val="center"/>
          </w:tcPr>
          <w:p w14:paraId="7BEF675A"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547" w:type="pct"/>
            <w:shd w:val="clear" w:color="auto" w:fill="auto"/>
            <w:vAlign w:val="center"/>
          </w:tcPr>
          <w:p w14:paraId="2A5CD0E5"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548" w:type="pct"/>
            <w:shd w:val="clear" w:color="auto" w:fill="auto"/>
            <w:vAlign w:val="center"/>
          </w:tcPr>
          <w:p w14:paraId="45C6BBEE" w14:textId="77777777" w:rsidR="0007132E" w:rsidRPr="00C61670" w:rsidRDefault="0007132E" w:rsidP="00AA0FE0">
            <w:pPr>
              <w:pStyle w:val="TableText0"/>
              <w:jc w:val="center"/>
              <w:rPr>
                <w:sz w:val="20"/>
                <w:szCs w:val="20"/>
              </w:rPr>
            </w:pPr>
            <w:r w:rsidRPr="00C61670">
              <w:rPr>
                <w:sz w:val="20"/>
                <w:szCs w:val="20"/>
              </w:rPr>
              <w:sym w:font="Wingdings" w:char="F0FC"/>
            </w:r>
          </w:p>
        </w:tc>
        <w:tc>
          <w:tcPr>
            <w:tcW w:w="704" w:type="pct"/>
            <w:vAlign w:val="center"/>
          </w:tcPr>
          <w:p w14:paraId="74247206" w14:textId="77777777" w:rsidR="0007132E" w:rsidRPr="00C61670" w:rsidRDefault="0007132E" w:rsidP="00AA0FE0">
            <w:pPr>
              <w:pStyle w:val="TableText0"/>
              <w:jc w:val="center"/>
              <w:rPr>
                <w:sz w:val="20"/>
                <w:szCs w:val="20"/>
              </w:rPr>
            </w:pPr>
            <w:r w:rsidRPr="00C61670">
              <w:rPr>
                <w:sz w:val="20"/>
                <w:szCs w:val="20"/>
              </w:rPr>
              <w:t>Slow, progressive muscle weakness. Ambulant until later in life.</w:t>
            </w:r>
          </w:p>
        </w:tc>
        <w:tc>
          <w:tcPr>
            <w:tcW w:w="625" w:type="pct"/>
            <w:vAlign w:val="center"/>
          </w:tcPr>
          <w:p w14:paraId="353744D8" w14:textId="77777777" w:rsidR="0007132E" w:rsidRPr="00C61670" w:rsidRDefault="0007132E" w:rsidP="00AA0FE0">
            <w:pPr>
              <w:pStyle w:val="TableText0"/>
              <w:jc w:val="center"/>
              <w:rPr>
                <w:sz w:val="20"/>
                <w:szCs w:val="20"/>
              </w:rPr>
            </w:pPr>
            <w:r w:rsidRPr="00C61670">
              <w:rPr>
                <w:sz w:val="20"/>
                <w:szCs w:val="20"/>
              </w:rPr>
              <w:t>Normal</w:t>
            </w:r>
          </w:p>
        </w:tc>
        <w:tc>
          <w:tcPr>
            <w:tcW w:w="625" w:type="pct"/>
            <w:vAlign w:val="center"/>
          </w:tcPr>
          <w:p w14:paraId="2458E544" w14:textId="77777777" w:rsidR="0007132E" w:rsidRPr="00C61670" w:rsidRDefault="0007132E" w:rsidP="00AA0FE0">
            <w:pPr>
              <w:pStyle w:val="TableText0"/>
              <w:jc w:val="center"/>
              <w:rPr>
                <w:sz w:val="20"/>
                <w:szCs w:val="20"/>
              </w:rPr>
            </w:pPr>
            <w:r w:rsidRPr="00C61670">
              <w:rPr>
                <w:sz w:val="20"/>
                <w:szCs w:val="20"/>
              </w:rPr>
              <w:t>5</w:t>
            </w:r>
          </w:p>
        </w:tc>
      </w:tr>
    </w:tbl>
    <w:p w14:paraId="6232882D" w14:textId="77777777" w:rsidR="0007132E" w:rsidRPr="00C61670" w:rsidRDefault="0007132E" w:rsidP="0007132E">
      <w:pPr>
        <w:pStyle w:val="FooterTableFigure"/>
        <w:spacing w:after="0"/>
      </w:pPr>
      <w:r w:rsidRPr="00C61670">
        <w:t>SMA = spinal muscular dystrophy; SMN = survival motor neuron</w:t>
      </w:r>
    </w:p>
    <w:p w14:paraId="479F1E16" w14:textId="5E154DE5" w:rsidR="0007132E" w:rsidRPr="00C61670" w:rsidRDefault="0007132E" w:rsidP="0007132E">
      <w:pPr>
        <w:pStyle w:val="TableFooter"/>
      </w:pPr>
      <w:r w:rsidRPr="00C61670">
        <w:rPr>
          <w:vertAlign w:val="superscript"/>
        </w:rPr>
        <w:t xml:space="preserve">a </w:t>
      </w:r>
      <w:r w:rsidRPr="00C61670">
        <w:t xml:space="preserve">The </w:t>
      </w:r>
      <w:r w:rsidR="0007089E">
        <w:t>submission</w:t>
      </w:r>
      <w:r w:rsidRPr="00C61670">
        <w:t xml:space="preserve"> did not provide a validated reference to support this data.</w:t>
      </w:r>
    </w:p>
    <w:p w14:paraId="3E51FAF9" w14:textId="77777777" w:rsidR="0007132E" w:rsidRPr="00C61670" w:rsidRDefault="0007132E" w:rsidP="0007132E">
      <w:pPr>
        <w:pStyle w:val="TableFooter"/>
        <w:rPr>
          <w:rStyle w:val="FooterTableFigureChar"/>
        </w:rPr>
      </w:pPr>
      <w:r w:rsidRPr="00C61670">
        <w:rPr>
          <w:vertAlign w:val="superscript"/>
        </w:rPr>
        <w:t>b</w:t>
      </w:r>
      <w:r w:rsidRPr="00C61670">
        <w:t xml:space="preserve"> </w:t>
      </w:r>
      <w:r w:rsidRPr="00C61670">
        <w:rPr>
          <w:rStyle w:val="FooterTableFigureChar"/>
        </w:rPr>
        <w:t xml:space="preserve">Need for respiratory support at birth; contractures at birth; reduced foetal movements. These patients will present with symptoms of SMA at birth and will be ineligible for pre-symptomatic treatment. </w:t>
      </w:r>
    </w:p>
    <w:p w14:paraId="6A15F926" w14:textId="77777777" w:rsidR="0007132E" w:rsidRPr="00C61670" w:rsidRDefault="0007132E" w:rsidP="0007132E">
      <w:pPr>
        <w:pStyle w:val="FooterTableFigure"/>
        <w:spacing w:after="0"/>
      </w:pPr>
      <w:r w:rsidRPr="00C61670">
        <w:rPr>
          <w:vertAlign w:val="superscript"/>
        </w:rPr>
        <w:t>c</w:t>
      </w:r>
      <w:r w:rsidRPr="00C61670">
        <w:t xml:space="preserve"> </w:t>
      </w:r>
      <w:r w:rsidRPr="00C61670">
        <w:rPr>
          <w:i/>
          <w:iCs/>
        </w:rPr>
        <w:t>SMN2</w:t>
      </w:r>
      <w:r w:rsidRPr="00C61670">
        <w:t xml:space="preserve"> copies in the genome varies between 0 and 8.</w:t>
      </w:r>
    </w:p>
    <w:p w14:paraId="680406B6" w14:textId="390ED79A" w:rsidR="0007132E" w:rsidRPr="00C61670" w:rsidRDefault="0007132E" w:rsidP="0007132E">
      <w:pPr>
        <w:pStyle w:val="FooterTableFigure"/>
        <w:spacing w:after="0"/>
      </w:pPr>
      <w:r w:rsidRPr="00C61670">
        <w:t xml:space="preserve">Source: Table 1.2, of the </w:t>
      </w:r>
      <w:r w:rsidR="0007089E">
        <w:t>submission</w:t>
      </w:r>
    </w:p>
    <w:p w14:paraId="7D826122" w14:textId="77777777" w:rsidR="0007132E" w:rsidRPr="00C61670" w:rsidRDefault="0007132E" w:rsidP="0007132E"/>
    <w:p w14:paraId="0DD56092" w14:textId="6BE30E60" w:rsidR="0007132E" w:rsidRPr="0081032F" w:rsidRDefault="0007132E" w:rsidP="0007132E">
      <w:pPr>
        <w:pStyle w:val="3-BodyText"/>
        <w:rPr>
          <w:iCs/>
        </w:rPr>
      </w:pPr>
      <w:r w:rsidRPr="00C61670">
        <w:t xml:space="preserve">The </w:t>
      </w:r>
      <w:r w:rsidR="0007089E">
        <w:t>submission</w:t>
      </w:r>
      <w:r w:rsidRPr="00C61670">
        <w:t xml:space="preserve"> claimed that prior to the availability of </w:t>
      </w:r>
      <w:r w:rsidR="00705CC0">
        <w:t>disease modifying treatments (</w:t>
      </w:r>
      <w:r w:rsidRPr="00C61670">
        <w:t>DMTs</w:t>
      </w:r>
      <w:r w:rsidR="00705CC0">
        <w:t>)</w:t>
      </w:r>
      <w:r w:rsidRPr="00C61670">
        <w:t xml:space="preserve">, SMA was classified into clinical subtypes based on age of onset and disease severity. While the introduction of DMTs was not directly linked to the classification of SMA subtypes, use of DMTs generally changes the course of a patient’s disease and SMA classification was previously based on the symptoms a patient would experience without treatment. The </w:t>
      </w:r>
      <w:r w:rsidR="0007089E">
        <w:t>submission</w:t>
      </w:r>
      <w:r w:rsidRPr="00C61670">
        <w:t xml:space="preserve"> considered that for older patients the clinical subtypes based on age and SMA symptom severity still hold relevance, however for pre</w:t>
      </w:r>
      <w:r w:rsidR="00705CC0">
        <w:noBreakHyphen/>
      </w:r>
      <w:r w:rsidRPr="00C61670">
        <w:t>symptomatically diagnosed and treatment-initiated patients, these subtypes are no longer appropriate and instead only represent the natural disease course without access to treatment.</w:t>
      </w:r>
      <w:r w:rsidRPr="0081032F">
        <w:rPr>
          <w:iCs/>
        </w:rPr>
        <w:t xml:space="preserve"> However, knowing the natural disease course is important to establish the clinical benefit of pre-symptomatic treatment.</w:t>
      </w:r>
    </w:p>
    <w:p w14:paraId="4DE68765" w14:textId="0A08E707" w:rsidR="0007132E" w:rsidRDefault="0007132E" w:rsidP="0007132E">
      <w:pPr>
        <w:pStyle w:val="3-BodyText"/>
      </w:pPr>
      <w:r w:rsidRPr="00C61670">
        <w:t xml:space="preserve">The </w:t>
      </w:r>
      <w:r w:rsidR="0007089E">
        <w:t>submission</w:t>
      </w:r>
      <w:r w:rsidRPr="00C61670">
        <w:t xml:space="preserve"> claimed that the introduction of newborn bloodspot screening (NBS) for SMA in Australia, means that patients can be diagnosed pre</w:t>
      </w:r>
      <w:r w:rsidR="00705CC0">
        <w:noBreakHyphen/>
      </w:r>
      <w:r w:rsidRPr="00C61670">
        <w:t>symptomatically</w:t>
      </w:r>
      <w:r w:rsidR="00B80809" w:rsidRPr="00C61670">
        <w:t>.</w:t>
      </w:r>
      <w:r w:rsidR="00C772F4" w:rsidRPr="00C61670">
        <w:t xml:space="preserve"> B</w:t>
      </w:r>
      <w:r w:rsidRPr="00C61670">
        <w:t xml:space="preserve">ased on their </w:t>
      </w:r>
      <w:r w:rsidRPr="00C61670">
        <w:rPr>
          <w:i/>
          <w:iCs/>
        </w:rPr>
        <w:t>SMN2</w:t>
      </w:r>
      <w:r w:rsidRPr="00C61670">
        <w:t xml:space="preserve"> gene copy number</w:t>
      </w:r>
      <w:r w:rsidR="00C772F4" w:rsidRPr="00C61670">
        <w:t>,</w:t>
      </w:r>
      <w:r w:rsidRPr="00C61670">
        <w:t xml:space="preserve"> treatment can then be initiated prior to symptoms developing. The PBAC have previously acknowledged that NBS programs for SMA will soon be introduced across Australia (paragraph 7.3, nusinersen PSD, July 2023 PBAC meeting). The Department of Health and Aged Care NBS website currently lists SMA under “Conditions screened in Australia’s NBS programs”. </w:t>
      </w:r>
    </w:p>
    <w:p w14:paraId="1911EF18" w14:textId="77777777" w:rsidR="00CF4FAF" w:rsidRPr="00C33D30" w:rsidRDefault="00CF4FAF" w:rsidP="00CF4FAF">
      <w:pPr>
        <w:ind w:firstLine="709"/>
        <w:rPr>
          <w:rFonts w:asciiTheme="minorHAnsi" w:hAnsiTheme="minorHAnsi"/>
          <w:i/>
        </w:rPr>
      </w:pPr>
      <w:r w:rsidRPr="00C33D30">
        <w:rPr>
          <w:rFonts w:asciiTheme="minorHAnsi" w:hAnsiTheme="minorHAnsi"/>
          <w:i/>
        </w:rPr>
        <w:t>For more detail on PBAC’s view, see section 7 PBAC outcome.</w:t>
      </w:r>
    </w:p>
    <w:p w14:paraId="1FE51D0A" w14:textId="77777777" w:rsidR="0007132E" w:rsidRPr="00C61670" w:rsidRDefault="0007132E" w:rsidP="0007132E">
      <w:pPr>
        <w:pStyle w:val="2-SectionHeading"/>
      </w:pPr>
      <w:bookmarkStart w:id="9" w:name="_Toc167202919"/>
      <w:r w:rsidRPr="00C61670">
        <w:lastRenderedPageBreak/>
        <w:t>Comparator</w:t>
      </w:r>
      <w:bookmarkEnd w:id="9"/>
    </w:p>
    <w:p w14:paraId="3397B8F6" w14:textId="1A27E39D" w:rsidR="0007132E" w:rsidRPr="00C61670" w:rsidRDefault="0007132E" w:rsidP="0007132E">
      <w:pPr>
        <w:pStyle w:val="3-BodyText"/>
      </w:pPr>
      <w:r w:rsidRPr="00C61670">
        <w:t xml:space="preserve">While the </w:t>
      </w:r>
      <w:r w:rsidR="0007089E">
        <w:t>submission</w:t>
      </w:r>
      <w:r w:rsidRPr="00C61670">
        <w:t xml:space="preserve"> noted that both nusinersen and ONA were recommended for funding for the treatment of pre-symptomatic SMA patients with three </w:t>
      </w:r>
      <w:r w:rsidRPr="00C61670">
        <w:rPr>
          <w:i/>
          <w:iCs/>
        </w:rPr>
        <w:t>SMN2</w:t>
      </w:r>
      <w:r w:rsidRPr="00C61670">
        <w:t xml:space="preserve"> gene copies by the PBAC in July 2023 and that both nusinersen and ONA are currently PBS listed for this indication, the </w:t>
      </w:r>
      <w:r w:rsidR="0007089E">
        <w:t>submission</w:t>
      </w:r>
      <w:r w:rsidRPr="00C61670">
        <w:t xml:space="preserve"> nominated only nusinersen as the main comparator to risdiplam. </w:t>
      </w:r>
      <w:r w:rsidRPr="0081032F">
        <w:rPr>
          <w:iCs/>
        </w:rPr>
        <w:t xml:space="preserve">Nusinersen </w:t>
      </w:r>
      <w:proofErr w:type="gramStart"/>
      <w:r w:rsidRPr="0081032F">
        <w:rPr>
          <w:iCs/>
        </w:rPr>
        <w:t xml:space="preserve">was </w:t>
      </w:r>
      <w:r w:rsidR="00AF3F05">
        <w:rPr>
          <w:iCs/>
        </w:rPr>
        <w:t>considered to be</w:t>
      </w:r>
      <w:proofErr w:type="gramEnd"/>
      <w:r w:rsidR="00AF3F05">
        <w:rPr>
          <w:iCs/>
        </w:rPr>
        <w:t xml:space="preserve"> </w:t>
      </w:r>
      <w:r w:rsidRPr="0081032F">
        <w:rPr>
          <w:iCs/>
        </w:rPr>
        <w:t>an appropriate comparator to risdiplam; however, it is likely that some families will consider both risdiplam and ONA as potential SMA treatments and risdiplam could be used instead of ONA in some patients. Therefore</w:t>
      </w:r>
      <w:r w:rsidR="007A4A79" w:rsidRPr="0081032F">
        <w:rPr>
          <w:iCs/>
        </w:rPr>
        <w:t>,</w:t>
      </w:r>
      <w:r w:rsidRPr="0081032F">
        <w:rPr>
          <w:iCs/>
        </w:rPr>
        <w:t xml:space="preserve"> ONA </w:t>
      </w:r>
      <w:r w:rsidR="00CD0E85" w:rsidRPr="0081032F">
        <w:rPr>
          <w:iCs/>
        </w:rPr>
        <w:t xml:space="preserve">would </w:t>
      </w:r>
      <w:r w:rsidRPr="0081032F">
        <w:rPr>
          <w:iCs/>
        </w:rPr>
        <w:t>also be a reasonable comparator for risdiplam.</w:t>
      </w:r>
    </w:p>
    <w:p w14:paraId="5E9F9546" w14:textId="49392B71" w:rsidR="0007132E" w:rsidRPr="00C61670" w:rsidRDefault="0007132E" w:rsidP="0007132E">
      <w:pPr>
        <w:pStyle w:val="3-BodyText"/>
      </w:pPr>
      <w:r w:rsidRPr="00C61670">
        <w:t xml:space="preserve">The </w:t>
      </w:r>
      <w:r w:rsidR="0007089E">
        <w:t>submission</w:t>
      </w:r>
      <w:r w:rsidRPr="00C61670">
        <w:t xml:space="preserve"> claimed that clinical insight collected for the </w:t>
      </w:r>
      <w:r w:rsidR="0007089E">
        <w:t>submission</w:t>
      </w:r>
      <w:r w:rsidRPr="00C61670">
        <w:t xml:space="preserve"> indicated that when faced with a choice between treatment with risdiplam, nusinersen and ONA, a preference exists among families for one-time treatment with ONA. The </w:t>
      </w:r>
      <w:r w:rsidR="0007089E">
        <w:t>submission</w:t>
      </w:r>
      <w:r w:rsidRPr="00C61670">
        <w:t xml:space="preserve"> claimed that while </w:t>
      </w:r>
      <w:proofErr w:type="gramStart"/>
      <w:r w:rsidRPr="00C61670">
        <w:t>the majority of</w:t>
      </w:r>
      <w:proofErr w:type="gramEnd"/>
      <w:r w:rsidRPr="00C61670">
        <w:t xml:space="preserve"> newborn patients are expected to be treated with ONA there are several situations in which ONA will not be chosen, in which case a choice will need to be made between risdiplam and nusinersen. The </w:t>
      </w:r>
      <w:r w:rsidR="0007089E">
        <w:t>submission</w:t>
      </w:r>
      <w:r w:rsidRPr="00C61670">
        <w:t xml:space="preserve"> claimed that treatment with ONA may not be feasible </w:t>
      </w:r>
      <w:r w:rsidR="00F65F3B" w:rsidRPr="00C61670">
        <w:t xml:space="preserve">in some patients </w:t>
      </w:r>
      <w:r w:rsidRPr="00C61670">
        <w:t xml:space="preserve">due to high adeno-associated viral vector serotype 9 (AAV9) titres, baseline bloods </w:t>
      </w:r>
      <w:r w:rsidR="00AF3F05">
        <w:t>that</w:t>
      </w:r>
      <w:r w:rsidR="00AF3F05" w:rsidRPr="00C61670">
        <w:t xml:space="preserve"> </w:t>
      </w:r>
      <w:r w:rsidRPr="00C61670">
        <w:t>indicate abnormal liver function tests or other medical conditions that would compromise safety, or that there can be a family preference to not receive gene therapy (e.g. due to the safety profile and/or the irreversible nature of treatment).</w:t>
      </w:r>
      <w:r w:rsidR="00363033" w:rsidRPr="0081032F">
        <w:rPr>
          <w:iCs/>
        </w:rPr>
        <w:t xml:space="preserve"> The proposed restriction </w:t>
      </w:r>
      <w:r w:rsidR="00AF3F05">
        <w:rPr>
          <w:iCs/>
        </w:rPr>
        <w:t>would</w:t>
      </w:r>
      <w:r w:rsidR="00AF3F05" w:rsidRPr="0081032F">
        <w:rPr>
          <w:iCs/>
        </w:rPr>
        <w:t xml:space="preserve"> </w:t>
      </w:r>
      <w:r w:rsidR="00363033" w:rsidRPr="0081032F">
        <w:rPr>
          <w:iCs/>
        </w:rPr>
        <w:t>not restrict the use of risdiplam to patients for whom ONA was unsuitable.</w:t>
      </w:r>
    </w:p>
    <w:p w14:paraId="56CC74EA" w14:textId="298319CB" w:rsidR="00BB161E" w:rsidRPr="00C61670" w:rsidRDefault="00BB161E" w:rsidP="0007132E">
      <w:pPr>
        <w:pStyle w:val="3-BodyText"/>
      </w:pPr>
      <w:r w:rsidRPr="008F024D">
        <w:t xml:space="preserve">The proposed clinical algorithm listed risdiplam, nusinersen and ONA as treatment options for pre-symptomatic SMA patients with three copies of </w:t>
      </w:r>
      <w:r w:rsidRPr="000F1040">
        <w:rPr>
          <w:i/>
          <w:iCs/>
        </w:rPr>
        <w:t>SMN2</w:t>
      </w:r>
      <w:r w:rsidRPr="008F024D">
        <w:t>.</w:t>
      </w:r>
      <w:r w:rsidRPr="0081032F">
        <w:rPr>
          <w:iCs/>
        </w:rPr>
        <w:t xml:space="preserve"> Therefore</w:t>
      </w:r>
      <w:r w:rsidR="00E94743">
        <w:rPr>
          <w:iCs/>
        </w:rPr>
        <w:t>,</w:t>
      </w:r>
      <w:r w:rsidRPr="0081032F">
        <w:rPr>
          <w:iCs/>
        </w:rPr>
        <w:t xml:space="preserve"> the proposed clinical algorithm was consistent with the nomination of nusinersen as comparator, but also highlighted that ONA should also be a comparator for the requested patient population.</w:t>
      </w:r>
      <w:r w:rsidR="00363033" w:rsidRPr="0081032F">
        <w:rPr>
          <w:iCs/>
        </w:rPr>
        <w:t xml:space="preserve"> </w:t>
      </w:r>
    </w:p>
    <w:p w14:paraId="2B2E8B74" w14:textId="6C1308F3" w:rsidR="0007132E" w:rsidRPr="00C61670" w:rsidRDefault="00A67527" w:rsidP="0007132E">
      <w:pPr>
        <w:pStyle w:val="3-BodyText"/>
      </w:pPr>
      <w:r>
        <w:t>Even though ONA was not a nominated comparator, the</w:t>
      </w:r>
      <w:r w:rsidR="0007132E" w:rsidRPr="00C61670">
        <w:t xml:space="preserve"> </w:t>
      </w:r>
      <w:r w:rsidR="0007089E">
        <w:t>submission</w:t>
      </w:r>
      <w:r w:rsidR="0007132E" w:rsidRPr="00C61670">
        <w:t xml:space="preserve"> included supplementary data </w:t>
      </w:r>
      <w:r w:rsidR="00AF3F05">
        <w:t>that</w:t>
      </w:r>
      <w:r w:rsidR="0007132E" w:rsidRPr="00C61670">
        <w:t xml:space="preserve"> presented a clinical comparison of risdiplam with ONA in patients with pre-symptomatic SMA with three </w:t>
      </w:r>
      <w:r w:rsidR="0007132E" w:rsidRPr="00C61670">
        <w:rPr>
          <w:i/>
          <w:iCs/>
        </w:rPr>
        <w:t>SMN2</w:t>
      </w:r>
      <w:r w:rsidR="0007132E" w:rsidRPr="00C61670">
        <w:t xml:space="preserve"> gene copies. The </w:t>
      </w:r>
      <w:r w:rsidR="0007089E">
        <w:t>submission</w:t>
      </w:r>
      <w:r w:rsidR="0007132E" w:rsidRPr="00C61670">
        <w:t xml:space="preserve"> </w:t>
      </w:r>
      <w:r w:rsidR="00D84C51" w:rsidRPr="00C61670">
        <w:t xml:space="preserve">claimed </w:t>
      </w:r>
      <w:r w:rsidR="0007132E" w:rsidRPr="00C61670">
        <w:t xml:space="preserve">that risdiplam </w:t>
      </w:r>
      <w:r w:rsidR="00D84C51" w:rsidRPr="00C61670">
        <w:t>wa</w:t>
      </w:r>
      <w:r w:rsidR="0007132E" w:rsidRPr="00C61670">
        <w:t>s non-inferior to ONA in this patient population.</w:t>
      </w:r>
    </w:p>
    <w:p w14:paraId="6700D00F" w14:textId="59EF4233" w:rsidR="0007132E" w:rsidRPr="00CF4FAF" w:rsidRDefault="0007132E" w:rsidP="00104BE7">
      <w:pPr>
        <w:pStyle w:val="3-BodyText"/>
        <w:rPr>
          <w:snapToGrid/>
        </w:rPr>
      </w:pPr>
      <w:r w:rsidRPr="0081032F">
        <w:t xml:space="preserve">In the context of the cost-minimisation approach taken by the </w:t>
      </w:r>
      <w:r w:rsidR="0007089E" w:rsidRPr="0081032F">
        <w:t>submission</w:t>
      </w:r>
      <w:r w:rsidRPr="0081032F">
        <w:t xml:space="preserve">, a further consideration for PBAC is that, under Section 101(3B) of the </w:t>
      </w:r>
      <w:r w:rsidRPr="00C61670">
        <w:t>National Health Act 1953</w:t>
      </w:r>
      <w:r w:rsidRPr="0081032F">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w:t>
      </w:r>
    </w:p>
    <w:p w14:paraId="079C2EF2" w14:textId="77777777" w:rsidR="00CF4FAF" w:rsidRPr="00C33D30" w:rsidRDefault="00CF4FAF" w:rsidP="00CF4FAF">
      <w:pPr>
        <w:ind w:firstLine="709"/>
        <w:rPr>
          <w:rFonts w:asciiTheme="minorHAnsi" w:hAnsiTheme="minorHAnsi"/>
          <w:i/>
        </w:rPr>
      </w:pPr>
      <w:r w:rsidRPr="00C33D30">
        <w:rPr>
          <w:rFonts w:asciiTheme="minorHAnsi" w:hAnsiTheme="minorHAnsi"/>
          <w:i/>
        </w:rPr>
        <w:t>For more detail on PBAC’s view, see section 7 PBAC outcome.</w:t>
      </w:r>
    </w:p>
    <w:p w14:paraId="253AB0DC" w14:textId="77777777" w:rsidR="0007132E" w:rsidRPr="00C61670" w:rsidRDefault="0007132E" w:rsidP="0007132E">
      <w:pPr>
        <w:pStyle w:val="2-SectionHeading"/>
      </w:pPr>
      <w:bookmarkStart w:id="10" w:name="_Toc167202920"/>
      <w:r w:rsidRPr="00C61670">
        <w:lastRenderedPageBreak/>
        <w:t>Consideration of the evidence</w:t>
      </w:r>
      <w:bookmarkEnd w:id="10"/>
    </w:p>
    <w:p w14:paraId="3A0EE972" w14:textId="77777777" w:rsidR="00CF4FAF" w:rsidRPr="006E1229" w:rsidRDefault="00CF4FAF" w:rsidP="00682416">
      <w:pPr>
        <w:pStyle w:val="3-SubsectionHeading"/>
        <w:outlineLvl w:val="1"/>
        <w:rPr>
          <w:lang w:eastAsia="en-AU"/>
        </w:rPr>
      </w:pPr>
      <w:bookmarkStart w:id="11" w:name="_Hlk76375935"/>
      <w:bookmarkStart w:id="12" w:name="_Toc167202921"/>
      <w:r w:rsidRPr="006E1229">
        <w:rPr>
          <w:lang w:eastAsia="en-AU"/>
        </w:rPr>
        <w:t>Sponsor hearing</w:t>
      </w:r>
    </w:p>
    <w:p w14:paraId="51E8B8CA" w14:textId="5E27491D" w:rsidR="00CF4FAF" w:rsidRPr="00F91542" w:rsidRDefault="00CF4FAF" w:rsidP="00CF4FAF">
      <w:pPr>
        <w:widowControl w:val="0"/>
        <w:numPr>
          <w:ilvl w:val="1"/>
          <w:numId w:val="1"/>
        </w:numPr>
        <w:spacing w:after="120"/>
        <w:rPr>
          <w:rFonts w:cs="Calibri"/>
          <w:bCs/>
          <w:snapToGrid w:val="0"/>
        </w:rPr>
      </w:pPr>
      <w:r w:rsidRPr="00F91542">
        <w:rPr>
          <w:rFonts w:cs="Calibri"/>
          <w:bCs/>
          <w:snapToGrid w:val="0"/>
        </w:rPr>
        <w:t>There was no hearing for this item.</w:t>
      </w:r>
    </w:p>
    <w:p w14:paraId="48B90E11" w14:textId="77777777" w:rsidR="00CF4FAF" w:rsidRPr="006E1229" w:rsidRDefault="00CF4FAF" w:rsidP="00682416">
      <w:pPr>
        <w:pStyle w:val="3-SubsectionHeading"/>
        <w:outlineLvl w:val="1"/>
        <w:rPr>
          <w:lang w:eastAsia="en-AU"/>
        </w:rPr>
      </w:pPr>
      <w:r w:rsidRPr="006E1229">
        <w:rPr>
          <w:lang w:eastAsia="en-AU"/>
        </w:rPr>
        <w:t>Consumer comments</w:t>
      </w:r>
    </w:p>
    <w:p w14:paraId="64E12650" w14:textId="115FA7C1" w:rsidR="00CF4FAF" w:rsidRPr="00432B5F" w:rsidRDefault="00CF4FAF" w:rsidP="0004678A">
      <w:pPr>
        <w:widowControl w:val="0"/>
        <w:numPr>
          <w:ilvl w:val="1"/>
          <w:numId w:val="1"/>
        </w:numPr>
        <w:spacing w:after="120"/>
        <w:rPr>
          <w:rFonts w:asciiTheme="minorHAnsi" w:hAnsiTheme="minorHAnsi"/>
          <w:bCs/>
          <w:snapToGrid w:val="0"/>
        </w:rPr>
      </w:pPr>
      <w:bookmarkStart w:id="13" w:name="_Hlk76382618"/>
      <w:r w:rsidRPr="00432B5F">
        <w:rPr>
          <w:rFonts w:asciiTheme="minorHAnsi" w:hAnsiTheme="minorHAnsi"/>
          <w:bCs/>
          <w:snapToGrid w:val="0"/>
        </w:rPr>
        <w:t>The PBAC noted and welcomed the input from individuals (</w:t>
      </w:r>
      <w:r w:rsidR="001C5C36" w:rsidRPr="00432B5F">
        <w:rPr>
          <w:rFonts w:asciiTheme="minorHAnsi" w:hAnsiTheme="minorHAnsi"/>
          <w:bCs/>
          <w:snapToGrid w:val="0"/>
        </w:rPr>
        <w:t>1</w:t>
      </w:r>
      <w:r w:rsidRPr="00432B5F">
        <w:rPr>
          <w:rFonts w:asciiTheme="minorHAnsi" w:hAnsiTheme="minorHAnsi"/>
          <w:bCs/>
          <w:snapToGrid w:val="0"/>
        </w:rPr>
        <w:t>), and</w:t>
      </w:r>
      <w:r w:rsidR="00432B5F" w:rsidRPr="00432B5F">
        <w:rPr>
          <w:rFonts w:asciiTheme="minorHAnsi" w:hAnsiTheme="minorHAnsi"/>
          <w:bCs/>
          <w:snapToGrid w:val="0"/>
        </w:rPr>
        <w:t xml:space="preserve"> the </w:t>
      </w:r>
      <w:r w:rsidR="001C5C36" w:rsidRPr="00432B5F">
        <w:rPr>
          <w:rFonts w:asciiTheme="minorHAnsi" w:hAnsiTheme="minorHAnsi"/>
          <w:bCs/>
          <w:snapToGrid w:val="0"/>
        </w:rPr>
        <w:t>National Paediatric Medicines Forum</w:t>
      </w:r>
      <w:r w:rsidRPr="00432B5F">
        <w:rPr>
          <w:rFonts w:asciiTheme="minorHAnsi" w:hAnsiTheme="minorHAnsi"/>
          <w:bCs/>
          <w:snapToGrid w:val="0"/>
        </w:rPr>
        <w:t xml:space="preserve"> via the Consumer Comments facility on the PBS website. </w:t>
      </w:r>
      <w:r w:rsidR="000629D4" w:rsidRPr="00432B5F">
        <w:rPr>
          <w:rFonts w:asciiTheme="minorHAnsi" w:hAnsiTheme="minorHAnsi"/>
          <w:bCs/>
          <w:snapToGrid w:val="0"/>
        </w:rPr>
        <w:t xml:space="preserve">The comments noted the advantages of oral administration and the benefits of avoiding delayed treatment in </w:t>
      </w:r>
      <w:r w:rsidR="00487416">
        <w:rPr>
          <w:rFonts w:asciiTheme="minorHAnsi" w:hAnsiTheme="minorHAnsi"/>
          <w:bCs/>
          <w:snapToGrid w:val="0"/>
        </w:rPr>
        <w:t>patients</w:t>
      </w:r>
      <w:r w:rsidR="000629D4" w:rsidRPr="00432B5F">
        <w:rPr>
          <w:rFonts w:asciiTheme="minorHAnsi" w:hAnsiTheme="minorHAnsi"/>
          <w:bCs/>
          <w:snapToGrid w:val="0"/>
        </w:rPr>
        <w:t xml:space="preserve"> with SMA. </w:t>
      </w:r>
      <w:r w:rsidRPr="00432B5F">
        <w:rPr>
          <w:rFonts w:asciiTheme="minorHAnsi" w:hAnsiTheme="minorHAnsi"/>
          <w:bCs/>
          <w:snapToGrid w:val="0"/>
        </w:rPr>
        <w:t xml:space="preserve">The PBAC noted the advice received from </w:t>
      </w:r>
      <w:r w:rsidR="001F7838" w:rsidRPr="00432B5F">
        <w:rPr>
          <w:rFonts w:asciiTheme="minorHAnsi" w:hAnsiTheme="minorHAnsi"/>
          <w:bCs/>
          <w:snapToGrid w:val="0"/>
        </w:rPr>
        <w:t xml:space="preserve">the National Paediatric Medicines Forum </w:t>
      </w:r>
      <w:r w:rsidRPr="00432B5F">
        <w:rPr>
          <w:rFonts w:asciiTheme="minorHAnsi" w:hAnsiTheme="minorHAnsi"/>
          <w:bCs/>
          <w:snapToGrid w:val="0"/>
        </w:rPr>
        <w:t xml:space="preserve">that </w:t>
      </w:r>
      <w:r w:rsidR="008F638B" w:rsidRPr="00432B5F">
        <w:rPr>
          <w:rFonts w:asciiTheme="minorHAnsi" w:hAnsiTheme="minorHAnsi"/>
          <w:bCs/>
          <w:snapToGrid w:val="0"/>
        </w:rPr>
        <w:t xml:space="preserve">the oral route of administration, as opposed to intrathecal or intravenous infusion will assist rural and remote patients access treatment, and that the </w:t>
      </w:r>
      <w:r w:rsidR="001F7838" w:rsidRPr="00432B5F">
        <w:rPr>
          <w:rFonts w:asciiTheme="minorHAnsi" w:hAnsiTheme="minorHAnsi"/>
          <w:bCs/>
          <w:snapToGrid w:val="0"/>
        </w:rPr>
        <w:t>PBS listing of risdiplam</w:t>
      </w:r>
      <w:r w:rsidRPr="00432B5F">
        <w:rPr>
          <w:rFonts w:asciiTheme="minorHAnsi" w:hAnsiTheme="minorHAnsi"/>
          <w:bCs/>
          <w:snapToGrid w:val="0"/>
        </w:rPr>
        <w:t xml:space="preserve"> </w:t>
      </w:r>
      <w:r w:rsidR="001F7838" w:rsidRPr="00432B5F">
        <w:rPr>
          <w:rFonts w:asciiTheme="minorHAnsi" w:hAnsiTheme="minorHAnsi"/>
          <w:bCs/>
          <w:snapToGrid w:val="0"/>
        </w:rPr>
        <w:t xml:space="preserve">for patients with confirmed genetic diagnosis of SMA who have a </w:t>
      </w:r>
      <w:r w:rsidR="001F7838" w:rsidRPr="00432B5F">
        <w:rPr>
          <w:rFonts w:asciiTheme="minorHAnsi" w:hAnsiTheme="minorHAnsi"/>
          <w:bCs/>
          <w:i/>
          <w:iCs/>
          <w:snapToGrid w:val="0"/>
        </w:rPr>
        <w:t>SMN2</w:t>
      </w:r>
      <w:r w:rsidR="001F7838" w:rsidRPr="00432B5F">
        <w:rPr>
          <w:rFonts w:asciiTheme="minorHAnsi" w:hAnsiTheme="minorHAnsi"/>
          <w:bCs/>
          <w:snapToGrid w:val="0"/>
        </w:rPr>
        <w:t xml:space="preserve"> gene copy number of </w:t>
      </w:r>
      <w:r w:rsidR="00487416">
        <w:rPr>
          <w:rFonts w:asciiTheme="minorHAnsi" w:hAnsiTheme="minorHAnsi"/>
          <w:bCs/>
          <w:snapToGrid w:val="0"/>
        </w:rPr>
        <w:t>three</w:t>
      </w:r>
      <w:r w:rsidR="001F7838" w:rsidRPr="00432B5F">
        <w:rPr>
          <w:rFonts w:asciiTheme="minorHAnsi" w:hAnsiTheme="minorHAnsi"/>
          <w:bCs/>
          <w:snapToGrid w:val="0"/>
        </w:rPr>
        <w:t xml:space="preserve"> would </w:t>
      </w:r>
      <w:r w:rsidR="00432B5F">
        <w:rPr>
          <w:rFonts w:asciiTheme="minorHAnsi" w:hAnsiTheme="minorHAnsi"/>
          <w:bCs/>
          <w:snapToGrid w:val="0"/>
        </w:rPr>
        <w:t xml:space="preserve">be </w:t>
      </w:r>
      <w:r w:rsidR="001F7838" w:rsidRPr="00432B5F">
        <w:rPr>
          <w:rFonts w:asciiTheme="minorHAnsi" w:hAnsiTheme="minorHAnsi"/>
          <w:bCs/>
          <w:snapToGrid w:val="0"/>
        </w:rPr>
        <w:t>likely</w:t>
      </w:r>
      <w:r w:rsidR="00432B5F">
        <w:rPr>
          <w:rFonts w:asciiTheme="minorHAnsi" w:hAnsiTheme="minorHAnsi"/>
          <w:bCs/>
          <w:snapToGrid w:val="0"/>
        </w:rPr>
        <w:t xml:space="preserve"> to</w:t>
      </w:r>
      <w:r w:rsidR="001F7838" w:rsidRPr="00432B5F">
        <w:rPr>
          <w:rFonts w:asciiTheme="minorHAnsi" w:hAnsiTheme="minorHAnsi"/>
          <w:bCs/>
          <w:snapToGrid w:val="0"/>
        </w:rPr>
        <w:t xml:space="preserve"> improve equitable access and reduce </w:t>
      </w:r>
      <w:r w:rsidR="00432B5F">
        <w:rPr>
          <w:rFonts w:asciiTheme="minorHAnsi" w:hAnsiTheme="minorHAnsi"/>
          <w:bCs/>
          <w:snapToGrid w:val="0"/>
        </w:rPr>
        <w:t xml:space="preserve">anxiety </w:t>
      </w:r>
      <w:r w:rsidR="008F638B" w:rsidRPr="00432B5F">
        <w:rPr>
          <w:rFonts w:asciiTheme="minorHAnsi" w:hAnsiTheme="minorHAnsi"/>
          <w:bCs/>
          <w:snapToGrid w:val="0"/>
        </w:rPr>
        <w:t>for SMA families with a recently diagnosed infant</w:t>
      </w:r>
      <w:r w:rsidR="001F7838" w:rsidRPr="00432B5F">
        <w:rPr>
          <w:rFonts w:asciiTheme="minorHAnsi" w:hAnsiTheme="minorHAnsi"/>
          <w:bCs/>
          <w:snapToGrid w:val="0"/>
        </w:rPr>
        <w:t xml:space="preserve">. </w:t>
      </w:r>
    </w:p>
    <w:bookmarkEnd w:id="11"/>
    <w:bookmarkEnd w:id="13"/>
    <w:p w14:paraId="579FA07E" w14:textId="77777777" w:rsidR="0007132E" w:rsidRPr="00C61670" w:rsidRDefault="0007132E" w:rsidP="0007132E">
      <w:pPr>
        <w:pStyle w:val="4-SubsectionHeading"/>
      </w:pPr>
      <w:r w:rsidRPr="00C61670">
        <w:t>Clinical studies</w:t>
      </w:r>
      <w:bookmarkEnd w:id="12"/>
    </w:p>
    <w:p w14:paraId="21DCE0EF" w14:textId="35FC2826" w:rsidR="0007132E" w:rsidRPr="00C61670" w:rsidRDefault="0007132E" w:rsidP="0007132E">
      <w:pPr>
        <w:pStyle w:val="3-BodyText"/>
      </w:pPr>
      <w:bookmarkStart w:id="14" w:name="_Hlk171671449"/>
      <w:r w:rsidRPr="00C61670">
        <w:rPr>
          <w:snapToGrid/>
        </w:rPr>
        <w:t xml:space="preserve">The </w:t>
      </w:r>
      <w:r w:rsidR="0007089E">
        <w:rPr>
          <w:snapToGrid/>
        </w:rPr>
        <w:t>submission</w:t>
      </w:r>
      <w:r w:rsidRPr="00C61670">
        <w:rPr>
          <w:snapToGrid/>
        </w:rPr>
        <w:t xml:space="preserve"> was based on </w:t>
      </w:r>
      <w:r w:rsidRPr="00C61670">
        <w:t xml:space="preserve">unanchored numerical comparisons using single arm studies to compare risdiplam (RAINBOWFISH) and nusinersen (NURTURE). </w:t>
      </w:r>
      <w:bookmarkEnd w:id="14"/>
      <w:r w:rsidRPr="00C61670">
        <w:t xml:space="preserve">These trials have previously been </w:t>
      </w:r>
      <w:r w:rsidR="001E7FCB">
        <w:t>considered</w:t>
      </w:r>
      <w:r w:rsidR="001E7FCB" w:rsidRPr="00C61670">
        <w:t xml:space="preserve"> </w:t>
      </w:r>
      <w:r w:rsidRPr="00C61670">
        <w:t>by the PBAC</w:t>
      </w:r>
      <w:r w:rsidR="007A2ED1" w:rsidRPr="00C61670">
        <w:t xml:space="preserve">. </w:t>
      </w:r>
      <w:r w:rsidR="002E132E" w:rsidRPr="00C61670">
        <w:t xml:space="preserve">The PBAC had previously considered </w:t>
      </w:r>
      <w:r w:rsidR="008407FD">
        <w:t xml:space="preserve">data from </w:t>
      </w:r>
      <w:r w:rsidR="002E132E" w:rsidRPr="00C61670">
        <w:t xml:space="preserve">RAINBOWFISH </w:t>
      </w:r>
      <w:r w:rsidR="008407FD">
        <w:t xml:space="preserve">for patients with 1-2 copies </w:t>
      </w:r>
      <w:r w:rsidR="008407FD" w:rsidRPr="00E94743">
        <w:rPr>
          <w:i/>
        </w:rPr>
        <w:t>SMN2</w:t>
      </w:r>
      <w:r w:rsidR="008407FD" w:rsidRPr="0081032F">
        <w:rPr>
          <w:iCs/>
        </w:rPr>
        <w:t xml:space="preserve"> </w:t>
      </w:r>
      <w:r w:rsidR="002E132E" w:rsidRPr="00C61670">
        <w:t>(clinical cut-off date [CCOD] 1 July 2021; N=18) at the March 2023 PBAC meeting, but t</w:t>
      </w:r>
      <w:r w:rsidRPr="00C61670">
        <w:t xml:space="preserve">he data from RAINBOWFISH presented in the current </w:t>
      </w:r>
      <w:r w:rsidR="0007089E">
        <w:t>submission</w:t>
      </w:r>
      <w:r w:rsidRPr="00C61670">
        <w:t xml:space="preserve"> (</w:t>
      </w:r>
      <w:r w:rsidRPr="00C61670">
        <w:rPr>
          <w:lang w:eastAsia="en-US"/>
        </w:rPr>
        <w:t xml:space="preserve">CCOD 20 February 2023; </w:t>
      </w:r>
      <w:r w:rsidRPr="00C61670">
        <w:t xml:space="preserve">N=26) </w:t>
      </w:r>
      <w:r w:rsidR="008407FD">
        <w:t>include</w:t>
      </w:r>
      <w:r w:rsidR="00487416">
        <w:t>d</w:t>
      </w:r>
      <w:r w:rsidR="008407FD">
        <w:t xml:space="preserve"> </w:t>
      </w:r>
      <w:r w:rsidR="0055350A">
        <w:t>13</w:t>
      </w:r>
      <w:r w:rsidR="008407FD">
        <w:t xml:space="preserve"> patients with 3 copies </w:t>
      </w:r>
      <w:r w:rsidR="008407FD" w:rsidRPr="008407FD">
        <w:rPr>
          <w:i/>
          <w:iCs/>
        </w:rPr>
        <w:t>SMN2</w:t>
      </w:r>
      <w:r w:rsidR="00487416">
        <w:rPr>
          <w:i/>
          <w:iCs/>
        </w:rPr>
        <w:t xml:space="preserve">, </w:t>
      </w:r>
      <w:r w:rsidRPr="00C61670">
        <w:t>represent</w:t>
      </w:r>
      <w:r w:rsidR="00487416">
        <w:t>ing</w:t>
      </w:r>
      <w:r w:rsidRPr="00C61670">
        <w:t xml:space="preserve"> a more recent data cut</w:t>
      </w:r>
      <w:r w:rsidR="002E132E" w:rsidRPr="00C61670">
        <w:t xml:space="preserve"> with more patients</w:t>
      </w:r>
      <w:r w:rsidRPr="00C61670">
        <w:t xml:space="preserve">. </w:t>
      </w:r>
      <w:r w:rsidR="00DA25B0">
        <w:t xml:space="preserve">While RAINBOWFISH enrolled patients with any number of </w:t>
      </w:r>
      <w:r w:rsidR="00DA25B0" w:rsidRPr="00DA25B0">
        <w:rPr>
          <w:i/>
          <w:iCs/>
        </w:rPr>
        <w:t>SMN2</w:t>
      </w:r>
      <w:r w:rsidR="00DA25B0">
        <w:t xml:space="preserve"> copies, data for patients with three </w:t>
      </w:r>
      <w:r w:rsidR="00DA25B0" w:rsidRPr="00DA25B0">
        <w:rPr>
          <w:i/>
          <w:iCs/>
        </w:rPr>
        <w:t>SMN2</w:t>
      </w:r>
      <w:r w:rsidR="00DA25B0">
        <w:t xml:space="preserve"> copies has not previously been considered by the PBAC as this subpopulation was withdrawn from consideration prior to the March 2023 PBAC meeting. </w:t>
      </w:r>
      <w:r w:rsidR="00A67527" w:rsidRPr="00C61670">
        <w:t xml:space="preserve">NURTURE (n=25) was most recently considered at the July 2023 PBAC meeting for nusinersen in pre-symptomatic SMA patients with three </w:t>
      </w:r>
      <w:r w:rsidR="00A67527" w:rsidRPr="00C61670">
        <w:rPr>
          <w:i/>
          <w:iCs/>
        </w:rPr>
        <w:t>SMN2</w:t>
      </w:r>
      <w:r w:rsidR="00A67527" w:rsidRPr="00C61670">
        <w:t xml:space="preserve"> gene copies.</w:t>
      </w:r>
    </w:p>
    <w:p w14:paraId="31ADFE87" w14:textId="340FE7BC" w:rsidR="0007132E" w:rsidRPr="00C61670" w:rsidRDefault="0007132E" w:rsidP="0007132E">
      <w:pPr>
        <w:pStyle w:val="3-BodyText"/>
      </w:pPr>
      <w:r w:rsidRPr="00C61670">
        <w:rPr>
          <w:snapToGrid/>
        </w:rPr>
        <w:t xml:space="preserve">Details of the studies presented in the </w:t>
      </w:r>
      <w:r w:rsidR="0007089E">
        <w:rPr>
          <w:snapToGrid/>
        </w:rPr>
        <w:t>submission</w:t>
      </w:r>
      <w:r w:rsidRPr="00C61670">
        <w:rPr>
          <w:snapToGrid/>
        </w:rPr>
        <w:t xml:space="preserve"> are provided in</w:t>
      </w:r>
      <w:r w:rsidR="00E177C8">
        <w:rPr>
          <w:snapToGrid/>
        </w:rPr>
        <w:t xml:space="preserve"> </w:t>
      </w:r>
      <w:r w:rsidR="00E177C8">
        <w:rPr>
          <w:snapToGrid/>
        </w:rPr>
        <w:fldChar w:fldCharType="begin" w:fldLock="1"/>
      </w:r>
      <w:r w:rsidR="00E177C8">
        <w:rPr>
          <w:snapToGrid/>
        </w:rPr>
        <w:instrText xml:space="preserve"> REF _Ref166511385 \h </w:instrText>
      </w:r>
      <w:r w:rsidR="00E177C8">
        <w:rPr>
          <w:snapToGrid/>
        </w:rPr>
      </w:r>
      <w:r w:rsidR="00E177C8">
        <w:rPr>
          <w:snapToGrid/>
        </w:rPr>
        <w:fldChar w:fldCharType="separate"/>
      </w:r>
      <w:r w:rsidR="00AA25E7" w:rsidRPr="00C61670">
        <w:t xml:space="preserve">Table </w:t>
      </w:r>
      <w:r w:rsidR="00AA25E7">
        <w:rPr>
          <w:noProof/>
        </w:rPr>
        <w:t>3</w:t>
      </w:r>
      <w:r w:rsidR="00E177C8">
        <w:rPr>
          <w:snapToGrid/>
        </w:rPr>
        <w:fldChar w:fldCharType="end"/>
      </w:r>
      <w:r w:rsidRPr="00C61670">
        <w:rPr>
          <w:snapToGrid/>
        </w:rPr>
        <w:t xml:space="preserve">. </w:t>
      </w:r>
    </w:p>
    <w:p w14:paraId="7B0A4261" w14:textId="79B66D77" w:rsidR="0007132E" w:rsidRPr="00C61670" w:rsidRDefault="0007132E" w:rsidP="003D7848">
      <w:pPr>
        <w:pStyle w:val="TableFigureHeading"/>
        <w:keepLines/>
        <w:widowControl w:val="0"/>
        <w:rPr>
          <w:rStyle w:val="CommentReference"/>
          <w:b/>
          <w:szCs w:val="24"/>
        </w:rPr>
      </w:pPr>
      <w:bookmarkStart w:id="15" w:name="_Ref166511385"/>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3</w:t>
      </w:r>
      <w:r w:rsidR="002906A9">
        <w:rPr>
          <w:noProof/>
        </w:rPr>
        <w:fldChar w:fldCharType="end"/>
      </w:r>
      <w:bookmarkEnd w:id="15"/>
      <w:r w:rsidRPr="00C61670">
        <w:t>:</w:t>
      </w:r>
      <w:bookmarkStart w:id="16" w:name="_Hlk165801729"/>
      <w:r w:rsidRPr="00C61670">
        <w:rPr>
          <w:rStyle w:val="CommentReference"/>
          <w:b/>
          <w:szCs w:val="24"/>
        </w:rPr>
        <w:t xml:space="preserve"> Risdiplam and nusinersen studies and associated reports presented in the </w:t>
      </w:r>
      <w:r w:rsidR="0007089E">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Risdiplam and nusinersen studies and associated reports presented in the submission"/>
      </w:tblPr>
      <w:tblGrid>
        <w:gridCol w:w="1374"/>
        <w:gridCol w:w="4774"/>
        <w:gridCol w:w="2869"/>
      </w:tblGrid>
      <w:tr w:rsidR="0007132E" w:rsidRPr="00C61670" w14:paraId="326CBF96" w14:textId="77777777" w:rsidTr="00C3117B">
        <w:trPr>
          <w:tblHeader/>
        </w:trPr>
        <w:tc>
          <w:tcPr>
            <w:tcW w:w="762" w:type="pct"/>
            <w:shd w:val="clear" w:color="auto" w:fill="auto"/>
            <w:vAlign w:val="center"/>
            <w:hideMark/>
          </w:tcPr>
          <w:p w14:paraId="53A16C10" w14:textId="77777777" w:rsidR="0007132E" w:rsidRPr="00C61670" w:rsidRDefault="0007132E" w:rsidP="003D7848">
            <w:pPr>
              <w:pStyle w:val="In-tableHeading"/>
              <w:keepLines/>
              <w:widowControl w:val="0"/>
              <w:rPr>
                <w:szCs w:val="20"/>
                <w:lang w:val="en-AU"/>
              </w:rPr>
            </w:pPr>
            <w:r w:rsidRPr="00C61670">
              <w:rPr>
                <w:szCs w:val="20"/>
                <w:lang w:val="en-AU"/>
              </w:rPr>
              <w:t>Study ID</w:t>
            </w:r>
          </w:p>
        </w:tc>
        <w:tc>
          <w:tcPr>
            <w:tcW w:w="2647" w:type="pct"/>
            <w:shd w:val="clear" w:color="auto" w:fill="auto"/>
            <w:vAlign w:val="center"/>
            <w:hideMark/>
          </w:tcPr>
          <w:p w14:paraId="72BB8025" w14:textId="77777777" w:rsidR="0007132E" w:rsidRPr="00C61670" w:rsidRDefault="0007132E" w:rsidP="003D7848">
            <w:pPr>
              <w:pStyle w:val="In-tableHeading"/>
              <w:keepLines/>
              <w:widowControl w:val="0"/>
              <w:rPr>
                <w:szCs w:val="20"/>
                <w:lang w:val="en-AU"/>
              </w:rPr>
            </w:pPr>
            <w:r w:rsidRPr="00C61670">
              <w:rPr>
                <w:szCs w:val="20"/>
                <w:lang w:val="en-AU"/>
              </w:rPr>
              <w:t>Protocol title/ Publication title</w:t>
            </w:r>
          </w:p>
        </w:tc>
        <w:tc>
          <w:tcPr>
            <w:tcW w:w="1591" w:type="pct"/>
            <w:shd w:val="clear" w:color="auto" w:fill="auto"/>
            <w:vAlign w:val="center"/>
            <w:hideMark/>
          </w:tcPr>
          <w:p w14:paraId="1E2FFF95" w14:textId="77777777" w:rsidR="0007132E" w:rsidRPr="00C61670" w:rsidRDefault="0007132E" w:rsidP="003D7848">
            <w:pPr>
              <w:pStyle w:val="In-tableHeading"/>
              <w:keepLines/>
              <w:widowControl w:val="0"/>
              <w:rPr>
                <w:szCs w:val="20"/>
                <w:lang w:val="en-AU"/>
              </w:rPr>
            </w:pPr>
            <w:r w:rsidRPr="00C61670">
              <w:rPr>
                <w:szCs w:val="20"/>
                <w:lang w:val="en-AU"/>
              </w:rPr>
              <w:t>Publication citation</w:t>
            </w:r>
          </w:p>
        </w:tc>
      </w:tr>
      <w:tr w:rsidR="00842FC5" w:rsidRPr="00C61670" w14:paraId="6C7B838F" w14:textId="77777777" w:rsidTr="00C3117B">
        <w:tc>
          <w:tcPr>
            <w:tcW w:w="762" w:type="pct"/>
            <w:vMerge w:val="restart"/>
            <w:shd w:val="clear" w:color="auto" w:fill="auto"/>
            <w:vAlign w:val="center"/>
            <w:hideMark/>
          </w:tcPr>
          <w:p w14:paraId="10FEA9C6" w14:textId="77777777" w:rsidR="00842FC5" w:rsidRPr="00C61670" w:rsidRDefault="00842FC5" w:rsidP="003D7848">
            <w:pPr>
              <w:pStyle w:val="TableText0"/>
              <w:keepLines/>
              <w:widowControl w:val="0"/>
              <w:rPr>
                <w:szCs w:val="20"/>
              </w:rPr>
            </w:pPr>
            <w:r w:rsidRPr="00C61670">
              <w:rPr>
                <w:szCs w:val="20"/>
              </w:rPr>
              <w:t>RAINBOWFISH</w:t>
            </w:r>
          </w:p>
        </w:tc>
        <w:tc>
          <w:tcPr>
            <w:tcW w:w="2647" w:type="pct"/>
            <w:shd w:val="clear" w:color="auto" w:fill="auto"/>
            <w:vAlign w:val="center"/>
            <w:hideMark/>
          </w:tcPr>
          <w:p w14:paraId="14C3C0F6" w14:textId="77777777" w:rsidR="00842FC5" w:rsidRPr="00C61670" w:rsidRDefault="00842FC5" w:rsidP="003D7848">
            <w:pPr>
              <w:pStyle w:val="TableText0"/>
              <w:keepLines/>
              <w:widowControl w:val="0"/>
              <w:rPr>
                <w:noProof/>
                <w:szCs w:val="20"/>
              </w:rPr>
            </w:pPr>
            <w:r w:rsidRPr="00C61670">
              <w:rPr>
                <w:noProof/>
                <w:szCs w:val="20"/>
              </w:rPr>
              <w:t>Primary CSR Study BN40703, (RAINBOWFISH) An Open-Label Study Of Risdiplam In Infants With Genetically Diagnosed And Presymptomatic Spinal Muscular Atrophy.</w:t>
            </w:r>
          </w:p>
        </w:tc>
        <w:tc>
          <w:tcPr>
            <w:tcW w:w="1591" w:type="pct"/>
            <w:shd w:val="clear" w:color="auto" w:fill="auto"/>
            <w:vAlign w:val="center"/>
            <w:hideMark/>
          </w:tcPr>
          <w:p w14:paraId="34CE6167" w14:textId="77777777" w:rsidR="00842FC5" w:rsidRPr="00C61670" w:rsidRDefault="00842FC5" w:rsidP="003D7848">
            <w:pPr>
              <w:pStyle w:val="TableText0"/>
              <w:keepLines/>
              <w:widowControl w:val="0"/>
              <w:rPr>
                <w:noProof/>
                <w:szCs w:val="20"/>
              </w:rPr>
            </w:pPr>
            <w:r w:rsidRPr="00C61670">
              <w:rPr>
                <w:noProof/>
                <w:szCs w:val="20"/>
              </w:rPr>
              <w:t>CSR Report No. 1122192. August 2023 (Clinical Appendix)</w:t>
            </w:r>
          </w:p>
        </w:tc>
      </w:tr>
      <w:tr w:rsidR="00842FC5" w:rsidRPr="00C61670" w14:paraId="6B600313" w14:textId="77777777" w:rsidTr="00C3117B">
        <w:tc>
          <w:tcPr>
            <w:tcW w:w="762" w:type="pct"/>
            <w:vMerge/>
            <w:shd w:val="clear" w:color="auto" w:fill="auto"/>
            <w:vAlign w:val="center"/>
            <w:hideMark/>
          </w:tcPr>
          <w:p w14:paraId="5972E84E" w14:textId="77777777" w:rsidR="00842FC5" w:rsidRPr="00C61670" w:rsidRDefault="00842FC5" w:rsidP="003D7848">
            <w:pPr>
              <w:pStyle w:val="TableText0"/>
              <w:keepLines/>
              <w:widowControl w:val="0"/>
              <w:rPr>
                <w:szCs w:val="20"/>
              </w:rPr>
            </w:pPr>
          </w:p>
        </w:tc>
        <w:tc>
          <w:tcPr>
            <w:tcW w:w="2647" w:type="pct"/>
            <w:shd w:val="clear" w:color="auto" w:fill="auto"/>
            <w:vAlign w:val="center"/>
            <w:hideMark/>
          </w:tcPr>
          <w:p w14:paraId="2846CCC8" w14:textId="77777777" w:rsidR="00842FC5" w:rsidRPr="00C61670" w:rsidRDefault="00842FC5" w:rsidP="003D7848">
            <w:pPr>
              <w:pStyle w:val="TableText0"/>
              <w:keepLines/>
              <w:widowControl w:val="0"/>
              <w:rPr>
                <w:noProof/>
                <w:szCs w:val="20"/>
              </w:rPr>
            </w:pPr>
            <w:r w:rsidRPr="00C61670">
              <w:rPr>
                <w:noProof/>
                <w:szCs w:val="20"/>
              </w:rPr>
              <w:t xml:space="preserve">Interim CSR Study BN40703, (RAINBOWFISH) An Open-Label Study Of Risdiplam In Infants With Genetically Diagnosed And Presymptomatic Spinal Muscular Atrophy. </w:t>
            </w:r>
          </w:p>
        </w:tc>
        <w:tc>
          <w:tcPr>
            <w:tcW w:w="1591" w:type="pct"/>
            <w:shd w:val="clear" w:color="auto" w:fill="auto"/>
            <w:vAlign w:val="center"/>
          </w:tcPr>
          <w:p w14:paraId="3F2AE355" w14:textId="77777777" w:rsidR="00842FC5" w:rsidRPr="00C61670" w:rsidRDefault="00842FC5" w:rsidP="003D7848">
            <w:pPr>
              <w:pStyle w:val="TableText0"/>
              <w:keepLines/>
              <w:widowControl w:val="0"/>
              <w:rPr>
                <w:noProof/>
                <w:szCs w:val="20"/>
              </w:rPr>
            </w:pPr>
            <w:r w:rsidRPr="00C61670">
              <w:rPr>
                <w:noProof/>
                <w:szCs w:val="20"/>
              </w:rPr>
              <w:t>CSR Report No. 1109915 2021; October 2021 (Clinical Appendix)</w:t>
            </w:r>
          </w:p>
        </w:tc>
      </w:tr>
      <w:tr w:rsidR="00842FC5" w:rsidRPr="00C61670" w14:paraId="1418C367" w14:textId="77777777" w:rsidTr="00C3117B">
        <w:tc>
          <w:tcPr>
            <w:tcW w:w="762" w:type="pct"/>
            <w:vMerge/>
            <w:shd w:val="clear" w:color="auto" w:fill="auto"/>
            <w:vAlign w:val="center"/>
            <w:hideMark/>
          </w:tcPr>
          <w:p w14:paraId="5D62EFE1" w14:textId="77777777" w:rsidR="00842FC5" w:rsidRPr="00C61670" w:rsidRDefault="00842FC5" w:rsidP="003D7848">
            <w:pPr>
              <w:pStyle w:val="TableText0"/>
              <w:keepLines/>
              <w:widowControl w:val="0"/>
              <w:rPr>
                <w:szCs w:val="20"/>
              </w:rPr>
            </w:pPr>
          </w:p>
        </w:tc>
        <w:tc>
          <w:tcPr>
            <w:tcW w:w="2647" w:type="pct"/>
            <w:shd w:val="clear" w:color="auto" w:fill="auto"/>
            <w:vAlign w:val="center"/>
            <w:hideMark/>
          </w:tcPr>
          <w:p w14:paraId="48A1AA3C" w14:textId="6CAC7FD0" w:rsidR="00842FC5" w:rsidRPr="00C61670" w:rsidRDefault="00842FC5" w:rsidP="003D7848">
            <w:pPr>
              <w:pStyle w:val="TableText0"/>
              <w:keepLines/>
              <w:widowControl w:val="0"/>
              <w:rPr>
                <w:noProof/>
                <w:szCs w:val="20"/>
              </w:rPr>
            </w:pPr>
            <w:r w:rsidRPr="00C61670">
              <w:rPr>
                <w:szCs w:val="20"/>
              </w:rPr>
              <w:t xml:space="preserve">A Study of Risdiplam in Infants With Genetically Diagnosed and Pre-symptomatic Spinal Muscular Atrophy (Rainbowfish). </w:t>
            </w:r>
          </w:p>
        </w:tc>
        <w:tc>
          <w:tcPr>
            <w:tcW w:w="1591" w:type="pct"/>
            <w:shd w:val="clear" w:color="auto" w:fill="auto"/>
            <w:vAlign w:val="center"/>
          </w:tcPr>
          <w:p w14:paraId="37996DDF" w14:textId="1D0BDC1F" w:rsidR="00842FC5" w:rsidRPr="00C61670" w:rsidRDefault="00A20CDB" w:rsidP="003D7848">
            <w:pPr>
              <w:pStyle w:val="TableText0"/>
              <w:keepLines/>
              <w:widowControl w:val="0"/>
              <w:rPr>
                <w:noProof/>
                <w:szCs w:val="20"/>
              </w:rPr>
            </w:pPr>
            <w:hyperlink r:id="rId8" w:history="1">
              <w:r w:rsidR="00D7705E" w:rsidRPr="00033937">
                <w:rPr>
                  <w:rStyle w:val="Hyperlink"/>
                  <w:szCs w:val="20"/>
                </w:rPr>
                <w:t>https://classic.clinicaltrials.gov/show/ NCT03779334</w:t>
              </w:r>
            </w:hyperlink>
          </w:p>
        </w:tc>
      </w:tr>
      <w:tr w:rsidR="00842FC5" w:rsidRPr="00C61670" w14:paraId="106B38D7" w14:textId="77777777" w:rsidTr="00C3117B">
        <w:tc>
          <w:tcPr>
            <w:tcW w:w="762" w:type="pct"/>
            <w:vMerge/>
            <w:shd w:val="clear" w:color="auto" w:fill="auto"/>
            <w:vAlign w:val="center"/>
          </w:tcPr>
          <w:p w14:paraId="0A3A0F24" w14:textId="77777777" w:rsidR="00842FC5" w:rsidRPr="00C61670" w:rsidRDefault="00842FC5" w:rsidP="003D7848">
            <w:pPr>
              <w:pStyle w:val="TableText0"/>
              <w:keepLines/>
              <w:widowControl w:val="0"/>
              <w:rPr>
                <w:szCs w:val="20"/>
              </w:rPr>
            </w:pPr>
          </w:p>
        </w:tc>
        <w:tc>
          <w:tcPr>
            <w:tcW w:w="2647" w:type="pct"/>
            <w:shd w:val="clear" w:color="auto" w:fill="C6D9F1" w:themeFill="text2" w:themeFillTint="33"/>
            <w:vAlign w:val="center"/>
          </w:tcPr>
          <w:p w14:paraId="70639165" w14:textId="4FD25CDA" w:rsidR="00842FC5" w:rsidRPr="00C61670" w:rsidDel="00312DE9" w:rsidRDefault="00842FC5" w:rsidP="003D7848">
            <w:pPr>
              <w:pStyle w:val="TableText0"/>
              <w:keepLines/>
              <w:widowControl w:val="0"/>
              <w:rPr>
                <w:szCs w:val="20"/>
              </w:rPr>
            </w:pPr>
            <w:r w:rsidRPr="00C61670">
              <w:rPr>
                <w:szCs w:val="20"/>
              </w:rPr>
              <w:t xml:space="preserve">Finkel. Preliminary Efficacy and Safety Data in Risdiplam-Treated Infants with Pre-symptomatic SMA. </w:t>
            </w:r>
          </w:p>
        </w:tc>
        <w:tc>
          <w:tcPr>
            <w:tcW w:w="1591" w:type="pct"/>
            <w:shd w:val="clear" w:color="auto" w:fill="C6D9F1" w:themeFill="text2" w:themeFillTint="33"/>
            <w:vAlign w:val="center"/>
          </w:tcPr>
          <w:p w14:paraId="36CDCE2C" w14:textId="71A13F66" w:rsidR="00842FC5" w:rsidRDefault="00842FC5" w:rsidP="003D7848">
            <w:pPr>
              <w:pStyle w:val="TableText0"/>
              <w:keepLines/>
              <w:widowControl w:val="0"/>
            </w:pPr>
            <w:r w:rsidRPr="00C61670">
              <w:rPr>
                <w:szCs w:val="20"/>
              </w:rPr>
              <w:t>Neurology. 2022; 98</w:t>
            </w:r>
          </w:p>
        </w:tc>
      </w:tr>
      <w:tr w:rsidR="00842FC5" w:rsidRPr="00C61670" w14:paraId="799AA8EB" w14:textId="77777777" w:rsidTr="00C3117B">
        <w:tc>
          <w:tcPr>
            <w:tcW w:w="762" w:type="pct"/>
            <w:vMerge/>
            <w:shd w:val="clear" w:color="auto" w:fill="auto"/>
            <w:vAlign w:val="center"/>
          </w:tcPr>
          <w:p w14:paraId="0724D8B2" w14:textId="77777777" w:rsidR="00842FC5" w:rsidRPr="00C61670" w:rsidRDefault="00842FC5" w:rsidP="003D7848">
            <w:pPr>
              <w:pStyle w:val="TableText0"/>
              <w:keepLines/>
              <w:widowControl w:val="0"/>
              <w:rPr>
                <w:szCs w:val="20"/>
              </w:rPr>
            </w:pPr>
          </w:p>
        </w:tc>
        <w:tc>
          <w:tcPr>
            <w:tcW w:w="2647" w:type="pct"/>
            <w:shd w:val="clear" w:color="auto" w:fill="C6D9F1" w:themeFill="text2" w:themeFillTint="33"/>
            <w:vAlign w:val="center"/>
          </w:tcPr>
          <w:p w14:paraId="2B99D84B" w14:textId="27D8A629" w:rsidR="00842FC5" w:rsidRPr="00C61670" w:rsidDel="00312DE9" w:rsidRDefault="00842FC5" w:rsidP="003D7848">
            <w:pPr>
              <w:pStyle w:val="TableText0"/>
              <w:keepLines/>
              <w:widowControl w:val="0"/>
              <w:rPr>
                <w:szCs w:val="20"/>
              </w:rPr>
            </w:pPr>
            <w:r w:rsidRPr="00C61670">
              <w:rPr>
                <w:szCs w:val="20"/>
              </w:rPr>
              <w:t xml:space="preserve">Servais. Preliminary Efficacy and Safety Data in Risdiplam-Treated Infants with Pre-symptomatic Spinal Muscular Atrophy. </w:t>
            </w:r>
          </w:p>
        </w:tc>
        <w:tc>
          <w:tcPr>
            <w:tcW w:w="1591" w:type="pct"/>
            <w:shd w:val="clear" w:color="auto" w:fill="C6D9F1" w:themeFill="text2" w:themeFillTint="33"/>
            <w:vAlign w:val="center"/>
          </w:tcPr>
          <w:p w14:paraId="480B6E7E" w14:textId="520A0D50" w:rsidR="00842FC5" w:rsidRDefault="00842FC5" w:rsidP="003D7848">
            <w:pPr>
              <w:pStyle w:val="TableText0"/>
              <w:keepLines/>
              <w:widowControl w:val="0"/>
            </w:pPr>
            <w:r w:rsidRPr="00C61670">
              <w:rPr>
                <w:szCs w:val="20"/>
              </w:rPr>
              <w:t>J Neuromuscul Dis. 2022; 9: S114-S115</w:t>
            </w:r>
          </w:p>
        </w:tc>
      </w:tr>
      <w:tr w:rsidR="00842FC5" w:rsidRPr="00C61670" w14:paraId="6B7DC91E" w14:textId="77777777" w:rsidTr="00C3117B">
        <w:tc>
          <w:tcPr>
            <w:tcW w:w="762" w:type="pct"/>
            <w:vMerge/>
            <w:shd w:val="clear" w:color="auto" w:fill="auto"/>
            <w:vAlign w:val="center"/>
          </w:tcPr>
          <w:p w14:paraId="29374EAC" w14:textId="77777777" w:rsidR="00842FC5" w:rsidRPr="00C61670" w:rsidRDefault="00842FC5" w:rsidP="003D7848">
            <w:pPr>
              <w:pStyle w:val="TableText0"/>
              <w:keepLines/>
              <w:widowControl w:val="0"/>
              <w:rPr>
                <w:szCs w:val="20"/>
              </w:rPr>
            </w:pPr>
          </w:p>
        </w:tc>
        <w:tc>
          <w:tcPr>
            <w:tcW w:w="2647" w:type="pct"/>
            <w:shd w:val="clear" w:color="auto" w:fill="C6D9F1" w:themeFill="text2" w:themeFillTint="33"/>
            <w:vAlign w:val="center"/>
          </w:tcPr>
          <w:p w14:paraId="49D1D402" w14:textId="55F8F629" w:rsidR="00842FC5" w:rsidRPr="00C61670" w:rsidDel="00312DE9" w:rsidRDefault="00842FC5" w:rsidP="003D7848">
            <w:pPr>
              <w:pStyle w:val="TableText0"/>
              <w:keepLines/>
              <w:widowControl w:val="0"/>
              <w:rPr>
                <w:szCs w:val="20"/>
              </w:rPr>
            </w:pPr>
            <w:r w:rsidRPr="00C61670">
              <w:rPr>
                <w:szCs w:val="20"/>
              </w:rPr>
              <w:t xml:space="preserve">Servais. A study of risdiplam in infants with pre-symptomatic spinal muscular atrophy (SMA). </w:t>
            </w:r>
          </w:p>
        </w:tc>
        <w:tc>
          <w:tcPr>
            <w:tcW w:w="1591" w:type="pct"/>
            <w:shd w:val="clear" w:color="auto" w:fill="C6D9F1" w:themeFill="text2" w:themeFillTint="33"/>
            <w:vAlign w:val="center"/>
          </w:tcPr>
          <w:p w14:paraId="11BF1B0F" w14:textId="66AD8735" w:rsidR="00842FC5" w:rsidRDefault="00842FC5" w:rsidP="003D7848">
            <w:pPr>
              <w:pStyle w:val="TableText0"/>
              <w:keepLines/>
              <w:widowControl w:val="0"/>
            </w:pPr>
            <w:r w:rsidRPr="00C61670">
              <w:rPr>
                <w:szCs w:val="20"/>
              </w:rPr>
              <w:t>Dev Med Child Neurol. 2022;64: 71</w:t>
            </w:r>
          </w:p>
        </w:tc>
      </w:tr>
      <w:tr w:rsidR="00842FC5" w:rsidRPr="00C61670" w14:paraId="1260E49B" w14:textId="77777777" w:rsidTr="00C3117B">
        <w:tc>
          <w:tcPr>
            <w:tcW w:w="762" w:type="pct"/>
            <w:vMerge w:val="restart"/>
            <w:shd w:val="clear" w:color="auto" w:fill="auto"/>
            <w:vAlign w:val="center"/>
            <w:hideMark/>
          </w:tcPr>
          <w:p w14:paraId="79A6B8D8" w14:textId="77777777" w:rsidR="00842FC5" w:rsidRPr="00C61670" w:rsidRDefault="00842FC5" w:rsidP="003D7848">
            <w:pPr>
              <w:pStyle w:val="TableText0"/>
              <w:keepLines/>
              <w:widowControl w:val="0"/>
              <w:rPr>
                <w:szCs w:val="20"/>
              </w:rPr>
            </w:pPr>
            <w:r w:rsidRPr="00C61670">
              <w:rPr>
                <w:szCs w:val="20"/>
              </w:rPr>
              <w:t>NURTURE</w:t>
            </w:r>
          </w:p>
        </w:tc>
        <w:tc>
          <w:tcPr>
            <w:tcW w:w="2647" w:type="pct"/>
            <w:shd w:val="clear" w:color="auto" w:fill="auto"/>
            <w:vAlign w:val="center"/>
            <w:hideMark/>
          </w:tcPr>
          <w:p w14:paraId="0C0E2FEE" w14:textId="77777777" w:rsidR="00842FC5" w:rsidRPr="00C61670" w:rsidRDefault="00842FC5" w:rsidP="003D7848">
            <w:pPr>
              <w:pStyle w:val="TableText0"/>
              <w:keepLines/>
              <w:widowControl w:val="0"/>
              <w:rPr>
                <w:noProof/>
                <w:szCs w:val="20"/>
              </w:rPr>
            </w:pPr>
            <w:r w:rsidRPr="00C61670">
              <w:rPr>
                <w:szCs w:val="20"/>
              </w:rPr>
              <w:t xml:space="preserve">Crawford. </w:t>
            </w:r>
            <w:r w:rsidRPr="00C61670">
              <w:rPr>
                <w:noProof/>
                <w:szCs w:val="20"/>
              </w:rPr>
              <w:t>Continued benefit of nusinersen initiated in the presymptomatic stage of spinal muscular atrophy: 5</w:t>
            </w:r>
            <w:r w:rsidRPr="00C61670">
              <w:rPr>
                <w:rFonts w:ascii="Cambria Math" w:hAnsi="Cambria Math" w:cs="Cambria Math"/>
                <w:noProof/>
                <w:szCs w:val="20"/>
              </w:rPr>
              <w:t>‐</w:t>
            </w:r>
            <w:r w:rsidRPr="00C61670">
              <w:rPr>
                <w:noProof/>
                <w:szCs w:val="20"/>
              </w:rPr>
              <w:t>year update of the NURTURE study</w:t>
            </w:r>
          </w:p>
        </w:tc>
        <w:tc>
          <w:tcPr>
            <w:tcW w:w="1591" w:type="pct"/>
            <w:shd w:val="clear" w:color="auto" w:fill="auto"/>
            <w:vAlign w:val="center"/>
            <w:hideMark/>
          </w:tcPr>
          <w:p w14:paraId="2CF01BA2" w14:textId="6F7203D6" w:rsidR="00842FC5" w:rsidRPr="00C61670" w:rsidRDefault="00842FC5" w:rsidP="003D7848">
            <w:pPr>
              <w:pStyle w:val="TableText0"/>
              <w:keepLines/>
              <w:widowControl w:val="0"/>
              <w:rPr>
                <w:noProof/>
                <w:szCs w:val="20"/>
              </w:rPr>
            </w:pPr>
            <w:r w:rsidRPr="00C61670">
              <w:rPr>
                <w:noProof/>
                <w:szCs w:val="20"/>
              </w:rPr>
              <w:t>Muscle Nerve. 2023;68(2):157-170</w:t>
            </w:r>
          </w:p>
        </w:tc>
      </w:tr>
      <w:tr w:rsidR="00842FC5" w:rsidRPr="00C61670" w14:paraId="114F29B8" w14:textId="77777777" w:rsidTr="00C3117B">
        <w:tc>
          <w:tcPr>
            <w:tcW w:w="762" w:type="pct"/>
            <w:vMerge/>
            <w:shd w:val="clear" w:color="auto" w:fill="auto"/>
            <w:vAlign w:val="center"/>
            <w:hideMark/>
          </w:tcPr>
          <w:p w14:paraId="2A2EBE1D" w14:textId="77777777" w:rsidR="00842FC5" w:rsidRPr="00C61670" w:rsidRDefault="00842FC5" w:rsidP="003D7848">
            <w:pPr>
              <w:pStyle w:val="TableText0"/>
              <w:keepLines/>
              <w:widowControl w:val="0"/>
              <w:rPr>
                <w:szCs w:val="20"/>
              </w:rPr>
            </w:pPr>
          </w:p>
        </w:tc>
        <w:tc>
          <w:tcPr>
            <w:tcW w:w="2647" w:type="pct"/>
            <w:shd w:val="clear" w:color="auto" w:fill="C6D9F1" w:themeFill="text2" w:themeFillTint="33"/>
            <w:vAlign w:val="center"/>
            <w:hideMark/>
          </w:tcPr>
          <w:p w14:paraId="5E403407" w14:textId="77777777" w:rsidR="00842FC5" w:rsidRPr="00C61670" w:rsidRDefault="00842FC5" w:rsidP="003D7848">
            <w:pPr>
              <w:pStyle w:val="TableText0"/>
              <w:keepLines/>
              <w:widowControl w:val="0"/>
              <w:rPr>
                <w:noProof/>
                <w:szCs w:val="20"/>
              </w:rPr>
            </w:pPr>
            <w:r w:rsidRPr="00C61670">
              <w:rPr>
                <w:szCs w:val="20"/>
              </w:rPr>
              <w:t xml:space="preserve">De Vivo. </w:t>
            </w:r>
            <w:r w:rsidRPr="00C61670">
              <w:rPr>
                <w:noProof/>
                <w:szCs w:val="20"/>
              </w:rPr>
              <w:t>Nusinersen initiated in infants during the presymptomatic stage of spinal muscular atrophy: Interim efficacy and safety results from the Phase 2 NURTURE study</w:t>
            </w:r>
          </w:p>
        </w:tc>
        <w:tc>
          <w:tcPr>
            <w:tcW w:w="1591" w:type="pct"/>
            <w:shd w:val="clear" w:color="auto" w:fill="C6D9F1" w:themeFill="text2" w:themeFillTint="33"/>
            <w:vAlign w:val="center"/>
            <w:hideMark/>
          </w:tcPr>
          <w:p w14:paraId="338BB297" w14:textId="65AC2D65" w:rsidR="00842FC5" w:rsidRPr="00C61670" w:rsidRDefault="00842FC5" w:rsidP="003D7848">
            <w:pPr>
              <w:pStyle w:val="TableText0"/>
              <w:keepLines/>
              <w:widowControl w:val="0"/>
              <w:rPr>
                <w:noProof/>
                <w:szCs w:val="20"/>
              </w:rPr>
            </w:pPr>
            <w:r w:rsidRPr="00C61670">
              <w:rPr>
                <w:noProof/>
                <w:szCs w:val="20"/>
              </w:rPr>
              <w:t>Neuromuscul Disord. 2019;29(11):842-56</w:t>
            </w:r>
          </w:p>
        </w:tc>
      </w:tr>
      <w:tr w:rsidR="00842FC5" w:rsidRPr="00C61670" w14:paraId="751300A9" w14:textId="77777777" w:rsidTr="00C3117B">
        <w:tc>
          <w:tcPr>
            <w:tcW w:w="762" w:type="pct"/>
            <w:vMerge/>
            <w:shd w:val="clear" w:color="auto" w:fill="auto"/>
            <w:vAlign w:val="center"/>
            <w:hideMark/>
          </w:tcPr>
          <w:p w14:paraId="250029AC" w14:textId="77777777" w:rsidR="00842FC5" w:rsidRPr="00C61670" w:rsidRDefault="00842FC5" w:rsidP="003D7848">
            <w:pPr>
              <w:pStyle w:val="TableText0"/>
              <w:keepLines/>
              <w:widowControl w:val="0"/>
              <w:rPr>
                <w:szCs w:val="20"/>
              </w:rPr>
            </w:pPr>
          </w:p>
        </w:tc>
        <w:tc>
          <w:tcPr>
            <w:tcW w:w="2647" w:type="pct"/>
            <w:shd w:val="clear" w:color="auto" w:fill="auto"/>
            <w:vAlign w:val="center"/>
            <w:hideMark/>
          </w:tcPr>
          <w:p w14:paraId="2009010B" w14:textId="7C975293" w:rsidR="00842FC5" w:rsidRPr="00FB1E56" w:rsidRDefault="00842FC5" w:rsidP="003D7848">
            <w:pPr>
              <w:pStyle w:val="TableText0"/>
              <w:keepLines/>
              <w:widowControl w:val="0"/>
              <w:rPr>
                <w:noProof/>
                <w:szCs w:val="20"/>
              </w:rPr>
            </w:pPr>
            <w:r w:rsidRPr="00FB1E56">
              <w:rPr>
                <w:noProof/>
                <w:szCs w:val="20"/>
              </w:rPr>
              <w:t xml:space="preserve">A Study of Multiple Doses of Nusinersen (ISIS 396443) Delivered to Infants With Genetically Diagnosed and Presymptomatic Spinal Muscular Atrophy. </w:t>
            </w:r>
          </w:p>
        </w:tc>
        <w:tc>
          <w:tcPr>
            <w:tcW w:w="1591" w:type="pct"/>
            <w:shd w:val="clear" w:color="auto" w:fill="auto"/>
            <w:vAlign w:val="center"/>
          </w:tcPr>
          <w:p w14:paraId="124B7D4F" w14:textId="383ECCF4" w:rsidR="00842FC5" w:rsidRPr="00FB1E56" w:rsidRDefault="00A20CDB" w:rsidP="003D7848">
            <w:pPr>
              <w:pStyle w:val="TableText0"/>
              <w:keepLines/>
              <w:widowControl w:val="0"/>
              <w:rPr>
                <w:noProof/>
                <w:szCs w:val="20"/>
              </w:rPr>
            </w:pPr>
            <w:hyperlink r:id="rId9" w:history="1">
              <w:r w:rsidR="00257AC6" w:rsidRPr="00FB1E56">
                <w:rPr>
                  <w:rStyle w:val="Hyperlink"/>
                  <w:noProof/>
                  <w:szCs w:val="20"/>
                </w:rPr>
                <w:t>https://classic.clinicaltrials.gov/show/ NCT02386553</w:t>
              </w:r>
            </w:hyperlink>
          </w:p>
        </w:tc>
      </w:tr>
      <w:tr w:rsidR="00842FC5" w:rsidRPr="00C61670" w14:paraId="52DCAF6E" w14:textId="77777777" w:rsidTr="00C3117B">
        <w:tc>
          <w:tcPr>
            <w:tcW w:w="762" w:type="pct"/>
            <w:vMerge/>
            <w:shd w:val="clear" w:color="auto" w:fill="auto"/>
            <w:vAlign w:val="center"/>
          </w:tcPr>
          <w:p w14:paraId="6889CF64" w14:textId="77777777" w:rsidR="00842FC5" w:rsidRPr="00C61670" w:rsidRDefault="00842FC5" w:rsidP="003D7848">
            <w:pPr>
              <w:pStyle w:val="TableText0"/>
              <w:keepLines/>
              <w:widowControl w:val="0"/>
              <w:rPr>
                <w:szCs w:val="20"/>
              </w:rPr>
            </w:pPr>
          </w:p>
        </w:tc>
        <w:tc>
          <w:tcPr>
            <w:tcW w:w="2647" w:type="pct"/>
            <w:shd w:val="clear" w:color="auto" w:fill="C6D9F1" w:themeFill="text2" w:themeFillTint="33"/>
            <w:vAlign w:val="center"/>
          </w:tcPr>
          <w:p w14:paraId="09E6214C" w14:textId="6DB919B1" w:rsidR="00842FC5" w:rsidRPr="00C61670" w:rsidDel="00312DE9" w:rsidRDefault="00842FC5" w:rsidP="003D7848">
            <w:pPr>
              <w:pStyle w:val="TableText0"/>
              <w:keepLines/>
              <w:widowControl w:val="0"/>
              <w:rPr>
                <w:szCs w:val="20"/>
              </w:rPr>
            </w:pPr>
            <w:r w:rsidRPr="00C61670">
              <w:rPr>
                <w:szCs w:val="20"/>
              </w:rPr>
              <w:t xml:space="preserve">Kirschner. Impact of Nusinersen on Caregiver Experience and HRQoL in Pre-symptomatic SMA: NURTURE Study Results. </w:t>
            </w:r>
          </w:p>
        </w:tc>
        <w:tc>
          <w:tcPr>
            <w:tcW w:w="1591" w:type="pct"/>
            <w:shd w:val="clear" w:color="auto" w:fill="C6D9F1" w:themeFill="text2" w:themeFillTint="33"/>
            <w:vAlign w:val="center"/>
          </w:tcPr>
          <w:p w14:paraId="5C981EA6" w14:textId="2A28F198" w:rsidR="00842FC5" w:rsidRDefault="00842FC5" w:rsidP="003D7848">
            <w:pPr>
              <w:pStyle w:val="TableText0"/>
              <w:keepLines/>
              <w:widowControl w:val="0"/>
            </w:pPr>
            <w:r w:rsidRPr="00C61670">
              <w:rPr>
                <w:szCs w:val="20"/>
              </w:rPr>
              <w:t>J Neuromuscul Dis. 2022;9: S113-S114</w:t>
            </w:r>
          </w:p>
        </w:tc>
      </w:tr>
    </w:tbl>
    <w:p w14:paraId="61EDB79A" w14:textId="7A324C82" w:rsidR="0007132E" w:rsidRPr="00C61670" w:rsidRDefault="0007132E" w:rsidP="003D7848">
      <w:pPr>
        <w:pStyle w:val="FooterTableFigure"/>
        <w:keepNext/>
        <w:keepLines/>
      </w:pPr>
      <w:r w:rsidRPr="00C61670">
        <w:rPr>
          <w:rStyle w:val="CommentReference"/>
          <w:b w:val="0"/>
          <w:bCs/>
          <w:sz w:val="18"/>
          <w:szCs w:val="18"/>
        </w:rPr>
        <w:t xml:space="preserve">Blue shading indicates items presented </w:t>
      </w:r>
      <w:r w:rsidR="00236F9F">
        <w:rPr>
          <w:rStyle w:val="CommentReference"/>
          <w:b w:val="0"/>
          <w:bCs/>
          <w:sz w:val="18"/>
          <w:szCs w:val="18"/>
        </w:rPr>
        <w:t>in the</w:t>
      </w:r>
      <w:r w:rsidRPr="00C61670">
        <w:rPr>
          <w:rStyle w:val="CommentReference"/>
          <w:b w:val="0"/>
          <w:bCs/>
          <w:sz w:val="18"/>
          <w:szCs w:val="18"/>
        </w:rPr>
        <w:t xml:space="preserve"> </w:t>
      </w:r>
      <w:r w:rsidR="00FF7CBE">
        <w:rPr>
          <w:rStyle w:val="CommentReference"/>
          <w:b w:val="0"/>
          <w:bCs/>
          <w:sz w:val="18"/>
          <w:szCs w:val="18"/>
        </w:rPr>
        <w:t xml:space="preserve">March 2023 </w:t>
      </w:r>
      <w:r w:rsidRPr="00C61670">
        <w:rPr>
          <w:rStyle w:val="CommentReference"/>
          <w:b w:val="0"/>
          <w:bCs/>
          <w:sz w:val="18"/>
          <w:szCs w:val="18"/>
        </w:rPr>
        <w:t>submission</w:t>
      </w:r>
      <w:r w:rsidR="00FF7CBE">
        <w:rPr>
          <w:rStyle w:val="CommentReference"/>
          <w:b w:val="0"/>
          <w:bCs/>
          <w:sz w:val="18"/>
          <w:szCs w:val="18"/>
        </w:rPr>
        <w:t xml:space="preserve">, which was considered by the ESC, but </w:t>
      </w:r>
      <w:r w:rsidR="00544F0E">
        <w:rPr>
          <w:rStyle w:val="CommentReference"/>
          <w:b w:val="0"/>
          <w:bCs/>
          <w:sz w:val="18"/>
          <w:szCs w:val="18"/>
        </w:rPr>
        <w:t xml:space="preserve">data for the subpopulation of patients with SMA with 3 copies of </w:t>
      </w:r>
      <w:r w:rsidR="00544F0E" w:rsidRPr="00544F0E">
        <w:rPr>
          <w:rStyle w:val="CommentReference"/>
          <w:b w:val="0"/>
          <w:bCs/>
          <w:i/>
          <w:iCs/>
          <w:sz w:val="18"/>
          <w:szCs w:val="18"/>
        </w:rPr>
        <w:t>SMN2</w:t>
      </w:r>
      <w:r w:rsidR="00544F0E">
        <w:rPr>
          <w:rStyle w:val="CommentReference"/>
          <w:b w:val="0"/>
          <w:bCs/>
          <w:sz w:val="18"/>
          <w:szCs w:val="18"/>
        </w:rPr>
        <w:t xml:space="preserve"> was </w:t>
      </w:r>
      <w:r w:rsidR="00FF7CBE">
        <w:rPr>
          <w:rStyle w:val="CommentReference"/>
          <w:b w:val="0"/>
          <w:bCs/>
          <w:sz w:val="18"/>
          <w:szCs w:val="18"/>
        </w:rPr>
        <w:t>subsequently withdrawn prior to PBAC consideration</w:t>
      </w:r>
      <w:r w:rsidRPr="00C61670">
        <w:rPr>
          <w:rStyle w:val="CommentReference"/>
          <w:b w:val="0"/>
          <w:bCs/>
          <w:sz w:val="18"/>
          <w:szCs w:val="18"/>
        </w:rPr>
        <w:t xml:space="preserve">. </w:t>
      </w:r>
    </w:p>
    <w:p w14:paraId="77A96808" w14:textId="0971FAA0" w:rsidR="0007132E" w:rsidRPr="00C61670" w:rsidRDefault="0007132E" w:rsidP="003D7848">
      <w:pPr>
        <w:pStyle w:val="FooterTableFigure"/>
        <w:keepNext/>
        <w:keepLines/>
      </w:pPr>
      <w:r w:rsidRPr="00C61670">
        <w:t xml:space="preserve">Source: Table 2.4of the </w:t>
      </w:r>
      <w:r w:rsidR="0007089E">
        <w:t>submission</w:t>
      </w:r>
    </w:p>
    <w:bookmarkEnd w:id="16"/>
    <w:p w14:paraId="3908F9FC" w14:textId="77777777" w:rsidR="0007132E" w:rsidRPr="00C61670" w:rsidRDefault="0007132E" w:rsidP="0007132E"/>
    <w:p w14:paraId="286B14C9" w14:textId="51B5553A" w:rsidR="0007132E" w:rsidRPr="00C61670" w:rsidRDefault="0007132E" w:rsidP="0007132E">
      <w:pPr>
        <w:pStyle w:val="3-BodyText"/>
      </w:pPr>
      <w:r w:rsidRPr="00C61670">
        <w:t xml:space="preserve">The key features of the </w:t>
      </w:r>
      <w:r w:rsidR="005A1E69" w:rsidRPr="00C61670">
        <w:t xml:space="preserve">included </w:t>
      </w:r>
      <w:r w:rsidRPr="00C61670">
        <w:t xml:space="preserve">studies are summarised in </w:t>
      </w:r>
      <w:r w:rsidR="00E177C8" w:rsidRPr="00D6274A">
        <w:rPr>
          <w:rFonts w:cstheme="minorHAnsi"/>
          <w:b/>
          <w:bCs/>
        </w:rPr>
        <w:fldChar w:fldCharType="begin" w:fldLock="1"/>
      </w:r>
      <w:r w:rsidR="00E177C8" w:rsidRPr="00D6274A">
        <w:rPr>
          <w:rFonts w:cstheme="minorHAnsi"/>
          <w:b/>
          <w:bCs/>
        </w:rPr>
        <w:instrText xml:space="preserve"> REF _Ref166511387 \h </w:instrText>
      </w:r>
      <w:r w:rsidR="00D6274A" w:rsidRPr="00D6274A">
        <w:rPr>
          <w:rFonts w:cstheme="minorHAnsi"/>
          <w:b/>
          <w:bCs/>
        </w:rPr>
        <w:instrText xml:space="preserve"> \* MERGEFORMAT </w:instrText>
      </w:r>
      <w:r w:rsidR="00E177C8" w:rsidRPr="00D6274A">
        <w:rPr>
          <w:rFonts w:cstheme="minorHAnsi"/>
          <w:b/>
          <w:bCs/>
        </w:rPr>
      </w:r>
      <w:r w:rsidR="00E177C8" w:rsidRPr="00D6274A">
        <w:rPr>
          <w:rFonts w:cstheme="minorHAnsi"/>
          <w:b/>
          <w:bCs/>
        </w:rPr>
        <w:fldChar w:fldCharType="separate"/>
      </w:r>
      <w:r w:rsidR="00AA25E7" w:rsidRPr="00AA25E7">
        <w:rPr>
          <w:rStyle w:val="CommentReference"/>
          <w:rFonts w:asciiTheme="minorHAnsi" w:eastAsiaTheme="majorEastAsia" w:hAnsiTheme="minorHAnsi" w:cstheme="minorHAnsi"/>
          <w:b w:val="0"/>
          <w:bCs/>
          <w:sz w:val="24"/>
          <w:szCs w:val="24"/>
        </w:rPr>
        <w:t>Table</w:t>
      </w:r>
      <w:r w:rsidR="00AA25E7" w:rsidRPr="00AA25E7">
        <w:rPr>
          <w:rStyle w:val="CommentReference"/>
          <w:rFonts w:eastAsiaTheme="majorEastAsia" w:cstheme="majorBidi"/>
          <w:b w:val="0"/>
          <w:bCs/>
          <w:szCs w:val="24"/>
        </w:rPr>
        <w:t xml:space="preserve"> </w:t>
      </w:r>
      <w:r w:rsidR="00AA25E7" w:rsidRPr="00AA25E7">
        <w:rPr>
          <w:rStyle w:val="CommentReference"/>
          <w:rFonts w:asciiTheme="minorHAnsi" w:eastAsiaTheme="majorEastAsia" w:hAnsiTheme="minorHAnsi" w:cstheme="minorHAnsi"/>
          <w:b w:val="0"/>
          <w:bCs/>
          <w:noProof/>
          <w:sz w:val="24"/>
          <w:szCs w:val="24"/>
        </w:rPr>
        <w:t>4</w:t>
      </w:r>
      <w:r w:rsidR="00E177C8" w:rsidRPr="00D6274A">
        <w:rPr>
          <w:b/>
          <w:bCs/>
        </w:rPr>
        <w:fldChar w:fldCharType="end"/>
      </w:r>
      <w:r w:rsidR="00D6274A">
        <w:t>.</w:t>
      </w:r>
    </w:p>
    <w:p w14:paraId="2F092D80" w14:textId="0E1D1200" w:rsidR="0007132E" w:rsidRPr="00C61670" w:rsidRDefault="0007132E" w:rsidP="00C100BD">
      <w:pPr>
        <w:pStyle w:val="Caption"/>
        <w:rPr>
          <w:rStyle w:val="CommentReference"/>
          <w:rFonts w:eastAsiaTheme="majorEastAsia" w:cstheme="majorBidi"/>
          <w:b/>
          <w:szCs w:val="24"/>
        </w:rPr>
      </w:pPr>
      <w:bookmarkStart w:id="17" w:name="_Ref166511387"/>
      <w:r w:rsidRPr="00C61670">
        <w:rPr>
          <w:rStyle w:val="CommentReference"/>
          <w:rFonts w:eastAsiaTheme="majorEastAsia" w:cstheme="majorBidi"/>
          <w:b/>
          <w:szCs w:val="24"/>
        </w:rPr>
        <w:lastRenderedPageBreak/>
        <w:t xml:space="preserve">Table </w:t>
      </w:r>
      <w:r w:rsidRPr="00C61670">
        <w:rPr>
          <w:rStyle w:val="CommentReference"/>
          <w:rFonts w:eastAsiaTheme="majorEastAsia" w:cstheme="majorBidi"/>
          <w:b/>
          <w:szCs w:val="24"/>
        </w:rPr>
        <w:fldChar w:fldCharType="begin" w:fldLock="1"/>
      </w:r>
      <w:r w:rsidRPr="00C61670">
        <w:rPr>
          <w:rStyle w:val="CommentReference"/>
          <w:rFonts w:eastAsiaTheme="majorEastAsia" w:cstheme="majorBidi"/>
          <w:b/>
          <w:szCs w:val="24"/>
        </w:rPr>
        <w:instrText xml:space="preserve"> SEQ Table \* ARABIC </w:instrText>
      </w:r>
      <w:r w:rsidRPr="00C61670">
        <w:rPr>
          <w:rStyle w:val="CommentReference"/>
          <w:rFonts w:eastAsiaTheme="majorEastAsia" w:cstheme="majorBidi"/>
          <w:b/>
          <w:szCs w:val="24"/>
        </w:rPr>
        <w:fldChar w:fldCharType="separate"/>
      </w:r>
      <w:r w:rsidR="00AA25E7">
        <w:rPr>
          <w:rStyle w:val="CommentReference"/>
          <w:rFonts w:eastAsiaTheme="majorEastAsia" w:cstheme="majorBidi"/>
          <w:b/>
          <w:noProof/>
          <w:szCs w:val="24"/>
        </w:rPr>
        <w:t>4</w:t>
      </w:r>
      <w:r w:rsidRPr="00C61670">
        <w:rPr>
          <w:rStyle w:val="CommentReference"/>
          <w:rFonts w:eastAsiaTheme="majorEastAsia" w:cstheme="majorBidi"/>
          <w:b/>
          <w:szCs w:val="24"/>
        </w:rPr>
        <w:fldChar w:fldCharType="end"/>
      </w:r>
      <w:bookmarkEnd w:id="17"/>
      <w:r w:rsidRPr="00C61670">
        <w:rPr>
          <w:rStyle w:val="CommentReference"/>
          <w:rFonts w:eastAsiaTheme="majorEastAsia" w:cstheme="majorBidi"/>
          <w:b/>
          <w:szCs w:val="24"/>
        </w:rPr>
        <w:t>: Key features of the included evidence</w:t>
      </w:r>
    </w:p>
    <w:tbl>
      <w:tblPr>
        <w:tblStyle w:val="TableGrid"/>
        <w:tblW w:w="9041" w:type="dxa"/>
        <w:tblLook w:val="04A0" w:firstRow="1" w:lastRow="0" w:firstColumn="1" w:lastColumn="0" w:noHBand="0" w:noVBand="1"/>
        <w:tblCaption w:val="Table 4: Key features of the included evidence"/>
      </w:tblPr>
      <w:tblGrid>
        <w:gridCol w:w="1413"/>
        <w:gridCol w:w="1701"/>
        <w:gridCol w:w="567"/>
        <w:gridCol w:w="1559"/>
        <w:gridCol w:w="1583"/>
        <w:gridCol w:w="2218"/>
      </w:tblGrid>
      <w:tr w:rsidR="0007132E" w:rsidRPr="00C61670" w14:paraId="2138E67F" w14:textId="77777777" w:rsidTr="00AA0FE0">
        <w:trPr>
          <w:cantSplit/>
          <w:tblHeader/>
        </w:trPr>
        <w:tc>
          <w:tcPr>
            <w:tcW w:w="1413" w:type="dxa"/>
            <w:shd w:val="clear" w:color="auto" w:fill="auto"/>
            <w:vAlign w:val="center"/>
          </w:tcPr>
          <w:p w14:paraId="0E23501C" w14:textId="77777777" w:rsidR="0007132E" w:rsidRPr="00C61670" w:rsidRDefault="0007132E" w:rsidP="00C100BD">
            <w:pPr>
              <w:keepNext/>
              <w:keepLines/>
              <w:jc w:val="center"/>
              <w:rPr>
                <w:rFonts w:ascii="Arial Narrow" w:hAnsi="Arial Narrow"/>
                <w:b/>
                <w:sz w:val="20"/>
                <w:szCs w:val="20"/>
              </w:rPr>
            </w:pPr>
            <w:r w:rsidRPr="00C61670">
              <w:rPr>
                <w:rFonts w:ascii="Arial Narrow" w:hAnsi="Arial Narrow"/>
                <w:b/>
                <w:sz w:val="20"/>
                <w:szCs w:val="20"/>
              </w:rPr>
              <w:t>Study, n</w:t>
            </w:r>
          </w:p>
        </w:tc>
        <w:tc>
          <w:tcPr>
            <w:tcW w:w="1701" w:type="dxa"/>
            <w:shd w:val="clear" w:color="auto" w:fill="auto"/>
            <w:vAlign w:val="center"/>
          </w:tcPr>
          <w:p w14:paraId="7BC4F605" w14:textId="77777777" w:rsidR="0007132E" w:rsidRPr="00C61670" w:rsidRDefault="0007132E" w:rsidP="00C100BD">
            <w:pPr>
              <w:keepNext/>
              <w:keepLines/>
              <w:jc w:val="center"/>
              <w:rPr>
                <w:rFonts w:ascii="Arial Narrow" w:hAnsi="Arial Narrow"/>
                <w:b/>
                <w:sz w:val="20"/>
                <w:szCs w:val="20"/>
              </w:rPr>
            </w:pPr>
            <w:r w:rsidRPr="00C61670">
              <w:rPr>
                <w:rFonts w:ascii="Arial Narrow" w:hAnsi="Arial Narrow"/>
                <w:b/>
                <w:sz w:val="20"/>
                <w:szCs w:val="20"/>
              </w:rPr>
              <w:t>Design/duration</w:t>
            </w:r>
          </w:p>
        </w:tc>
        <w:tc>
          <w:tcPr>
            <w:tcW w:w="567" w:type="dxa"/>
            <w:shd w:val="clear" w:color="auto" w:fill="auto"/>
            <w:vAlign w:val="center"/>
          </w:tcPr>
          <w:p w14:paraId="4E1F1254" w14:textId="77777777" w:rsidR="0007132E" w:rsidRPr="00C61670" w:rsidRDefault="0007132E" w:rsidP="00C100BD">
            <w:pPr>
              <w:keepNext/>
              <w:keepLines/>
              <w:jc w:val="center"/>
              <w:rPr>
                <w:rFonts w:ascii="Arial Narrow" w:hAnsi="Arial Narrow"/>
                <w:b/>
                <w:sz w:val="20"/>
                <w:szCs w:val="20"/>
              </w:rPr>
            </w:pPr>
            <w:r w:rsidRPr="00C61670">
              <w:rPr>
                <w:rFonts w:ascii="Arial Narrow" w:hAnsi="Arial Narrow"/>
                <w:b/>
                <w:sz w:val="20"/>
                <w:szCs w:val="20"/>
              </w:rPr>
              <w:t>Bias</w:t>
            </w:r>
          </w:p>
        </w:tc>
        <w:tc>
          <w:tcPr>
            <w:tcW w:w="1559" w:type="dxa"/>
            <w:shd w:val="clear" w:color="auto" w:fill="auto"/>
            <w:vAlign w:val="center"/>
          </w:tcPr>
          <w:p w14:paraId="190F0BBE" w14:textId="77777777" w:rsidR="0007132E" w:rsidRPr="00C61670" w:rsidRDefault="0007132E" w:rsidP="00C100BD">
            <w:pPr>
              <w:keepNext/>
              <w:keepLines/>
              <w:jc w:val="center"/>
              <w:rPr>
                <w:rFonts w:ascii="Arial Narrow" w:hAnsi="Arial Narrow"/>
                <w:b/>
                <w:sz w:val="20"/>
                <w:szCs w:val="20"/>
              </w:rPr>
            </w:pPr>
            <w:r w:rsidRPr="00C61670">
              <w:rPr>
                <w:rFonts w:ascii="Arial Narrow" w:hAnsi="Arial Narrow"/>
                <w:b/>
                <w:sz w:val="20"/>
                <w:szCs w:val="20"/>
              </w:rPr>
              <w:t>Treatment</w:t>
            </w:r>
          </w:p>
        </w:tc>
        <w:tc>
          <w:tcPr>
            <w:tcW w:w="1583" w:type="dxa"/>
            <w:shd w:val="clear" w:color="auto" w:fill="auto"/>
            <w:vAlign w:val="center"/>
          </w:tcPr>
          <w:p w14:paraId="714228B9" w14:textId="77777777" w:rsidR="0007132E" w:rsidRPr="00C61670" w:rsidRDefault="0007132E" w:rsidP="00C100BD">
            <w:pPr>
              <w:keepNext/>
              <w:keepLines/>
              <w:jc w:val="center"/>
              <w:rPr>
                <w:rFonts w:ascii="Arial Narrow" w:hAnsi="Arial Narrow"/>
                <w:b/>
                <w:sz w:val="20"/>
                <w:szCs w:val="20"/>
              </w:rPr>
            </w:pPr>
            <w:r w:rsidRPr="00C61670">
              <w:rPr>
                <w:rFonts w:ascii="Arial Narrow" w:hAnsi="Arial Narrow"/>
                <w:b/>
                <w:sz w:val="20"/>
                <w:szCs w:val="20"/>
              </w:rPr>
              <w:t>Population</w:t>
            </w:r>
          </w:p>
        </w:tc>
        <w:tc>
          <w:tcPr>
            <w:tcW w:w="2218" w:type="dxa"/>
            <w:shd w:val="clear" w:color="auto" w:fill="auto"/>
            <w:vAlign w:val="center"/>
          </w:tcPr>
          <w:p w14:paraId="122143F6" w14:textId="77777777" w:rsidR="0007132E" w:rsidRPr="00C61670" w:rsidRDefault="0007132E" w:rsidP="00C100BD">
            <w:pPr>
              <w:keepNext/>
              <w:keepLines/>
              <w:jc w:val="center"/>
              <w:rPr>
                <w:rFonts w:ascii="Arial Narrow" w:hAnsi="Arial Narrow"/>
                <w:b/>
                <w:sz w:val="20"/>
                <w:szCs w:val="20"/>
              </w:rPr>
            </w:pPr>
            <w:r w:rsidRPr="00C61670">
              <w:rPr>
                <w:rFonts w:ascii="Arial Narrow" w:hAnsi="Arial Narrow"/>
                <w:b/>
                <w:sz w:val="20"/>
                <w:szCs w:val="20"/>
              </w:rPr>
              <w:t>Outcomes</w:t>
            </w:r>
          </w:p>
        </w:tc>
      </w:tr>
      <w:tr w:rsidR="0007132E" w:rsidRPr="00C61670" w14:paraId="18166B3B" w14:textId="77777777" w:rsidTr="00AA0FE0">
        <w:trPr>
          <w:cantSplit/>
        </w:trPr>
        <w:tc>
          <w:tcPr>
            <w:tcW w:w="1413" w:type="dxa"/>
            <w:shd w:val="clear" w:color="auto" w:fill="C6D9F1" w:themeFill="text2" w:themeFillTint="33"/>
            <w:vAlign w:val="center"/>
          </w:tcPr>
          <w:p w14:paraId="1EEF5D79"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RAINBOWFISH</w:t>
            </w:r>
          </w:p>
          <w:p w14:paraId="5FE19B6F"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 xml:space="preserve">N=26 </w:t>
            </w:r>
            <w:r w:rsidRPr="00C61670">
              <w:rPr>
                <w:rFonts w:ascii="Arial Narrow" w:hAnsi="Arial Narrow"/>
                <w:sz w:val="20"/>
                <w:szCs w:val="20"/>
                <w:vertAlign w:val="superscript"/>
              </w:rPr>
              <w:t>a, b</w:t>
            </w:r>
          </w:p>
        </w:tc>
        <w:tc>
          <w:tcPr>
            <w:tcW w:w="1701" w:type="dxa"/>
            <w:shd w:val="clear" w:color="auto" w:fill="C6D9F1" w:themeFill="text2" w:themeFillTint="33"/>
            <w:vAlign w:val="center"/>
          </w:tcPr>
          <w:p w14:paraId="6D14DF2B"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MC, NC, OL,</w:t>
            </w:r>
          </w:p>
          <w:p w14:paraId="54C25966" w14:textId="2783928D"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median (range) treated for 20.44 (10.6-41.9) months</w:t>
            </w:r>
          </w:p>
        </w:tc>
        <w:tc>
          <w:tcPr>
            <w:tcW w:w="567" w:type="dxa"/>
            <w:shd w:val="clear" w:color="auto" w:fill="C6D9F1" w:themeFill="text2" w:themeFillTint="33"/>
            <w:vAlign w:val="center"/>
          </w:tcPr>
          <w:p w14:paraId="3EEC83BC"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High</w:t>
            </w:r>
          </w:p>
        </w:tc>
        <w:tc>
          <w:tcPr>
            <w:tcW w:w="1559" w:type="dxa"/>
            <w:shd w:val="clear" w:color="auto" w:fill="C6D9F1" w:themeFill="text2" w:themeFillTint="33"/>
            <w:vAlign w:val="center"/>
          </w:tcPr>
          <w:p w14:paraId="1286896F" w14:textId="259D1BE3" w:rsidR="0007132E" w:rsidRPr="00C61670" w:rsidRDefault="007829C4" w:rsidP="00C100BD">
            <w:pPr>
              <w:keepNext/>
              <w:keepLines/>
              <w:jc w:val="left"/>
              <w:rPr>
                <w:rFonts w:ascii="Arial Narrow" w:hAnsi="Arial Narrow"/>
                <w:sz w:val="20"/>
                <w:szCs w:val="20"/>
              </w:rPr>
            </w:pPr>
            <w:r>
              <w:rPr>
                <w:rFonts w:ascii="Arial Narrow" w:hAnsi="Arial Narrow"/>
                <w:sz w:val="20"/>
                <w:szCs w:val="20"/>
              </w:rPr>
              <w:t>R</w:t>
            </w:r>
            <w:r w:rsidR="0007132E" w:rsidRPr="00C61670">
              <w:rPr>
                <w:rFonts w:ascii="Arial Narrow" w:hAnsi="Arial Narrow"/>
                <w:sz w:val="20"/>
                <w:szCs w:val="20"/>
              </w:rPr>
              <w:t>isdiplam once daily, oral target dose</w:t>
            </w:r>
          </w:p>
        </w:tc>
        <w:tc>
          <w:tcPr>
            <w:tcW w:w="1583" w:type="dxa"/>
            <w:shd w:val="clear" w:color="auto" w:fill="C6D9F1" w:themeFill="text2" w:themeFillTint="33"/>
            <w:vAlign w:val="center"/>
          </w:tcPr>
          <w:p w14:paraId="4E531B66"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 xml:space="preserve">Pre-symptomatic SMA patients ≥ 2 copies of </w:t>
            </w:r>
            <w:r w:rsidRPr="00C61670">
              <w:rPr>
                <w:rFonts w:ascii="Arial Narrow" w:hAnsi="Arial Narrow"/>
                <w:i/>
                <w:sz w:val="20"/>
                <w:szCs w:val="20"/>
              </w:rPr>
              <w:t>SMN2</w:t>
            </w:r>
            <w:r w:rsidRPr="00C61670">
              <w:rPr>
                <w:rFonts w:ascii="Arial Narrow" w:hAnsi="Arial Narrow"/>
                <w:sz w:val="20"/>
                <w:szCs w:val="20"/>
              </w:rPr>
              <w:t xml:space="preserve"> aged ≤ 6 weeks</w:t>
            </w:r>
          </w:p>
        </w:tc>
        <w:tc>
          <w:tcPr>
            <w:tcW w:w="2218" w:type="dxa"/>
            <w:shd w:val="clear" w:color="auto" w:fill="C6D9F1" w:themeFill="text2" w:themeFillTint="33"/>
          </w:tcPr>
          <w:p w14:paraId="654EFB1C" w14:textId="77777777" w:rsidR="0007132E" w:rsidRPr="00C61670" w:rsidRDefault="0007132E" w:rsidP="00C100BD">
            <w:pPr>
              <w:pStyle w:val="Tabletext"/>
              <w:keepNext/>
              <w:keepLines/>
            </w:pPr>
            <w:r w:rsidRPr="00C61670">
              <w:t xml:space="preserve">Primary: proportion of patients sitting without support after 12 months of treatment </w:t>
            </w:r>
            <w:r w:rsidRPr="00C61670">
              <w:rPr>
                <w:vertAlign w:val="superscript"/>
              </w:rPr>
              <w:t>c</w:t>
            </w:r>
          </w:p>
          <w:p w14:paraId="22043FF5" w14:textId="61D08F86" w:rsidR="0007132E" w:rsidRPr="00C61670" w:rsidRDefault="0007132E" w:rsidP="00C100BD">
            <w:pPr>
              <w:keepNext/>
              <w:keepLines/>
              <w:jc w:val="left"/>
              <w:rPr>
                <w:rFonts w:ascii="Arial Narrow" w:hAnsi="Arial Narrow" w:cs="Times New Roman"/>
                <w:snapToGrid w:val="0"/>
                <w:sz w:val="20"/>
              </w:rPr>
            </w:pPr>
            <w:r w:rsidRPr="00C61670">
              <w:rPr>
                <w:rFonts w:ascii="Arial Narrow" w:hAnsi="Arial Narrow" w:cs="Times New Roman"/>
                <w:snapToGrid w:val="0"/>
                <w:sz w:val="20"/>
              </w:rPr>
              <w:t xml:space="preserve">Other: OS, EFS, HINE-2, CHOP-INTEND, </w:t>
            </w:r>
            <w:r w:rsidR="005A1E69" w:rsidRPr="00C61670">
              <w:rPr>
                <w:rFonts w:ascii="Arial Narrow" w:hAnsi="Arial Narrow" w:cs="Times New Roman"/>
                <w:snapToGrid w:val="0"/>
                <w:sz w:val="20"/>
              </w:rPr>
              <w:t>s</w:t>
            </w:r>
            <w:r w:rsidRPr="00C61670">
              <w:rPr>
                <w:rFonts w:ascii="Arial Narrow" w:hAnsi="Arial Narrow" w:cs="Times New Roman"/>
                <w:snapToGrid w:val="0"/>
                <w:sz w:val="20"/>
              </w:rPr>
              <w:t>afety</w:t>
            </w:r>
          </w:p>
        </w:tc>
      </w:tr>
      <w:tr w:rsidR="0007132E" w:rsidRPr="00C61670" w14:paraId="1E51EA99" w14:textId="77777777" w:rsidTr="00AA0FE0">
        <w:trPr>
          <w:cantSplit/>
        </w:trPr>
        <w:tc>
          <w:tcPr>
            <w:tcW w:w="1413" w:type="dxa"/>
            <w:shd w:val="clear" w:color="auto" w:fill="C6D9F1" w:themeFill="text2" w:themeFillTint="33"/>
            <w:vAlign w:val="center"/>
          </w:tcPr>
          <w:p w14:paraId="2F1C6604" w14:textId="77777777" w:rsidR="0007132E" w:rsidRPr="00C61670" w:rsidRDefault="0007132E" w:rsidP="00C100BD">
            <w:pPr>
              <w:keepNext/>
              <w:keepLines/>
              <w:rPr>
                <w:rFonts w:ascii="Arial Narrow" w:hAnsi="Arial Narrow"/>
                <w:sz w:val="20"/>
                <w:szCs w:val="20"/>
              </w:rPr>
            </w:pPr>
            <w:r w:rsidRPr="00C61670">
              <w:rPr>
                <w:rFonts w:ascii="Arial Narrow" w:hAnsi="Arial Narrow"/>
                <w:sz w:val="20"/>
                <w:szCs w:val="20"/>
              </w:rPr>
              <w:t>NURTURE</w:t>
            </w:r>
          </w:p>
          <w:p w14:paraId="6F82680A" w14:textId="77777777" w:rsidR="0007132E" w:rsidRPr="00C61670" w:rsidRDefault="0007132E" w:rsidP="00C100BD">
            <w:pPr>
              <w:keepNext/>
              <w:keepLines/>
              <w:rPr>
                <w:rFonts w:ascii="Arial Narrow" w:hAnsi="Arial Narrow"/>
                <w:sz w:val="20"/>
                <w:szCs w:val="20"/>
              </w:rPr>
            </w:pPr>
            <w:r w:rsidRPr="00C61670">
              <w:rPr>
                <w:rFonts w:ascii="Arial Narrow" w:hAnsi="Arial Narrow"/>
                <w:sz w:val="20"/>
                <w:szCs w:val="20"/>
              </w:rPr>
              <w:t xml:space="preserve">N=25 </w:t>
            </w:r>
            <w:r w:rsidRPr="00C61670">
              <w:rPr>
                <w:rFonts w:ascii="Arial Narrow" w:hAnsi="Arial Narrow"/>
                <w:sz w:val="20"/>
                <w:szCs w:val="20"/>
                <w:vertAlign w:val="superscript"/>
              </w:rPr>
              <w:t>d</w:t>
            </w:r>
          </w:p>
        </w:tc>
        <w:tc>
          <w:tcPr>
            <w:tcW w:w="1701" w:type="dxa"/>
            <w:shd w:val="clear" w:color="auto" w:fill="C6D9F1" w:themeFill="text2" w:themeFillTint="33"/>
            <w:vAlign w:val="center"/>
          </w:tcPr>
          <w:p w14:paraId="78DE377F"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MC, NC, OL, 5 years</w:t>
            </w:r>
          </w:p>
        </w:tc>
        <w:tc>
          <w:tcPr>
            <w:tcW w:w="567" w:type="dxa"/>
            <w:shd w:val="clear" w:color="auto" w:fill="C6D9F1" w:themeFill="text2" w:themeFillTint="33"/>
            <w:vAlign w:val="center"/>
          </w:tcPr>
          <w:p w14:paraId="00040AB0"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High</w:t>
            </w:r>
          </w:p>
        </w:tc>
        <w:tc>
          <w:tcPr>
            <w:tcW w:w="1559" w:type="dxa"/>
            <w:shd w:val="clear" w:color="auto" w:fill="C6D9F1" w:themeFill="text2" w:themeFillTint="33"/>
            <w:vAlign w:val="center"/>
          </w:tcPr>
          <w:p w14:paraId="361AA5AE" w14:textId="1743A464" w:rsidR="0007132E" w:rsidRPr="00C61670" w:rsidRDefault="007829C4" w:rsidP="00C100BD">
            <w:pPr>
              <w:keepNext/>
              <w:keepLines/>
              <w:jc w:val="left"/>
              <w:rPr>
                <w:rFonts w:ascii="Arial Narrow" w:hAnsi="Arial Narrow"/>
                <w:sz w:val="20"/>
                <w:szCs w:val="20"/>
              </w:rPr>
            </w:pPr>
            <w:r>
              <w:rPr>
                <w:rFonts w:ascii="Arial Narrow" w:hAnsi="Arial Narrow"/>
                <w:sz w:val="20"/>
                <w:szCs w:val="20"/>
              </w:rPr>
              <w:t>N</w:t>
            </w:r>
            <w:r w:rsidR="0007132E" w:rsidRPr="00C61670">
              <w:rPr>
                <w:rFonts w:ascii="Arial Narrow" w:hAnsi="Arial Narrow"/>
                <w:sz w:val="20"/>
                <w:szCs w:val="20"/>
              </w:rPr>
              <w:t>usinersen IC 12 mg; loading doses (Days 1, 15, 29 and 64) then every 4 months</w:t>
            </w:r>
          </w:p>
        </w:tc>
        <w:tc>
          <w:tcPr>
            <w:tcW w:w="1583" w:type="dxa"/>
            <w:shd w:val="clear" w:color="auto" w:fill="C6D9F1" w:themeFill="text2" w:themeFillTint="33"/>
            <w:vAlign w:val="center"/>
          </w:tcPr>
          <w:p w14:paraId="3752D057" w14:textId="77777777" w:rsidR="0007132E" w:rsidRPr="00C61670" w:rsidRDefault="0007132E" w:rsidP="00C100BD">
            <w:pPr>
              <w:keepNext/>
              <w:keepLines/>
              <w:jc w:val="left"/>
              <w:rPr>
                <w:rFonts w:ascii="Arial Narrow" w:hAnsi="Arial Narrow"/>
                <w:sz w:val="20"/>
                <w:szCs w:val="20"/>
              </w:rPr>
            </w:pPr>
            <w:r w:rsidRPr="00C61670">
              <w:rPr>
                <w:rFonts w:ascii="Arial Narrow" w:hAnsi="Arial Narrow"/>
                <w:sz w:val="20"/>
                <w:szCs w:val="20"/>
              </w:rPr>
              <w:t xml:space="preserve">Pre-symptomatic patients with 2 or 3 copies of </w:t>
            </w:r>
            <w:r w:rsidRPr="00C61670">
              <w:rPr>
                <w:rFonts w:ascii="Arial Narrow" w:hAnsi="Arial Narrow"/>
                <w:i/>
                <w:sz w:val="20"/>
                <w:szCs w:val="20"/>
              </w:rPr>
              <w:t>SMN2,</w:t>
            </w:r>
            <w:r w:rsidRPr="00C61670">
              <w:rPr>
                <w:rFonts w:ascii="Arial Narrow" w:hAnsi="Arial Narrow"/>
                <w:sz w:val="20"/>
                <w:szCs w:val="20"/>
              </w:rPr>
              <w:t xml:space="preserve"> aged ≤ 6 weeks</w:t>
            </w:r>
          </w:p>
        </w:tc>
        <w:tc>
          <w:tcPr>
            <w:tcW w:w="2218" w:type="dxa"/>
            <w:shd w:val="clear" w:color="auto" w:fill="C6D9F1" w:themeFill="text2" w:themeFillTint="33"/>
          </w:tcPr>
          <w:p w14:paraId="7F0F6FEB" w14:textId="77777777" w:rsidR="0007132E" w:rsidRPr="00C61670" w:rsidRDefault="0007132E" w:rsidP="00C100BD">
            <w:pPr>
              <w:pStyle w:val="Tabletext"/>
              <w:keepNext/>
              <w:keepLines/>
            </w:pPr>
            <w:r w:rsidRPr="00C61670">
              <w:t xml:space="preserve">Primary: time to death or respiratory intervention </w:t>
            </w:r>
            <w:r w:rsidRPr="00C61670">
              <w:rPr>
                <w:vertAlign w:val="superscript"/>
              </w:rPr>
              <w:t>e</w:t>
            </w:r>
          </w:p>
          <w:p w14:paraId="0E45942B" w14:textId="115A6EC1" w:rsidR="0007132E" w:rsidRPr="00C61670" w:rsidRDefault="0007132E" w:rsidP="00C100BD">
            <w:pPr>
              <w:keepNext/>
              <w:keepLines/>
              <w:jc w:val="left"/>
              <w:rPr>
                <w:rFonts w:ascii="Arial Narrow" w:hAnsi="Arial Narrow" w:cs="Times New Roman"/>
                <w:snapToGrid w:val="0"/>
                <w:sz w:val="20"/>
              </w:rPr>
            </w:pPr>
            <w:r w:rsidRPr="00C61670">
              <w:rPr>
                <w:rFonts w:ascii="Arial Narrow" w:hAnsi="Arial Narrow" w:cs="Times New Roman"/>
                <w:snapToGrid w:val="0"/>
                <w:sz w:val="20"/>
              </w:rPr>
              <w:t xml:space="preserve">Other: OS, EFS, HINE-2, WHO milestones, CHOP-INTEND, </w:t>
            </w:r>
            <w:r w:rsidR="005A1E69" w:rsidRPr="00C61670">
              <w:rPr>
                <w:rFonts w:ascii="Arial Narrow" w:hAnsi="Arial Narrow" w:cs="Times New Roman"/>
                <w:snapToGrid w:val="0"/>
                <w:sz w:val="20"/>
              </w:rPr>
              <w:t>s</w:t>
            </w:r>
            <w:r w:rsidRPr="00C61670">
              <w:rPr>
                <w:rFonts w:ascii="Arial Narrow" w:hAnsi="Arial Narrow" w:cs="Times New Roman"/>
                <w:snapToGrid w:val="0"/>
                <w:sz w:val="20"/>
              </w:rPr>
              <w:t>afety</w:t>
            </w:r>
          </w:p>
        </w:tc>
      </w:tr>
    </w:tbl>
    <w:p w14:paraId="47A1B32B" w14:textId="3F07430A" w:rsidR="0007132E" w:rsidRPr="00C61670" w:rsidRDefault="0007132E" w:rsidP="00C100BD">
      <w:pPr>
        <w:pStyle w:val="TableFooter"/>
        <w:keepNext/>
        <w:keepLines/>
      </w:pPr>
      <w:r w:rsidRPr="00C61670">
        <w:t>CHOP-INTEND = The Children’s Hospital of Philadelphia Infant Test of Neuromuscular Disorders; EFS = event-free survival (survival without permanent ventilation); HINE-2 = Hammersmith Infant Neurological Examination Module 2; IC = intrathecal; MC = multi-centre; NC = non-comparative single arm study; OL = open label; OS = overall survival; SMA = spinal muscular atrophy; WHO = World Health Organisation</w:t>
      </w:r>
    </w:p>
    <w:p w14:paraId="21634C51" w14:textId="6C237B1D" w:rsidR="0007132E" w:rsidRPr="00C61670" w:rsidRDefault="0007132E" w:rsidP="00C100BD">
      <w:pPr>
        <w:pStyle w:val="TableFooter"/>
        <w:keepNext/>
        <w:keepLines/>
      </w:pPr>
      <w:r w:rsidRPr="00C61670">
        <w:t xml:space="preserve">Blue shading indicates data previous considered by </w:t>
      </w:r>
      <w:r w:rsidR="005A1E69" w:rsidRPr="00C61670">
        <w:t xml:space="preserve">the </w:t>
      </w:r>
      <w:r w:rsidRPr="00C61670">
        <w:t>PBAC.</w:t>
      </w:r>
    </w:p>
    <w:p w14:paraId="79739524" w14:textId="77777777" w:rsidR="0007132E" w:rsidRPr="00C61670" w:rsidRDefault="0007132E" w:rsidP="00C100BD">
      <w:pPr>
        <w:pStyle w:val="TableFooter"/>
        <w:keepNext/>
        <w:keepLines/>
      </w:pPr>
      <w:r w:rsidRPr="00C61670">
        <w:t xml:space="preserve">a RAINBOWFISH included 13 patients with an </w:t>
      </w:r>
      <w:r w:rsidRPr="00C61670">
        <w:rPr>
          <w:i/>
          <w:iCs/>
        </w:rPr>
        <w:t>SMN2</w:t>
      </w:r>
      <w:r w:rsidRPr="00C61670">
        <w:t xml:space="preserve"> copy number of 3.</w:t>
      </w:r>
    </w:p>
    <w:p w14:paraId="69ACDC29" w14:textId="2B3AA54E" w:rsidR="00236F9F" w:rsidRPr="00C61670" w:rsidRDefault="0007132E" w:rsidP="00C100BD">
      <w:pPr>
        <w:pStyle w:val="TableFooter"/>
        <w:keepNext/>
        <w:keepLines/>
      </w:pPr>
      <w:bookmarkStart w:id="18" w:name="_Hlk166072605"/>
      <w:r w:rsidRPr="00C61670">
        <w:t xml:space="preserve">b RAINBOWFISH was presented in the </w:t>
      </w:r>
      <w:r w:rsidR="00FB1E56" w:rsidRPr="00C61670">
        <w:t>March 2023</w:t>
      </w:r>
      <w:r w:rsidR="00FB1E56">
        <w:t xml:space="preserve"> </w:t>
      </w:r>
      <w:r w:rsidRPr="00C61670">
        <w:t>risdiplam submission, however</w:t>
      </w:r>
      <w:r w:rsidR="00D20A7F">
        <w:t xml:space="preserve"> only </w:t>
      </w:r>
      <w:r w:rsidR="00236F9F">
        <w:t xml:space="preserve">data for </w:t>
      </w:r>
      <w:r w:rsidR="00D20A7F">
        <w:t xml:space="preserve">the subpopulation of patients with SMA with a </w:t>
      </w:r>
      <w:r w:rsidR="00D20A7F" w:rsidRPr="00D20A7F">
        <w:rPr>
          <w:i/>
          <w:iCs/>
        </w:rPr>
        <w:t>SMN2</w:t>
      </w:r>
      <w:r w:rsidR="00D20A7F">
        <w:t xml:space="preserve"> gene copy number of 1 or 2 was considered</w:t>
      </w:r>
      <w:r w:rsidR="00FB1E56">
        <w:t xml:space="preserve"> by the PBAC</w:t>
      </w:r>
      <w:r w:rsidR="00D20A7F">
        <w:t>.</w:t>
      </w:r>
      <w:r w:rsidRPr="00C61670">
        <w:t xml:space="preserve"> </w:t>
      </w:r>
      <w:r w:rsidR="00D20A7F">
        <w:t>At this time</w:t>
      </w:r>
      <w:r w:rsidR="00D20A7F" w:rsidRPr="00C61670">
        <w:t xml:space="preserve"> RAINBOWFISH </w:t>
      </w:r>
      <w:r w:rsidRPr="00C61670">
        <w:t xml:space="preserve">results included </w:t>
      </w:r>
      <w:r w:rsidR="00236F9F">
        <w:t xml:space="preserve">a total of </w:t>
      </w:r>
      <w:r w:rsidR="000F3FA3">
        <w:t>18</w:t>
      </w:r>
      <w:r w:rsidR="000F3FA3" w:rsidRPr="00C61670">
        <w:t xml:space="preserve"> </w:t>
      </w:r>
      <w:r w:rsidRPr="00C61670">
        <w:t>patients.</w:t>
      </w:r>
    </w:p>
    <w:bookmarkEnd w:id="18"/>
    <w:p w14:paraId="065A575B" w14:textId="77777777" w:rsidR="0007132E" w:rsidRPr="00C61670" w:rsidRDefault="0007132E" w:rsidP="00C100BD">
      <w:pPr>
        <w:pStyle w:val="TableFooter"/>
        <w:keepNext/>
        <w:keepLines/>
      </w:pPr>
      <w:r w:rsidRPr="00C61670">
        <w:t xml:space="preserve">c Defined as “sitting without support for 5 seconds” as assessed in Item 22 of the BSID-II Gross Motor Scale. The primary efficacy analysis population was defined as all patients in the ITT population with two </w:t>
      </w:r>
      <w:r w:rsidRPr="00C61670">
        <w:rPr>
          <w:i/>
          <w:iCs/>
        </w:rPr>
        <w:t>SMN2</w:t>
      </w:r>
      <w:r w:rsidRPr="00C61670">
        <w:t xml:space="preserve"> copies (excluding the known </w:t>
      </w:r>
      <w:r w:rsidRPr="00C61670">
        <w:rPr>
          <w:i/>
          <w:iCs/>
        </w:rPr>
        <w:t>SMN2</w:t>
      </w:r>
      <w:r w:rsidRPr="00C61670">
        <w:t xml:space="preserve"> gene modifier mutation c.859G &gt; C) and a baseline CMAP amplitude ≥ 1.5 mV and is therefore a subset of the ITT population.</w:t>
      </w:r>
    </w:p>
    <w:p w14:paraId="52D5FEA5" w14:textId="77777777" w:rsidR="0007132E" w:rsidRPr="00C61670" w:rsidRDefault="0007132E" w:rsidP="00C100BD">
      <w:pPr>
        <w:pStyle w:val="TableFooter"/>
        <w:keepNext/>
        <w:keepLines/>
      </w:pPr>
      <w:bookmarkStart w:id="19" w:name="_Hlk166072635"/>
      <w:r w:rsidRPr="00C61670">
        <w:t xml:space="preserve">d NURTURE included 10 patients with an </w:t>
      </w:r>
      <w:r w:rsidRPr="00C61670">
        <w:rPr>
          <w:i/>
          <w:iCs/>
        </w:rPr>
        <w:t>SMN2</w:t>
      </w:r>
      <w:r w:rsidRPr="00C61670">
        <w:t xml:space="preserve"> copy number of 3.</w:t>
      </w:r>
    </w:p>
    <w:bookmarkEnd w:id="19"/>
    <w:p w14:paraId="7696EFCE" w14:textId="77777777" w:rsidR="0007132E" w:rsidRPr="00C61670" w:rsidRDefault="0007132E" w:rsidP="00C100BD">
      <w:pPr>
        <w:pStyle w:val="TableFooter"/>
        <w:keepNext/>
        <w:keepLines/>
      </w:pPr>
      <w:r w:rsidRPr="00C61670">
        <w:t>e Intervention defined as invasive or non-invasive for ≥6 hours/day continuously for ≥7 days or tracheostomy.</w:t>
      </w:r>
    </w:p>
    <w:p w14:paraId="177AB94F" w14:textId="56983934" w:rsidR="0007132E" w:rsidRPr="00C61670" w:rsidRDefault="0007132E" w:rsidP="00C100BD">
      <w:pPr>
        <w:pStyle w:val="TableFooter"/>
        <w:keepNext/>
        <w:keepLines/>
      </w:pPr>
      <w:r w:rsidRPr="00C61670">
        <w:t xml:space="preserve">Source: Table 2.5 of the </w:t>
      </w:r>
      <w:r w:rsidR="0007089E">
        <w:t>submission</w:t>
      </w:r>
    </w:p>
    <w:p w14:paraId="5A23CEC2" w14:textId="77777777" w:rsidR="0007132E" w:rsidRPr="00C61670" w:rsidRDefault="0007132E" w:rsidP="0007132E">
      <w:pPr>
        <w:rPr>
          <w:rFonts w:eastAsiaTheme="majorEastAsia"/>
        </w:rPr>
      </w:pPr>
    </w:p>
    <w:p w14:paraId="2ABFD81F" w14:textId="54837BA0" w:rsidR="0007132E" w:rsidRPr="00C61670" w:rsidRDefault="0007132E" w:rsidP="0007132E">
      <w:pPr>
        <w:pStyle w:val="3-BodyText"/>
      </w:pPr>
      <w:r w:rsidRPr="00C61670">
        <w:t>In both RAINBOWFISH and NURTURE, patients with SMA with a</w:t>
      </w:r>
      <w:r w:rsidR="007829C4">
        <w:t>n</w:t>
      </w:r>
      <w:r w:rsidRPr="00C61670">
        <w:t xml:space="preserve"> </w:t>
      </w:r>
      <w:r w:rsidRPr="00C61670">
        <w:rPr>
          <w:i/>
          <w:iCs/>
        </w:rPr>
        <w:t>SMN2</w:t>
      </w:r>
      <w:r w:rsidRPr="00C61670">
        <w:t xml:space="preserve"> copy number of three </w:t>
      </w:r>
      <w:r w:rsidR="00C100BD" w:rsidRPr="00C61670">
        <w:t xml:space="preserve">were </w:t>
      </w:r>
      <w:r w:rsidRPr="00C61670">
        <w:t xml:space="preserve">a subpopulation of </w:t>
      </w:r>
      <w:r w:rsidR="00FD4423" w:rsidRPr="00C61670">
        <w:t>all enrolled patients</w:t>
      </w:r>
      <w:r w:rsidRPr="00C61670">
        <w:t xml:space="preserve">. </w:t>
      </w:r>
      <w:bookmarkStart w:id="20" w:name="_Hlk171671719"/>
      <w:r w:rsidRPr="00C61670">
        <w:t xml:space="preserve">RAINBOWFISH enrolled 13 patients (13/26 patients = 50%) and NURTURE enrolled 10 patients (10/25 patients = 40%) with three copies of </w:t>
      </w:r>
      <w:r w:rsidRPr="00C61670">
        <w:rPr>
          <w:i/>
          <w:iCs/>
        </w:rPr>
        <w:t>SMN2</w:t>
      </w:r>
      <w:r w:rsidRPr="00C61670">
        <w:t xml:space="preserve">. </w:t>
      </w:r>
      <w:bookmarkEnd w:id="20"/>
    </w:p>
    <w:p w14:paraId="625349A7" w14:textId="1EFC6711" w:rsidR="0007132E" w:rsidRPr="0081032F" w:rsidRDefault="00733189" w:rsidP="0007132E">
      <w:pPr>
        <w:pStyle w:val="3-BodyText"/>
        <w:rPr>
          <w:iCs/>
        </w:rPr>
      </w:pPr>
      <w:r w:rsidRPr="00C61670">
        <w:t xml:space="preserve">Compound muscle action potential (CMAP) </w:t>
      </w:r>
      <w:r w:rsidR="0007132E" w:rsidRPr="00C61670">
        <w:t xml:space="preserve">amplitude is used for tracking disease progression in SMA with a higher measure reflecting a higher motor functioning status. The mean baseline CMAP amplitude in RAINBOWFISH (3.66 mV) was higher than in NURTURE (2.87 mV). The </w:t>
      </w:r>
      <w:r w:rsidR="0007089E">
        <w:t>submission</w:t>
      </w:r>
      <w:r w:rsidR="0007132E" w:rsidRPr="00C61670">
        <w:t xml:space="preserve"> proposed that this was likely </w:t>
      </w:r>
      <w:proofErr w:type="gramStart"/>
      <w:r w:rsidR="0007132E" w:rsidRPr="00C61670">
        <w:t>owing to the fact that</w:t>
      </w:r>
      <w:proofErr w:type="gramEnd"/>
      <w:r w:rsidR="0007132E" w:rsidRPr="00C61670">
        <w:t xml:space="preserve"> patients with four </w:t>
      </w:r>
      <w:r w:rsidR="0007132E" w:rsidRPr="00C61670">
        <w:rPr>
          <w:i/>
          <w:iCs/>
        </w:rPr>
        <w:t>SMN2</w:t>
      </w:r>
      <w:r w:rsidR="0007132E" w:rsidRPr="00C61670">
        <w:t xml:space="preserve"> gene copies were included in the RAINBOWFISH study; </w:t>
      </w:r>
      <w:r w:rsidR="0007132E" w:rsidRPr="0081032F">
        <w:rPr>
          <w:iCs/>
        </w:rPr>
        <w:t xml:space="preserve">however, when comparing CMAP specifically in patients with three </w:t>
      </w:r>
      <w:r w:rsidR="0007132E" w:rsidRPr="000F1040">
        <w:rPr>
          <w:i/>
        </w:rPr>
        <w:t>SMN2</w:t>
      </w:r>
      <w:r w:rsidR="0007132E" w:rsidRPr="0081032F">
        <w:rPr>
          <w:iCs/>
        </w:rPr>
        <w:t xml:space="preserve"> copies, the mean CMAP amplitude </w:t>
      </w:r>
      <w:r w:rsidR="002B69AE" w:rsidRPr="0081032F">
        <w:rPr>
          <w:iCs/>
        </w:rPr>
        <w:t xml:space="preserve">at baseline </w:t>
      </w:r>
      <w:r w:rsidR="0007132E" w:rsidRPr="0081032F">
        <w:rPr>
          <w:iCs/>
        </w:rPr>
        <w:t xml:space="preserve">in RAINBOWFISH (4.42 mV) remained higher than NURTURE (3.11 mV). </w:t>
      </w:r>
      <w:r w:rsidR="0007132E" w:rsidRPr="00854577">
        <w:rPr>
          <w:iCs/>
        </w:rPr>
        <w:t>The</w:t>
      </w:r>
      <w:r w:rsidR="003C6CD5" w:rsidRPr="00854577">
        <w:rPr>
          <w:iCs/>
        </w:rPr>
        <w:t xml:space="preserve"> evaluation and the ESC considered</w:t>
      </w:r>
      <w:r w:rsidR="003C6CD5">
        <w:rPr>
          <w:i/>
        </w:rPr>
        <w:t xml:space="preserve"> </w:t>
      </w:r>
      <w:r w:rsidR="0007132E" w:rsidRPr="0081032F">
        <w:rPr>
          <w:iCs/>
        </w:rPr>
        <w:t xml:space="preserve">it was likely that patients enrolled in NURTURE had a lower motor functioning status at baseline than the patients in RAINBOWFISH and motor function outcomes </w:t>
      </w:r>
      <w:r w:rsidR="002B69AE" w:rsidRPr="0081032F">
        <w:rPr>
          <w:iCs/>
        </w:rPr>
        <w:t>may be</w:t>
      </w:r>
      <w:r w:rsidR="0007132E" w:rsidRPr="0081032F">
        <w:rPr>
          <w:iCs/>
        </w:rPr>
        <w:t xml:space="preserve"> biased in favour of risdiplam.</w:t>
      </w:r>
    </w:p>
    <w:p w14:paraId="303D7A30" w14:textId="10883CDF" w:rsidR="0007132E" w:rsidRPr="0081032F" w:rsidRDefault="0007132E" w:rsidP="0007132E">
      <w:pPr>
        <w:pStyle w:val="3-BodyText"/>
        <w:rPr>
          <w:iCs/>
        </w:rPr>
      </w:pPr>
      <w:r w:rsidRPr="00C61670">
        <w:t xml:space="preserve">The </w:t>
      </w:r>
      <w:r w:rsidR="0007089E">
        <w:t>submission</w:t>
      </w:r>
      <w:r w:rsidRPr="00C61670">
        <w:t xml:space="preserve"> did not nominate a minimal clinically important difference </w:t>
      </w:r>
      <w:r w:rsidR="00CD2D91">
        <w:t xml:space="preserve">or any non-inferiority margins </w:t>
      </w:r>
      <w:r w:rsidRPr="00C61670">
        <w:t>for any outcome for patients with SMA or specifically for paediatric patients with pre-symptomatic SMA.</w:t>
      </w:r>
      <w:r w:rsidRPr="0081032F">
        <w:rPr>
          <w:iCs/>
        </w:rPr>
        <w:t xml:space="preserve"> </w:t>
      </w:r>
      <w:r w:rsidRPr="00C61670">
        <w:t xml:space="preserve">The </w:t>
      </w:r>
      <w:r w:rsidR="0007089E">
        <w:t>submission</w:t>
      </w:r>
      <w:r w:rsidRPr="00C61670">
        <w:t xml:space="preserve"> claimed that given the </w:t>
      </w:r>
      <w:r w:rsidR="00F03CA8">
        <w:t xml:space="preserve">lack of comparative studies, and </w:t>
      </w:r>
      <w:r w:rsidRPr="00C61670">
        <w:t xml:space="preserve">rare nature of SMA </w:t>
      </w:r>
      <w:r w:rsidR="00F03CA8">
        <w:t>(</w:t>
      </w:r>
      <w:r w:rsidRPr="00C61670">
        <w:t>hence the very small trial populations</w:t>
      </w:r>
      <w:r w:rsidR="00F03CA8">
        <w:t>)</w:t>
      </w:r>
      <w:r w:rsidRPr="00C61670">
        <w:t xml:space="preserve">, there </w:t>
      </w:r>
      <w:r w:rsidR="00A32421" w:rsidRPr="00C61670">
        <w:t>wa</w:t>
      </w:r>
      <w:r w:rsidRPr="00C61670">
        <w:t xml:space="preserve">s an inherent lack of precision in the confidence estimates for the naïve comparisons presented in this </w:t>
      </w:r>
      <w:r w:rsidR="0007089E">
        <w:t>submission</w:t>
      </w:r>
      <w:r w:rsidRPr="00C61670">
        <w:t xml:space="preserve"> and that therefore it was not appropriate to assess non-inferiority by applying the lower limit of reported hazard ratios/mean </w:t>
      </w:r>
      <w:r w:rsidRPr="00C61670">
        <w:lastRenderedPageBreak/>
        <w:t>differences thresholds.</w:t>
      </w:r>
      <w:r w:rsidRPr="0081032F">
        <w:rPr>
          <w:iCs/>
        </w:rPr>
        <w:t xml:space="preserve"> While this may be reasonable, it highlighted the high uncertainty associated with the evidence presented in the </w:t>
      </w:r>
      <w:r w:rsidR="0007089E" w:rsidRPr="0081032F">
        <w:rPr>
          <w:iCs/>
        </w:rPr>
        <w:t>submission</w:t>
      </w:r>
      <w:r w:rsidRPr="0081032F">
        <w:rPr>
          <w:iCs/>
        </w:rPr>
        <w:t>.</w:t>
      </w:r>
    </w:p>
    <w:p w14:paraId="41855A34" w14:textId="77777777" w:rsidR="0007132E" w:rsidRPr="00C61670" w:rsidRDefault="0007132E" w:rsidP="0007132E">
      <w:pPr>
        <w:pStyle w:val="4-SubsectionHeading"/>
      </w:pPr>
      <w:bookmarkStart w:id="21" w:name="_Toc167202922"/>
      <w:r w:rsidRPr="00C61670">
        <w:t>Comparative effectiveness</w:t>
      </w:r>
      <w:bookmarkEnd w:id="21"/>
    </w:p>
    <w:p w14:paraId="33E263C5" w14:textId="4EEA4997" w:rsidR="0007132E" w:rsidRPr="0081032F" w:rsidRDefault="0007132E" w:rsidP="0007132E">
      <w:pPr>
        <w:pStyle w:val="3-BodyText"/>
        <w:rPr>
          <w:iCs/>
        </w:rPr>
      </w:pPr>
      <w:r w:rsidRPr="00C61670">
        <w:t xml:space="preserve">Due to the lack of direct comparative trials of risdiplam versus nusinersen, or trials with a common comparator arm, the </w:t>
      </w:r>
      <w:r w:rsidR="0007089E">
        <w:t>submission</w:t>
      </w:r>
      <w:r w:rsidRPr="00C61670">
        <w:t xml:space="preserve"> presented numerical comparisons of risdiplam versus nusinersen study data for the treatment of pre-symptomatic SMA patients with a</w:t>
      </w:r>
      <w:r w:rsidR="00854577">
        <w:t>n</w:t>
      </w:r>
      <w:r w:rsidRPr="00C61670">
        <w:t xml:space="preserve"> </w:t>
      </w:r>
      <w:r w:rsidRPr="00C61670">
        <w:rPr>
          <w:i/>
          <w:iCs/>
        </w:rPr>
        <w:t>SMN2</w:t>
      </w:r>
      <w:r w:rsidRPr="00C61670">
        <w:t xml:space="preserve"> copy number of three. </w:t>
      </w:r>
      <w:r w:rsidRPr="0081032F">
        <w:rPr>
          <w:iCs/>
        </w:rPr>
        <w:t>Similarly, an unanchored comparison was presented in the March 2023 risdiplam submission</w:t>
      </w:r>
      <w:r w:rsidR="0055350A" w:rsidRPr="0081032F">
        <w:rPr>
          <w:iCs/>
        </w:rPr>
        <w:t xml:space="preserve"> for patients with 1-2 copies </w:t>
      </w:r>
      <w:r w:rsidR="00C8401A" w:rsidRPr="0081032F">
        <w:rPr>
          <w:iCs/>
        </w:rPr>
        <w:t xml:space="preserve">of </w:t>
      </w:r>
      <w:r w:rsidR="0055350A" w:rsidRPr="0067193B">
        <w:rPr>
          <w:i/>
        </w:rPr>
        <w:t>SMN2</w:t>
      </w:r>
      <w:r w:rsidRPr="0081032F">
        <w:rPr>
          <w:iCs/>
        </w:rPr>
        <w:t xml:space="preserve">. For pre-symptomatic patients aged &lt;36 months </w:t>
      </w:r>
      <w:r w:rsidR="00854577">
        <w:rPr>
          <w:iCs/>
        </w:rPr>
        <w:t>with</w:t>
      </w:r>
      <w:r w:rsidRPr="0081032F">
        <w:rPr>
          <w:iCs/>
        </w:rPr>
        <w:t xml:space="preserve"> an </w:t>
      </w:r>
      <w:r w:rsidRPr="00972A1B">
        <w:rPr>
          <w:i/>
        </w:rPr>
        <w:t>SMN2</w:t>
      </w:r>
      <w:r w:rsidRPr="0081032F">
        <w:rPr>
          <w:iCs/>
        </w:rPr>
        <w:t xml:space="preserve"> gene copy number of 1 or 2</w:t>
      </w:r>
      <w:r w:rsidR="00854577">
        <w:rPr>
          <w:iCs/>
        </w:rPr>
        <w:t xml:space="preserve"> in the March 2023 submission</w:t>
      </w:r>
      <w:r w:rsidRPr="0081032F">
        <w:rPr>
          <w:iCs/>
        </w:rPr>
        <w:t xml:space="preserve">), the ESC </w:t>
      </w:r>
      <w:r w:rsidR="00854577">
        <w:rPr>
          <w:iCs/>
        </w:rPr>
        <w:t xml:space="preserve">previously </w:t>
      </w:r>
      <w:r w:rsidRPr="0081032F">
        <w:rPr>
          <w:iCs/>
        </w:rPr>
        <w:t xml:space="preserve">considered the claim of non-inferior effectiveness was clinically plausible, consistent with previous comparisons between risdiplam and nusinersen. However, the ESC considered this comparison was associated with a notable degree of uncertainty as the quality of evidence was poor and the unanchored comparison carried a substantial risk of bias due to the lack of a common comparator. </w:t>
      </w:r>
      <w:r w:rsidR="00854577">
        <w:rPr>
          <w:iCs/>
        </w:rPr>
        <w:t xml:space="preserve">In its consideration of this population in the March 2023 submission, </w:t>
      </w:r>
      <w:r w:rsidRPr="0081032F">
        <w:rPr>
          <w:iCs/>
        </w:rPr>
        <w:t xml:space="preserve">the </w:t>
      </w:r>
      <w:r w:rsidR="00846E2A">
        <w:rPr>
          <w:iCs/>
        </w:rPr>
        <w:t xml:space="preserve">ESC </w:t>
      </w:r>
      <w:r w:rsidR="00854577">
        <w:rPr>
          <w:iCs/>
        </w:rPr>
        <w:t xml:space="preserve">also </w:t>
      </w:r>
      <w:r w:rsidR="00846E2A">
        <w:rPr>
          <w:iCs/>
        </w:rPr>
        <w:t xml:space="preserve">considered the </w:t>
      </w:r>
      <w:r w:rsidRPr="0081032F">
        <w:rPr>
          <w:iCs/>
        </w:rPr>
        <w:t xml:space="preserve">RAINBOWFISH and NURTURE trials both had a high risk of bias given </w:t>
      </w:r>
      <w:r w:rsidR="00854577">
        <w:rPr>
          <w:iCs/>
        </w:rPr>
        <w:t xml:space="preserve">they were </w:t>
      </w:r>
      <w:r w:rsidRPr="0081032F">
        <w:rPr>
          <w:iCs/>
        </w:rPr>
        <w:t xml:space="preserve">single arm studies with no control group and small patient numbers (paragraph 6.52, risdiplam PSD, March 2023 PBAC meeting). </w:t>
      </w:r>
      <w:r w:rsidR="00C8401A" w:rsidRPr="0081032F">
        <w:rPr>
          <w:iCs/>
        </w:rPr>
        <w:t xml:space="preserve">As the </w:t>
      </w:r>
      <w:r w:rsidR="00854577">
        <w:rPr>
          <w:iCs/>
        </w:rPr>
        <w:t>unanchored</w:t>
      </w:r>
      <w:r w:rsidR="00854577" w:rsidRPr="0081032F">
        <w:rPr>
          <w:iCs/>
        </w:rPr>
        <w:t xml:space="preserve"> </w:t>
      </w:r>
      <w:r w:rsidR="00C8401A" w:rsidRPr="0081032F">
        <w:rPr>
          <w:iCs/>
        </w:rPr>
        <w:t xml:space="preserve">indirect comparison presented in the submission was undertaken in the same way and based on the same studies as in the March 2023 risdiplam submission, </w:t>
      </w:r>
      <w:r w:rsidR="00C8401A" w:rsidRPr="00854577">
        <w:rPr>
          <w:iCs/>
        </w:rPr>
        <w:t xml:space="preserve">the </w:t>
      </w:r>
      <w:r w:rsidR="00846E2A" w:rsidRPr="00854577">
        <w:rPr>
          <w:iCs/>
        </w:rPr>
        <w:t>evaluation and the ESC considered</w:t>
      </w:r>
      <w:r w:rsidR="00846E2A">
        <w:rPr>
          <w:iCs/>
        </w:rPr>
        <w:t xml:space="preserve"> the </w:t>
      </w:r>
      <w:r w:rsidR="00C8401A" w:rsidRPr="0081032F">
        <w:rPr>
          <w:iCs/>
        </w:rPr>
        <w:t xml:space="preserve">results </w:t>
      </w:r>
      <w:r w:rsidRPr="0081032F">
        <w:rPr>
          <w:iCs/>
        </w:rPr>
        <w:t>should be interpreted with caution and may not provide accurate information on the magnitude of the incremental benefit of treatment with risdiplam versus nusinersen prior to symptom onset in the proposed population.</w:t>
      </w:r>
    </w:p>
    <w:p w14:paraId="7CF3ADAC" w14:textId="2A7AB102" w:rsidR="0007132E" w:rsidRPr="0081032F" w:rsidRDefault="0007132E" w:rsidP="0007132E">
      <w:pPr>
        <w:pStyle w:val="3-BodyText"/>
        <w:rPr>
          <w:iCs/>
        </w:rPr>
      </w:pPr>
      <w:bookmarkStart w:id="22" w:name="_Ref166193045"/>
      <w:r w:rsidRPr="00C61670">
        <w:t xml:space="preserve">For patients with three </w:t>
      </w:r>
      <w:r w:rsidRPr="00C61670">
        <w:rPr>
          <w:i/>
          <w:iCs/>
        </w:rPr>
        <w:t>SMN2</w:t>
      </w:r>
      <w:r w:rsidRPr="00C61670">
        <w:t xml:space="preserve"> gene copies, both RAINBOWFISH </w:t>
      </w:r>
      <w:r w:rsidR="00A635A5" w:rsidRPr="00C61670">
        <w:t xml:space="preserve">(median treatment duration 20.4 months) </w:t>
      </w:r>
      <w:r w:rsidRPr="00C61670">
        <w:t xml:space="preserve">and NURTURE </w:t>
      </w:r>
      <w:r w:rsidR="00A635A5" w:rsidRPr="00C61670">
        <w:t xml:space="preserve">(median follow-up of 4.9 years) </w:t>
      </w:r>
      <w:r w:rsidRPr="00C61670">
        <w:t xml:space="preserve">reported no deaths and no patients requiring permanent ventilation. </w:t>
      </w:r>
      <w:r w:rsidR="00384842" w:rsidRPr="00854577">
        <w:t>The ESC noted that</w:t>
      </w:r>
      <w:r w:rsidR="00384842">
        <w:t xml:space="preserve"> w</w:t>
      </w:r>
      <w:r w:rsidRPr="0081032F">
        <w:rPr>
          <w:iCs/>
        </w:rPr>
        <w:t xml:space="preserve">hile neither study reported any deaths or </w:t>
      </w:r>
      <w:r w:rsidR="00611ECA" w:rsidRPr="0081032F">
        <w:rPr>
          <w:iCs/>
        </w:rPr>
        <w:t xml:space="preserve">permanent </w:t>
      </w:r>
      <w:r w:rsidRPr="0081032F">
        <w:rPr>
          <w:iCs/>
        </w:rPr>
        <w:t xml:space="preserve">ventilation in SMA patients with three copies of </w:t>
      </w:r>
      <w:r w:rsidRPr="000F1040">
        <w:rPr>
          <w:i/>
        </w:rPr>
        <w:t>SMN2</w:t>
      </w:r>
      <w:r w:rsidRPr="0081032F">
        <w:rPr>
          <w:iCs/>
        </w:rPr>
        <w:t xml:space="preserve">, it </w:t>
      </w:r>
      <w:r w:rsidR="00A635A5" w:rsidRPr="0081032F">
        <w:rPr>
          <w:iCs/>
        </w:rPr>
        <w:t>wa</w:t>
      </w:r>
      <w:r w:rsidRPr="0081032F">
        <w:rPr>
          <w:iCs/>
        </w:rPr>
        <w:t>s likely that these patients would not have experienced death or permanent ventilation</w:t>
      </w:r>
      <w:r w:rsidR="007A678E" w:rsidRPr="0081032F">
        <w:rPr>
          <w:iCs/>
        </w:rPr>
        <w:t xml:space="preserve"> within the follow-up period</w:t>
      </w:r>
      <w:r w:rsidRPr="0081032F">
        <w:rPr>
          <w:iCs/>
        </w:rPr>
        <w:t xml:space="preserve"> due to the natural progression of their SMA, even if they hadn’t been treated with risdiplam or nusinersen</w:t>
      </w:r>
      <w:r w:rsidR="00611ECA" w:rsidRPr="0081032F">
        <w:rPr>
          <w:iCs/>
        </w:rPr>
        <w:t>.</w:t>
      </w:r>
      <w:r w:rsidRPr="0081032F">
        <w:rPr>
          <w:iCs/>
        </w:rPr>
        <w:t xml:space="preserve"> </w:t>
      </w:r>
      <w:r w:rsidR="00611ECA" w:rsidRPr="0081032F">
        <w:rPr>
          <w:iCs/>
        </w:rPr>
        <w:t xml:space="preserve">As such, </w:t>
      </w:r>
      <w:r w:rsidRPr="0081032F">
        <w:rPr>
          <w:iCs/>
        </w:rPr>
        <w:t xml:space="preserve">results for this outcome </w:t>
      </w:r>
      <w:r w:rsidR="00B42208" w:rsidRPr="0081032F">
        <w:rPr>
          <w:iCs/>
        </w:rPr>
        <w:t>we</w:t>
      </w:r>
      <w:r w:rsidRPr="0081032F">
        <w:rPr>
          <w:iCs/>
        </w:rPr>
        <w:t>re of limited usefulness.</w:t>
      </w:r>
      <w:bookmarkEnd w:id="22"/>
    </w:p>
    <w:p w14:paraId="2BD529AF" w14:textId="75DA3AD0" w:rsidR="008A22D5" w:rsidRDefault="0007132E" w:rsidP="008A22D5">
      <w:pPr>
        <w:pStyle w:val="3-BodyText"/>
        <w:rPr>
          <w:iCs/>
        </w:rPr>
      </w:pPr>
      <w:r w:rsidRPr="00C61670">
        <w:t xml:space="preserve">The </w:t>
      </w:r>
      <w:r w:rsidR="0007089E">
        <w:t>submission</w:t>
      </w:r>
      <w:r w:rsidRPr="00C61670">
        <w:t xml:space="preserve"> quantitatively compared Hammersmith Infant Neurological Examination Module 2 (HINE-2) total scores for SMA patients with three </w:t>
      </w:r>
      <w:r w:rsidRPr="008A22D5">
        <w:rPr>
          <w:i/>
          <w:iCs/>
        </w:rPr>
        <w:t>SMN2</w:t>
      </w:r>
      <w:r w:rsidRPr="00C61670">
        <w:t xml:space="preserve"> copies in RAINBOWFISH and NURTURE (</w:t>
      </w:r>
      <w:r w:rsidRPr="00C61670">
        <w:fldChar w:fldCharType="begin" w:fldLock="1"/>
      </w:r>
      <w:r w:rsidRPr="00C61670">
        <w:instrText xml:space="preserve"> REF _Ref165834632 \h </w:instrText>
      </w:r>
      <w:r w:rsidRPr="00C61670">
        <w:fldChar w:fldCharType="separate"/>
      </w:r>
      <w:r w:rsidR="008A22D5" w:rsidRPr="008A22D5">
        <w:t xml:space="preserve">Table </w:t>
      </w:r>
      <w:r w:rsidR="008A22D5">
        <w:rPr>
          <w:noProof/>
        </w:rPr>
        <w:t>5</w:t>
      </w:r>
      <w:r w:rsidRPr="00C61670">
        <w:fldChar w:fldCharType="end"/>
      </w:r>
      <w:r w:rsidRPr="00C61670">
        <w:t xml:space="preserve">). </w:t>
      </w:r>
      <w:bookmarkStart w:id="23" w:name="_Hlk171672639"/>
      <w:r w:rsidR="00854577" w:rsidRPr="008A22D5">
        <w:rPr>
          <w:iCs/>
        </w:rPr>
        <w:t xml:space="preserve">HINE-2 consists of 8 items developed to assess neurological function for infants (but not specifically for SMA). HINE-2 has a maximum possible score of 26, with a score of 0 indicating inability to perform a task. </w:t>
      </w:r>
      <w:r w:rsidR="00335DE5" w:rsidRPr="008A22D5">
        <w:rPr>
          <w:iCs/>
        </w:rPr>
        <w:t xml:space="preserve">The PBAC previously considered </w:t>
      </w:r>
      <w:r w:rsidR="00D54E10" w:rsidRPr="008A22D5">
        <w:rPr>
          <w:iCs/>
        </w:rPr>
        <w:t xml:space="preserve">the outcome of </w:t>
      </w:r>
      <w:r w:rsidR="00335DE5" w:rsidRPr="008A22D5">
        <w:rPr>
          <w:iCs/>
        </w:rPr>
        <w:t>HINE-2</w:t>
      </w:r>
      <w:r w:rsidR="007839AA" w:rsidRPr="008A22D5">
        <w:rPr>
          <w:iCs/>
        </w:rPr>
        <w:t xml:space="preserve"> </w:t>
      </w:r>
      <w:r w:rsidR="00335DE5" w:rsidRPr="008A22D5">
        <w:rPr>
          <w:iCs/>
        </w:rPr>
        <w:t xml:space="preserve">for risdiplam at the March 2021 and March 2023 PBAC meetings. </w:t>
      </w:r>
    </w:p>
    <w:p w14:paraId="4B34BCB8" w14:textId="21D1AE10" w:rsidR="0007132E" w:rsidRPr="008A22D5" w:rsidRDefault="0007132E" w:rsidP="008A22D5">
      <w:pPr>
        <w:pStyle w:val="TableFigureHeading"/>
        <w:rPr>
          <w:rStyle w:val="CommentReference"/>
          <w:szCs w:val="24"/>
        </w:rPr>
      </w:pPr>
      <w:bookmarkStart w:id="24" w:name="_Ref165834632"/>
      <w:bookmarkEnd w:id="23"/>
      <w:r w:rsidRPr="008A22D5">
        <w:lastRenderedPageBreak/>
        <w:t xml:space="preserve">Table </w:t>
      </w:r>
      <w:r w:rsidR="002906A9">
        <w:fldChar w:fldCharType="begin" w:fldLock="1"/>
      </w:r>
      <w:r w:rsidR="002906A9">
        <w:instrText xml:space="preserve"> SEQ Table \* ARABIC </w:instrText>
      </w:r>
      <w:r w:rsidR="002906A9">
        <w:fldChar w:fldCharType="separate"/>
      </w:r>
      <w:r w:rsidR="008A22D5">
        <w:rPr>
          <w:noProof/>
        </w:rPr>
        <w:t>5</w:t>
      </w:r>
      <w:r w:rsidR="002906A9">
        <w:rPr>
          <w:noProof/>
        </w:rPr>
        <w:fldChar w:fldCharType="end"/>
      </w:r>
      <w:bookmarkEnd w:id="24"/>
      <w:r w:rsidRPr="008A22D5">
        <w:rPr>
          <w:rStyle w:val="CommentReference"/>
          <w:b/>
          <w:bCs w:val="0"/>
          <w:szCs w:val="24"/>
        </w:rPr>
        <w:t>:</w:t>
      </w:r>
      <w:r w:rsidR="003A2867" w:rsidRPr="008A22D5">
        <w:rPr>
          <w:rStyle w:val="CommentReference"/>
          <w:b/>
          <w:bCs w:val="0"/>
          <w:szCs w:val="24"/>
        </w:rPr>
        <w:t xml:space="preserve"> </w:t>
      </w:r>
      <w:r w:rsidRPr="008A22D5">
        <w:rPr>
          <w:rStyle w:val="CommentReference"/>
          <w:b/>
          <w:bCs w:val="0"/>
          <w:szCs w:val="24"/>
        </w:rPr>
        <w:t xml:space="preserve">HINE-2 total score RAINBOWFISH vs NURTURE in patients with 3 </w:t>
      </w:r>
      <w:r w:rsidRPr="008A22D5">
        <w:rPr>
          <w:rStyle w:val="CommentReference"/>
          <w:b/>
          <w:bCs w:val="0"/>
          <w:i/>
          <w:iCs/>
          <w:szCs w:val="24"/>
        </w:rPr>
        <w:t>SMN2</w:t>
      </w:r>
      <w:r w:rsidRPr="008A22D5">
        <w:rPr>
          <w:rStyle w:val="CommentReference"/>
          <w:b/>
          <w:bCs w:val="0"/>
          <w:szCs w:val="24"/>
        </w:rPr>
        <w:t xml:space="preserve"> gene copies</w:t>
      </w:r>
    </w:p>
    <w:tbl>
      <w:tblPr>
        <w:tblStyle w:val="HTAtableplai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HINE-2 total score RAINBOWFISH vs NURTURE in patients with 3 SMN2 gene copies"/>
      </w:tblPr>
      <w:tblGrid>
        <w:gridCol w:w="1271"/>
        <w:gridCol w:w="1134"/>
        <w:gridCol w:w="1322"/>
        <w:gridCol w:w="1322"/>
        <w:gridCol w:w="1183"/>
        <w:gridCol w:w="1843"/>
        <w:gridCol w:w="942"/>
      </w:tblGrid>
      <w:tr w:rsidR="0007132E" w:rsidRPr="00C61670" w14:paraId="4838A47C" w14:textId="77777777" w:rsidTr="00AA0FE0">
        <w:trPr>
          <w:trHeight w:val="481"/>
        </w:trPr>
        <w:tc>
          <w:tcPr>
            <w:tcW w:w="2405" w:type="dxa"/>
            <w:gridSpan w:val="2"/>
            <w:tcBorders>
              <w:top w:val="single" w:sz="4" w:space="0" w:color="auto"/>
              <w:left w:val="single" w:sz="4" w:space="0" w:color="auto"/>
              <w:right w:val="single" w:sz="4" w:space="0" w:color="auto"/>
            </w:tcBorders>
            <w:shd w:val="clear" w:color="auto" w:fill="auto"/>
            <w:vAlign w:val="center"/>
          </w:tcPr>
          <w:p w14:paraId="4138CD97" w14:textId="77777777" w:rsidR="0007132E" w:rsidRPr="00C61670" w:rsidRDefault="0007132E" w:rsidP="00AA0FE0">
            <w:pPr>
              <w:pStyle w:val="Tabletext"/>
            </w:pPr>
          </w:p>
        </w:tc>
        <w:tc>
          <w:tcPr>
            <w:tcW w:w="1322" w:type="dxa"/>
            <w:tcBorders>
              <w:top w:val="single" w:sz="4" w:space="0" w:color="auto"/>
              <w:left w:val="single" w:sz="4" w:space="0" w:color="auto"/>
              <w:right w:val="single" w:sz="4" w:space="0" w:color="auto"/>
            </w:tcBorders>
            <w:shd w:val="clear" w:color="auto" w:fill="auto"/>
            <w:vAlign w:val="center"/>
          </w:tcPr>
          <w:p w14:paraId="3B33DF2A" w14:textId="77777777" w:rsidR="0007132E" w:rsidRPr="00C61670" w:rsidRDefault="0007132E" w:rsidP="00AA0FE0">
            <w:pPr>
              <w:pStyle w:val="Tabletext"/>
              <w:jc w:val="center"/>
              <w:rPr>
                <w:b/>
              </w:rPr>
            </w:pPr>
            <w:r w:rsidRPr="00C61670">
              <w:rPr>
                <w:b/>
              </w:rPr>
              <w:t>Risdiplam</w:t>
            </w:r>
          </w:p>
          <w:p w14:paraId="500528C5" w14:textId="77777777" w:rsidR="0007132E" w:rsidRPr="00C61670" w:rsidRDefault="0007132E" w:rsidP="00AA0FE0">
            <w:pPr>
              <w:pStyle w:val="Tabletext"/>
              <w:jc w:val="center"/>
              <w:rPr>
                <w:b/>
              </w:rPr>
            </w:pPr>
            <w:r w:rsidRPr="00C61670">
              <w:rPr>
                <w:b/>
              </w:rPr>
              <w:t>(N=13)</w:t>
            </w:r>
          </w:p>
        </w:tc>
        <w:tc>
          <w:tcPr>
            <w:tcW w:w="1322" w:type="dxa"/>
            <w:tcBorders>
              <w:top w:val="single" w:sz="4" w:space="0" w:color="auto"/>
              <w:left w:val="single" w:sz="4" w:space="0" w:color="auto"/>
              <w:right w:val="single" w:sz="4" w:space="0" w:color="auto"/>
            </w:tcBorders>
            <w:shd w:val="clear" w:color="auto" w:fill="auto"/>
            <w:vAlign w:val="center"/>
          </w:tcPr>
          <w:p w14:paraId="70F9F796" w14:textId="77777777" w:rsidR="0007132E" w:rsidRPr="00C61670" w:rsidRDefault="0007132E" w:rsidP="00AA0FE0">
            <w:pPr>
              <w:pStyle w:val="Tabletext"/>
              <w:jc w:val="center"/>
              <w:rPr>
                <w:b/>
              </w:rPr>
            </w:pPr>
            <w:r w:rsidRPr="00C61670">
              <w:rPr>
                <w:b/>
              </w:rPr>
              <w:t>Nusinersen</w:t>
            </w:r>
          </w:p>
          <w:p w14:paraId="409C3685" w14:textId="77777777" w:rsidR="0007132E" w:rsidRPr="00C61670" w:rsidRDefault="0007132E" w:rsidP="00AA0FE0">
            <w:pPr>
              <w:pStyle w:val="Tabletext"/>
              <w:jc w:val="center"/>
              <w:rPr>
                <w:b/>
              </w:rPr>
            </w:pPr>
            <w:r w:rsidRPr="00C61670">
              <w:rPr>
                <w:b/>
              </w:rPr>
              <w:t>(N=10)</w:t>
            </w:r>
          </w:p>
        </w:tc>
        <w:tc>
          <w:tcPr>
            <w:tcW w:w="1183" w:type="dxa"/>
            <w:tcBorders>
              <w:top w:val="single" w:sz="4" w:space="0" w:color="auto"/>
              <w:left w:val="single" w:sz="4" w:space="0" w:color="auto"/>
              <w:right w:val="single" w:sz="4" w:space="0" w:color="auto"/>
            </w:tcBorders>
            <w:vAlign w:val="center"/>
          </w:tcPr>
          <w:p w14:paraId="43E45E10" w14:textId="77777777" w:rsidR="0007132E" w:rsidRPr="00C61670" w:rsidRDefault="0007132E" w:rsidP="00AA0FE0">
            <w:pPr>
              <w:pStyle w:val="Tabletext"/>
              <w:jc w:val="center"/>
              <w:rPr>
                <w:b/>
              </w:rPr>
            </w:pPr>
            <w:r w:rsidRPr="00C61670">
              <w:rPr>
                <w:b/>
              </w:rPr>
              <w:t>Observed difference</w:t>
            </w:r>
          </w:p>
        </w:tc>
        <w:tc>
          <w:tcPr>
            <w:tcW w:w="1843" w:type="dxa"/>
            <w:tcBorders>
              <w:top w:val="single" w:sz="4" w:space="0" w:color="auto"/>
              <w:left w:val="single" w:sz="4" w:space="0" w:color="auto"/>
              <w:right w:val="single" w:sz="4" w:space="0" w:color="auto"/>
            </w:tcBorders>
            <w:vAlign w:val="center"/>
          </w:tcPr>
          <w:p w14:paraId="2AF96C2C" w14:textId="77777777" w:rsidR="0007132E" w:rsidRPr="00C61670" w:rsidRDefault="0007132E" w:rsidP="00AA0FE0">
            <w:pPr>
              <w:pStyle w:val="Tabletext"/>
              <w:jc w:val="center"/>
              <w:rPr>
                <w:b/>
              </w:rPr>
            </w:pPr>
            <w:r w:rsidRPr="00C61670">
              <w:rPr>
                <w:b/>
              </w:rPr>
              <w:t>Estimated difference (95% CI)</w:t>
            </w:r>
            <w:r w:rsidRPr="00C61670">
              <w:rPr>
                <w:b/>
                <w:vertAlign w:val="superscript"/>
              </w:rPr>
              <w:t xml:space="preserve"> c</w:t>
            </w:r>
          </w:p>
        </w:tc>
        <w:tc>
          <w:tcPr>
            <w:tcW w:w="942" w:type="dxa"/>
            <w:tcBorders>
              <w:top w:val="single" w:sz="4" w:space="0" w:color="auto"/>
              <w:left w:val="single" w:sz="4" w:space="0" w:color="auto"/>
              <w:right w:val="single" w:sz="4" w:space="0" w:color="auto"/>
            </w:tcBorders>
            <w:vAlign w:val="center"/>
          </w:tcPr>
          <w:p w14:paraId="3DB79E17" w14:textId="77777777" w:rsidR="0007132E" w:rsidRPr="00C61670" w:rsidRDefault="0007132E" w:rsidP="00AA0FE0">
            <w:pPr>
              <w:pStyle w:val="Tabletext"/>
              <w:jc w:val="center"/>
              <w:rPr>
                <w:b/>
                <w:highlight w:val="yellow"/>
              </w:rPr>
            </w:pPr>
            <w:r w:rsidRPr="00C61670">
              <w:rPr>
                <w:b/>
              </w:rPr>
              <w:t xml:space="preserve">P value </w:t>
            </w:r>
            <w:r w:rsidRPr="00C61670">
              <w:rPr>
                <w:b/>
              </w:rPr>
              <w:br/>
            </w:r>
            <w:r w:rsidRPr="00C61670">
              <w:rPr>
                <w:b/>
                <w:vertAlign w:val="superscript"/>
              </w:rPr>
              <w:t>c, d</w:t>
            </w:r>
          </w:p>
        </w:tc>
      </w:tr>
      <w:tr w:rsidR="0007132E" w:rsidRPr="00C61670" w14:paraId="4DAA781B" w14:textId="77777777" w:rsidTr="00AA0FE0">
        <w:trPr>
          <w:trHeight w:val="501"/>
        </w:trPr>
        <w:tc>
          <w:tcPr>
            <w:tcW w:w="2405" w:type="dxa"/>
            <w:gridSpan w:val="2"/>
            <w:tcBorders>
              <w:top w:val="single" w:sz="4" w:space="0" w:color="auto"/>
              <w:left w:val="single" w:sz="4" w:space="0" w:color="auto"/>
              <w:right w:val="single" w:sz="4" w:space="0" w:color="auto"/>
            </w:tcBorders>
            <w:vAlign w:val="center"/>
          </w:tcPr>
          <w:p w14:paraId="400AF181" w14:textId="77777777" w:rsidR="0007132E" w:rsidRPr="00C61670" w:rsidRDefault="0007132E" w:rsidP="00AA0FE0">
            <w:pPr>
              <w:pStyle w:val="Tabletext"/>
            </w:pPr>
            <w:r w:rsidRPr="00C61670">
              <w:t>Baseline mean HINE-2</w:t>
            </w:r>
          </w:p>
        </w:tc>
        <w:tc>
          <w:tcPr>
            <w:tcW w:w="1322" w:type="dxa"/>
            <w:tcBorders>
              <w:top w:val="single" w:sz="4" w:space="0" w:color="auto"/>
              <w:left w:val="single" w:sz="4" w:space="0" w:color="auto"/>
              <w:right w:val="single" w:sz="4" w:space="0" w:color="auto"/>
            </w:tcBorders>
            <w:vAlign w:val="center"/>
          </w:tcPr>
          <w:p w14:paraId="7EDFAE23" w14:textId="77777777" w:rsidR="0007132E" w:rsidRPr="00C61670" w:rsidRDefault="0007132E" w:rsidP="00AA0FE0">
            <w:pPr>
              <w:pStyle w:val="Tabletext"/>
              <w:jc w:val="center"/>
            </w:pPr>
            <w:r w:rsidRPr="00C61670">
              <w:t>3.00 (1.41)</w:t>
            </w:r>
          </w:p>
        </w:tc>
        <w:tc>
          <w:tcPr>
            <w:tcW w:w="1322" w:type="dxa"/>
            <w:tcBorders>
              <w:top w:val="single" w:sz="4" w:space="0" w:color="auto"/>
              <w:left w:val="single" w:sz="4" w:space="0" w:color="auto"/>
              <w:right w:val="single" w:sz="4" w:space="0" w:color="auto"/>
            </w:tcBorders>
            <w:vAlign w:val="center"/>
          </w:tcPr>
          <w:p w14:paraId="66287178" w14:textId="77777777" w:rsidR="0007132E" w:rsidRPr="00C61670" w:rsidRDefault="0007132E" w:rsidP="00AA0FE0">
            <w:pPr>
              <w:pStyle w:val="Tabletext"/>
              <w:jc w:val="center"/>
            </w:pPr>
            <w:r w:rsidRPr="00C61670">
              <w:t>3.2 (1.87)</w:t>
            </w:r>
          </w:p>
        </w:tc>
        <w:tc>
          <w:tcPr>
            <w:tcW w:w="1183" w:type="dxa"/>
            <w:tcBorders>
              <w:top w:val="single" w:sz="4" w:space="0" w:color="auto"/>
              <w:left w:val="single" w:sz="4" w:space="0" w:color="auto"/>
              <w:right w:val="single" w:sz="4" w:space="0" w:color="auto"/>
            </w:tcBorders>
            <w:vAlign w:val="center"/>
          </w:tcPr>
          <w:p w14:paraId="3895F311" w14:textId="77777777" w:rsidR="0007132E" w:rsidRPr="00C61670" w:rsidRDefault="0007132E" w:rsidP="00AA0FE0">
            <w:pPr>
              <w:pStyle w:val="Tabletext"/>
              <w:jc w:val="center"/>
            </w:pPr>
            <w:r w:rsidRPr="00C61670">
              <w:t>-0.2</w:t>
            </w:r>
          </w:p>
        </w:tc>
        <w:tc>
          <w:tcPr>
            <w:tcW w:w="1843" w:type="dxa"/>
            <w:tcBorders>
              <w:top w:val="single" w:sz="4" w:space="0" w:color="auto"/>
              <w:left w:val="single" w:sz="4" w:space="0" w:color="auto"/>
              <w:right w:val="single" w:sz="4" w:space="0" w:color="auto"/>
            </w:tcBorders>
            <w:vAlign w:val="center"/>
          </w:tcPr>
          <w:p w14:paraId="6B9AB149" w14:textId="77777777" w:rsidR="0007132E" w:rsidRPr="00C61670" w:rsidRDefault="0007132E" w:rsidP="00AA0FE0">
            <w:pPr>
              <w:pStyle w:val="Tabletext"/>
              <w:jc w:val="center"/>
            </w:pPr>
            <w:r w:rsidRPr="00C61670">
              <w:t>0.78</w:t>
            </w:r>
          </w:p>
          <w:p w14:paraId="28901CC1" w14:textId="77777777" w:rsidR="0007132E" w:rsidRPr="00C61670" w:rsidRDefault="0007132E" w:rsidP="00AA0FE0">
            <w:pPr>
              <w:pStyle w:val="Tabletext"/>
              <w:jc w:val="center"/>
            </w:pPr>
            <w:r w:rsidRPr="00C61670">
              <w:t>(-11.48 – 13.04)</w:t>
            </w:r>
          </w:p>
        </w:tc>
        <w:tc>
          <w:tcPr>
            <w:tcW w:w="942" w:type="dxa"/>
            <w:tcBorders>
              <w:top w:val="single" w:sz="4" w:space="0" w:color="auto"/>
              <w:left w:val="single" w:sz="4" w:space="0" w:color="auto"/>
              <w:right w:val="single" w:sz="4" w:space="0" w:color="auto"/>
            </w:tcBorders>
            <w:vAlign w:val="center"/>
          </w:tcPr>
          <w:p w14:paraId="3BABECDC" w14:textId="77777777" w:rsidR="0007132E" w:rsidRPr="00C61670" w:rsidRDefault="0007132E" w:rsidP="00AA0FE0">
            <w:pPr>
              <w:pStyle w:val="Tabletext"/>
              <w:jc w:val="center"/>
              <w:rPr>
                <w:highlight w:val="yellow"/>
              </w:rPr>
            </w:pPr>
            <w:r w:rsidRPr="00C61670">
              <w:t>0.87</w:t>
            </w:r>
          </w:p>
        </w:tc>
      </w:tr>
      <w:tr w:rsidR="0007132E" w:rsidRPr="00C61670" w14:paraId="38135F5E" w14:textId="77777777" w:rsidTr="00AA0FE0">
        <w:trPr>
          <w:trHeight w:val="259"/>
        </w:trPr>
        <w:tc>
          <w:tcPr>
            <w:tcW w:w="1271" w:type="dxa"/>
            <w:vMerge w:val="restart"/>
            <w:tcBorders>
              <w:top w:val="single" w:sz="4" w:space="0" w:color="auto"/>
              <w:left w:val="single" w:sz="4" w:space="0" w:color="auto"/>
              <w:right w:val="single" w:sz="4" w:space="0" w:color="auto"/>
            </w:tcBorders>
            <w:vAlign w:val="center"/>
          </w:tcPr>
          <w:p w14:paraId="1FCE88E4" w14:textId="77777777" w:rsidR="0007132E" w:rsidRPr="00C61670" w:rsidRDefault="0007132E" w:rsidP="00AA0FE0">
            <w:pPr>
              <w:pStyle w:val="Tabletext"/>
            </w:pPr>
            <w:r w:rsidRPr="00C61670">
              <w:t>Mean change in HINE-2 from baseline (SD)</w:t>
            </w:r>
          </w:p>
        </w:tc>
        <w:tc>
          <w:tcPr>
            <w:tcW w:w="1134" w:type="dxa"/>
            <w:tcBorders>
              <w:top w:val="single" w:sz="4" w:space="0" w:color="auto"/>
              <w:left w:val="single" w:sz="4" w:space="0" w:color="auto"/>
              <w:bottom w:val="single" w:sz="4" w:space="0" w:color="auto"/>
              <w:right w:val="single" w:sz="4" w:space="0" w:color="auto"/>
            </w:tcBorders>
            <w:vAlign w:val="center"/>
          </w:tcPr>
          <w:p w14:paraId="51664794" w14:textId="77777777" w:rsidR="0007132E" w:rsidRPr="00C61670" w:rsidRDefault="0007132E" w:rsidP="00AA0FE0">
            <w:pPr>
              <w:pStyle w:val="Tabletext"/>
            </w:pPr>
            <w:r w:rsidRPr="00C61670">
              <w:t>Week 8 / 64 days</w:t>
            </w:r>
            <w:r w:rsidRPr="00C61670">
              <w:rPr>
                <w:vertAlign w:val="superscript"/>
              </w:rPr>
              <w:t xml:space="preserve"> a</w:t>
            </w:r>
          </w:p>
        </w:tc>
        <w:tc>
          <w:tcPr>
            <w:tcW w:w="1322" w:type="dxa"/>
            <w:tcBorders>
              <w:top w:val="single" w:sz="4" w:space="0" w:color="auto"/>
              <w:left w:val="single" w:sz="4" w:space="0" w:color="auto"/>
              <w:bottom w:val="single" w:sz="4" w:space="0" w:color="auto"/>
              <w:right w:val="single" w:sz="4" w:space="0" w:color="auto"/>
            </w:tcBorders>
            <w:vAlign w:val="center"/>
          </w:tcPr>
          <w:p w14:paraId="5BD4CDCF" w14:textId="77777777" w:rsidR="0007132E" w:rsidRPr="00C61670" w:rsidRDefault="0007132E" w:rsidP="00AA0FE0">
            <w:pPr>
              <w:pStyle w:val="Tabletext"/>
              <w:jc w:val="center"/>
            </w:pPr>
            <w:r w:rsidRPr="00C61670">
              <w:t>2.46 (1.90)</w:t>
            </w:r>
          </w:p>
        </w:tc>
        <w:tc>
          <w:tcPr>
            <w:tcW w:w="1322" w:type="dxa"/>
            <w:tcBorders>
              <w:top w:val="single" w:sz="4" w:space="0" w:color="auto"/>
              <w:left w:val="single" w:sz="4" w:space="0" w:color="auto"/>
              <w:bottom w:val="single" w:sz="4" w:space="0" w:color="auto"/>
              <w:right w:val="single" w:sz="4" w:space="0" w:color="auto"/>
            </w:tcBorders>
            <w:vAlign w:val="center"/>
          </w:tcPr>
          <w:p w14:paraId="0DE85E43" w14:textId="77777777" w:rsidR="0007132E" w:rsidRPr="00C61670" w:rsidRDefault="0007132E" w:rsidP="00AA0FE0">
            <w:pPr>
              <w:pStyle w:val="Tabletext"/>
              <w:jc w:val="center"/>
            </w:pPr>
            <w:r w:rsidRPr="00C61670">
              <w:t>2.2 (2.66)</w:t>
            </w:r>
          </w:p>
        </w:tc>
        <w:tc>
          <w:tcPr>
            <w:tcW w:w="1183" w:type="dxa"/>
            <w:tcBorders>
              <w:top w:val="single" w:sz="4" w:space="0" w:color="auto"/>
              <w:left w:val="single" w:sz="4" w:space="0" w:color="auto"/>
              <w:bottom w:val="single" w:sz="4" w:space="0" w:color="auto"/>
              <w:right w:val="single" w:sz="4" w:space="0" w:color="auto"/>
            </w:tcBorders>
            <w:vAlign w:val="center"/>
          </w:tcPr>
          <w:p w14:paraId="2674DE93" w14:textId="77777777" w:rsidR="0007132E" w:rsidRPr="00C61670" w:rsidRDefault="0007132E" w:rsidP="00AA0FE0">
            <w:pPr>
              <w:pStyle w:val="Tabletext"/>
              <w:jc w:val="center"/>
            </w:pPr>
            <w:r w:rsidRPr="00C61670">
              <w:t>0.26</w:t>
            </w:r>
          </w:p>
        </w:tc>
        <w:tc>
          <w:tcPr>
            <w:tcW w:w="1843" w:type="dxa"/>
            <w:tcBorders>
              <w:top w:val="single" w:sz="4" w:space="0" w:color="auto"/>
              <w:left w:val="single" w:sz="4" w:space="0" w:color="auto"/>
              <w:bottom w:val="single" w:sz="4" w:space="0" w:color="auto"/>
              <w:right w:val="single" w:sz="4" w:space="0" w:color="auto"/>
            </w:tcBorders>
            <w:vAlign w:val="center"/>
          </w:tcPr>
          <w:p w14:paraId="6C8B63A6" w14:textId="77777777" w:rsidR="0007132E" w:rsidRPr="00C61670" w:rsidRDefault="0007132E" w:rsidP="00AA0FE0">
            <w:pPr>
              <w:pStyle w:val="Tabletext"/>
              <w:jc w:val="center"/>
            </w:pPr>
            <w:r w:rsidRPr="00C61670">
              <w:t>0.83</w:t>
            </w:r>
          </w:p>
          <w:p w14:paraId="3A7AC4A0" w14:textId="77777777" w:rsidR="0007132E" w:rsidRPr="00C61670" w:rsidRDefault="0007132E" w:rsidP="00AA0FE0">
            <w:pPr>
              <w:pStyle w:val="Tabletext"/>
              <w:jc w:val="center"/>
            </w:pPr>
            <w:r w:rsidRPr="00C61670">
              <w:t>(-11.40 – 13.07)</w:t>
            </w:r>
          </w:p>
        </w:tc>
        <w:tc>
          <w:tcPr>
            <w:tcW w:w="942" w:type="dxa"/>
            <w:tcBorders>
              <w:top w:val="single" w:sz="4" w:space="0" w:color="auto"/>
              <w:left w:val="single" w:sz="4" w:space="0" w:color="auto"/>
              <w:bottom w:val="single" w:sz="4" w:space="0" w:color="auto"/>
              <w:right w:val="single" w:sz="4" w:space="0" w:color="auto"/>
            </w:tcBorders>
            <w:vAlign w:val="center"/>
          </w:tcPr>
          <w:p w14:paraId="12D60891" w14:textId="77777777" w:rsidR="0007132E" w:rsidRPr="00C61670" w:rsidRDefault="0007132E" w:rsidP="00AA0FE0">
            <w:pPr>
              <w:pStyle w:val="Tabletext"/>
              <w:jc w:val="center"/>
            </w:pPr>
            <w:r w:rsidRPr="00C61670">
              <w:t>0.86</w:t>
            </w:r>
          </w:p>
        </w:tc>
      </w:tr>
      <w:tr w:rsidR="0007132E" w:rsidRPr="00C61670" w14:paraId="52807AEE" w14:textId="77777777" w:rsidTr="00AA0FE0">
        <w:trPr>
          <w:trHeight w:val="259"/>
        </w:trPr>
        <w:tc>
          <w:tcPr>
            <w:tcW w:w="1271" w:type="dxa"/>
            <w:vMerge/>
            <w:tcBorders>
              <w:left w:val="single" w:sz="4" w:space="0" w:color="auto"/>
              <w:right w:val="single" w:sz="4" w:space="0" w:color="auto"/>
            </w:tcBorders>
            <w:vAlign w:val="center"/>
          </w:tcPr>
          <w:p w14:paraId="5A3E77EE" w14:textId="77777777" w:rsidR="0007132E" w:rsidRPr="00C61670" w:rsidRDefault="0007132E" w:rsidP="00AA0FE0">
            <w:pPr>
              <w:pStyle w:val="Tabletext"/>
            </w:pPr>
          </w:p>
        </w:tc>
        <w:tc>
          <w:tcPr>
            <w:tcW w:w="1134" w:type="dxa"/>
            <w:tcBorders>
              <w:top w:val="single" w:sz="4" w:space="0" w:color="auto"/>
              <w:left w:val="single" w:sz="4" w:space="0" w:color="auto"/>
              <w:bottom w:val="single" w:sz="4" w:space="0" w:color="auto"/>
              <w:right w:val="single" w:sz="4" w:space="0" w:color="auto"/>
            </w:tcBorders>
            <w:vAlign w:val="center"/>
          </w:tcPr>
          <w:p w14:paraId="298BDD0C" w14:textId="77777777" w:rsidR="0007132E" w:rsidRPr="00C61670" w:rsidRDefault="0007132E" w:rsidP="00AA0FE0">
            <w:pPr>
              <w:pStyle w:val="Tabletext"/>
            </w:pPr>
            <w:r w:rsidRPr="00C61670">
              <w:t>Week 28 / 183 days</w:t>
            </w:r>
            <w:r w:rsidRPr="00C61670">
              <w:rPr>
                <w:vertAlign w:val="superscript"/>
              </w:rPr>
              <w:t xml:space="preserve"> a</w:t>
            </w:r>
          </w:p>
        </w:tc>
        <w:tc>
          <w:tcPr>
            <w:tcW w:w="1322" w:type="dxa"/>
            <w:tcBorders>
              <w:top w:val="single" w:sz="4" w:space="0" w:color="auto"/>
              <w:left w:val="single" w:sz="4" w:space="0" w:color="auto"/>
              <w:bottom w:val="single" w:sz="4" w:space="0" w:color="auto"/>
              <w:right w:val="single" w:sz="4" w:space="0" w:color="auto"/>
            </w:tcBorders>
            <w:vAlign w:val="center"/>
          </w:tcPr>
          <w:p w14:paraId="75ABEB4D" w14:textId="77777777" w:rsidR="0007132E" w:rsidRPr="00C61670" w:rsidRDefault="0007132E" w:rsidP="00AA0FE0">
            <w:pPr>
              <w:pStyle w:val="Tabletext"/>
              <w:jc w:val="center"/>
            </w:pPr>
            <w:r w:rsidRPr="00C61670">
              <w:t>13.83 (3.56)</w:t>
            </w:r>
            <w:r w:rsidRPr="00C61670">
              <w:rPr>
                <w:vertAlign w:val="superscript"/>
              </w:rPr>
              <w:t xml:space="preserve"> b</w:t>
            </w:r>
          </w:p>
        </w:tc>
        <w:tc>
          <w:tcPr>
            <w:tcW w:w="1322" w:type="dxa"/>
            <w:tcBorders>
              <w:top w:val="single" w:sz="4" w:space="0" w:color="auto"/>
              <w:left w:val="single" w:sz="4" w:space="0" w:color="auto"/>
              <w:bottom w:val="single" w:sz="4" w:space="0" w:color="auto"/>
              <w:right w:val="single" w:sz="4" w:space="0" w:color="auto"/>
            </w:tcBorders>
            <w:vAlign w:val="center"/>
          </w:tcPr>
          <w:p w14:paraId="5F6ECFEC" w14:textId="77777777" w:rsidR="0007132E" w:rsidRPr="00C61670" w:rsidRDefault="0007132E" w:rsidP="00AA0FE0">
            <w:pPr>
              <w:pStyle w:val="Tabletext"/>
              <w:jc w:val="center"/>
            </w:pPr>
            <w:r w:rsidRPr="00C61670">
              <w:t>13.4 (3.10)</w:t>
            </w:r>
          </w:p>
        </w:tc>
        <w:tc>
          <w:tcPr>
            <w:tcW w:w="1183" w:type="dxa"/>
            <w:tcBorders>
              <w:top w:val="single" w:sz="4" w:space="0" w:color="auto"/>
              <w:left w:val="single" w:sz="4" w:space="0" w:color="auto"/>
              <w:bottom w:val="single" w:sz="4" w:space="0" w:color="auto"/>
              <w:right w:val="single" w:sz="4" w:space="0" w:color="auto"/>
            </w:tcBorders>
            <w:vAlign w:val="center"/>
          </w:tcPr>
          <w:p w14:paraId="392B80C1" w14:textId="77777777" w:rsidR="0007132E" w:rsidRPr="00C61670" w:rsidRDefault="0007132E" w:rsidP="00AA0FE0">
            <w:pPr>
              <w:pStyle w:val="Tabletext"/>
              <w:jc w:val="center"/>
            </w:pPr>
            <w:r w:rsidRPr="00C61670">
              <w:t>0.43</w:t>
            </w:r>
          </w:p>
        </w:tc>
        <w:tc>
          <w:tcPr>
            <w:tcW w:w="1843" w:type="dxa"/>
            <w:tcBorders>
              <w:top w:val="single" w:sz="4" w:space="0" w:color="auto"/>
              <w:left w:val="single" w:sz="4" w:space="0" w:color="auto"/>
              <w:bottom w:val="single" w:sz="4" w:space="0" w:color="auto"/>
              <w:right w:val="single" w:sz="4" w:space="0" w:color="auto"/>
            </w:tcBorders>
            <w:vAlign w:val="center"/>
          </w:tcPr>
          <w:p w14:paraId="54F734CB" w14:textId="77777777" w:rsidR="0007132E" w:rsidRPr="00C61670" w:rsidRDefault="0007132E" w:rsidP="00AA0FE0">
            <w:pPr>
              <w:pStyle w:val="Tabletext"/>
              <w:jc w:val="center"/>
            </w:pPr>
            <w:r w:rsidRPr="00C61670">
              <w:t>0.97</w:t>
            </w:r>
          </w:p>
          <w:p w14:paraId="2AB130EE" w14:textId="77777777" w:rsidR="0007132E" w:rsidRPr="00C61670" w:rsidRDefault="0007132E" w:rsidP="00AA0FE0">
            <w:pPr>
              <w:pStyle w:val="Tabletext"/>
              <w:jc w:val="center"/>
            </w:pPr>
            <w:r w:rsidRPr="00C61670">
              <w:t>(-11.19 – 13.13)</w:t>
            </w:r>
          </w:p>
        </w:tc>
        <w:tc>
          <w:tcPr>
            <w:tcW w:w="942" w:type="dxa"/>
            <w:tcBorders>
              <w:top w:val="single" w:sz="4" w:space="0" w:color="auto"/>
              <w:left w:val="single" w:sz="4" w:space="0" w:color="auto"/>
              <w:bottom w:val="single" w:sz="4" w:space="0" w:color="auto"/>
              <w:right w:val="single" w:sz="4" w:space="0" w:color="auto"/>
            </w:tcBorders>
            <w:vAlign w:val="center"/>
          </w:tcPr>
          <w:p w14:paraId="6AAEE47D" w14:textId="77777777" w:rsidR="0007132E" w:rsidRPr="00C61670" w:rsidRDefault="0007132E" w:rsidP="00AA0FE0">
            <w:pPr>
              <w:pStyle w:val="Tabletext"/>
              <w:jc w:val="center"/>
            </w:pPr>
            <w:r w:rsidRPr="00C61670">
              <w:t>0.84</w:t>
            </w:r>
          </w:p>
        </w:tc>
      </w:tr>
      <w:tr w:rsidR="0007132E" w:rsidRPr="00C61670" w14:paraId="79B0391F" w14:textId="77777777" w:rsidTr="00AA0FE0">
        <w:trPr>
          <w:trHeight w:val="259"/>
        </w:trPr>
        <w:tc>
          <w:tcPr>
            <w:tcW w:w="1271" w:type="dxa"/>
            <w:tcBorders>
              <w:left w:val="single" w:sz="4" w:space="0" w:color="auto"/>
              <w:right w:val="single" w:sz="4" w:space="0" w:color="auto"/>
            </w:tcBorders>
            <w:vAlign w:val="center"/>
          </w:tcPr>
          <w:p w14:paraId="25F8EF67" w14:textId="77777777" w:rsidR="0007132E" w:rsidRPr="00C61670" w:rsidRDefault="0007132E" w:rsidP="00AA0FE0">
            <w:pPr>
              <w:pStyle w:val="Tabletext"/>
            </w:pPr>
          </w:p>
        </w:tc>
        <w:tc>
          <w:tcPr>
            <w:tcW w:w="1134" w:type="dxa"/>
            <w:tcBorders>
              <w:top w:val="single" w:sz="4" w:space="0" w:color="auto"/>
              <w:left w:val="single" w:sz="4" w:space="0" w:color="auto"/>
              <w:bottom w:val="single" w:sz="4" w:space="0" w:color="auto"/>
              <w:right w:val="single" w:sz="4" w:space="0" w:color="auto"/>
            </w:tcBorders>
            <w:vAlign w:val="center"/>
          </w:tcPr>
          <w:p w14:paraId="5A050E52" w14:textId="77777777" w:rsidR="0007132E" w:rsidRPr="00C61670" w:rsidRDefault="0007132E" w:rsidP="00AA0FE0">
            <w:pPr>
              <w:pStyle w:val="Tabletext"/>
            </w:pPr>
            <w:r w:rsidRPr="00C61670">
              <w:t xml:space="preserve">Week 40 / 302 days </w:t>
            </w:r>
            <w:r w:rsidRPr="00C61670">
              <w:rPr>
                <w:vertAlign w:val="superscript"/>
              </w:rPr>
              <w:t>a</w:t>
            </w:r>
          </w:p>
        </w:tc>
        <w:tc>
          <w:tcPr>
            <w:tcW w:w="1322" w:type="dxa"/>
            <w:tcBorders>
              <w:top w:val="single" w:sz="4" w:space="0" w:color="auto"/>
              <w:left w:val="single" w:sz="4" w:space="0" w:color="auto"/>
              <w:bottom w:val="single" w:sz="4" w:space="0" w:color="auto"/>
              <w:right w:val="single" w:sz="4" w:space="0" w:color="auto"/>
            </w:tcBorders>
            <w:vAlign w:val="center"/>
          </w:tcPr>
          <w:p w14:paraId="0F0339B5" w14:textId="77777777" w:rsidR="0007132E" w:rsidRPr="00C61670" w:rsidRDefault="0007132E" w:rsidP="00AA0FE0">
            <w:pPr>
              <w:pStyle w:val="Tabletext"/>
              <w:jc w:val="center"/>
            </w:pPr>
            <w:r w:rsidRPr="00C61670">
              <w:t>19.17</w:t>
            </w:r>
            <w:r w:rsidRPr="00C61670">
              <w:rPr>
                <w:vertAlign w:val="superscript"/>
              </w:rPr>
              <w:t xml:space="preserve"> </w:t>
            </w:r>
            <w:r w:rsidRPr="00C61670">
              <w:t>(2.08)</w:t>
            </w:r>
            <w:r w:rsidRPr="00C61670">
              <w:rPr>
                <w:vertAlign w:val="superscript"/>
              </w:rPr>
              <w:t xml:space="preserve"> b</w:t>
            </w:r>
          </w:p>
        </w:tc>
        <w:tc>
          <w:tcPr>
            <w:tcW w:w="1322" w:type="dxa"/>
            <w:tcBorders>
              <w:top w:val="single" w:sz="4" w:space="0" w:color="auto"/>
              <w:left w:val="single" w:sz="4" w:space="0" w:color="auto"/>
              <w:bottom w:val="single" w:sz="4" w:space="0" w:color="auto"/>
              <w:right w:val="single" w:sz="4" w:space="0" w:color="auto"/>
            </w:tcBorders>
            <w:vAlign w:val="center"/>
          </w:tcPr>
          <w:p w14:paraId="09C98709" w14:textId="77777777" w:rsidR="0007132E" w:rsidRPr="00C61670" w:rsidRDefault="0007132E" w:rsidP="00AA0FE0">
            <w:pPr>
              <w:pStyle w:val="Tabletext"/>
              <w:jc w:val="center"/>
            </w:pPr>
            <w:r w:rsidRPr="00C61670">
              <w:t>19.5 (1.96)</w:t>
            </w:r>
          </w:p>
        </w:tc>
        <w:tc>
          <w:tcPr>
            <w:tcW w:w="1183" w:type="dxa"/>
            <w:tcBorders>
              <w:top w:val="single" w:sz="4" w:space="0" w:color="auto"/>
              <w:left w:val="single" w:sz="4" w:space="0" w:color="auto"/>
              <w:bottom w:val="single" w:sz="4" w:space="0" w:color="auto"/>
              <w:right w:val="single" w:sz="4" w:space="0" w:color="auto"/>
            </w:tcBorders>
            <w:vAlign w:val="center"/>
          </w:tcPr>
          <w:p w14:paraId="134E132D" w14:textId="77777777" w:rsidR="0007132E" w:rsidRPr="00C61670" w:rsidRDefault="0007132E" w:rsidP="00AA0FE0">
            <w:pPr>
              <w:pStyle w:val="Tabletext"/>
              <w:jc w:val="center"/>
            </w:pPr>
            <w:r w:rsidRPr="00C61670">
              <w:t>-0.33</w:t>
            </w:r>
          </w:p>
        </w:tc>
        <w:tc>
          <w:tcPr>
            <w:tcW w:w="1843" w:type="dxa"/>
            <w:tcBorders>
              <w:top w:val="single" w:sz="4" w:space="0" w:color="auto"/>
              <w:left w:val="single" w:sz="4" w:space="0" w:color="auto"/>
              <w:bottom w:val="single" w:sz="4" w:space="0" w:color="auto"/>
              <w:right w:val="single" w:sz="4" w:space="0" w:color="auto"/>
            </w:tcBorders>
            <w:vAlign w:val="center"/>
          </w:tcPr>
          <w:p w14:paraId="354273F3" w14:textId="77777777" w:rsidR="0007132E" w:rsidRPr="00C61670" w:rsidRDefault="0007132E" w:rsidP="00AA0FE0">
            <w:pPr>
              <w:pStyle w:val="Tabletext"/>
              <w:jc w:val="center"/>
            </w:pPr>
            <w:r w:rsidRPr="00C61670">
              <w:t>0.60</w:t>
            </w:r>
          </w:p>
          <w:p w14:paraId="5166F982" w14:textId="77777777" w:rsidR="0007132E" w:rsidRPr="00C61670" w:rsidRDefault="0007132E" w:rsidP="00AA0FE0">
            <w:pPr>
              <w:pStyle w:val="Tabletext"/>
              <w:jc w:val="center"/>
            </w:pPr>
            <w:r w:rsidRPr="00C61670">
              <w:t>(-19.08– 20.27)</w:t>
            </w:r>
          </w:p>
        </w:tc>
        <w:tc>
          <w:tcPr>
            <w:tcW w:w="942" w:type="dxa"/>
            <w:tcBorders>
              <w:top w:val="single" w:sz="4" w:space="0" w:color="auto"/>
              <w:left w:val="single" w:sz="4" w:space="0" w:color="auto"/>
              <w:bottom w:val="single" w:sz="4" w:space="0" w:color="auto"/>
              <w:right w:val="single" w:sz="4" w:space="0" w:color="auto"/>
            </w:tcBorders>
            <w:vAlign w:val="center"/>
          </w:tcPr>
          <w:p w14:paraId="767ECDF5" w14:textId="77777777" w:rsidR="0007132E" w:rsidRPr="00C61670" w:rsidRDefault="0007132E" w:rsidP="00AA0FE0">
            <w:pPr>
              <w:pStyle w:val="Tabletext"/>
              <w:jc w:val="center"/>
            </w:pPr>
            <w:r w:rsidRPr="00C61670">
              <w:t>0.94</w:t>
            </w:r>
          </w:p>
        </w:tc>
      </w:tr>
      <w:tr w:rsidR="0007132E" w:rsidRPr="00C61670" w14:paraId="6F649ABD" w14:textId="77777777" w:rsidTr="00AA0FE0">
        <w:trPr>
          <w:trHeight w:val="259"/>
        </w:trPr>
        <w:tc>
          <w:tcPr>
            <w:tcW w:w="1271" w:type="dxa"/>
            <w:tcBorders>
              <w:left w:val="single" w:sz="4" w:space="0" w:color="auto"/>
              <w:bottom w:val="single" w:sz="4" w:space="0" w:color="auto"/>
              <w:right w:val="single" w:sz="4" w:space="0" w:color="auto"/>
            </w:tcBorders>
            <w:vAlign w:val="center"/>
          </w:tcPr>
          <w:p w14:paraId="788C43AF" w14:textId="77777777" w:rsidR="0007132E" w:rsidRPr="00C61670" w:rsidRDefault="0007132E" w:rsidP="00AA0FE0">
            <w:pPr>
              <w:pStyle w:val="Tabletext"/>
            </w:pPr>
          </w:p>
        </w:tc>
        <w:tc>
          <w:tcPr>
            <w:tcW w:w="1134" w:type="dxa"/>
            <w:tcBorders>
              <w:top w:val="single" w:sz="4" w:space="0" w:color="auto"/>
              <w:left w:val="single" w:sz="4" w:space="0" w:color="auto"/>
              <w:bottom w:val="single" w:sz="4" w:space="0" w:color="auto"/>
              <w:right w:val="single" w:sz="4" w:space="0" w:color="auto"/>
            </w:tcBorders>
            <w:vAlign w:val="center"/>
          </w:tcPr>
          <w:p w14:paraId="380D804B" w14:textId="77777777" w:rsidR="0007132E" w:rsidRPr="00C61670" w:rsidRDefault="0007132E" w:rsidP="00AA0FE0">
            <w:pPr>
              <w:pStyle w:val="Tabletext"/>
            </w:pPr>
            <w:r w:rsidRPr="00C61670">
              <w:t xml:space="preserve">Week 52 / 365 days </w:t>
            </w:r>
            <w:r w:rsidRPr="00C61670">
              <w:rPr>
                <w:vertAlign w:val="superscript"/>
              </w:rPr>
              <w:t>a</w:t>
            </w:r>
          </w:p>
        </w:tc>
        <w:tc>
          <w:tcPr>
            <w:tcW w:w="1322" w:type="dxa"/>
            <w:tcBorders>
              <w:top w:val="single" w:sz="4" w:space="0" w:color="auto"/>
              <w:left w:val="single" w:sz="4" w:space="0" w:color="auto"/>
              <w:bottom w:val="single" w:sz="4" w:space="0" w:color="auto"/>
              <w:right w:val="single" w:sz="4" w:space="0" w:color="auto"/>
            </w:tcBorders>
            <w:vAlign w:val="center"/>
          </w:tcPr>
          <w:p w14:paraId="78FF907D" w14:textId="77777777" w:rsidR="0007132E" w:rsidRPr="00C61670" w:rsidRDefault="0007132E" w:rsidP="00AA0FE0">
            <w:pPr>
              <w:pStyle w:val="Tabletext"/>
              <w:jc w:val="center"/>
            </w:pPr>
            <w:r w:rsidRPr="00C61670">
              <w:t>21.92 (2.10)</w:t>
            </w:r>
          </w:p>
        </w:tc>
        <w:tc>
          <w:tcPr>
            <w:tcW w:w="1322" w:type="dxa"/>
            <w:tcBorders>
              <w:top w:val="single" w:sz="4" w:space="0" w:color="auto"/>
              <w:left w:val="single" w:sz="4" w:space="0" w:color="auto"/>
              <w:bottom w:val="single" w:sz="4" w:space="0" w:color="auto"/>
              <w:right w:val="single" w:sz="4" w:space="0" w:color="auto"/>
            </w:tcBorders>
            <w:vAlign w:val="center"/>
          </w:tcPr>
          <w:p w14:paraId="7F57040B" w14:textId="77777777" w:rsidR="0007132E" w:rsidRPr="00C61670" w:rsidRDefault="0007132E" w:rsidP="00AA0FE0">
            <w:pPr>
              <w:pStyle w:val="Tabletext"/>
              <w:jc w:val="center"/>
            </w:pPr>
            <w:r w:rsidRPr="00C61670">
              <w:t>21.2 (2.15)</w:t>
            </w:r>
          </w:p>
        </w:tc>
        <w:tc>
          <w:tcPr>
            <w:tcW w:w="1183" w:type="dxa"/>
            <w:tcBorders>
              <w:top w:val="single" w:sz="4" w:space="0" w:color="auto"/>
              <w:left w:val="single" w:sz="4" w:space="0" w:color="auto"/>
              <w:bottom w:val="single" w:sz="4" w:space="0" w:color="auto"/>
              <w:right w:val="single" w:sz="4" w:space="0" w:color="auto"/>
            </w:tcBorders>
            <w:vAlign w:val="center"/>
          </w:tcPr>
          <w:p w14:paraId="484304EB" w14:textId="77777777" w:rsidR="0007132E" w:rsidRPr="00C61670" w:rsidRDefault="0007132E" w:rsidP="00AA0FE0">
            <w:pPr>
              <w:pStyle w:val="Tabletext"/>
              <w:jc w:val="center"/>
            </w:pPr>
            <w:r w:rsidRPr="00C61670">
              <w:t>0.72</w:t>
            </w:r>
          </w:p>
        </w:tc>
        <w:tc>
          <w:tcPr>
            <w:tcW w:w="1843" w:type="dxa"/>
            <w:tcBorders>
              <w:top w:val="single" w:sz="4" w:space="0" w:color="auto"/>
              <w:left w:val="single" w:sz="4" w:space="0" w:color="auto"/>
              <w:bottom w:val="single" w:sz="4" w:space="0" w:color="auto"/>
              <w:right w:val="single" w:sz="4" w:space="0" w:color="auto"/>
            </w:tcBorders>
            <w:vAlign w:val="center"/>
          </w:tcPr>
          <w:p w14:paraId="4E208D01" w14:textId="77777777" w:rsidR="0007132E" w:rsidRPr="00C61670" w:rsidRDefault="0007132E" w:rsidP="00AA0FE0">
            <w:pPr>
              <w:pStyle w:val="Tabletext"/>
              <w:jc w:val="center"/>
            </w:pPr>
            <w:r w:rsidRPr="00C61670">
              <w:t>1.22</w:t>
            </w:r>
          </w:p>
          <w:p w14:paraId="51CE2CD7" w14:textId="77777777" w:rsidR="0007132E" w:rsidRPr="00C61670" w:rsidRDefault="0007132E" w:rsidP="00AA0FE0">
            <w:pPr>
              <w:pStyle w:val="Tabletext"/>
              <w:jc w:val="center"/>
            </w:pPr>
            <w:r w:rsidRPr="00C61670">
              <w:t>(-20.88 – 23.33)</w:t>
            </w:r>
          </w:p>
        </w:tc>
        <w:tc>
          <w:tcPr>
            <w:tcW w:w="942" w:type="dxa"/>
            <w:tcBorders>
              <w:top w:val="single" w:sz="4" w:space="0" w:color="auto"/>
              <w:left w:val="single" w:sz="4" w:space="0" w:color="auto"/>
              <w:bottom w:val="single" w:sz="4" w:space="0" w:color="auto"/>
              <w:right w:val="single" w:sz="4" w:space="0" w:color="auto"/>
            </w:tcBorders>
            <w:vAlign w:val="center"/>
          </w:tcPr>
          <w:p w14:paraId="6D9B06E6" w14:textId="77777777" w:rsidR="0007132E" w:rsidRPr="00C61670" w:rsidRDefault="0007132E" w:rsidP="00AA0FE0">
            <w:pPr>
              <w:pStyle w:val="Tabletext"/>
              <w:jc w:val="center"/>
            </w:pPr>
            <w:r w:rsidRPr="00C61670">
              <w:t>0.89</w:t>
            </w:r>
          </w:p>
        </w:tc>
      </w:tr>
    </w:tbl>
    <w:p w14:paraId="0191482A" w14:textId="77777777" w:rsidR="0007132E" w:rsidRPr="00C61670" w:rsidRDefault="0007132E" w:rsidP="0007132E">
      <w:pPr>
        <w:pStyle w:val="TableFooter"/>
        <w:rPr>
          <w:i/>
          <w:iCs/>
        </w:rPr>
      </w:pPr>
      <w:r w:rsidRPr="00C61670">
        <w:t>HINE-2 = Hammersmith Infant Neurological Examination Module 2; SD = standard deviation; SMN = survival of motor neuron</w:t>
      </w:r>
    </w:p>
    <w:p w14:paraId="3D8A1E58" w14:textId="77777777" w:rsidR="0007132E" w:rsidRPr="00C61670" w:rsidRDefault="0007132E" w:rsidP="0007132E">
      <w:pPr>
        <w:pStyle w:val="TableFooter"/>
      </w:pPr>
      <w:r w:rsidRPr="00C61670">
        <w:rPr>
          <w:vertAlign w:val="superscript"/>
        </w:rPr>
        <w:t>a</w:t>
      </w:r>
      <w:r w:rsidRPr="00C61670">
        <w:t xml:space="preserve"> The RAINBOWFISH assessment schedule differs to NURTURE. The RAINBOWFISH assessment schedules are in weeks and NURTURE days.</w:t>
      </w:r>
    </w:p>
    <w:p w14:paraId="76BADA74" w14:textId="77777777" w:rsidR="0007132E" w:rsidRPr="00C61670" w:rsidRDefault="0007132E" w:rsidP="0007132E">
      <w:pPr>
        <w:pStyle w:val="TableFooter"/>
      </w:pPr>
      <w:r w:rsidRPr="00C61670">
        <w:rPr>
          <w:vertAlign w:val="superscript"/>
        </w:rPr>
        <w:t>b</w:t>
      </w:r>
      <w:r w:rsidRPr="00C61670">
        <w:t xml:space="preserve"> n=12</w:t>
      </w:r>
    </w:p>
    <w:p w14:paraId="795B7A31" w14:textId="2E2E70E6" w:rsidR="0007132E" w:rsidRPr="0081032F" w:rsidRDefault="0007132E" w:rsidP="0007132E">
      <w:pPr>
        <w:pStyle w:val="TableFooter"/>
        <w:rPr>
          <w:rFonts w:eastAsia="SimSun" w:cs="Times New Roman"/>
          <w:iCs/>
          <w:lang w:eastAsia="en-US"/>
        </w:rPr>
      </w:pPr>
      <w:r w:rsidRPr="00C61670">
        <w:rPr>
          <w:vertAlign w:val="superscript"/>
        </w:rPr>
        <w:t>c</w:t>
      </w:r>
      <w:r w:rsidRPr="00C61670">
        <w:t xml:space="preserve"> </w:t>
      </w:r>
      <w:r w:rsidR="00384842">
        <w:t>T</w:t>
      </w:r>
      <w:r w:rsidR="00932408" w:rsidRPr="0081032F">
        <w:rPr>
          <w:rFonts w:eastAsia="SimSun" w:cs="Times New Roman"/>
          <w:iCs/>
          <w:lang w:eastAsia="en-US"/>
        </w:rPr>
        <w:t xml:space="preserve">his data </w:t>
      </w:r>
      <w:r w:rsidRPr="0081032F">
        <w:rPr>
          <w:rFonts w:eastAsia="SimSun" w:cs="Times New Roman"/>
          <w:iCs/>
          <w:lang w:eastAsia="en-US"/>
        </w:rPr>
        <w:t>could not be independently verified</w:t>
      </w:r>
      <w:r w:rsidR="00384842">
        <w:rPr>
          <w:rFonts w:eastAsia="SimSun" w:cs="Times New Roman"/>
          <w:iCs/>
          <w:lang w:eastAsia="en-US"/>
        </w:rPr>
        <w:t xml:space="preserve"> during the evaluation</w:t>
      </w:r>
      <w:r w:rsidR="00D6628E">
        <w:rPr>
          <w:rFonts w:eastAsia="SimSun" w:cs="Times New Roman"/>
          <w:iCs/>
          <w:lang w:eastAsia="en-US"/>
        </w:rPr>
        <w:t xml:space="preserve"> and the source of these values was unclear</w:t>
      </w:r>
      <w:r w:rsidRPr="0081032F">
        <w:rPr>
          <w:rFonts w:eastAsia="SimSun" w:cs="Times New Roman"/>
          <w:iCs/>
          <w:lang w:eastAsia="en-US"/>
        </w:rPr>
        <w:t>.</w:t>
      </w:r>
    </w:p>
    <w:p w14:paraId="456B92ED" w14:textId="77777777" w:rsidR="0007132E" w:rsidRPr="00C61670" w:rsidRDefault="0007132E" w:rsidP="0007132E">
      <w:pPr>
        <w:pStyle w:val="TableFooter"/>
      </w:pPr>
      <w:r w:rsidRPr="00C61670">
        <w:rPr>
          <w:vertAlign w:val="superscript"/>
        </w:rPr>
        <w:t>d</w:t>
      </w:r>
      <w:r w:rsidRPr="00C61670">
        <w:t xml:space="preserve"> The two-sample t-test was purely exploratory and was only performed on the absolute mean value at each time point, and so does not account for any differences in the studies (including baseline score). An assumption was made that the populations were normally distributed.</w:t>
      </w:r>
    </w:p>
    <w:p w14:paraId="4AF061F1" w14:textId="28D7590F" w:rsidR="0007132E" w:rsidRPr="00C61670" w:rsidRDefault="0007132E" w:rsidP="0007132E">
      <w:pPr>
        <w:pStyle w:val="TableFooter"/>
      </w:pPr>
      <w:r w:rsidRPr="00C61670">
        <w:t xml:space="preserve">Source: Table 2.23 of the </w:t>
      </w:r>
      <w:r w:rsidR="0007089E">
        <w:t>submission</w:t>
      </w:r>
    </w:p>
    <w:p w14:paraId="02EA3E36" w14:textId="77777777" w:rsidR="0007132E" w:rsidRPr="00C61670" w:rsidRDefault="0007132E" w:rsidP="0007132E">
      <w:pPr>
        <w:rPr>
          <w:snapToGrid w:val="0"/>
        </w:rPr>
      </w:pPr>
    </w:p>
    <w:p w14:paraId="6F61410E" w14:textId="017C513A" w:rsidR="0007132E" w:rsidRPr="0081032F" w:rsidRDefault="0007132E" w:rsidP="0007132E">
      <w:pPr>
        <w:pStyle w:val="3-BodyText"/>
        <w:rPr>
          <w:iCs/>
        </w:rPr>
      </w:pPr>
      <w:r w:rsidRPr="00C61670">
        <w:t>An exploratory two-sample t-test was performed to test the null hypothesis which found there was no statistically significant (p</w:t>
      </w:r>
      <w:r w:rsidR="00051B08">
        <w:t xml:space="preserve"> </w:t>
      </w:r>
      <w:r w:rsidRPr="00C61670">
        <w:t xml:space="preserve">&lt;0.05) difference between absolute mean values at any time point for the HINE-2 for RAINBOWFISH vs NURTURE patients with three </w:t>
      </w:r>
      <w:r w:rsidRPr="00C61670">
        <w:rPr>
          <w:i/>
          <w:iCs/>
        </w:rPr>
        <w:t>SMN2</w:t>
      </w:r>
      <w:r w:rsidRPr="00C61670">
        <w:t xml:space="preserve"> gene copies. At all reported timepoints there did not appear to be a</w:t>
      </w:r>
      <w:r w:rsidR="00D6628E">
        <w:t>ny substantial</w:t>
      </w:r>
      <w:r w:rsidRPr="00C61670">
        <w:t xml:space="preserve"> difference between the results for risdiplam and nusinersen</w:t>
      </w:r>
      <w:r w:rsidR="00E61F8D">
        <w:t xml:space="preserve">. </w:t>
      </w:r>
    </w:p>
    <w:p w14:paraId="0109B313" w14:textId="1944DB70" w:rsidR="0007132E" w:rsidRPr="00C61670" w:rsidRDefault="0007132E" w:rsidP="0007132E">
      <w:pPr>
        <w:pStyle w:val="3-BodyText"/>
      </w:pPr>
      <w:r w:rsidRPr="00C61670">
        <w:t xml:space="preserve">The </w:t>
      </w:r>
      <w:r w:rsidR="0007089E">
        <w:t>submission</w:t>
      </w:r>
      <w:r w:rsidRPr="00C61670">
        <w:t xml:space="preserve"> presented a summary of HINE-2 </w:t>
      </w:r>
      <w:r w:rsidR="00932408" w:rsidRPr="00C61670">
        <w:t>m</w:t>
      </w:r>
      <w:r w:rsidRPr="00C61670">
        <w:t xml:space="preserve">otor </w:t>
      </w:r>
      <w:r w:rsidR="00932408" w:rsidRPr="00C61670">
        <w:t>m</w:t>
      </w:r>
      <w:r w:rsidRPr="00C61670">
        <w:t xml:space="preserve">ilestones by visit for RAINBOWFISH vs NURTURE in patients with three </w:t>
      </w:r>
      <w:r w:rsidRPr="00C61670">
        <w:rPr>
          <w:i/>
          <w:iCs/>
        </w:rPr>
        <w:t>SMN2</w:t>
      </w:r>
      <w:r w:rsidRPr="00C61670">
        <w:t xml:space="preserve"> gene copies (</w:t>
      </w:r>
      <w:r w:rsidRPr="00C61670">
        <w:fldChar w:fldCharType="begin" w:fldLock="1"/>
      </w:r>
      <w:r w:rsidRPr="00C61670">
        <w:instrText xml:space="preserve"> REF _Ref165836626 \h </w:instrText>
      </w:r>
      <w:r w:rsidRPr="00C61670">
        <w:fldChar w:fldCharType="separate"/>
      </w:r>
      <w:r w:rsidR="00AA25E7" w:rsidRPr="00C61670">
        <w:t xml:space="preserve">Table </w:t>
      </w:r>
      <w:r w:rsidR="00AA25E7">
        <w:rPr>
          <w:noProof/>
        </w:rPr>
        <w:t>6</w:t>
      </w:r>
      <w:r w:rsidRPr="00C61670">
        <w:fldChar w:fldCharType="end"/>
      </w:r>
      <w:r w:rsidRPr="00C61670">
        <w:t xml:space="preserve">). </w:t>
      </w:r>
      <w:r w:rsidR="003A4B30" w:rsidRPr="00DD6359">
        <w:t>The evaluation and the ESC considered that</w:t>
      </w:r>
      <w:r w:rsidR="003A4B30" w:rsidRPr="003A4B30">
        <w:rPr>
          <w:i/>
          <w:iCs/>
        </w:rPr>
        <w:t xml:space="preserve"> </w:t>
      </w:r>
      <w:r w:rsidR="003A4B30">
        <w:t>w</w:t>
      </w:r>
      <w:r w:rsidRPr="00C61670">
        <w:t>hen accounting for the different assessment schedules, there appeared to be no considerable differences observed in the achievement of HINE-2 motor milestones up to week 52.</w:t>
      </w:r>
    </w:p>
    <w:p w14:paraId="6C278331" w14:textId="72956C28" w:rsidR="0007132E" w:rsidRPr="00C61670" w:rsidRDefault="0007132E" w:rsidP="00FA7F1F">
      <w:pPr>
        <w:pStyle w:val="Caption"/>
        <w:rPr>
          <w:rStyle w:val="CommentReference"/>
          <w:b/>
          <w:szCs w:val="24"/>
        </w:rPr>
      </w:pPr>
      <w:bookmarkStart w:id="25" w:name="_Ref165836626"/>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6</w:t>
      </w:r>
      <w:r w:rsidR="002906A9">
        <w:rPr>
          <w:noProof/>
        </w:rPr>
        <w:fldChar w:fldCharType="end"/>
      </w:r>
      <w:bookmarkEnd w:id="25"/>
      <w:r w:rsidRPr="00C61670">
        <w:rPr>
          <w:rStyle w:val="CommentReference"/>
          <w:b/>
          <w:szCs w:val="24"/>
        </w:rPr>
        <w:t xml:space="preserve">: Summary of improvement in HINE-2 motor milestones in patients with 3 </w:t>
      </w:r>
      <w:r w:rsidRPr="00C61670">
        <w:rPr>
          <w:rStyle w:val="CommentReference"/>
          <w:b/>
          <w:i/>
          <w:iCs/>
          <w:szCs w:val="24"/>
        </w:rPr>
        <w:t>SMN2</w:t>
      </w:r>
      <w:r w:rsidRPr="00C61670">
        <w:rPr>
          <w:rStyle w:val="CommentReference"/>
          <w:b/>
          <w:szCs w:val="24"/>
        </w:rPr>
        <w:t xml:space="preserve"> gene copies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improvement in HINE-2 motor milestones in patients with 3 SMN2 gene copies"/>
      </w:tblPr>
      <w:tblGrid>
        <w:gridCol w:w="2606"/>
        <w:gridCol w:w="607"/>
        <w:gridCol w:w="607"/>
        <w:gridCol w:w="670"/>
        <w:gridCol w:w="582"/>
        <w:gridCol w:w="670"/>
        <w:gridCol w:w="645"/>
        <w:gridCol w:w="670"/>
        <w:gridCol w:w="645"/>
        <w:gridCol w:w="670"/>
        <w:gridCol w:w="645"/>
      </w:tblGrid>
      <w:tr w:rsidR="000F466A" w:rsidRPr="00C61670" w14:paraId="642CEEC9" w14:textId="77777777" w:rsidTr="000F466A">
        <w:trPr>
          <w:trHeight w:val="333"/>
        </w:trPr>
        <w:tc>
          <w:tcPr>
            <w:tcW w:w="1330" w:type="pct"/>
            <w:shd w:val="clear" w:color="auto" w:fill="auto"/>
            <w:noWrap/>
            <w:vAlign w:val="center"/>
            <w:hideMark/>
          </w:tcPr>
          <w:p w14:paraId="42E0DDD9" w14:textId="77777777" w:rsidR="0007132E" w:rsidRPr="00C61670" w:rsidRDefault="0007132E" w:rsidP="00FA7F1F">
            <w:pPr>
              <w:pStyle w:val="In-tableHeading"/>
              <w:rPr>
                <w:lang w:val="en-AU"/>
              </w:rPr>
            </w:pPr>
            <w:r w:rsidRPr="00C61670">
              <w:rPr>
                <w:lang w:val="en-AU"/>
              </w:rPr>
              <w:t> </w:t>
            </w:r>
          </w:p>
        </w:tc>
        <w:tc>
          <w:tcPr>
            <w:tcW w:w="347" w:type="pct"/>
            <w:shd w:val="clear" w:color="auto" w:fill="auto"/>
            <w:vAlign w:val="center"/>
            <w:hideMark/>
          </w:tcPr>
          <w:p w14:paraId="47AB9431" w14:textId="77777777" w:rsidR="0007132E" w:rsidRPr="000F466A" w:rsidRDefault="0007132E" w:rsidP="00FA7F1F">
            <w:pPr>
              <w:pStyle w:val="In-tableHeading"/>
              <w:jc w:val="center"/>
              <w:rPr>
                <w:sz w:val="18"/>
                <w:szCs w:val="18"/>
                <w:lang w:val="en-AU"/>
              </w:rPr>
            </w:pPr>
            <w:r w:rsidRPr="000F466A">
              <w:rPr>
                <w:sz w:val="18"/>
                <w:szCs w:val="18"/>
                <w:lang w:val="en-AU"/>
              </w:rPr>
              <w:t>RIS</w:t>
            </w:r>
          </w:p>
        </w:tc>
        <w:tc>
          <w:tcPr>
            <w:tcW w:w="347" w:type="pct"/>
            <w:shd w:val="clear" w:color="auto" w:fill="C6D9F1" w:themeFill="text2" w:themeFillTint="33"/>
            <w:noWrap/>
            <w:vAlign w:val="center"/>
            <w:hideMark/>
          </w:tcPr>
          <w:p w14:paraId="1C60E4C9" w14:textId="77777777" w:rsidR="0007132E" w:rsidRPr="000F466A" w:rsidRDefault="0007132E" w:rsidP="00FA7F1F">
            <w:pPr>
              <w:pStyle w:val="In-tableHeading"/>
              <w:jc w:val="center"/>
              <w:rPr>
                <w:sz w:val="18"/>
                <w:szCs w:val="18"/>
                <w:lang w:val="en-AU"/>
              </w:rPr>
            </w:pPr>
            <w:r w:rsidRPr="000F466A">
              <w:rPr>
                <w:sz w:val="18"/>
                <w:szCs w:val="18"/>
                <w:lang w:val="en-AU"/>
              </w:rPr>
              <w:t>NUSI</w:t>
            </w:r>
          </w:p>
        </w:tc>
        <w:tc>
          <w:tcPr>
            <w:tcW w:w="384" w:type="pct"/>
            <w:shd w:val="clear" w:color="auto" w:fill="auto"/>
            <w:vAlign w:val="center"/>
            <w:hideMark/>
          </w:tcPr>
          <w:p w14:paraId="4C35A359" w14:textId="77777777" w:rsidR="0007132E" w:rsidRPr="000F466A" w:rsidRDefault="0007132E" w:rsidP="00FA7F1F">
            <w:pPr>
              <w:pStyle w:val="In-tableHeading"/>
              <w:jc w:val="center"/>
              <w:rPr>
                <w:sz w:val="18"/>
                <w:szCs w:val="18"/>
                <w:lang w:val="en-AU"/>
              </w:rPr>
            </w:pPr>
            <w:r w:rsidRPr="000F466A">
              <w:rPr>
                <w:sz w:val="18"/>
                <w:szCs w:val="18"/>
                <w:lang w:val="en-AU"/>
              </w:rPr>
              <w:t>RIS</w:t>
            </w:r>
          </w:p>
        </w:tc>
        <w:tc>
          <w:tcPr>
            <w:tcW w:w="332" w:type="pct"/>
            <w:shd w:val="clear" w:color="auto" w:fill="C6D9F1" w:themeFill="text2" w:themeFillTint="33"/>
            <w:noWrap/>
            <w:vAlign w:val="center"/>
            <w:hideMark/>
          </w:tcPr>
          <w:p w14:paraId="40C86D3E" w14:textId="77777777" w:rsidR="0007132E" w:rsidRPr="000F466A" w:rsidRDefault="0007132E" w:rsidP="00FA7F1F">
            <w:pPr>
              <w:pStyle w:val="In-tableHeading"/>
              <w:jc w:val="center"/>
              <w:rPr>
                <w:sz w:val="18"/>
                <w:szCs w:val="18"/>
                <w:lang w:val="en-AU"/>
              </w:rPr>
            </w:pPr>
            <w:r w:rsidRPr="000F466A">
              <w:rPr>
                <w:sz w:val="18"/>
                <w:szCs w:val="18"/>
                <w:lang w:val="en-AU"/>
              </w:rPr>
              <w:t>NUSI</w:t>
            </w:r>
          </w:p>
        </w:tc>
        <w:tc>
          <w:tcPr>
            <w:tcW w:w="384" w:type="pct"/>
            <w:shd w:val="clear" w:color="auto" w:fill="auto"/>
            <w:vAlign w:val="center"/>
            <w:hideMark/>
          </w:tcPr>
          <w:p w14:paraId="6413AA2E" w14:textId="77777777" w:rsidR="0007132E" w:rsidRPr="000F466A" w:rsidRDefault="0007132E" w:rsidP="00FA7F1F">
            <w:pPr>
              <w:pStyle w:val="In-tableHeading"/>
              <w:jc w:val="center"/>
              <w:rPr>
                <w:sz w:val="18"/>
                <w:szCs w:val="18"/>
                <w:lang w:val="en-AU"/>
              </w:rPr>
            </w:pPr>
            <w:r w:rsidRPr="000F466A">
              <w:rPr>
                <w:sz w:val="18"/>
                <w:szCs w:val="18"/>
                <w:lang w:val="en-AU"/>
              </w:rPr>
              <w:t>RIS</w:t>
            </w:r>
          </w:p>
        </w:tc>
        <w:tc>
          <w:tcPr>
            <w:tcW w:w="369" w:type="pct"/>
            <w:shd w:val="clear" w:color="auto" w:fill="C6D9F1" w:themeFill="text2" w:themeFillTint="33"/>
            <w:noWrap/>
            <w:vAlign w:val="center"/>
            <w:hideMark/>
          </w:tcPr>
          <w:p w14:paraId="61748B90" w14:textId="77777777" w:rsidR="0007132E" w:rsidRPr="000F466A" w:rsidRDefault="0007132E" w:rsidP="00FA7F1F">
            <w:pPr>
              <w:pStyle w:val="In-tableHeading"/>
              <w:jc w:val="center"/>
              <w:rPr>
                <w:sz w:val="18"/>
                <w:szCs w:val="18"/>
                <w:lang w:val="en-AU"/>
              </w:rPr>
            </w:pPr>
            <w:r w:rsidRPr="000F466A">
              <w:rPr>
                <w:sz w:val="18"/>
                <w:szCs w:val="18"/>
                <w:lang w:val="en-AU"/>
              </w:rPr>
              <w:t>NUSI</w:t>
            </w:r>
          </w:p>
        </w:tc>
        <w:tc>
          <w:tcPr>
            <w:tcW w:w="384" w:type="pct"/>
            <w:shd w:val="clear" w:color="auto" w:fill="auto"/>
            <w:vAlign w:val="center"/>
            <w:hideMark/>
          </w:tcPr>
          <w:p w14:paraId="4F1AFFE2" w14:textId="77777777" w:rsidR="0007132E" w:rsidRPr="000F466A" w:rsidRDefault="0007132E" w:rsidP="00FA7F1F">
            <w:pPr>
              <w:pStyle w:val="In-tableHeading"/>
              <w:jc w:val="center"/>
              <w:rPr>
                <w:sz w:val="18"/>
                <w:szCs w:val="18"/>
                <w:lang w:val="en-AU"/>
              </w:rPr>
            </w:pPr>
            <w:r w:rsidRPr="000F466A">
              <w:rPr>
                <w:sz w:val="18"/>
                <w:szCs w:val="18"/>
                <w:lang w:val="en-AU"/>
              </w:rPr>
              <w:t>RIS</w:t>
            </w:r>
          </w:p>
        </w:tc>
        <w:tc>
          <w:tcPr>
            <w:tcW w:w="369" w:type="pct"/>
            <w:shd w:val="clear" w:color="auto" w:fill="C6D9F1" w:themeFill="text2" w:themeFillTint="33"/>
            <w:noWrap/>
            <w:vAlign w:val="center"/>
            <w:hideMark/>
          </w:tcPr>
          <w:p w14:paraId="59D76282" w14:textId="77777777" w:rsidR="0007132E" w:rsidRPr="000F466A" w:rsidRDefault="0007132E" w:rsidP="00FA7F1F">
            <w:pPr>
              <w:pStyle w:val="In-tableHeading"/>
              <w:jc w:val="center"/>
              <w:rPr>
                <w:sz w:val="18"/>
                <w:szCs w:val="18"/>
                <w:lang w:val="en-AU"/>
              </w:rPr>
            </w:pPr>
            <w:r w:rsidRPr="000F466A">
              <w:rPr>
                <w:sz w:val="18"/>
                <w:szCs w:val="18"/>
                <w:lang w:val="en-AU"/>
              </w:rPr>
              <w:t>NUSI</w:t>
            </w:r>
          </w:p>
        </w:tc>
        <w:tc>
          <w:tcPr>
            <w:tcW w:w="384" w:type="pct"/>
            <w:shd w:val="clear" w:color="auto" w:fill="auto"/>
            <w:vAlign w:val="center"/>
            <w:hideMark/>
          </w:tcPr>
          <w:p w14:paraId="36EAF429" w14:textId="77777777" w:rsidR="0007132E" w:rsidRPr="000F466A" w:rsidRDefault="0007132E" w:rsidP="00FA7F1F">
            <w:pPr>
              <w:pStyle w:val="In-tableHeading"/>
              <w:jc w:val="center"/>
              <w:rPr>
                <w:sz w:val="18"/>
                <w:szCs w:val="18"/>
                <w:lang w:val="en-AU"/>
              </w:rPr>
            </w:pPr>
            <w:r w:rsidRPr="000F466A">
              <w:rPr>
                <w:sz w:val="18"/>
                <w:szCs w:val="18"/>
                <w:lang w:val="en-AU"/>
              </w:rPr>
              <w:t>RIS</w:t>
            </w:r>
          </w:p>
        </w:tc>
        <w:tc>
          <w:tcPr>
            <w:tcW w:w="369" w:type="pct"/>
            <w:shd w:val="clear" w:color="auto" w:fill="C6D9F1" w:themeFill="text2" w:themeFillTint="33"/>
            <w:noWrap/>
            <w:vAlign w:val="center"/>
            <w:hideMark/>
          </w:tcPr>
          <w:p w14:paraId="6EA5A80D" w14:textId="77777777" w:rsidR="0007132E" w:rsidRPr="000F466A" w:rsidRDefault="0007132E" w:rsidP="00FA7F1F">
            <w:pPr>
              <w:pStyle w:val="In-tableHeading"/>
              <w:jc w:val="center"/>
              <w:rPr>
                <w:sz w:val="18"/>
                <w:szCs w:val="18"/>
                <w:lang w:val="en-AU"/>
              </w:rPr>
            </w:pPr>
            <w:r w:rsidRPr="000F466A">
              <w:rPr>
                <w:sz w:val="18"/>
                <w:szCs w:val="18"/>
                <w:lang w:val="en-AU"/>
              </w:rPr>
              <w:t>NUSI</w:t>
            </w:r>
          </w:p>
        </w:tc>
      </w:tr>
      <w:tr w:rsidR="000F466A" w:rsidRPr="00C61670" w14:paraId="5A000229" w14:textId="77777777" w:rsidTr="000F466A">
        <w:trPr>
          <w:trHeight w:val="239"/>
        </w:trPr>
        <w:tc>
          <w:tcPr>
            <w:tcW w:w="1330" w:type="pct"/>
            <w:shd w:val="clear" w:color="auto" w:fill="auto"/>
            <w:noWrap/>
            <w:vAlign w:val="center"/>
            <w:hideMark/>
          </w:tcPr>
          <w:p w14:paraId="2AD17CCC" w14:textId="77777777" w:rsidR="0007132E" w:rsidRPr="00C61670" w:rsidRDefault="0007132E" w:rsidP="00FA7F1F">
            <w:pPr>
              <w:pStyle w:val="In-tableHeading"/>
              <w:rPr>
                <w:lang w:val="en-AU"/>
              </w:rPr>
            </w:pPr>
            <w:r w:rsidRPr="00C61670">
              <w:rPr>
                <w:lang w:val="en-AU"/>
              </w:rPr>
              <w:t>Improvement in HINE-2, N (%)</w:t>
            </w:r>
          </w:p>
        </w:tc>
        <w:tc>
          <w:tcPr>
            <w:tcW w:w="347" w:type="pct"/>
            <w:shd w:val="clear" w:color="auto" w:fill="auto"/>
            <w:noWrap/>
            <w:vAlign w:val="center"/>
            <w:hideMark/>
          </w:tcPr>
          <w:p w14:paraId="41AD678A" w14:textId="46F43398" w:rsidR="0007132E" w:rsidRPr="000F466A" w:rsidRDefault="00C61670" w:rsidP="00FA7F1F">
            <w:pPr>
              <w:pStyle w:val="In-tableHeading"/>
              <w:jc w:val="center"/>
              <w:rPr>
                <w:sz w:val="18"/>
                <w:szCs w:val="18"/>
                <w:lang w:val="en-AU"/>
              </w:rPr>
            </w:pPr>
            <w:r w:rsidRPr="000F466A">
              <w:rPr>
                <w:sz w:val="18"/>
                <w:szCs w:val="18"/>
                <w:lang w:val="en-AU"/>
              </w:rPr>
              <w:t>Wee</w:t>
            </w:r>
            <w:r w:rsidR="000F466A" w:rsidRPr="000F466A">
              <w:rPr>
                <w:sz w:val="18"/>
                <w:szCs w:val="18"/>
                <w:lang w:val="en-AU"/>
              </w:rPr>
              <w:t xml:space="preserve">k </w:t>
            </w:r>
            <w:r w:rsidR="0007132E" w:rsidRPr="000F466A">
              <w:rPr>
                <w:sz w:val="18"/>
                <w:szCs w:val="18"/>
                <w:lang w:val="en-AU"/>
              </w:rPr>
              <w:t>0</w:t>
            </w:r>
          </w:p>
        </w:tc>
        <w:tc>
          <w:tcPr>
            <w:tcW w:w="347" w:type="pct"/>
            <w:shd w:val="clear" w:color="auto" w:fill="C6D9F1" w:themeFill="text2" w:themeFillTint="33"/>
            <w:noWrap/>
            <w:vAlign w:val="center"/>
            <w:hideMark/>
          </w:tcPr>
          <w:p w14:paraId="3469F346" w14:textId="4FD44804" w:rsidR="0007132E" w:rsidRPr="000F466A" w:rsidRDefault="00C61670" w:rsidP="00FA7F1F">
            <w:pPr>
              <w:pStyle w:val="In-tableHeading"/>
              <w:jc w:val="center"/>
              <w:rPr>
                <w:sz w:val="18"/>
                <w:szCs w:val="18"/>
                <w:lang w:val="en-AU"/>
              </w:rPr>
            </w:pPr>
            <w:r w:rsidRPr="000F466A">
              <w:rPr>
                <w:sz w:val="18"/>
                <w:szCs w:val="18"/>
                <w:lang w:val="en-AU"/>
              </w:rPr>
              <w:t>Wee</w:t>
            </w:r>
            <w:r w:rsidR="000F466A" w:rsidRPr="000F466A">
              <w:rPr>
                <w:sz w:val="18"/>
                <w:szCs w:val="18"/>
                <w:lang w:val="en-AU"/>
              </w:rPr>
              <w:t xml:space="preserve">k </w:t>
            </w:r>
            <w:r w:rsidR="0007132E" w:rsidRPr="000F466A">
              <w:rPr>
                <w:sz w:val="18"/>
                <w:szCs w:val="18"/>
                <w:lang w:val="en-AU"/>
              </w:rPr>
              <w:t>0</w:t>
            </w:r>
          </w:p>
        </w:tc>
        <w:tc>
          <w:tcPr>
            <w:tcW w:w="384" w:type="pct"/>
            <w:shd w:val="clear" w:color="auto" w:fill="auto"/>
            <w:noWrap/>
            <w:vAlign w:val="center"/>
            <w:hideMark/>
          </w:tcPr>
          <w:p w14:paraId="5FA68B9C" w14:textId="77777777" w:rsidR="0007132E" w:rsidRPr="000F466A" w:rsidRDefault="0007132E" w:rsidP="00FA7F1F">
            <w:pPr>
              <w:pStyle w:val="In-tableHeading"/>
              <w:jc w:val="center"/>
              <w:rPr>
                <w:sz w:val="18"/>
                <w:szCs w:val="18"/>
                <w:lang w:val="en-AU"/>
              </w:rPr>
            </w:pPr>
            <w:r w:rsidRPr="000F466A">
              <w:rPr>
                <w:sz w:val="18"/>
                <w:szCs w:val="18"/>
                <w:lang w:val="en-AU"/>
              </w:rPr>
              <w:t>Week 16</w:t>
            </w:r>
          </w:p>
        </w:tc>
        <w:tc>
          <w:tcPr>
            <w:tcW w:w="332" w:type="pct"/>
            <w:shd w:val="clear" w:color="auto" w:fill="C6D9F1" w:themeFill="text2" w:themeFillTint="33"/>
            <w:noWrap/>
            <w:vAlign w:val="center"/>
            <w:hideMark/>
          </w:tcPr>
          <w:p w14:paraId="1346CEF2" w14:textId="77777777" w:rsidR="0007132E" w:rsidRPr="000F466A" w:rsidRDefault="0007132E" w:rsidP="00FA7F1F">
            <w:pPr>
              <w:pStyle w:val="In-tableHeading"/>
              <w:jc w:val="center"/>
              <w:rPr>
                <w:sz w:val="18"/>
                <w:szCs w:val="18"/>
                <w:lang w:val="en-AU"/>
              </w:rPr>
            </w:pPr>
            <w:r w:rsidRPr="000F466A">
              <w:rPr>
                <w:sz w:val="18"/>
                <w:szCs w:val="18"/>
                <w:lang w:val="en-AU"/>
              </w:rPr>
              <w:t>Day 64</w:t>
            </w:r>
          </w:p>
        </w:tc>
        <w:tc>
          <w:tcPr>
            <w:tcW w:w="384" w:type="pct"/>
            <w:shd w:val="clear" w:color="auto" w:fill="auto"/>
            <w:noWrap/>
            <w:vAlign w:val="center"/>
            <w:hideMark/>
          </w:tcPr>
          <w:p w14:paraId="1E7DC347" w14:textId="77777777" w:rsidR="0007132E" w:rsidRPr="000F466A" w:rsidRDefault="0007132E" w:rsidP="00FA7F1F">
            <w:pPr>
              <w:pStyle w:val="In-tableHeading"/>
              <w:jc w:val="center"/>
              <w:rPr>
                <w:sz w:val="18"/>
                <w:szCs w:val="18"/>
                <w:lang w:val="en-AU"/>
              </w:rPr>
            </w:pPr>
            <w:r w:rsidRPr="000F466A">
              <w:rPr>
                <w:sz w:val="18"/>
                <w:szCs w:val="18"/>
                <w:lang w:val="en-AU"/>
              </w:rPr>
              <w:t>Week 28</w:t>
            </w:r>
          </w:p>
        </w:tc>
        <w:tc>
          <w:tcPr>
            <w:tcW w:w="369" w:type="pct"/>
            <w:shd w:val="clear" w:color="auto" w:fill="C6D9F1" w:themeFill="text2" w:themeFillTint="33"/>
            <w:noWrap/>
            <w:vAlign w:val="center"/>
            <w:hideMark/>
          </w:tcPr>
          <w:p w14:paraId="59B93875" w14:textId="77777777" w:rsidR="0007132E" w:rsidRPr="000F466A" w:rsidRDefault="0007132E" w:rsidP="00FA7F1F">
            <w:pPr>
              <w:pStyle w:val="In-tableHeading"/>
              <w:jc w:val="center"/>
              <w:rPr>
                <w:sz w:val="18"/>
                <w:szCs w:val="18"/>
                <w:lang w:val="en-AU"/>
              </w:rPr>
            </w:pPr>
            <w:r w:rsidRPr="000F466A">
              <w:rPr>
                <w:sz w:val="18"/>
                <w:szCs w:val="18"/>
                <w:lang w:val="en-AU"/>
              </w:rPr>
              <w:t>Day 183</w:t>
            </w:r>
          </w:p>
        </w:tc>
        <w:tc>
          <w:tcPr>
            <w:tcW w:w="384" w:type="pct"/>
            <w:shd w:val="clear" w:color="auto" w:fill="auto"/>
            <w:noWrap/>
            <w:vAlign w:val="center"/>
            <w:hideMark/>
          </w:tcPr>
          <w:p w14:paraId="31B7CD27" w14:textId="77777777" w:rsidR="0007132E" w:rsidRPr="000F466A" w:rsidRDefault="0007132E" w:rsidP="00FA7F1F">
            <w:pPr>
              <w:pStyle w:val="In-tableHeading"/>
              <w:jc w:val="center"/>
              <w:rPr>
                <w:sz w:val="18"/>
                <w:szCs w:val="18"/>
                <w:lang w:val="en-AU"/>
              </w:rPr>
            </w:pPr>
            <w:r w:rsidRPr="000F466A">
              <w:rPr>
                <w:sz w:val="18"/>
                <w:szCs w:val="18"/>
                <w:lang w:val="en-AU"/>
              </w:rPr>
              <w:t>Week 40</w:t>
            </w:r>
          </w:p>
        </w:tc>
        <w:tc>
          <w:tcPr>
            <w:tcW w:w="369" w:type="pct"/>
            <w:shd w:val="clear" w:color="auto" w:fill="C6D9F1" w:themeFill="text2" w:themeFillTint="33"/>
            <w:noWrap/>
            <w:vAlign w:val="center"/>
            <w:hideMark/>
          </w:tcPr>
          <w:p w14:paraId="7346132D" w14:textId="77777777" w:rsidR="0007132E" w:rsidRPr="000F466A" w:rsidRDefault="0007132E" w:rsidP="00FA7F1F">
            <w:pPr>
              <w:pStyle w:val="In-tableHeading"/>
              <w:jc w:val="center"/>
              <w:rPr>
                <w:sz w:val="18"/>
                <w:szCs w:val="18"/>
                <w:lang w:val="en-AU"/>
              </w:rPr>
            </w:pPr>
            <w:r w:rsidRPr="000F466A">
              <w:rPr>
                <w:sz w:val="18"/>
                <w:szCs w:val="18"/>
                <w:lang w:val="en-AU"/>
              </w:rPr>
              <w:t>Day 302</w:t>
            </w:r>
          </w:p>
        </w:tc>
        <w:tc>
          <w:tcPr>
            <w:tcW w:w="384" w:type="pct"/>
            <w:shd w:val="clear" w:color="auto" w:fill="auto"/>
            <w:noWrap/>
            <w:vAlign w:val="center"/>
            <w:hideMark/>
          </w:tcPr>
          <w:p w14:paraId="625AA686" w14:textId="77777777" w:rsidR="0007132E" w:rsidRPr="000F466A" w:rsidRDefault="0007132E" w:rsidP="00FA7F1F">
            <w:pPr>
              <w:pStyle w:val="In-tableHeading"/>
              <w:jc w:val="center"/>
              <w:rPr>
                <w:sz w:val="18"/>
                <w:szCs w:val="18"/>
                <w:lang w:val="en-AU"/>
              </w:rPr>
            </w:pPr>
            <w:r w:rsidRPr="000F466A">
              <w:rPr>
                <w:sz w:val="18"/>
                <w:szCs w:val="18"/>
                <w:lang w:val="en-AU"/>
              </w:rPr>
              <w:t>Week 52</w:t>
            </w:r>
          </w:p>
        </w:tc>
        <w:tc>
          <w:tcPr>
            <w:tcW w:w="369" w:type="pct"/>
            <w:shd w:val="clear" w:color="auto" w:fill="C6D9F1" w:themeFill="text2" w:themeFillTint="33"/>
            <w:noWrap/>
            <w:vAlign w:val="center"/>
            <w:hideMark/>
          </w:tcPr>
          <w:p w14:paraId="4AB34237" w14:textId="77777777" w:rsidR="0007132E" w:rsidRPr="000F466A" w:rsidRDefault="0007132E" w:rsidP="00FA7F1F">
            <w:pPr>
              <w:pStyle w:val="In-tableHeading"/>
              <w:jc w:val="center"/>
              <w:rPr>
                <w:sz w:val="18"/>
                <w:szCs w:val="18"/>
                <w:lang w:val="en-AU"/>
              </w:rPr>
            </w:pPr>
            <w:r w:rsidRPr="000F466A">
              <w:rPr>
                <w:sz w:val="18"/>
                <w:szCs w:val="18"/>
                <w:lang w:val="en-AU"/>
              </w:rPr>
              <w:t>Day 365</w:t>
            </w:r>
          </w:p>
        </w:tc>
      </w:tr>
      <w:tr w:rsidR="000F466A" w:rsidRPr="00C61670" w14:paraId="65BA36B0" w14:textId="77777777" w:rsidTr="000F466A">
        <w:trPr>
          <w:trHeight w:val="239"/>
        </w:trPr>
        <w:tc>
          <w:tcPr>
            <w:tcW w:w="1330" w:type="pct"/>
            <w:shd w:val="clear" w:color="auto" w:fill="auto"/>
            <w:noWrap/>
            <w:vAlign w:val="center"/>
            <w:hideMark/>
          </w:tcPr>
          <w:p w14:paraId="4D5FB1FD" w14:textId="77777777" w:rsidR="0007132E" w:rsidRPr="00C61670" w:rsidRDefault="0007132E" w:rsidP="00FA7F1F">
            <w:pPr>
              <w:pStyle w:val="Tabletext"/>
              <w:keepNext/>
            </w:pPr>
            <w:r w:rsidRPr="00C61670">
              <w:t>N</w:t>
            </w:r>
          </w:p>
        </w:tc>
        <w:tc>
          <w:tcPr>
            <w:tcW w:w="347" w:type="pct"/>
            <w:shd w:val="clear" w:color="auto" w:fill="auto"/>
            <w:noWrap/>
            <w:vAlign w:val="center"/>
            <w:hideMark/>
          </w:tcPr>
          <w:p w14:paraId="6B3C219B" w14:textId="77777777" w:rsidR="0007132E" w:rsidRPr="00C61670" w:rsidRDefault="0007132E" w:rsidP="00FA7F1F">
            <w:pPr>
              <w:pStyle w:val="Tabletext"/>
              <w:keepNext/>
              <w:jc w:val="center"/>
            </w:pPr>
            <w:r w:rsidRPr="00C61670">
              <w:t>13</w:t>
            </w:r>
          </w:p>
        </w:tc>
        <w:tc>
          <w:tcPr>
            <w:tcW w:w="347" w:type="pct"/>
            <w:shd w:val="clear" w:color="auto" w:fill="C6D9F1" w:themeFill="text2" w:themeFillTint="33"/>
            <w:noWrap/>
            <w:vAlign w:val="center"/>
            <w:hideMark/>
          </w:tcPr>
          <w:p w14:paraId="7CE22A52" w14:textId="77777777" w:rsidR="0007132E" w:rsidRPr="00C61670" w:rsidRDefault="0007132E" w:rsidP="00FA7F1F">
            <w:pPr>
              <w:pStyle w:val="Tabletext"/>
              <w:keepNext/>
              <w:jc w:val="center"/>
            </w:pPr>
            <w:r w:rsidRPr="00C61670">
              <w:t>10</w:t>
            </w:r>
          </w:p>
        </w:tc>
        <w:tc>
          <w:tcPr>
            <w:tcW w:w="384" w:type="pct"/>
            <w:shd w:val="clear" w:color="auto" w:fill="auto"/>
            <w:noWrap/>
            <w:vAlign w:val="center"/>
            <w:hideMark/>
          </w:tcPr>
          <w:p w14:paraId="0B7E851A" w14:textId="77777777" w:rsidR="0007132E" w:rsidRPr="00C61670" w:rsidRDefault="0007132E" w:rsidP="00FA7F1F">
            <w:pPr>
              <w:pStyle w:val="Tabletext"/>
              <w:keepNext/>
              <w:jc w:val="center"/>
            </w:pPr>
            <w:r w:rsidRPr="00C61670">
              <w:t>13</w:t>
            </w:r>
          </w:p>
        </w:tc>
        <w:tc>
          <w:tcPr>
            <w:tcW w:w="332" w:type="pct"/>
            <w:shd w:val="clear" w:color="auto" w:fill="C6D9F1" w:themeFill="text2" w:themeFillTint="33"/>
            <w:noWrap/>
            <w:vAlign w:val="center"/>
            <w:hideMark/>
          </w:tcPr>
          <w:p w14:paraId="0FC4ECEC" w14:textId="77777777" w:rsidR="0007132E" w:rsidRPr="00C61670" w:rsidRDefault="0007132E" w:rsidP="00FA7F1F">
            <w:pPr>
              <w:pStyle w:val="Tabletext"/>
              <w:keepNext/>
              <w:jc w:val="center"/>
            </w:pPr>
            <w:r w:rsidRPr="00C61670">
              <w:t>10</w:t>
            </w:r>
          </w:p>
        </w:tc>
        <w:tc>
          <w:tcPr>
            <w:tcW w:w="384" w:type="pct"/>
            <w:shd w:val="clear" w:color="auto" w:fill="auto"/>
            <w:noWrap/>
            <w:vAlign w:val="center"/>
            <w:hideMark/>
          </w:tcPr>
          <w:p w14:paraId="10C1CF3D" w14:textId="77777777" w:rsidR="0007132E" w:rsidRPr="00C61670" w:rsidRDefault="0007132E" w:rsidP="00FA7F1F">
            <w:pPr>
              <w:pStyle w:val="Tabletext"/>
              <w:keepNext/>
              <w:jc w:val="center"/>
            </w:pPr>
            <w:r w:rsidRPr="00C61670">
              <w:t>13</w:t>
            </w:r>
          </w:p>
        </w:tc>
        <w:tc>
          <w:tcPr>
            <w:tcW w:w="369" w:type="pct"/>
            <w:shd w:val="clear" w:color="auto" w:fill="C6D9F1" w:themeFill="text2" w:themeFillTint="33"/>
            <w:noWrap/>
            <w:vAlign w:val="center"/>
            <w:hideMark/>
          </w:tcPr>
          <w:p w14:paraId="7637FECB" w14:textId="77777777" w:rsidR="0007132E" w:rsidRPr="00C61670" w:rsidRDefault="0007132E" w:rsidP="00FA7F1F">
            <w:pPr>
              <w:pStyle w:val="Tabletext"/>
              <w:keepNext/>
              <w:jc w:val="center"/>
            </w:pPr>
            <w:r w:rsidRPr="00C61670">
              <w:t>10</w:t>
            </w:r>
          </w:p>
        </w:tc>
        <w:tc>
          <w:tcPr>
            <w:tcW w:w="384" w:type="pct"/>
            <w:shd w:val="clear" w:color="auto" w:fill="auto"/>
            <w:noWrap/>
            <w:vAlign w:val="center"/>
            <w:hideMark/>
          </w:tcPr>
          <w:p w14:paraId="5D36B552" w14:textId="77777777" w:rsidR="0007132E" w:rsidRPr="00C61670" w:rsidRDefault="0007132E" w:rsidP="00FA7F1F">
            <w:pPr>
              <w:pStyle w:val="Tabletext"/>
              <w:keepNext/>
              <w:jc w:val="center"/>
            </w:pPr>
            <w:r w:rsidRPr="00C61670">
              <w:t>12</w:t>
            </w:r>
          </w:p>
        </w:tc>
        <w:tc>
          <w:tcPr>
            <w:tcW w:w="369" w:type="pct"/>
            <w:shd w:val="clear" w:color="auto" w:fill="C6D9F1" w:themeFill="text2" w:themeFillTint="33"/>
            <w:noWrap/>
            <w:vAlign w:val="center"/>
            <w:hideMark/>
          </w:tcPr>
          <w:p w14:paraId="16D6E322" w14:textId="77777777" w:rsidR="0007132E" w:rsidRPr="00C61670" w:rsidRDefault="0007132E" w:rsidP="00FA7F1F">
            <w:pPr>
              <w:pStyle w:val="Tabletext"/>
              <w:keepNext/>
              <w:jc w:val="center"/>
            </w:pPr>
            <w:r w:rsidRPr="00C61670">
              <w:t>10</w:t>
            </w:r>
          </w:p>
        </w:tc>
        <w:tc>
          <w:tcPr>
            <w:tcW w:w="384" w:type="pct"/>
            <w:shd w:val="clear" w:color="auto" w:fill="auto"/>
            <w:noWrap/>
            <w:vAlign w:val="center"/>
            <w:hideMark/>
          </w:tcPr>
          <w:p w14:paraId="4CD448BF" w14:textId="77777777" w:rsidR="0007132E" w:rsidRPr="00C61670" w:rsidRDefault="0007132E" w:rsidP="00FA7F1F">
            <w:pPr>
              <w:pStyle w:val="Tabletext"/>
              <w:keepNext/>
              <w:jc w:val="center"/>
            </w:pPr>
            <w:r w:rsidRPr="00C61670">
              <w:t>13</w:t>
            </w:r>
          </w:p>
        </w:tc>
        <w:tc>
          <w:tcPr>
            <w:tcW w:w="369" w:type="pct"/>
            <w:shd w:val="clear" w:color="auto" w:fill="C6D9F1" w:themeFill="text2" w:themeFillTint="33"/>
            <w:noWrap/>
            <w:vAlign w:val="center"/>
            <w:hideMark/>
          </w:tcPr>
          <w:p w14:paraId="06F7A679" w14:textId="77777777" w:rsidR="0007132E" w:rsidRPr="00C61670" w:rsidRDefault="0007132E" w:rsidP="00FA7F1F">
            <w:pPr>
              <w:pStyle w:val="Tabletext"/>
              <w:keepNext/>
              <w:jc w:val="center"/>
            </w:pPr>
            <w:r w:rsidRPr="00C61670">
              <w:t>10</w:t>
            </w:r>
          </w:p>
        </w:tc>
      </w:tr>
      <w:tr w:rsidR="000F466A" w:rsidRPr="0081032F" w14:paraId="3B528720" w14:textId="77777777" w:rsidTr="000F466A">
        <w:trPr>
          <w:trHeight w:val="239"/>
        </w:trPr>
        <w:tc>
          <w:tcPr>
            <w:tcW w:w="1330" w:type="pct"/>
            <w:shd w:val="clear" w:color="auto" w:fill="auto"/>
            <w:noWrap/>
            <w:vAlign w:val="center"/>
            <w:hideMark/>
          </w:tcPr>
          <w:p w14:paraId="33D0E9C3" w14:textId="77777777" w:rsidR="0007132E" w:rsidRPr="0081032F" w:rsidRDefault="0007132E" w:rsidP="00FA7F1F">
            <w:pPr>
              <w:pStyle w:val="Tabletext"/>
              <w:keepNext/>
            </w:pPr>
            <w:r w:rsidRPr="0081032F">
              <w:t>Head control: all time upright</w:t>
            </w:r>
          </w:p>
        </w:tc>
        <w:tc>
          <w:tcPr>
            <w:tcW w:w="347" w:type="pct"/>
            <w:shd w:val="clear" w:color="auto" w:fill="auto"/>
            <w:noWrap/>
            <w:vAlign w:val="center"/>
            <w:hideMark/>
          </w:tcPr>
          <w:p w14:paraId="70A49FED" w14:textId="06636BD0" w:rsidR="0007132E" w:rsidRPr="0081032F" w:rsidRDefault="0007132E" w:rsidP="00FA7F1F">
            <w:pPr>
              <w:pStyle w:val="Tabletext"/>
              <w:keepNext/>
              <w:jc w:val="center"/>
            </w:pPr>
            <w:r w:rsidRPr="0081032F">
              <w:t>1</w:t>
            </w:r>
            <w:r w:rsidRPr="0081032F">
              <w:br/>
              <w:t>(7.7)</w:t>
            </w:r>
          </w:p>
        </w:tc>
        <w:tc>
          <w:tcPr>
            <w:tcW w:w="347" w:type="pct"/>
            <w:shd w:val="clear" w:color="auto" w:fill="C6D9F1" w:themeFill="text2" w:themeFillTint="33"/>
            <w:noWrap/>
            <w:vAlign w:val="center"/>
            <w:hideMark/>
          </w:tcPr>
          <w:p w14:paraId="769828E0" w14:textId="134C2997" w:rsidR="0007132E" w:rsidRPr="0081032F" w:rsidRDefault="0007132E" w:rsidP="00FA7F1F">
            <w:pPr>
              <w:pStyle w:val="Tabletext"/>
              <w:keepNext/>
              <w:jc w:val="center"/>
            </w:pPr>
            <w:r w:rsidRPr="0081032F">
              <w:t xml:space="preserve">2 </w:t>
            </w:r>
            <w:r w:rsidRPr="0081032F">
              <w:br/>
              <w:t>(20)</w:t>
            </w:r>
          </w:p>
        </w:tc>
        <w:tc>
          <w:tcPr>
            <w:tcW w:w="384" w:type="pct"/>
            <w:shd w:val="clear" w:color="auto" w:fill="auto"/>
            <w:noWrap/>
            <w:vAlign w:val="center"/>
            <w:hideMark/>
          </w:tcPr>
          <w:p w14:paraId="46651B3A" w14:textId="2A9328F1" w:rsidR="0007132E" w:rsidRPr="0081032F" w:rsidRDefault="0007132E" w:rsidP="00FA7F1F">
            <w:pPr>
              <w:pStyle w:val="Tabletext"/>
              <w:keepNext/>
              <w:jc w:val="center"/>
              <w:rPr>
                <w:iCs/>
              </w:rPr>
            </w:pPr>
            <w:r w:rsidRPr="0081032F">
              <w:rPr>
                <w:iCs/>
              </w:rPr>
              <w:t>11</w:t>
            </w:r>
            <w:r w:rsidRPr="0081032F">
              <w:rPr>
                <w:iCs/>
              </w:rPr>
              <w:br/>
              <w:t>(84.6)</w:t>
            </w:r>
          </w:p>
        </w:tc>
        <w:tc>
          <w:tcPr>
            <w:tcW w:w="332" w:type="pct"/>
            <w:shd w:val="clear" w:color="auto" w:fill="C6D9F1" w:themeFill="text2" w:themeFillTint="33"/>
            <w:noWrap/>
            <w:vAlign w:val="center"/>
            <w:hideMark/>
          </w:tcPr>
          <w:p w14:paraId="2FD251AB" w14:textId="1CEDA603" w:rsidR="0007132E" w:rsidRPr="0081032F" w:rsidRDefault="0007132E" w:rsidP="00FA7F1F">
            <w:pPr>
              <w:pStyle w:val="Tabletext"/>
              <w:keepNext/>
              <w:jc w:val="center"/>
            </w:pPr>
            <w:r w:rsidRPr="0081032F">
              <w:t xml:space="preserve">5 </w:t>
            </w:r>
            <w:r w:rsidRPr="0081032F">
              <w:br/>
              <w:t>(50)</w:t>
            </w:r>
          </w:p>
        </w:tc>
        <w:tc>
          <w:tcPr>
            <w:tcW w:w="384" w:type="pct"/>
            <w:shd w:val="clear" w:color="auto" w:fill="auto"/>
            <w:noWrap/>
            <w:vAlign w:val="center"/>
            <w:hideMark/>
          </w:tcPr>
          <w:p w14:paraId="3293DF8B" w14:textId="68554586" w:rsidR="0007132E" w:rsidRPr="0081032F" w:rsidRDefault="0007132E" w:rsidP="00FA7F1F">
            <w:pPr>
              <w:pStyle w:val="Tabletext"/>
              <w:keepNext/>
              <w:jc w:val="center"/>
            </w:pPr>
            <w:r w:rsidRPr="0081032F">
              <w:t>11</w:t>
            </w:r>
            <w:r w:rsidRPr="0081032F">
              <w:br/>
              <w:t>(84.6)</w:t>
            </w:r>
          </w:p>
        </w:tc>
        <w:tc>
          <w:tcPr>
            <w:tcW w:w="369" w:type="pct"/>
            <w:shd w:val="clear" w:color="auto" w:fill="C6D9F1" w:themeFill="text2" w:themeFillTint="33"/>
            <w:noWrap/>
            <w:vAlign w:val="center"/>
            <w:hideMark/>
          </w:tcPr>
          <w:p w14:paraId="6DF3A9D7" w14:textId="57060CB7" w:rsidR="0007132E" w:rsidRPr="0081032F" w:rsidRDefault="0007132E" w:rsidP="00FA7F1F">
            <w:pPr>
              <w:pStyle w:val="Tabletext"/>
              <w:keepNext/>
              <w:jc w:val="center"/>
            </w:pPr>
            <w:r w:rsidRPr="0081032F">
              <w:t>10</w:t>
            </w:r>
            <w:r w:rsidRPr="0081032F">
              <w:br/>
              <w:t>(100)</w:t>
            </w:r>
          </w:p>
        </w:tc>
        <w:tc>
          <w:tcPr>
            <w:tcW w:w="384" w:type="pct"/>
            <w:shd w:val="clear" w:color="auto" w:fill="auto"/>
            <w:noWrap/>
            <w:vAlign w:val="center"/>
            <w:hideMark/>
          </w:tcPr>
          <w:p w14:paraId="37C78ED9" w14:textId="1185F562" w:rsidR="0007132E" w:rsidRPr="0081032F" w:rsidRDefault="0007132E" w:rsidP="00FA7F1F">
            <w:pPr>
              <w:pStyle w:val="Tabletext"/>
              <w:keepNext/>
              <w:jc w:val="center"/>
            </w:pPr>
            <w:r w:rsidRPr="0081032F">
              <w:t>12</w:t>
            </w:r>
            <w:r w:rsidRPr="0081032F">
              <w:br/>
              <w:t>(100)</w:t>
            </w:r>
          </w:p>
        </w:tc>
        <w:tc>
          <w:tcPr>
            <w:tcW w:w="369" w:type="pct"/>
            <w:shd w:val="clear" w:color="auto" w:fill="C6D9F1" w:themeFill="text2" w:themeFillTint="33"/>
            <w:noWrap/>
            <w:vAlign w:val="center"/>
            <w:hideMark/>
          </w:tcPr>
          <w:p w14:paraId="7DBFEA7A" w14:textId="62B05975" w:rsidR="0007132E" w:rsidRPr="0081032F" w:rsidRDefault="0007132E" w:rsidP="00FA7F1F">
            <w:pPr>
              <w:pStyle w:val="Tabletext"/>
              <w:keepNext/>
              <w:jc w:val="center"/>
            </w:pPr>
            <w:r w:rsidRPr="0081032F">
              <w:t>10</w:t>
            </w:r>
            <w:r w:rsidRPr="0081032F">
              <w:br/>
              <w:t>(100)</w:t>
            </w:r>
          </w:p>
        </w:tc>
        <w:tc>
          <w:tcPr>
            <w:tcW w:w="384" w:type="pct"/>
            <w:shd w:val="clear" w:color="auto" w:fill="auto"/>
            <w:noWrap/>
            <w:vAlign w:val="center"/>
            <w:hideMark/>
          </w:tcPr>
          <w:p w14:paraId="46934DBF" w14:textId="400D9FF0" w:rsidR="0007132E" w:rsidRPr="0081032F" w:rsidRDefault="0007132E" w:rsidP="00FA7F1F">
            <w:pPr>
              <w:pStyle w:val="Tabletext"/>
              <w:keepNext/>
              <w:jc w:val="center"/>
            </w:pPr>
            <w:r w:rsidRPr="0081032F">
              <w:t>13</w:t>
            </w:r>
            <w:r w:rsidRPr="0081032F">
              <w:br/>
              <w:t>(100)</w:t>
            </w:r>
          </w:p>
        </w:tc>
        <w:tc>
          <w:tcPr>
            <w:tcW w:w="369" w:type="pct"/>
            <w:shd w:val="clear" w:color="auto" w:fill="C6D9F1" w:themeFill="text2" w:themeFillTint="33"/>
            <w:noWrap/>
            <w:vAlign w:val="center"/>
            <w:hideMark/>
          </w:tcPr>
          <w:p w14:paraId="1C1A62F1" w14:textId="014DA94C" w:rsidR="0007132E" w:rsidRPr="0081032F" w:rsidRDefault="0007132E" w:rsidP="00FA7F1F">
            <w:pPr>
              <w:pStyle w:val="Tabletext"/>
              <w:keepNext/>
              <w:jc w:val="center"/>
            </w:pPr>
            <w:r w:rsidRPr="0081032F">
              <w:t>10</w:t>
            </w:r>
            <w:r w:rsidRPr="0081032F">
              <w:br/>
              <w:t>(100)</w:t>
            </w:r>
          </w:p>
        </w:tc>
      </w:tr>
      <w:tr w:rsidR="000F466A" w:rsidRPr="0081032F" w14:paraId="1FECEBC6" w14:textId="77777777" w:rsidTr="000F466A">
        <w:trPr>
          <w:trHeight w:val="239"/>
        </w:trPr>
        <w:tc>
          <w:tcPr>
            <w:tcW w:w="1330" w:type="pct"/>
            <w:shd w:val="clear" w:color="auto" w:fill="auto"/>
            <w:noWrap/>
            <w:vAlign w:val="center"/>
            <w:hideMark/>
          </w:tcPr>
          <w:p w14:paraId="6816ACB7" w14:textId="77777777" w:rsidR="0007132E" w:rsidRPr="0081032F" w:rsidRDefault="0007132E" w:rsidP="00FA7F1F">
            <w:pPr>
              <w:pStyle w:val="Tabletext"/>
              <w:keepNext/>
            </w:pPr>
            <w:r w:rsidRPr="0081032F">
              <w:t>Ability to kick, touch toes</w:t>
            </w:r>
          </w:p>
        </w:tc>
        <w:tc>
          <w:tcPr>
            <w:tcW w:w="347" w:type="pct"/>
            <w:shd w:val="clear" w:color="auto" w:fill="auto"/>
            <w:noWrap/>
            <w:vAlign w:val="center"/>
            <w:hideMark/>
          </w:tcPr>
          <w:p w14:paraId="48ECDD5E" w14:textId="77777777" w:rsidR="0007132E" w:rsidRPr="0081032F" w:rsidRDefault="0007132E" w:rsidP="00FA7F1F">
            <w:pPr>
              <w:pStyle w:val="Tabletext"/>
              <w:keepNext/>
              <w:jc w:val="center"/>
            </w:pPr>
            <w:r w:rsidRPr="0081032F">
              <w:t>0</w:t>
            </w:r>
          </w:p>
        </w:tc>
        <w:tc>
          <w:tcPr>
            <w:tcW w:w="347" w:type="pct"/>
            <w:shd w:val="clear" w:color="auto" w:fill="C6D9F1" w:themeFill="text2" w:themeFillTint="33"/>
            <w:noWrap/>
            <w:vAlign w:val="center"/>
            <w:hideMark/>
          </w:tcPr>
          <w:p w14:paraId="41F546C6" w14:textId="77777777" w:rsidR="0007132E" w:rsidRPr="0081032F" w:rsidRDefault="0007132E" w:rsidP="00FA7F1F">
            <w:pPr>
              <w:pStyle w:val="Tabletext"/>
              <w:keepNext/>
              <w:jc w:val="center"/>
            </w:pPr>
            <w:r w:rsidRPr="0081032F">
              <w:t>0</w:t>
            </w:r>
          </w:p>
        </w:tc>
        <w:tc>
          <w:tcPr>
            <w:tcW w:w="384" w:type="pct"/>
            <w:shd w:val="clear" w:color="auto" w:fill="auto"/>
            <w:noWrap/>
            <w:vAlign w:val="center"/>
            <w:hideMark/>
          </w:tcPr>
          <w:p w14:paraId="79A8FBC8" w14:textId="0266EFE9" w:rsidR="0007132E" w:rsidRPr="0081032F" w:rsidRDefault="0007132E" w:rsidP="00FA7F1F">
            <w:pPr>
              <w:pStyle w:val="Tabletext"/>
              <w:keepNext/>
              <w:jc w:val="center"/>
              <w:rPr>
                <w:iCs/>
              </w:rPr>
            </w:pPr>
            <w:r w:rsidRPr="0081032F">
              <w:rPr>
                <w:iCs/>
              </w:rPr>
              <w:t>3</w:t>
            </w:r>
            <w:r w:rsidRPr="0081032F">
              <w:rPr>
                <w:iCs/>
              </w:rPr>
              <w:br/>
              <w:t>(23.1)</w:t>
            </w:r>
          </w:p>
        </w:tc>
        <w:tc>
          <w:tcPr>
            <w:tcW w:w="332" w:type="pct"/>
            <w:shd w:val="clear" w:color="auto" w:fill="C6D9F1" w:themeFill="text2" w:themeFillTint="33"/>
            <w:noWrap/>
            <w:vAlign w:val="center"/>
            <w:hideMark/>
          </w:tcPr>
          <w:p w14:paraId="62D03066" w14:textId="77777777" w:rsidR="0007132E" w:rsidRPr="0081032F" w:rsidRDefault="0007132E" w:rsidP="00FA7F1F">
            <w:pPr>
              <w:pStyle w:val="Tabletext"/>
              <w:keepNext/>
              <w:jc w:val="center"/>
            </w:pPr>
            <w:r w:rsidRPr="0081032F">
              <w:t>0</w:t>
            </w:r>
          </w:p>
        </w:tc>
        <w:tc>
          <w:tcPr>
            <w:tcW w:w="384" w:type="pct"/>
            <w:shd w:val="clear" w:color="auto" w:fill="auto"/>
            <w:noWrap/>
            <w:vAlign w:val="center"/>
            <w:hideMark/>
          </w:tcPr>
          <w:p w14:paraId="67DDA5EC" w14:textId="7B799AF5" w:rsidR="0007132E" w:rsidRPr="0081032F" w:rsidRDefault="0007132E" w:rsidP="00FA7F1F">
            <w:pPr>
              <w:pStyle w:val="Tabletext"/>
              <w:keepNext/>
              <w:jc w:val="center"/>
            </w:pPr>
            <w:r w:rsidRPr="0081032F">
              <w:t>8</w:t>
            </w:r>
            <w:r w:rsidRPr="0081032F">
              <w:br/>
              <w:t>(61.5)</w:t>
            </w:r>
          </w:p>
        </w:tc>
        <w:tc>
          <w:tcPr>
            <w:tcW w:w="369" w:type="pct"/>
            <w:shd w:val="clear" w:color="auto" w:fill="C6D9F1" w:themeFill="text2" w:themeFillTint="33"/>
            <w:noWrap/>
            <w:vAlign w:val="center"/>
            <w:hideMark/>
          </w:tcPr>
          <w:p w14:paraId="3D334C04" w14:textId="3967B749" w:rsidR="0007132E" w:rsidRPr="0081032F" w:rsidRDefault="0007132E" w:rsidP="00FA7F1F">
            <w:pPr>
              <w:pStyle w:val="Tabletext"/>
              <w:keepNext/>
              <w:jc w:val="center"/>
            </w:pPr>
            <w:r w:rsidRPr="0081032F">
              <w:t xml:space="preserve">7 </w:t>
            </w:r>
            <w:r w:rsidRPr="0081032F">
              <w:br/>
              <w:t>(70)</w:t>
            </w:r>
          </w:p>
        </w:tc>
        <w:tc>
          <w:tcPr>
            <w:tcW w:w="384" w:type="pct"/>
            <w:shd w:val="clear" w:color="auto" w:fill="auto"/>
            <w:noWrap/>
            <w:vAlign w:val="center"/>
            <w:hideMark/>
          </w:tcPr>
          <w:p w14:paraId="73F803E6" w14:textId="02C9C724" w:rsidR="0007132E" w:rsidRPr="0081032F" w:rsidRDefault="0007132E" w:rsidP="00FA7F1F">
            <w:pPr>
              <w:pStyle w:val="Tabletext"/>
              <w:keepNext/>
              <w:jc w:val="center"/>
            </w:pPr>
            <w:r w:rsidRPr="0081032F">
              <w:t>12</w:t>
            </w:r>
            <w:r w:rsidRPr="0081032F">
              <w:br/>
              <w:t>(100)</w:t>
            </w:r>
          </w:p>
        </w:tc>
        <w:tc>
          <w:tcPr>
            <w:tcW w:w="369" w:type="pct"/>
            <w:shd w:val="clear" w:color="auto" w:fill="C6D9F1" w:themeFill="text2" w:themeFillTint="33"/>
            <w:noWrap/>
            <w:vAlign w:val="center"/>
            <w:hideMark/>
          </w:tcPr>
          <w:p w14:paraId="0CBA9594" w14:textId="648B1329" w:rsidR="0007132E" w:rsidRPr="0081032F" w:rsidRDefault="0007132E" w:rsidP="00FA7F1F">
            <w:pPr>
              <w:pStyle w:val="Tabletext"/>
              <w:keepNext/>
              <w:jc w:val="center"/>
            </w:pPr>
            <w:r w:rsidRPr="0081032F">
              <w:t xml:space="preserve">9 </w:t>
            </w:r>
            <w:r w:rsidRPr="0081032F">
              <w:br/>
              <w:t>(90)</w:t>
            </w:r>
          </w:p>
        </w:tc>
        <w:tc>
          <w:tcPr>
            <w:tcW w:w="384" w:type="pct"/>
            <w:shd w:val="clear" w:color="auto" w:fill="auto"/>
            <w:noWrap/>
            <w:vAlign w:val="center"/>
            <w:hideMark/>
          </w:tcPr>
          <w:p w14:paraId="6D090E87" w14:textId="1BA5BF55" w:rsidR="0007132E" w:rsidRPr="0081032F" w:rsidRDefault="0007132E" w:rsidP="00FA7F1F">
            <w:pPr>
              <w:pStyle w:val="Tabletext"/>
              <w:keepNext/>
              <w:jc w:val="center"/>
            </w:pPr>
            <w:r w:rsidRPr="0081032F">
              <w:t>13</w:t>
            </w:r>
            <w:r w:rsidRPr="0081032F">
              <w:br/>
              <w:t>(100)</w:t>
            </w:r>
          </w:p>
        </w:tc>
        <w:tc>
          <w:tcPr>
            <w:tcW w:w="369" w:type="pct"/>
            <w:shd w:val="clear" w:color="auto" w:fill="C6D9F1" w:themeFill="text2" w:themeFillTint="33"/>
            <w:noWrap/>
            <w:vAlign w:val="center"/>
            <w:hideMark/>
          </w:tcPr>
          <w:p w14:paraId="0F7F40FD" w14:textId="27C3D52F" w:rsidR="0007132E" w:rsidRPr="0081032F" w:rsidRDefault="0007132E" w:rsidP="00FA7F1F">
            <w:pPr>
              <w:pStyle w:val="Tabletext"/>
              <w:keepNext/>
              <w:jc w:val="center"/>
            </w:pPr>
            <w:r w:rsidRPr="0081032F">
              <w:t xml:space="preserve">9 </w:t>
            </w:r>
            <w:r w:rsidRPr="0081032F">
              <w:br/>
              <w:t>(90)</w:t>
            </w:r>
          </w:p>
        </w:tc>
      </w:tr>
      <w:tr w:rsidR="000F466A" w:rsidRPr="0081032F" w14:paraId="65B9FEEF" w14:textId="77777777" w:rsidTr="000F466A">
        <w:trPr>
          <w:trHeight w:val="239"/>
        </w:trPr>
        <w:tc>
          <w:tcPr>
            <w:tcW w:w="1330" w:type="pct"/>
            <w:shd w:val="clear" w:color="auto" w:fill="auto"/>
            <w:noWrap/>
            <w:vAlign w:val="center"/>
            <w:hideMark/>
          </w:tcPr>
          <w:p w14:paraId="5F1DD7CE" w14:textId="77777777" w:rsidR="0007132E" w:rsidRPr="0081032F" w:rsidRDefault="0007132E" w:rsidP="00FA7F1F">
            <w:pPr>
              <w:pStyle w:val="Tabletext"/>
              <w:keepNext/>
            </w:pPr>
            <w:r w:rsidRPr="0081032F">
              <w:t>Rolling, Prone to supine or supine to prone</w:t>
            </w:r>
          </w:p>
        </w:tc>
        <w:tc>
          <w:tcPr>
            <w:tcW w:w="347" w:type="pct"/>
            <w:shd w:val="clear" w:color="auto" w:fill="auto"/>
            <w:noWrap/>
            <w:vAlign w:val="center"/>
            <w:hideMark/>
          </w:tcPr>
          <w:p w14:paraId="16ECE19D" w14:textId="5605D5CA" w:rsidR="0007132E" w:rsidRPr="0081032F" w:rsidRDefault="0007132E" w:rsidP="00FA7F1F">
            <w:pPr>
              <w:pStyle w:val="Tabletext"/>
              <w:keepNext/>
              <w:jc w:val="center"/>
            </w:pPr>
            <w:r w:rsidRPr="0081032F">
              <w:t>1</w:t>
            </w:r>
            <w:r w:rsidRPr="0081032F">
              <w:br/>
              <w:t>(7.7)</w:t>
            </w:r>
          </w:p>
        </w:tc>
        <w:tc>
          <w:tcPr>
            <w:tcW w:w="347" w:type="pct"/>
            <w:shd w:val="clear" w:color="auto" w:fill="C6D9F1" w:themeFill="text2" w:themeFillTint="33"/>
            <w:noWrap/>
            <w:vAlign w:val="center"/>
            <w:hideMark/>
          </w:tcPr>
          <w:p w14:paraId="18980D78" w14:textId="77777777" w:rsidR="0007132E" w:rsidRPr="0081032F" w:rsidRDefault="0007132E" w:rsidP="00FA7F1F">
            <w:pPr>
              <w:pStyle w:val="Tabletext"/>
              <w:keepNext/>
              <w:jc w:val="center"/>
            </w:pPr>
            <w:r w:rsidRPr="0081032F">
              <w:t>0</w:t>
            </w:r>
          </w:p>
        </w:tc>
        <w:tc>
          <w:tcPr>
            <w:tcW w:w="384" w:type="pct"/>
            <w:shd w:val="clear" w:color="auto" w:fill="auto"/>
            <w:noWrap/>
            <w:vAlign w:val="center"/>
            <w:hideMark/>
          </w:tcPr>
          <w:p w14:paraId="1C49685F" w14:textId="13D6D457" w:rsidR="0007132E" w:rsidRPr="0081032F" w:rsidRDefault="0007132E" w:rsidP="00FA7F1F">
            <w:pPr>
              <w:pStyle w:val="Tabletext"/>
              <w:keepNext/>
              <w:jc w:val="center"/>
              <w:rPr>
                <w:iCs/>
              </w:rPr>
            </w:pPr>
            <w:r w:rsidRPr="0081032F">
              <w:rPr>
                <w:iCs/>
              </w:rPr>
              <w:t>7</w:t>
            </w:r>
            <w:r w:rsidRPr="0081032F">
              <w:rPr>
                <w:iCs/>
              </w:rPr>
              <w:br/>
              <w:t>(53.8)</w:t>
            </w:r>
          </w:p>
        </w:tc>
        <w:tc>
          <w:tcPr>
            <w:tcW w:w="332" w:type="pct"/>
            <w:shd w:val="clear" w:color="auto" w:fill="C6D9F1" w:themeFill="text2" w:themeFillTint="33"/>
            <w:noWrap/>
            <w:vAlign w:val="center"/>
            <w:hideMark/>
          </w:tcPr>
          <w:p w14:paraId="4735CBB2" w14:textId="04E8A2E9" w:rsidR="0007132E" w:rsidRPr="0081032F" w:rsidRDefault="0007132E" w:rsidP="00FA7F1F">
            <w:pPr>
              <w:pStyle w:val="Tabletext"/>
              <w:keepNext/>
              <w:jc w:val="center"/>
            </w:pPr>
            <w:r w:rsidRPr="0081032F">
              <w:t xml:space="preserve">1 </w:t>
            </w:r>
            <w:r w:rsidRPr="0081032F">
              <w:br/>
              <w:t>(10)</w:t>
            </w:r>
          </w:p>
        </w:tc>
        <w:tc>
          <w:tcPr>
            <w:tcW w:w="384" w:type="pct"/>
            <w:shd w:val="clear" w:color="auto" w:fill="auto"/>
            <w:noWrap/>
            <w:vAlign w:val="center"/>
            <w:hideMark/>
          </w:tcPr>
          <w:p w14:paraId="75D43491" w14:textId="1DF44D8B" w:rsidR="0007132E" w:rsidRPr="0081032F" w:rsidRDefault="0007132E" w:rsidP="00FA7F1F">
            <w:pPr>
              <w:pStyle w:val="Tabletext"/>
              <w:keepNext/>
              <w:jc w:val="center"/>
            </w:pPr>
            <w:r w:rsidRPr="0081032F">
              <w:t>12</w:t>
            </w:r>
            <w:r w:rsidRPr="0081032F">
              <w:br/>
              <w:t>(92.3)</w:t>
            </w:r>
          </w:p>
        </w:tc>
        <w:tc>
          <w:tcPr>
            <w:tcW w:w="369" w:type="pct"/>
            <w:shd w:val="clear" w:color="auto" w:fill="C6D9F1" w:themeFill="text2" w:themeFillTint="33"/>
            <w:noWrap/>
            <w:vAlign w:val="center"/>
            <w:hideMark/>
          </w:tcPr>
          <w:p w14:paraId="68F194C3" w14:textId="1E11DD1E" w:rsidR="0007132E" w:rsidRPr="0081032F" w:rsidRDefault="0007132E" w:rsidP="00FA7F1F">
            <w:pPr>
              <w:pStyle w:val="Tabletext"/>
              <w:keepNext/>
              <w:jc w:val="center"/>
            </w:pPr>
            <w:r w:rsidRPr="0081032F">
              <w:t xml:space="preserve">9 </w:t>
            </w:r>
            <w:r w:rsidRPr="0081032F">
              <w:br/>
              <w:t>(90)</w:t>
            </w:r>
          </w:p>
        </w:tc>
        <w:tc>
          <w:tcPr>
            <w:tcW w:w="384" w:type="pct"/>
            <w:shd w:val="clear" w:color="auto" w:fill="auto"/>
            <w:noWrap/>
            <w:vAlign w:val="center"/>
            <w:hideMark/>
          </w:tcPr>
          <w:p w14:paraId="16E4E0DF" w14:textId="2E5C984C" w:rsidR="0007132E" w:rsidRPr="0081032F" w:rsidRDefault="0007132E" w:rsidP="00FA7F1F">
            <w:pPr>
              <w:pStyle w:val="Tabletext"/>
              <w:keepNext/>
              <w:jc w:val="center"/>
            </w:pPr>
            <w:r w:rsidRPr="0081032F">
              <w:t>12</w:t>
            </w:r>
            <w:r w:rsidRPr="0081032F">
              <w:br/>
              <w:t>(100)</w:t>
            </w:r>
          </w:p>
        </w:tc>
        <w:tc>
          <w:tcPr>
            <w:tcW w:w="369" w:type="pct"/>
            <w:shd w:val="clear" w:color="auto" w:fill="C6D9F1" w:themeFill="text2" w:themeFillTint="33"/>
            <w:noWrap/>
            <w:vAlign w:val="center"/>
            <w:hideMark/>
          </w:tcPr>
          <w:p w14:paraId="6593914B" w14:textId="314B71A1" w:rsidR="0007132E" w:rsidRPr="0081032F" w:rsidRDefault="0007132E" w:rsidP="00FA7F1F">
            <w:pPr>
              <w:pStyle w:val="Tabletext"/>
              <w:keepNext/>
              <w:jc w:val="center"/>
            </w:pPr>
            <w:r w:rsidRPr="0081032F">
              <w:t>10</w:t>
            </w:r>
            <w:r w:rsidRPr="0081032F">
              <w:br/>
              <w:t>(100)</w:t>
            </w:r>
          </w:p>
        </w:tc>
        <w:tc>
          <w:tcPr>
            <w:tcW w:w="384" w:type="pct"/>
            <w:shd w:val="clear" w:color="auto" w:fill="auto"/>
            <w:noWrap/>
            <w:vAlign w:val="center"/>
            <w:hideMark/>
          </w:tcPr>
          <w:p w14:paraId="6939D29E" w14:textId="3652F50C" w:rsidR="0007132E" w:rsidRPr="0081032F" w:rsidRDefault="0007132E" w:rsidP="00FA7F1F">
            <w:pPr>
              <w:pStyle w:val="Tabletext"/>
              <w:keepNext/>
              <w:jc w:val="center"/>
            </w:pPr>
            <w:r w:rsidRPr="0081032F">
              <w:t>13</w:t>
            </w:r>
            <w:r w:rsidRPr="0081032F">
              <w:br/>
              <w:t>(100)</w:t>
            </w:r>
          </w:p>
        </w:tc>
        <w:tc>
          <w:tcPr>
            <w:tcW w:w="369" w:type="pct"/>
            <w:shd w:val="clear" w:color="auto" w:fill="C6D9F1" w:themeFill="text2" w:themeFillTint="33"/>
            <w:noWrap/>
            <w:vAlign w:val="center"/>
            <w:hideMark/>
          </w:tcPr>
          <w:p w14:paraId="6A51F893" w14:textId="278F92BF" w:rsidR="0007132E" w:rsidRPr="0081032F" w:rsidRDefault="0007132E" w:rsidP="00FA7F1F">
            <w:pPr>
              <w:pStyle w:val="Tabletext"/>
              <w:keepNext/>
              <w:jc w:val="center"/>
            </w:pPr>
            <w:r w:rsidRPr="0081032F">
              <w:t xml:space="preserve">9 </w:t>
            </w:r>
            <w:r w:rsidRPr="0081032F">
              <w:br/>
              <w:t>(90)</w:t>
            </w:r>
          </w:p>
        </w:tc>
      </w:tr>
      <w:tr w:rsidR="000F466A" w:rsidRPr="00C61670" w14:paraId="70DB45F9" w14:textId="77777777" w:rsidTr="000F466A">
        <w:trPr>
          <w:trHeight w:val="239"/>
        </w:trPr>
        <w:tc>
          <w:tcPr>
            <w:tcW w:w="1330" w:type="pct"/>
            <w:shd w:val="clear" w:color="auto" w:fill="auto"/>
            <w:noWrap/>
            <w:vAlign w:val="center"/>
            <w:hideMark/>
          </w:tcPr>
          <w:p w14:paraId="2B76075E" w14:textId="77777777" w:rsidR="0007132E" w:rsidRPr="00C61670" w:rsidRDefault="0007132E" w:rsidP="00FA7F1F">
            <w:pPr>
              <w:pStyle w:val="Tabletext"/>
              <w:keepNext/>
            </w:pPr>
            <w:r w:rsidRPr="00C61670">
              <w:t>Sitting, stable</w:t>
            </w:r>
          </w:p>
        </w:tc>
        <w:tc>
          <w:tcPr>
            <w:tcW w:w="347" w:type="pct"/>
            <w:shd w:val="clear" w:color="auto" w:fill="auto"/>
            <w:noWrap/>
            <w:vAlign w:val="center"/>
            <w:hideMark/>
          </w:tcPr>
          <w:p w14:paraId="6A05743E" w14:textId="77777777" w:rsidR="0007132E" w:rsidRPr="00C61670" w:rsidRDefault="0007132E" w:rsidP="00FA7F1F">
            <w:pPr>
              <w:pStyle w:val="Tabletext"/>
              <w:keepNext/>
              <w:jc w:val="center"/>
            </w:pPr>
            <w:r w:rsidRPr="00C61670">
              <w:t>0</w:t>
            </w:r>
          </w:p>
        </w:tc>
        <w:tc>
          <w:tcPr>
            <w:tcW w:w="347" w:type="pct"/>
            <w:shd w:val="clear" w:color="auto" w:fill="C6D9F1" w:themeFill="text2" w:themeFillTint="33"/>
            <w:noWrap/>
            <w:vAlign w:val="center"/>
            <w:hideMark/>
          </w:tcPr>
          <w:p w14:paraId="6E495938"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0EF0AC5D" w14:textId="77777777" w:rsidR="0007132E" w:rsidRPr="00C61670" w:rsidRDefault="0007132E" w:rsidP="00FA7F1F">
            <w:pPr>
              <w:pStyle w:val="Tabletext"/>
              <w:keepNext/>
              <w:jc w:val="center"/>
            </w:pPr>
            <w:r w:rsidRPr="00C61670">
              <w:t>0</w:t>
            </w:r>
          </w:p>
        </w:tc>
        <w:tc>
          <w:tcPr>
            <w:tcW w:w="332" w:type="pct"/>
            <w:shd w:val="clear" w:color="auto" w:fill="C6D9F1" w:themeFill="text2" w:themeFillTint="33"/>
            <w:noWrap/>
            <w:vAlign w:val="center"/>
            <w:hideMark/>
          </w:tcPr>
          <w:p w14:paraId="4211185E"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24E0AAE9" w14:textId="49FD6481" w:rsidR="0007132E" w:rsidRPr="00C61670" w:rsidRDefault="0007132E" w:rsidP="00FA7F1F">
            <w:pPr>
              <w:pStyle w:val="Tabletext"/>
              <w:keepNext/>
              <w:jc w:val="center"/>
            </w:pPr>
            <w:r w:rsidRPr="00C61670">
              <w:t>9</w:t>
            </w:r>
            <w:r w:rsidRPr="00C61670">
              <w:br/>
              <w:t>(69.2)</w:t>
            </w:r>
          </w:p>
        </w:tc>
        <w:tc>
          <w:tcPr>
            <w:tcW w:w="369" w:type="pct"/>
            <w:shd w:val="clear" w:color="auto" w:fill="C6D9F1" w:themeFill="text2" w:themeFillTint="33"/>
            <w:noWrap/>
            <w:vAlign w:val="center"/>
            <w:hideMark/>
          </w:tcPr>
          <w:p w14:paraId="5A098189" w14:textId="19058EC5" w:rsidR="0007132E" w:rsidRPr="00C61670" w:rsidRDefault="0007132E" w:rsidP="00FA7F1F">
            <w:pPr>
              <w:pStyle w:val="Tabletext"/>
              <w:keepNext/>
              <w:jc w:val="center"/>
            </w:pPr>
            <w:r w:rsidRPr="00C61670">
              <w:t>5</w:t>
            </w:r>
            <w:r w:rsidRPr="00C61670">
              <w:br/>
              <w:t>(50)</w:t>
            </w:r>
          </w:p>
        </w:tc>
        <w:tc>
          <w:tcPr>
            <w:tcW w:w="384" w:type="pct"/>
            <w:shd w:val="clear" w:color="auto" w:fill="auto"/>
            <w:noWrap/>
            <w:vAlign w:val="center"/>
            <w:hideMark/>
          </w:tcPr>
          <w:p w14:paraId="39BB5D41" w14:textId="0542D03F" w:rsidR="0007132E" w:rsidRPr="00C61670" w:rsidRDefault="0007132E" w:rsidP="00FA7F1F">
            <w:pPr>
              <w:pStyle w:val="Tabletext"/>
              <w:keepNext/>
              <w:jc w:val="center"/>
            </w:pPr>
            <w:r w:rsidRPr="00C61670">
              <w:t>12</w:t>
            </w:r>
            <w:r w:rsidRPr="00C61670">
              <w:br/>
              <w:t>(100)</w:t>
            </w:r>
          </w:p>
        </w:tc>
        <w:tc>
          <w:tcPr>
            <w:tcW w:w="369" w:type="pct"/>
            <w:shd w:val="clear" w:color="auto" w:fill="C6D9F1" w:themeFill="text2" w:themeFillTint="33"/>
            <w:noWrap/>
            <w:vAlign w:val="center"/>
            <w:hideMark/>
          </w:tcPr>
          <w:p w14:paraId="63F56373" w14:textId="6F3BA899" w:rsidR="0007132E" w:rsidRPr="00C61670" w:rsidRDefault="0007132E" w:rsidP="00FA7F1F">
            <w:pPr>
              <w:pStyle w:val="Tabletext"/>
              <w:keepNext/>
              <w:jc w:val="center"/>
            </w:pPr>
            <w:r w:rsidRPr="00C61670">
              <w:t>10</w:t>
            </w:r>
            <w:r w:rsidRPr="00C61670">
              <w:br/>
              <w:t>(100)</w:t>
            </w:r>
          </w:p>
        </w:tc>
        <w:tc>
          <w:tcPr>
            <w:tcW w:w="384" w:type="pct"/>
            <w:shd w:val="clear" w:color="auto" w:fill="auto"/>
            <w:noWrap/>
            <w:vAlign w:val="center"/>
            <w:hideMark/>
          </w:tcPr>
          <w:p w14:paraId="57F50EA3" w14:textId="5EBFD9C2" w:rsidR="0007132E" w:rsidRPr="00C61670" w:rsidRDefault="0007132E" w:rsidP="00FA7F1F">
            <w:pPr>
              <w:pStyle w:val="Tabletext"/>
              <w:keepNext/>
              <w:jc w:val="center"/>
            </w:pPr>
            <w:r w:rsidRPr="00C61670">
              <w:t>13</w:t>
            </w:r>
            <w:r w:rsidRPr="00C61670">
              <w:br/>
              <w:t>(100)</w:t>
            </w:r>
          </w:p>
        </w:tc>
        <w:tc>
          <w:tcPr>
            <w:tcW w:w="369" w:type="pct"/>
            <w:shd w:val="clear" w:color="auto" w:fill="C6D9F1" w:themeFill="text2" w:themeFillTint="33"/>
            <w:noWrap/>
            <w:vAlign w:val="center"/>
            <w:hideMark/>
          </w:tcPr>
          <w:p w14:paraId="6F3F7793" w14:textId="0111E223" w:rsidR="0007132E" w:rsidRPr="00C61670" w:rsidRDefault="0007132E" w:rsidP="00FA7F1F">
            <w:pPr>
              <w:pStyle w:val="Tabletext"/>
              <w:keepNext/>
              <w:jc w:val="center"/>
            </w:pPr>
            <w:r w:rsidRPr="00C61670">
              <w:t>10</w:t>
            </w:r>
            <w:r w:rsidRPr="00C61670">
              <w:br/>
              <w:t>(100)</w:t>
            </w:r>
          </w:p>
        </w:tc>
      </w:tr>
      <w:tr w:rsidR="000F466A" w:rsidRPr="00C61670" w14:paraId="434895E7" w14:textId="77777777" w:rsidTr="000F466A">
        <w:trPr>
          <w:trHeight w:val="239"/>
        </w:trPr>
        <w:tc>
          <w:tcPr>
            <w:tcW w:w="1330" w:type="pct"/>
            <w:shd w:val="clear" w:color="auto" w:fill="auto"/>
            <w:noWrap/>
            <w:vAlign w:val="center"/>
            <w:hideMark/>
          </w:tcPr>
          <w:p w14:paraId="2718602A" w14:textId="77777777" w:rsidR="0007132E" w:rsidRPr="00C61670" w:rsidRDefault="0007132E" w:rsidP="00FA7F1F">
            <w:pPr>
              <w:pStyle w:val="Tabletext"/>
              <w:keepNext/>
            </w:pPr>
            <w:r w:rsidRPr="00C61670">
              <w:t>Crawling, on hands and knees</w:t>
            </w:r>
          </w:p>
        </w:tc>
        <w:tc>
          <w:tcPr>
            <w:tcW w:w="347" w:type="pct"/>
            <w:shd w:val="clear" w:color="auto" w:fill="auto"/>
            <w:noWrap/>
            <w:vAlign w:val="center"/>
            <w:hideMark/>
          </w:tcPr>
          <w:p w14:paraId="6D2DE4BA" w14:textId="77777777" w:rsidR="0007132E" w:rsidRPr="00C61670" w:rsidRDefault="0007132E" w:rsidP="00FA7F1F">
            <w:pPr>
              <w:pStyle w:val="Tabletext"/>
              <w:keepNext/>
              <w:jc w:val="center"/>
            </w:pPr>
            <w:r w:rsidRPr="00C61670">
              <w:t>0</w:t>
            </w:r>
          </w:p>
        </w:tc>
        <w:tc>
          <w:tcPr>
            <w:tcW w:w="347" w:type="pct"/>
            <w:shd w:val="clear" w:color="auto" w:fill="C6D9F1" w:themeFill="text2" w:themeFillTint="33"/>
            <w:noWrap/>
            <w:vAlign w:val="center"/>
            <w:hideMark/>
          </w:tcPr>
          <w:p w14:paraId="14AC99A0"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3C8E51E3" w14:textId="77777777" w:rsidR="0007132E" w:rsidRPr="00C61670" w:rsidRDefault="0007132E" w:rsidP="00FA7F1F">
            <w:pPr>
              <w:pStyle w:val="Tabletext"/>
              <w:keepNext/>
              <w:jc w:val="center"/>
            </w:pPr>
            <w:r w:rsidRPr="00C61670">
              <w:t>0</w:t>
            </w:r>
          </w:p>
        </w:tc>
        <w:tc>
          <w:tcPr>
            <w:tcW w:w="332" w:type="pct"/>
            <w:shd w:val="clear" w:color="auto" w:fill="C6D9F1" w:themeFill="text2" w:themeFillTint="33"/>
            <w:noWrap/>
            <w:vAlign w:val="center"/>
            <w:hideMark/>
          </w:tcPr>
          <w:p w14:paraId="3AE8453C"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7BB4EB7B" w14:textId="261D1974" w:rsidR="0007132E" w:rsidRPr="00C61670" w:rsidRDefault="0007132E" w:rsidP="00FA7F1F">
            <w:pPr>
              <w:pStyle w:val="Tabletext"/>
              <w:keepNext/>
              <w:jc w:val="center"/>
            </w:pPr>
            <w:r w:rsidRPr="00C61670">
              <w:t>2</w:t>
            </w:r>
            <w:r w:rsidRPr="00C61670">
              <w:br/>
              <w:t>(15.4)</w:t>
            </w:r>
          </w:p>
        </w:tc>
        <w:tc>
          <w:tcPr>
            <w:tcW w:w="369" w:type="pct"/>
            <w:shd w:val="clear" w:color="auto" w:fill="C6D9F1" w:themeFill="text2" w:themeFillTint="33"/>
            <w:noWrap/>
            <w:vAlign w:val="center"/>
            <w:hideMark/>
          </w:tcPr>
          <w:p w14:paraId="66BAC1F8" w14:textId="45664E95" w:rsidR="0007132E" w:rsidRPr="00C61670" w:rsidRDefault="0007132E" w:rsidP="00FA7F1F">
            <w:pPr>
              <w:pStyle w:val="Tabletext"/>
              <w:keepNext/>
              <w:jc w:val="center"/>
            </w:pPr>
            <w:r w:rsidRPr="00C61670">
              <w:t xml:space="preserve">1 </w:t>
            </w:r>
            <w:r w:rsidRPr="00C61670">
              <w:br/>
              <w:t>(10)</w:t>
            </w:r>
          </w:p>
        </w:tc>
        <w:tc>
          <w:tcPr>
            <w:tcW w:w="384" w:type="pct"/>
            <w:shd w:val="clear" w:color="auto" w:fill="auto"/>
            <w:noWrap/>
            <w:vAlign w:val="center"/>
            <w:hideMark/>
          </w:tcPr>
          <w:p w14:paraId="25B043B4" w14:textId="00E18E80" w:rsidR="0007132E" w:rsidRPr="00C61670" w:rsidRDefault="0007132E" w:rsidP="00FA7F1F">
            <w:pPr>
              <w:pStyle w:val="Tabletext"/>
              <w:keepNext/>
              <w:jc w:val="center"/>
            </w:pPr>
            <w:r w:rsidRPr="00C61670">
              <w:t>10</w:t>
            </w:r>
            <w:r w:rsidRPr="00C61670">
              <w:br/>
              <w:t>(83.3)</w:t>
            </w:r>
          </w:p>
        </w:tc>
        <w:tc>
          <w:tcPr>
            <w:tcW w:w="369" w:type="pct"/>
            <w:shd w:val="clear" w:color="auto" w:fill="C6D9F1" w:themeFill="text2" w:themeFillTint="33"/>
            <w:noWrap/>
            <w:vAlign w:val="center"/>
            <w:hideMark/>
          </w:tcPr>
          <w:p w14:paraId="7622067C" w14:textId="6824708E" w:rsidR="0007132E" w:rsidRPr="00C61670" w:rsidRDefault="0007132E" w:rsidP="00FA7F1F">
            <w:pPr>
              <w:pStyle w:val="Tabletext"/>
              <w:keepNext/>
              <w:jc w:val="center"/>
            </w:pPr>
            <w:r w:rsidRPr="00C61670">
              <w:t xml:space="preserve">8 </w:t>
            </w:r>
            <w:r w:rsidRPr="00C61670">
              <w:br/>
              <w:t>(80)</w:t>
            </w:r>
          </w:p>
        </w:tc>
        <w:tc>
          <w:tcPr>
            <w:tcW w:w="384" w:type="pct"/>
            <w:shd w:val="clear" w:color="auto" w:fill="auto"/>
            <w:noWrap/>
            <w:vAlign w:val="center"/>
            <w:hideMark/>
          </w:tcPr>
          <w:p w14:paraId="125FC8CC" w14:textId="58FEF04C" w:rsidR="0007132E" w:rsidRPr="00C61670" w:rsidRDefault="0007132E" w:rsidP="00FA7F1F">
            <w:pPr>
              <w:pStyle w:val="Tabletext"/>
              <w:keepNext/>
              <w:jc w:val="center"/>
            </w:pPr>
            <w:r w:rsidRPr="00C61670">
              <w:t>13</w:t>
            </w:r>
            <w:r w:rsidRPr="00C61670">
              <w:br/>
              <w:t>(100)</w:t>
            </w:r>
          </w:p>
        </w:tc>
        <w:tc>
          <w:tcPr>
            <w:tcW w:w="369" w:type="pct"/>
            <w:shd w:val="clear" w:color="auto" w:fill="C6D9F1" w:themeFill="text2" w:themeFillTint="33"/>
            <w:noWrap/>
            <w:vAlign w:val="center"/>
            <w:hideMark/>
          </w:tcPr>
          <w:p w14:paraId="7FA6F66C" w14:textId="47556A73" w:rsidR="0007132E" w:rsidRPr="00C61670" w:rsidRDefault="0007132E" w:rsidP="00FA7F1F">
            <w:pPr>
              <w:pStyle w:val="Tabletext"/>
              <w:keepNext/>
              <w:jc w:val="center"/>
            </w:pPr>
            <w:r w:rsidRPr="00C61670">
              <w:t xml:space="preserve">9 </w:t>
            </w:r>
            <w:r w:rsidRPr="00C61670">
              <w:br/>
              <w:t>(90)</w:t>
            </w:r>
          </w:p>
        </w:tc>
      </w:tr>
      <w:tr w:rsidR="000F466A" w:rsidRPr="00C61670" w14:paraId="0183EFDC" w14:textId="77777777" w:rsidTr="000F466A">
        <w:trPr>
          <w:trHeight w:val="239"/>
        </w:trPr>
        <w:tc>
          <w:tcPr>
            <w:tcW w:w="1330" w:type="pct"/>
            <w:shd w:val="clear" w:color="auto" w:fill="auto"/>
            <w:noWrap/>
            <w:vAlign w:val="center"/>
            <w:hideMark/>
          </w:tcPr>
          <w:p w14:paraId="52ABA4BF" w14:textId="77777777" w:rsidR="0007132E" w:rsidRPr="00C61670" w:rsidRDefault="0007132E" w:rsidP="00FA7F1F">
            <w:pPr>
              <w:pStyle w:val="Tabletext"/>
              <w:keepNext/>
            </w:pPr>
            <w:r w:rsidRPr="00C61670">
              <w:t>Stands unaided</w:t>
            </w:r>
          </w:p>
        </w:tc>
        <w:tc>
          <w:tcPr>
            <w:tcW w:w="347" w:type="pct"/>
            <w:shd w:val="clear" w:color="auto" w:fill="auto"/>
            <w:noWrap/>
            <w:vAlign w:val="center"/>
            <w:hideMark/>
          </w:tcPr>
          <w:p w14:paraId="1DDC0775" w14:textId="77777777" w:rsidR="0007132E" w:rsidRPr="00C61670" w:rsidRDefault="0007132E" w:rsidP="00FA7F1F">
            <w:pPr>
              <w:pStyle w:val="Tabletext"/>
              <w:keepNext/>
              <w:jc w:val="center"/>
            </w:pPr>
            <w:r w:rsidRPr="00C61670">
              <w:t>0</w:t>
            </w:r>
          </w:p>
        </w:tc>
        <w:tc>
          <w:tcPr>
            <w:tcW w:w="347" w:type="pct"/>
            <w:shd w:val="clear" w:color="auto" w:fill="C6D9F1" w:themeFill="text2" w:themeFillTint="33"/>
            <w:noWrap/>
            <w:vAlign w:val="center"/>
            <w:hideMark/>
          </w:tcPr>
          <w:p w14:paraId="1D16E5B4"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1276E7D6" w14:textId="77777777" w:rsidR="0007132E" w:rsidRPr="00C61670" w:rsidRDefault="0007132E" w:rsidP="00FA7F1F">
            <w:pPr>
              <w:pStyle w:val="Tabletext"/>
              <w:keepNext/>
              <w:jc w:val="center"/>
            </w:pPr>
            <w:r w:rsidRPr="00C61670">
              <w:t>0</w:t>
            </w:r>
          </w:p>
        </w:tc>
        <w:tc>
          <w:tcPr>
            <w:tcW w:w="332" w:type="pct"/>
            <w:shd w:val="clear" w:color="auto" w:fill="C6D9F1" w:themeFill="text2" w:themeFillTint="33"/>
            <w:noWrap/>
            <w:vAlign w:val="center"/>
            <w:hideMark/>
          </w:tcPr>
          <w:p w14:paraId="76A8AE1E"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402CA9A3" w14:textId="77777777" w:rsidR="0007132E" w:rsidRPr="00C61670" w:rsidRDefault="0007132E" w:rsidP="00FA7F1F">
            <w:pPr>
              <w:pStyle w:val="Tabletext"/>
              <w:keepNext/>
              <w:jc w:val="center"/>
            </w:pPr>
            <w:r w:rsidRPr="00C61670">
              <w:t>0</w:t>
            </w:r>
          </w:p>
        </w:tc>
        <w:tc>
          <w:tcPr>
            <w:tcW w:w="369" w:type="pct"/>
            <w:shd w:val="clear" w:color="auto" w:fill="C6D9F1" w:themeFill="text2" w:themeFillTint="33"/>
            <w:noWrap/>
            <w:vAlign w:val="center"/>
            <w:hideMark/>
          </w:tcPr>
          <w:p w14:paraId="0C74AC0F"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72F966C1" w14:textId="77777777" w:rsidR="0007132E" w:rsidRPr="00C61670" w:rsidRDefault="0007132E" w:rsidP="00FA7F1F">
            <w:pPr>
              <w:pStyle w:val="Tabletext"/>
              <w:keepNext/>
              <w:jc w:val="center"/>
            </w:pPr>
            <w:r w:rsidRPr="00C61670">
              <w:t>0</w:t>
            </w:r>
          </w:p>
        </w:tc>
        <w:tc>
          <w:tcPr>
            <w:tcW w:w="369" w:type="pct"/>
            <w:shd w:val="clear" w:color="auto" w:fill="C6D9F1" w:themeFill="text2" w:themeFillTint="33"/>
            <w:noWrap/>
            <w:vAlign w:val="center"/>
            <w:hideMark/>
          </w:tcPr>
          <w:p w14:paraId="64E7F9DD" w14:textId="32E1ABA0" w:rsidR="0007132E" w:rsidRPr="00C61670" w:rsidRDefault="0007132E" w:rsidP="00FA7F1F">
            <w:pPr>
              <w:pStyle w:val="Tabletext"/>
              <w:keepNext/>
              <w:jc w:val="center"/>
            </w:pPr>
            <w:r w:rsidRPr="00C61670">
              <w:t>1</w:t>
            </w:r>
            <w:r w:rsidRPr="00C61670">
              <w:br/>
              <w:t>(10)</w:t>
            </w:r>
          </w:p>
        </w:tc>
        <w:tc>
          <w:tcPr>
            <w:tcW w:w="384" w:type="pct"/>
            <w:shd w:val="clear" w:color="auto" w:fill="auto"/>
            <w:noWrap/>
            <w:vAlign w:val="center"/>
            <w:hideMark/>
          </w:tcPr>
          <w:p w14:paraId="326987F3" w14:textId="1681D78B" w:rsidR="0007132E" w:rsidRPr="00C61670" w:rsidRDefault="0007132E" w:rsidP="00FA7F1F">
            <w:pPr>
              <w:pStyle w:val="Tabletext"/>
              <w:keepNext/>
              <w:jc w:val="center"/>
            </w:pPr>
            <w:r w:rsidRPr="00C61670">
              <w:t>10</w:t>
            </w:r>
            <w:r w:rsidRPr="00C61670">
              <w:br/>
              <w:t>(76.9)</w:t>
            </w:r>
          </w:p>
        </w:tc>
        <w:tc>
          <w:tcPr>
            <w:tcW w:w="369" w:type="pct"/>
            <w:shd w:val="clear" w:color="auto" w:fill="C6D9F1" w:themeFill="text2" w:themeFillTint="33"/>
            <w:noWrap/>
            <w:vAlign w:val="center"/>
            <w:hideMark/>
          </w:tcPr>
          <w:p w14:paraId="15914800" w14:textId="0E36AEBD" w:rsidR="0007132E" w:rsidRPr="00C61670" w:rsidRDefault="0007132E" w:rsidP="00FA7F1F">
            <w:pPr>
              <w:pStyle w:val="Tabletext"/>
              <w:keepNext/>
              <w:jc w:val="center"/>
            </w:pPr>
            <w:r w:rsidRPr="00C61670">
              <w:t xml:space="preserve">7 </w:t>
            </w:r>
            <w:r w:rsidRPr="00C61670">
              <w:br/>
              <w:t>(70)</w:t>
            </w:r>
          </w:p>
        </w:tc>
      </w:tr>
      <w:tr w:rsidR="000F466A" w:rsidRPr="00C61670" w14:paraId="0C2A889D" w14:textId="77777777" w:rsidTr="000F466A">
        <w:trPr>
          <w:trHeight w:val="239"/>
        </w:trPr>
        <w:tc>
          <w:tcPr>
            <w:tcW w:w="1330" w:type="pct"/>
            <w:shd w:val="clear" w:color="auto" w:fill="auto"/>
            <w:noWrap/>
            <w:vAlign w:val="center"/>
            <w:hideMark/>
          </w:tcPr>
          <w:p w14:paraId="3D9585D1" w14:textId="77777777" w:rsidR="0007132E" w:rsidRPr="00C61670" w:rsidRDefault="0007132E" w:rsidP="00FA7F1F">
            <w:pPr>
              <w:pStyle w:val="Tabletext"/>
              <w:keepNext/>
            </w:pPr>
            <w:r w:rsidRPr="00C61670">
              <w:t>Cruising (walk holding on)</w:t>
            </w:r>
          </w:p>
        </w:tc>
        <w:tc>
          <w:tcPr>
            <w:tcW w:w="347" w:type="pct"/>
            <w:shd w:val="clear" w:color="auto" w:fill="auto"/>
            <w:noWrap/>
            <w:vAlign w:val="center"/>
            <w:hideMark/>
          </w:tcPr>
          <w:p w14:paraId="2C3B73ED" w14:textId="77777777" w:rsidR="0007132E" w:rsidRPr="00C61670" w:rsidRDefault="0007132E" w:rsidP="00FA7F1F">
            <w:pPr>
              <w:pStyle w:val="Tabletext"/>
              <w:keepNext/>
              <w:jc w:val="center"/>
            </w:pPr>
            <w:r w:rsidRPr="00C61670">
              <w:t>0</w:t>
            </w:r>
          </w:p>
        </w:tc>
        <w:tc>
          <w:tcPr>
            <w:tcW w:w="347" w:type="pct"/>
            <w:shd w:val="clear" w:color="auto" w:fill="C6D9F1" w:themeFill="text2" w:themeFillTint="33"/>
            <w:noWrap/>
            <w:vAlign w:val="center"/>
            <w:hideMark/>
          </w:tcPr>
          <w:p w14:paraId="7FDB1799"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132533E2" w14:textId="77777777" w:rsidR="0007132E" w:rsidRPr="00C61670" w:rsidRDefault="0007132E" w:rsidP="00FA7F1F">
            <w:pPr>
              <w:pStyle w:val="Tabletext"/>
              <w:keepNext/>
              <w:jc w:val="center"/>
            </w:pPr>
            <w:r w:rsidRPr="00C61670">
              <w:t>0</w:t>
            </w:r>
          </w:p>
        </w:tc>
        <w:tc>
          <w:tcPr>
            <w:tcW w:w="332" w:type="pct"/>
            <w:shd w:val="clear" w:color="auto" w:fill="C6D9F1" w:themeFill="text2" w:themeFillTint="33"/>
            <w:noWrap/>
            <w:vAlign w:val="center"/>
            <w:hideMark/>
          </w:tcPr>
          <w:p w14:paraId="15441CC7"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7110B031" w14:textId="77777777" w:rsidR="0007132E" w:rsidRPr="00C61670" w:rsidRDefault="0007132E" w:rsidP="00FA7F1F">
            <w:pPr>
              <w:pStyle w:val="Tabletext"/>
              <w:keepNext/>
              <w:jc w:val="center"/>
            </w:pPr>
            <w:r w:rsidRPr="00C61670">
              <w:t>0</w:t>
            </w:r>
          </w:p>
        </w:tc>
        <w:tc>
          <w:tcPr>
            <w:tcW w:w="369" w:type="pct"/>
            <w:shd w:val="clear" w:color="auto" w:fill="C6D9F1" w:themeFill="text2" w:themeFillTint="33"/>
            <w:noWrap/>
            <w:vAlign w:val="center"/>
            <w:hideMark/>
          </w:tcPr>
          <w:p w14:paraId="284446F5" w14:textId="62DA47D3" w:rsidR="0007132E" w:rsidRPr="00C61670" w:rsidRDefault="0007132E" w:rsidP="00FA7F1F">
            <w:pPr>
              <w:pStyle w:val="Tabletext"/>
              <w:keepNext/>
              <w:jc w:val="center"/>
            </w:pPr>
            <w:r w:rsidRPr="00C61670">
              <w:t>1</w:t>
            </w:r>
            <w:r w:rsidRPr="00C61670">
              <w:br/>
              <w:t>(10)</w:t>
            </w:r>
          </w:p>
        </w:tc>
        <w:tc>
          <w:tcPr>
            <w:tcW w:w="384" w:type="pct"/>
            <w:shd w:val="clear" w:color="auto" w:fill="auto"/>
            <w:noWrap/>
            <w:vAlign w:val="center"/>
            <w:hideMark/>
          </w:tcPr>
          <w:p w14:paraId="5E62E1EB" w14:textId="6B024836" w:rsidR="0007132E" w:rsidRPr="00C61670" w:rsidRDefault="0007132E" w:rsidP="00FA7F1F">
            <w:pPr>
              <w:pStyle w:val="Tabletext"/>
              <w:keepNext/>
              <w:jc w:val="center"/>
            </w:pPr>
            <w:r w:rsidRPr="00C61670">
              <w:t>5</w:t>
            </w:r>
            <w:r w:rsidRPr="00C61670">
              <w:br/>
              <w:t>(41.7)</w:t>
            </w:r>
          </w:p>
        </w:tc>
        <w:tc>
          <w:tcPr>
            <w:tcW w:w="369" w:type="pct"/>
            <w:shd w:val="clear" w:color="auto" w:fill="C6D9F1" w:themeFill="text2" w:themeFillTint="33"/>
            <w:noWrap/>
            <w:vAlign w:val="center"/>
            <w:hideMark/>
          </w:tcPr>
          <w:p w14:paraId="1281E810" w14:textId="5199224C" w:rsidR="0007132E" w:rsidRPr="00C61670" w:rsidRDefault="0007132E" w:rsidP="00FA7F1F">
            <w:pPr>
              <w:pStyle w:val="Tabletext"/>
              <w:keepNext/>
              <w:jc w:val="center"/>
            </w:pPr>
            <w:r w:rsidRPr="00C61670">
              <w:t>7</w:t>
            </w:r>
            <w:r w:rsidRPr="00C61670">
              <w:br/>
              <w:t>(70)</w:t>
            </w:r>
          </w:p>
        </w:tc>
        <w:tc>
          <w:tcPr>
            <w:tcW w:w="384" w:type="pct"/>
            <w:shd w:val="clear" w:color="auto" w:fill="auto"/>
            <w:noWrap/>
            <w:vAlign w:val="center"/>
            <w:hideMark/>
          </w:tcPr>
          <w:p w14:paraId="1CB072AD" w14:textId="7AC59FFD" w:rsidR="0007132E" w:rsidRPr="00C61670" w:rsidRDefault="0007132E" w:rsidP="00FA7F1F">
            <w:pPr>
              <w:pStyle w:val="Tabletext"/>
              <w:keepNext/>
              <w:jc w:val="center"/>
            </w:pPr>
            <w:r w:rsidRPr="00C61670">
              <w:t>12</w:t>
            </w:r>
            <w:r w:rsidRPr="00C61670">
              <w:br/>
              <w:t>(92.3)</w:t>
            </w:r>
          </w:p>
        </w:tc>
        <w:tc>
          <w:tcPr>
            <w:tcW w:w="369" w:type="pct"/>
            <w:shd w:val="clear" w:color="auto" w:fill="C6D9F1" w:themeFill="text2" w:themeFillTint="33"/>
            <w:noWrap/>
            <w:vAlign w:val="center"/>
            <w:hideMark/>
          </w:tcPr>
          <w:p w14:paraId="382C078D" w14:textId="0A9799B6" w:rsidR="0007132E" w:rsidRPr="00C61670" w:rsidRDefault="0007132E" w:rsidP="00FA7F1F">
            <w:pPr>
              <w:pStyle w:val="Tabletext"/>
              <w:keepNext/>
              <w:jc w:val="center"/>
            </w:pPr>
            <w:r w:rsidRPr="00C61670">
              <w:t>10</w:t>
            </w:r>
            <w:r w:rsidRPr="00C61670">
              <w:br/>
              <w:t>(100)</w:t>
            </w:r>
          </w:p>
        </w:tc>
      </w:tr>
      <w:tr w:rsidR="000F466A" w:rsidRPr="00C61670" w14:paraId="7F895D95" w14:textId="77777777" w:rsidTr="000F466A">
        <w:trPr>
          <w:trHeight w:val="239"/>
        </w:trPr>
        <w:tc>
          <w:tcPr>
            <w:tcW w:w="1330" w:type="pct"/>
            <w:shd w:val="clear" w:color="auto" w:fill="auto"/>
            <w:noWrap/>
            <w:vAlign w:val="center"/>
            <w:hideMark/>
          </w:tcPr>
          <w:p w14:paraId="56C7A116" w14:textId="77777777" w:rsidR="0007132E" w:rsidRPr="00C61670" w:rsidRDefault="0007132E" w:rsidP="00FA7F1F">
            <w:pPr>
              <w:pStyle w:val="Tabletext"/>
              <w:keepNext/>
            </w:pPr>
            <w:r w:rsidRPr="00C61670">
              <w:t>Walking independently</w:t>
            </w:r>
          </w:p>
        </w:tc>
        <w:tc>
          <w:tcPr>
            <w:tcW w:w="347" w:type="pct"/>
            <w:shd w:val="clear" w:color="auto" w:fill="auto"/>
            <w:noWrap/>
            <w:vAlign w:val="center"/>
            <w:hideMark/>
          </w:tcPr>
          <w:p w14:paraId="437BAFB8" w14:textId="77777777" w:rsidR="0007132E" w:rsidRPr="00C61670" w:rsidRDefault="0007132E" w:rsidP="00FA7F1F">
            <w:pPr>
              <w:pStyle w:val="Tabletext"/>
              <w:keepNext/>
              <w:jc w:val="center"/>
            </w:pPr>
            <w:r w:rsidRPr="00C61670">
              <w:t>0</w:t>
            </w:r>
          </w:p>
        </w:tc>
        <w:tc>
          <w:tcPr>
            <w:tcW w:w="347" w:type="pct"/>
            <w:shd w:val="clear" w:color="auto" w:fill="C6D9F1" w:themeFill="text2" w:themeFillTint="33"/>
            <w:noWrap/>
            <w:vAlign w:val="center"/>
            <w:hideMark/>
          </w:tcPr>
          <w:p w14:paraId="7B1100CE"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5658CC4E" w14:textId="77777777" w:rsidR="0007132E" w:rsidRPr="00C61670" w:rsidRDefault="0007132E" w:rsidP="00FA7F1F">
            <w:pPr>
              <w:pStyle w:val="Tabletext"/>
              <w:keepNext/>
              <w:jc w:val="center"/>
            </w:pPr>
            <w:r w:rsidRPr="00C61670">
              <w:t>0</w:t>
            </w:r>
          </w:p>
        </w:tc>
        <w:tc>
          <w:tcPr>
            <w:tcW w:w="332" w:type="pct"/>
            <w:shd w:val="clear" w:color="auto" w:fill="C6D9F1" w:themeFill="text2" w:themeFillTint="33"/>
            <w:noWrap/>
            <w:vAlign w:val="center"/>
            <w:hideMark/>
          </w:tcPr>
          <w:p w14:paraId="27A2B4B6"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27FB84EF" w14:textId="77777777" w:rsidR="0007132E" w:rsidRPr="00C61670" w:rsidRDefault="0007132E" w:rsidP="00FA7F1F">
            <w:pPr>
              <w:pStyle w:val="Tabletext"/>
              <w:keepNext/>
              <w:jc w:val="center"/>
            </w:pPr>
            <w:r w:rsidRPr="00C61670">
              <w:t>0</w:t>
            </w:r>
          </w:p>
        </w:tc>
        <w:tc>
          <w:tcPr>
            <w:tcW w:w="369" w:type="pct"/>
            <w:shd w:val="clear" w:color="auto" w:fill="C6D9F1" w:themeFill="text2" w:themeFillTint="33"/>
            <w:noWrap/>
            <w:vAlign w:val="center"/>
            <w:hideMark/>
          </w:tcPr>
          <w:p w14:paraId="77277DFE"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411969D1" w14:textId="77777777" w:rsidR="0007132E" w:rsidRPr="00C61670" w:rsidRDefault="0007132E" w:rsidP="00FA7F1F">
            <w:pPr>
              <w:pStyle w:val="Tabletext"/>
              <w:keepNext/>
              <w:jc w:val="center"/>
            </w:pPr>
            <w:r w:rsidRPr="00C61670">
              <w:t>0</w:t>
            </w:r>
          </w:p>
        </w:tc>
        <w:tc>
          <w:tcPr>
            <w:tcW w:w="369" w:type="pct"/>
            <w:shd w:val="clear" w:color="auto" w:fill="C6D9F1" w:themeFill="text2" w:themeFillTint="33"/>
            <w:noWrap/>
            <w:vAlign w:val="center"/>
            <w:hideMark/>
          </w:tcPr>
          <w:p w14:paraId="06FD4A2D" w14:textId="77777777" w:rsidR="0007132E" w:rsidRPr="00C61670" w:rsidRDefault="0007132E" w:rsidP="00FA7F1F">
            <w:pPr>
              <w:pStyle w:val="Tabletext"/>
              <w:keepNext/>
              <w:jc w:val="center"/>
            </w:pPr>
            <w:r w:rsidRPr="00C61670">
              <w:t>0</w:t>
            </w:r>
          </w:p>
        </w:tc>
        <w:tc>
          <w:tcPr>
            <w:tcW w:w="384" w:type="pct"/>
            <w:shd w:val="clear" w:color="auto" w:fill="auto"/>
            <w:noWrap/>
            <w:vAlign w:val="center"/>
            <w:hideMark/>
          </w:tcPr>
          <w:p w14:paraId="3E134C42" w14:textId="74F084B3" w:rsidR="0007132E" w:rsidRPr="00C61670" w:rsidRDefault="0007132E" w:rsidP="00FA7F1F">
            <w:pPr>
              <w:pStyle w:val="Tabletext"/>
              <w:keepNext/>
              <w:jc w:val="center"/>
            </w:pPr>
            <w:r w:rsidRPr="00C61670">
              <w:t>9</w:t>
            </w:r>
            <w:r w:rsidRPr="00C61670">
              <w:br/>
              <w:t>(69.2)</w:t>
            </w:r>
          </w:p>
        </w:tc>
        <w:tc>
          <w:tcPr>
            <w:tcW w:w="369" w:type="pct"/>
            <w:shd w:val="clear" w:color="auto" w:fill="C6D9F1" w:themeFill="text2" w:themeFillTint="33"/>
            <w:noWrap/>
            <w:vAlign w:val="center"/>
            <w:hideMark/>
          </w:tcPr>
          <w:p w14:paraId="05614464" w14:textId="4A1FBFF6" w:rsidR="0007132E" w:rsidRPr="00C61670" w:rsidRDefault="0007132E" w:rsidP="00FA7F1F">
            <w:pPr>
              <w:pStyle w:val="Tabletext"/>
              <w:keepNext/>
              <w:jc w:val="center"/>
            </w:pPr>
            <w:r w:rsidRPr="00C61670">
              <w:t xml:space="preserve">5 </w:t>
            </w:r>
            <w:r w:rsidRPr="00C61670">
              <w:br/>
              <w:t>(50)</w:t>
            </w:r>
          </w:p>
        </w:tc>
      </w:tr>
    </w:tbl>
    <w:p w14:paraId="53D8123E" w14:textId="77777777" w:rsidR="0007132E" w:rsidRPr="00C61670" w:rsidRDefault="0007132E" w:rsidP="00FA7F1F">
      <w:pPr>
        <w:pStyle w:val="TableFooter"/>
        <w:keepNext/>
        <w:rPr>
          <w:i/>
          <w:iCs/>
        </w:rPr>
      </w:pPr>
      <w:r w:rsidRPr="00C61670">
        <w:t>HINE-2 = Hammersmith Infant Neurological Examination Module 2; NUSI = nusinersen; RIS = risdiplam; SMN = survival of motor neuron</w:t>
      </w:r>
    </w:p>
    <w:p w14:paraId="2340AAC5" w14:textId="0CFCC01A" w:rsidR="0007132E" w:rsidRPr="00C61670" w:rsidRDefault="0007132E" w:rsidP="00FA7F1F">
      <w:pPr>
        <w:pStyle w:val="TableFooter"/>
        <w:keepNext/>
      </w:pPr>
      <w:r w:rsidRPr="00C61670">
        <w:t xml:space="preserve">Note: NURTURE assessment schedule differs to RAINBOWFISH and hence results are grouped according to closest assessment schedule time point. </w:t>
      </w:r>
    </w:p>
    <w:p w14:paraId="02E3FDAB" w14:textId="7C1485CC" w:rsidR="0007132E" w:rsidRPr="00C61670" w:rsidRDefault="0007132E" w:rsidP="00FA7F1F">
      <w:pPr>
        <w:pStyle w:val="TableFooter"/>
        <w:keepNext/>
      </w:pPr>
      <w:r w:rsidRPr="00C61670">
        <w:t>Blue shading indicates data previous</w:t>
      </w:r>
      <w:r w:rsidR="00051B08">
        <w:t>ly</w:t>
      </w:r>
      <w:r w:rsidRPr="00C61670">
        <w:t xml:space="preserve"> </w:t>
      </w:r>
      <w:r w:rsidR="00051B08">
        <w:t xml:space="preserve">presented in the </w:t>
      </w:r>
      <w:r w:rsidR="00296661">
        <w:t xml:space="preserve">July </w:t>
      </w:r>
      <w:r w:rsidR="00051B08">
        <w:t xml:space="preserve">2023 </w:t>
      </w:r>
      <w:r w:rsidR="0017549A">
        <w:t>nusinersen</w:t>
      </w:r>
      <w:r w:rsidR="00F12369">
        <w:t xml:space="preserve"> </w:t>
      </w:r>
      <w:r w:rsidR="00051B08">
        <w:t>submission</w:t>
      </w:r>
      <w:r w:rsidRPr="00C61670">
        <w:t>.</w:t>
      </w:r>
    </w:p>
    <w:p w14:paraId="7F874223" w14:textId="04B0FCDD" w:rsidR="0007132E" w:rsidRPr="00C61670" w:rsidRDefault="0007132E" w:rsidP="0007132E">
      <w:pPr>
        <w:pStyle w:val="TableFooter"/>
      </w:pPr>
      <w:r w:rsidRPr="00C61670">
        <w:t>Source: Table 2.25</w:t>
      </w:r>
      <w:r w:rsidR="009D7FA9">
        <w:t xml:space="preserve"> </w:t>
      </w:r>
      <w:r w:rsidRPr="00C61670">
        <w:t xml:space="preserve">of the </w:t>
      </w:r>
      <w:r w:rsidR="0007089E">
        <w:t>submission</w:t>
      </w:r>
      <w:r w:rsidRPr="00C61670">
        <w:t>.</w:t>
      </w:r>
    </w:p>
    <w:p w14:paraId="030141B1" w14:textId="77777777" w:rsidR="0007132E" w:rsidRPr="00C61670" w:rsidRDefault="0007132E" w:rsidP="0007132E"/>
    <w:p w14:paraId="29C50C85" w14:textId="6B5414DD" w:rsidR="00854577" w:rsidRPr="0081032F" w:rsidRDefault="0007132E" w:rsidP="00854577">
      <w:pPr>
        <w:pStyle w:val="3-BodyText"/>
        <w:rPr>
          <w:iCs/>
        </w:rPr>
      </w:pPr>
      <w:r w:rsidRPr="00C61670">
        <w:t xml:space="preserve">The </w:t>
      </w:r>
      <w:r w:rsidR="0007089E">
        <w:t>submission</w:t>
      </w:r>
      <w:r w:rsidRPr="00C61670">
        <w:t xml:space="preserve"> quantitatively compared the</w:t>
      </w:r>
      <w:r w:rsidR="00854577" w:rsidRPr="0081032F">
        <w:rPr>
          <w:iCs/>
        </w:rPr>
        <w:t xml:space="preserve"> Children's Hospital of Philadelphia Infant Test of Neuromuscular Disorders</w:t>
      </w:r>
      <w:r w:rsidR="00854577" w:rsidRPr="00C61670">
        <w:t xml:space="preserve"> </w:t>
      </w:r>
      <w:r w:rsidR="00854577">
        <w:t>(</w:t>
      </w:r>
      <w:r w:rsidRPr="00C61670">
        <w:t>CHOP-INTEND</w:t>
      </w:r>
      <w:r w:rsidR="00854577">
        <w:t>)</w:t>
      </w:r>
      <w:r w:rsidRPr="00C61670">
        <w:t xml:space="preserve"> total scores for RAINBOWFISH and NURTURE (</w:t>
      </w:r>
      <w:r w:rsidRPr="00C61670">
        <w:fldChar w:fldCharType="begin" w:fldLock="1"/>
      </w:r>
      <w:r w:rsidRPr="00C61670">
        <w:instrText xml:space="preserve"> REF _Ref165837072 \h  \* MERGEFORMAT </w:instrText>
      </w:r>
      <w:r w:rsidRPr="00C61670">
        <w:fldChar w:fldCharType="separate"/>
      </w:r>
      <w:r w:rsidR="00AA25E7" w:rsidRPr="00C61670">
        <w:t xml:space="preserve">Table </w:t>
      </w:r>
      <w:r w:rsidR="00AA25E7">
        <w:rPr>
          <w:noProof/>
        </w:rPr>
        <w:t>7</w:t>
      </w:r>
      <w:r w:rsidRPr="00C61670">
        <w:fldChar w:fldCharType="end"/>
      </w:r>
      <w:r w:rsidRPr="00C61670">
        <w:t xml:space="preserve">). </w:t>
      </w:r>
      <w:r w:rsidR="00EB25A6" w:rsidRPr="0081032F">
        <w:rPr>
          <w:iCs/>
        </w:rPr>
        <w:t>CHOP-INTEND is a measure of motor function that was developed to evaluate both active and elicited reflex movement such as spontaneous movement of upper and lower extremity, hand grasping, rolling, head control, and others. It consists of 16 items, each assessing a specific motor task, with a total score range of 0 to 61, with higher scores consistent with better motor function.</w:t>
      </w:r>
      <w:r w:rsidR="00EB25A6">
        <w:rPr>
          <w:iCs/>
        </w:rPr>
        <w:t xml:space="preserve"> </w:t>
      </w:r>
      <w:r w:rsidR="00854577" w:rsidRPr="0081032F">
        <w:rPr>
          <w:iCs/>
        </w:rPr>
        <w:t>The PBAC previously considered the outcome of CHOP-INTEND</w:t>
      </w:r>
      <w:r w:rsidR="00854577" w:rsidRPr="00C61670">
        <w:t xml:space="preserve"> </w:t>
      </w:r>
      <w:r w:rsidR="00854577" w:rsidRPr="0081032F">
        <w:rPr>
          <w:iCs/>
        </w:rPr>
        <w:t xml:space="preserve">for risdiplam at the March 2021 and March 2023 PBAC meetings. </w:t>
      </w:r>
    </w:p>
    <w:p w14:paraId="10C879C4" w14:textId="6F790AB8" w:rsidR="0007132E" w:rsidRPr="00C61670" w:rsidRDefault="0007132E" w:rsidP="00D54E10">
      <w:pPr>
        <w:pStyle w:val="Caption"/>
        <w:rPr>
          <w:rStyle w:val="CommentReference"/>
          <w:b/>
          <w:szCs w:val="24"/>
        </w:rPr>
      </w:pPr>
      <w:bookmarkStart w:id="26" w:name="_Ref165837072"/>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7</w:t>
      </w:r>
      <w:r w:rsidR="002906A9">
        <w:rPr>
          <w:noProof/>
        </w:rPr>
        <w:fldChar w:fldCharType="end"/>
      </w:r>
      <w:bookmarkEnd w:id="26"/>
      <w:r w:rsidRPr="00C61670">
        <w:rPr>
          <w:rStyle w:val="CommentReference"/>
          <w:b/>
          <w:szCs w:val="24"/>
        </w:rPr>
        <w:t>:</w:t>
      </w:r>
      <w:r w:rsidR="003A2867" w:rsidRPr="00C61670">
        <w:rPr>
          <w:rStyle w:val="CommentReference"/>
          <w:b/>
          <w:szCs w:val="24"/>
        </w:rPr>
        <w:t xml:space="preserve"> </w:t>
      </w:r>
      <w:r w:rsidRPr="00C61670">
        <w:rPr>
          <w:rStyle w:val="CommentReference"/>
          <w:b/>
          <w:szCs w:val="24"/>
        </w:rPr>
        <w:t xml:space="preserve">CHOP-INTEND total score RAINBOWFISH vs. NURTURE in patients with 3 </w:t>
      </w:r>
      <w:r w:rsidRPr="002E186F">
        <w:rPr>
          <w:rStyle w:val="CommentReference"/>
          <w:b/>
          <w:i/>
          <w:iCs/>
          <w:szCs w:val="24"/>
        </w:rPr>
        <w:t>SMN2</w:t>
      </w:r>
      <w:r w:rsidRPr="00C61670">
        <w:rPr>
          <w:rStyle w:val="CommentReference"/>
          <w:b/>
          <w:szCs w:val="24"/>
        </w:rPr>
        <w:t xml:space="preserve"> gene copies</w:t>
      </w:r>
    </w:p>
    <w:tbl>
      <w:tblPr>
        <w:tblStyle w:val="HTAtableplai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7: CHOP-INTEND total score RAINBOWFISH vs. NURTURE in patients with 3 SMN2 gene copies"/>
      </w:tblPr>
      <w:tblGrid>
        <w:gridCol w:w="1271"/>
        <w:gridCol w:w="992"/>
        <w:gridCol w:w="1350"/>
        <w:gridCol w:w="1351"/>
        <w:gridCol w:w="1127"/>
        <w:gridCol w:w="1842"/>
        <w:gridCol w:w="1084"/>
      </w:tblGrid>
      <w:tr w:rsidR="0007132E" w:rsidRPr="00C61670" w14:paraId="753FA26A" w14:textId="77777777" w:rsidTr="00AA0FE0">
        <w:trPr>
          <w:trHeight w:val="481"/>
        </w:trPr>
        <w:tc>
          <w:tcPr>
            <w:tcW w:w="2263" w:type="dxa"/>
            <w:gridSpan w:val="2"/>
            <w:tcBorders>
              <w:top w:val="single" w:sz="4" w:space="0" w:color="auto"/>
              <w:left w:val="single" w:sz="4" w:space="0" w:color="auto"/>
              <w:right w:val="single" w:sz="4" w:space="0" w:color="auto"/>
            </w:tcBorders>
            <w:shd w:val="clear" w:color="auto" w:fill="auto"/>
            <w:vAlign w:val="center"/>
          </w:tcPr>
          <w:p w14:paraId="75F4153D" w14:textId="77777777" w:rsidR="0007132E" w:rsidRPr="00C61670" w:rsidRDefault="0007132E" w:rsidP="00D54E10">
            <w:pPr>
              <w:pStyle w:val="Tabletext"/>
              <w:keepNext/>
              <w:keepLines/>
            </w:pPr>
          </w:p>
        </w:tc>
        <w:tc>
          <w:tcPr>
            <w:tcW w:w="1350" w:type="dxa"/>
            <w:tcBorders>
              <w:top w:val="single" w:sz="4" w:space="0" w:color="auto"/>
              <w:left w:val="single" w:sz="4" w:space="0" w:color="auto"/>
              <w:right w:val="single" w:sz="4" w:space="0" w:color="auto"/>
            </w:tcBorders>
            <w:shd w:val="clear" w:color="auto" w:fill="auto"/>
            <w:vAlign w:val="center"/>
          </w:tcPr>
          <w:p w14:paraId="2FDFB87A" w14:textId="77777777" w:rsidR="0007132E" w:rsidRPr="00C61670" w:rsidRDefault="0007132E" w:rsidP="00D54E10">
            <w:pPr>
              <w:pStyle w:val="Tabletext"/>
              <w:keepNext/>
              <w:keepLines/>
              <w:jc w:val="center"/>
              <w:rPr>
                <w:b/>
              </w:rPr>
            </w:pPr>
            <w:r w:rsidRPr="00C61670">
              <w:rPr>
                <w:b/>
              </w:rPr>
              <w:t>Risdiplam</w:t>
            </w:r>
          </w:p>
          <w:p w14:paraId="34B4E8C7" w14:textId="77777777" w:rsidR="0007132E" w:rsidRPr="00C61670" w:rsidRDefault="0007132E" w:rsidP="00D54E10">
            <w:pPr>
              <w:pStyle w:val="Tabletext"/>
              <w:keepNext/>
              <w:keepLines/>
              <w:jc w:val="center"/>
              <w:rPr>
                <w:b/>
              </w:rPr>
            </w:pPr>
            <w:r w:rsidRPr="00C61670">
              <w:rPr>
                <w:b/>
              </w:rPr>
              <w:t>(N=13)</w:t>
            </w:r>
          </w:p>
        </w:tc>
        <w:tc>
          <w:tcPr>
            <w:tcW w:w="1351" w:type="dxa"/>
            <w:tcBorders>
              <w:top w:val="single" w:sz="4" w:space="0" w:color="auto"/>
              <w:left w:val="single" w:sz="4" w:space="0" w:color="auto"/>
              <w:right w:val="single" w:sz="4" w:space="0" w:color="auto"/>
            </w:tcBorders>
            <w:shd w:val="clear" w:color="auto" w:fill="auto"/>
            <w:vAlign w:val="center"/>
          </w:tcPr>
          <w:p w14:paraId="1B52E693" w14:textId="77777777" w:rsidR="0007132E" w:rsidRPr="00C61670" w:rsidRDefault="0007132E" w:rsidP="00D54E10">
            <w:pPr>
              <w:pStyle w:val="Tabletext"/>
              <w:keepNext/>
              <w:keepLines/>
              <w:jc w:val="center"/>
              <w:rPr>
                <w:b/>
              </w:rPr>
            </w:pPr>
            <w:r w:rsidRPr="00C61670">
              <w:rPr>
                <w:b/>
              </w:rPr>
              <w:t>Nusinersen</w:t>
            </w:r>
          </w:p>
          <w:p w14:paraId="5664456E" w14:textId="77777777" w:rsidR="0007132E" w:rsidRPr="00C61670" w:rsidRDefault="0007132E" w:rsidP="00D54E10">
            <w:pPr>
              <w:pStyle w:val="Tabletext"/>
              <w:keepNext/>
              <w:keepLines/>
              <w:jc w:val="center"/>
              <w:rPr>
                <w:b/>
              </w:rPr>
            </w:pPr>
            <w:r w:rsidRPr="00C61670">
              <w:rPr>
                <w:b/>
              </w:rPr>
              <w:t>(N=10)</w:t>
            </w:r>
          </w:p>
        </w:tc>
        <w:tc>
          <w:tcPr>
            <w:tcW w:w="1127" w:type="dxa"/>
            <w:tcBorders>
              <w:top w:val="single" w:sz="4" w:space="0" w:color="auto"/>
              <w:left w:val="single" w:sz="4" w:space="0" w:color="auto"/>
              <w:right w:val="single" w:sz="4" w:space="0" w:color="auto"/>
            </w:tcBorders>
            <w:vAlign w:val="center"/>
          </w:tcPr>
          <w:p w14:paraId="5FC8775C" w14:textId="77777777" w:rsidR="0007132E" w:rsidRPr="00C61670" w:rsidRDefault="0007132E" w:rsidP="00D54E10">
            <w:pPr>
              <w:pStyle w:val="Tabletext"/>
              <w:keepNext/>
              <w:keepLines/>
              <w:jc w:val="center"/>
              <w:rPr>
                <w:b/>
              </w:rPr>
            </w:pPr>
            <w:r w:rsidRPr="00C61670">
              <w:rPr>
                <w:b/>
              </w:rPr>
              <w:t>Observed difference</w:t>
            </w:r>
          </w:p>
        </w:tc>
        <w:tc>
          <w:tcPr>
            <w:tcW w:w="1842" w:type="dxa"/>
            <w:tcBorders>
              <w:top w:val="single" w:sz="4" w:space="0" w:color="auto"/>
              <w:left w:val="single" w:sz="4" w:space="0" w:color="auto"/>
              <w:right w:val="single" w:sz="4" w:space="0" w:color="auto"/>
            </w:tcBorders>
            <w:vAlign w:val="center"/>
          </w:tcPr>
          <w:p w14:paraId="2897DB91" w14:textId="77777777" w:rsidR="0007132E" w:rsidRPr="00C61670" w:rsidRDefault="0007132E" w:rsidP="00D54E10">
            <w:pPr>
              <w:pStyle w:val="Tabletext"/>
              <w:keepNext/>
              <w:keepLines/>
              <w:jc w:val="center"/>
              <w:rPr>
                <w:b/>
              </w:rPr>
            </w:pPr>
            <w:r w:rsidRPr="00C61670">
              <w:rPr>
                <w:b/>
              </w:rPr>
              <w:t xml:space="preserve">Estimated difference (95% CI) </w:t>
            </w:r>
            <w:r w:rsidRPr="00C61670">
              <w:rPr>
                <w:b/>
                <w:vertAlign w:val="superscript"/>
              </w:rPr>
              <w:t>c</w:t>
            </w:r>
          </w:p>
        </w:tc>
        <w:tc>
          <w:tcPr>
            <w:tcW w:w="1084" w:type="dxa"/>
            <w:tcBorders>
              <w:top w:val="single" w:sz="4" w:space="0" w:color="auto"/>
              <w:left w:val="single" w:sz="4" w:space="0" w:color="auto"/>
              <w:right w:val="single" w:sz="4" w:space="0" w:color="auto"/>
            </w:tcBorders>
            <w:vAlign w:val="center"/>
          </w:tcPr>
          <w:p w14:paraId="64CF06AA" w14:textId="0E41B4BD" w:rsidR="0007132E" w:rsidRPr="00C61670" w:rsidRDefault="00D54E10" w:rsidP="00D54E10">
            <w:pPr>
              <w:pStyle w:val="Tabletext"/>
              <w:keepNext/>
              <w:keepLines/>
              <w:jc w:val="center"/>
              <w:rPr>
                <w:b/>
                <w:highlight w:val="yellow"/>
              </w:rPr>
            </w:pPr>
            <w:r>
              <w:rPr>
                <w:b/>
              </w:rPr>
              <w:t>p-v</w:t>
            </w:r>
            <w:r w:rsidR="0007132E" w:rsidRPr="00C61670">
              <w:rPr>
                <w:b/>
              </w:rPr>
              <w:t xml:space="preserve">alue </w:t>
            </w:r>
            <w:r w:rsidR="0007132E" w:rsidRPr="00C61670">
              <w:rPr>
                <w:b/>
                <w:vertAlign w:val="superscript"/>
              </w:rPr>
              <w:t>c</w:t>
            </w:r>
          </w:p>
        </w:tc>
      </w:tr>
      <w:tr w:rsidR="0007132E" w:rsidRPr="00C61670" w14:paraId="0476891A" w14:textId="77777777" w:rsidTr="00AA0FE0">
        <w:trPr>
          <w:trHeight w:val="501"/>
        </w:trPr>
        <w:tc>
          <w:tcPr>
            <w:tcW w:w="2263" w:type="dxa"/>
            <w:gridSpan w:val="2"/>
            <w:tcBorders>
              <w:top w:val="single" w:sz="4" w:space="0" w:color="auto"/>
              <w:left w:val="single" w:sz="4" w:space="0" w:color="auto"/>
              <w:right w:val="single" w:sz="4" w:space="0" w:color="auto"/>
            </w:tcBorders>
            <w:vAlign w:val="center"/>
          </w:tcPr>
          <w:p w14:paraId="2546A39C" w14:textId="77777777" w:rsidR="0007132E" w:rsidRPr="00C61670" w:rsidRDefault="0007132E" w:rsidP="00D54E10">
            <w:pPr>
              <w:pStyle w:val="Tabletext"/>
              <w:keepNext/>
              <w:keepLines/>
            </w:pPr>
            <w:r w:rsidRPr="00C61670">
              <w:t>Baseline mean CHOP-INTEND</w:t>
            </w:r>
          </w:p>
        </w:tc>
        <w:tc>
          <w:tcPr>
            <w:tcW w:w="1350" w:type="dxa"/>
            <w:tcBorders>
              <w:top w:val="single" w:sz="4" w:space="0" w:color="auto"/>
              <w:left w:val="single" w:sz="4" w:space="0" w:color="auto"/>
              <w:right w:val="single" w:sz="4" w:space="0" w:color="auto"/>
            </w:tcBorders>
            <w:vAlign w:val="center"/>
          </w:tcPr>
          <w:p w14:paraId="21FF6F1E" w14:textId="77777777" w:rsidR="0007132E" w:rsidRPr="00C61670" w:rsidRDefault="0007132E" w:rsidP="00D54E10">
            <w:pPr>
              <w:pStyle w:val="Tabletext"/>
              <w:keepNext/>
              <w:keepLines/>
              <w:jc w:val="center"/>
            </w:pPr>
            <w:r w:rsidRPr="00C61670">
              <w:t>53.77 (5.76)</w:t>
            </w:r>
          </w:p>
        </w:tc>
        <w:tc>
          <w:tcPr>
            <w:tcW w:w="1351" w:type="dxa"/>
            <w:tcBorders>
              <w:top w:val="single" w:sz="4" w:space="0" w:color="auto"/>
              <w:left w:val="single" w:sz="4" w:space="0" w:color="auto"/>
              <w:right w:val="single" w:sz="4" w:space="0" w:color="auto"/>
            </w:tcBorders>
            <w:vAlign w:val="center"/>
          </w:tcPr>
          <w:p w14:paraId="5F568466" w14:textId="77777777" w:rsidR="0007132E" w:rsidRPr="00C61670" w:rsidRDefault="0007132E" w:rsidP="00D54E10">
            <w:pPr>
              <w:pStyle w:val="Tabletext"/>
              <w:keepNext/>
              <w:keepLines/>
              <w:jc w:val="center"/>
            </w:pPr>
            <w:r w:rsidRPr="00C61670">
              <w:t>51.9 (6.10)</w:t>
            </w:r>
          </w:p>
        </w:tc>
        <w:tc>
          <w:tcPr>
            <w:tcW w:w="1127" w:type="dxa"/>
            <w:tcBorders>
              <w:top w:val="single" w:sz="4" w:space="0" w:color="auto"/>
              <w:left w:val="single" w:sz="4" w:space="0" w:color="auto"/>
              <w:right w:val="single" w:sz="4" w:space="0" w:color="auto"/>
            </w:tcBorders>
            <w:vAlign w:val="center"/>
          </w:tcPr>
          <w:p w14:paraId="1522273B" w14:textId="77777777" w:rsidR="0007132E" w:rsidRPr="00C61670" w:rsidRDefault="0007132E" w:rsidP="00D54E10">
            <w:pPr>
              <w:pStyle w:val="Tabletext"/>
              <w:keepNext/>
              <w:keepLines/>
              <w:jc w:val="center"/>
            </w:pPr>
            <w:r w:rsidRPr="00C61670">
              <w:t>1.87</w:t>
            </w:r>
          </w:p>
        </w:tc>
        <w:tc>
          <w:tcPr>
            <w:tcW w:w="1842" w:type="dxa"/>
            <w:tcBorders>
              <w:top w:val="single" w:sz="4" w:space="0" w:color="auto"/>
              <w:left w:val="single" w:sz="4" w:space="0" w:color="auto"/>
              <w:right w:val="single" w:sz="4" w:space="0" w:color="auto"/>
            </w:tcBorders>
            <w:vAlign w:val="center"/>
          </w:tcPr>
          <w:p w14:paraId="5A47C4AB" w14:textId="77777777" w:rsidR="0007132E" w:rsidRPr="00C61670" w:rsidRDefault="0007132E" w:rsidP="00D54E10">
            <w:pPr>
              <w:pStyle w:val="Tabletext"/>
              <w:keepNext/>
              <w:keepLines/>
              <w:jc w:val="center"/>
            </w:pPr>
            <w:r w:rsidRPr="00C61670">
              <w:t>1.51</w:t>
            </w:r>
          </w:p>
          <w:p w14:paraId="0E50C3D8" w14:textId="77777777" w:rsidR="0007132E" w:rsidRPr="00C61670" w:rsidRDefault="0007132E" w:rsidP="00D54E10">
            <w:pPr>
              <w:pStyle w:val="Tabletext"/>
              <w:keepNext/>
              <w:keepLines/>
              <w:jc w:val="center"/>
            </w:pPr>
            <w:r w:rsidRPr="00C61670">
              <w:t>(-56.61 – 59.63)</w:t>
            </w:r>
          </w:p>
        </w:tc>
        <w:tc>
          <w:tcPr>
            <w:tcW w:w="1084" w:type="dxa"/>
            <w:tcBorders>
              <w:top w:val="single" w:sz="4" w:space="0" w:color="auto"/>
              <w:left w:val="single" w:sz="4" w:space="0" w:color="auto"/>
              <w:right w:val="single" w:sz="4" w:space="0" w:color="auto"/>
            </w:tcBorders>
            <w:vAlign w:val="center"/>
          </w:tcPr>
          <w:p w14:paraId="4B75E247" w14:textId="77777777" w:rsidR="0007132E" w:rsidRPr="00C61670" w:rsidRDefault="0007132E" w:rsidP="00D54E10">
            <w:pPr>
              <w:pStyle w:val="Tabletext"/>
              <w:keepNext/>
              <w:keepLines/>
              <w:jc w:val="center"/>
              <w:rPr>
                <w:highlight w:val="yellow"/>
              </w:rPr>
            </w:pPr>
            <w:r w:rsidRPr="00C61670">
              <w:t>0.95</w:t>
            </w:r>
          </w:p>
        </w:tc>
      </w:tr>
      <w:tr w:rsidR="0007132E" w:rsidRPr="00C61670" w14:paraId="573A0470" w14:textId="77777777" w:rsidTr="00AA0FE0">
        <w:trPr>
          <w:trHeight w:val="259"/>
        </w:trPr>
        <w:tc>
          <w:tcPr>
            <w:tcW w:w="1271" w:type="dxa"/>
            <w:vMerge w:val="restart"/>
            <w:tcBorders>
              <w:top w:val="single" w:sz="4" w:space="0" w:color="auto"/>
              <w:left w:val="single" w:sz="4" w:space="0" w:color="auto"/>
              <w:right w:val="single" w:sz="4" w:space="0" w:color="auto"/>
            </w:tcBorders>
            <w:vAlign w:val="center"/>
          </w:tcPr>
          <w:p w14:paraId="52764C9D" w14:textId="77777777" w:rsidR="0007132E" w:rsidRPr="00C61670" w:rsidRDefault="0007132E" w:rsidP="00D54E10">
            <w:pPr>
              <w:pStyle w:val="Tabletext"/>
              <w:keepNext/>
              <w:keepLines/>
            </w:pPr>
            <w:r w:rsidRPr="00C61670">
              <w:t>Mean change in CHOP-INTEND from baseline (SD):</w:t>
            </w:r>
          </w:p>
        </w:tc>
        <w:tc>
          <w:tcPr>
            <w:tcW w:w="992" w:type="dxa"/>
            <w:tcBorders>
              <w:top w:val="single" w:sz="4" w:space="0" w:color="auto"/>
              <w:left w:val="single" w:sz="4" w:space="0" w:color="auto"/>
              <w:bottom w:val="single" w:sz="4" w:space="0" w:color="auto"/>
              <w:right w:val="single" w:sz="4" w:space="0" w:color="auto"/>
            </w:tcBorders>
            <w:vAlign w:val="center"/>
          </w:tcPr>
          <w:p w14:paraId="1F65F648" w14:textId="1855EC3A" w:rsidR="0007132E" w:rsidRPr="00C61670" w:rsidRDefault="0007132E" w:rsidP="00D54E10">
            <w:pPr>
              <w:pStyle w:val="Tabletext"/>
              <w:keepNext/>
              <w:keepLines/>
            </w:pPr>
            <w:r w:rsidRPr="00C61670">
              <w:t>Week 8 / 64 days</w:t>
            </w:r>
            <w:r w:rsidRPr="00C61670">
              <w:rPr>
                <w:vertAlign w:val="superscript"/>
              </w:rPr>
              <w:t xml:space="preserve"> a</w:t>
            </w:r>
          </w:p>
        </w:tc>
        <w:tc>
          <w:tcPr>
            <w:tcW w:w="1350" w:type="dxa"/>
            <w:tcBorders>
              <w:top w:val="single" w:sz="4" w:space="0" w:color="auto"/>
              <w:left w:val="single" w:sz="4" w:space="0" w:color="auto"/>
              <w:bottom w:val="single" w:sz="4" w:space="0" w:color="auto"/>
              <w:right w:val="single" w:sz="4" w:space="0" w:color="auto"/>
            </w:tcBorders>
            <w:vAlign w:val="center"/>
          </w:tcPr>
          <w:p w14:paraId="25A5FA6E" w14:textId="77777777" w:rsidR="0007132E" w:rsidRPr="00C61670" w:rsidRDefault="0007132E" w:rsidP="00D54E10">
            <w:pPr>
              <w:pStyle w:val="Tabletext"/>
              <w:keepNext/>
              <w:keepLines/>
              <w:jc w:val="center"/>
            </w:pPr>
            <w:r w:rsidRPr="00C61670">
              <w:t>4.38 (6.45)</w:t>
            </w:r>
          </w:p>
        </w:tc>
        <w:tc>
          <w:tcPr>
            <w:tcW w:w="1351" w:type="dxa"/>
            <w:tcBorders>
              <w:top w:val="single" w:sz="4" w:space="0" w:color="auto"/>
              <w:left w:val="single" w:sz="4" w:space="0" w:color="auto"/>
              <w:bottom w:val="single" w:sz="4" w:space="0" w:color="auto"/>
              <w:right w:val="single" w:sz="4" w:space="0" w:color="auto"/>
            </w:tcBorders>
            <w:vAlign w:val="center"/>
          </w:tcPr>
          <w:p w14:paraId="6B85125E" w14:textId="77777777" w:rsidR="0007132E" w:rsidRPr="00C61670" w:rsidRDefault="0007132E" w:rsidP="00D54E10">
            <w:pPr>
              <w:pStyle w:val="Tabletext"/>
              <w:keepNext/>
              <w:keepLines/>
              <w:jc w:val="center"/>
            </w:pPr>
            <w:r w:rsidRPr="00C61670">
              <w:t>5.4 (5.21)</w:t>
            </w:r>
          </w:p>
        </w:tc>
        <w:tc>
          <w:tcPr>
            <w:tcW w:w="1127" w:type="dxa"/>
            <w:tcBorders>
              <w:top w:val="single" w:sz="4" w:space="0" w:color="auto"/>
              <w:left w:val="single" w:sz="4" w:space="0" w:color="auto"/>
              <w:bottom w:val="single" w:sz="4" w:space="0" w:color="auto"/>
              <w:right w:val="single" w:sz="4" w:space="0" w:color="auto"/>
            </w:tcBorders>
            <w:vAlign w:val="center"/>
          </w:tcPr>
          <w:p w14:paraId="6B1E9A21" w14:textId="77777777" w:rsidR="0007132E" w:rsidRPr="00C61670" w:rsidRDefault="0007132E" w:rsidP="00D54E10">
            <w:pPr>
              <w:pStyle w:val="Tabletext"/>
              <w:keepNext/>
              <w:keepLines/>
              <w:jc w:val="center"/>
            </w:pPr>
            <w:r w:rsidRPr="00C61670">
              <w:t>-1.02</w:t>
            </w:r>
          </w:p>
        </w:tc>
        <w:tc>
          <w:tcPr>
            <w:tcW w:w="1842" w:type="dxa"/>
            <w:tcBorders>
              <w:top w:val="single" w:sz="4" w:space="0" w:color="auto"/>
              <w:left w:val="single" w:sz="4" w:space="0" w:color="auto"/>
              <w:bottom w:val="single" w:sz="4" w:space="0" w:color="auto"/>
              <w:right w:val="single" w:sz="4" w:space="0" w:color="auto"/>
            </w:tcBorders>
            <w:vAlign w:val="center"/>
          </w:tcPr>
          <w:p w14:paraId="100BD91B" w14:textId="77777777" w:rsidR="0007132E" w:rsidRPr="00C61670" w:rsidRDefault="0007132E" w:rsidP="00D54E10">
            <w:pPr>
              <w:pStyle w:val="Tabletext"/>
              <w:keepNext/>
              <w:keepLines/>
              <w:jc w:val="center"/>
            </w:pPr>
            <w:r w:rsidRPr="00C61670">
              <w:t>1.07</w:t>
            </w:r>
          </w:p>
          <w:p w14:paraId="319490B0" w14:textId="77777777" w:rsidR="0007132E" w:rsidRPr="00C61670" w:rsidRDefault="0007132E" w:rsidP="00D54E10">
            <w:pPr>
              <w:pStyle w:val="Tabletext"/>
              <w:keepNext/>
              <w:keepLines/>
              <w:jc w:val="center"/>
            </w:pPr>
            <w:r w:rsidRPr="00C61670">
              <w:t>(-7.34 – 9.49)</w:t>
            </w:r>
          </w:p>
        </w:tc>
        <w:tc>
          <w:tcPr>
            <w:tcW w:w="1084" w:type="dxa"/>
            <w:tcBorders>
              <w:top w:val="single" w:sz="4" w:space="0" w:color="auto"/>
              <w:left w:val="single" w:sz="4" w:space="0" w:color="auto"/>
              <w:bottom w:val="single" w:sz="4" w:space="0" w:color="auto"/>
              <w:right w:val="single" w:sz="4" w:space="0" w:color="auto"/>
            </w:tcBorders>
            <w:vAlign w:val="center"/>
          </w:tcPr>
          <w:p w14:paraId="2B7F8C67" w14:textId="77777777" w:rsidR="0007132E" w:rsidRPr="00C61670" w:rsidRDefault="0007132E" w:rsidP="00D54E10">
            <w:pPr>
              <w:pStyle w:val="Tabletext"/>
              <w:keepNext/>
              <w:keepLines/>
              <w:jc w:val="center"/>
            </w:pPr>
            <w:r w:rsidRPr="00C61670">
              <w:t>0.74</w:t>
            </w:r>
          </w:p>
        </w:tc>
      </w:tr>
      <w:tr w:rsidR="0007132E" w:rsidRPr="00C61670" w14:paraId="2EE7DDAD" w14:textId="77777777" w:rsidTr="00AA0FE0">
        <w:trPr>
          <w:trHeight w:val="259"/>
        </w:trPr>
        <w:tc>
          <w:tcPr>
            <w:tcW w:w="1271" w:type="dxa"/>
            <w:vMerge/>
            <w:tcBorders>
              <w:left w:val="single" w:sz="4" w:space="0" w:color="auto"/>
              <w:right w:val="single" w:sz="4" w:space="0" w:color="auto"/>
            </w:tcBorders>
            <w:vAlign w:val="center"/>
          </w:tcPr>
          <w:p w14:paraId="67C91F4B" w14:textId="77777777" w:rsidR="0007132E" w:rsidRPr="00C61670" w:rsidRDefault="0007132E" w:rsidP="00D54E10">
            <w:pPr>
              <w:pStyle w:val="Tabletext"/>
              <w:keepNext/>
              <w:keepLines/>
            </w:pPr>
          </w:p>
        </w:tc>
        <w:tc>
          <w:tcPr>
            <w:tcW w:w="992" w:type="dxa"/>
            <w:tcBorders>
              <w:top w:val="single" w:sz="4" w:space="0" w:color="auto"/>
              <w:left w:val="single" w:sz="4" w:space="0" w:color="auto"/>
              <w:bottom w:val="single" w:sz="4" w:space="0" w:color="auto"/>
              <w:right w:val="single" w:sz="4" w:space="0" w:color="auto"/>
            </w:tcBorders>
            <w:vAlign w:val="center"/>
          </w:tcPr>
          <w:p w14:paraId="29C25B96" w14:textId="77777777" w:rsidR="0007132E" w:rsidRPr="00C61670" w:rsidRDefault="0007132E" w:rsidP="00D54E10">
            <w:pPr>
              <w:pStyle w:val="Tabletext"/>
              <w:keepNext/>
              <w:keepLines/>
            </w:pPr>
            <w:r w:rsidRPr="00C61670">
              <w:t>Week 28 / 183 days</w:t>
            </w:r>
            <w:r w:rsidRPr="00C61670">
              <w:rPr>
                <w:vertAlign w:val="superscript"/>
              </w:rPr>
              <w:t xml:space="preserve"> a</w:t>
            </w:r>
          </w:p>
        </w:tc>
        <w:tc>
          <w:tcPr>
            <w:tcW w:w="1350" w:type="dxa"/>
            <w:tcBorders>
              <w:top w:val="single" w:sz="4" w:space="0" w:color="auto"/>
              <w:left w:val="single" w:sz="4" w:space="0" w:color="auto"/>
              <w:bottom w:val="single" w:sz="4" w:space="0" w:color="auto"/>
              <w:right w:val="single" w:sz="4" w:space="0" w:color="auto"/>
            </w:tcBorders>
            <w:vAlign w:val="center"/>
          </w:tcPr>
          <w:p w14:paraId="20404D14" w14:textId="77777777" w:rsidR="0007132E" w:rsidRPr="00C61670" w:rsidRDefault="0007132E" w:rsidP="00D54E10">
            <w:pPr>
              <w:pStyle w:val="Tabletext"/>
              <w:keepNext/>
              <w:keepLines/>
              <w:jc w:val="center"/>
            </w:pPr>
            <w:r w:rsidRPr="00C61670">
              <w:t>9.33</w:t>
            </w:r>
            <w:r w:rsidRPr="00C61670">
              <w:rPr>
                <w:vertAlign w:val="superscript"/>
              </w:rPr>
              <w:t xml:space="preserve"> b</w:t>
            </w:r>
            <w:r w:rsidRPr="00C61670">
              <w:t xml:space="preserve"> (5.50)</w:t>
            </w:r>
          </w:p>
        </w:tc>
        <w:tc>
          <w:tcPr>
            <w:tcW w:w="1351" w:type="dxa"/>
            <w:tcBorders>
              <w:top w:val="single" w:sz="4" w:space="0" w:color="auto"/>
              <w:left w:val="single" w:sz="4" w:space="0" w:color="auto"/>
              <w:bottom w:val="single" w:sz="4" w:space="0" w:color="auto"/>
              <w:right w:val="single" w:sz="4" w:space="0" w:color="auto"/>
            </w:tcBorders>
            <w:vAlign w:val="center"/>
          </w:tcPr>
          <w:p w14:paraId="5DD9CBF6" w14:textId="77777777" w:rsidR="0007132E" w:rsidRPr="00C61670" w:rsidRDefault="0007132E" w:rsidP="00D54E10">
            <w:pPr>
              <w:pStyle w:val="Tabletext"/>
              <w:keepNext/>
              <w:keepLines/>
              <w:jc w:val="center"/>
            </w:pPr>
            <w:r w:rsidRPr="00C61670">
              <w:t>8.9 (5.32)</w:t>
            </w:r>
          </w:p>
        </w:tc>
        <w:tc>
          <w:tcPr>
            <w:tcW w:w="1127" w:type="dxa"/>
            <w:tcBorders>
              <w:top w:val="single" w:sz="4" w:space="0" w:color="auto"/>
              <w:left w:val="single" w:sz="4" w:space="0" w:color="auto"/>
              <w:bottom w:val="single" w:sz="4" w:space="0" w:color="auto"/>
              <w:right w:val="single" w:sz="4" w:space="0" w:color="auto"/>
            </w:tcBorders>
            <w:vAlign w:val="center"/>
          </w:tcPr>
          <w:p w14:paraId="07727217" w14:textId="77777777" w:rsidR="0007132E" w:rsidRPr="00C61670" w:rsidRDefault="0007132E" w:rsidP="00D54E10">
            <w:pPr>
              <w:pStyle w:val="Tabletext"/>
              <w:keepNext/>
              <w:keepLines/>
              <w:jc w:val="center"/>
            </w:pPr>
            <w:r w:rsidRPr="00C61670">
              <w:t>0.43</w:t>
            </w:r>
          </w:p>
        </w:tc>
        <w:tc>
          <w:tcPr>
            <w:tcW w:w="1842" w:type="dxa"/>
            <w:tcBorders>
              <w:top w:val="single" w:sz="4" w:space="0" w:color="auto"/>
              <w:left w:val="single" w:sz="4" w:space="0" w:color="auto"/>
              <w:bottom w:val="single" w:sz="4" w:space="0" w:color="auto"/>
              <w:right w:val="single" w:sz="4" w:space="0" w:color="auto"/>
            </w:tcBorders>
            <w:vAlign w:val="center"/>
          </w:tcPr>
          <w:p w14:paraId="4C8F880A" w14:textId="77777777" w:rsidR="0007132E" w:rsidRPr="00C61670" w:rsidRDefault="0007132E" w:rsidP="00D54E10">
            <w:pPr>
              <w:pStyle w:val="Tabletext"/>
              <w:keepNext/>
              <w:keepLines/>
              <w:jc w:val="center"/>
            </w:pPr>
            <w:r w:rsidRPr="00C61670">
              <w:t>0.87</w:t>
            </w:r>
          </w:p>
          <w:p w14:paraId="3962BD80" w14:textId="77777777" w:rsidR="0007132E" w:rsidRPr="00C61670" w:rsidRDefault="0007132E" w:rsidP="00D54E10">
            <w:pPr>
              <w:pStyle w:val="Tabletext"/>
              <w:keepNext/>
              <w:keepLines/>
              <w:jc w:val="center"/>
            </w:pPr>
            <w:r w:rsidRPr="00C61670">
              <w:t>(-5.67 – 7.41)</w:t>
            </w:r>
          </w:p>
        </w:tc>
        <w:tc>
          <w:tcPr>
            <w:tcW w:w="1084" w:type="dxa"/>
            <w:tcBorders>
              <w:top w:val="single" w:sz="4" w:space="0" w:color="auto"/>
              <w:left w:val="single" w:sz="4" w:space="0" w:color="auto"/>
              <w:bottom w:val="single" w:sz="4" w:space="0" w:color="auto"/>
              <w:right w:val="single" w:sz="4" w:space="0" w:color="auto"/>
            </w:tcBorders>
            <w:vAlign w:val="center"/>
          </w:tcPr>
          <w:p w14:paraId="1C0CB77C" w14:textId="77777777" w:rsidR="0007132E" w:rsidRPr="00C61670" w:rsidRDefault="0007132E" w:rsidP="00D54E10">
            <w:pPr>
              <w:pStyle w:val="Tabletext"/>
              <w:keepNext/>
              <w:keepLines/>
              <w:jc w:val="center"/>
            </w:pPr>
            <w:r w:rsidRPr="00C61670">
              <w:t>0.73</w:t>
            </w:r>
          </w:p>
        </w:tc>
      </w:tr>
      <w:tr w:rsidR="0007132E" w:rsidRPr="00C61670" w14:paraId="78946F39" w14:textId="77777777" w:rsidTr="00AA0FE0">
        <w:trPr>
          <w:trHeight w:val="259"/>
        </w:trPr>
        <w:tc>
          <w:tcPr>
            <w:tcW w:w="1271" w:type="dxa"/>
            <w:tcBorders>
              <w:left w:val="single" w:sz="4" w:space="0" w:color="auto"/>
              <w:right w:val="single" w:sz="4" w:space="0" w:color="auto"/>
            </w:tcBorders>
            <w:vAlign w:val="center"/>
          </w:tcPr>
          <w:p w14:paraId="102FF038" w14:textId="77777777" w:rsidR="0007132E" w:rsidRPr="00C61670" w:rsidRDefault="0007132E" w:rsidP="00D54E10">
            <w:pPr>
              <w:pStyle w:val="Tabletext"/>
              <w:keepNext/>
              <w:keepLines/>
            </w:pPr>
          </w:p>
        </w:tc>
        <w:tc>
          <w:tcPr>
            <w:tcW w:w="992" w:type="dxa"/>
            <w:tcBorders>
              <w:top w:val="single" w:sz="4" w:space="0" w:color="auto"/>
              <w:left w:val="single" w:sz="4" w:space="0" w:color="auto"/>
              <w:bottom w:val="single" w:sz="4" w:space="0" w:color="auto"/>
              <w:right w:val="single" w:sz="4" w:space="0" w:color="auto"/>
            </w:tcBorders>
            <w:vAlign w:val="center"/>
          </w:tcPr>
          <w:p w14:paraId="1A1F5AEE" w14:textId="77777777" w:rsidR="0007132E" w:rsidRPr="00C61670" w:rsidRDefault="0007132E" w:rsidP="00D54E10">
            <w:pPr>
              <w:pStyle w:val="Tabletext"/>
              <w:keepNext/>
              <w:keepLines/>
            </w:pPr>
            <w:r w:rsidRPr="00C61670">
              <w:t xml:space="preserve">Week 40 / 302 days </w:t>
            </w:r>
            <w:r w:rsidRPr="00C61670">
              <w:rPr>
                <w:vertAlign w:val="superscript"/>
              </w:rPr>
              <w:t>a</w:t>
            </w:r>
          </w:p>
        </w:tc>
        <w:tc>
          <w:tcPr>
            <w:tcW w:w="1350" w:type="dxa"/>
            <w:tcBorders>
              <w:top w:val="single" w:sz="4" w:space="0" w:color="auto"/>
              <w:left w:val="single" w:sz="4" w:space="0" w:color="auto"/>
              <w:bottom w:val="single" w:sz="4" w:space="0" w:color="auto"/>
              <w:right w:val="single" w:sz="4" w:space="0" w:color="auto"/>
            </w:tcBorders>
            <w:vAlign w:val="center"/>
          </w:tcPr>
          <w:p w14:paraId="3FF013FC" w14:textId="77777777" w:rsidR="0007132E" w:rsidRPr="00C61670" w:rsidRDefault="0007132E" w:rsidP="00D54E10">
            <w:pPr>
              <w:pStyle w:val="Tabletext"/>
              <w:keepNext/>
              <w:keepLines/>
              <w:jc w:val="center"/>
            </w:pPr>
            <w:r w:rsidRPr="00C61670">
              <w:t>9.85 (5.98)</w:t>
            </w:r>
          </w:p>
        </w:tc>
        <w:tc>
          <w:tcPr>
            <w:tcW w:w="1351" w:type="dxa"/>
            <w:tcBorders>
              <w:top w:val="single" w:sz="4" w:space="0" w:color="auto"/>
              <w:left w:val="single" w:sz="4" w:space="0" w:color="auto"/>
              <w:bottom w:val="single" w:sz="4" w:space="0" w:color="auto"/>
              <w:right w:val="single" w:sz="4" w:space="0" w:color="auto"/>
            </w:tcBorders>
            <w:vAlign w:val="center"/>
          </w:tcPr>
          <w:p w14:paraId="783B74DF" w14:textId="77777777" w:rsidR="0007132E" w:rsidRPr="00C61670" w:rsidRDefault="0007132E" w:rsidP="00D54E10">
            <w:pPr>
              <w:pStyle w:val="Tabletext"/>
              <w:keepNext/>
              <w:keepLines/>
              <w:jc w:val="center"/>
            </w:pPr>
            <w:r w:rsidRPr="00C61670">
              <w:t>9.9 (4.04)</w:t>
            </w:r>
          </w:p>
        </w:tc>
        <w:tc>
          <w:tcPr>
            <w:tcW w:w="1127" w:type="dxa"/>
            <w:tcBorders>
              <w:top w:val="single" w:sz="4" w:space="0" w:color="auto"/>
              <w:left w:val="single" w:sz="4" w:space="0" w:color="auto"/>
              <w:bottom w:val="single" w:sz="4" w:space="0" w:color="auto"/>
              <w:right w:val="single" w:sz="4" w:space="0" w:color="auto"/>
            </w:tcBorders>
            <w:vAlign w:val="center"/>
          </w:tcPr>
          <w:p w14:paraId="1BFF9669" w14:textId="77777777" w:rsidR="0007132E" w:rsidRPr="00C61670" w:rsidRDefault="0007132E" w:rsidP="00D54E10">
            <w:pPr>
              <w:pStyle w:val="Tabletext"/>
              <w:keepNext/>
              <w:keepLines/>
              <w:jc w:val="center"/>
            </w:pPr>
            <w:r w:rsidRPr="00C61670">
              <w:t>-0.05</w:t>
            </w:r>
          </w:p>
        </w:tc>
        <w:tc>
          <w:tcPr>
            <w:tcW w:w="1842" w:type="dxa"/>
            <w:tcBorders>
              <w:top w:val="single" w:sz="4" w:space="0" w:color="auto"/>
              <w:left w:val="single" w:sz="4" w:space="0" w:color="auto"/>
              <w:bottom w:val="single" w:sz="4" w:space="0" w:color="auto"/>
              <w:right w:val="single" w:sz="4" w:space="0" w:color="auto"/>
            </w:tcBorders>
            <w:vAlign w:val="center"/>
          </w:tcPr>
          <w:p w14:paraId="3739F650" w14:textId="77777777" w:rsidR="0007132E" w:rsidRPr="00C61670" w:rsidRDefault="0007132E" w:rsidP="00D54E10">
            <w:pPr>
              <w:pStyle w:val="Tabletext"/>
              <w:keepNext/>
              <w:keepLines/>
              <w:jc w:val="center"/>
            </w:pPr>
            <w:r w:rsidRPr="00C61670">
              <w:t>1.63</w:t>
            </w:r>
          </w:p>
          <w:p w14:paraId="45AB2F6F" w14:textId="77777777" w:rsidR="0007132E" w:rsidRPr="00C61670" w:rsidRDefault="0007132E" w:rsidP="00D54E10">
            <w:pPr>
              <w:pStyle w:val="Tabletext"/>
              <w:keepNext/>
              <w:keepLines/>
              <w:jc w:val="center"/>
            </w:pPr>
            <w:r w:rsidRPr="00C61670">
              <w:t>(-6.22 – 9.48)</w:t>
            </w:r>
          </w:p>
        </w:tc>
        <w:tc>
          <w:tcPr>
            <w:tcW w:w="1084" w:type="dxa"/>
            <w:tcBorders>
              <w:top w:val="single" w:sz="4" w:space="0" w:color="auto"/>
              <w:left w:val="single" w:sz="4" w:space="0" w:color="auto"/>
              <w:bottom w:val="single" w:sz="4" w:space="0" w:color="auto"/>
              <w:right w:val="single" w:sz="4" w:space="0" w:color="auto"/>
            </w:tcBorders>
            <w:vAlign w:val="center"/>
          </w:tcPr>
          <w:p w14:paraId="53477D08" w14:textId="77777777" w:rsidR="0007132E" w:rsidRPr="00C61670" w:rsidRDefault="0007132E" w:rsidP="00D54E10">
            <w:pPr>
              <w:pStyle w:val="Tabletext"/>
              <w:keepNext/>
              <w:keepLines/>
              <w:jc w:val="center"/>
            </w:pPr>
            <w:r w:rsidRPr="00C61670">
              <w:t>0.60</w:t>
            </w:r>
          </w:p>
        </w:tc>
      </w:tr>
      <w:tr w:rsidR="0007132E" w:rsidRPr="00C61670" w14:paraId="33B87ADC" w14:textId="77777777" w:rsidTr="00AA0FE0">
        <w:trPr>
          <w:trHeight w:val="259"/>
        </w:trPr>
        <w:tc>
          <w:tcPr>
            <w:tcW w:w="1271" w:type="dxa"/>
            <w:tcBorders>
              <w:left w:val="single" w:sz="4" w:space="0" w:color="auto"/>
              <w:bottom w:val="single" w:sz="4" w:space="0" w:color="auto"/>
              <w:right w:val="single" w:sz="4" w:space="0" w:color="auto"/>
            </w:tcBorders>
            <w:vAlign w:val="center"/>
          </w:tcPr>
          <w:p w14:paraId="717BDD4F" w14:textId="77777777" w:rsidR="0007132E" w:rsidRPr="00C61670" w:rsidRDefault="0007132E" w:rsidP="00D54E10">
            <w:pPr>
              <w:pStyle w:val="Tabletext"/>
              <w:keepNext/>
              <w:keepLines/>
            </w:pPr>
          </w:p>
        </w:tc>
        <w:tc>
          <w:tcPr>
            <w:tcW w:w="992" w:type="dxa"/>
            <w:tcBorders>
              <w:top w:val="single" w:sz="4" w:space="0" w:color="auto"/>
              <w:left w:val="single" w:sz="4" w:space="0" w:color="auto"/>
              <w:bottom w:val="single" w:sz="4" w:space="0" w:color="auto"/>
              <w:right w:val="single" w:sz="4" w:space="0" w:color="auto"/>
            </w:tcBorders>
            <w:vAlign w:val="center"/>
          </w:tcPr>
          <w:p w14:paraId="37E6066D" w14:textId="77777777" w:rsidR="0007132E" w:rsidRPr="00C61670" w:rsidRDefault="0007132E" w:rsidP="00D54E10">
            <w:pPr>
              <w:pStyle w:val="Tabletext"/>
              <w:keepNext/>
              <w:keepLines/>
            </w:pPr>
            <w:r w:rsidRPr="00C61670">
              <w:t xml:space="preserve">Week 52 / 365 days </w:t>
            </w:r>
            <w:r w:rsidRPr="00C61670">
              <w:rPr>
                <w:vertAlign w:val="superscript"/>
              </w:rPr>
              <w:t>a</w:t>
            </w:r>
          </w:p>
        </w:tc>
        <w:tc>
          <w:tcPr>
            <w:tcW w:w="1350" w:type="dxa"/>
            <w:tcBorders>
              <w:top w:val="single" w:sz="4" w:space="0" w:color="auto"/>
              <w:left w:val="single" w:sz="4" w:space="0" w:color="auto"/>
              <w:bottom w:val="single" w:sz="4" w:space="0" w:color="auto"/>
              <w:right w:val="single" w:sz="4" w:space="0" w:color="auto"/>
            </w:tcBorders>
            <w:vAlign w:val="center"/>
          </w:tcPr>
          <w:p w14:paraId="0E915EA4" w14:textId="77777777" w:rsidR="0007132E" w:rsidRPr="00C61670" w:rsidRDefault="0007132E" w:rsidP="00D54E10">
            <w:pPr>
              <w:pStyle w:val="Tabletext"/>
              <w:keepNext/>
              <w:keepLines/>
              <w:jc w:val="center"/>
            </w:pPr>
            <w:r w:rsidRPr="00C61670">
              <w:t>9.92 (5.62)</w:t>
            </w:r>
          </w:p>
        </w:tc>
        <w:tc>
          <w:tcPr>
            <w:tcW w:w="1351" w:type="dxa"/>
            <w:tcBorders>
              <w:top w:val="single" w:sz="4" w:space="0" w:color="auto"/>
              <w:left w:val="single" w:sz="4" w:space="0" w:color="auto"/>
              <w:bottom w:val="single" w:sz="4" w:space="0" w:color="auto"/>
              <w:right w:val="single" w:sz="4" w:space="0" w:color="auto"/>
            </w:tcBorders>
            <w:vAlign w:val="center"/>
          </w:tcPr>
          <w:p w14:paraId="79E86149" w14:textId="77777777" w:rsidR="0007132E" w:rsidRPr="00C61670" w:rsidRDefault="0007132E" w:rsidP="00D54E10">
            <w:pPr>
              <w:pStyle w:val="Tabletext"/>
              <w:keepNext/>
              <w:keepLines/>
              <w:jc w:val="center"/>
            </w:pPr>
            <w:r w:rsidRPr="00C61670">
              <w:t>10.5 (5.74)</w:t>
            </w:r>
          </w:p>
        </w:tc>
        <w:tc>
          <w:tcPr>
            <w:tcW w:w="1127" w:type="dxa"/>
            <w:tcBorders>
              <w:top w:val="single" w:sz="4" w:space="0" w:color="auto"/>
              <w:left w:val="single" w:sz="4" w:space="0" w:color="auto"/>
              <w:bottom w:val="single" w:sz="4" w:space="0" w:color="auto"/>
              <w:right w:val="single" w:sz="4" w:space="0" w:color="auto"/>
            </w:tcBorders>
            <w:vAlign w:val="center"/>
          </w:tcPr>
          <w:p w14:paraId="62E9380F" w14:textId="77777777" w:rsidR="0007132E" w:rsidRPr="00C61670" w:rsidRDefault="0007132E" w:rsidP="00D54E10">
            <w:pPr>
              <w:pStyle w:val="Tabletext"/>
              <w:keepNext/>
              <w:keepLines/>
              <w:jc w:val="center"/>
            </w:pPr>
            <w:r w:rsidRPr="00C61670">
              <w:t>-0.58</w:t>
            </w:r>
          </w:p>
        </w:tc>
        <w:tc>
          <w:tcPr>
            <w:tcW w:w="1842" w:type="dxa"/>
            <w:tcBorders>
              <w:top w:val="single" w:sz="4" w:space="0" w:color="auto"/>
              <w:left w:val="single" w:sz="4" w:space="0" w:color="auto"/>
              <w:bottom w:val="single" w:sz="4" w:space="0" w:color="auto"/>
              <w:right w:val="single" w:sz="4" w:space="0" w:color="auto"/>
            </w:tcBorders>
            <w:vAlign w:val="center"/>
          </w:tcPr>
          <w:p w14:paraId="2818921C" w14:textId="77777777" w:rsidR="0007132E" w:rsidRPr="00C61670" w:rsidRDefault="0007132E" w:rsidP="00D54E10">
            <w:pPr>
              <w:pStyle w:val="Tabletext"/>
              <w:keepNext/>
              <w:keepLines/>
              <w:jc w:val="center"/>
            </w:pPr>
            <w:r w:rsidRPr="00C61670">
              <w:t>0.77</w:t>
            </w:r>
          </w:p>
          <w:p w14:paraId="51A9FCE9" w14:textId="77777777" w:rsidR="0007132E" w:rsidRPr="00C61670" w:rsidRDefault="0007132E" w:rsidP="00D54E10">
            <w:pPr>
              <w:pStyle w:val="Tabletext"/>
              <w:keepNext/>
              <w:keepLines/>
              <w:jc w:val="center"/>
            </w:pPr>
            <w:r w:rsidRPr="00C61670">
              <w:t>(-6.51 – 8.04)</w:t>
            </w:r>
          </w:p>
        </w:tc>
        <w:tc>
          <w:tcPr>
            <w:tcW w:w="1084" w:type="dxa"/>
            <w:tcBorders>
              <w:top w:val="single" w:sz="4" w:space="0" w:color="auto"/>
              <w:left w:val="single" w:sz="4" w:space="0" w:color="auto"/>
              <w:bottom w:val="single" w:sz="4" w:space="0" w:color="auto"/>
              <w:right w:val="single" w:sz="4" w:space="0" w:color="auto"/>
            </w:tcBorders>
            <w:vAlign w:val="center"/>
          </w:tcPr>
          <w:p w14:paraId="01584E17" w14:textId="77777777" w:rsidR="0007132E" w:rsidRPr="00C61670" w:rsidRDefault="0007132E" w:rsidP="00D54E10">
            <w:pPr>
              <w:pStyle w:val="Tabletext"/>
              <w:keepNext/>
              <w:keepLines/>
              <w:jc w:val="center"/>
            </w:pPr>
            <w:r w:rsidRPr="00C61670">
              <w:t>0.78</w:t>
            </w:r>
          </w:p>
        </w:tc>
      </w:tr>
    </w:tbl>
    <w:p w14:paraId="474E0DBC" w14:textId="77777777" w:rsidR="0007132E" w:rsidRPr="00C61670" w:rsidRDefault="0007132E" w:rsidP="00D54E10">
      <w:pPr>
        <w:pStyle w:val="TableFooter"/>
        <w:keepNext/>
        <w:keepLines/>
      </w:pPr>
      <w:r w:rsidRPr="00C61670">
        <w:t>CHOP INTEND = Children's Hospital of Philadelphia Infant Test of Neuromuscular Disorders; CI = confidence interval; SD = standard deviation; SMN = survival of motor neuron</w:t>
      </w:r>
    </w:p>
    <w:p w14:paraId="1871B30A" w14:textId="77777777" w:rsidR="0007132E" w:rsidRPr="00C61670" w:rsidRDefault="0007132E" w:rsidP="00D54E10">
      <w:pPr>
        <w:pStyle w:val="TableFooter"/>
        <w:keepNext/>
        <w:keepLines/>
      </w:pPr>
      <w:r w:rsidRPr="00C61670">
        <w:rPr>
          <w:rFonts w:eastAsia="SimSun" w:cs="Times New Roman"/>
          <w:vertAlign w:val="superscript"/>
          <w:lang w:eastAsia="en-US"/>
        </w:rPr>
        <w:t>a</w:t>
      </w:r>
      <w:r w:rsidRPr="00C61670">
        <w:rPr>
          <w:rFonts w:eastAsia="SimSun" w:cs="Times New Roman"/>
          <w:lang w:eastAsia="en-US"/>
        </w:rPr>
        <w:t xml:space="preserve"> The </w:t>
      </w:r>
      <w:r w:rsidRPr="00C61670">
        <w:t>RAINBOWFISH assessment schedule differs to NURTURE. The RAINBOWFISH assessment schedule is in weeks and while NURTURE is in days. The two-sample t-test was purely exploratory and was only performed on the absolute mean value at each time point, and so does not account for any differences in the studies (including baseline score). An assumption was made that the populations were normally distributed.</w:t>
      </w:r>
    </w:p>
    <w:p w14:paraId="5CEE383C" w14:textId="77777777" w:rsidR="0007132E" w:rsidRPr="00C61670" w:rsidRDefault="0007132E" w:rsidP="00D54E10">
      <w:pPr>
        <w:pStyle w:val="TableFooter"/>
        <w:keepNext/>
        <w:keepLines/>
        <w:rPr>
          <w:rFonts w:eastAsia="SimSun" w:cs="Times New Roman"/>
          <w:lang w:eastAsia="en-US"/>
        </w:rPr>
      </w:pPr>
      <w:r w:rsidRPr="00C61670">
        <w:rPr>
          <w:rFonts w:eastAsia="SimSun" w:cs="Times New Roman"/>
          <w:vertAlign w:val="superscript"/>
          <w:lang w:eastAsia="en-US"/>
        </w:rPr>
        <w:t>b</w:t>
      </w:r>
      <w:r w:rsidRPr="00C61670">
        <w:rPr>
          <w:rFonts w:eastAsia="SimSun" w:cs="Times New Roman"/>
          <w:lang w:eastAsia="en-US"/>
        </w:rPr>
        <w:t xml:space="preserve"> n=12</w:t>
      </w:r>
    </w:p>
    <w:p w14:paraId="39F03914" w14:textId="792C5E8D" w:rsidR="0007132E" w:rsidRPr="00C61670" w:rsidRDefault="0007132E" w:rsidP="00D54E10">
      <w:pPr>
        <w:pStyle w:val="TableFooter"/>
        <w:keepNext/>
        <w:keepLines/>
        <w:rPr>
          <w:rFonts w:eastAsia="SimSun" w:cs="Times New Roman"/>
          <w:lang w:eastAsia="en-US"/>
        </w:rPr>
      </w:pPr>
      <w:r w:rsidRPr="00C61670">
        <w:rPr>
          <w:rFonts w:eastAsia="SimSun" w:cs="Times New Roman"/>
          <w:vertAlign w:val="superscript"/>
          <w:lang w:eastAsia="en-US"/>
        </w:rPr>
        <w:t>c</w:t>
      </w:r>
      <w:r w:rsidRPr="00C61670">
        <w:rPr>
          <w:rFonts w:eastAsia="SimSun" w:cs="Times New Roman"/>
          <w:lang w:eastAsia="en-US"/>
        </w:rPr>
        <w:t xml:space="preserve"> </w:t>
      </w:r>
      <w:r w:rsidRPr="0081032F">
        <w:rPr>
          <w:rFonts w:eastAsia="SimSun" w:cs="Times New Roman"/>
          <w:iCs/>
          <w:lang w:eastAsia="en-US"/>
        </w:rPr>
        <w:t>This data could not be independently verified</w:t>
      </w:r>
      <w:r w:rsidR="00917136">
        <w:rPr>
          <w:rFonts w:eastAsia="SimSun" w:cs="Times New Roman"/>
          <w:iCs/>
          <w:lang w:eastAsia="en-US"/>
        </w:rPr>
        <w:t xml:space="preserve"> during the evaluation and the source of these values was unclear</w:t>
      </w:r>
    </w:p>
    <w:p w14:paraId="4FCA8197" w14:textId="2E59F17B" w:rsidR="0007132E" w:rsidRPr="00C61670" w:rsidRDefault="0007132E" w:rsidP="00D54E10">
      <w:pPr>
        <w:pStyle w:val="TableFooter"/>
        <w:keepNext/>
        <w:keepLines/>
        <w:rPr>
          <w:rFonts w:eastAsia="SimSun" w:cs="Times New Roman"/>
          <w:lang w:eastAsia="en-US"/>
        </w:rPr>
      </w:pPr>
      <w:r w:rsidRPr="00C61670">
        <w:rPr>
          <w:rFonts w:eastAsia="SimSun" w:cs="Times New Roman"/>
          <w:lang w:eastAsia="en-US"/>
        </w:rPr>
        <w:t>Source:</w:t>
      </w:r>
      <w:r w:rsidRPr="00C61670">
        <w:rPr>
          <w:rFonts w:eastAsia="SimSun" w:cs="Times New Roman"/>
          <w:lang w:eastAsia="en-US"/>
        </w:rPr>
        <w:tab/>
        <w:t xml:space="preserve">Table </w:t>
      </w:r>
      <w:r w:rsidR="002376D3" w:rsidRPr="00C61670">
        <w:rPr>
          <w:rFonts w:eastAsia="SimSun" w:cs="Times New Roman"/>
          <w:lang w:eastAsia="en-US"/>
        </w:rPr>
        <w:t>2.24</w:t>
      </w:r>
      <w:r w:rsidR="002376D3">
        <w:rPr>
          <w:rFonts w:eastAsia="SimSun" w:cs="Times New Roman"/>
          <w:lang w:eastAsia="en-US"/>
        </w:rPr>
        <w:t xml:space="preserve"> </w:t>
      </w:r>
      <w:r w:rsidR="002376D3" w:rsidRPr="00C61670">
        <w:rPr>
          <w:rFonts w:eastAsia="SimSun" w:cs="Times New Roman"/>
          <w:lang w:eastAsia="en-US"/>
        </w:rPr>
        <w:t>of</w:t>
      </w:r>
      <w:r w:rsidRPr="00C61670">
        <w:rPr>
          <w:rFonts w:eastAsia="SimSun" w:cs="Times New Roman"/>
          <w:lang w:eastAsia="en-US"/>
        </w:rPr>
        <w:t xml:space="preserve"> the </w:t>
      </w:r>
      <w:r w:rsidR="0007089E">
        <w:rPr>
          <w:rFonts w:eastAsia="SimSun" w:cs="Times New Roman"/>
          <w:lang w:eastAsia="en-US"/>
        </w:rPr>
        <w:t>submission</w:t>
      </w:r>
    </w:p>
    <w:p w14:paraId="26DA6914" w14:textId="77777777" w:rsidR="0007132E" w:rsidRPr="00C61670" w:rsidRDefault="0007132E" w:rsidP="0007132E">
      <w:pPr>
        <w:rPr>
          <w:snapToGrid w:val="0"/>
        </w:rPr>
      </w:pPr>
    </w:p>
    <w:p w14:paraId="23FDFB56" w14:textId="7D3B7790" w:rsidR="0007132E" w:rsidRPr="00E61F8D" w:rsidRDefault="00B63C3D" w:rsidP="0007132E">
      <w:pPr>
        <w:pStyle w:val="3-BodyText"/>
        <w:rPr>
          <w:iCs/>
        </w:rPr>
      </w:pPr>
      <w:r w:rsidRPr="0081032F">
        <w:rPr>
          <w:iCs/>
        </w:rPr>
        <w:t>T</w:t>
      </w:r>
      <w:r w:rsidR="0007132E" w:rsidRPr="0081032F">
        <w:rPr>
          <w:iCs/>
        </w:rPr>
        <w:t xml:space="preserve">he </w:t>
      </w:r>
      <w:r w:rsidR="0007089E" w:rsidRPr="0081032F">
        <w:rPr>
          <w:iCs/>
        </w:rPr>
        <w:t>submission</w:t>
      </w:r>
      <w:r w:rsidR="0007132E" w:rsidRPr="0081032F">
        <w:rPr>
          <w:iCs/>
        </w:rPr>
        <w:t xml:space="preserve"> provided results for the observed difference in mean change in CHOP-INTEND from baseline up to 52 weeks. At all reported time</w:t>
      </w:r>
      <w:r w:rsidR="00461EA4" w:rsidRPr="0081032F">
        <w:rPr>
          <w:iCs/>
        </w:rPr>
        <w:t xml:space="preserve"> </w:t>
      </w:r>
      <w:r w:rsidR="0007132E" w:rsidRPr="0081032F">
        <w:rPr>
          <w:iCs/>
        </w:rPr>
        <w:t xml:space="preserve">points there did not appear to be a </w:t>
      </w:r>
      <w:r w:rsidR="00917136">
        <w:rPr>
          <w:iCs/>
        </w:rPr>
        <w:t>substantial</w:t>
      </w:r>
      <w:r w:rsidR="0007132E" w:rsidRPr="0081032F">
        <w:rPr>
          <w:iCs/>
        </w:rPr>
        <w:t xml:space="preserve"> </w:t>
      </w:r>
      <w:r w:rsidR="002376D3" w:rsidRPr="0081032F">
        <w:rPr>
          <w:iCs/>
        </w:rPr>
        <w:t>difference between</w:t>
      </w:r>
      <w:r w:rsidR="0007132E" w:rsidRPr="0081032F">
        <w:rPr>
          <w:iCs/>
        </w:rPr>
        <w:t xml:space="preserve"> the results for risdiplam and nusinersen. </w:t>
      </w:r>
    </w:p>
    <w:p w14:paraId="11A1F3AF" w14:textId="00DD4513" w:rsidR="00E61F8D" w:rsidRPr="008E0C5A" w:rsidRDefault="00E61F8D" w:rsidP="00593736">
      <w:pPr>
        <w:pStyle w:val="3-BodyText"/>
        <w:rPr>
          <w:iCs/>
        </w:rPr>
      </w:pPr>
      <w:r>
        <w:t xml:space="preserve">For the mean change in </w:t>
      </w:r>
      <w:r w:rsidRPr="008E0C5A">
        <w:rPr>
          <w:bCs/>
          <w:iCs/>
        </w:rPr>
        <w:t>HINE-2 total score</w:t>
      </w:r>
      <w:r w:rsidRPr="008E0C5A">
        <w:rPr>
          <w:iCs/>
        </w:rPr>
        <w:t xml:space="preserve"> (</w:t>
      </w:r>
      <w:r w:rsidRPr="008E0C5A">
        <w:rPr>
          <w:iCs/>
        </w:rPr>
        <w:fldChar w:fldCharType="begin" w:fldLock="1"/>
      </w:r>
      <w:r w:rsidRPr="008E0C5A">
        <w:rPr>
          <w:iCs/>
        </w:rPr>
        <w:instrText xml:space="preserve"> REF _Ref165834632 \h </w:instrText>
      </w:r>
      <w:r w:rsidRPr="008E0C5A">
        <w:rPr>
          <w:iCs/>
        </w:rPr>
      </w:r>
      <w:r w:rsidRPr="008E0C5A">
        <w:rPr>
          <w:iCs/>
        </w:rPr>
        <w:fldChar w:fldCharType="separate"/>
      </w:r>
      <w:r w:rsidRPr="00C61670">
        <w:t xml:space="preserve">Table </w:t>
      </w:r>
      <w:r>
        <w:rPr>
          <w:noProof/>
        </w:rPr>
        <w:t>5</w:t>
      </w:r>
      <w:r w:rsidRPr="008E0C5A">
        <w:rPr>
          <w:iCs/>
        </w:rPr>
        <w:fldChar w:fldCharType="end"/>
      </w:r>
      <w:r w:rsidRPr="008E0C5A">
        <w:rPr>
          <w:iCs/>
        </w:rPr>
        <w:t>) and mean change in CHOP-INTEND (</w:t>
      </w:r>
      <w:r w:rsidRPr="008E0C5A">
        <w:rPr>
          <w:iCs/>
        </w:rPr>
        <w:fldChar w:fldCharType="begin" w:fldLock="1"/>
      </w:r>
      <w:r w:rsidRPr="008E0C5A">
        <w:rPr>
          <w:iCs/>
        </w:rPr>
        <w:instrText xml:space="preserve"> REF _Ref165837072 \h </w:instrText>
      </w:r>
      <w:r w:rsidRPr="008E0C5A">
        <w:rPr>
          <w:iCs/>
        </w:rPr>
      </w:r>
      <w:r w:rsidRPr="008E0C5A">
        <w:rPr>
          <w:iCs/>
        </w:rPr>
        <w:fldChar w:fldCharType="separate"/>
      </w:r>
      <w:r w:rsidRPr="00C61670">
        <w:t xml:space="preserve">Table </w:t>
      </w:r>
      <w:r>
        <w:rPr>
          <w:noProof/>
        </w:rPr>
        <w:t>7</w:t>
      </w:r>
      <w:r w:rsidRPr="008E0C5A">
        <w:rPr>
          <w:iCs/>
        </w:rPr>
        <w:fldChar w:fldCharType="end"/>
      </w:r>
      <w:r w:rsidRPr="008E0C5A">
        <w:rPr>
          <w:iCs/>
        </w:rPr>
        <w:t xml:space="preserve">) it was not clear what adjustments had been made to calculate the “estimated difference” and why these results differed from the observed values. </w:t>
      </w:r>
      <w:r w:rsidRPr="00DD6359">
        <w:rPr>
          <w:iCs/>
        </w:rPr>
        <w:t>The Pre-Sub-Committee Response (PSCR) stated the reference to the</w:t>
      </w:r>
      <w:r w:rsidR="008E0C5A" w:rsidRPr="00DD6359">
        <w:rPr>
          <w:iCs/>
        </w:rPr>
        <w:t>ir source (</w:t>
      </w:r>
      <w:r w:rsidRPr="00DD6359">
        <w:rPr>
          <w:iCs/>
        </w:rPr>
        <w:t>statistical appendix</w:t>
      </w:r>
      <w:r w:rsidR="008E0C5A" w:rsidRPr="00DD6359">
        <w:rPr>
          <w:iCs/>
        </w:rPr>
        <w:t>)</w:t>
      </w:r>
      <w:r w:rsidRPr="00DD6359">
        <w:rPr>
          <w:iCs/>
        </w:rPr>
        <w:t xml:space="preserve"> was an error and that all the relevant information for the two-sample t-test was provided in the submission. The ESC considered it </w:t>
      </w:r>
      <w:r w:rsidR="00F32AE5">
        <w:rPr>
          <w:iCs/>
        </w:rPr>
        <w:t>remained un</w:t>
      </w:r>
      <w:r w:rsidRPr="00DD6359">
        <w:rPr>
          <w:iCs/>
        </w:rPr>
        <w:t>clear how the 95% CIs and p-values were calculated and why the observed versus the estimated values differed. Overall, the evaluation considered that</w:t>
      </w:r>
      <w:r w:rsidRPr="008E0C5A">
        <w:rPr>
          <w:iCs/>
        </w:rPr>
        <w:t xml:space="preserve"> comparisons between RAINBOWFISH and NURTURE were made only on point estimates of change from baseline in HINE-2 scores</w:t>
      </w:r>
      <w:r w:rsidR="008E0C5A" w:rsidRPr="008E0C5A">
        <w:rPr>
          <w:iCs/>
        </w:rPr>
        <w:t xml:space="preserve"> and CHOP-INTEND scores</w:t>
      </w:r>
      <w:r w:rsidRPr="008E0C5A">
        <w:rPr>
          <w:iCs/>
        </w:rPr>
        <w:t xml:space="preserve">, and statistical comparisons were likely unreliable given the lack of multiplicity adjustments and the use of subgroups. </w:t>
      </w:r>
    </w:p>
    <w:p w14:paraId="619FC844" w14:textId="77777777" w:rsidR="0007132E" w:rsidRPr="00C61670" w:rsidRDefault="0007132E" w:rsidP="0007132E">
      <w:pPr>
        <w:pStyle w:val="4-SubsectionHeading"/>
      </w:pPr>
      <w:bookmarkStart w:id="27" w:name="_Toc167202923"/>
      <w:r w:rsidRPr="00C61670">
        <w:t>Comparative harms</w:t>
      </w:r>
      <w:bookmarkEnd w:id="27"/>
    </w:p>
    <w:p w14:paraId="31D48A43" w14:textId="43AF9BBB" w:rsidR="00F6551D" w:rsidRPr="0081032F" w:rsidRDefault="0007132E" w:rsidP="00F6551D">
      <w:pPr>
        <w:pStyle w:val="3-BodyText"/>
        <w:rPr>
          <w:iCs/>
        </w:rPr>
      </w:pPr>
      <w:r w:rsidRPr="00C61670">
        <w:t xml:space="preserve">The </w:t>
      </w:r>
      <w:r w:rsidR="0007089E">
        <w:t>submission</w:t>
      </w:r>
      <w:r w:rsidRPr="00C61670">
        <w:t xml:space="preserve"> claimed that in pre-symptomatic SMA patients with a </w:t>
      </w:r>
      <w:r w:rsidRPr="00C61670">
        <w:rPr>
          <w:i/>
          <w:iCs/>
        </w:rPr>
        <w:t>SMN2</w:t>
      </w:r>
      <w:r w:rsidRPr="00C61670">
        <w:t xml:space="preserve"> copy number of three, risdiplam is non-inferior in terms of safety compared with nusinersen but also claimed that risdiplam has a favourable safety profile in some patients due to a less invasive administration method (oral </w:t>
      </w:r>
      <w:r w:rsidR="00E660AD">
        <w:t xml:space="preserve">for risdiplam and </w:t>
      </w:r>
      <w:r w:rsidRPr="00C61670">
        <w:t>intrathecal</w:t>
      </w:r>
      <w:r w:rsidR="00E660AD">
        <w:t xml:space="preserve"> for nusinersen</w:t>
      </w:r>
      <w:r w:rsidRPr="00C61670">
        <w:t xml:space="preserve">). </w:t>
      </w:r>
    </w:p>
    <w:p w14:paraId="5B37A7FD" w14:textId="1D8C7E43" w:rsidR="00F6551D" w:rsidRPr="0081032F" w:rsidRDefault="0007132E" w:rsidP="00F6551D">
      <w:pPr>
        <w:pStyle w:val="3-BodyText"/>
        <w:rPr>
          <w:iCs/>
        </w:rPr>
      </w:pPr>
      <w:r w:rsidRPr="0081032F">
        <w:rPr>
          <w:iCs/>
        </w:rPr>
        <w:t xml:space="preserve">The PBAC previously noted that the long-term safety of repeated lumbar puncture </w:t>
      </w:r>
      <w:r w:rsidR="00041521" w:rsidRPr="0081032F">
        <w:rPr>
          <w:iCs/>
        </w:rPr>
        <w:t xml:space="preserve">associated with nusinersen </w:t>
      </w:r>
      <w:r w:rsidRPr="0081032F">
        <w:rPr>
          <w:iCs/>
        </w:rPr>
        <w:t>in the context of a lifelong disease was unknown (paragraph 7.5, nusinersen PSD, July 2019 PBAC meeting).</w:t>
      </w:r>
      <w:r w:rsidR="00F6551D" w:rsidRPr="0081032F">
        <w:rPr>
          <w:iCs/>
        </w:rPr>
        <w:t xml:space="preserve"> The PBAC had previously </w:t>
      </w:r>
      <w:r w:rsidR="00F6551D" w:rsidRPr="0081032F">
        <w:rPr>
          <w:iCs/>
        </w:rPr>
        <w:lastRenderedPageBreak/>
        <w:t>considered that, given the less invasive route of administration of risdiplam compared to nusinersen the conclusion that risdiplam has a favourable safety profile in some patients was reasonable (paragraph 7.8, risdiplam PSD, March 2021 PBAC meeting).</w:t>
      </w:r>
    </w:p>
    <w:p w14:paraId="32E1B2A0" w14:textId="42F626C2" w:rsidR="0007132E" w:rsidRPr="00C61670" w:rsidRDefault="0007132E" w:rsidP="0007132E">
      <w:pPr>
        <w:pStyle w:val="3-BodyText"/>
      </w:pPr>
      <w:r w:rsidRPr="00C61670">
        <w:t xml:space="preserve">The </w:t>
      </w:r>
      <w:r w:rsidR="0007089E">
        <w:t>submission</w:t>
      </w:r>
      <w:r w:rsidRPr="00C61670">
        <w:t xml:space="preserve"> provided an overview of adverse events </w:t>
      </w:r>
      <w:r w:rsidR="00461EA4" w:rsidRPr="00C61670">
        <w:t xml:space="preserve">(AEs) </w:t>
      </w:r>
      <w:r w:rsidRPr="00C61670">
        <w:t>for all patients in RAINBOWFISH and NURTURE (</w:t>
      </w:r>
      <w:r w:rsidRPr="00C61670">
        <w:fldChar w:fldCharType="begin" w:fldLock="1"/>
      </w:r>
      <w:r w:rsidRPr="00C61670">
        <w:instrText xml:space="preserve"> REF _Ref165893102 \h </w:instrText>
      </w:r>
      <w:r w:rsidRPr="00C61670">
        <w:fldChar w:fldCharType="separate"/>
      </w:r>
      <w:r w:rsidR="00AA25E7" w:rsidRPr="00C61670">
        <w:t xml:space="preserve">Table </w:t>
      </w:r>
      <w:r w:rsidR="00AA25E7">
        <w:rPr>
          <w:noProof/>
        </w:rPr>
        <w:t>8</w:t>
      </w:r>
      <w:r w:rsidRPr="00C61670">
        <w:fldChar w:fldCharType="end"/>
      </w:r>
      <w:r w:rsidRPr="00C61670">
        <w:t xml:space="preserve">). The </w:t>
      </w:r>
      <w:r w:rsidR="0007089E">
        <w:t>submission</w:t>
      </w:r>
      <w:r w:rsidRPr="00C61670">
        <w:t xml:space="preserve"> claimed that there </w:t>
      </w:r>
      <w:r w:rsidR="00DF4069">
        <w:t xml:space="preserve">was </w:t>
      </w:r>
      <w:r w:rsidRPr="00C61670">
        <w:t xml:space="preserve">nothing to suggest clinically that the safety profile for pre-symptomatic SMA patients with three </w:t>
      </w:r>
      <w:r w:rsidRPr="00C61670">
        <w:rPr>
          <w:i/>
          <w:iCs/>
        </w:rPr>
        <w:t>SMN2</w:t>
      </w:r>
      <w:r w:rsidRPr="00C61670">
        <w:t xml:space="preserve"> copies would be different to the general SMA population</w:t>
      </w:r>
      <w:r w:rsidR="00AD1C33" w:rsidRPr="00C61670">
        <w:t>.</w:t>
      </w:r>
      <w:r w:rsidR="00DF4069">
        <w:t xml:space="preserve"> </w:t>
      </w:r>
      <w:r w:rsidR="00DF4069" w:rsidRPr="0081032F">
        <w:rPr>
          <w:iCs/>
        </w:rPr>
        <w:t>This was likely reasonable.</w:t>
      </w:r>
    </w:p>
    <w:p w14:paraId="178E7F17" w14:textId="3A4B5620" w:rsidR="0007132E" w:rsidRPr="00C61670" w:rsidRDefault="0007132E" w:rsidP="003D7848">
      <w:pPr>
        <w:pStyle w:val="Caption"/>
      </w:pPr>
      <w:bookmarkStart w:id="28" w:name="_Ref165893102"/>
      <w:r w:rsidRPr="00C61670">
        <w:t xml:space="preserve">Table </w:t>
      </w:r>
      <w:r w:rsidR="002906A9">
        <w:fldChar w:fldCharType="begin" w:fldLock="1"/>
      </w:r>
      <w:r w:rsidR="002906A9">
        <w:instrText xml:space="preserve"> SEQ Table \* ARABIC </w:instrText>
      </w:r>
      <w:r w:rsidR="002906A9">
        <w:fldChar w:fldCharType="separate"/>
      </w:r>
      <w:r w:rsidR="00AA25E7">
        <w:rPr>
          <w:noProof/>
        </w:rPr>
        <w:t>8</w:t>
      </w:r>
      <w:r w:rsidR="002906A9">
        <w:rPr>
          <w:noProof/>
        </w:rPr>
        <w:fldChar w:fldCharType="end"/>
      </w:r>
      <w:bookmarkEnd w:id="28"/>
      <w:r w:rsidRPr="00C61670">
        <w:t>:</w:t>
      </w:r>
      <w:r w:rsidR="003A2867" w:rsidRPr="00C61670">
        <w:t xml:space="preserve"> </w:t>
      </w:r>
      <w:r w:rsidRPr="00C61670">
        <w:t>Overview of adverse events in RAINBOWFISH and NURTURE, ITT population</w:t>
      </w:r>
    </w:p>
    <w:tbl>
      <w:tblPr>
        <w:tblW w:w="5000" w:type="pct"/>
        <w:tblLook w:val="0000" w:firstRow="0" w:lastRow="0" w:firstColumn="0" w:lastColumn="0" w:noHBand="0" w:noVBand="0"/>
        <w:tblCaption w:val="Table 8: Overview of adverse events in RAINBOWFISH and NURTURE, ITT population"/>
      </w:tblPr>
      <w:tblGrid>
        <w:gridCol w:w="4975"/>
        <w:gridCol w:w="2020"/>
        <w:gridCol w:w="2022"/>
      </w:tblGrid>
      <w:tr w:rsidR="0007132E" w:rsidRPr="00DF4069" w14:paraId="088745A0" w14:textId="77777777" w:rsidTr="0020667F">
        <w:trPr>
          <w:trHeight w:val="70"/>
          <w:tblHeader/>
        </w:trPr>
        <w:tc>
          <w:tcPr>
            <w:tcW w:w="2759" w:type="pct"/>
            <w:tcBorders>
              <w:top w:val="single" w:sz="4" w:space="0" w:color="auto"/>
              <w:left w:val="single" w:sz="4" w:space="0" w:color="auto"/>
              <w:bottom w:val="single" w:sz="4" w:space="0" w:color="auto"/>
              <w:right w:val="single" w:sz="4" w:space="0" w:color="auto"/>
            </w:tcBorders>
            <w:shd w:val="clear" w:color="auto" w:fill="auto"/>
            <w:vAlign w:val="center"/>
          </w:tcPr>
          <w:p w14:paraId="50AE5C76" w14:textId="77777777" w:rsidR="0007132E" w:rsidRPr="00DF4069" w:rsidRDefault="0007132E" w:rsidP="003D7848">
            <w:pPr>
              <w:pStyle w:val="In-tableHeading"/>
              <w:keepLines/>
              <w:jc w:val="center"/>
              <w:rPr>
                <w:szCs w:val="20"/>
                <w:lang w:val="en-AU"/>
              </w:rPr>
            </w:pPr>
          </w:p>
        </w:tc>
        <w:tc>
          <w:tcPr>
            <w:tcW w:w="1120" w:type="pct"/>
            <w:tcBorders>
              <w:top w:val="single" w:sz="4" w:space="0" w:color="auto"/>
              <w:left w:val="nil"/>
              <w:bottom w:val="single" w:sz="4" w:space="0" w:color="auto"/>
              <w:right w:val="single" w:sz="4" w:space="0" w:color="auto"/>
            </w:tcBorders>
            <w:shd w:val="clear" w:color="auto" w:fill="auto"/>
            <w:vAlign w:val="center"/>
          </w:tcPr>
          <w:p w14:paraId="4C1E032B" w14:textId="77777777" w:rsidR="0007132E" w:rsidRPr="00DF4069" w:rsidRDefault="0007132E" w:rsidP="003D7848">
            <w:pPr>
              <w:pStyle w:val="In-tableHeading"/>
              <w:keepLines/>
              <w:jc w:val="center"/>
              <w:rPr>
                <w:szCs w:val="20"/>
                <w:vertAlign w:val="superscript"/>
                <w:lang w:val="en-AU"/>
              </w:rPr>
            </w:pPr>
            <w:r w:rsidRPr="00DF4069">
              <w:rPr>
                <w:szCs w:val="20"/>
                <w:lang w:val="en-AU"/>
              </w:rPr>
              <w:t>RAINBOWFISH</w:t>
            </w:r>
          </w:p>
          <w:p w14:paraId="366C5C77" w14:textId="77777777" w:rsidR="0007132E" w:rsidRPr="00DF4069" w:rsidRDefault="0007132E" w:rsidP="003D7848">
            <w:pPr>
              <w:pStyle w:val="In-tableHeading"/>
              <w:keepLines/>
              <w:jc w:val="center"/>
              <w:rPr>
                <w:szCs w:val="20"/>
                <w:lang w:val="en-AU"/>
              </w:rPr>
            </w:pPr>
            <w:r w:rsidRPr="00DF4069">
              <w:rPr>
                <w:szCs w:val="20"/>
                <w:lang w:val="en-AU"/>
              </w:rPr>
              <w:t>N=26</w:t>
            </w:r>
          </w:p>
          <w:p w14:paraId="762424E2" w14:textId="77777777" w:rsidR="0007132E" w:rsidRPr="00DF4069" w:rsidRDefault="0007132E" w:rsidP="003D7848">
            <w:pPr>
              <w:pStyle w:val="In-tableHeading"/>
              <w:keepLines/>
              <w:jc w:val="center"/>
              <w:rPr>
                <w:szCs w:val="20"/>
                <w:lang w:val="en-AU"/>
              </w:rPr>
            </w:pPr>
            <w:r w:rsidRPr="00DF4069">
              <w:rPr>
                <w:szCs w:val="20"/>
                <w:lang w:val="en-AU"/>
              </w:rPr>
              <w:t>n (%)</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63A7E244" w14:textId="77777777" w:rsidR="0007132E" w:rsidRPr="00DF4069" w:rsidRDefault="0007132E" w:rsidP="003D7848">
            <w:pPr>
              <w:pStyle w:val="In-tableHeading"/>
              <w:keepLines/>
              <w:jc w:val="center"/>
              <w:rPr>
                <w:szCs w:val="20"/>
                <w:lang w:val="en-AU"/>
              </w:rPr>
            </w:pPr>
            <w:r w:rsidRPr="00DF4069">
              <w:rPr>
                <w:szCs w:val="20"/>
                <w:lang w:val="en-AU"/>
              </w:rPr>
              <w:t>NURTURE</w:t>
            </w:r>
          </w:p>
          <w:p w14:paraId="3AA047C2" w14:textId="77777777" w:rsidR="0007132E" w:rsidRPr="00DF4069" w:rsidRDefault="0007132E" w:rsidP="003D7848">
            <w:pPr>
              <w:pStyle w:val="In-tableHeading"/>
              <w:keepLines/>
              <w:jc w:val="center"/>
              <w:rPr>
                <w:szCs w:val="20"/>
                <w:lang w:val="en-AU"/>
              </w:rPr>
            </w:pPr>
            <w:r w:rsidRPr="00DF4069">
              <w:rPr>
                <w:szCs w:val="20"/>
                <w:lang w:val="en-AU"/>
              </w:rPr>
              <w:t>N=25</w:t>
            </w:r>
          </w:p>
          <w:p w14:paraId="31EDBD63" w14:textId="77777777" w:rsidR="0007132E" w:rsidRPr="00DF4069" w:rsidRDefault="0007132E" w:rsidP="003D7848">
            <w:pPr>
              <w:pStyle w:val="In-tableHeading"/>
              <w:keepLines/>
              <w:jc w:val="center"/>
              <w:rPr>
                <w:szCs w:val="20"/>
                <w:lang w:val="en-AU"/>
              </w:rPr>
            </w:pPr>
            <w:r w:rsidRPr="00DF4069">
              <w:rPr>
                <w:szCs w:val="20"/>
                <w:lang w:val="en-AU"/>
              </w:rPr>
              <w:t>n (%)</w:t>
            </w:r>
          </w:p>
        </w:tc>
      </w:tr>
      <w:tr w:rsidR="0007132E" w:rsidRPr="00DF4069" w14:paraId="26C51C11" w14:textId="77777777" w:rsidTr="0020667F">
        <w:trPr>
          <w:trHeight w:val="139"/>
        </w:trPr>
        <w:tc>
          <w:tcPr>
            <w:tcW w:w="2759" w:type="pct"/>
            <w:tcBorders>
              <w:top w:val="single" w:sz="4" w:space="0" w:color="auto"/>
              <w:left w:val="single" w:sz="4" w:space="0" w:color="auto"/>
              <w:right w:val="single" w:sz="4" w:space="0" w:color="auto"/>
            </w:tcBorders>
            <w:vAlign w:val="center"/>
          </w:tcPr>
          <w:p w14:paraId="4886C99D" w14:textId="77777777" w:rsidR="0007132E" w:rsidRPr="00DF4069" w:rsidRDefault="0007132E" w:rsidP="003D7848">
            <w:pPr>
              <w:pStyle w:val="Tabletext"/>
              <w:keepNext/>
              <w:keepLines/>
              <w:rPr>
                <w:szCs w:val="20"/>
              </w:rPr>
            </w:pPr>
            <w:r w:rsidRPr="00DF4069">
              <w:rPr>
                <w:szCs w:val="20"/>
              </w:rPr>
              <w:t>Total number of patients with at least one AE</w:t>
            </w:r>
          </w:p>
        </w:tc>
        <w:tc>
          <w:tcPr>
            <w:tcW w:w="1120" w:type="pct"/>
            <w:vMerge w:val="restart"/>
            <w:tcBorders>
              <w:top w:val="single" w:sz="4" w:space="0" w:color="auto"/>
              <w:left w:val="nil"/>
              <w:right w:val="single" w:sz="4" w:space="0" w:color="auto"/>
            </w:tcBorders>
            <w:vAlign w:val="center"/>
          </w:tcPr>
          <w:p w14:paraId="75F1789A" w14:textId="77777777" w:rsidR="0007132E" w:rsidRPr="00DF4069" w:rsidRDefault="0007132E" w:rsidP="003D7848">
            <w:pPr>
              <w:pStyle w:val="Tabletext"/>
              <w:keepNext/>
              <w:keepLines/>
              <w:jc w:val="center"/>
              <w:rPr>
                <w:szCs w:val="20"/>
              </w:rPr>
            </w:pPr>
            <w:r w:rsidRPr="00DF4069">
              <w:rPr>
                <w:szCs w:val="20"/>
              </w:rPr>
              <w:t>24 (92.3)</w:t>
            </w:r>
          </w:p>
          <w:p w14:paraId="4BACB3B7" w14:textId="77777777" w:rsidR="0007132E" w:rsidRPr="00DF4069" w:rsidRDefault="0007132E" w:rsidP="003D7848">
            <w:pPr>
              <w:pStyle w:val="Tabletext"/>
              <w:keepNext/>
              <w:keepLines/>
              <w:jc w:val="center"/>
              <w:rPr>
                <w:szCs w:val="20"/>
              </w:rPr>
            </w:pPr>
            <w:r w:rsidRPr="00DF4069">
              <w:rPr>
                <w:szCs w:val="20"/>
              </w:rPr>
              <w:t>203</w:t>
            </w:r>
          </w:p>
          <w:p w14:paraId="3B77526A" w14:textId="77777777" w:rsidR="0007132E" w:rsidRPr="00DF4069" w:rsidRDefault="0007132E" w:rsidP="003D7848">
            <w:pPr>
              <w:pStyle w:val="Tabletext"/>
              <w:keepNext/>
              <w:keepLines/>
              <w:jc w:val="center"/>
              <w:rPr>
                <w:szCs w:val="20"/>
              </w:rPr>
            </w:pPr>
            <w:r w:rsidRPr="00DF4069">
              <w:rPr>
                <w:szCs w:val="20"/>
              </w:rPr>
              <w:t>0</w:t>
            </w:r>
          </w:p>
          <w:p w14:paraId="6BA18BAA" w14:textId="77777777" w:rsidR="0007132E" w:rsidRPr="00DF4069" w:rsidRDefault="0007132E" w:rsidP="003D7848">
            <w:pPr>
              <w:pStyle w:val="Tabletext"/>
              <w:keepNext/>
              <w:keepLines/>
              <w:jc w:val="center"/>
              <w:rPr>
                <w:szCs w:val="20"/>
              </w:rPr>
            </w:pPr>
            <w:r w:rsidRPr="00DF4069">
              <w:rPr>
                <w:szCs w:val="20"/>
              </w:rPr>
              <w:t>0</w:t>
            </w:r>
          </w:p>
        </w:tc>
        <w:tc>
          <w:tcPr>
            <w:tcW w:w="1121" w:type="pct"/>
            <w:tcBorders>
              <w:top w:val="single" w:sz="4" w:space="0" w:color="auto"/>
              <w:left w:val="single" w:sz="4" w:space="0" w:color="auto"/>
              <w:right w:val="single" w:sz="4" w:space="0" w:color="auto"/>
            </w:tcBorders>
            <w:shd w:val="clear" w:color="auto" w:fill="C6D9F1" w:themeFill="text2" w:themeFillTint="33"/>
            <w:vAlign w:val="center"/>
          </w:tcPr>
          <w:p w14:paraId="2F77ECD3" w14:textId="77777777" w:rsidR="0007132E" w:rsidRPr="00DF4069" w:rsidRDefault="0007132E" w:rsidP="003D7848">
            <w:pPr>
              <w:pStyle w:val="Tabletext"/>
              <w:keepNext/>
              <w:keepLines/>
              <w:jc w:val="center"/>
              <w:rPr>
                <w:szCs w:val="20"/>
              </w:rPr>
            </w:pPr>
            <w:r w:rsidRPr="00DF4069">
              <w:rPr>
                <w:szCs w:val="20"/>
              </w:rPr>
              <w:t>25 (100)</w:t>
            </w:r>
          </w:p>
        </w:tc>
      </w:tr>
      <w:tr w:rsidR="0007132E" w:rsidRPr="00DF4069" w14:paraId="4D637925" w14:textId="77777777" w:rsidTr="0020667F">
        <w:tc>
          <w:tcPr>
            <w:tcW w:w="2759" w:type="pct"/>
            <w:tcBorders>
              <w:left w:val="single" w:sz="4" w:space="0" w:color="auto"/>
              <w:right w:val="single" w:sz="4" w:space="0" w:color="auto"/>
            </w:tcBorders>
            <w:vAlign w:val="center"/>
          </w:tcPr>
          <w:p w14:paraId="72D2819A" w14:textId="77777777" w:rsidR="0007132E" w:rsidRPr="00DF4069" w:rsidRDefault="0007132E" w:rsidP="003D7848">
            <w:pPr>
              <w:pStyle w:val="Tabletext"/>
              <w:keepNext/>
              <w:keepLines/>
              <w:rPr>
                <w:szCs w:val="20"/>
              </w:rPr>
            </w:pPr>
            <w:r w:rsidRPr="00DF4069">
              <w:rPr>
                <w:szCs w:val="20"/>
              </w:rPr>
              <w:t>Total number of AEs</w:t>
            </w:r>
          </w:p>
        </w:tc>
        <w:tc>
          <w:tcPr>
            <w:tcW w:w="1120" w:type="pct"/>
            <w:vMerge/>
            <w:tcBorders>
              <w:left w:val="nil"/>
              <w:right w:val="single" w:sz="4" w:space="0" w:color="auto"/>
            </w:tcBorders>
            <w:vAlign w:val="center"/>
          </w:tcPr>
          <w:p w14:paraId="10C2F173" w14:textId="77777777" w:rsidR="0007132E" w:rsidRPr="00DF4069" w:rsidRDefault="0007132E" w:rsidP="003D7848">
            <w:pPr>
              <w:pStyle w:val="Tabletext"/>
              <w:keepNext/>
              <w:keepLines/>
              <w:jc w:val="center"/>
              <w:rPr>
                <w:szCs w:val="20"/>
              </w:rPr>
            </w:pPr>
          </w:p>
        </w:tc>
        <w:tc>
          <w:tcPr>
            <w:tcW w:w="1121" w:type="pct"/>
            <w:tcBorders>
              <w:left w:val="single" w:sz="4" w:space="0" w:color="auto"/>
              <w:right w:val="single" w:sz="4" w:space="0" w:color="auto"/>
            </w:tcBorders>
            <w:shd w:val="clear" w:color="auto" w:fill="C6D9F1" w:themeFill="text2" w:themeFillTint="33"/>
            <w:vAlign w:val="center"/>
          </w:tcPr>
          <w:p w14:paraId="21B59009" w14:textId="77777777" w:rsidR="0007132E" w:rsidRPr="00DF4069" w:rsidRDefault="0007132E" w:rsidP="003D7848">
            <w:pPr>
              <w:pStyle w:val="Tabletext"/>
              <w:keepNext/>
              <w:keepLines/>
              <w:jc w:val="center"/>
              <w:rPr>
                <w:szCs w:val="20"/>
              </w:rPr>
            </w:pPr>
            <w:r w:rsidRPr="00DF4069">
              <w:rPr>
                <w:szCs w:val="20"/>
              </w:rPr>
              <w:t>NR</w:t>
            </w:r>
          </w:p>
        </w:tc>
      </w:tr>
      <w:tr w:rsidR="0007132E" w:rsidRPr="00DF4069" w14:paraId="7842B87A" w14:textId="77777777" w:rsidTr="0020667F">
        <w:tc>
          <w:tcPr>
            <w:tcW w:w="2759" w:type="pct"/>
            <w:tcBorders>
              <w:left w:val="single" w:sz="4" w:space="0" w:color="auto"/>
              <w:right w:val="single" w:sz="4" w:space="0" w:color="auto"/>
            </w:tcBorders>
            <w:vAlign w:val="center"/>
          </w:tcPr>
          <w:p w14:paraId="7C2B4C0A" w14:textId="77777777" w:rsidR="0007132E" w:rsidRPr="00DF4069" w:rsidRDefault="0007132E" w:rsidP="003D7848">
            <w:pPr>
              <w:pStyle w:val="Tabletext"/>
              <w:keepNext/>
              <w:keepLines/>
              <w:rPr>
                <w:szCs w:val="20"/>
              </w:rPr>
            </w:pPr>
            <w:r w:rsidRPr="00DF4069">
              <w:rPr>
                <w:szCs w:val="20"/>
              </w:rPr>
              <w:t>Total number of deaths</w:t>
            </w:r>
          </w:p>
        </w:tc>
        <w:tc>
          <w:tcPr>
            <w:tcW w:w="1120" w:type="pct"/>
            <w:vMerge/>
            <w:tcBorders>
              <w:left w:val="nil"/>
              <w:right w:val="single" w:sz="4" w:space="0" w:color="auto"/>
            </w:tcBorders>
            <w:vAlign w:val="center"/>
          </w:tcPr>
          <w:p w14:paraId="24112667" w14:textId="77777777" w:rsidR="0007132E" w:rsidRPr="00DF4069" w:rsidRDefault="0007132E" w:rsidP="003D7848">
            <w:pPr>
              <w:pStyle w:val="Tabletext"/>
              <w:keepNext/>
              <w:keepLines/>
              <w:jc w:val="center"/>
              <w:rPr>
                <w:szCs w:val="20"/>
              </w:rPr>
            </w:pPr>
          </w:p>
        </w:tc>
        <w:tc>
          <w:tcPr>
            <w:tcW w:w="1121" w:type="pct"/>
            <w:tcBorders>
              <w:left w:val="single" w:sz="4" w:space="0" w:color="auto"/>
              <w:right w:val="single" w:sz="4" w:space="0" w:color="auto"/>
            </w:tcBorders>
            <w:shd w:val="clear" w:color="auto" w:fill="C6D9F1" w:themeFill="text2" w:themeFillTint="33"/>
            <w:vAlign w:val="center"/>
          </w:tcPr>
          <w:p w14:paraId="40FB002E" w14:textId="77777777" w:rsidR="0007132E" w:rsidRPr="00DF4069" w:rsidRDefault="0007132E" w:rsidP="003D7848">
            <w:pPr>
              <w:pStyle w:val="Tabletext"/>
              <w:keepNext/>
              <w:keepLines/>
              <w:jc w:val="center"/>
              <w:rPr>
                <w:szCs w:val="20"/>
              </w:rPr>
            </w:pPr>
            <w:r w:rsidRPr="00DF4069">
              <w:rPr>
                <w:szCs w:val="20"/>
              </w:rPr>
              <w:t>0</w:t>
            </w:r>
          </w:p>
        </w:tc>
      </w:tr>
      <w:tr w:rsidR="0007132E" w:rsidRPr="00DF4069" w14:paraId="4EFEDFD0" w14:textId="77777777" w:rsidTr="0020667F">
        <w:tc>
          <w:tcPr>
            <w:tcW w:w="2759" w:type="pct"/>
            <w:tcBorders>
              <w:left w:val="single" w:sz="4" w:space="0" w:color="auto"/>
              <w:right w:val="single" w:sz="4" w:space="0" w:color="auto"/>
            </w:tcBorders>
            <w:vAlign w:val="center"/>
          </w:tcPr>
          <w:p w14:paraId="32AC235F" w14:textId="77777777" w:rsidR="0007132E" w:rsidRPr="00DF4069" w:rsidRDefault="0007132E" w:rsidP="003D7848">
            <w:pPr>
              <w:pStyle w:val="Tabletext"/>
              <w:keepNext/>
              <w:keepLines/>
              <w:rPr>
                <w:szCs w:val="20"/>
              </w:rPr>
            </w:pPr>
            <w:r w:rsidRPr="00DF4069">
              <w:rPr>
                <w:szCs w:val="20"/>
              </w:rPr>
              <w:t>Total number of patients withdrawn from study due to an AE</w:t>
            </w:r>
          </w:p>
        </w:tc>
        <w:tc>
          <w:tcPr>
            <w:tcW w:w="1120" w:type="pct"/>
            <w:vMerge/>
            <w:tcBorders>
              <w:left w:val="nil"/>
              <w:bottom w:val="single" w:sz="4" w:space="0" w:color="auto"/>
              <w:right w:val="single" w:sz="4" w:space="0" w:color="auto"/>
            </w:tcBorders>
            <w:vAlign w:val="center"/>
          </w:tcPr>
          <w:p w14:paraId="10D5C184" w14:textId="77777777" w:rsidR="0007132E" w:rsidRPr="00DF4069" w:rsidRDefault="0007132E" w:rsidP="003D7848">
            <w:pPr>
              <w:pStyle w:val="Tabletext"/>
              <w:keepNext/>
              <w:keepLines/>
              <w:jc w:val="center"/>
              <w:rPr>
                <w:szCs w:val="20"/>
              </w:rPr>
            </w:pPr>
          </w:p>
        </w:tc>
        <w:tc>
          <w:tcPr>
            <w:tcW w:w="1121" w:type="pct"/>
            <w:tcBorders>
              <w:left w:val="single" w:sz="4" w:space="0" w:color="auto"/>
              <w:right w:val="single" w:sz="4" w:space="0" w:color="auto"/>
            </w:tcBorders>
            <w:shd w:val="clear" w:color="auto" w:fill="C6D9F1" w:themeFill="text2" w:themeFillTint="33"/>
            <w:vAlign w:val="center"/>
          </w:tcPr>
          <w:p w14:paraId="736D9BCC" w14:textId="77777777" w:rsidR="0007132E" w:rsidRPr="00DF4069" w:rsidRDefault="0007132E" w:rsidP="003D7848">
            <w:pPr>
              <w:pStyle w:val="Tabletext"/>
              <w:keepNext/>
              <w:keepLines/>
              <w:jc w:val="center"/>
              <w:rPr>
                <w:szCs w:val="20"/>
              </w:rPr>
            </w:pPr>
            <w:r w:rsidRPr="00DF4069">
              <w:rPr>
                <w:szCs w:val="20"/>
              </w:rPr>
              <w:t>0</w:t>
            </w:r>
          </w:p>
        </w:tc>
      </w:tr>
      <w:tr w:rsidR="0007132E" w:rsidRPr="00DF4069" w14:paraId="7BCCEDD4" w14:textId="77777777" w:rsidTr="0020667F">
        <w:tc>
          <w:tcPr>
            <w:tcW w:w="2759" w:type="pct"/>
            <w:tcBorders>
              <w:top w:val="single" w:sz="4" w:space="0" w:color="auto"/>
              <w:left w:val="single" w:sz="4" w:space="0" w:color="auto"/>
              <w:right w:val="single" w:sz="4" w:space="0" w:color="auto"/>
            </w:tcBorders>
            <w:vAlign w:val="center"/>
          </w:tcPr>
          <w:p w14:paraId="22DD0E66" w14:textId="77777777" w:rsidR="0007132E" w:rsidRPr="00DF4069" w:rsidRDefault="0007132E" w:rsidP="003D7848">
            <w:pPr>
              <w:pStyle w:val="Tabletext"/>
              <w:keepNext/>
              <w:keepLines/>
              <w:rPr>
                <w:szCs w:val="20"/>
              </w:rPr>
            </w:pPr>
            <w:r w:rsidRPr="00DF4069">
              <w:rPr>
                <w:szCs w:val="20"/>
              </w:rPr>
              <w:t>Total number of patients with at least one:</w:t>
            </w:r>
          </w:p>
        </w:tc>
        <w:tc>
          <w:tcPr>
            <w:tcW w:w="1120" w:type="pct"/>
            <w:tcBorders>
              <w:top w:val="single" w:sz="4" w:space="0" w:color="auto"/>
              <w:left w:val="single" w:sz="4" w:space="0" w:color="auto"/>
              <w:right w:val="single" w:sz="4" w:space="0" w:color="auto"/>
            </w:tcBorders>
            <w:vAlign w:val="center"/>
          </w:tcPr>
          <w:p w14:paraId="157E1EBF" w14:textId="77777777" w:rsidR="0007132E" w:rsidRPr="00DF4069" w:rsidRDefault="0007132E" w:rsidP="003D7848">
            <w:pPr>
              <w:pStyle w:val="Tabletext"/>
              <w:keepNext/>
              <w:keepLines/>
              <w:jc w:val="center"/>
              <w:rPr>
                <w:szCs w:val="20"/>
              </w:rPr>
            </w:pPr>
          </w:p>
        </w:tc>
        <w:tc>
          <w:tcPr>
            <w:tcW w:w="1121" w:type="pct"/>
            <w:tcBorders>
              <w:top w:val="single" w:sz="4" w:space="0" w:color="auto"/>
              <w:left w:val="single" w:sz="4" w:space="0" w:color="auto"/>
              <w:right w:val="single" w:sz="4" w:space="0" w:color="auto"/>
            </w:tcBorders>
            <w:shd w:val="clear" w:color="auto" w:fill="C6D9F1" w:themeFill="text2" w:themeFillTint="33"/>
            <w:vAlign w:val="center"/>
          </w:tcPr>
          <w:p w14:paraId="226E4800" w14:textId="77777777" w:rsidR="0007132E" w:rsidRPr="00DF4069" w:rsidRDefault="0007132E" w:rsidP="003D7848">
            <w:pPr>
              <w:pStyle w:val="Tabletext"/>
              <w:keepNext/>
              <w:keepLines/>
              <w:jc w:val="center"/>
              <w:rPr>
                <w:szCs w:val="20"/>
              </w:rPr>
            </w:pPr>
          </w:p>
        </w:tc>
      </w:tr>
      <w:tr w:rsidR="0007132E" w:rsidRPr="00DF4069" w14:paraId="0158FA8B" w14:textId="77777777" w:rsidTr="0020667F">
        <w:tc>
          <w:tcPr>
            <w:tcW w:w="2759" w:type="pct"/>
            <w:tcBorders>
              <w:left w:val="single" w:sz="4" w:space="0" w:color="auto"/>
              <w:right w:val="single" w:sz="4" w:space="0" w:color="auto"/>
            </w:tcBorders>
            <w:vAlign w:val="center"/>
          </w:tcPr>
          <w:p w14:paraId="7FCCE94E" w14:textId="77777777" w:rsidR="0007132E" w:rsidRPr="00DF4069" w:rsidRDefault="0007132E" w:rsidP="003D7848">
            <w:pPr>
              <w:pStyle w:val="Tabletext"/>
              <w:keepNext/>
              <w:keepLines/>
              <w:rPr>
                <w:szCs w:val="20"/>
              </w:rPr>
            </w:pPr>
            <w:r w:rsidRPr="00DF4069">
              <w:rPr>
                <w:szCs w:val="20"/>
              </w:rPr>
              <w:t>AE with fatal outcome</w:t>
            </w:r>
          </w:p>
        </w:tc>
        <w:tc>
          <w:tcPr>
            <w:tcW w:w="1120" w:type="pct"/>
            <w:tcBorders>
              <w:left w:val="single" w:sz="4" w:space="0" w:color="auto"/>
              <w:right w:val="single" w:sz="4" w:space="0" w:color="auto"/>
            </w:tcBorders>
            <w:vAlign w:val="center"/>
          </w:tcPr>
          <w:p w14:paraId="731F48F3" w14:textId="77777777" w:rsidR="0007132E" w:rsidRPr="00DF4069" w:rsidRDefault="0007132E" w:rsidP="003D7848">
            <w:pPr>
              <w:pStyle w:val="Tabletext"/>
              <w:keepNext/>
              <w:keepLines/>
              <w:jc w:val="center"/>
              <w:rPr>
                <w:szCs w:val="20"/>
              </w:rPr>
            </w:pPr>
            <w:r w:rsidRPr="00DF4069">
              <w:rPr>
                <w:szCs w:val="20"/>
              </w:rPr>
              <w:t>0</w:t>
            </w:r>
          </w:p>
        </w:tc>
        <w:tc>
          <w:tcPr>
            <w:tcW w:w="1121" w:type="pct"/>
            <w:tcBorders>
              <w:left w:val="single" w:sz="4" w:space="0" w:color="auto"/>
              <w:right w:val="single" w:sz="4" w:space="0" w:color="auto"/>
            </w:tcBorders>
            <w:shd w:val="clear" w:color="auto" w:fill="C6D9F1" w:themeFill="text2" w:themeFillTint="33"/>
            <w:vAlign w:val="center"/>
          </w:tcPr>
          <w:p w14:paraId="123E769C" w14:textId="77777777" w:rsidR="0007132E" w:rsidRPr="00DF4069" w:rsidRDefault="0007132E" w:rsidP="003D7848">
            <w:pPr>
              <w:pStyle w:val="Tabletext"/>
              <w:keepNext/>
              <w:keepLines/>
              <w:jc w:val="center"/>
              <w:rPr>
                <w:szCs w:val="20"/>
              </w:rPr>
            </w:pPr>
            <w:r w:rsidRPr="00DF4069">
              <w:rPr>
                <w:szCs w:val="20"/>
              </w:rPr>
              <w:t>0</w:t>
            </w:r>
          </w:p>
        </w:tc>
      </w:tr>
      <w:tr w:rsidR="0007132E" w:rsidRPr="00DF4069" w14:paraId="53354F43" w14:textId="77777777" w:rsidTr="0020667F">
        <w:tc>
          <w:tcPr>
            <w:tcW w:w="2759" w:type="pct"/>
            <w:tcBorders>
              <w:left w:val="single" w:sz="4" w:space="0" w:color="auto"/>
              <w:right w:val="single" w:sz="4" w:space="0" w:color="auto"/>
            </w:tcBorders>
            <w:vAlign w:val="center"/>
          </w:tcPr>
          <w:p w14:paraId="4D905EFE" w14:textId="77777777" w:rsidR="0007132E" w:rsidRPr="00DF4069" w:rsidRDefault="0007132E" w:rsidP="003D7848">
            <w:pPr>
              <w:pStyle w:val="Tabletext"/>
              <w:keepNext/>
              <w:keepLines/>
              <w:rPr>
                <w:szCs w:val="20"/>
              </w:rPr>
            </w:pPr>
            <w:r w:rsidRPr="00DF4069">
              <w:rPr>
                <w:szCs w:val="20"/>
              </w:rPr>
              <w:t>Serious AE</w:t>
            </w:r>
          </w:p>
        </w:tc>
        <w:tc>
          <w:tcPr>
            <w:tcW w:w="1120" w:type="pct"/>
            <w:tcBorders>
              <w:left w:val="single" w:sz="4" w:space="0" w:color="auto"/>
              <w:right w:val="single" w:sz="4" w:space="0" w:color="auto"/>
            </w:tcBorders>
            <w:vAlign w:val="center"/>
          </w:tcPr>
          <w:p w14:paraId="36990E77" w14:textId="77777777" w:rsidR="0007132E" w:rsidRPr="00DF4069" w:rsidRDefault="0007132E" w:rsidP="003D7848">
            <w:pPr>
              <w:pStyle w:val="Tabletext"/>
              <w:keepNext/>
              <w:keepLines/>
              <w:jc w:val="center"/>
              <w:rPr>
                <w:szCs w:val="20"/>
              </w:rPr>
            </w:pPr>
            <w:r w:rsidRPr="00DF4069">
              <w:rPr>
                <w:szCs w:val="20"/>
              </w:rPr>
              <w:t>4 (15.4)</w:t>
            </w:r>
          </w:p>
        </w:tc>
        <w:tc>
          <w:tcPr>
            <w:tcW w:w="1121" w:type="pct"/>
            <w:tcBorders>
              <w:left w:val="single" w:sz="4" w:space="0" w:color="auto"/>
              <w:right w:val="single" w:sz="4" w:space="0" w:color="auto"/>
            </w:tcBorders>
            <w:shd w:val="clear" w:color="auto" w:fill="C6D9F1" w:themeFill="text2" w:themeFillTint="33"/>
            <w:vAlign w:val="center"/>
          </w:tcPr>
          <w:p w14:paraId="28CCC885" w14:textId="77777777" w:rsidR="0007132E" w:rsidRPr="00DF4069" w:rsidRDefault="0007132E" w:rsidP="003D7848">
            <w:pPr>
              <w:pStyle w:val="Tabletext"/>
              <w:keepNext/>
              <w:keepLines/>
              <w:jc w:val="center"/>
              <w:rPr>
                <w:szCs w:val="20"/>
              </w:rPr>
            </w:pPr>
            <w:r w:rsidRPr="00DF4069">
              <w:rPr>
                <w:szCs w:val="20"/>
              </w:rPr>
              <w:t>12 (48)</w:t>
            </w:r>
          </w:p>
        </w:tc>
      </w:tr>
      <w:tr w:rsidR="0007132E" w:rsidRPr="00DF4069" w14:paraId="0A43A472" w14:textId="77777777" w:rsidTr="0020667F">
        <w:tc>
          <w:tcPr>
            <w:tcW w:w="2759" w:type="pct"/>
            <w:tcBorders>
              <w:left w:val="single" w:sz="4" w:space="0" w:color="auto"/>
              <w:right w:val="single" w:sz="4" w:space="0" w:color="auto"/>
            </w:tcBorders>
            <w:vAlign w:val="center"/>
          </w:tcPr>
          <w:p w14:paraId="3F2E98FA" w14:textId="77777777" w:rsidR="0007132E" w:rsidRPr="00DF4069" w:rsidRDefault="0007132E" w:rsidP="003D7848">
            <w:pPr>
              <w:pStyle w:val="Tabletext"/>
              <w:keepNext/>
              <w:keepLines/>
              <w:rPr>
                <w:szCs w:val="20"/>
              </w:rPr>
            </w:pPr>
            <w:r w:rsidRPr="00DF4069">
              <w:rPr>
                <w:szCs w:val="20"/>
              </w:rPr>
              <w:t>Serious AE leading to withdrawal from treatment</w:t>
            </w:r>
          </w:p>
        </w:tc>
        <w:tc>
          <w:tcPr>
            <w:tcW w:w="1120" w:type="pct"/>
            <w:tcBorders>
              <w:left w:val="single" w:sz="4" w:space="0" w:color="auto"/>
              <w:right w:val="single" w:sz="4" w:space="0" w:color="auto"/>
            </w:tcBorders>
            <w:vAlign w:val="center"/>
          </w:tcPr>
          <w:p w14:paraId="79AF8E47" w14:textId="77777777" w:rsidR="0007132E" w:rsidRPr="00DF4069" w:rsidRDefault="0007132E" w:rsidP="003D7848">
            <w:pPr>
              <w:pStyle w:val="Tabletext"/>
              <w:keepNext/>
              <w:keepLines/>
              <w:jc w:val="center"/>
              <w:rPr>
                <w:szCs w:val="20"/>
              </w:rPr>
            </w:pPr>
            <w:r w:rsidRPr="00DF4069">
              <w:rPr>
                <w:szCs w:val="20"/>
              </w:rPr>
              <w:t>0</w:t>
            </w:r>
          </w:p>
        </w:tc>
        <w:tc>
          <w:tcPr>
            <w:tcW w:w="1121" w:type="pct"/>
            <w:tcBorders>
              <w:left w:val="single" w:sz="4" w:space="0" w:color="auto"/>
              <w:right w:val="single" w:sz="4" w:space="0" w:color="auto"/>
            </w:tcBorders>
            <w:shd w:val="clear" w:color="auto" w:fill="C6D9F1" w:themeFill="text2" w:themeFillTint="33"/>
            <w:vAlign w:val="center"/>
          </w:tcPr>
          <w:p w14:paraId="5EF2235E" w14:textId="77777777" w:rsidR="0007132E" w:rsidRPr="00DF4069" w:rsidRDefault="0007132E" w:rsidP="003D7848">
            <w:pPr>
              <w:pStyle w:val="Tabletext"/>
              <w:keepNext/>
              <w:keepLines/>
              <w:jc w:val="center"/>
              <w:rPr>
                <w:szCs w:val="20"/>
              </w:rPr>
            </w:pPr>
            <w:r w:rsidRPr="00DF4069">
              <w:rPr>
                <w:szCs w:val="20"/>
              </w:rPr>
              <w:t>0</w:t>
            </w:r>
          </w:p>
        </w:tc>
      </w:tr>
      <w:tr w:rsidR="0007132E" w:rsidRPr="00DF4069" w14:paraId="6E82D3B3" w14:textId="77777777" w:rsidTr="0020667F">
        <w:tc>
          <w:tcPr>
            <w:tcW w:w="2759" w:type="pct"/>
            <w:tcBorders>
              <w:left w:val="single" w:sz="4" w:space="0" w:color="auto"/>
              <w:right w:val="single" w:sz="4" w:space="0" w:color="auto"/>
            </w:tcBorders>
            <w:vAlign w:val="center"/>
          </w:tcPr>
          <w:p w14:paraId="60084DFA" w14:textId="77777777" w:rsidR="0007132E" w:rsidRPr="00DF4069" w:rsidRDefault="0007132E" w:rsidP="003D7848">
            <w:pPr>
              <w:pStyle w:val="Tabletext"/>
              <w:keepNext/>
              <w:keepLines/>
              <w:rPr>
                <w:szCs w:val="20"/>
              </w:rPr>
            </w:pPr>
            <w:r w:rsidRPr="00DF4069">
              <w:rPr>
                <w:szCs w:val="20"/>
              </w:rPr>
              <w:t>Serious AE leading to dose modification/interruption</w:t>
            </w:r>
          </w:p>
        </w:tc>
        <w:tc>
          <w:tcPr>
            <w:tcW w:w="1120" w:type="pct"/>
            <w:tcBorders>
              <w:left w:val="single" w:sz="4" w:space="0" w:color="auto"/>
              <w:right w:val="single" w:sz="4" w:space="0" w:color="auto"/>
            </w:tcBorders>
            <w:vAlign w:val="center"/>
          </w:tcPr>
          <w:p w14:paraId="39A4623D" w14:textId="77777777" w:rsidR="0007132E" w:rsidRPr="00DF4069" w:rsidRDefault="0007132E" w:rsidP="003D7848">
            <w:pPr>
              <w:pStyle w:val="Tabletext"/>
              <w:keepNext/>
              <w:keepLines/>
              <w:jc w:val="center"/>
              <w:rPr>
                <w:szCs w:val="20"/>
              </w:rPr>
            </w:pPr>
            <w:r w:rsidRPr="00DF4069">
              <w:rPr>
                <w:szCs w:val="20"/>
              </w:rPr>
              <w:t>0</w:t>
            </w:r>
          </w:p>
        </w:tc>
        <w:tc>
          <w:tcPr>
            <w:tcW w:w="1121" w:type="pct"/>
            <w:tcBorders>
              <w:left w:val="single" w:sz="4" w:space="0" w:color="auto"/>
              <w:right w:val="single" w:sz="4" w:space="0" w:color="auto"/>
            </w:tcBorders>
            <w:shd w:val="clear" w:color="auto" w:fill="C6D9F1" w:themeFill="text2" w:themeFillTint="33"/>
            <w:vAlign w:val="center"/>
          </w:tcPr>
          <w:p w14:paraId="72597FA5" w14:textId="77777777" w:rsidR="0007132E" w:rsidRPr="00DF4069" w:rsidRDefault="0007132E" w:rsidP="003D7848">
            <w:pPr>
              <w:pStyle w:val="Tabletext"/>
              <w:keepNext/>
              <w:keepLines/>
              <w:jc w:val="center"/>
              <w:rPr>
                <w:szCs w:val="20"/>
              </w:rPr>
            </w:pPr>
            <w:r w:rsidRPr="00DF4069">
              <w:rPr>
                <w:szCs w:val="20"/>
              </w:rPr>
              <w:t>0</w:t>
            </w:r>
          </w:p>
        </w:tc>
      </w:tr>
      <w:tr w:rsidR="0007132E" w:rsidRPr="00DF4069" w14:paraId="5DAD7681" w14:textId="77777777" w:rsidTr="0020667F">
        <w:tc>
          <w:tcPr>
            <w:tcW w:w="2759" w:type="pct"/>
            <w:tcBorders>
              <w:left w:val="single" w:sz="4" w:space="0" w:color="auto"/>
              <w:right w:val="single" w:sz="4" w:space="0" w:color="auto"/>
            </w:tcBorders>
            <w:vAlign w:val="center"/>
          </w:tcPr>
          <w:p w14:paraId="2C00767C" w14:textId="77777777" w:rsidR="0007132E" w:rsidRPr="00DF4069" w:rsidRDefault="0007132E" w:rsidP="003D7848">
            <w:pPr>
              <w:pStyle w:val="Tabletext"/>
              <w:keepNext/>
              <w:keepLines/>
              <w:rPr>
                <w:szCs w:val="20"/>
              </w:rPr>
            </w:pPr>
            <w:r w:rsidRPr="00DF4069">
              <w:rPr>
                <w:szCs w:val="20"/>
              </w:rPr>
              <w:t>Treatment Related Serious AE</w:t>
            </w:r>
          </w:p>
        </w:tc>
        <w:tc>
          <w:tcPr>
            <w:tcW w:w="1120" w:type="pct"/>
            <w:tcBorders>
              <w:left w:val="single" w:sz="4" w:space="0" w:color="auto"/>
              <w:right w:val="single" w:sz="4" w:space="0" w:color="auto"/>
            </w:tcBorders>
            <w:vAlign w:val="center"/>
          </w:tcPr>
          <w:p w14:paraId="28CE41A6" w14:textId="77777777" w:rsidR="0007132E" w:rsidRPr="00DF4069" w:rsidRDefault="0007132E" w:rsidP="003D7848">
            <w:pPr>
              <w:pStyle w:val="Tabletext"/>
              <w:keepNext/>
              <w:keepLines/>
              <w:jc w:val="center"/>
              <w:rPr>
                <w:szCs w:val="20"/>
              </w:rPr>
            </w:pPr>
            <w:r w:rsidRPr="00DF4069">
              <w:rPr>
                <w:szCs w:val="20"/>
              </w:rPr>
              <w:t>0</w:t>
            </w:r>
          </w:p>
        </w:tc>
        <w:tc>
          <w:tcPr>
            <w:tcW w:w="1121" w:type="pct"/>
            <w:tcBorders>
              <w:left w:val="single" w:sz="4" w:space="0" w:color="auto"/>
              <w:right w:val="single" w:sz="4" w:space="0" w:color="auto"/>
            </w:tcBorders>
            <w:shd w:val="clear" w:color="auto" w:fill="C6D9F1" w:themeFill="text2" w:themeFillTint="33"/>
            <w:vAlign w:val="center"/>
          </w:tcPr>
          <w:p w14:paraId="0BB9458A" w14:textId="77777777" w:rsidR="0007132E" w:rsidRPr="00DF4069" w:rsidRDefault="0007132E" w:rsidP="003D7848">
            <w:pPr>
              <w:pStyle w:val="Tabletext"/>
              <w:keepNext/>
              <w:keepLines/>
              <w:jc w:val="center"/>
              <w:rPr>
                <w:szCs w:val="20"/>
              </w:rPr>
            </w:pPr>
            <w:r w:rsidRPr="00DF4069">
              <w:rPr>
                <w:szCs w:val="20"/>
              </w:rPr>
              <w:t>0</w:t>
            </w:r>
          </w:p>
        </w:tc>
      </w:tr>
      <w:tr w:rsidR="0007132E" w:rsidRPr="00DF4069" w14:paraId="7E37633E" w14:textId="77777777" w:rsidTr="0020667F">
        <w:tc>
          <w:tcPr>
            <w:tcW w:w="2759" w:type="pct"/>
            <w:tcBorders>
              <w:left w:val="single" w:sz="4" w:space="0" w:color="auto"/>
              <w:right w:val="single" w:sz="4" w:space="0" w:color="auto"/>
            </w:tcBorders>
            <w:vAlign w:val="center"/>
          </w:tcPr>
          <w:p w14:paraId="62A8159E" w14:textId="77777777" w:rsidR="0007132E" w:rsidRPr="00DF4069" w:rsidRDefault="0007132E" w:rsidP="003D7848">
            <w:pPr>
              <w:pStyle w:val="Tabletext"/>
              <w:keepNext/>
              <w:keepLines/>
              <w:rPr>
                <w:szCs w:val="20"/>
              </w:rPr>
            </w:pPr>
            <w:r w:rsidRPr="00DF4069">
              <w:rPr>
                <w:szCs w:val="20"/>
              </w:rPr>
              <w:t>AE possibly related to lumbar puncture procedure</w:t>
            </w:r>
          </w:p>
        </w:tc>
        <w:tc>
          <w:tcPr>
            <w:tcW w:w="1120" w:type="pct"/>
            <w:tcBorders>
              <w:left w:val="single" w:sz="4" w:space="0" w:color="auto"/>
              <w:right w:val="single" w:sz="4" w:space="0" w:color="auto"/>
            </w:tcBorders>
            <w:vAlign w:val="center"/>
          </w:tcPr>
          <w:p w14:paraId="655237AC" w14:textId="77777777" w:rsidR="0007132E" w:rsidRPr="00DF4069" w:rsidRDefault="0007132E" w:rsidP="003D7848">
            <w:pPr>
              <w:pStyle w:val="Tabletext"/>
              <w:keepNext/>
              <w:keepLines/>
              <w:jc w:val="center"/>
              <w:rPr>
                <w:szCs w:val="20"/>
              </w:rPr>
            </w:pPr>
            <w:r w:rsidRPr="00DF4069">
              <w:rPr>
                <w:szCs w:val="20"/>
              </w:rPr>
              <w:t>NA</w:t>
            </w:r>
          </w:p>
        </w:tc>
        <w:tc>
          <w:tcPr>
            <w:tcW w:w="1121" w:type="pct"/>
            <w:tcBorders>
              <w:left w:val="single" w:sz="4" w:space="0" w:color="auto"/>
              <w:right w:val="single" w:sz="4" w:space="0" w:color="auto"/>
            </w:tcBorders>
            <w:shd w:val="clear" w:color="auto" w:fill="C6D9F1" w:themeFill="text2" w:themeFillTint="33"/>
            <w:vAlign w:val="center"/>
          </w:tcPr>
          <w:p w14:paraId="1E2EA331" w14:textId="77777777" w:rsidR="0007132E" w:rsidRPr="00DF4069" w:rsidRDefault="0007132E" w:rsidP="003D7848">
            <w:pPr>
              <w:pStyle w:val="Tabletext"/>
              <w:keepNext/>
              <w:keepLines/>
              <w:jc w:val="center"/>
              <w:rPr>
                <w:szCs w:val="20"/>
              </w:rPr>
            </w:pPr>
            <w:r w:rsidRPr="00DF4069">
              <w:rPr>
                <w:szCs w:val="20"/>
              </w:rPr>
              <w:t>8 (32)</w:t>
            </w:r>
          </w:p>
        </w:tc>
      </w:tr>
      <w:tr w:rsidR="0007132E" w:rsidRPr="00DF4069" w14:paraId="3C7AF9CD" w14:textId="77777777" w:rsidTr="0020667F">
        <w:tc>
          <w:tcPr>
            <w:tcW w:w="2759" w:type="pct"/>
            <w:tcBorders>
              <w:left w:val="single" w:sz="4" w:space="0" w:color="auto"/>
              <w:right w:val="single" w:sz="4" w:space="0" w:color="auto"/>
            </w:tcBorders>
            <w:vAlign w:val="center"/>
          </w:tcPr>
          <w:p w14:paraId="2DE73690" w14:textId="77777777" w:rsidR="0007132E" w:rsidRPr="00DF4069" w:rsidRDefault="0007132E" w:rsidP="003D7848">
            <w:pPr>
              <w:pStyle w:val="Tabletext"/>
              <w:keepNext/>
              <w:keepLines/>
              <w:rPr>
                <w:szCs w:val="20"/>
              </w:rPr>
            </w:pPr>
            <w:r w:rsidRPr="00DF4069">
              <w:rPr>
                <w:szCs w:val="20"/>
              </w:rPr>
              <w:t>AE leading to withdrawal from treatment</w:t>
            </w:r>
          </w:p>
        </w:tc>
        <w:tc>
          <w:tcPr>
            <w:tcW w:w="1120" w:type="pct"/>
            <w:tcBorders>
              <w:left w:val="single" w:sz="4" w:space="0" w:color="auto"/>
              <w:right w:val="single" w:sz="4" w:space="0" w:color="auto"/>
            </w:tcBorders>
            <w:vAlign w:val="center"/>
          </w:tcPr>
          <w:p w14:paraId="1A2501AA" w14:textId="77777777" w:rsidR="0007132E" w:rsidRPr="00DF4069" w:rsidRDefault="0007132E" w:rsidP="003D7848">
            <w:pPr>
              <w:pStyle w:val="Tabletext"/>
              <w:keepNext/>
              <w:keepLines/>
              <w:jc w:val="center"/>
              <w:rPr>
                <w:szCs w:val="20"/>
              </w:rPr>
            </w:pPr>
            <w:r w:rsidRPr="00DF4069">
              <w:rPr>
                <w:szCs w:val="20"/>
              </w:rPr>
              <w:t>0</w:t>
            </w:r>
          </w:p>
        </w:tc>
        <w:tc>
          <w:tcPr>
            <w:tcW w:w="1121" w:type="pct"/>
            <w:tcBorders>
              <w:left w:val="single" w:sz="4" w:space="0" w:color="auto"/>
              <w:right w:val="single" w:sz="4" w:space="0" w:color="auto"/>
            </w:tcBorders>
            <w:shd w:val="clear" w:color="auto" w:fill="C6D9F1" w:themeFill="text2" w:themeFillTint="33"/>
            <w:vAlign w:val="center"/>
          </w:tcPr>
          <w:p w14:paraId="18BD97F3" w14:textId="77777777" w:rsidR="0007132E" w:rsidRPr="00DF4069" w:rsidRDefault="0007132E" w:rsidP="003D7848">
            <w:pPr>
              <w:pStyle w:val="Tabletext"/>
              <w:keepNext/>
              <w:keepLines/>
              <w:jc w:val="center"/>
              <w:rPr>
                <w:szCs w:val="20"/>
              </w:rPr>
            </w:pPr>
            <w:r w:rsidRPr="00DF4069">
              <w:rPr>
                <w:szCs w:val="20"/>
              </w:rPr>
              <w:t>0</w:t>
            </w:r>
          </w:p>
        </w:tc>
      </w:tr>
      <w:tr w:rsidR="0007132E" w:rsidRPr="00DF4069" w14:paraId="683AD26E" w14:textId="77777777" w:rsidTr="0020667F">
        <w:tc>
          <w:tcPr>
            <w:tcW w:w="2759" w:type="pct"/>
            <w:tcBorders>
              <w:left w:val="single" w:sz="4" w:space="0" w:color="auto"/>
              <w:right w:val="single" w:sz="4" w:space="0" w:color="auto"/>
            </w:tcBorders>
            <w:vAlign w:val="center"/>
          </w:tcPr>
          <w:p w14:paraId="54CE13F9" w14:textId="77777777" w:rsidR="0007132E" w:rsidRPr="00DF4069" w:rsidRDefault="0007132E" w:rsidP="003D7848">
            <w:pPr>
              <w:pStyle w:val="Tabletext"/>
              <w:keepNext/>
              <w:keepLines/>
              <w:rPr>
                <w:szCs w:val="20"/>
              </w:rPr>
            </w:pPr>
            <w:r w:rsidRPr="00DF4069">
              <w:rPr>
                <w:szCs w:val="20"/>
              </w:rPr>
              <w:t>AE leading to dose modification/interruption</w:t>
            </w:r>
          </w:p>
        </w:tc>
        <w:tc>
          <w:tcPr>
            <w:tcW w:w="1120" w:type="pct"/>
            <w:tcBorders>
              <w:left w:val="single" w:sz="4" w:space="0" w:color="auto"/>
              <w:right w:val="single" w:sz="4" w:space="0" w:color="auto"/>
            </w:tcBorders>
            <w:vAlign w:val="center"/>
          </w:tcPr>
          <w:p w14:paraId="00E123E2" w14:textId="77777777" w:rsidR="0007132E" w:rsidRPr="00DF4069" w:rsidRDefault="0007132E" w:rsidP="003D7848">
            <w:pPr>
              <w:pStyle w:val="Tabletext"/>
              <w:keepNext/>
              <w:keepLines/>
              <w:jc w:val="center"/>
              <w:rPr>
                <w:rFonts w:cstheme="minorHAnsi"/>
                <w:szCs w:val="20"/>
              </w:rPr>
            </w:pPr>
            <w:r w:rsidRPr="00DF4069">
              <w:rPr>
                <w:rFonts w:cstheme="minorHAnsi"/>
                <w:szCs w:val="20"/>
              </w:rPr>
              <w:t>2 (7.7)</w:t>
            </w:r>
          </w:p>
        </w:tc>
        <w:tc>
          <w:tcPr>
            <w:tcW w:w="1121" w:type="pct"/>
            <w:tcBorders>
              <w:left w:val="single" w:sz="4" w:space="0" w:color="auto"/>
              <w:right w:val="single" w:sz="4" w:space="0" w:color="auto"/>
            </w:tcBorders>
            <w:shd w:val="clear" w:color="auto" w:fill="C6D9F1" w:themeFill="text2" w:themeFillTint="33"/>
            <w:vAlign w:val="center"/>
          </w:tcPr>
          <w:p w14:paraId="582A4235" w14:textId="77777777" w:rsidR="0007132E" w:rsidRPr="00DF4069" w:rsidRDefault="0007132E" w:rsidP="003D7848">
            <w:pPr>
              <w:pStyle w:val="Tabletext"/>
              <w:keepNext/>
              <w:keepLines/>
              <w:jc w:val="center"/>
              <w:rPr>
                <w:rFonts w:cstheme="minorHAnsi"/>
                <w:szCs w:val="20"/>
              </w:rPr>
            </w:pPr>
            <w:r w:rsidRPr="00DF4069">
              <w:rPr>
                <w:rFonts w:cstheme="minorHAnsi"/>
                <w:szCs w:val="20"/>
              </w:rPr>
              <w:t>NR</w:t>
            </w:r>
          </w:p>
        </w:tc>
      </w:tr>
      <w:tr w:rsidR="0007132E" w:rsidRPr="00DF4069" w14:paraId="610D8DFF" w14:textId="77777777" w:rsidTr="0020667F">
        <w:tc>
          <w:tcPr>
            <w:tcW w:w="2759" w:type="pct"/>
            <w:tcBorders>
              <w:left w:val="single" w:sz="4" w:space="0" w:color="auto"/>
              <w:right w:val="single" w:sz="4" w:space="0" w:color="auto"/>
            </w:tcBorders>
            <w:vAlign w:val="center"/>
          </w:tcPr>
          <w:p w14:paraId="33A7AFD6" w14:textId="77777777" w:rsidR="0007132E" w:rsidRPr="00DF4069" w:rsidRDefault="0007132E" w:rsidP="003D7848">
            <w:pPr>
              <w:pStyle w:val="Tabletext"/>
              <w:keepNext/>
              <w:keepLines/>
              <w:rPr>
                <w:szCs w:val="20"/>
              </w:rPr>
            </w:pPr>
            <w:r w:rsidRPr="00DF4069">
              <w:rPr>
                <w:szCs w:val="20"/>
              </w:rPr>
              <w:t>Treatment related AE</w:t>
            </w:r>
          </w:p>
        </w:tc>
        <w:tc>
          <w:tcPr>
            <w:tcW w:w="1120" w:type="pct"/>
            <w:tcBorders>
              <w:left w:val="single" w:sz="4" w:space="0" w:color="auto"/>
              <w:right w:val="single" w:sz="4" w:space="0" w:color="auto"/>
            </w:tcBorders>
            <w:vAlign w:val="center"/>
          </w:tcPr>
          <w:p w14:paraId="43117178" w14:textId="77777777" w:rsidR="0007132E" w:rsidRPr="00DF4069" w:rsidRDefault="0007132E" w:rsidP="003D7848">
            <w:pPr>
              <w:pStyle w:val="Tabletext"/>
              <w:keepNext/>
              <w:keepLines/>
              <w:jc w:val="center"/>
              <w:rPr>
                <w:rFonts w:cstheme="minorHAnsi"/>
                <w:szCs w:val="20"/>
              </w:rPr>
            </w:pPr>
            <w:r w:rsidRPr="00DF4069">
              <w:rPr>
                <w:rFonts w:cstheme="minorHAnsi"/>
                <w:szCs w:val="20"/>
              </w:rPr>
              <w:t>7 (26.9)</w:t>
            </w:r>
          </w:p>
        </w:tc>
        <w:tc>
          <w:tcPr>
            <w:tcW w:w="1121" w:type="pct"/>
            <w:tcBorders>
              <w:left w:val="single" w:sz="4" w:space="0" w:color="auto"/>
              <w:right w:val="single" w:sz="4" w:space="0" w:color="auto"/>
            </w:tcBorders>
            <w:shd w:val="clear" w:color="auto" w:fill="C6D9F1" w:themeFill="text2" w:themeFillTint="33"/>
            <w:vAlign w:val="center"/>
          </w:tcPr>
          <w:p w14:paraId="0F3AE270" w14:textId="77777777" w:rsidR="0007132E" w:rsidRPr="00DF4069" w:rsidRDefault="0007132E" w:rsidP="003D7848">
            <w:pPr>
              <w:pStyle w:val="Tabletext"/>
              <w:keepNext/>
              <w:keepLines/>
              <w:jc w:val="center"/>
              <w:rPr>
                <w:rFonts w:cstheme="minorHAnsi"/>
                <w:szCs w:val="20"/>
              </w:rPr>
            </w:pPr>
            <w:r w:rsidRPr="00DF4069">
              <w:rPr>
                <w:rFonts w:cstheme="minorHAnsi"/>
                <w:szCs w:val="20"/>
              </w:rPr>
              <w:t>8 (32)</w:t>
            </w:r>
          </w:p>
        </w:tc>
      </w:tr>
      <w:tr w:rsidR="0007132E" w:rsidRPr="00DF4069" w14:paraId="4B9B19D7" w14:textId="77777777" w:rsidTr="0020667F">
        <w:tc>
          <w:tcPr>
            <w:tcW w:w="2759" w:type="pct"/>
            <w:tcBorders>
              <w:left w:val="single" w:sz="4" w:space="0" w:color="auto"/>
              <w:right w:val="single" w:sz="4" w:space="0" w:color="auto"/>
            </w:tcBorders>
            <w:vAlign w:val="center"/>
          </w:tcPr>
          <w:p w14:paraId="600D4906" w14:textId="77777777" w:rsidR="0007132E" w:rsidRPr="00DF4069" w:rsidRDefault="0007132E" w:rsidP="003D7848">
            <w:pPr>
              <w:pStyle w:val="Tabletext"/>
              <w:keepNext/>
              <w:keepLines/>
              <w:rPr>
                <w:szCs w:val="20"/>
              </w:rPr>
            </w:pPr>
            <w:r w:rsidRPr="00DF4069">
              <w:rPr>
                <w:szCs w:val="20"/>
              </w:rPr>
              <w:t>Related AE leading to withdrawal from treatment</w:t>
            </w:r>
          </w:p>
        </w:tc>
        <w:tc>
          <w:tcPr>
            <w:tcW w:w="1120" w:type="pct"/>
            <w:tcBorders>
              <w:left w:val="single" w:sz="4" w:space="0" w:color="auto"/>
              <w:right w:val="single" w:sz="4" w:space="0" w:color="auto"/>
            </w:tcBorders>
            <w:vAlign w:val="center"/>
          </w:tcPr>
          <w:p w14:paraId="78B75FC4" w14:textId="77777777" w:rsidR="0007132E" w:rsidRPr="00DF4069" w:rsidRDefault="0007132E" w:rsidP="003D7848">
            <w:pPr>
              <w:pStyle w:val="Tabletext"/>
              <w:keepNext/>
              <w:keepLines/>
              <w:jc w:val="center"/>
              <w:rPr>
                <w:rFonts w:cstheme="minorHAnsi"/>
                <w:szCs w:val="20"/>
              </w:rPr>
            </w:pPr>
            <w:r w:rsidRPr="00DF4069">
              <w:rPr>
                <w:rFonts w:cstheme="minorHAnsi"/>
                <w:szCs w:val="20"/>
              </w:rPr>
              <w:t>0</w:t>
            </w:r>
          </w:p>
        </w:tc>
        <w:tc>
          <w:tcPr>
            <w:tcW w:w="1121" w:type="pct"/>
            <w:tcBorders>
              <w:left w:val="single" w:sz="4" w:space="0" w:color="auto"/>
              <w:right w:val="single" w:sz="4" w:space="0" w:color="auto"/>
            </w:tcBorders>
            <w:shd w:val="clear" w:color="auto" w:fill="C6D9F1" w:themeFill="text2" w:themeFillTint="33"/>
            <w:vAlign w:val="center"/>
          </w:tcPr>
          <w:p w14:paraId="2DE1D452" w14:textId="77777777" w:rsidR="0007132E" w:rsidRPr="00DF4069" w:rsidRDefault="0007132E" w:rsidP="003D7848">
            <w:pPr>
              <w:pStyle w:val="Tabletext"/>
              <w:keepNext/>
              <w:keepLines/>
              <w:jc w:val="center"/>
              <w:rPr>
                <w:rFonts w:cstheme="minorHAnsi"/>
                <w:szCs w:val="20"/>
              </w:rPr>
            </w:pPr>
            <w:r w:rsidRPr="00DF4069">
              <w:rPr>
                <w:rFonts w:cstheme="minorHAnsi"/>
                <w:szCs w:val="20"/>
              </w:rPr>
              <w:t>0</w:t>
            </w:r>
          </w:p>
        </w:tc>
      </w:tr>
      <w:tr w:rsidR="0007132E" w:rsidRPr="00DF4069" w14:paraId="5FF6A43E" w14:textId="77777777" w:rsidTr="0020667F">
        <w:tc>
          <w:tcPr>
            <w:tcW w:w="2759" w:type="pct"/>
            <w:tcBorders>
              <w:left w:val="single" w:sz="4" w:space="0" w:color="auto"/>
              <w:right w:val="single" w:sz="4" w:space="0" w:color="auto"/>
            </w:tcBorders>
            <w:vAlign w:val="center"/>
          </w:tcPr>
          <w:p w14:paraId="183B34F5" w14:textId="77777777" w:rsidR="0007132E" w:rsidRPr="00DF4069" w:rsidRDefault="0007132E" w:rsidP="003D7848">
            <w:pPr>
              <w:pStyle w:val="Tabletext"/>
              <w:keepNext/>
              <w:keepLines/>
              <w:rPr>
                <w:szCs w:val="20"/>
              </w:rPr>
            </w:pPr>
            <w:r w:rsidRPr="00DF4069">
              <w:rPr>
                <w:szCs w:val="20"/>
              </w:rPr>
              <w:t>Related AE leading to dose modification/interruption</w:t>
            </w:r>
          </w:p>
        </w:tc>
        <w:tc>
          <w:tcPr>
            <w:tcW w:w="1120" w:type="pct"/>
            <w:tcBorders>
              <w:left w:val="single" w:sz="4" w:space="0" w:color="auto"/>
              <w:right w:val="single" w:sz="4" w:space="0" w:color="auto"/>
            </w:tcBorders>
            <w:vAlign w:val="center"/>
          </w:tcPr>
          <w:p w14:paraId="326B6B67" w14:textId="77777777" w:rsidR="0007132E" w:rsidRPr="00DF4069" w:rsidRDefault="0007132E" w:rsidP="003D7848">
            <w:pPr>
              <w:pStyle w:val="Tabletext"/>
              <w:keepNext/>
              <w:keepLines/>
              <w:jc w:val="center"/>
              <w:rPr>
                <w:rFonts w:cstheme="minorHAnsi"/>
                <w:szCs w:val="20"/>
              </w:rPr>
            </w:pPr>
            <w:r w:rsidRPr="00DF4069">
              <w:rPr>
                <w:rFonts w:cstheme="minorHAnsi"/>
                <w:szCs w:val="20"/>
              </w:rPr>
              <w:t>0</w:t>
            </w:r>
          </w:p>
        </w:tc>
        <w:tc>
          <w:tcPr>
            <w:tcW w:w="1121" w:type="pct"/>
            <w:tcBorders>
              <w:left w:val="single" w:sz="4" w:space="0" w:color="auto"/>
              <w:right w:val="single" w:sz="4" w:space="0" w:color="auto"/>
            </w:tcBorders>
            <w:shd w:val="clear" w:color="auto" w:fill="C6D9F1" w:themeFill="text2" w:themeFillTint="33"/>
            <w:vAlign w:val="center"/>
          </w:tcPr>
          <w:p w14:paraId="5E04246F" w14:textId="77777777" w:rsidR="0007132E" w:rsidRPr="00DF4069" w:rsidRDefault="0007132E" w:rsidP="003D7848">
            <w:pPr>
              <w:pStyle w:val="Tabletext"/>
              <w:keepNext/>
              <w:keepLines/>
              <w:jc w:val="center"/>
              <w:rPr>
                <w:rFonts w:cstheme="minorHAnsi"/>
                <w:szCs w:val="20"/>
              </w:rPr>
            </w:pPr>
            <w:r w:rsidRPr="00DF4069">
              <w:rPr>
                <w:rFonts w:cstheme="minorHAnsi"/>
                <w:szCs w:val="20"/>
              </w:rPr>
              <w:t>NR</w:t>
            </w:r>
          </w:p>
        </w:tc>
      </w:tr>
      <w:tr w:rsidR="0007132E" w:rsidRPr="00DF4069" w14:paraId="27425DE1" w14:textId="77777777" w:rsidTr="0020667F">
        <w:tc>
          <w:tcPr>
            <w:tcW w:w="2759" w:type="pct"/>
            <w:tcBorders>
              <w:left w:val="single" w:sz="4" w:space="0" w:color="auto"/>
              <w:bottom w:val="single" w:sz="4" w:space="0" w:color="auto"/>
              <w:right w:val="single" w:sz="4" w:space="0" w:color="auto"/>
            </w:tcBorders>
            <w:vAlign w:val="center"/>
          </w:tcPr>
          <w:p w14:paraId="1407CA46" w14:textId="77777777" w:rsidR="0007132E" w:rsidRPr="00DF4069" w:rsidRDefault="0007132E" w:rsidP="003D7848">
            <w:pPr>
              <w:pStyle w:val="Tabletext"/>
              <w:keepNext/>
              <w:keepLines/>
              <w:rPr>
                <w:szCs w:val="20"/>
              </w:rPr>
            </w:pPr>
            <w:r w:rsidRPr="00DF4069">
              <w:rPr>
                <w:szCs w:val="20"/>
              </w:rPr>
              <w:t>Grade 3-5 AE</w:t>
            </w:r>
          </w:p>
        </w:tc>
        <w:tc>
          <w:tcPr>
            <w:tcW w:w="1120" w:type="pct"/>
            <w:tcBorders>
              <w:left w:val="single" w:sz="4" w:space="0" w:color="auto"/>
              <w:bottom w:val="single" w:sz="4" w:space="0" w:color="auto"/>
              <w:right w:val="single" w:sz="4" w:space="0" w:color="auto"/>
            </w:tcBorders>
            <w:vAlign w:val="center"/>
          </w:tcPr>
          <w:p w14:paraId="09E79A8D" w14:textId="77777777" w:rsidR="0007132E" w:rsidRPr="00DF4069" w:rsidRDefault="0007132E" w:rsidP="003D7848">
            <w:pPr>
              <w:pStyle w:val="Tabletext"/>
              <w:keepNext/>
              <w:keepLines/>
              <w:jc w:val="center"/>
              <w:rPr>
                <w:rFonts w:cstheme="minorHAnsi"/>
                <w:szCs w:val="20"/>
                <w:highlight w:val="yellow"/>
              </w:rPr>
            </w:pPr>
            <w:r w:rsidRPr="00DF4069">
              <w:rPr>
                <w:rFonts w:cstheme="minorHAnsi"/>
                <w:szCs w:val="20"/>
              </w:rPr>
              <w:t>5 (19.2%)</w:t>
            </w:r>
          </w:p>
        </w:tc>
        <w:tc>
          <w:tcPr>
            <w:tcW w:w="1121" w:type="pct"/>
            <w:tcBorders>
              <w:left w:val="single" w:sz="4" w:space="0" w:color="auto"/>
              <w:bottom w:val="single" w:sz="4" w:space="0" w:color="auto"/>
              <w:right w:val="single" w:sz="4" w:space="0" w:color="auto"/>
            </w:tcBorders>
            <w:shd w:val="clear" w:color="auto" w:fill="C6D9F1" w:themeFill="text2" w:themeFillTint="33"/>
            <w:vAlign w:val="center"/>
          </w:tcPr>
          <w:p w14:paraId="1520D2C4" w14:textId="77777777" w:rsidR="0007132E" w:rsidRPr="00DF4069" w:rsidRDefault="0007132E" w:rsidP="003D7848">
            <w:pPr>
              <w:pStyle w:val="Tabletext"/>
              <w:keepNext/>
              <w:keepLines/>
              <w:jc w:val="center"/>
              <w:rPr>
                <w:rFonts w:cstheme="minorHAnsi"/>
                <w:szCs w:val="20"/>
              </w:rPr>
            </w:pPr>
            <w:r w:rsidRPr="00DF4069">
              <w:rPr>
                <w:rFonts w:cstheme="minorHAnsi"/>
                <w:szCs w:val="20"/>
              </w:rPr>
              <w:t>17 (68%)</w:t>
            </w:r>
          </w:p>
        </w:tc>
      </w:tr>
    </w:tbl>
    <w:p w14:paraId="38184ED0" w14:textId="77777777" w:rsidR="0007132E" w:rsidRPr="00C61670" w:rsidRDefault="0007132E" w:rsidP="003D7848">
      <w:pPr>
        <w:pStyle w:val="FooterTableFigure"/>
        <w:keepNext/>
        <w:keepLines/>
      </w:pPr>
      <w:r w:rsidRPr="00C61670">
        <w:t>AE = adverse event; NR = not reported</w:t>
      </w:r>
    </w:p>
    <w:p w14:paraId="179465BF" w14:textId="77777777" w:rsidR="0007132E" w:rsidRPr="00C61670" w:rsidRDefault="0007132E" w:rsidP="003D7848">
      <w:pPr>
        <w:pStyle w:val="FooterTableFigure"/>
        <w:keepNext/>
        <w:keepLines/>
      </w:pPr>
      <w:r w:rsidRPr="00C61670">
        <w:t>Blue shading indicates data previous considered by PBAC. An earlier data cut of the RAINBOWFISH data was previously considered by the PBAC.</w:t>
      </w:r>
    </w:p>
    <w:p w14:paraId="330FFE3E" w14:textId="3A5F3EDD" w:rsidR="0007132E" w:rsidRPr="00C61670" w:rsidRDefault="0007132E" w:rsidP="003D7848">
      <w:pPr>
        <w:pStyle w:val="FooterTableFigure"/>
        <w:keepNext/>
        <w:keepLines/>
      </w:pPr>
      <w:r w:rsidRPr="00C61670">
        <w:t>Source: Table 2.21</w:t>
      </w:r>
      <w:r w:rsidR="0064087A">
        <w:t xml:space="preserve"> </w:t>
      </w:r>
      <w:r w:rsidRPr="00C61670">
        <w:t xml:space="preserve">of the </w:t>
      </w:r>
      <w:r w:rsidR="0007089E">
        <w:t>submission</w:t>
      </w:r>
    </w:p>
    <w:p w14:paraId="079970A9" w14:textId="74B2F7A5" w:rsidR="0007132E" w:rsidRPr="00C61670" w:rsidRDefault="0007132E" w:rsidP="0007132E">
      <w:pPr>
        <w:pStyle w:val="3-BodyText"/>
      </w:pPr>
      <w:r w:rsidRPr="00C61670">
        <w:t xml:space="preserve">An overview of </w:t>
      </w:r>
      <w:r w:rsidR="00C5736D">
        <w:t xml:space="preserve">AEs </w:t>
      </w:r>
      <w:r w:rsidRPr="00C61670">
        <w:t xml:space="preserve">in RAINBOWFISH and NURTURE in the subset of patients with three </w:t>
      </w:r>
      <w:r w:rsidRPr="00C61670">
        <w:rPr>
          <w:i/>
          <w:iCs/>
        </w:rPr>
        <w:t>SMN2</w:t>
      </w:r>
      <w:r w:rsidRPr="00C61670">
        <w:t xml:space="preserve"> gene copies is provided in </w:t>
      </w:r>
      <w:r w:rsidRPr="00C61670">
        <w:fldChar w:fldCharType="begin" w:fldLock="1"/>
      </w:r>
      <w:r w:rsidRPr="00C61670">
        <w:instrText xml:space="preserve"> REF _Ref165891260 \h </w:instrText>
      </w:r>
      <w:r w:rsidRPr="00C61670">
        <w:fldChar w:fldCharType="separate"/>
      </w:r>
      <w:r w:rsidR="00AA25E7" w:rsidRPr="00C61670">
        <w:t xml:space="preserve">Table </w:t>
      </w:r>
      <w:r w:rsidR="00AA25E7">
        <w:rPr>
          <w:noProof/>
        </w:rPr>
        <w:t>9</w:t>
      </w:r>
      <w:r w:rsidRPr="00C61670">
        <w:fldChar w:fldCharType="end"/>
      </w:r>
      <w:r w:rsidRPr="00C61670">
        <w:t xml:space="preserve">. </w:t>
      </w:r>
    </w:p>
    <w:p w14:paraId="2483B898" w14:textId="1069AFA3" w:rsidR="0007132E" w:rsidRPr="00C61670" w:rsidRDefault="0007132E" w:rsidP="00AD023E">
      <w:pPr>
        <w:pStyle w:val="Caption"/>
        <w:rPr>
          <w:rStyle w:val="CommentReference"/>
          <w:b/>
          <w:bCs w:val="0"/>
        </w:rPr>
      </w:pPr>
      <w:bookmarkStart w:id="29" w:name="_Ref165891260"/>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9</w:t>
      </w:r>
      <w:r w:rsidR="002906A9">
        <w:rPr>
          <w:noProof/>
        </w:rPr>
        <w:fldChar w:fldCharType="end"/>
      </w:r>
      <w:bookmarkEnd w:id="29"/>
      <w:r w:rsidRPr="00C61670">
        <w:rPr>
          <w:rStyle w:val="CommentReference"/>
          <w:b/>
          <w:bCs w:val="0"/>
        </w:rPr>
        <w:t>:</w:t>
      </w:r>
      <w:r w:rsidR="003A2867" w:rsidRPr="00C61670">
        <w:rPr>
          <w:rStyle w:val="CommentReference"/>
          <w:b/>
          <w:bCs w:val="0"/>
        </w:rPr>
        <w:t xml:space="preserve"> </w:t>
      </w:r>
      <w:r w:rsidRPr="00C61670">
        <w:rPr>
          <w:rStyle w:val="CommentReference"/>
          <w:b/>
          <w:bCs w:val="0"/>
        </w:rPr>
        <w:t xml:space="preserve">Overview of adverse events in RAINBOWFISH and NURTURE in patients with 3 </w:t>
      </w:r>
      <w:r w:rsidRPr="00C61670">
        <w:rPr>
          <w:rStyle w:val="CommentReference"/>
          <w:b/>
          <w:bCs w:val="0"/>
          <w:i/>
          <w:iCs/>
        </w:rPr>
        <w:t>SMN2</w:t>
      </w:r>
      <w:r w:rsidRPr="00C61670">
        <w:rPr>
          <w:rStyle w:val="CommentReference"/>
          <w:b/>
          <w:bCs w:val="0"/>
        </w:rPr>
        <w:t xml:space="preserve"> gene copies</w:t>
      </w:r>
    </w:p>
    <w:tbl>
      <w:tblPr>
        <w:tblStyle w:val="TableGrid"/>
        <w:tblW w:w="0" w:type="auto"/>
        <w:tblLook w:val="04A0" w:firstRow="1" w:lastRow="0" w:firstColumn="1" w:lastColumn="0" w:noHBand="0" w:noVBand="1"/>
        <w:tblCaption w:val="Table 9: Overview of adverse events in RAINBOWFISH and NURTURE in patients with 3 SMN2 gene copies"/>
      </w:tblPr>
      <w:tblGrid>
        <w:gridCol w:w="4957"/>
        <w:gridCol w:w="1984"/>
        <w:gridCol w:w="2076"/>
      </w:tblGrid>
      <w:tr w:rsidR="0007132E" w:rsidRPr="00C61670" w14:paraId="55F9BBAB" w14:textId="77777777" w:rsidTr="00C5736D">
        <w:tc>
          <w:tcPr>
            <w:tcW w:w="4957" w:type="dxa"/>
            <w:shd w:val="clear" w:color="auto" w:fill="auto"/>
          </w:tcPr>
          <w:p w14:paraId="6C4D77B5" w14:textId="77777777" w:rsidR="0007132E" w:rsidRPr="00C61670" w:rsidRDefault="0007132E" w:rsidP="00AD023E">
            <w:pPr>
              <w:pStyle w:val="In-tableHeading"/>
              <w:keepLines/>
              <w:jc w:val="center"/>
              <w:rPr>
                <w:lang w:val="en-AU"/>
              </w:rPr>
            </w:pPr>
            <w:r w:rsidRPr="00C61670">
              <w:rPr>
                <w:lang w:val="en-AU"/>
              </w:rPr>
              <w:t>Outcome, n (%)</w:t>
            </w:r>
          </w:p>
        </w:tc>
        <w:tc>
          <w:tcPr>
            <w:tcW w:w="1984" w:type="dxa"/>
            <w:shd w:val="clear" w:color="auto" w:fill="auto"/>
          </w:tcPr>
          <w:p w14:paraId="72F64872" w14:textId="77777777" w:rsidR="0007132E" w:rsidRPr="00C61670" w:rsidRDefault="0007132E" w:rsidP="00AD023E">
            <w:pPr>
              <w:pStyle w:val="In-tableHeading"/>
              <w:keepLines/>
              <w:jc w:val="center"/>
              <w:rPr>
                <w:lang w:val="en-AU"/>
              </w:rPr>
            </w:pPr>
            <w:r w:rsidRPr="00C61670">
              <w:rPr>
                <w:lang w:val="en-AU"/>
              </w:rPr>
              <w:t>RAINBOWFISH</w:t>
            </w:r>
          </w:p>
          <w:p w14:paraId="6D463A9E" w14:textId="77777777" w:rsidR="0007132E" w:rsidRPr="00C61670" w:rsidRDefault="0007132E" w:rsidP="00AD023E">
            <w:pPr>
              <w:pStyle w:val="In-tableHeading"/>
              <w:keepLines/>
              <w:jc w:val="center"/>
              <w:rPr>
                <w:lang w:val="en-AU"/>
              </w:rPr>
            </w:pPr>
            <w:r w:rsidRPr="00C61670">
              <w:rPr>
                <w:lang w:val="en-AU"/>
              </w:rPr>
              <w:t xml:space="preserve">3 </w:t>
            </w:r>
            <w:r w:rsidRPr="00C61670">
              <w:rPr>
                <w:i/>
                <w:iCs/>
                <w:lang w:val="en-AU"/>
              </w:rPr>
              <w:t>SMN2</w:t>
            </w:r>
          </w:p>
          <w:p w14:paraId="3A43AD52" w14:textId="77777777" w:rsidR="0007132E" w:rsidRPr="00C61670" w:rsidRDefault="0007132E" w:rsidP="00AD023E">
            <w:pPr>
              <w:pStyle w:val="In-tableHeading"/>
              <w:keepLines/>
              <w:jc w:val="center"/>
              <w:rPr>
                <w:lang w:val="en-AU"/>
              </w:rPr>
            </w:pPr>
            <w:r w:rsidRPr="00C61670">
              <w:rPr>
                <w:lang w:val="en-AU"/>
              </w:rPr>
              <w:t>N=13 (%)</w:t>
            </w:r>
          </w:p>
        </w:tc>
        <w:tc>
          <w:tcPr>
            <w:tcW w:w="2076" w:type="dxa"/>
            <w:shd w:val="clear" w:color="auto" w:fill="C6D9F1" w:themeFill="text2" w:themeFillTint="33"/>
          </w:tcPr>
          <w:p w14:paraId="515CE83F" w14:textId="77777777" w:rsidR="0007132E" w:rsidRPr="00C61670" w:rsidRDefault="0007132E" w:rsidP="00AD023E">
            <w:pPr>
              <w:pStyle w:val="In-tableHeading"/>
              <w:keepLines/>
              <w:jc w:val="center"/>
              <w:rPr>
                <w:lang w:val="en-AU"/>
              </w:rPr>
            </w:pPr>
            <w:r w:rsidRPr="00C61670">
              <w:rPr>
                <w:lang w:val="en-AU"/>
              </w:rPr>
              <w:t>NURTURE</w:t>
            </w:r>
          </w:p>
          <w:p w14:paraId="7446A155" w14:textId="77777777" w:rsidR="0007132E" w:rsidRPr="00C61670" w:rsidRDefault="0007132E" w:rsidP="00AD023E">
            <w:pPr>
              <w:pStyle w:val="In-tableHeading"/>
              <w:keepLines/>
              <w:jc w:val="center"/>
              <w:rPr>
                <w:lang w:val="en-AU"/>
              </w:rPr>
            </w:pPr>
            <w:r w:rsidRPr="00C61670">
              <w:rPr>
                <w:lang w:val="en-AU"/>
              </w:rPr>
              <w:t xml:space="preserve">3 </w:t>
            </w:r>
            <w:r w:rsidRPr="00C61670">
              <w:rPr>
                <w:i/>
                <w:iCs/>
                <w:lang w:val="en-AU"/>
              </w:rPr>
              <w:t>SMN2</w:t>
            </w:r>
          </w:p>
          <w:p w14:paraId="54A84206" w14:textId="77777777" w:rsidR="0007132E" w:rsidRPr="00C61670" w:rsidRDefault="0007132E" w:rsidP="00AD023E">
            <w:pPr>
              <w:pStyle w:val="In-tableHeading"/>
              <w:keepLines/>
              <w:jc w:val="center"/>
              <w:rPr>
                <w:lang w:val="en-AU"/>
              </w:rPr>
            </w:pPr>
            <w:r w:rsidRPr="00C61670">
              <w:rPr>
                <w:lang w:val="en-AU"/>
              </w:rPr>
              <w:t>N=10 (%)</w:t>
            </w:r>
          </w:p>
        </w:tc>
      </w:tr>
      <w:tr w:rsidR="0007132E" w:rsidRPr="00C61670" w14:paraId="17FFB1E7" w14:textId="77777777" w:rsidTr="00C5736D">
        <w:tc>
          <w:tcPr>
            <w:tcW w:w="4957" w:type="dxa"/>
          </w:tcPr>
          <w:p w14:paraId="68A160A4" w14:textId="77777777" w:rsidR="0007132E" w:rsidRPr="00C61670" w:rsidRDefault="0007132E" w:rsidP="00AD023E">
            <w:pPr>
              <w:pStyle w:val="Tabletext"/>
              <w:keepNext/>
              <w:keepLines/>
            </w:pPr>
            <w:r w:rsidRPr="00C61670">
              <w:t>Any AE</w:t>
            </w:r>
          </w:p>
        </w:tc>
        <w:tc>
          <w:tcPr>
            <w:tcW w:w="1984" w:type="dxa"/>
          </w:tcPr>
          <w:p w14:paraId="12056566" w14:textId="77777777" w:rsidR="0007132E" w:rsidRPr="00C61670" w:rsidRDefault="0007132E" w:rsidP="00AD023E">
            <w:pPr>
              <w:pStyle w:val="Tabletext"/>
              <w:keepNext/>
              <w:keepLines/>
              <w:jc w:val="center"/>
            </w:pPr>
            <w:r w:rsidRPr="00C61670">
              <w:t>12 (92.3%)</w:t>
            </w:r>
          </w:p>
        </w:tc>
        <w:tc>
          <w:tcPr>
            <w:tcW w:w="2076" w:type="dxa"/>
            <w:shd w:val="clear" w:color="auto" w:fill="C6D9F1" w:themeFill="text2" w:themeFillTint="33"/>
          </w:tcPr>
          <w:p w14:paraId="740FAA28" w14:textId="77777777" w:rsidR="0007132E" w:rsidRPr="00C61670" w:rsidRDefault="0007132E" w:rsidP="00AD023E">
            <w:pPr>
              <w:pStyle w:val="Tabletext"/>
              <w:keepNext/>
              <w:keepLines/>
              <w:jc w:val="center"/>
            </w:pPr>
            <w:r w:rsidRPr="00C61670">
              <w:t>10 (100)</w:t>
            </w:r>
          </w:p>
        </w:tc>
      </w:tr>
      <w:tr w:rsidR="0007132E" w:rsidRPr="00C61670" w14:paraId="17120954" w14:textId="77777777" w:rsidTr="00C5736D">
        <w:tc>
          <w:tcPr>
            <w:tcW w:w="4957" w:type="dxa"/>
          </w:tcPr>
          <w:p w14:paraId="475897A6" w14:textId="77777777" w:rsidR="0007132E" w:rsidRPr="00C61670" w:rsidRDefault="0007132E" w:rsidP="00AD023E">
            <w:pPr>
              <w:pStyle w:val="Tabletext"/>
              <w:keepNext/>
              <w:keepLines/>
            </w:pPr>
            <w:r w:rsidRPr="00C61670">
              <w:t>AE related or possibly related to study treatment</w:t>
            </w:r>
          </w:p>
        </w:tc>
        <w:tc>
          <w:tcPr>
            <w:tcW w:w="1984" w:type="dxa"/>
          </w:tcPr>
          <w:p w14:paraId="2CBEA601" w14:textId="77777777" w:rsidR="0007132E" w:rsidRPr="00C61670" w:rsidRDefault="0007132E" w:rsidP="00AD023E">
            <w:pPr>
              <w:pStyle w:val="Tabletext"/>
              <w:keepNext/>
              <w:keepLines/>
              <w:jc w:val="center"/>
            </w:pPr>
            <w:r w:rsidRPr="00C61670">
              <w:t>4 (30.8%)</w:t>
            </w:r>
          </w:p>
        </w:tc>
        <w:tc>
          <w:tcPr>
            <w:tcW w:w="2076" w:type="dxa"/>
            <w:shd w:val="clear" w:color="auto" w:fill="C6D9F1" w:themeFill="text2" w:themeFillTint="33"/>
          </w:tcPr>
          <w:p w14:paraId="28F34104" w14:textId="77777777" w:rsidR="0007132E" w:rsidRPr="00C61670" w:rsidRDefault="0007132E" w:rsidP="00AD023E">
            <w:pPr>
              <w:pStyle w:val="Tabletext"/>
              <w:keepNext/>
              <w:keepLines/>
              <w:jc w:val="center"/>
            </w:pPr>
            <w:r w:rsidRPr="00C61670">
              <w:t>6 (60%)</w:t>
            </w:r>
          </w:p>
        </w:tc>
      </w:tr>
      <w:tr w:rsidR="0007132E" w:rsidRPr="00C61670" w14:paraId="09138B9E" w14:textId="77777777" w:rsidTr="00C5736D">
        <w:tc>
          <w:tcPr>
            <w:tcW w:w="4957" w:type="dxa"/>
          </w:tcPr>
          <w:p w14:paraId="29FC8AF2" w14:textId="77777777" w:rsidR="0007132E" w:rsidRPr="00C61670" w:rsidRDefault="0007132E" w:rsidP="00AD023E">
            <w:pPr>
              <w:pStyle w:val="Tabletext"/>
              <w:keepNext/>
              <w:keepLines/>
            </w:pPr>
            <w:r w:rsidRPr="00C61670">
              <w:t>AE of Grade 3 severity or higher</w:t>
            </w:r>
          </w:p>
        </w:tc>
        <w:tc>
          <w:tcPr>
            <w:tcW w:w="1984" w:type="dxa"/>
          </w:tcPr>
          <w:p w14:paraId="586B3EED" w14:textId="77777777" w:rsidR="0007132E" w:rsidRPr="00C61670" w:rsidRDefault="0007132E" w:rsidP="00AD023E">
            <w:pPr>
              <w:pStyle w:val="Tabletext"/>
              <w:keepNext/>
              <w:keepLines/>
              <w:jc w:val="center"/>
            </w:pPr>
            <w:r w:rsidRPr="00C61670">
              <w:t>1 (7.7%)</w:t>
            </w:r>
          </w:p>
        </w:tc>
        <w:tc>
          <w:tcPr>
            <w:tcW w:w="2076" w:type="dxa"/>
            <w:shd w:val="clear" w:color="auto" w:fill="C6D9F1" w:themeFill="text2" w:themeFillTint="33"/>
          </w:tcPr>
          <w:p w14:paraId="255A0236" w14:textId="77777777" w:rsidR="0007132E" w:rsidRPr="00C61670" w:rsidRDefault="0007132E" w:rsidP="00AD023E">
            <w:pPr>
              <w:pStyle w:val="Tabletext"/>
              <w:keepNext/>
              <w:keepLines/>
              <w:jc w:val="center"/>
            </w:pPr>
            <w:r w:rsidRPr="00C61670">
              <w:t>NR</w:t>
            </w:r>
          </w:p>
        </w:tc>
      </w:tr>
      <w:tr w:rsidR="0007132E" w:rsidRPr="00C61670" w14:paraId="1379D066" w14:textId="77777777" w:rsidTr="00C5736D">
        <w:tc>
          <w:tcPr>
            <w:tcW w:w="4957" w:type="dxa"/>
          </w:tcPr>
          <w:p w14:paraId="4DDFD024" w14:textId="77777777" w:rsidR="0007132E" w:rsidRPr="00C61670" w:rsidRDefault="0007132E" w:rsidP="00AD023E">
            <w:pPr>
              <w:pStyle w:val="Tabletext"/>
              <w:keepNext/>
              <w:keepLines/>
            </w:pPr>
            <w:r w:rsidRPr="00C61670">
              <w:t>Serious AE</w:t>
            </w:r>
          </w:p>
        </w:tc>
        <w:tc>
          <w:tcPr>
            <w:tcW w:w="1984" w:type="dxa"/>
          </w:tcPr>
          <w:p w14:paraId="1E40C135" w14:textId="77777777" w:rsidR="0007132E" w:rsidRPr="00C61670" w:rsidRDefault="0007132E" w:rsidP="00AD023E">
            <w:pPr>
              <w:pStyle w:val="Tabletext"/>
              <w:keepNext/>
              <w:keepLines/>
              <w:jc w:val="center"/>
            </w:pPr>
            <w:r w:rsidRPr="00C61670">
              <w:t>0</w:t>
            </w:r>
          </w:p>
        </w:tc>
        <w:tc>
          <w:tcPr>
            <w:tcW w:w="2076" w:type="dxa"/>
            <w:shd w:val="clear" w:color="auto" w:fill="C6D9F1" w:themeFill="text2" w:themeFillTint="33"/>
          </w:tcPr>
          <w:p w14:paraId="3540D6B6" w14:textId="77777777" w:rsidR="0007132E" w:rsidRPr="00C61670" w:rsidRDefault="0007132E" w:rsidP="00AD023E">
            <w:pPr>
              <w:pStyle w:val="Tabletext"/>
              <w:keepNext/>
              <w:keepLines/>
              <w:jc w:val="center"/>
            </w:pPr>
            <w:r w:rsidRPr="00C61670">
              <w:t>3 (30%)</w:t>
            </w:r>
          </w:p>
        </w:tc>
      </w:tr>
      <w:tr w:rsidR="0007132E" w:rsidRPr="00C61670" w14:paraId="1087D0EF" w14:textId="77777777" w:rsidTr="00C5736D">
        <w:tc>
          <w:tcPr>
            <w:tcW w:w="4957" w:type="dxa"/>
          </w:tcPr>
          <w:p w14:paraId="433C8915" w14:textId="77777777" w:rsidR="0007132E" w:rsidRPr="00C61670" w:rsidRDefault="0007132E" w:rsidP="00AD023E">
            <w:pPr>
              <w:pStyle w:val="Tabletext"/>
              <w:keepNext/>
              <w:keepLines/>
            </w:pPr>
            <w:r w:rsidRPr="00C61670">
              <w:t>Severe AE</w:t>
            </w:r>
          </w:p>
        </w:tc>
        <w:tc>
          <w:tcPr>
            <w:tcW w:w="1984" w:type="dxa"/>
          </w:tcPr>
          <w:p w14:paraId="0463D508" w14:textId="77777777" w:rsidR="0007132E" w:rsidRPr="00C61670" w:rsidRDefault="0007132E" w:rsidP="00AD023E">
            <w:pPr>
              <w:pStyle w:val="Tabletext"/>
              <w:keepNext/>
              <w:keepLines/>
              <w:jc w:val="center"/>
            </w:pPr>
            <w:r w:rsidRPr="00C61670">
              <w:t>NR</w:t>
            </w:r>
          </w:p>
        </w:tc>
        <w:tc>
          <w:tcPr>
            <w:tcW w:w="2076" w:type="dxa"/>
            <w:shd w:val="clear" w:color="auto" w:fill="C6D9F1" w:themeFill="text2" w:themeFillTint="33"/>
          </w:tcPr>
          <w:p w14:paraId="04F044B0" w14:textId="77777777" w:rsidR="0007132E" w:rsidRPr="00C61670" w:rsidRDefault="0007132E" w:rsidP="00AD023E">
            <w:pPr>
              <w:pStyle w:val="Tabletext"/>
              <w:keepNext/>
              <w:keepLines/>
              <w:jc w:val="center"/>
            </w:pPr>
            <w:r w:rsidRPr="00C61670">
              <w:t>0</w:t>
            </w:r>
          </w:p>
        </w:tc>
      </w:tr>
      <w:tr w:rsidR="0007132E" w:rsidRPr="00C61670" w14:paraId="1C749A1A" w14:textId="77777777" w:rsidTr="00C5736D">
        <w:tc>
          <w:tcPr>
            <w:tcW w:w="4957" w:type="dxa"/>
          </w:tcPr>
          <w:p w14:paraId="45670EC1" w14:textId="77777777" w:rsidR="0007132E" w:rsidRPr="00C61670" w:rsidRDefault="0007132E" w:rsidP="00AD023E">
            <w:pPr>
              <w:pStyle w:val="Tabletext"/>
              <w:keepNext/>
              <w:keepLines/>
            </w:pPr>
            <w:r w:rsidRPr="00C61670">
              <w:t>Serious AE related to study treatment</w:t>
            </w:r>
          </w:p>
        </w:tc>
        <w:tc>
          <w:tcPr>
            <w:tcW w:w="1984" w:type="dxa"/>
          </w:tcPr>
          <w:p w14:paraId="1DADE938" w14:textId="77777777" w:rsidR="0007132E" w:rsidRPr="00C61670" w:rsidRDefault="0007132E" w:rsidP="00AD023E">
            <w:pPr>
              <w:pStyle w:val="Tabletext"/>
              <w:keepNext/>
              <w:keepLines/>
              <w:jc w:val="center"/>
            </w:pPr>
            <w:r w:rsidRPr="00C61670">
              <w:t>0</w:t>
            </w:r>
          </w:p>
        </w:tc>
        <w:tc>
          <w:tcPr>
            <w:tcW w:w="2076" w:type="dxa"/>
            <w:shd w:val="clear" w:color="auto" w:fill="C6D9F1" w:themeFill="text2" w:themeFillTint="33"/>
          </w:tcPr>
          <w:p w14:paraId="33D8BA6C" w14:textId="77777777" w:rsidR="0007132E" w:rsidRPr="00C61670" w:rsidRDefault="0007132E" w:rsidP="00AD023E">
            <w:pPr>
              <w:pStyle w:val="Tabletext"/>
              <w:keepNext/>
              <w:keepLines/>
              <w:jc w:val="center"/>
            </w:pPr>
            <w:r w:rsidRPr="00C61670">
              <w:t>0</w:t>
            </w:r>
          </w:p>
        </w:tc>
      </w:tr>
      <w:tr w:rsidR="0007132E" w:rsidRPr="00C61670" w14:paraId="23A09E6A" w14:textId="77777777" w:rsidTr="00C5736D">
        <w:tc>
          <w:tcPr>
            <w:tcW w:w="4957" w:type="dxa"/>
          </w:tcPr>
          <w:p w14:paraId="40489B41" w14:textId="77777777" w:rsidR="0007132E" w:rsidRPr="00C61670" w:rsidRDefault="0007132E" w:rsidP="00AD023E">
            <w:pPr>
              <w:pStyle w:val="Tabletext"/>
              <w:keepNext/>
              <w:keepLines/>
            </w:pPr>
            <w:r w:rsidRPr="00C61670">
              <w:t>AE related or possibly related to lumbar puncture</w:t>
            </w:r>
          </w:p>
        </w:tc>
        <w:tc>
          <w:tcPr>
            <w:tcW w:w="1984" w:type="dxa"/>
          </w:tcPr>
          <w:p w14:paraId="3C78F537" w14:textId="77777777" w:rsidR="0007132E" w:rsidRPr="00C61670" w:rsidRDefault="0007132E" w:rsidP="00AD023E">
            <w:pPr>
              <w:pStyle w:val="Tabletext"/>
              <w:keepNext/>
              <w:keepLines/>
              <w:jc w:val="center"/>
            </w:pPr>
            <w:r w:rsidRPr="00C61670">
              <w:t>NA</w:t>
            </w:r>
          </w:p>
        </w:tc>
        <w:tc>
          <w:tcPr>
            <w:tcW w:w="2076" w:type="dxa"/>
            <w:shd w:val="clear" w:color="auto" w:fill="C6D9F1" w:themeFill="text2" w:themeFillTint="33"/>
          </w:tcPr>
          <w:p w14:paraId="07640857" w14:textId="77777777" w:rsidR="0007132E" w:rsidRPr="00C61670" w:rsidRDefault="0007132E" w:rsidP="00AD023E">
            <w:pPr>
              <w:pStyle w:val="Tabletext"/>
              <w:keepNext/>
              <w:keepLines/>
              <w:jc w:val="center"/>
            </w:pPr>
            <w:r w:rsidRPr="00C61670">
              <w:t xml:space="preserve">4 (40%) </w:t>
            </w:r>
            <w:r w:rsidRPr="00C61670">
              <w:rPr>
                <w:vertAlign w:val="superscript"/>
              </w:rPr>
              <w:t>a</w:t>
            </w:r>
          </w:p>
        </w:tc>
      </w:tr>
      <w:tr w:rsidR="0007132E" w:rsidRPr="00C61670" w14:paraId="301BA801" w14:textId="77777777" w:rsidTr="00C5736D">
        <w:tc>
          <w:tcPr>
            <w:tcW w:w="4957" w:type="dxa"/>
          </w:tcPr>
          <w:p w14:paraId="63EA13CF" w14:textId="77777777" w:rsidR="0007132E" w:rsidRPr="00C61670" w:rsidRDefault="0007132E" w:rsidP="00AD023E">
            <w:pPr>
              <w:pStyle w:val="Tabletext"/>
              <w:keepNext/>
              <w:keepLines/>
            </w:pPr>
            <w:r w:rsidRPr="00C61670">
              <w:t>AE leading to study discontinuation</w:t>
            </w:r>
          </w:p>
        </w:tc>
        <w:tc>
          <w:tcPr>
            <w:tcW w:w="1984" w:type="dxa"/>
          </w:tcPr>
          <w:p w14:paraId="2606DB18" w14:textId="77777777" w:rsidR="0007132E" w:rsidRPr="00C61670" w:rsidRDefault="0007132E" w:rsidP="00AD023E">
            <w:pPr>
              <w:pStyle w:val="Tabletext"/>
              <w:keepNext/>
              <w:keepLines/>
              <w:jc w:val="center"/>
            </w:pPr>
            <w:r w:rsidRPr="00C61670">
              <w:t>0</w:t>
            </w:r>
          </w:p>
        </w:tc>
        <w:tc>
          <w:tcPr>
            <w:tcW w:w="2076" w:type="dxa"/>
            <w:shd w:val="clear" w:color="auto" w:fill="C6D9F1" w:themeFill="text2" w:themeFillTint="33"/>
          </w:tcPr>
          <w:p w14:paraId="700FFAF6" w14:textId="77777777" w:rsidR="0007132E" w:rsidRPr="00C61670" w:rsidRDefault="0007132E" w:rsidP="00AD023E">
            <w:pPr>
              <w:pStyle w:val="Tabletext"/>
              <w:keepNext/>
              <w:keepLines/>
              <w:jc w:val="center"/>
            </w:pPr>
            <w:r w:rsidRPr="00C61670">
              <w:t>0</w:t>
            </w:r>
          </w:p>
        </w:tc>
      </w:tr>
      <w:tr w:rsidR="0007132E" w:rsidRPr="00C61670" w14:paraId="5EF60B07" w14:textId="77777777" w:rsidTr="00C5736D">
        <w:trPr>
          <w:trHeight w:val="143"/>
        </w:trPr>
        <w:tc>
          <w:tcPr>
            <w:tcW w:w="4957" w:type="dxa"/>
          </w:tcPr>
          <w:p w14:paraId="3008F2ED" w14:textId="77777777" w:rsidR="0007132E" w:rsidRPr="00C61670" w:rsidRDefault="0007132E" w:rsidP="00AD023E">
            <w:pPr>
              <w:pStyle w:val="Tabletext"/>
              <w:keepNext/>
              <w:keepLines/>
            </w:pPr>
            <w:r w:rsidRPr="00C61670">
              <w:t>AE leading to death</w:t>
            </w:r>
          </w:p>
        </w:tc>
        <w:tc>
          <w:tcPr>
            <w:tcW w:w="1984" w:type="dxa"/>
          </w:tcPr>
          <w:p w14:paraId="625C294A" w14:textId="77777777" w:rsidR="0007132E" w:rsidRPr="00C61670" w:rsidRDefault="0007132E" w:rsidP="00AD023E">
            <w:pPr>
              <w:pStyle w:val="Tabletext"/>
              <w:keepNext/>
              <w:keepLines/>
              <w:jc w:val="center"/>
            </w:pPr>
            <w:r w:rsidRPr="00C61670">
              <w:t>0</w:t>
            </w:r>
          </w:p>
        </w:tc>
        <w:tc>
          <w:tcPr>
            <w:tcW w:w="2076" w:type="dxa"/>
            <w:shd w:val="clear" w:color="auto" w:fill="C6D9F1" w:themeFill="text2" w:themeFillTint="33"/>
          </w:tcPr>
          <w:p w14:paraId="04A8E8C2" w14:textId="77777777" w:rsidR="0007132E" w:rsidRPr="00C61670" w:rsidRDefault="0007132E" w:rsidP="00AD023E">
            <w:pPr>
              <w:pStyle w:val="Tabletext"/>
              <w:keepNext/>
              <w:keepLines/>
              <w:jc w:val="center"/>
            </w:pPr>
            <w:r w:rsidRPr="00C61670">
              <w:t>0</w:t>
            </w:r>
          </w:p>
        </w:tc>
      </w:tr>
    </w:tbl>
    <w:p w14:paraId="2012005C" w14:textId="77777777" w:rsidR="0007132E" w:rsidRPr="00C61670" w:rsidRDefault="0007132E" w:rsidP="00AD023E">
      <w:pPr>
        <w:pStyle w:val="FooterTableFigure"/>
        <w:keepNext/>
        <w:keepLines/>
      </w:pPr>
      <w:r w:rsidRPr="00C61670">
        <w:rPr>
          <w:lang w:eastAsia="zh-CN"/>
        </w:rPr>
        <w:t>AE = adverse event; NR= not reported; NA= not applicable</w:t>
      </w:r>
      <w:r w:rsidRPr="00C61670">
        <w:t>; SMN = survival of motor neuron</w:t>
      </w:r>
    </w:p>
    <w:p w14:paraId="6DA483B7" w14:textId="77777777" w:rsidR="0007132E" w:rsidRPr="00C61670" w:rsidRDefault="0007132E" w:rsidP="00AD023E">
      <w:pPr>
        <w:pStyle w:val="FooterTableFigure"/>
        <w:keepNext/>
        <w:keepLines/>
      </w:pPr>
      <w:r w:rsidRPr="00C61670">
        <w:t xml:space="preserve">Note: For each category, patients are included only once, even if they experienced multiple events in that category. </w:t>
      </w:r>
    </w:p>
    <w:p w14:paraId="5B5DE975" w14:textId="77777777" w:rsidR="0007132E" w:rsidRPr="00C61670" w:rsidRDefault="0007132E" w:rsidP="00AD023E">
      <w:pPr>
        <w:pStyle w:val="FooterTableFigure"/>
        <w:keepNext/>
        <w:keepLines/>
      </w:pPr>
      <w:r w:rsidRPr="00C61670">
        <w:rPr>
          <w:lang w:eastAsia="zh-CN"/>
        </w:rPr>
        <w:t xml:space="preserve">Note 2: AEs were considered treatment related if they were classified by the investigator as possibly, probably, or </w:t>
      </w:r>
      <w:proofErr w:type="gramStart"/>
      <w:r w:rsidRPr="00C61670">
        <w:rPr>
          <w:lang w:eastAsia="zh-CN"/>
        </w:rPr>
        <w:t>definitely related</w:t>
      </w:r>
      <w:proofErr w:type="gramEnd"/>
      <w:r w:rsidRPr="00C61670">
        <w:rPr>
          <w:lang w:eastAsia="zh-CN"/>
        </w:rPr>
        <w:t xml:space="preserve"> to </w:t>
      </w:r>
    </w:p>
    <w:p w14:paraId="3CD20F96" w14:textId="77777777" w:rsidR="0007132E" w:rsidRPr="00C61670" w:rsidRDefault="0007132E" w:rsidP="00AD023E">
      <w:pPr>
        <w:pStyle w:val="FooterTableFigure"/>
        <w:keepNext/>
        <w:keepLines/>
        <w:rPr>
          <w:lang w:eastAsia="zh-CN"/>
        </w:rPr>
      </w:pPr>
      <w:r w:rsidRPr="00C61670">
        <w:rPr>
          <w:lang w:eastAsia="zh-CN"/>
        </w:rPr>
        <w:t xml:space="preserve">study treatment. </w:t>
      </w:r>
    </w:p>
    <w:p w14:paraId="61ACBE6A" w14:textId="1D619F0C" w:rsidR="0007132E" w:rsidRPr="00C61670" w:rsidRDefault="0007132E" w:rsidP="00AD023E">
      <w:pPr>
        <w:pStyle w:val="FooterTableFigure"/>
        <w:keepNext/>
        <w:keepLines/>
        <w:rPr>
          <w:lang w:eastAsia="zh-CN"/>
        </w:rPr>
      </w:pPr>
      <w:r w:rsidRPr="00C61670">
        <w:rPr>
          <w:vertAlign w:val="superscript"/>
          <w:lang w:eastAsia="zh-CN"/>
        </w:rPr>
        <w:t>a</w:t>
      </w:r>
      <w:r w:rsidRPr="00C61670">
        <w:rPr>
          <w:lang w:eastAsia="zh-CN"/>
        </w:rPr>
        <w:t xml:space="preserve"> Included 3 patients with events possibly related to lumbar puncture and 1 </w:t>
      </w:r>
      <w:r w:rsidR="002376D3" w:rsidRPr="00C61670">
        <w:rPr>
          <w:lang w:eastAsia="zh-CN"/>
        </w:rPr>
        <w:t>patient</w:t>
      </w:r>
      <w:r w:rsidRPr="00C61670">
        <w:rPr>
          <w:lang w:eastAsia="zh-CN"/>
        </w:rPr>
        <w:t xml:space="preserve"> with an event related to lumbar puncture.</w:t>
      </w:r>
    </w:p>
    <w:p w14:paraId="3B11C8F1" w14:textId="06FA26AC" w:rsidR="0007132E" w:rsidRPr="00C61670" w:rsidRDefault="0007132E" w:rsidP="00AD023E">
      <w:pPr>
        <w:pStyle w:val="FooterTableFigure"/>
        <w:keepNext/>
        <w:keepLines/>
      </w:pPr>
      <w:r w:rsidRPr="00C61670">
        <w:t>Blue shading indicates data previous considered by PBAC</w:t>
      </w:r>
      <w:r w:rsidR="00F12369">
        <w:t xml:space="preserve"> at </w:t>
      </w:r>
      <w:r w:rsidR="00A45ED7">
        <w:t>its</w:t>
      </w:r>
      <w:r w:rsidR="00F12369">
        <w:t xml:space="preserve"> July 2023 meeting</w:t>
      </w:r>
      <w:r w:rsidRPr="00C61670">
        <w:t xml:space="preserve">. </w:t>
      </w:r>
    </w:p>
    <w:p w14:paraId="3E7241DD" w14:textId="6AE4C396" w:rsidR="007630E3" w:rsidRPr="00C61670" w:rsidRDefault="0007132E" w:rsidP="00AD023E">
      <w:pPr>
        <w:pStyle w:val="FooterTableFigure"/>
        <w:keepNext/>
        <w:keepLines/>
      </w:pPr>
      <w:r w:rsidRPr="00C61670">
        <w:t xml:space="preserve">Source: </w:t>
      </w:r>
      <w:r w:rsidR="007630E3">
        <w:t xml:space="preserve">Table </w:t>
      </w:r>
      <w:r w:rsidR="002376D3">
        <w:t>2.25 of</w:t>
      </w:r>
      <w:r w:rsidR="007630E3">
        <w:t xml:space="preserve"> the submission</w:t>
      </w:r>
    </w:p>
    <w:p w14:paraId="78DD4021" w14:textId="0EB994E4" w:rsidR="0007132E" w:rsidRPr="00DA5896" w:rsidRDefault="0007132E" w:rsidP="0007132E">
      <w:pPr>
        <w:pStyle w:val="3-BodyText"/>
      </w:pPr>
      <w:r w:rsidRPr="00C61670">
        <w:t xml:space="preserve">The </w:t>
      </w:r>
      <w:r w:rsidR="0007089E">
        <w:t>submission</w:t>
      </w:r>
      <w:r w:rsidRPr="00C61670">
        <w:t xml:space="preserve"> claimed that the safety profile of risdiplam demonstrated a lower rate of serious AEs compared to nusinersen. For RAINBOWFISH this data corresponded to the time when the median treatment exposure was 20.4 months (primary analysis) and for NURTURE there was a median follow-up duration of 4.9 years. </w:t>
      </w:r>
      <w:r w:rsidRPr="0081032F">
        <w:rPr>
          <w:iCs/>
        </w:rPr>
        <w:t xml:space="preserve">Due to the different timeframes involved, the comparison of AEs observed for patients with three copies of </w:t>
      </w:r>
      <w:r w:rsidRPr="000F1040">
        <w:rPr>
          <w:i/>
        </w:rPr>
        <w:t>SMN2</w:t>
      </w:r>
      <w:r w:rsidRPr="0081032F">
        <w:rPr>
          <w:iCs/>
        </w:rPr>
        <w:t xml:space="preserve"> enrolled in RAINBOWFISH and NURTURE was of limited usefulness</w:t>
      </w:r>
      <w:r w:rsidR="007A4A79" w:rsidRPr="0081032F">
        <w:rPr>
          <w:iCs/>
        </w:rPr>
        <w:t>.</w:t>
      </w:r>
    </w:p>
    <w:p w14:paraId="5EE6A8A6" w14:textId="4A739E1E" w:rsidR="00DA5896" w:rsidRPr="0081032F" w:rsidRDefault="00DA5896" w:rsidP="00DA5896">
      <w:pPr>
        <w:pStyle w:val="3-BodyText"/>
        <w:rPr>
          <w:iCs/>
        </w:rPr>
      </w:pPr>
      <w:r w:rsidRPr="0081032F">
        <w:rPr>
          <w:iCs/>
        </w:rPr>
        <w:t xml:space="preserve">The PBAC previously evaluated NURTURE safety data for patients with SMA with two and three copies of </w:t>
      </w:r>
      <w:r w:rsidRPr="000F1040">
        <w:rPr>
          <w:i/>
        </w:rPr>
        <w:t>SMN2</w:t>
      </w:r>
      <w:r w:rsidRPr="0081032F">
        <w:rPr>
          <w:iCs/>
        </w:rPr>
        <w:t xml:space="preserve"> and noted that </w:t>
      </w:r>
      <w:proofErr w:type="gramStart"/>
      <w:r w:rsidRPr="0081032F">
        <w:rPr>
          <w:iCs/>
        </w:rPr>
        <w:t>the majority of</w:t>
      </w:r>
      <w:proofErr w:type="gramEnd"/>
      <w:r w:rsidRPr="0081032F">
        <w:rPr>
          <w:iCs/>
        </w:rPr>
        <w:t xml:space="preserve"> adverse events in NURTURE were respiratory in nature and appeared to be related to the SMA disease process (paragraph 6.27, nusinersen PSD, July 2023 PBAC meeting). </w:t>
      </w:r>
    </w:p>
    <w:p w14:paraId="5AF2212E" w14:textId="77777777" w:rsidR="0007132E" w:rsidRPr="00C61670" w:rsidRDefault="0007132E" w:rsidP="0007132E">
      <w:pPr>
        <w:pStyle w:val="4-SubsectionHeading"/>
      </w:pPr>
      <w:bookmarkStart w:id="30" w:name="_Toc167202924"/>
      <w:r w:rsidRPr="00C61670">
        <w:t>Benefits/harms</w:t>
      </w:r>
      <w:bookmarkEnd w:id="30"/>
    </w:p>
    <w:p w14:paraId="15EFD0D5" w14:textId="17D1A7C6" w:rsidR="0007132E" w:rsidRPr="00C61670" w:rsidRDefault="0007132E" w:rsidP="0007132E">
      <w:pPr>
        <w:pStyle w:val="3-BodyText"/>
      </w:pPr>
      <w:r w:rsidRPr="00C61670">
        <w:t xml:space="preserve">A benefits and harms table was not presented as the </w:t>
      </w:r>
      <w:r w:rsidR="0007089E">
        <w:t>submission</w:t>
      </w:r>
      <w:r w:rsidRPr="00C61670">
        <w:t xml:space="preserve"> made a claim of non-inferior efficacy and safety for risdiplam v</w:t>
      </w:r>
      <w:r w:rsidR="007A0848">
        <w:t>ersu</w:t>
      </w:r>
      <w:r w:rsidRPr="00C61670">
        <w:t xml:space="preserve">s nusinersen for the pre-symptomatic treatment of patients with three copies of </w:t>
      </w:r>
      <w:r w:rsidRPr="00C61670">
        <w:rPr>
          <w:i/>
          <w:iCs/>
        </w:rPr>
        <w:t>SMN2</w:t>
      </w:r>
      <w:r w:rsidRPr="00C61670">
        <w:t>.</w:t>
      </w:r>
    </w:p>
    <w:p w14:paraId="2C2B3D2B" w14:textId="77777777" w:rsidR="0007132E" w:rsidRPr="00C61670" w:rsidRDefault="0007132E" w:rsidP="0007132E">
      <w:pPr>
        <w:pStyle w:val="4-SubsectionHeading"/>
      </w:pPr>
      <w:bookmarkStart w:id="31" w:name="_Toc167202925"/>
      <w:r w:rsidRPr="00C61670">
        <w:t>Clinical claim</w:t>
      </w:r>
      <w:bookmarkEnd w:id="31"/>
    </w:p>
    <w:p w14:paraId="36EB227D" w14:textId="7839ACE6" w:rsidR="0033564F" w:rsidRPr="0067326F" w:rsidRDefault="0007132E" w:rsidP="0067326F">
      <w:pPr>
        <w:pStyle w:val="3-BodyText"/>
        <w:ind w:left="709" w:hanging="709"/>
        <w:rPr>
          <w:iCs/>
        </w:rPr>
      </w:pPr>
      <w:r w:rsidRPr="0067326F">
        <w:rPr>
          <w:rFonts w:eastAsia="Calibri"/>
        </w:rPr>
        <w:t xml:space="preserve">The </w:t>
      </w:r>
      <w:r w:rsidR="0007089E" w:rsidRPr="0067326F">
        <w:rPr>
          <w:rFonts w:eastAsia="Calibri"/>
        </w:rPr>
        <w:t>submission</w:t>
      </w:r>
      <w:r w:rsidRPr="0067326F">
        <w:rPr>
          <w:rFonts w:eastAsia="Calibri"/>
        </w:rPr>
        <w:t xml:space="preserve"> described risdiplam as non-inferior in terms of effectiveness compared to nusinersen. </w:t>
      </w:r>
      <w:r w:rsidR="0067326F" w:rsidRPr="00F062C2">
        <w:rPr>
          <w:rFonts w:eastAsia="Calibri"/>
          <w:iCs/>
        </w:rPr>
        <w:t>The evaluation considered</w:t>
      </w:r>
      <w:r w:rsidR="006976B9" w:rsidRPr="00F062C2">
        <w:rPr>
          <w:rFonts w:eastAsia="Calibri"/>
          <w:iCs/>
        </w:rPr>
        <w:t xml:space="preserve"> that</w:t>
      </w:r>
      <w:r w:rsidR="006976B9" w:rsidRPr="0067326F">
        <w:rPr>
          <w:rFonts w:eastAsia="Calibri"/>
          <w:iCs/>
        </w:rPr>
        <w:t xml:space="preserve"> the </w:t>
      </w:r>
      <w:r w:rsidRPr="0067326F">
        <w:rPr>
          <w:rFonts w:eastAsia="Calibri"/>
          <w:iCs/>
        </w:rPr>
        <w:t>claim of non-inferior efficacy may be clinically plausible but was not clearly supported by the evidence presented because</w:t>
      </w:r>
      <w:r w:rsidR="0067326F" w:rsidRPr="0067326F">
        <w:rPr>
          <w:rFonts w:eastAsia="Calibri"/>
          <w:iCs/>
        </w:rPr>
        <w:t xml:space="preserve"> t</w:t>
      </w:r>
      <w:r w:rsidRPr="0067326F">
        <w:rPr>
          <w:iCs/>
        </w:rPr>
        <w:t>he quality of evidence was poor</w:t>
      </w:r>
      <w:r w:rsidR="0067326F" w:rsidRPr="0067326F">
        <w:rPr>
          <w:iCs/>
        </w:rPr>
        <w:t xml:space="preserve">, based on </w:t>
      </w:r>
      <w:r w:rsidR="0067326F">
        <w:rPr>
          <w:iCs/>
        </w:rPr>
        <w:t xml:space="preserve">small </w:t>
      </w:r>
      <w:r w:rsidR="0067326F" w:rsidRPr="0067326F">
        <w:rPr>
          <w:iCs/>
        </w:rPr>
        <w:t>single arm studies</w:t>
      </w:r>
      <w:r w:rsidR="0067326F">
        <w:rPr>
          <w:iCs/>
        </w:rPr>
        <w:t xml:space="preserve"> with a small subset of patients having 3 copies </w:t>
      </w:r>
      <w:r w:rsidR="0067326F" w:rsidRPr="0067326F">
        <w:rPr>
          <w:i/>
        </w:rPr>
        <w:t>SMN2</w:t>
      </w:r>
      <w:r w:rsidR="0067326F" w:rsidRPr="0067326F">
        <w:rPr>
          <w:iCs/>
        </w:rPr>
        <w:t>,</w:t>
      </w:r>
      <w:r w:rsidRPr="0067326F">
        <w:rPr>
          <w:iCs/>
        </w:rPr>
        <w:t xml:space="preserve"> and the unanchored comparison carried a substantial risk of bias due to the lack of a common comparator. </w:t>
      </w:r>
    </w:p>
    <w:p w14:paraId="7596F64A" w14:textId="55E8991E" w:rsidR="0033564F" w:rsidRPr="0067326F" w:rsidRDefault="008E0C5A" w:rsidP="0067326F">
      <w:pPr>
        <w:pStyle w:val="3-BodyText"/>
        <w:ind w:left="709" w:hanging="709"/>
        <w:rPr>
          <w:rFonts w:eastAsia="Calibri"/>
        </w:rPr>
      </w:pPr>
      <w:r w:rsidRPr="0067326F">
        <w:rPr>
          <w:rFonts w:eastAsia="Calibri"/>
        </w:rPr>
        <w:t>However, i</w:t>
      </w:r>
      <w:r w:rsidR="0033564F" w:rsidRPr="0067326F">
        <w:rPr>
          <w:rFonts w:eastAsia="Calibri"/>
        </w:rPr>
        <w:t xml:space="preserve">n </w:t>
      </w:r>
      <w:r w:rsidRPr="0067326F">
        <w:rPr>
          <w:rFonts w:eastAsia="Calibri"/>
        </w:rPr>
        <w:t>its</w:t>
      </w:r>
      <w:r w:rsidR="0033564F" w:rsidRPr="0067326F">
        <w:rPr>
          <w:rFonts w:eastAsia="Calibri"/>
        </w:rPr>
        <w:t xml:space="preserve"> consideration </w:t>
      </w:r>
      <w:r w:rsidRPr="0067326F">
        <w:rPr>
          <w:rFonts w:eastAsia="Calibri"/>
        </w:rPr>
        <w:t>of</w:t>
      </w:r>
      <w:r w:rsidR="0033564F" w:rsidRPr="0067326F">
        <w:rPr>
          <w:rFonts w:eastAsia="Calibri"/>
        </w:rPr>
        <w:t xml:space="preserve"> risdiplam for pre-symptomatic treatment of patients with 1-2 </w:t>
      </w:r>
      <w:r w:rsidR="0033564F" w:rsidRPr="007A0848">
        <w:rPr>
          <w:rFonts w:eastAsia="Calibri"/>
          <w:i/>
          <w:iCs/>
        </w:rPr>
        <w:t>SMN2</w:t>
      </w:r>
      <w:r w:rsidR="0033564F" w:rsidRPr="0067326F">
        <w:rPr>
          <w:rFonts w:eastAsia="Calibri"/>
        </w:rPr>
        <w:t xml:space="preserve"> copies, the PBAC had also considered that despite the poor quality of evidence (small sample size, short follow up and differences in assessment times for </w:t>
      </w:r>
      <w:r w:rsidR="0033564F" w:rsidRPr="0067326F">
        <w:rPr>
          <w:rFonts w:eastAsia="Calibri"/>
        </w:rPr>
        <w:lastRenderedPageBreak/>
        <w:t>specific outcomes), a clinical claim of non-inferiority between risdiplam and nusinersen was clinically plausible</w:t>
      </w:r>
      <w:r w:rsidR="003F1D07" w:rsidRPr="0067326F">
        <w:rPr>
          <w:rFonts w:eastAsia="Calibri"/>
        </w:rPr>
        <w:t xml:space="preserve"> (paragraph 7.6, risdiplam PSD, March 2023 PBAC meeting).</w:t>
      </w:r>
      <w:r w:rsidR="0067326F" w:rsidRPr="0067326F">
        <w:rPr>
          <w:rFonts w:eastAsia="Calibri"/>
        </w:rPr>
        <w:t xml:space="preserve"> </w:t>
      </w:r>
      <w:r w:rsidR="0067326F" w:rsidRPr="00DD6359">
        <w:rPr>
          <w:rFonts w:eastAsia="Calibri"/>
        </w:rPr>
        <w:t xml:space="preserve">The ESC agreed with the evaluation that the clinical claim of non-inferior effectiveness compared with nusinersen </w:t>
      </w:r>
      <w:r w:rsidR="00BA456A" w:rsidRPr="00DD6359">
        <w:rPr>
          <w:rFonts w:eastAsia="Calibri"/>
        </w:rPr>
        <w:t xml:space="preserve">for patients with 3 </w:t>
      </w:r>
      <w:r w:rsidR="00BA456A" w:rsidRPr="00491A73">
        <w:rPr>
          <w:rFonts w:eastAsia="Calibri"/>
          <w:i/>
          <w:iCs/>
        </w:rPr>
        <w:t>SMN2</w:t>
      </w:r>
      <w:r w:rsidR="00BA456A" w:rsidRPr="00DD6359">
        <w:rPr>
          <w:rFonts w:eastAsia="Calibri"/>
        </w:rPr>
        <w:t xml:space="preserve"> copies was likely to be clinically plausible, consistent with the </w:t>
      </w:r>
      <w:r w:rsidR="007C1705">
        <w:rPr>
          <w:rFonts w:eastAsia="Calibri"/>
        </w:rPr>
        <w:t xml:space="preserve">PBAC’s consideration for patients with </w:t>
      </w:r>
      <w:r w:rsidR="00BA456A" w:rsidRPr="00DD6359">
        <w:rPr>
          <w:rFonts w:eastAsia="Calibri"/>
        </w:rPr>
        <w:t>1</w:t>
      </w:r>
      <w:r w:rsidR="007C1705">
        <w:rPr>
          <w:rFonts w:eastAsia="Calibri"/>
        </w:rPr>
        <w:t xml:space="preserve"> to </w:t>
      </w:r>
      <w:r w:rsidR="00BA456A" w:rsidRPr="00DD6359">
        <w:rPr>
          <w:rFonts w:eastAsia="Calibri"/>
        </w:rPr>
        <w:t xml:space="preserve">2 </w:t>
      </w:r>
      <w:r w:rsidR="007C1705">
        <w:rPr>
          <w:rFonts w:eastAsia="Calibri"/>
        </w:rPr>
        <w:t xml:space="preserve">copies of </w:t>
      </w:r>
      <w:r w:rsidR="00BA456A" w:rsidRPr="007C1705">
        <w:rPr>
          <w:rFonts w:eastAsia="Calibri"/>
          <w:i/>
          <w:iCs/>
        </w:rPr>
        <w:t>SMN2</w:t>
      </w:r>
      <w:r w:rsidR="00BA456A" w:rsidRPr="00DD6359">
        <w:rPr>
          <w:rFonts w:eastAsia="Calibri"/>
        </w:rPr>
        <w:t xml:space="preserve">. </w:t>
      </w:r>
    </w:p>
    <w:p w14:paraId="4E229EAF" w14:textId="220D51CF" w:rsidR="0007132E" w:rsidRPr="00F062C2" w:rsidRDefault="0007132E" w:rsidP="00ED4780">
      <w:pPr>
        <w:pStyle w:val="3-BodyText"/>
        <w:rPr>
          <w:i/>
        </w:rPr>
      </w:pPr>
      <w:r w:rsidRPr="0081032F">
        <w:rPr>
          <w:iCs/>
        </w:rPr>
        <w:t>Previously, the PBAC noted that although there was no direct comparison of safety between risdiplam versus nusinersen, given the less invasive route of administration of risdiplam compared to nusinersen the PBAC considered that the conclusion that risdiplam has a favourable safety profile in some patients was reasonable (paragraph 7.8, risdiplam PSD, March 2021 PBAC meeting</w:t>
      </w:r>
      <w:r w:rsidRPr="00DD6359">
        <w:rPr>
          <w:i/>
        </w:rPr>
        <w:t>).</w:t>
      </w:r>
      <w:r w:rsidR="00BA456A" w:rsidRPr="00DD6359">
        <w:rPr>
          <w:rFonts w:eastAsia="Calibri"/>
          <w:i/>
        </w:rPr>
        <w:t xml:space="preserve"> </w:t>
      </w:r>
      <w:r w:rsidR="00BA456A" w:rsidRPr="00F062C2">
        <w:rPr>
          <w:rFonts w:eastAsia="Calibri"/>
          <w:iCs/>
        </w:rPr>
        <w:t>The ESC agreed with the evaluation that the claim of non-inferior safety compared to nusinersen but a favourable safety profile in some patients due to the less invasive route of administration compared to nusinersen, appeared reasonable.</w:t>
      </w:r>
    </w:p>
    <w:p w14:paraId="6A17A206" w14:textId="7DDF1EFC" w:rsidR="00F062C2" w:rsidRPr="00CE42B4" w:rsidRDefault="00F062C2" w:rsidP="00F062C2">
      <w:pPr>
        <w:widowControl w:val="0"/>
        <w:numPr>
          <w:ilvl w:val="1"/>
          <w:numId w:val="1"/>
        </w:numPr>
        <w:spacing w:after="120"/>
        <w:rPr>
          <w:rFonts w:asciiTheme="minorHAnsi" w:hAnsiTheme="minorHAnsi"/>
          <w:snapToGrid w:val="0"/>
          <w:szCs w:val="20"/>
        </w:rPr>
      </w:pPr>
      <w:bookmarkStart w:id="32"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 </w:t>
      </w:r>
      <w:r w:rsidR="003E3FD6">
        <w:rPr>
          <w:rFonts w:asciiTheme="minorHAnsi" w:hAnsiTheme="minorHAnsi"/>
          <w:snapToGrid w:val="0"/>
          <w:szCs w:val="20"/>
        </w:rPr>
        <w:t xml:space="preserve">compared with nusinersen </w:t>
      </w:r>
      <w:r w:rsidRPr="00CE42B4">
        <w:rPr>
          <w:rFonts w:asciiTheme="minorHAnsi" w:hAnsiTheme="minorHAnsi"/>
          <w:snapToGrid w:val="0"/>
          <w:szCs w:val="20"/>
        </w:rPr>
        <w:t>was reasonable</w:t>
      </w:r>
      <w:r w:rsidR="003E3FD6">
        <w:rPr>
          <w:rFonts w:asciiTheme="minorHAnsi" w:hAnsiTheme="minorHAnsi"/>
          <w:snapToGrid w:val="0"/>
          <w:szCs w:val="20"/>
        </w:rPr>
        <w:t xml:space="preserve">, noting the limitations of the data available. </w:t>
      </w:r>
    </w:p>
    <w:p w14:paraId="27AFB944" w14:textId="09A22CE9" w:rsidR="00F062C2" w:rsidRPr="00CE42B4" w:rsidRDefault="00F062C2" w:rsidP="00F062C2">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 xml:space="preserve">The PBAC considered that the claim of non-inferior comparative safety </w:t>
      </w:r>
      <w:r w:rsidR="003E3FD6">
        <w:rPr>
          <w:rFonts w:asciiTheme="minorHAnsi" w:hAnsiTheme="minorHAnsi"/>
          <w:snapToGrid w:val="0"/>
          <w:szCs w:val="20"/>
        </w:rPr>
        <w:t xml:space="preserve">compared to nusinersen </w:t>
      </w:r>
      <w:r w:rsidRPr="00CE42B4">
        <w:rPr>
          <w:rFonts w:asciiTheme="minorHAnsi" w:hAnsiTheme="minorHAnsi"/>
          <w:snapToGrid w:val="0"/>
          <w:szCs w:val="20"/>
        </w:rPr>
        <w:t>was reasonable.</w:t>
      </w:r>
      <w:r w:rsidR="003E3FD6">
        <w:rPr>
          <w:rFonts w:asciiTheme="minorHAnsi" w:hAnsiTheme="minorHAnsi"/>
          <w:snapToGrid w:val="0"/>
          <w:szCs w:val="20"/>
        </w:rPr>
        <w:t xml:space="preserve"> </w:t>
      </w:r>
    </w:p>
    <w:p w14:paraId="0EACCC6B" w14:textId="77777777" w:rsidR="0007132E" w:rsidRPr="00C61670" w:rsidRDefault="0007132E" w:rsidP="0007132E">
      <w:pPr>
        <w:pStyle w:val="4-SubsectionHeading"/>
      </w:pPr>
      <w:bookmarkStart w:id="33" w:name="_Toc167202926"/>
      <w:bookmarkEnd w:id="32"/>
      <w:r w:rsidRPr="00C61670">
        <w:t>Comparison of risdiplam with onasemnogene abeparvovec (ONA)</w:t>
      </w:r>
      <w:bookmarkEnd w:id="33"/>
    </w:p>
    <w:p w14:paraId="162ACBD6" w14:textId="5746F2C2" w:rsidR="0007132E" w:rsidRPr="00C61670" w:rsidRDefault="005318C7" w:rsidP="0007132E">
      <w:pPr>
        <w:pStyle w:val="3-BodyText"/>
      </w:pPr>
      <w:r>
        <w:t>T</w:t>
      </w:r>
      <w:r w:rsidR="0007132E" w:rsidRPr="00C61670">
        <w:t xml:space="preserve">he </w:t>
      </w:r>
      <w:r w:rsidR="0007089E">
        <w:t>submission</w:t>
      </w:r>
      <w:r w:rsidR="0007132E" w:rsidRPr="00C61670">
        <w:t xml:space="preserve"> also provided a clinical comparison of risdiplam versus ONA in patients with pre-symptomatic SMA with three </w:t>
      </w:r>
      <w:r w:rsidR="0007132E" w:rsidRPr="00C61670">
        <w:rPr>
          <w:i/>
          <w:iCs/>
        </w:rPr>
        <w:t>SMN2</w:t>
      </w:r>
      <w:r w:rsidR="0007132E" w:rsidRPr="00C61670">
        <w:t xml:space="preserve"> copies</w:t>
      </w:r>
      <w:r w:rsidR="00C96373">
        <w:t xml:space="preserve"> in a supplementary analysis</w:t>
      </w:r>
      <w:r w:rsidR="0007132E" w:rsidRPr="00C61670">
        <w:t>.</w:t>
      </w:r>
      <w:r w:rsidR="004C1820">
        <w:t xml:space="preserve"> </w:t>
      </w:r>
    </w:p>
    <w:p w14:paraId="02DA959B" w14:textId="57DBD4AB" w:rsidR="0007132E" w:rsidRPr="0081032F" w:rsidRDefault="0007132E" w:rsidP="0007132E">
      <w:pPr>
        <w:pStyle w:val="3-BodyText"/>
        <w:rPr>
          <w:iCs/>
        </w:rPr>
      </w:pPr>
      <w:r w:rsidRPr="00C61670">
        <w:t xml:space="preserve">No direct head-to-head evidence was identified in the </w:t>
      </w:r>
      <w:r w:rsidR="0007089E">
        <w:t>submission</w:t>
      </w:r>
      <w:r w:rsidRPr="00C61670">
        <w:t xml:space="preserve"> for the clinical comparison of risdiplam vs ONA in pre-symptomatic SMA patients with three </w:t>
      </w:r>
      <w:r w:rsidRPr="00C61670">
        <w:rPr>
          <w:i/>
          <w:iCs/>
        </w:rPr>
        <w:t>SMN2</w:t>
      </w:r>
      <w:r w:rsidRPr="00C61670">
        <w:t xml:space="preserve"> gene copies. In the supplementary literature search, one single arm study was identified that investigated the efficacy and safety of ONA in pre-symptomatic SMA patients (SPR1NT). The details of SPR1NT have previously been reviewed by the PBAC, most recently for the ONA submission in July 2023. </w:t>
      </w:r>
      <w:r w:rsidRPr="0081032F">
        <w:rPr>
          <w:iCs/>
        </w:rPr>
        <w:t>The PBAC previously noted that SPR1NT was associated with a high degree of bias (paragraph 6.10, ONA PSD, July 2023 PBAC meeting).</w:t>
      </w:r>
    </w:p>
    <w:p w14:paraId="237F5041" w14:textId="1F7B2CD4" w:rsidR="0007132E" w:rsidRPr="0081032F" w:rsidRDefault="0007132E" w:rsidP="0007132E">
      <w:pPr>
        <w:pStyle w:val="3-BodyText"/>
        <w:rPr>
          <w:iCs/>
        </w:rPr>
      </w:pPr>
      <w:r w:rsidRPr="00DD6359">
        <w:rPr>
          <w:iCs/>
        </w:rPr>
        <w:t xml:space="preserve">The </w:t>
      </w:r>
      <w:r w:rsidR="004A74AA" w:rsidRPr="00DD6359">
        <w:rPr>
          <w:iCs/>
        </w:rPr>
        <w:t>evaluation considered</w:t>
      </w:r>
      <w:r w:rsidR="004A74AA">
        <w:rPr>
          <w:iCs/>
        </w:rPr>
        <w:t xml:space="preserve"> the </w:t>
      </w:r>
      <w:r w:rsidRPr="0081032F">
        <w:rPr>
          <w:iCs/>
        </w:rPr>
        <w:t>clinical claim of non-inferior efficacy and safety for risdiplam vs ONA may be clinically plausible but was not clearly supported by the evidence presented because:</w:t>
      </w:r>
    </w:p>
    <w:p w14:paraId="663699D0" w14:textId="200B85E1" w:rsidR="0007132E" w:rsidRPr="0081032F" w:rsidRDefault="0007132E" w:rsidP="002D749A">
      <w:pPr>
        <w:pStyle w:val="ListBullet"/>
        <w:tabs>
          <w:tab w:val="clear" w:pos="360"/>
          <w:tab w:val="num" w:pos="1080"/>
        </w:tabs>
        <w:spacing w:after="120"/>
        <w:ind w:left="1077" w:hanging="357"/>
        <w:contextualSpacing w:val="0"/>
        <w:rPr>
          <w:iCs/>
        </w:rPr>
      </w:pPr>
      <w:proofErr w:type="gramStart"/>
      <w:r w:rsidRPr="0081032F">
        <w:rPr>
          <w:iCs/>
        </w:rPr>
        <w:t>Similar to</w:t>
      </w:r>
      <w:proofErr w:type="gramEnd"/>
      <w:r w:rsidRPr="0081032F">
        <w:rPr>
          <w:iCs/>
        </w:rPr>
        <w:t xml:space="preserve"> the comparison of risdiplam and nusinersen, the data provided in the </w:t>
      </w:r>
      <w:r w:rsidR="0007089E" w:rsidRPr="0081032F">
        <w:rPr>
          <w:iCs/>
        </w:rPr>
        <w:t>submission</w:t>
      </w:r>
      <w:r w:rsidRPr="0081032F">
        <w:rPr>
          <w:iCs/>
        </w:rPr>
        <w:t xml:space="preserve"> was an unanchored comparison with a substantial risk of bias. The single arm, open label study used to demonstrate efficacy for ONA in patients with SMA with three copies of </w:t>
      </w:r>
      <w:r w:rsidRPr="0067193B">
        <w:rPr>
          <w:i/>
        </w:rPr>
        <w:t>SMN2</w:t>
      </w:r>
      <w:r w:rsidRPr="0081032F">
        <w:rPr>
          <w:iCs/>
        </w:rPr>
        <w:t xml:space="preserve"> also had a high risk of bias</w:t>
      </w:r>
      <w:r w:rsidR="00B057A5">
        <w:rPr>
          <w:iCs/>
        </w:rPr>
        <w:t>.</w:t>
      </w:r>
    </w:p>
    <w:p w14:paraId="57B7B659" w14:textId="751BCEB8" w:rsidR="0007132E" w:rsidRPr="0081032F" w:rsidRDefault="0007132E" w:rsidP="002D749A">
      <w:pPr>
        <w:pStyle w:val="ListBullet"/>
        <w:tabs>
          <w:tab w:val="clear" w:pos="360"/>
          <w:tab w:val="num" w:pos="1080"/>
        </w:tabs>
        <w:spacing w:after="120"/>
        <w:ind w:left="1077" w:hanging="357"/>
        <w:contextualSpacing w:val="0"/>
        <w:rPr>
          <w:iCs/>
        </w:rPr>
      </w:pPr>
      <w:r w:rsidRPr="0081032F">
        <w:rPr>
          <w:iCs/>
        </w:rPr>
        <w:t>Comparisons between risdiplam and ONA were made using point estimates of BSID-III fine and gross motor raw and scaled scores. However</w:t>
      </w:r>
      <w:r w:rsidR="005461DB">
        <w:rPr>
          <w:iCs/>
        </w:rPr>
        <w:t>,</w:t>
      </w:r>
      <w:r w:rsidRPr="0081032F">
        <w:rPr>
          <w:iCs/>
        </w:rPr>
        <w:t xml:space="preserve"> the timepoints at </w:t>
      </w:r>
      <w:r w:rsidRPr="0081032F">
        <w:rPr>
          <w:iCs/>
        </w:rPr>
        <w:lastRenderedPageBreak/>
        <w:t>which data w</w:t>
      </w:r>
      <w:r w:rsidR="00BA456A">
        <w:rPr>
          <w:iCs/>
        </w:rPr>
        <w:t>ere</w:t>
      </w:r>
      <w:r w:rsidRPr="0081032F">
        <w:rPr>
          <w:iCs/>
        </w:rPr>
        <w:t xml:space="preserve"> collected differed between the two studies making comparisons difficult and no formal statistical comparisons were provided</w:t>
      </w:r>
      <w:r w:rsidR="00B057A5">
        <w:rPr>
          <w:iCs/>
        </w:rPr>
        <w:t>.</w:t>
      </w:r>
    </w:p>
    <w:p w14:paraId="3DDB62DA" w14:textId="7AB9F807" w:rsidR="0007132E" w:rsidRPr="0081032F" w:rsidRDefault="0007132E" w:rsidP="002D749A">
      <w:pPr>
        <w:pStyle w:val="ListBullet"/>
        <w:tabs>
          <w:tab w:val="clear" w:pos="360"/>
          <w:tab w:val="num" w:pos="1080"/>
        </w:tabs>
        <w:spacing w:after="120"/>
        <w:ind w:left="1077" w:hanging="357"/>
        <w:contextualSpacing w:val="0"/>
        <w:rPr>
          <w:iCs/>
        </w:rPr>
      </w:pPr>
      <w:r w:rsidRPr="0081032F">
        <w:rPr>
          <w:iCs/>
        </w:rPr>
        <w:t xml:space="preserve">The </w:t>
      </w:r>
      <w:r w:rsidR="0007089E" w:rsidRPr="0081032F">
        <w:rPr>
          <w:iCs/>
        </w:rPr>
        <w:t>submission</w:t>
      </w:r>
      <w:r w:rsidRPr="0081032F">
        <w:rPr>
          <w:iCs/>
        </w:rPr>
        <w:t xml:space="preserve"> provided limited additional safety data to inform the comparison of risdiplam and ONA. Previously, the PBAC found that it was difficult to make an informed conclusion with respect to the safety profile of ONA compared to risdiplam (paragraph 6.28, ONA PSD, July 2023 PBAC meeting).</w:t>
      </w:r>
    </w:p>
    <w:p w14:paraId="246C1BF7" w14:textId="77777777" w:rsidR="0007132E" w:rsidRPr="00C61670" w:rsidRDefault="0007132E" w:rsidP="0007132E">
      <w:pPr>
        <w:pStyle w:val="4-SubsectionHeading"/>
      </w:pPr>
      <w:bookmarkStart w:id="34" w:name="_Toc167202927"/>
      <w:r w:rsidRPr="00C61670">
        <w:t>Economic analysis</w:t>
      </w:r>
      <w:bookmarkEnd w:id="34"/>
      <w:r w:rsidRPr="00C61670">
        <w:t xml:space="preserve"> </w:t>
      </w:r>
    </w:p>
    <w:p w14:paraId="6279933E" w14:textId="211241C5" w:rsidR="0007132E" w:rsidRPr="00C61670" w:rsidRDefault="00010D06" w:rsidP="0007132E">
      <w:pPr>
        <w:pStyle w:val="3-BodyText"/>
      </w:pPr>
      <w:r>
        <w:t>T</w:t>
      </w:r>
      <w:r w:rsidR="0007132E" w:rsidRPr="00C61670">
        <w:t xml:space="preserve">he </w:t>
      </w:r>
      <w:r w:rsidR="0007089E">
        <w:t>submission</w:t>
      </w:r>
      <w:r w:rsidR="0007132E" w:rsidRPr="00C61670">
        <w:t xml:space="preserve"> presented a CMA for risdiplam versus nusinersen. The key components and assumptions of the CMA are detailed in </w:t>
      </w:r>
      <w:r w:rsidR="0007132E" w:rsidRPr="00C61670">
        <w:fldChar w:fldCharType="begin" w:fldLock="1"/>
      </w:r>
      <w:r w:rsidR="0007132E" w:rsidRPr="00C61670">
        <w:instrText xml:space="preserve"> REF _Ref165903015 \h </w:instrText>
      </w:r>
      <w:r w:rsidR="0007132E" w:rsidRPr="00C61670">
        <w:fldChar w:fldCharType="separate"/>
      </w:r>
      <w:r w:rsidR="00AA25E7" w:rsidRPr="00C61670">
        <w:t xml:space="preserve">Table </w:t>
      </w:r>
      <w:r w:rsidR="00AA25E7">
        <w:rPr>
          <w:noProof/>
        </w:rPr>
        <w:t>10</w:t>
      </w:r>
      <w:r w:rsidR="0007132E" w:rsidRPr="00C61670">
        <w:fldChar w:fldCharType="end"/>
      </w:r>
      <w:r w:rsidR="0007132E" w:rsidRPr="00C61670">
        <w:t xml:space="preserve">. </w:t>
      </w:r>
    </w:p>
    <w:p w14:paraId="6D129A6C" w14:textId="1C023FE0" w:rsidR="0007132E" w:rsidRPr="00C61670" w:rsidRDefault="0007132E" w:rsidP="00921AD6">
      <w:pPr>
        <w:pStyle w:val="Caption"/>
        <w:rPr>
          <w:rStyle w:val="CommentReference"/>
          <w:b/>
          <w:bCs w:val="0"/>
        </w:rPr>
      </w:pPr>
      <w:bookmarkStart w:id="35" w:name="_Ref165903015"/>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10</w:t>
      </w:r>
      <w:r w:rsidR="002906A9">
        <w:rPr>
          <w:noProof/>
        </w:rPr>
        <w:fldChar w:fldCharType="end"/>
      </w:r>
      <w:bookmarkEnd w:id="35"/>
      <w:r w:rsidRPr="00C61670">
        <w:rPr>
          <w:rStyle w:val="CommentReference"/>
          <w:b/>
          <w:bCs w:val="0"/>
        </w:rPr>
        <w:t xml:space="preserve">: Key components and assumptions of the cost-minimisation </w:t>
      </w:r>
      <w:r w:rsidR="00E62608">
        <w:rPr>
          <w:rStyle w:val="CommentReference"/>
          <w:b/>
          <w:bCs w:val="0"/>
        </w:rPr>
        <w:t>approach</w:t>
      </w:r>
    </w:p>
    <w:tbl>
      <w:tblPr>
        <w:tblStyle w:val="TableGrid"/>
        <w:tblW w:w="5000" w:type="pct"/>
        <w:tblLayout w:type="fixed"/>
        <w:tblLook w:val="04A0" w:firstRow="1" w:lastRow="0" w:firstColumn="1" w:lastColumn="0" w:noHBand="0" w:noVBand="1"/>
        <w:tblCaption w:val="Table 10: Key components and assumptions of the cost-minimisation approach"/>
      </w:tblPr>
      <w:tblGrid>
        <w:gridCol w:w="2123"/>
        <w:gridCol w:w="6894"/>
      </w:tblGrid>
      <w:tr w:rsidR="0007132E" w:rsidRPr="00C61670" w14:paraId="44FF751E" w14:textId="77777777" w:rsidTr="00010D06">
        <w:tc>
          <w:tcPr>
            <w:tcW w:w="1177" w:type="pct"/>
            <w:vAlign w:val="center"/>
          </w:tcPr>
          <w:p w14:paraId="7DBB0676" w14:textId="77777777" w:rsidR="0007132E" w:rsidRPr="00C61670" w:rsidRDefault="0007132E" w:rsidP="00921AD6">
            <w:pPr>
              <w:pStyle w:val="In-tableHeading"/>
              <w:keepLines/>
              <w:rPr>
                <w:lang w:val="en-AU"/>
              </w:rPr>
            </w:pPr>
            <w:bookmarkStart w:id="36" w:name="_Hlk166878498"/>
            <w:r w:rsidRPr="00C61670">
              <w:rPr>
                <w:lang w:val="en-AU"/>
              </w:rPr>
              <w:t>Component</w:t>
            </w:r>
          </w:p>
        </w:tc>
        <w:tc>
          <w:tcPr>
            <w:tcW w:w="3823" w:type="pct"/>
          </w:tcPr>
          <w:p w14:paraId="0AF3C5FF" w14:textId="77777777" w:rsidR="0007132E" w:rsidRPr="00C61670" w:rsidRDefault="0007132E" w:rsidP="00921AD6">
            <w:pPr>
              <w:pStyle w:val="In-tableHeading"/>
              <w:keepLines/>
              <w:rPr>
                <w:lang w:val="en-AU"/>
              </w:rPr>
            </w:pPr>
            <w:r w:rsidRPr="00C61670">
              <w:rPr>
                <w:lang w:val="en-AU"/>
              </w:rPr>
              <w:t>Description</w:t>
            </w:r>
          </w:p>
        </w:tc>
      </w:tr>
      <w:tr w:rsidR="0007132E" w:rsidRPr="00C61670" w14:paraId="14673AF3" w14:textId="77777777" w:rsidTr="00010D06">
        <w:tc>
          <w:tcPr>
            <w:tcW w:w="1177" w:type="pct"/>
            <w:vAlign w:val="center"/>
          </w:tcPr>
          <w:p w14:paraId="173CE38E" w14:textId="77777777" w:rsidR="0007132E" w:rsidRPr="00C61670" w:rsidRDefault="0007132E" w:rsidP="00921AD6">
            <w:pPr>
              <w:pStyle w:val="Tabletext"/>
              <w:keepNext/>
              <w:keepLines/>
            </w:pPr>
            <w:r w:rsidRPr="00C61670">
              <w:t>Therapeutic claim: effectiveness</w:t>
            </w:r>
          </w:p>
        </w:tc>
        <w:tc>
          <w:tcPr>
            <w:tcW w:w="3823" w:type="pct"/>
          </w:tcPr>
          <w:p w14:paraId="15F28865" w14:textId="76CE3A1D" w:rsidR="0007132E" w:rsidRPr="00C61670" w:rsidRDefault="00921AD6" w:rsidP="009340E7">
            <w:pPr>
              <w:pStyle w:val="Tabletext"/>
              <w:keepNext/>
              <w:keepLines/>
              <w:jc w:val="both"/>
              <w:rPr>
                <w:i/>
                <w:iCs/>
              </w:rPr>
            </w:pPr>
            <w:r>
              <w:t>T</w:t>
            </w:r>
            <w:r w:rsidR="0007132E" w:rsidRPr="00C61670">
              <w:t xml:space="preserve">he efficacy of risdiplam was assumed to be non-inferior to nusinersen in pre-symptomatic SMA patients with 3 </w:t>
            </w:r>
            <w:r w:rsidR="0007132E" w:rsidRPr="0081032F">
              <w:rPr>
                <w:i/>
              </w:rPr>
              <w:t>SMN2</w:t>
            </w:r>
            <w:r w:rsidR="0007132E" w:rsidRPr="00C61670">
              <w:t xml:space="preserve"> gene copies. </w:t>
            </w:r>
            <w:r w:rsidR="00435707" w:rsidRPr="00180928">
              <w:t>The ESC considered this was c</w:t>
            </w:r>
            <w:r w:rsidR="0007132E" w:rsidRPr="00180928">
              <w:t xml:space="preserve">linically plausible but supported by </w:t>
            </w:r>
            <w:r w:rsidR="00BA456A" w:rsidRPr="00180928">
              <w:t>limited</w:t>
            </w:r>
            <w:r w:rsidR="0007132E" w:rsidRPr="00180928">
              <w:t xml:space="preserve"> evidence.</w:t>
            </w:r>
          </w:p>
        </w:tc>
      </w:tr>
      <w:tr w:rsidR="0007132E" w:rsidRPr="00C61670" w14:paraId="186291B9" w14:textId="77777777" w:rsidTr="00010D06">
        <w:tc>
          <w:tcPr>
            <w:tcW w:w="1177" w:type="pct"/>
            <w:vAlign w:val="center"/>
          </w:tcPr>
          <w:p w14:paraId="574D2EDA" w14:textId="77777777" w:rsidR="0007132E" w:rsidRPr="00C61670" w:rsidRDefault="0007132E" w:rsidP="00921AD6">
            <w:pPr>
              <w:pStyle w:val="Tabletext"/>
              <w:keepNext/>
              <w:keepLines/>
            </w:pPr>
            <w:r w:rsidRPr="00C61670">
              <w:t>Therapeutic claim: safety</w:t>
            </w:r>
          </w:p>
        </w:tc>
        <w:tc>
          <w:tcPr>
            <w:tcW w:w="3823" w:type="pct"/>
          </w:tcPr>
          <w:p w14:paraId="470B5256" w14:textId="2B8B2465" w:rsidR="0007132E" w:rsidRPr="00C61670" w:rsidRDefault="009340E7" w:rsidP="009340E7">
            <w:pPr>
              <w:pStyle w:val="Tabletext"/>
              <w:keepNext/>
              <w:keepLines/>
              <w:jc w:val="both"/>
              <w:rPr>
                <w:i/>
                <w:iCs/>
              </w:rPr>
            </w:pPr>
            <w:r>
              <w:t>T</w:t>
            </w:r>
            <w:r w:rsidR="0007132E" w:rsidRPr="00C61670">
              <w:t xml:space="preserve">he safety of risdiplam was assumed to be non-inferior to nusinersen in pre-symptomatic SMA patients with 3 </w:t>
            </w:r>
            <w:r w:rsidR="0007132E" w:rsidRPr="00C61670">
              <w:rPr>
                <w:i/>
                <w:iCs/>
              </w:rPr>
              <w:t>SMN2</w:t>
            </w:r>
            <w:r w:rsidR="0007132E" w:rsidRPr="00C61670">
              <w:t xml:space="preserve"> gene copies. </w:t>
            </w:r>
            <w:r w:rsidR="00435707" w:rsidRPr="006749A2">
              <w:t>The evaluation and the ESC considered</w:t>
            </w:r>
            <w:r w:rsidR="00435707">
              <w:t xml:space="preserve"> this was l</w:t>
            </w:r>
            <w:r w:rsidR="0007132E" w:rsidRPr="0081032F">
              <w:rPr>
                <w:iCs/>
              </w:rPr>
              <w:t xml:space="preserve">ikely to be reasonable. </w:t>
            </w:r>
          </w:p>
        </w:tc>
      </w:tr>
      <w:tr w:rsidR="0007132E" w:rsidRPr="00C61670" w14:paraId="7045C3CD" w14:textId="77777777" w:rsidTr="00010D06">
        <w:tc>
          <w:tcPr>
            <w:tcW w:w="1177" w:type="pct"/>
            <w:vAlign w:val="center"/>
          </w:tcPr>
          <w:p w14:paraId="187D2FF0" w14:textId="77777777" w:rsidR="0007132E" w:rsidRPr="00C61670" w:rsidRDefault="0007132E" w:rsidP="00921AD6">
            <w:pPr>
              <w:pStyle w:val="Tabletext"/>
              <w:keepNext/>
              <w:keepLines/>
            </w:pPr>
            <w:r w:rsidRPr="00C61670">
              <w:t>Evidence base</w:t>
            </w:r>
          </w:p>
        </w:tc>
        <w:tc>
          <w:tcPr>
            <w:tcW w:w="3823" w:type="pct"/>
          </w:tcPr>
          <w:p w14:paraId="15A4D9D7" w14:textId="46D65BB5" w:rsidR="0007132E" w:rsidRPr="00C61670" w:rsidRDefault="0007132E" w:rsidP="009340E7">
            <w:pPr>
              <w:pStyle w:val="Tabletext"/>
              <w:keepNext/>
              <w:keepLines/>
              <w:jc w:val="both"/>
            </w:pPr>
            <w:r w:rsidRPr="00C61670">
              <w:t xml:space="preserve">The primary clinical claim for pre-symptomatic SMA patients with 3 </w:t>
            </w:r>
            <w:r w:rsidRPr="00C61670">
              <w:rPr>
                <w:i/>
                <w:iCs/>
              </w:rPr>
              <w:t>SMN2</w:t>
            </w:r>
            <w:r w:rsidRPr="00C61670">
              <w:t xml:space="preserve"> gene copies was supported by the RAINBOWFISH study for risdiplam and the NURTURE study for nusinersen. </w:t>
            </w:r>
            <w:r w:rsidRPr="0081032F">
              <w:rPr>
                <w:iCs/>
              </w:rPr>
              <w:t xml:space="preserve">Unanchored indirect comparisons of subgroup data from these studies were used to inform the claim of non-inferior effectiveness and safety. </w:t>
            </w:r>
          </w:p>
        </w:tc>
      </w:tr>
      <w:tr w:rsidR="0007132E" w:rsidRPr="00C61670" w14:paraId="4AA1BF19" w14:textId="77777777" w:rsidTr="00010D06">
        <w:tc>
          <w:tcPr>
            <w:tcW w:w="1177" w:type="pct"/>
            <w:vAlign w:val="center"/>
          </w:tcPr>
          <w:p w14:paraId="3F75803D" w14:textId="77777777" w:rsidR="0007132E" w:rsidRPr="00C61670" w:rsidRDefault="0007132E" w:rsidP="00921AD6">
            <w:pPr>
              <w:pStyle w:val="Tabletext"/>
              <w:keepNext/>
              <w:keepLines/>
            </w:pPr>
            <w:r w:rsidRPr="00C61670">
              <w:t>Equi-effective doses</w:t>
            </w:r>
          </w:p>
        </w:tc>
        <w:tc>
          <w:tcPr>
            <w:tcW w:w="3823" w:type="pct"/>
          </w:tcPr>
          <w:p w14:paraId="19C58C3D" w14:textId="101A6779" w:rsidR="0007132E" w:rsidRPr="00C61670" w:rsidRDefault="0007132E" w:rsidP="009340E7">
            <w:pPr>
              <w:pStyle w:val="Tabletext"/>
              <w:keepNext/>
              <w:keepLines/>
              <w:jc w:val="both"/>
            </w:pPr>
            <w:r w:rsidRPr="00C61670">
              <w:t xml:space="preserve">The CMA presented in the </w:t>
            </w:r>
            <w:r w:rsidR="0007089E">
              <w:t>submission</w:t>
            </w:r>
            <w:r w:rsidRPr="00C61670">
              <w:t xml:space="preserve"> included a time horizon of 5 years, with calculations incorporating risdiplam dosing dependent on the patient’s age and body weight over time </w:t>
            </w:r>
            <w:r w:rsidR="00B057A5">
              <w:t xml:space="preserve">(from birth) </w:t>
            </w:r>
            <w:r w:rsidRPr="00C61670">
              <w:t>and nusinersen dosing of 12</w:t>
            </w:r>
            <w:r w:rsidR="00C210EA">
              <w:t xml:space="preserve"> </w:t>
            </w:r>
            <w:r w:rsidRPr="00C61670">
              <w:t xml:space="preserve">mg (5 mL) per intrathecal injection administration with 6 administrations in year 1 and 3 administrations from year 2 onwards. </w:t>
            </w:r>
            <w:r w:rsidR="00C70205" w:rsidRPr="0081032F">
              <w:rPr>
                <w:iCs/>
              </w:rPr>
              <w:t xml:space="preserve">This </w:t>
            </w:r>
            <w:r w:rsidR="004E0146" w:rsidRPr="0081032F">
              <w:rPr>
                <w:iCs/>
              </w:rPr>
              <w:t xml:space="preserve">method of </w:t>
            </w:r>
            <w:r w:rsidR="00C70205" w:rsidRPr="0081032F">
              <w:rPr>
                <w:iCs/>
              </w:rPr>
              <w:t>establish</w:t>
            </w:r>
            <w:r w:rsidR="004E0146" w:rsidRPr="0081032F">
              <w:rPr>
                <w:iCs/>
              </w:rPr>
              <w:t>ing</w:t>
            </w:r>
            <w:r w:rsidR="00C70205" w:rsidRPr="0081032F">
              <w:rPr>
                <w:iCs/>
              </w:rPr>
              <w:t xml:space="preserve"> equi-effective doses </w:t>
            </w:r>
            <w:r w:rsidR="00BE0A28" w:rsidRPr="0081032F">
              <w:rPr>
                <w:iCs/>
              </w:rPr>
              <w:t>was inconsistent</w:t>
            </w:r>
            <w:r w:rsidR="00D10176" w:rsidRPr="0081032F">
              <w:rPr>
                <w:iCs/>
              </w:rPr>
              <w:t xml:space="preserve"> with</w:t>
            </w:r>
            <w:r w:rsidR="00C70205" w:rsidRPr="0081032F">
              <w:rPr>
                <w:iCs/>
              </w:rPr>
              <w:t xml:space="preserve"> the PBAC’s recommendation for the March 2023 risdiplam submission </w:t>
            </w:r>
            <w:r w:rsidR="005B1BE8">
              <w:rPr>
                <w:iCs/>
              </w:rPr>
              <w:t>that</w:t>
            </w:r>
            <w:r w:rsidR="005B1BE8" w:rsidRPr="0081032F">
              <w:rPr>
                <w:iCs/>
              </w:rPr>
              <w:t xml:space="preserve"> </w:t>
            </w:r>
            <w:r w:rsidR="00C70205" w:rsidRPr="0081032F">
              <w:rPr>
                <w:iCs/>
              </w:rPr>
              <w:t>was based on equi-effective doses of 5</w:t>
            </w:r>
            <w:r w:rsidR="004C1820" w:rsidRPr="0081032F">
              <w:rPr>
                <w:iCs/>
              </w:rPr>
              <w:t xml:space="preserve"> </w:t>
            </w:r>
            <w:r w:rsidR="00C70205" w:rsidRPr="0081032F">
              <w:rPr>
                <w:iCs/>
              </w:rPr>
              <w:t xml:space="preserve">mg of risdiplam daily and nusinersen 12 mg (5 mL) per administration every four months (three per year, i.e. excluding nusinersen loading doses) consistent </w:t>
            </w:r>
            <w:r w:rsidR="00B057A5">
              <w:rPr>
                <w:iCs/>
              </w:rPr>
              <w:t xml:space="preserve">also </w:t>
            </w:r>
            <w:r w:rsidR="00C70205" w:rsidRPr="0081032F">
              <w:rPr>
                <w:iCs/>
              </w:rPr>
              <w:t>with its previous advice in patients with SMA type 1-3 (paragraph 7.2, risdiplam PSD, March 2023).</w:t>
            </w:r>
          </w:p>
        </w:tc>
      </w:tr>
      <w:tr w:rsidR="0007132E" w:rsidRPr="00C61670" w14:paraId="4BA204CE" w14:textId="77777777" w:rsidTr="00010D06">
        <w:tc>
          <w:tcPr>
            <w:tcW w:w="1177" w:type="pct"/>
            <w:vAlign w:val="center"/>
          </w:tcPr>
          <w:p w14:paraId="3A2D121A" w14:textId="77777777" w:rsidR="0007132E" w:rsidRPr="00C61670" w:rsidRDefault="0007132E" w:rsidP="00921AD6">
            <w:pPr>
              <w:pStyle w:val="Tabletext"/>
              <w:keepNext/>
              <w:keepLines/>
            </w:pPr>
            <w:r w:rsidRPr="00C61670">
              <w:t>Direct medicine costs</w:t>
            </w:r>
          </w:p>
        </w:tc>
        <w:tc>
          <w:tcPr>
            <w:tcW w:w="3823" w:type="pct"/>
          </w:tcPr>
          <w:p w14:paraId="6E1C3820" w14:textId="2EBC22A1" w:rsidR="0007132E" w:rsidRPr="00C61670" w:rsidRDefault="0007132E" w:rsidP="009340E7">
            <w:pPr>
              <w:pStyle w:val="Tabletext"/>
              <w:keepNext/>
              <w:keepLines/>
              <w:jc w:val="both"/>
              <w:rPr>
                <w:i/>
                <w:iCs/>
              </w:rPr>
            </w:pPr>
            <w:r w:rsidRPr="00C61670">
              <w:t xml:space="preserve">The CMA presented in the </w:t>
            </w:r>
            <w:r w:rsidR="0007089E">
              <w:t>submission</w:t>
            </w:r>
            <w:r w:rsidRPr="00C61670">
              <w:t xml:space="preserve"> used</w:t>
            </w:r>
            <w:r w:rsidR="00D35C77">
              <w:t xml:space="preserve"> </w:t>
            </w:r>
            <w:r w:rsidR="00243457">
              <w:t xml:space="preserve">weight-based dosing to determine the direct medicine costs for risdiplam. </w:t>
            </w:r>
            <w:r w:rsidR="00243457" w:rsidRPr="0081032F">
              <w:rPr>
                <w:iCs/>
              </w:rPr>
              <w:t xml:space="preserve">However, the CMA </w:t>
            </w:r>
            <w:r w:rsidR="00F9422F" w:rsidRPr="0081032F">
              <w:rPr>
                <w:iCs/>
              </w:rPr>
              <w:t>incorporated</w:t>
            </w:r>
            <w:r w:rsidR="00243457" w:rsidRPr="0081032F">
              <w:rPr>
                <w:iCs/>
              </w:rPr>
              <w:t xml:space="preserve"> </w:t>
            </w:r>
            <w:r w:rsidR="00D35C77" w:rsidRPr="0081032F">
              <w:rPr>
                <w:iCs/>
              </w:rPr>
              <w:t>the</w:t>
            </w:r>
            <w:r w:rsidRPr="0081032F">
              <w:rPr>
                <w:iCs/>
              </w:rPr>
              <w:t xml:space="preserve"> published </w:t>
            </w:r>
            <w:r w:rsidR="005B1BE8">
              <w:rPr>
                <w:iCs/>
              </w:rPr>
              <w:t>AEMP</w:t>
            </w:r>
            <w:r w:rsidR="005B1BE8" w:rsidRPr="0081032F">
              <w:rPr>
                <w:iCs/>
              </w:rPr>
              <w:t xml:space="preserve"> </w:t>
            </w:r>
            <w:r w:rsidR="00D35C77" w:rsidRPr="0081032F">
              <w:rPr>
                <w:iCs/>
              </w:rPr>
              <w:t xml:space="preserve">for </w:t>
            </w:r>
            <w:r w:rsidRPr="0081032F">
              <w:rPr>
                <w:iCs/>
              </w:rPr>
              <w:t xml:space="preserve">risdiplam </w:t>
            </w:r>
            <w:bookmarkStart w:id="37" w:name="_Hlk166877334"/>
            <w:r w:rsidR="005C36EE" w:rsidRPr="0081032F">
              <w:rPr>
                <w:iCs/>
              </w:rPr>
              <w:t>($10,841.89</w:t>
            </w:r>
            <w:r w:rsidR="00243457" w:rsidRPr="0081032F">
              <w:rPr>
                <w:iCs/>
              </w:rPr>
              <w:t xml:space="preserve"> per 60 mg bottle</w:t>
            </w:r>
            <w:r w:rsidR="005C36EE" w:rsidRPr="0081032F">
              <w:rPr>
                <w:iCs/>
              </w:rPr>
              <w:t>)</w:t>
            </w:r>
            <w:r w:rsidR="00C367F7" w:rsidRPr="0081032F">
              <w:rPr>
                <w:iCs/>
              </w:rPr>
              <w:t>, which was previously determined based on a 5 mg daily dose of risdiplam. Th</w:t>
            </w:r>
            <w:r w:rsidR="004E0146" w:rsidRPr="0081032F">
              <w:rPr>
                <w:iCs/>
              </w:rPr>
              <w:t>e 5 mg</w:t>
            </w:r>
            <w:r w:rsidR="00C367F7" w:rsidRPr="0081032F">
              <w:rPr>
                <w:iCs/>
              </w:rPr>
              <w:t xml:space="preserve"> dose </w:t>
            </w:r>
            <w:r w:rsidR="00FF26EB" w:rsidRPr="0081032F">
              <w:rPr>
                <w:iCs/>
              </w:rPr>
              <w:t xml:space="preserve">was assumed to be </w:t>
            </w:r>
            <w:r w:rsidR="00C367F7" w:rsidRPr="0081032F">
              <w:rPr>
                <w:iCs/>
              </w:rPr>
              <w:t xml:space="preserve">used by patients once they are </w:t>
            </w:r>
            <w:r w:rsidR="00C367F7" w:rsidRPr="0081032F">
              <w:rPr>
                <w:rFonts w:cstheme="minorHAnsi"/>
                <w:iCs/>
              </w:rPr>
              <w:t>≥</w:t>
            </w:r>
            <w:r w:rsidR="00C367F7" w:rsidRPr="0081032F">
              <w:rPr>
                <w:rFonts w:hint="eastAsia"/>
                <w:iCs/>
              </w:rPr>
              <w:t>2 years of age (</w:t>
            </w:r>
            <w:r w:rsidR="003A12B7" w:rsidRPr="0081032F">
              <w:rPr>
                <w:iCs/>
              </w:rPr>
              <w:t xml:space="preserve">and </w:t>
            </w:r>
            <w:r w:rsidR="00C367F7" w:rsidRPr="0081032F">
              <w:rPr>
                <w:rFonts w:cstheme="minorHAnsi"/>
                <w:iCs/>
              </w:rPr>
              <w:t>≥</w:t>
            </w:r>
            <w:r w:rsidR="00C367F7" w:rsidRPr="0081032F">
              <w:rPr>
                <w:rFonts w:hint="eastAsia"/>
                <w:iCs/>
              </w:rPr>
              <w:t>20 kg)</w:t>
            </w:r>
            <w:r w:rsidR="00C367F7" w:rsidRPr="0081032F">
              <w:rPr>
                <w:iCs/>
              </w:rPr>
              <w:t>, from which time the cost per patient per month will remain constant for the remainder of the time a patient is receiving risdiplam.</w:t>
            </w:r>
            <w:r w:rsidR="005C36EE" w:rsidRPr="0081032F">
              <w:rPr>
                <w:iCs/>
              </w:rPr>
              <w:t xml:space="preserve"> </w:t>
            </w:r>
            <w:bookmarkEnd w:id="37"/>
            <w:r w:rsidR="00BE0A28" w:rsidRPr="0081032F">
              <w:rPr>
                <w:iCs/>
              </w:rPr>
              <w:t>Prior to this</w:t>
            </w:r>
            <w:r w:rsidR="005B1BE8">
              <w:rPr>
                <w:iCs/>
              </w:rPr>
              <w:t>,</w:t>
            </w:r>
            <w:r w:rsidR="00BE0A28" w:rsidRPr="0081032F">
              <w:rPr>
                <w:iCs/>
              </w:rPr>
              <w:t xml:space="preserve"> patients use a lower dose of risdiplam. </w:t>
            </w:r>
            <w:r w:rsidRPr="0081032F">
              <w:rPr>
                <w:iCs/>
              </w:rPr>
              <w:t xml:space="preserve">Consequently, </w:t>
            </w:r>
            <w:r w:rsidR="00414707" w:rsidRPr="0081032F">
              <w:rPr>
                <w:iCs/>
              </w:rPr>
              <w:t xml:space="preserve">as </w:t>
            </w:r>
            <w:r w:rsidRPr="0081032F">
              <w:rPr>
                <w:iCs/>
              </w:rPr>
              <w:t>th</w:t>
            </w:r>
            <w:r w:rsidR="00AA4FC1" w:rsidRPr="0081032F">
              <w:rPr>
                <w:iCs/>
              </w:rPr>
              <w:t xml:space="preserve">e published </w:t>
            </w:r>
            <w:r w:rsidR="005B1BE8">
              <w:rPr>
                <w:iCs/>
              </w:rPr>
              <w:t>AEMP</w:t>
            </w:r>
            <w:r w:rsidR="00161B61" w:rsidRPr="0081032F">
              <w:rPr>
                <w:iCs/>
              </w:rPr>
              <w:t xml:space="preserve">, </w:t>
            </w:r>
            <w:r w:rsidRPr="0081032F">
              <w:rPr>
                <w:iCs/>
              </w:rPr>
              <w:t>risdiplam dosing by age/weight and nusinersen dosing including loading doses</w:t>
            </w:r>
            <w:r w:rsidR="00161B61" w:rsidRPr="0081032F">
              <w:rPr>
                <w:iCs/>
              </w:rPr>
              <w:t xml:space="preserve"> were all used</w:t>
            </w:r>
            <w:r w:rsidRPr="0081032F">
              <w:rPr>
                <w:iCs/>
              </w:rPr>
              <w:t xml:space="preserve"> in the CMA presented in the </w:t>
            </w:r>
            <w:r w:rsidR="0007089E" w:rsidRPr="0081032F">
              <w:rPr>
                <w:iCs/>
              </w:rPr>
              <w:t>submission</w:t>
            </w:r>
            <w:r w:rsidRPr="0081032F">
              <w:rPr>
                <w:iCs/>
              </w:rPr>
              <w:t xml:space="preserve">, </w:t>
            </w:r>
            <w:r w:rsidR="00161B61" w:rsidRPr="0081032F">
              <w:rPr>
                <w:iCs/>
              </w:rPr>
              <w:t xml:space="preserve">it resulted in </w:t>
            </w:r>
            <w:r w:rsidRPr="0081032F">
              <w:rPr>
                <w:iCs/>
              </w:rPr>
              <w:t xml:space="preserve">the drug costs per patient </w:t>
            </w:r>
            <w:r w:rsidR="00161B61" w:rsidRPr="0081032F">
              <w:rPr>
                <w:iCs/>
              </w:rPr>
              <w:t xml:space="preserve">being </w:t>
            </w:r>
            <w:r w:rsidRPr="0081032F">
              <w:rPr>
                <w:iCs/>
              </w:rPr>
              <w:t xml:space="preserve">lower for risdiplam than nusinersen. </w:t>
            </w:r>
          </w:p>
        </w:tc>
      </w:tr>
      <w:tr w:rsidR="0007132E" w:rsidRPr="00C61670" w14:paraId="0CEE44B1" w14:textId="77777777" w:rsidTr="00600430">
        <w:trPr>
          <w:trHeight w:val="710"/>
        </w:trPr>
        <w:tc>
          <w:tcPr>
            <w:tcW w:w="1177" w:type="pct"/>
            <w:vAlign w:val="center"/>
          </w:tcPr>
          <w:p w14:paraId="219F434E" w14:textId="77777777" w:rsidR="0007132E" w:rsidRPr="00C61670" w:rsidRDefault="0007132E" w:rsidP="00921AD6">
            <w:pPr>
              <w:pStyle w:val="Tabletext"/>
              <w:keepNext/>
              <w:keepLines/>
            </w:pPr>
            <w:r w:rsidRPr="00C61670">
              <w:t>Other costs or cost offsets</w:t>
            </w:r>
          </w:p>
        </w:tc>
        <w:tc>
          <w:tcPr>
            <w:tcW w:w="3823" w:type="pct"/>
          </w:tcPr>
          <w:p w14:paraId="75E5D376" w14:textId="08AE5725" w:rsidR="0007132E" w:rsidRPr="00C61670" w:rsidRDefault="0007132E" w:rsidP="009340E7">
            <w:pPr>
              <w:pStyle w:val="Tabletext"/>
              <w:keepNext/>
              <w:keepLines/>
              <w:jc w:val="both"/>
              <w:rPr>
                <w:i/>
                <w:iCs/>
              </w:rPr>
            </w:pPr>
            <w:r w:rsidRPr="00C61670">
              <w:t>Intrathecal administration costs associated with nusinersen administration ($435.95 per administration</w:t>
            </w:r>
            <w:r w:rsidR="00F979BF">
              <w:t xml:space="preserve"> based on</w:t>
            </w:r>
            <w:r w:rsidR="0098354F">
              <w:t xml:space="preserve"> the sum of fees for</w:t>
            </w:r>
            <w:r w:rsidR="00F979BF">
              <w:t xml:space="preserve"> MBS items</w:t>
            </w:r>
            <w:r w:rsidRPr="00C61670">
              <w:t xml:space="preserve"> </w:t>
            </w:r>
            <w:r w:rsidR="00F979BF">
              <w:t xml:space="preserve">105, 17610, 21945, 23010 and 18216) </w:t>
            </w:r>
            <w:r w:rsidRPr="00C61670">
              <w:t xml:space="preserve">were included in the </w:t>
            </w:r>
            <w:r w:rsidR="00BA456A">
              <w:t>calculations presented in the submission</w:t>
            </w:r>
            <w:r w:rsidRPr="00C61670">
              <w:t xml:space="preserve">. </w:t>
            </w:r>
            <w:r w:rsidR="00BA456A">
              <w:t>N</w:t>
            </w:r>
            <w:r w:rsidR="00354DC2" w:rsidRPr="0081032F">
              <w:rPr>
                <w:iCs/>
              </w:rPr>
              <w:t xml:space="preserve">usinersen </w:t>
            </w:r>
            <w:r w:rsidR="00261D64" w:rsidRPr="0081032F">
              <w:rPr>
                <w:iCs/>
              </w:rPr>
              <w:t xml:space="preserve">administration costs were </w:t>
            </w:r>
            <w:r w:rsidR="00354DC2" w:rsidRPr="0081032F">
              <w:rPr>
                <w:iCs/>
              </w:rPr>
              <w:t>previously not incorporated into the calculation of the risdiplam cost-minimised price (paragraph 6.66, risdiplam PSD, March 2023 PBAC meeting)</w:t>
            </w:r>
            <w:r w:rsidR="00BA456A" w:rsidRPr="00DD6359">
              <w:rPr>
                <w:iCs/>
              </w:rPr>
              <w:t xml:space="preserve"> and it </w:t>
            </w:r>
            <w:r w:rsidR="00491A73">
              <w:rPr>
                <w:iCs/>
              </w:rPr>
              <w:t>appeared the submission included them to show there would be cost-savings to the MBS associated with the proposed listing</w:t>
            </w:r>
            <w:r w:rsidRPr="00DD6359">
              <w:rPr>
                <w:iCs/>
              </w:rPr>
              <w:t>.</w:t>
            </w:r>
            <w:r w:rsidR="00BA456A" w:rsidRPr="00BA456A">
              <w:rPr>
                <w:i/>
              </w:rPr>
              <w:t xml:space="preserve"> </w:t>
            </w:r>
          </w:p>
        </w:tc>
      </w:tr>
    </w:tbl>
    <w:bookmarkEnd w:id="36"/>
    <w:p w14:paraId="2BCDE04A" w14:textId="744A9439" w:rsidR="0007132E" w:rsidRPr="00C61670" w:rsidRDefault="0007132E" w:rsidP="00921AD6">
      <w:pPr>
        <w:pStyle w:val="TableFooter"/>
        <w:keepNext/>
        <w:keepLines/>
      </w:pPr>
      <w:r w:rsidRPr="00C61670">
        <w:t xml:space="preserve">CMA = cost-minimisation approach; </w:t>
      </w:r>
      <w:r w:rsidR="005B1BE8">
        <w:t>AEMP = approved ex-manufacturer price</w:t>
      </w:r>
      <w:r w:rsidR="00691AA5">
        <w:t xml:space="preserve">; </w:t>
      </w:r>
      <w:r w:rsidRPr="00C61670">
        <w:t xml:space="preserve">SMA = Spinal Muscular Atrophy, SMN =survival motor neuron. </w:t>
      </w:r>
    </w:p>
    <w:p w14:paraId="1422543F" w14:textId="32034740" w:rsidR="0007132E" w:rsidRPr="00C61670" w:rsidRDefault="0007132E" w:rsidP="00921AD6">
      <w:pPr>
        <w:pStyle w:val="TableFooter"/>
        <w:keepNext/>
        <w:keepLines/>
      </w:pPr>
      <w:r w:rsidRPr="00C61670">
        <w:t>Source: Table 3.1</w:t>
      </w:r>
      <w:r w:rsidR="00D8630A">
        <w:t xml:space="preserve"> </w:t>
      </w:r>
      <w:r w:rsidRPr="00C61670">
        <w:t xml:space="preserve">of the </w:t>
      </w:r>
      <w:r w:rsidR="0007089E">
        <w:t>submission</w:t>
      </w:r>
      <w:r w:rsidRPr="00C61670">
        <w:t>.</w:t>
      </w:r>
    </w:p>
    <w:p w14:paraId="0406B4CE" w14:textId="77777777" w:rsidR="0007132E" w:rsidRPr="00C61670" w:rsidRDefault="0007132E" w:rsidP="0007132E">
      <w:pPr>
        <w:pStyle w:val="3-BodyText"/>
        <w:numPr>
          <w:ilvl w:val="0"/>
          <w:numId w:val="0"/>
        </w:numPr>
      </w:pPr>
    </w:p>
    <w:p w14:paraId="1052F3FE" w14:textId="304CE5D7" w:rsidR="0007132E" w:rsidRPr="00C61670" w:rsidRDefault="0007132E" w:rsidP="0007132E">
      <w:pPr>
        <w:pStyle w:val="3-BodyText"/>
      </w:pPr>
      <w:r w:rsidRPr="00C61670">
        <w:t xml:space="preserve">The CMA presented in the </w:t>
      </w:r>
      <w:r w:rsidR="0007089E">
        <w:t>submission</w:t>
      </w:r>
      <w:r w:rsidRPr="00C61670">
        <w:t xml:space="preserve"> incorporated a risdiplam dosing regimen that was dependent on the patient’s age and body weight as per the risdiplam PI. For nusinersen, the CMA assumed that patients received four loading doses in Year 1 followed by one dose every four months.</w:t>
      </w:r>
    </w:p>
    <w:p w14:paraId="2D146D89" w14:textId="3874F46C" w:rsidR="006664A6" w:rsidRPr="006664A6" w:rsidRDefault="0007132E" w:rsidP="0007132E">
      <w:pPr>
        <w:pStyle w:val="3-BodyText"/>
      </w:pPr>
      <w:r w:rsidRPr="00C61670">
        <w:t xml:space="preserve">The </w:t>
      </w:r>
      <w:r w:rsidR="0007089E">
        <w:t>submission</w:t>
      </w:r>
      <w:r w:rsidRPr="00C61670">
        <w:t xml:space="preserve"> used World Health Organisation (WHO) data to estimate the average weight of patients from birth until a body weight of 20</w:t>
      </w:r>
      <w:r w:rsidR="00D35C77">
        <w:t xml:space="preserve"> </w:t>
      </w:r>
      <w:r w:rsidRPr="00C61670">
        <w:t xml:space="preserve">kg is reached. </w:t>
      </w:r>
      <w:r w:rsidR="002D34B7" w:rsidRPr="00C61670">
        <w:t>The CMA assumed that patients began treatment when they were aged one month and continued treatment uninterrupted for the five-year duration of the CMA</w:t>
      </w:r>
      <w:r w:rsidR="002D34B7">
        <w:t>.</w:t>
      </w:r>
      <w:r w:rsidR="002D34B7" w:rsidRPr="00C61670">
        <w:t xml:space="preserve"> Patients were therefore assumed to commence risdiplam treatment at a low dose (0.15 mg/kg </w:t>
      </w:r>
      <w:r w:rsidR="002D34B7" w:rsidRPr="00C61670">
        <w:lastRenderedPageBreak/>
        <w:t>for patients aged under two months of age), with the daily dose increasing over time to finally reach a steady state dose of 5</w:t>
      </w:r>
      <w:r w:rsidR="002D34B7">
        <w:t xml:space="preserve"> </w:t>
      </w:r>
      <w:r w:rsidR="002D34B7" w:rsidRPr="00C61670">
        <w:t>mg when patients were two years of age or over and weighed ≥</w:t>
      </w:r>
      <w:r w:rsidR="002D34B7">
        <w:t xml:space="preserve"> </w:t>
      </w:r>
      <w:r w:rsidR="002D34B7" w:rsidRPr="00C61670">
        <w:t>20kg</w:t>
      </w:r>
      <w:r w:rsidR="002D34B7">
        <w:t>.</w:t>
      </w:r>
      <w:r w:rsidRPr="00C61670">
        <w:t xml:space="preserve"> </w:t>
      </w:r>
      <w:r w:rsidR="001F7765">
        <w:t>T</w:t>
      </w:r>
      <w:r w:rsidRPr="00C61670">
        <w:t>his correlated to the use of 8.9 bottles of risdiplam in Year 1, 13.3 bottles in Year 2, 19.9 bottles in Year 3, 23.2 bottles in Year 4 and 26.4 bottles in Year 5</w:t>
      </w:r>
      <w:r w:rsidR="001F7765">
        <w:t xml:space="preserve"> per patient</w:t>
      </w:r>
      <w:r w:rsidRPr="00C61670">
        <w:t xml:space="preserve">. The CMA calculated that on average a </w:t>
      </w:r>
      <w:r w:rsidR="006E1D0E">
        <w:t>child</w:t>
      </w:r>
      <w:r w:rsidRPr="00C61670">
        <w:t xml:space="preserve"> </w:t>
      </w:r>
      <w:r w:rsidR="006E1D0E">
        <w:t>would be</w:t>
      </w:r>
      <w:r w:rsidR="006E1D0E" w:rsidRPr="00C61670">
        <w:t xml:space="preserve"> </w:t>
      </w:r>
      <w:r w:rsidRPr="00C61670">
        <w:t>expect</w:t>
      </w:r>
      <w:r w:rsidR="006E1D0E">
        <w:t>ed</w:t>
      </w:r>
      <w:r w:rsidRPr="00C61670">
        <w:t xml:space="preserve"> to reach 20 kgs in weight in their 71st month of life (5.95 years). </w:t>
      </w:r>
      <w:r w:rsidRPr="0081032F">
        <w:rPr>
          <w:iCs/>
        </w:rPr>
        <w:t>Therefore</w:t>
      </w:r>
      <w:r w:rsidR="0067193B">
        <w:rPr>
          <w:iCs/>
        </w:rPr>
        <w:t>,</w:t>
      </w:r>
      <w:r w:rsidRPr="0081032F">
        <w:rPr>
          <w:iCs/>
        </w:rPr>
        <w:t xml:space="preserve"> patients did not reach the steady state dose of risdiplam over the five</w:t>
      </w:r>
      <w:r w:rsidR="0067193B">
        <w:rPr>
          <w:iCs/>
        </w:rPr>
        <w:t>-</w:t>
      </w:r>
      <w:r w:rsidRPr="0081032F">
        <w:rPr>
          <w:iCs/>
        </w:rPr>
        <w:t>year duration of the CMA.</w:t>
      </w:r>
      <w:r w:rsidR="00BA456A">
        <w:rPr>
          <w:iCs/>
        </w:rPr>
        <w:t xml:space="preserve"> </w:t>
      </w:r>
    </w:p>
    <w:p w14:paraId="53058CBE" w14:textId="24B7B6CA" w:rsidR="007458BB" w:rsidRPr="0081032F" w:rsidRDefault="00B71BFC" w:rsidP="0007132E">
      <w:pPr>
        <w:pStyle w:val="3-BodyText"/>
        <w:rPr>
          <w:iCs/>
        </w:rPr>
      </w:pPr>
      <w:bookmarkStart w:id="38" w:name="_Hlk166944517"/>
      <w:r w:rsidRPr="00DD6359">
        <w:rPr>
          <w:iCs/>
        </w:rPr>
        <w:t xml:space="preserve">The PSCR noted that the cost minimisation approach in the submission was consistent with the approach proposed in the submission for patients with 1-2 copies SMN2 in March 2023. </w:t>
      </w:r>
      <w:r w:rsidR="007458BB" w:rsidRPr="0081032F">
        <w:rPr>
          <w:iCs/>
        </w:rPr>
        <w:t xml:space="preserve">The </w:t>
      </w:r>
      <w:r w:rsidR="006664A6" w:rsidRPr="0081032F">
        <w:rPr>
          <w:iCs/>
        </w:rPr>
        <w:t xml:space="preserve">PBAC </w:t>
      </w:r>
      <w:r w:rsidR="0067193B">
        <w:rPr>
          <w:iCs/>
        </w:rPr>
        <w:t xml:space="preserve">previously </w:t>
      </w:r>
      <w:r w:rsidR="006664A6" w:rsidRPr="0081032F">
        <w:rPr>
          <w:iCs/>
        </w:rPr>
        <w:t xml:space="preserve">considered that the </w:t>
      </w:r>
      <w:r w:rsidR="007458BB" w:rsidRPr="0081032F">
        <w:rPr>
          <w:iCs/>
        </w:rPr>
        <w:t>equi-effective doses proposed in the March 2023 risdiplam resubmission were inconsistent with, and less conservative than the previous calculations because:</w:t>
      </w:r>
    </w:p>
    <w:p w14:paraId="0A4EBAE1" w14:textId="0BDACE8E" w:rsidR="006664A6" w:rsidRPr="0081032F" w:rsidRDefault="006664A6" w:rsidP="006664A6">
      <w:pPr>
        <w:pStyle w:val="ListParagraph"/>
        <w:rPr>
          <w:iCs/>
        </w:rPr>
      </w:pPr>
      <w:r w:rsidRPr="0081032F">
        <w:rPr>
          <w:iCs/>
        </w:rPr>
        <w:t xml:space="preserve">Loading doses for nusinersen were included in the calculation </w:t>
      </w:r>
      <w:r w:rsidR="007F3352">
        <w:rPr>
          <w:iCs/>
        </w:rPr>
        <w:t>of equi-effective doses</w:t>
      </w:r>
      <w:r w:rsidRPr="0081032F">
        <w:rPr>
          <w:iCs/>
        </w:rPr>
        <w:t xml:space="preserve">. This differed to the CMA in the March 2021 risdiplam PBAC submission </w:t>
      </w:r>
      <w:r w:rsidR="007F3352">
        <w:rPr>
          <w:iCs/>
        </w:rPr>
        <w:t xml:space="preserve">(for Type 1-3a symptomatic SMA) </w:t>
      </w:r>
      <w:r w:rsidRPr="0081032F">
        <w:rPr>
          <w:iCs/>
        </w:rPr>
        <w:t xml:space="preserve">where price parity was requested to nusinersen maintenance dosing only (i.e., three administrations per year over five years). </w:t>
      </w:r>
    </w:p>
    <w:p w14:paraId="6CBAD2BA" w14:textId="68CF1C0E" w:rsidR="006664A6" w:rsidRPr="0081032F" w:rsidRDefault="006664A6" w:rsidP="004E0146">
      <w:pPr>
        <w:pStyle w:val="ListParagraph"/>
        <w:rPr>
          <w:iCs/>
        </w:rPr>
      </w:pPr>
      <w:r w:rsidRPr="0081032F">
        <w:rPr>
          <w:iCs/>
        </w:rPr>
        <w:t xml:space="preserve">For </w:t>
      </w:r>
      <w:r w:rsidR="007F3352">
        <w:rPr>
          <w:iCs/>
        </w:rPr>
        <w:t xml:space="preserve">pre-symptomatic patients with 1-2 copies </w:t>
      </w:r>
      <w:r w:rsidR="007F3352" w:rsidRPr="007F3352">
        <w:rPr>
          <w:i/>
        </w:rPr>
        <w:t>SMN2</w:t>
      </w:r>
      <w:r w:rsidRPr="0081032F">
        <w:rPr>
          <w:iCs/>
        </w:rPr>
        <w:t xml:space="preserve"> the equi-effective dose of risdiplam was based on the patient weight and the dose did not reach the maximum 5 mg daily until the patient was aged 5.95 years. The cost of risdiplam after year 6 (when patients would use the maximum 5 mg daily dose) would be much greater than in years 1-5. This differed to the CMA in the March 2021 risdiplam submission which was based on the maximum daily dose for risdiplam (paragraph 6.60, risdiplam PSD, March 2023)</w:t>
      </w:r>
      <w:r w:rsidR="004E0146" w:rsidRPr="0081032F">
        <w:rPr>
          <w:iCs/>
        </w:rPr>
        <w:t>.</w:t>
      </w:r>
    </w:p>
    <w:p w14:paraId="54DEE08D" w14:textId="197014B1" w:rsidR="00B71BFC" w:rsidRPr="0081032F" w:rsidRDefault="00B71BFC" w:rsidP="00B71BFC">
      <w:pPr>
        <w:pStyle w:val="3-BodyText"/>
        <w:rPr>
          <w:iCs/>
        </w:rPr>
      </w:pPr>
      <w:bookmarkStart w:id="39" w:name="_Ref169776788"/>
      <w:r w:rsidRPr="0081032F">
        <w:rPr>
          <w:iCs/>
        </w:rPr>
        <w:t xml:space="preserve">For the March 2023 risdiplam submission, </w:t>
      </w:r>
      <w:r w:rsidR="00264787">
        <w:rPr>
          <w:iCs/>
        </w:rPr>
        <w:t xml:space="preserve">the PBAC considered the inclusion of loading doses for nusinersen and weight-based dosing for risdiplam were not justified and </w:t>
      </w:r>
      <w:r w:rsidRPr="0081032F">
        <w:rPr>
          <w:iCs/>
        </w:rPr>
        <w:t>the PBAC’s positive recommendation was based on equi-effective doses of 5 mg of risdiplam daily and nusinersen 12 mg (5 mL) per administration every 4 months (3 per year, i.e. excluding nusinersen loading doses) consistent with its previous (March 2021 PBAC meeting) advice in patients with SMA type 1-3 (paragraph 7.2, risdiplam PSD, March 2023).</w:t>
      </w:r>
      <w:bookmarkEnd w:id="39"/>
      <w:r w:rsidRPr="0081032F">
        <w:rPr>
          <w:iCs/>
        </w:rPr>
        <w:t xml:space="preserve"> </w:t>
      </w:r>
    </w:p>
    <w:p w14:paraId="6D9B9948" w14:textId="274CADF8" w:rsidR="00116D14" w:rsidRPr="0081032F" w:rsidRDefault="00264787" w:rsidP="00D4010E">
      <w:pPr>
        <w:pStyle w:val="3-BodyText"/>
        <w:rPr>
          <w:iCs/>
        </w:rPr>
      </w:pPr>
      <w:r w:rsidRPr="00DD6359">
        <w:rPr>
          <w:rFonts w:cstheme="minorHAnsi"/>
          <w:iCs/>
        </w:rPr>
        <w:t>The PSCR noted that the PBAC Guidelines state that the equi-effective dose should be estimated based on the relevant clinical trial data of the proposed population and what is recommended in TGA-approved product information (PBAC Guidelines v5.0, 2016)</w:t>
      </w:r>
      <w:r w:rsidR="00415554" w:rsidRPr="00DD6359">
        <w:rPr>
          <w:rFonts w:cstheme="minorHAnsi"/>
          <w:iCs/>
        </w:rPr>
        <w:t xml:space="preserve">. </w:t>
      </w:r>
      <w:r w:rsidR="00415554" w:rsidRPr="00DD6359">
        <w:rPr>
          <w:iCs/>
        </w:rPr>
        <w:t xml:space="preserve">The PSCR stated that the recommended once daily dose of risdiplam is determined by age and body weight and the method of estimation used reflects the appropriate dose, for the </w:t>
      </w:r>
      <w:proofErr w:type="gramStart"/>
      <w:r w:rsidR="00415554" w:rsidRPr="00DD6359">
        <w:rPr>
          <w:iCs/>
        </w:rPr>
        <w:t>particular age</w:t>
      </w:r>
      <w:proofErr w:type="gramEnd"/>
      <w:r w:rsidR="00415554" w:rsidRPr="00DD6359">
        <w:rPr>
          <w:iCs/>
        </w:rPr>
        <w:t xml:space="preserve"> and weight of the population in the TGA-approved product information and was informed by the relevant clinical trial (RAINBOWFISH)</w:t>
      </w:r>
      <w:r w:rsidRPr="00DD6359">
        <w:rPr>
          <w:rFonts w:cstheme="minorHAnsi"/>
          <w:iCs/>
        </w:rPr>
        <w:t>.</w:t>
      </w:r>
      <w:r w:rsidRPr="00D00618">
        <w:rPr>
          <w:rFonts w:cstheme="minorHAnsi"/>
          <w:iCs/>
        </w:rPr>
        <w:t xml:space="preserve"> </w:t>
      </w:r>
      <w:r w:rsidR="0006359C">
        <w:rPr>
          <w:iCs/>
        </w:rPr>
        <w:t>However, t</w:t>
      </w:r>
      <w:r w:rsidR="0081032F">
        <w:rPr>
          <w:iCs/>
        </w:rPr>
        <w:t xml:space="preserve">he </w:t>
      </w:r>
      <w:r w:rsidR="006664A6" w:rsidRPr="0081032F">
        <w:rPr>
          <w:iCs/>
        </w:rPr>
        <w:t xml:space="preserve">PBAC </w:t>
      </w:r>
      <w:r w:rsidR="005B1BE8">
        <w:rPr>
          <w:iCs/>
        </w:rPr>
        <w:t>G</w:t>
      </w:r>
      <w:r w:rsidR="005B1BE8" w:rsidRPr="0081032F">
        <w:rPr>
          <w:iCs/>
        </w:rPr>
        <w:t xml:space="preserve">uidelines </w:t>
      </w:r>
      <w:r w:rsidR="006664A6" w:rsidRPr="0081032F">
        <w:rPr>
          <w:iCs/>
        </w:rPr>
        <w:t>(</w:t>
      </w:r>
      <w:r w:rsidR="00095CA3" w:rsidRPr="0081032F">
        <w:rPr>
          <w:iCs/>
        </w:rPr>
        <w:t xml:space="preserve">2016 v5.0, </w:t>
      </w:r>
      <w:r w:rsidR="006664A6" w:rsidRPr="0081032F">
        <w:rPr>
          <w:iCs/>
        </w:rPr>
        <w:t xml:space="preserve">Section 3B.2) state, for ongoing medicines, ‘steady state’ dosing (the average dose after titrations are complete) is generally most relevant. Maintenance dosing (i.e., three administrations </w:t>
      </w:r>
      <w:r w:rsidR="006664A6" w:rsidRPr="0081032F">
        <w:rPr>
          <w:iCs/>
        </w:rPr>
        <w:lastRenderedPageBreak/>
        <w:t>per year) may be considered the relevant nusinersen steady state dosing regimen (paragraph 6.61, risdiplam PSD, March 2023).</w:t>
      </w:r>
      <w:bookmarkEnd w:id="38"/>
      <w:r>
        <w:rPr>
          <w:iCs/>
        </w:rPr>
        <w:t xml:space="preserve"> </w:t>
      </w:r>
    </w:p>
    <w:p w14:paraId="79AF8191" w14:textId="68EF641A" w:rsidR="0007132E" w:rsidRDefault="0007132E" w:rsidP="0007132E">
      <w:pPr>
        <w:pStyle w:val="3-BodyText"/>
      </w:pPr>
      <w:r w:rsidRPr="00C61670">
        <w:t xml:space="preserve">The </w:t>
      </w:r>
      <w:r w:rsidR="0007089E">
        <w:t>submission</w:t>
      </w:r>
      <w:r w:rsidRPr="00C61670">
        <w:t xml:space="preserve"> stated that the effective price for nusinersen for pre-symptomatic SMA patients with three gene copies has not yet been disclosed to the sponsor and that the </w:t>
      </w:r>
      <w:r w:rsidR="0007089E">
        <w:t>submission</w:t>
      </w:r>
      <w:r w:rsidRPr="00C61670">
        <w:t xml:space="preserve"> was lodged </w:t>
      </w:r>
      <w:proofErr w:type="gramStart"/>
      <w:r w:rsidRPr="00C61670">
        <w:t>on the basis of</w:t>
      </w:r>
      <w:proofErr w:type="gramEnd"/>
      <w:r w:rsidRPr="00C61670">
        <w:t xml:space="preserve"> an in-principle agreement that the effective price for risdiplam will be no higher than the cost</w:t>
      </w:r>
      <w:r w:rsidRPr="00C61670">
        <w:rPr>
          <w:rFonts w:ascii="Cambria Math" w:hAnsi="Cambria Math" w:cs="Cambria Math"/>
        </w:rPr>
        <w:t>‑</w:t>
      </w:r>
      <w:r w:rsidRPr="00C61670">
        <w:t xml:space="preserve">minimised effective price of nusinersen in this patient population. </w:t>
      </w:r>
    </w:p>
    <w:p w14:paraId="33987663" w14:textId="7730022C" w:rsidR="006C76CE" w:rsidRPr="0081032F" w:rsidRDefault="006C76CE" w:rsidP="0007132E">
      <w:pPr>
        <w:pStyle w:val="3-BodyText"/>
        <w:rPr>
          <w:iCs/>
        </w:rPr>
      </w:pPr>
      <w:bookmarkStart w:id="40" w:name="_Ref169770677"/>
      <w:r w:rsidRPr="0081032F">
        <w:rPr>
          <w:iCs/>
        </w:rPr>
        <w:t xml:space="preserve">While the CMA presented in the </w:t>
      </w:r>
      <w:r w:rsidR="0007089E" w:rsidRPr="0081032F">
        <w:rPr>
          <w:iCs/>
        </w:rPr>
        <w:t>submission</w:t>
      </w:r>
      <w:r w:rsidRPr="0081032F">
        <w:rPr>
          <w:iCs/>
        </w:rPr>
        <w:t xml:space="preserve"> incorporated risdiplam dosing based on the patient’s age/weight and nusinersen dosing including loading doses in year 1, the risdiplam price used in the CMA ($10,841.89) was the current published </w:t>
      </w:r>
      <w:r w:rsidR="005B1BE8">
        <w:rPr>
          <w:iCs/>
        </w:rPr>
        <w:t>AEMP</w:t>
      </w:r>
      <w:r w:rsidR="005B1BE8" w:rsidRPr="0081032F">
        <w:rPr>
          <w:iCs/>
        </w:rPr>
        <w:t xml:space="preserve"> </w:t>
      </w:r>
      <w:r w:rsidRPr="0081032F">
        <w:rPr>
          <w:iCs/>
        </w:rPr>
        <w:t>per 60</w:t>
      </w:r>
      <w:r w:rsidR="007D5F75" w:rsidRPr="0081032F">
        <w:rPr>
          <w:iCs/>
        </w:rPr>
        <w:t xml:space="preserve"> </w:t>
      </w:r>
      <w:r w:rsidRPr="0081032F">
        <w:rPr>
          <w:iCs/>
        </w:rPr>
        <w:t>mg risdiplam bottle, which had previously been determined based on the cost-minimisation of risdiplam and nusinersen drug costs (i.e. equi-effective dose of risdiplam 5</w:t>
      </w:r>
      <w:r w:rsidR="00C210EA" w:rsidRPr="0081032F">
        <w:rPr>
          <w:iCs/>
        </w:rPr>
        <w:t xml:space="preserve"> </w:t>
      </w:r>
      <w:r w:rsidRPr="0081032F">
        <w:rPr>
          <w:iCs/>
        </w:rPr>
        <w:t>mg/day and nusinersen 12</w:t>
      </w:r>
      <w:r w:rsidR="00C210EA" w:rsidRPr="0081032F">
        <w:rPr>
          <w:iCs/>
        </w:rPr>
        <w:t xml:space="preserve"> </w:t>
      </w:r>
      <w:r w:rsidRPr="0081032F">
        <w:rPr>
          <w:iCs/>
        </w:rPr>
        <w:t xml:space="preserve">mg once every 4 months with no loading doses). This resulted in a large cost saving associated with risdiplam compared to nusinersen </w:t>
      </w:r>
      <w:r w:rsidR="007F3352">
        <w:rPr>
          <w:iCs/>
        </w:rPr>
        <w:t xml:space="preserve">as presented </w:t>
      </w:r>
      <w:r w:rsidRPr="0081032F">
        <w:rPr>
          <w:iCs/>
        </w:rPr>
        <w:t xml:space="preserve">in the </w:t>
      </w:r>
      <w:r w:rsidR="007F3352">
        <w:rPr>
          <w:iCs/>
        </w:rPr>
        <w:t>CMA</w:t>
      </w:r>
      <w:r w:rsidR="00C91A15">
        <w:rPr>
          <w:iCs/>
        </w:rPr>
        <w:t>.</w:t>
      </w:r>
      <w:bookmarkEnd w:id="40"/>
    </w:p>
    <w:p w14:paraId="5D0AA2F7" w14:textId="1B9D5FCA" w:rsidR="0007132E" w:rsidRPr="00C61670" w:rsidRDefault="0007132E" w:rsidP="0007132E">
      <w:pPr>
        <w:pStyle w:val="3-BodyText"/>
      </w:pPr>
      <w:r w:rsidRPr="00C61670">
        <w:t xml:space="preserve">The CMA presented in the </w:t>
      </w:r>
      <w:r w:rsidR="0007089E">
        <w:t>submission</w:t>
      </w:r>
      <w:r w:rsidRPr="00C61670">
        <w:t xml:space="preserve"> used risdiplam and nusinersen published drug prices and calculated the number of risdiplam bottles used per patient based on dosing as in the PI. The results of the CMA </w:t>
      </w:r>
      <w:r w:rsidR="00254E26">
        <w:t>as proposed in the submission</w:t>
      </w:r>
      <w:r w:rsidR="00254E26" w:rsidRPr="00C61670">
        <w:t xml:space="preserve"> </w:t>
      </w:r>
      <w:r w:rsidRPr="00C61670">
        <w:t xml:space="preserve">are presented in </w:t>
      </w:r>
      <w:r w:rsidR="00E97591">
        <w:fldChar w:fldCharType="begin" w:fldLock="1"/>
      </w:r>
      <w:r w:rsidR="00E97591">
        <w:instrText xml:space="preserve"> REF _Ref165905686 \h </w:instrText>
      </w:r>
      <w:r w:rsidR="00E97591">
        <w:fldChar w:fldCharType="separate"/>
      </w:r>
      <w:r w:rsidR="00AA25E7" w:rsidRPr="00C61670">
        <w:t xml:space="preserve">Table </w:t>
      </w:r>
      <w:r w:rsidR="00AA25E7">
        <w:rPr>
          <w:noProof/>
        </w:rPr>
        <w:t>11</w:t>
      </w:r>
      <w:r w:rsidR="00E97591">
        <w:fldChar w:fldCharType="end"/>
      </w:r>
      <w:r w:rsidRPr="00C61670">
        <w:t>.</w:t>
      </w:r>
    </w:p>
    <w:p w14:paraId="7C1AD157" w14:textId="6FEA52C2" w:rsidR="0007132E" w:rsidRPr="00C61670" w:rsidRDefault="0007132E" w:rsidP="00A32671">
      <w:pPr>
        <w:pStyle w:val="Caption"/>
        <w:rPr>
          <w:rStyle w:val="CommentReference"/>
          <w:b/>
          <w:bCs w:val="0"/>
        </w:rPr>
      </w:pPr>
      <w:bookmarkStart w:id="41" w:name="_Ref165905686"/>
      <w:r w:rsidRPr="00C61670">
        <w:t xml:space="preserve">Table </w:t>
      </w:r>
      <w:r w:rsidR="002906A9">
        <w:fldChar w:fldCharType="begin" w:fldLock="1"/>
      </w:r>
      <w:r w:rsidR="002906A9">
        <w:instrText xml:space="preserve"> SEQ Table \* ARABIC </w:instrText>
      </w:r>
      <w:r w:rsidR="002906A9">
        <w:fldChar w:fldCharType="separate"/>
      </w:r>
      <w:r w:rsidR="00AA25E7">
        <w:rPr>
          <w:noProof/>
        </w:rPr>
        <w:t>11</w:t>
      </w:r>
      <w:r w:rsidR="002906A9">
        <w:rPr>
          <w:noProof/>
        </w:rPr>
        <w:fldChar w:fldCharType="end"/>
      </w:r>
      <w:bookmarkEnd w:id="41"/>
      <w:r w:rsidRPr="00C61670">
        <w:rPr>
          <w:rStyle w:val="CommentReference"/>
          <w:b/>
          <w:bCs w:val="0"/>
        </w:rPr>
        <w:t>: Results of cost-minimisation a</w:t>
      </w:r>
      <w:r w:rsidR="00D35C77">
        <w:rPr>
          <w:rStyle w:val="CommentReference"/>
          <w:b/>
          <w:bCs w:val="0"/>
        </w:rPr>
        <w:t>pproach</w:t>
      </w:r>
      <w:r w:rsidRPr="00C61670">
        <w:rPr>
          <w:rStyle w:val="CommentReference"/>
          <w:b/>
          <w:bCs w:val="0"/>
        </w:rPr>
        <w:t xml:space="preserve"> risdiplam versus nusinersen (published drug prices)</w:t>
      </w:r>
    </w:p>
    <w:tbl>
      <w:tblPr>
        <w:tblStyle w:val="TableGrid"/>
        <w:tblW w:w="9067" w:type="dxa"/>
        <w:tblLayout w:type="fixed"/>
        <w:tblLook w:val="04A0" w:firstRow="1" w:lastRow="0" w:firstColumn="1" w:lastColumn="0" w:noHBand="0" w:noVBand="1"/>
        <w:tblCaption w:val="Table 11: Results of cost-minimisation approach risdiplam versus nusinersen (published drug prices)"/>
      </w:tblPr>
      <w:tblGrid>
        <w:gridCol w:w="1836"/>
        <w:gridCol w:w="1205"/>
        <w:gridCol w:w="1205"/>
        <w:gridCol w:w="1205"/>
        <w:gridCol w:w="1205"/>
        <w:gridCol w:w="1205"/>
        <w:gridCol w:w="1206"/>
      </w:tblGrid>
      <w:tr w:rsidR="0007132E" w:rsidRPr="00C61670" w14:paraId="45BD60BF" w14:textId="77777777" w:rsidTr="00AA0FE0">
        <w:trPr>
          <w:tblHeader/>
        </w:trPr>
        <w:tc>
          <w:tcPr>
            <w:tcW w:w="1836" w:type="dxa"/>
            <w:vAlign w:val="center"/>
          </w:tcPr>
          <w:p w14:paraId="2BDE0139" w14:textId="77777777" w:rsidR="0007132E" w:rsidRPr="00C61670" w:rsidRDefault="0007132E" w:rsidP="00A32671">
            <w:pPr>
              <w:pStyle w:val="In-tableHeading"/>
              <w:keepLines/>
              <w:rPr>
                <w:lang w:val="en-AU"/>
              </w:rPr>
            </w:pPr>
          </w:p>
        </w:tc>
        <w:tc>
          <w:tcPr>
            <w:tcW w:w="1205" w:type="dxa"/>
            <w:vAlign w:val="center"/>
          </w:tcPr>
          <w:p w14:paraId="7EE1C30B" w14:textId="77777777" w:rsidR="0007132E" w:rsidRPr="00C61670" w:rsidRDefault="0007132E" w:rsidP="00A32671">
            <w:pPr>
              <w:pStyle w:val="In-tableHeading"/>
              <w:keepLines/>
              <w:jc w:val="center"/>
              <w:rPr>
                <w:lang w:val="en-AU"/>
              </w:rPr>
            </w:pPr>
            <w:r w:rsidRPr="00C61670">
              <w:rPr>
                <w:lang w:val="en-AU"/>
              </w:rPr>
              <w:t>Year 1</w:t>
            </w:r>
          </w:p>
        </w:tc>
        <w:tc>
          <w:tcPr>
            <w:tcW w:w="1205" w:type="dxa"/>
            <w:vAlign w:val="center"/>
          </w:tcPr>
          <w:p w14:paraId="360466F2" w14:textId="77777777" w:rsidR="0007132E" w:rsidRPr="00C61670" w:rsidRDefault="0007132E" w:rsidP="00A32671">
            <w:pPr>
              <w:pStyle w:val="In-tableHeading"/>
              <w:keepLines/>
              <w:jc w:val="center"/>
              <w:rPr>
                <w:lang w:val="en-AU"/>
              </w:rPr>
            </w:pPr>
            <w:r w:rsidRPr="00C61670">
              <w:rPr>
                <w:lang w:val="en-AU"/>
              </w:rPr>
              <w:t>Year 2</w:t>
            </w:r>
          </w:p>
        </w:tc>
        <w:tc>
          <w:tcPr>
            <w:tcW w:w="1205" w:type="dxa"/>
            <w:vAlign w:val="center"/>
          </w:tcPr>
          <w:p w14:paraId="61EE25C2" w14:textId="77777777" w:rsidR="0007132E" w:rsidRPr="00C61670" w:rsidRDefault="0007132E" w:rsidP="00A32671">
            <w:pPr>
              <w:pStyle w:val="In-tableHeading"/>
              <w:keepLines/>
              <w:jc w:val="center"/>
              <w:rPr>
                <w:lang w:val="en-AU"/>
              </w:rPr>
            </w:pPr>
            <w:r w:rsidRPr="00C61670">
              <w:rPr>
                <w:lang w:val="en-AU"/>
              </w:rPr>
              <w:t>Year 3</w:t>
            </w:r>
          </w:p>
        </w:tc>
        <w:tc>
          <w:tcPr>
            <w:tcW w:w="1205" w:type="dxa"/>
            <w:vAlign w:val="center"/>
          </w:tcPr>
          <w:p w14:paraId="082B6723" w14:textId="77777777" w:rsidR="0007132E" w:rsidRPr="00C61670" w:rsidRDefault="0007132E" w:rsidP="00A32671">
            <w:pPr>
              <w:pStyle w:val="In-tableHeading"/>
              <w:keepLines/>
              <w:jc w:val="center"/>
              <w:rPr>
                <w:lang w:val="en-AU"/>
              </w:rPr>
            </w:pPr>
            <w:r w:rsidRPr="00C61670">
              <w:rPr>
                <w:lang w:val="en-AU"/>
              </w:rPr>
              <w:t>Year 4</w:t>
            </w:r>
          </w:p>
        </w:tc>
        <w:tc>
          <w:tcPr>
            <w:tcW w:w="1205" w:type="dxa"/>
            <w:vAlign w:val="center"/>
          </w:tcPr>
          <w:p w14:paraId="04204D29" w14:textId="77777777" w:rsidR="0007132E" w:rsidRPr="00C61670" w:rsidRDefault="0007132E" w:rsidP="00A32671">
            <w:pPr>
              <w:pStyle w:val="In-tableHeading"/>
              <w:keepLines/>
              <w:jc w:val="center"/>
              <w:rPr>
                <w:lang w:val="en-AU"/>
              </w:rPr>
            </w:pPr>
            <w:r w:rsidRPr="00C61670">
              <w:rPr>
                <w:lang w:val="en-AU"/>
              </w:rPr>
              <w:t>Year 5</w:t>
            </w:r>
          </w:p>
        </w:tc>
        <w:tc>
          <w:tcPr>
            <w:tcW w:w="1206" w:type="dxa"/>
            <w:vAlign w:val="center"/>
          </w:tcPr>
          <w:p w14:paraId="663CCE25" w14:textId="77777777" w:rsidR="0007132E" w:rsidRPr="00C61670" w:rsidRDefault="0007132E" w:rsidP="00A32671">
            <w:pPr>
              <w:pStyle w:val="In-tableHeading"/>
              <w:keepLines/>
              <w:jc w:val="center"/>
              <w:rPr>
                <w:lang w:val="en-AU"/>
              </w:rPr>
            </w:pPr>
            <w:r w:rsidRPr="00C61670">
              <w:rPr>
                <w:lang w:val="en-AU"/>
              </w:rPr>
              <w:t>5 year total</w:t>
            </w:r>
          </w:p>
        </w:tc>
      </w:tr>
      <w:tr w:rsidR="0007132E" w:rsidRPr="00C61670" w14:paraId="506B11BC" w14:textId="77777777" w:rsidTr="00AA0FE0">
        <w:tc>
          <w:tcPr>
            <w:tcW w:w="9067" w:type="dxa"/>
            <w:gridSpan w:val="7"/>
            <w:shd w:val="clear" w:color="auto" w:fill="auto"/>
            <w:vAlign w:val="center"/>
          </w:tcPr>
          <w:p w14:paraId="0D354A2B" w14:textId="77777777" w:rsidR="0007132E" w:rsidRPr="00C61670" w:rsidRDefault="0007132E" w:rsidP="00A32671">
            <w:pPr>
              <w:pStyle w:val="Tabletext"/>
              <w:keepNext/>
              <w:keepLines/>
              <w:rPr>
                <w:b/>
              </w:rPr>
            </w:pPr>
            <w:r w:rsidRPr="00C61670">
              <w:rPr>
                <w:b/>
              </w:rPr>
              <w:t>Risdiplam costs</w:t>
            </w:r>
          </w:p>
        </w:tc>
      </w:tr>
      <w:tr w:rsidR="0007132E" w:rsidRPr="00C61670" w14:paraId="5ED1792D" w14:textId="77777777" w:rsidTr="00AA0FE0">
        <w:tc>
          <w:tcPr>
            <w:tcW w:w="1836" w:type="dxa"/>
            <w:vAlign w:val="center"/>
          </w:tcPr>
          <w:p w14:paraId="36944964" w14:textId="77777777" w:rsidR="0007132E" w:rsidRPr="00C61670" w:rsidRDefault="0007132E" w:rsidP="00A32671">
            <w:pPr>
              <w:pStyle w:val="Tabletext"/>
              <w:keepNext/>
              <w:keepLines/>
              <w:rPr>
                <w:vertAlign w:val="superscript"/>
              </w:rPr>
            </w:pPr>
            <w:r w:rsidRPr="00C61670">
              <w:t xml:space="preserve">Total bottles </w:t>
            </w:r>
            <w:r w:rsidRPr="00C61670">
              <w:rPr>
                <w:vertAlign w:val="superscript"/>
              </w:rPr>
              <w:t>a</w:t>
            </w:r>
          </w:p>
        </w:tc>
        <w:tc>
          <w:tcPr>
            <w:tcW w:w="1205" w:type="dxa"/>
            <w:vAlign w:val="center"/>
          </w:tcPr>
          <w:p w14:paraId="71D050F9" w14:textId="77777777" w:rsidR="0007132E" w:rsidRPr="00C61670" w:rsidRDefault="0007132E" w:rsidP="00A32671">
            <w:pPr>
              <w:pStyle w:val="Tabletext"/>
              <w:keepNext/>
              <w:keepLines/>
              <w:jc w:val="center"/>
            </w:pPr>
            <w:r w:rsidRPr="00C61670">
              <w:t>8.94</w:t>
            </w:r>
          </w:p>
        </w:tc>
        <w:tc>
          <w:tcPr>
            <w:tcW w:w="1205" w:type="dxa"/>
            <w:vAlign w:val="center"/>
          </w:tcPr>
          <w:p w14:paraId="5FBF63E1" w14:textId="77777777" w:rsidR="0007132E" w:rsidRPr="00C61670" w:rsidRDefault="0007132E" w:rsidP="00A32671">
            <w:pPr>
              <w:pStyle w:val="Tabletext"/>
              <w:keepNext/>
              <w:keepLines/>
              <w:jc w:val="center"/>
            </w:pPr>
            <w:r w:rsidRPr="00C61670">
              <w:t>13.30</w:t>
            </w:r>
          </w:p>
        </w:tc>
        <w:tc>
          <w:tcPr>
            <w:tcW w:w="1205" w:type="dxa"/>
            <w:vAlign w:val="center"/>
          </w:tcPr>
          <w:p w14:paraId="4C679FA8" w14:textId="77777777" w:rsidR="0007132E" w:rsidRPr="00C61670" w:rsidRDefault="0007132E" w:rsidP="00A32671">
            <w:pPr>
              <w:pStyle w:val="Tabletext"/>
              <w:keepNext/>
              <w:keepLines/>
              <w:jc w:val="center"/>
            </w:pPr>
            <w:r w:rsidRPr="00C61670">
              <w:t>19.91</w:t>
            </w:r>
          </w:p>
        </w:tc>
        <w:tc>
          <w:tcPr>
            <w:tcW w:w="1205" w:type="dxa"/>
            <w:vAlign w:val="center"/>
          </w:tcPr>
          <w:p w14:paraId="3E64BF9B" w14:textId="77777777" w:rsidR="0007132E" w:rsidRPr="00C61670" w:rsidRDefault="0007132E" w:rsidP="00A32671">
            <w:pPr>
              <w:pStyle w:val="Tabletext"/>
              <w:keepNext/>
              <w:keepLines/>
              <w:jc w:val="center"/>
            </w:pPr>
            <w:r w:rsidRPr="00C61670">
              <w:t>23.17</w:t>
            </w:r>
          </w:p>
        </w:tc>
        <w:tc>
          <w:tcPr>
            <w:tcW w:w="1205" w:type="dxa"/>
            <w:vAlign w:val="center"/>
          </w:tcPr>
          <w:p w14:paraId="3A177367" w14:textId="77777777" w:rsidR="0007132E" w:rsidRPr="00C61670" w:rsidRDefault="0007132E" w:rsidP="00A32671">
            <w:pPr>
              <w:pStyle w:val="Tabletext"/>
              <w:keepNext/>
              <w:keepLines/>
              <w:jc w:val="center"/>
            </w:pPr>
            <w:r w:rsidRPr="00C61670">
              <w:t>26.37</w:t>
            </w:r>
          </w:p>
        </w:tc>
        <w:tc>
          <w:tcPr>
            <w:tcW w:w="1206" w:type="dxa"/>
            <w:vAlign w:val="center"/>
          </w:tcPr>
          <w:p w14:paraId="30B304F2" w14:textId="77777777" w:rsidR="0007132E" w:rsidRPr="00C61670" w:rsidRDefault="0007132E" w:rsidP="00A32671">
            <w:pPr>
              <w:pStyle w:val="Tabletext"/>
              <w:keepNext/>
              <w:keepLines/>
              <w:jc w:val="center"/>
            </w:pPr>
            <w:r w:rsidRPr="00C61670">
              <w:t> </w:t>
            </w:r>
          </w:p>
        </w:tc>
      </w:tr>
      <w:tr w:rsidR="0007132E" w:rsidRPr="00C61670" w14:paraId="36E4D91E" w14:textId="77777777" w:rsidTr="00AA0FE0">
        <w:tc>
          <w:tcPr>
            <w:tcW w:w="1836" w:type="dxa"/>
            <w:vAlign w:val="center"/>
          </w:tcPr>
          <w:p w14:paraId="25229535" w14:textId="77777777" w:rsidR="0007132E" w:rsidRPr="00C61670" w:rsidRDefault="0007132E" w:rsidP="00A32671">
            <w:pPr>
              <w:pStyle w:val="Tabletext"/>
              <w:keepNext/>
              <w:keepLines/>
            </w:pPr>
            <w:r w:rsidRPr="00C61670">
              <w:t xml:space="preserve">Price per bottle </w:t>
            </w:r>
            <w:r w:rsidRPr="00C61670">
              <w:rPr>
                <w:vertAlign w:val="superscript"/>
              </w:rPr>
              <w:t>b</w:t>
            </w:r>
          </w:p>
        </w:tc>
        <w:tc>
          <w:tcPr>
            <w:tcW w:w="1205" w:type="dxa"/>
            <w:vAlign w:val="center"/>
          </w:tcPr>
          <w:p w14:paraId="3AC2CE46" w14:textId="77777777" w:rsidR="0007132E" w:rsidRPr="00C61670" w:rsidRDefault="0007132E" w:rsidP="00A32671">
            <w:pPr>
              <w:pStyle w:val="Tabletext"/>
              <w:keepNext/>
              <w:keepLines/>
              <w:jc w:val="center"/>
            </w:pPr>
            <w:r w:rsidRPr="00C61670">
              <w:t>$10,841.89</w:t>
            </w:r>
          </w:p>
        </w:tc>
        <w:tc>
          <w:tcPr>
            <w:tcW w:w="1205" w:type="dxa"/>
            <w:vAlign w:val="center"/>
          </w:tcPr>
          <w:p w14:paraId="5E7019DC" w14:textId="77777777" w:rsidR="0007132E" w:rsidRPr="00C61670" w:rsidRDefault="0007132E" w:rsidP="00A32671">
            <w:pPr>
              <w:pStyle w:val="Tabletext"/>
              <w:keepNext/>
              <w:keepLines/>
              <w:jc w:val="center"/>
            </w:pPr>
            <w:r w:rsidRPr="00C61670">
              <w:t>$10,841.89</w:t>
            </w:r>
          </w:p>
        </w:tc>
        <w:tc>
          <w:tcPr>
            <w:tcW w:w="1205" w:type="dxa"/>
            <w:vAlign w:val="center"/>
          </w:tcPr>
          <w:p w14:paraId="0D9D033D" w14:textId="77777777" w:rsidR="0007132E" w:rsidRPr="00C61670" w:rsidRDefault="0007132E" w:rsidP="00A32671">
            <w:pPr>
              <w:pStyle w:val="Tabletext"/>
              <w:keepNext/>
              <w:keepLines/>
              <w:jc w:val="center"/>
            </w:pPr>
            <w:r w:rsidRPr="00C61670">
              <w:t>$10,841.89</w:t>
            </w:r>
          </w:p>
        </w:tc>
        <w:tc>
          <w:tcPr>
            <w:tcW w:w="1205" w:type="dxa"/>
            <w:vAlign w:val="center"/>
          </w:tcPr>
          <w:p w14:paraId="5B91E75E" w14:textId="77777777" w:rsidR="0007132E" w:rsidRPr="00C61670" w:rsidRDefault="0007132E" w:rsidP="00A32671">
            <w:pPr>
              <w:pStyle w:val="Tabletext"/>
              <w:keepNext/>
              <w:keepLines/>
              <w:jc w:val="center"/>
            </w:pPr>
            <w:r w:rsidRPr="00C61670">
              <w:t>$10,841.89</w:t>
            </w:r>
          </w:p>
        </w:tc>
        <w:tc>
          <w:tcPr>
            <w:tcW w:w="1205" w:type="dxa"/>
            <w:vAlign w:val="center"/>
          </w:tcPr>
          <w:p w14:paraId="0765E16F" w14:textId="77777777" w:rsidR="0007132E" w:rsidRPr="00C61670" w:rsidRDefault="0007132E" w:rsidP="00A32671">
            <w:pPr>
              <w:pStyle w:val="Tabletext"/>
              <w:keepNext/>
              <w:keepLines/>
              <w:jc w:val="center"/>
            </w:pPr>
            <w:r w:rsidRPr="00C61670">
              <w:t>$10,841.89</w:t>
            </w:r>
          </w:p>
        </w:tc>
        <w:tc>
          <w:tcPr>
            <w:tcW w:w="1206" w:type="dxa"/>
            <w:vAlign w:val="center"/>
          </w:tcPr>
          <w:p w14:paraId="6A862275" w14:textId="77777777" w:rsidR="0007132E" w:rsidRPr="00C61670" w:rsidRDefault="0007132E" w:rsidP="00A32671">
            <w:pPr>
              <w:pStyle w:val="Tabletext"/>
              <w:keepNext/>
              <w:keepLines/>
              <w:jc w:val="center"/>
            </w:pPr>
            <w:r w:rsidRPr="00C61670">
              <w:t> </w:t>
            </w:r>
          </w:p>
        </w:tc>
      </w:tr>
      <w:tr w:rsidR="0007132E" w:rsidRPr="00C61670" w14:paraId="240C7A6A" w14:textId="77777777" w:rsidTr="00AA0FE0">
        <w:tc>
          <w:tcPr>
            <w:tcW w:w="1836" w:type="dxa"/>
            <w:vAlign w:val="center"/>
          </w:tcPr>
          <w:p w14:paraId="046A1BFC" w14:textId="77777777" w:rsidR="0007132E" w:rsidRPr="00C61670" w:rsidRDefault="0007132E" w:rsidP="00A32671">
            <w:pPr>
              <w:pStyle w:val="Tabletext"/>
              <w:keepNext/>
              <w:keepLines/>
            </w:pPr>
            <w:r w:rsidRPr="00C61670">
              <w:t xml:space="preserve">Drug cost </w:t>
            </w:r>
          </w:p>
        </w:tc>
        <w:tc>
          <w:tcPr>
            <w:tcW w:w="1205" w:type="dxa"/>
            <w:vAlign w:val="center"/>
          </w:tcPr>
          <w:p w14:paraId="75C03BFB" w14:textId="77777777" w:rsidR="0007132E" w:rsidRPr="00C61670" w:rsidRDefault="0007132E" w:rsidP="00A32671">
            <w:pPr>
              <w:pStyle w:val="Tabletext"/>
              <w:keepNext/>
              <w:keepLines/>
              <w:jc w:val="center"/>
              <w:rPr>
                <w:highlight w:val="yellow"/>
              </w:rPr>
            </w:pPr>
            <w:r w:rsidRPr="00C61670">
              <w:t>$96,924</w:t>
            </w:r>
          </w:p>
        </w:tc>
        <w:tc>
          <w:tcPr>
            <w:tcW w:w="1205" w:type="dxa"/>
            <w:vAlign w:val="center"/>
          </w:tcPr>
          <w:p w14:paraId="6AC9F72E" w14:textId="77777777" w:rsidR="0007132E" w:rsidRPr="00C61670" w:rsidRDefault="0007132E" w:rsidP="00A32671">
            <w:pPr>
              <w:pStyle w:val="Tabletext"/>
              <w:keepNext/>
              <w:keepLines/>
              <w:jc w:val="center"/>
              <w:rPr>
                <w:highlight w:val="yellow"/>
              </w:rPr>
            </w:pPr>
            <w:r w:rsidRPr="00C61670">
              <w:t>$144,224</w:t>
            </w:r>
          </w:p>
        </w:tc>
        <w:tc>
          <w:tcPr>
            <w:tcW w:w="1205" w:type="dxa"/>
            <w:vAlign w:val="center"/>
          </w:tcPr>
          <w:p w14:paraId="611C883C" w14:textId="77777777" w:rsidR="0007132E" w:rsidRPr="00C61670" w:rsidRDefault="0007132E" w:rsidP="00A32671">
            <w:pPr>
              <w:pStyle w:val="Tabletext"/>
              <w:keepNext/>
              <w:keepLines/>
              <w:jc w:val="center"/>
              <w:rPr>
                <w:highlight w:val="yellow"/>
              </w:rPr>
            </w:pPr>
            <w:r w:rsidRPr="00C61670">
              <w:t>$215,875</w:t>
            </w:r>
          </w:p>
        </w:tc>
        <w:tc>
          <w:tcPr>
            <w:tcW w:w="1205" w:type="dxa"/>
            <w:vAlign w:val="center"/>
          </w:tcPr>
          <w:p w14:paraId="1EA34EA0" w14:textId="77777777" w:rsidR="0007132E" w:rsidRPr="00C61670" w:rsidRDefault="0007132E" w:rsidP="00A32671">
            <w:pPr>
              <w:pStyle w:val="Tabletext"/>
              <w:keepNext/>
              <w:keepLines/>
              <w:jc w:val="center"/>
              <w:rPr>
                <w:highlight w:val="yellow"/>
              </w:rPr>
            </w:pPr>
            <w:r w:rsidRPr="00C61670">
              <w:t>$251,213</w:t>
            </w:r>
          </w:p>
        </w:tc>
        <w:tc>
          <w:tcPr>
            <w:tcW w:w="1205" w:type="dxa"/>
            <w:vAlign w:val="center"/>
          </w:tcPr>
          <w:p w14:paraId="7A0C0805" w14:textId="77777777" w:rsidR="0007132E" w:rsidRPr="00C61670" w:rsidRDefault="0007132E" w:rsidP="00A32671">
            <w:pPr>
              <w:pStyle w:val="Tabletext"/>
              <w:keepNext/>
              <w:keepLines/>
              <w:jc w:val="center"/>
              <w:rPr>
                <w:highlight w:val="yellow"/>
              </w:rPr>
            </w:pPr>
            <w:r w:rsidRPr="00C61670">
              <w:t>$285,931</w:t>
            </w:r>
          </w:p>
        </w:tc>
        <w:tc>
          <w:tcPr>
            <w:tcW w:w="1206" w:type="dxa"/>
            <w:vAlign w:val="center"/>
          </w:tcPr>
          <w:p w14:paraId="3A9C94FD" w14:textId="77777777" w:rsidR="0007132E" w:rsidRPr="00C61670" w:rsidRDefault="0007132E" w:rsidP="00A32671">
            <w:pPr>
              <w:pStyle w:val="Tabletext"/>
              <w:keepNext/>
              <w:keepLines/>
              <w:jc w:val="center"/>
              <w:rPr>
                <w:highlight w:val="yellow"/>
              </w:rPr>
            </w:pPr>
            <w:r w:rsidRPr="00C61670">
              <w:t>$994,166</w:t>
            </w:r>
          </w:p>
        </w:tc>
      </w:tr>
      <w:tr w:rsidR="0007132E" w:rsidRPr="00C61670" w14:paraId="30EAAC5D" w14:textId="77777777" w:rsidTr="00AA0FE0">
        <w:tc>
          <w:tcPr>
            <w:tcW w:w="1836" w:type="dxa"/>
            <w:tcBorders>
              <w:bottom w:val="single" w:sz="4" w:space="0" w:color="000000" w:themeColor="text1"/>
            </w:tcBorders>
            <w:vAlign w:val="center"/>
          </w:tcPr>
          <w:p w14:paraId="0DC0F972" w14:textId="77777777" w:rsidR="0007132E" w:rsidRPr="00C61670" w:rsidRDefault="0007132E" w:rsidP="00A32671">
            <w:pPr>
              <w:pStyle w:val="Tabletext"/>
              <w:keepNext/>
              <w:keepLines/>
            </w:pPr>
            <w:r w:rsidRPr="00C61670">
              <w:t>Administration cost</w:t>
            </w:r>
          </w:p>
        </w:tc>
        <w:tc>
          <w:tcPr>
            <w:tcW w:w="1205" w:type="dxa"/>
            <w:tcBorders>
              <w:bottom w:val="single" w:sz="4" w:space="0" w:color="000000" w:themeColor="text1"/>
            </w:tcBorders>
            <w:vAlign w:val="center"/>
          </w:tcPr>
          <w:p w14:paraId="3F2E4216" w14:textId="77777777" w:rsidR="0007132E" w:rsidRPr="00C61670" w:rsidRDefault="0007132E" w:rsidP="00A32671">
            <w:pPr>
              <w:pStyle w:val="Tabletext"/>
              <w:keepNext/>
              <w:keepLines/>
              <w:jc w:val="center"/>
              <w:rPr>
                <w:highlight w:val="yellow"/>
              </w:rPr>
            </w:pPr>
            <w:r w:rsidRPr="00C61670">
              <w:t>$0</w:t>
            </w:r>
          </w:p>
        </w:tc>
        <w:tc>
          <w:tcPr>
            <w:tcW w:w="1205" w:type="dxa"/>
            <w:tcBorders>
              <w:bottom w:val="single" w:sz="4" w:space="0" w:color="000000" w:themeColor="text1"/>
            </w:tcBorders>
            <w:vAlign w:val="center"/>
          </w:tcPr>
          <w:p w14:paraId="6CAA1E41" w14:textId="77777777" w:rsidR="0007132E" w:rsidRPr="00C61670" w:rsidRDefault="0007132E" w:rsidP="00A32671">
            <w:pPr>
              <w:pStyle w:val="Tabletext"/>
              <w:keepNext/>
              <w:keepLines/>
              <w:jc w:val="center"/>
              <w:rPr>
                <w:highlight w:val="yellow"/>
              </w:rPr>
            </w:pPr>
            <w:r w:rsidRPr="00C61670">
              <w:t>$0</w:t>
            </w:r>
          </w:p>
        </w:tc>
        <w:tc>
          <w:tcPr>
            <w:tcW w:w="1205" w:type="dxa"/>
            <w:tcBorders>
              <w:bottom w:val="single" w:sz="4" w:space="0" w:color="000000" w:themeColor="text1"/>
            </w:tcBorders>
            <w:vAlign w:val="center"/>
          </w:tcPr>
          <w:p w14:paraId="5557A2C4" w14:textId="77777777" w:rsidR="0007132E" w:rsidRPr="00C61670" w:rsidRDefault="0007132E" w:rsidP="00A32671">
            <w:pPr>
              <w:pStyle w:val="Tabletext"/>
              <w:keepNext/>
              <w:keepLines/>
              <w:jc w:val="center"/>
              <w:rPr>
                <w:highlight w:val="yellow"/>
              </w:rPr>
            </w:pPr>
            <w:r w:rsidRPr="00C61670">
              <w:t>$0</w:t>
            </w:r>
          </w:p>
        </w:tc>
        <w:tc>
          <w:tcPr>
            <w:tcW w:w="1205" w:type="dxa"/>
            <w:tcBorders>
              <w:bottom w:val="single" w:sz="4" w:space="0" w:color="000000" w:themeColor="text1"/>
            </w:tcBorders>
            <w:vAlign w:val="center"/>
          </w:tcPr>
          <w:p w14:paraId="1E0C1C7C" w14:textId="77777777" w:rsidR="0007132E" w:rsidRPr="00C61670" w:rsidRDefault="0007132E" w:rsidP="00A32671">
            <w:pPr>
              <w:pStyle w:val="Tabletext"/>
              <w:keepNext/>
              <w:keepLines/>
              <w:jc w:val="center"/>
              <w:rPr>
                <w:highlight w:val="yellow"/>
              </w:rPr>
            </w:pPr>
            <w:r w:rsidRPr="00C61670">
              <w:t>$0</w:t>
            </w:r>
          </w:p>
        </w:tc>
        <w:tc>
          <w:tcPr>
            <w:tcW w:w="1205" w:type="dxa"/>
            <w:tcBorders>
              <w:bottom w:val="single" w:sz="4" w:space="0" w:color="000000" w:themeColor="text1"/>
            </w:tcBorders>
            <w:vAlign w:val="center"/>
          </w:tcPr>
          <w:p w14:paraId="51AD8E5F" w14:textId="77777777" w:rsidR="0007132E" w:rsidRPr="00C61670" w:rsidRDefault="0007132E" w:rsidP="00A32671">
            <w:pPr>
              <w:pStyle w:val="Tabletext"/>
              <w:keepNext/>
              <w:keepLines/>
              <w:jc w:val="center"/>
              <w:rPr>
                <w:highlight w:val="yellow"/>
              </w:rPr>
            </w:pPr>
            <w:r w:rsidRPr="00C61670">
              <w:t>$0</w:t>
            </w:r>
          </w:p>
        </w:tc>
        <w:tc>
          <w:tcPr>
            <w:tcW w:w="1206" w:type="dxa"/>
            <w:tcBorders>
              <w:bottom w:val="single" w:sz="4" w:space="0" w:color="000000" w:themeColor="text1"/>
            </w:tcBorders>
            <w:vAlign w:val="center"/>
          </w:tcPr>
          <w:p w14:paraId="0A3BBDBD" w14:textId="77777777" w:rsidR="0007132E" w:rsidRPr="00C61670" w:rsidRDefault="0007132E" w:rsidP="00A32671">
            <w:pPr>
              <w:pStyle w:val="Tabletext"/>
              <w:keepNext/>
              <w:keepLines/>
              <w:jc w:val="center"/>
              <w:rPr>
                <w:highlight w:val="yellow"/>
              </w:rPr>
            </w:pPr>
            <w:r w:rsidRPr="00C61670">
              <w:t>$0</w:t>
            </w:r>
          </w:p>
        </w:tc>
      </w:tr>
      <w:tr w:rsidR="0007132E" w:rsidRPr="00C61670" w14:paraId="56C9F228" w14:textId="77777777" w:rsidTr="00AA0FE0">
        <w:tc>
          <w:tcPr>
            <w:tcW w:w="1836" w:type="dxa"/>
            <w:tcBorders>
              <w:bottom w:val="single" w:sz="4" w:space="0" w:color="000000" w:themeColor="text1"/>
            </w:tcBorders>
            <w:vAlign w:val="center"/>
          </w:tcPr>
          <w:p w14:paraId="35E3482C" w14:textId="77777777" w:rsidR="0007132E" w:rsidRPr="00C61670" w:rsidRDefault="0007132E" w:rsidP="00A32671">
            <w:pPr>
              <w:pStyle w:val="Tabletext"/>
              <w:keepNext/>
              <w:keepLines/>
              <w:rPr>
                <w:iCs/>
              </w:rPr>
            </w:pPr>
            <w:r w:rsidRPr="00C61670">
              <w:rPr>
                <w:iCs/>
              </w:rPr>
              <w:t>Total cost per patient</w:t>
            </w:r>
          </w:p>
        </w:tc>
        <w:tc>
          <w:tcPr>
            <w:tcW w:w="1205" w:type="dxa"/>
            <w:tcBorders>
              <w:bottom w:val="single" w:sz="4" w:space="0" w:color="000000" w:themeColor="text1"/>
            </w:tcBorders>
            <w:vAlign w:val="center"/>
          </w:tcPr>
          <w:p w14:paraId="6B549866" w14:textId="77777777" w:rsidR="0007132E" w:rsidRPr="00C61670" w:rsidRDefault="0007132E" w:rsidP="00A32671">
            <w:pPr>
              <w:pStyle w:val="Tabletext"/>
              <w:keepNext/>
              <w:keepLines/>
              <w:jc w:val="center"/>
              <w:rPr>
                <w:iCs/>
                <w:highlight w:val="yellow"/>
              </w:rPr>
            </w:pPr>
            <w:r w:rsidRPr="00C61670">
              <w:rPr>
                <w:iCs/>
              </w:rPr>
              <w:t>$96,924</w:t>
            </w:r>
          </w:p>
        </w:tc>
        <w:tc>
          <w:tcPr>
            <w:tcW w:w="1205" w:type="dxa"/>
            <w:tcBorders>
              <w:bottom w:val="single" w:sz="4" w:space="0" w:color="000000" w:themeColor="text1"/>
            </w:tcBorders>
            <w:vAlign w:val="center"/>
          </w:tcPr>
          <w:p w14:paraId="276767C9" w14:textId="77777777" w:rsidR="0007132E" w:rsidRPr="00C61670" w:rsidRDefault="0007132E" w:rsidP="00A32671">
            <w:pPr>
              <w:pStyle w:val="Tabletext"/>
              <w:keepNext/>
              <w:keepLines/>
              <w:jc w:val="center"/>
              <w:rPr>
                <w:iCs/>
                <w:highlight w:val="yellow"/>
              </w:rPr>
            </w:pPr>
            <w:r w:rsidRPr="00C61670">
              <w:rPr>
                <w:iCs/>
              </w:rPr>
              <w:t>$144,224</w:t>
            </w:r>
          </w:p>
        </w:tc>
        <w:tc>
          <w:tcPr>
            <w:tcW w:w="1205" w:type="dxa"/>
            <w:tcBorders>
              <w:bottom w:val="single" w:sz="4" w:space="0" w:color="000000" w:themeColor="text1"/>
            </w:tcBorders>
            <w:vAlign w:val="center"/>
          </w:tcPr>
          <w:p w14:paraId="45053EB2" w14:textId="77777777" w:rsidR="0007132E" w:rsidRPr="00C61670" w:rsidRDefault="0007132E" w:rsidP="00A32671">
            <w:pPr>
              <w:pStyle w:val="Tabletext"/>
              <w:keepNext/>
              <w:keepLines/>
              <w:jc w:val="center"/>
              <w:rPr>
                <w:iCs/>
                <w:highlight w:val="yellow"/>
              </w:rPr>
            </w:pPr>
            <w:r w:rsidRPr="00C61670">
              <w:rPr>
                <w:iCs/>
              </w:rPr>
              <w:t>$215,875</w:t>
            </w:r>
          </w:p>
        </w:tc>
        <w:tc>
          <w:tcPr>
            <w:tcW w:w="1205" w:type="dxa"/>
            <w:tcBorders>
              <w:bottom w:val="single" w:sz="4" w:space="0" w:color="000000" w:themeColor="text1"/>
            </w:tcBorders>
            <w:vAlign w:val="center"/>
          </w:tcPr>
          <w:p w14:paraId="754300BD" w14:textId="77777777" w:rsidR="0007132E" w:rsidRPr="00C61670" w:rsidRDefault="0007132E" w:rsidP="00A32671">
            <w:pPr>
              <w:pStyle w:val="Tabletext"/>
              <w:keepNext/>
              <w:keepLines/>
              <w:jc w:val="center"/>
              <w:rPr>
                <w:iCs/>
                <w:highlight w:val="yellow"/>
              </w:rPr>
            </w:pPr>
            <w:r w:rsidRPr="00C61670">
              <w:rPr>
                <w:iCs/>
              </w:rPr>
              <w:t>$251,213</w:t>
            </w:r>
          </w:p>
        </w:tc>
        <w:tc>
          <w:tcPr>
            <w:tcW w:w="1205" w:type="dxa"/>
            <w:tcBorders>
              <w:bottom w:val="single" w:sz="4" w:space="0" w:color="000000" w:themeColor="text1"/>
            </w:tcBorders>
            <w:vAlign w:val="center"/>
          </w:tcPr>
          <w:p w14:paraId="268036D7" w14:textId="77777777" w:rsidR="0007132E" w:rsidRPr="00C61670" w:rsidRDefault="0007132E" w:rsidP="00A32671">
            <w:pPr>
              <w:pStyle w:val="Tabletext"/>
              <w:keepNext/>
              <w:keepLines/>
              <w:jc w:val="center"/>
              <w:rPr>
                <w:iCs/>
                <w:highlight w:val="yellow"/>
              </w:rPr>
            </w:pPr>
            <w:r w:rsidRPr="00C61670">
              <w:rPr>
                <w:iCs/>
              </w:rPr>
              <w:t>$285,931</w:t>
            </w:r>
          </w:p>
        </w:tc>
        <w:tc>
          <w:tcPr>
            <w:tcW w:w="1206" w:type="dxa"/>
            <w:tcBorders>
              <w:bottom w:val="single" w:sz="4" w:space="0" w:color="000000" w:themeColor="text1"/>
            </w:tcBorders>
            <w:vAlign w:val="center"/>
          </w:tcPr>
          <w:p w14:paraId="1FC4AA67" w14:textId="77777777" w:rsidR="0007132E" w:rsidRPr="00C61670" w:rsidRDefault="0007132E" w:rsidP="00A32671">
            <w:pPr>
              <w:pStyle w:val="Tabletext"/>
              <w:keepNext/>
              <w:keepLines/>
              <w:jc w:val="center"/>
              <w:rPr>
                <w:iCs/>
                <w:highlight w:val="yellow"/>
              </w:rPr>
            </w:pPr>
            <w:r w:rsidRPr="00C61670">
              <w:rPr>
                <w:iCs/>
              </w:rPr>
              <w:t>$994,166</w:t>
            </w:r>
          </w:p>
        </w:tc>
      </w:tr>
      <w:tr w:rsidR="0007132E" w:rsidRPr="00C61670" w14:paraId="06E08C53" w14:textId="77777777" w:rsidTr="00AA0FE0">
        <w:tc>
          <w:tcPr>
            <w:tcW w:w="9067" w:type="dxa"/>
            <w:gridSpan w:val="7"/>
            <w:shd w:val="clear" w:color="auto" w:fill="auto"/>
            <w:vAlign w:val="center"/>
          </w:tcPr>
          <w:p w14:paraId="1C5BBFFA" w14:textId="77777777" w:rsidR="0007132E" w:rsidRPr="00C61670" w:rsidRDefault="0007132E" w:rsidP="00A32671">
            <w:pPr>
              <w:pStyle w:val="Tabletext"/>
              <w:keepNext/>
              <w:keepLines/>
              <w:rPr>
                <w:b/>
              </w:rPr>
            </w:pPr>
            <w:r w:rsidRPr="00C61670">
              <w:rPr>
                <w:b/>
              </w:rPr>
              <w:t>Nusinersen costs</w:t>
            </w:r>
          </w:p>
        </w:tc>
      </w:tr>
      <w:tr w:rsidR="0007132E" w:rsidRPr="00C61670" w14:paraId="4F3015DA" w14:textId="77777777" w:rsidTr="00AA0FE0">
        <w:tc>
          <w:tcPr>
            <w:tcW w:w="1836" w:type="dxa"/>
            <w:vAlign w:val="center"/>
          </w:tcPr>
          <w:p w14:paraId="6F740FF6" w14:textId="77777777" w:rsidR="0007132E" w:rsidRPr="00C61670" w:rsidRDefault="0007132E" w:rsidP="00A32671">
            <w:pPr>
              <w:pStyle w:val="Tabletext"/>
              <w:keepNext/>
              <w:keepLines/>
            </w:pPr>
            <w:r w:rsidRPr="00C61670">
              <w:t>Total doses</w:t>
            </w:r>
          </w:p>
        </w:tc>
        <w:tc>
          <w:tcPr>
            <w:tcW w:w="1205" w:type="dxa"/>
            <w:vAlign w:val="center"/>
          </w:tcPr>
          <w:p w14:paraId="529538F7" w14:textId="77777777" w:rsidR="0007132E" w:rsidRPr="00C61670" w:rsidRDefault="0007132E" w:rsidP="00A32671">
            <w:pPr>
              <w:pStyle w:val="Tabletext"/>
              <w:keepNext/>
              <w:keepLines/>
              <w:jc w:val="center"/>
            </w:pPr>
            <w:r w:rsidRPr="00C61670">
              <w:t>6</w:t>
            </w:r>
          </w:p>
        </w:tc>
        <w:tc>
          <w:tcPr>
            <w:tcW w:w="1205" w:type="dxa"/>
            <w:vAlign w:val="center"/>
          </w:tcPr>
          <w:p w14:paraId="41B74B73" w14:textId="77777777" w:rsidR="0007132E" w:rsidRPr="00C61670" w:rsidRDefault="0007132E" w:rsidP="00A32671">
            <w:pPr>
              <w:pStyle w:val="Tabletext"/>
              <w:keepNext/>
              <w:keepLines/>
              <w:jc w:val="center"/>
            </w:pPr>
            <w:r w:rsidRPr="00C61670">
              <w:t>3</w:t>
            </w:r>
          </w:p>
        </w:tc>
        <w:tc>
          <w:tcPr>
            <w:tcW w:w="1205" w:type="dxa"/>
            <w:vAlign w:val="center"/>
          </w:tcPr>
          <w:p w14:paraId="2FD64DF3" w14:textId="77777777" w:rsidR="0007132E" w:rsidRPr="00C61670" w:rsidRDefault="0007132E" w:rsidP="00A32671">
            <w:pPr>
              <w:pStyle w:val="Tabletext"/>
              <w:keepNext/>
              <w:keepLines/>
              <w:jc w:val="center"/>
            </w:pPr>
            <w:r w:rsidRPr="00C61670">
              <w:t>3</w:t>
            </w:r>
          </w:p>
        </w:tc>
        <w:tc>
          <w:tcPr>
            <w:tcW w:w="1205" w:type="dxa"/>
            <w:vAlign w:val="center"/>
          </w:tcPr>
          <w:p w14:paraId="4B792E94" w14:textId="77777777" w:rsidR="0007132E" w:rsidRPr="00C61670" w:rsidRDefault="0007132E" w:rsidP="00A32671">
            <w:pPr>
              <w:pStyle w:val="Tabletext"/>
              <w:keepNext/>
              <w:keepLines/>
              <w:jc w:val="center"/>
            </w:pPr>
            <w:r w:rsidRPr="00C61670">
              <w:t>3</w:t>
            </w:r>
          </w:p>
        </w:tc>
        <w:tc>
          <w:tcPr>
            <w:tcW w:w="1205" w:type="dxa"/>
            <w:vAlign w:val="center"/>
          </w:tcPr>
          <w:p w14:paraId="02FCD2AA" w14:textId="77777777" w:rsidR="0007132E" w:rsidRPr="00C61670" w:rsidRDefault="0007132E" w:rsidP="00A32671">
            <w:pPr>
              <w:pStyle w:val="Tabletext"/>
              <w:keepNext/>
              <w:keepLines/>
              <w:jc w:val="center"/>
            </w:pPr>
            <w:r w:rsidRPr="00C61670">
              <w:t>3</w:t>
            </w:r>
          </w:p>
        </w:tc>
        <w:tc>
          <w:tcPr>
            <w:tcW w:w="1206" w:type="dxa"/>
            <w:vAlign w:val="center"/>
          </w:tcPr>
          <w:p w14:paraId="382A70A4" w14:textId="77777777" w:rsidR="0007132E" w:rsidRPr="00C61670" w:rsidRDefault="0007132E" w:rsidP="00A32671">
            <w:pPr>
              <w:pStyle w:val="Tabletext"/>
              <w:keepNext/>
              <w:keepLines/>
              <w:jc w:val="center"/>
            </w:pPr>
            <w:r w:rsidRPr="00C61670">
              <w:t> </w:t>
            </w:r>
          </w:p>
        </w:tc>
      </w:tr>
      <w:tr w:rsidR="0007132E" w:rsidRPr="00C61670" w14:paraId="5D5A88CF" w14:textId="77777777" w:rsidTr="00AA0FE0">
        <w:tc>
          <w:tcPr>
            <w:tcW w:w="1836" w:type="dxa"/>
            <w:vAlign w:val="center"/>
          </w:tcPr>
          <w:p w14:paraId="02C3279D" w14:textId="77777777" w:rsidR="0007132E" w:rsidRPr="00C61670" w:rsidRDefault="0007132E" w:rsidP="00A32671">
            <w:pPr>
              <w:pStyle w:val="Tabletext"/>
              <w:keepNext/>
              <w:keepLines/>
            </w:pPr>
            <w:r w:rsidRPr="00C61670">
              <w:t xml:space="preserve">Price per dose </w:t>
            </w:r>
            <w:r w:rsidRPr="00C61670">
              <w:rPr>
                <w:vertAlign w:val="superscript"/>
              </w:rPr>
              <w:t>b</w:t>
            </w:r>
          </w:p>
        </w:tc>
        <w:tc>
          <w:tcPr>
            <w:tcW w:w="1205" w:type="dxa"/>
            <w:vAlign w:val="center"/>
          </w:tcPr>
          <w:p w14:paraId="13D3563B" w14:textId="77777777" w:rsidR="0007132E" w:rsidRPr="00C61670" w:rsidRDefault="0007132E" w:rsidP="00A32671">
            <w:pPr>
              <w:pStyle w:val="Tabletext"/>
              <w:keepNext/>
              <w:keepLines/>
              <w:jc w:val="center"/>
            </w:pPr>
            <w:r w:rsidRPr="00C61670">
              <w:t>$110,000</w:t>
            </w:r>
          </w:p>
        </w:tc>
        <w:tc>
          <w:tcPr>
            <w:tcW w:w="1205" w:type="dxa"/>
            <w:vAlign w:val="center"/>
          </w:tcPr>
          <w:p w14:paraId="2D9FBEA6" w14:textId="77777777" w:rsidR="0007132E" w:rsidRPr="00C61670" w:rsidRDefault="0007132E" w:rsidP="00A32671">
            <w:pPr>
              <w:pStyle w:val="Tabletext"/>
              <w:keepNext/>
              <w:keepLines/>
              <w:jc w:val="center"/>
            </w:pPr>
            <w:r w:rsidRPr="00C61670">
              <w:t>$110,000</w:t>
            </w:r>
          </w:p>
        </w:tc>
        <w:tc>
          <w:tcPr>
            <w:tcW w:w="1205" w:type="dxa"/>
            <w:vAlign w:val="center"/>
          </w:tcPr>
          <w:p w14:paraId="6461AD09" w14:textId="77777777" w:rsidR="0007132E" w:rsidRPr="00C61670" w:rsidRDefault="0007132E" w:rsidP="00A32671">
            <w:pPr>
              <w:pStyle w:val="Tabletext"/>
              <w:keepNext/>
              <w:keepLines/>
              <w:jc w:val="center"/>
            </w:pPr>
            <w:r w:rsidRPr="00C61670">
              <w:t>$110,000</w:t>
            </w:r>
          </w:p>
        </w:tc>
        <w:tc>
          <w:tcPr>
            <w:tcW w:w="1205" w:type="dxa"/>
            <w:vAlign w:val="center"/>
          </w:tcPr>
          <w:p w14:paraId="12381E18" w14:textId="77777777" w:rsidR="0007132E" w:rsidRPr="00C61670" w:rsidRDefault="0007132E" w:rsidP="00A32671">
            <w:pPr>
              <w:pStyle w:val="Tabletext"/>
              <w:keepNext/>
              <w:keepLines/>
              <w:jc w:val="center"/>
            </w:pPr>
            <w:r w:rsidRPr="00C61670">
              <w:t>$110,000</w:t>
            </w:r>
          </w:p>
        </w:tc>
        <w:tc>
          <w:tcPr>
            <w:tcW w:w="1205" w:type="dxa"/>
            <w:vAlign w:val="center"/>
          </w:tcPr>
          <w:p w14:paraId="0DE740CF" w14:textId="77777777" w:rsidR="0007132E" w:rsidRPr="00C61670" w:rsidRDefault="0007132E" w:rsidP="00A32671">
            <w:pPr>
              <w:pStyle w:val="Tabletext"/>
              <w:keepNext/>
              <w:keepLines/>
              <w:jc w:val="center"/>
            </w:pPr>
            <w:r w:rsidRPr="00C61670">
              <w:t>$110,000</w:t>
            </w:r>
          </w:p>
        </w:tc>
        <w:tc>
          <w:tcPr>
            <w:tcW w:w="1206" w:type="dxa"/>
            <w:vAlign w:val="center"/>
          </w:tcPr>
          <w:p w14:paraId="7BAE009D" w14:textId="77777777" w:rsidR="0007132E" w:rsidRPr="00C61670" w:rsidRDefault="0007132E" w:rsidP="00A32671">
            <w:pPr>
              <w:pStyle w:val="Tabletext"/>
              <w:keepNext/>
              <w:keepLines/>
              <w:jc w:val="center"/>
            </w:pPr>
            <w:r w:rsidRPr="00C61670">
              <w:t> </w:t>
            </w:r>
          </w:p>
        </w:tc>
      </w:tr>
      <w:tr w:rsidR="0007132E" w:rsidRPr="00C61670" w14:paraId="04540981" w14:textId="77777777" w:rsidTr="00AA0FE0">
        <w:tc>
          <w:tcPr>
            <w:tcW w:w="1836" w:type="dxa"/>
            <w:vAlign w:val="center"/>
          </w:tcPr>
          <w:p w14:paraId="753F5E1D" w14:textId="77777777" w:rsidR="0007132E" w:rsidRPr="00C61670" w:rsidRDefault="0007132E" w:rsidP="00A32671">
            <w:pPr>
              <w:pStyle w:val="Tabletext"/>
              <w:keepNext/>
              <w:keepLines/>
            </w:pPr>
            <w:r w:rsidRPr="00C61670">
              <w:t xml:space="preserve">Drug cost </w:t>
            </w:r>
          </w:p>
        </w:tc>
        <w:tc>
          <w:tcPr>
            <w:tcW w:w="1205" w:type="dxa"/>
            <w:vAlign w:val="center"/>
          </w:tcPr>
          <w:p w14:paraId="1B0A747A" w14:textId="77777777" w:rsidR="0007132E" w:rsidRPr="00C61670" w:rsidRDefault="0007132E" w:rsidP="00A32671">
            <w:pPr>
              <w:pStyle w:val="Tabletext"/>
              <w:keepNext/>
              <w:keepLines/>
              <w:jc w:val="center"/>
            </w:pPr>
            <w:r w:rsidRPr="00C61670">
              <w:t>$660,000</w:t>
            </w:r>
          </w:p>
        </w:tc>
        <w:tc>
          <w:tcPr>
            <w:tcW w:w="1205" w:type="dxa"/>
            <w:vAlign w:val="center"/>
          </w:tcPr>
          <w:p w14:paraId="7B231C32" w14:textId="77777777" w:rsidR="0007132E" w:rsidRPr="00C61670" w:rsidRDefault="0007132E" w:rsidP="00A32671">
            <w:pPr>
              <w:pStyle w:val="Tabletext"/>
              <w:keepNext/>
              <w:keepLines/>
              <w:jc w:val="center"/>
              <w:rPr>
                <w:highlight w:val="yellow"/>
              </w:rPr>
            </w:pPr>
            <w:r w:rsidRPr="00C61670">
              <w:t>$330,000</w:t>
            </w:r>
          </w:p>
        </w:tc>
        <w:tc>
          <w:tcPr>
            <w:tcW w:w="1205" w:type="dxa"/>
            <w:vAlign w:val="center"/>
          </w:tcPr>
          <w:p w14:paraId="0CFDACFE" w14:textId="77777777" w:rsidR="0007132E" w:rsidRPr="00C61670" w:rsidRDefault="0007132E" w:rsidP="00A32671">
            <w:pPr>
              <w:pStyle w:val="Tabletext"/>
              <w:keepNext/>
              <w:keepLines/>
              <w:jc w:val="center"/>
              <w:rPr>
                <w:highlight w:val="yellow"/>
              </w:rPr>
            </w:pPr>
            <w:r w:rsidRPr="00C61670">
              <w:t>$330,000</w:t>
            </w:r>
          </w:p>
        </w:tc>
        <w:tc>
          <w:tcPr>
            <w:tcW w:w="1205" w:type="dxa"/>
            <w:vAlign w:val="center"/>
          </w:tcPr>
          <w:p w14:paraId="7AE24571" w14:textId="77777777" w:rsidR="0007132E" w:rsidRPr="00C61670" w:rsidRDefault="0007132E" w:rsidP="00A32671">
            <w:pPr>
              <w:pStyle w:val="Tabletext"/>
              <w:keepNext/>
              <w:keepLines/>
              <w:jc w:val="center"/>
              <w:rPr>
                <w:highlight w:val="yellow"/>
              </w:rPr>
            </w:pPr>
            <w:r w:rsidRPr="00C61670">
              <w:t>$330,000</w:t>
            </w:r>
          </w:p>
        </w:tc>
        <w:tc>
          <w:tcPr>
            <w:tcW w:w="1205" w:type="dxa"/>
            <w:vAlign w:val="center"/>
          </w:tcPr>
          <w:p w14:paraId="558EF098" w14:textId="77777777" w:rsidR="0007132E" w:rsidRPr="00C61670" w:rsidRDefault="0007132E" w:rsidP="00A32671">
            <w:pPr>
              <w:pStyle w:val="Tabletext"/>
              <w:keepNext/>
              <w:keepLines/>
              <w:jc w:val="center"/>
              <w:rPr>
                <w:highlight w:val="yellow"/>
              </w:rPr>
            </w:pPr>
            <w:r w:rsidRPr="00C61670">
              <w:t>$330,000</w:t>
            </w:r>
          </w:p>
        </w:tc>
        <w:tc>
          <w:tcPr>
            <w:tcW w:w="1206" w:type="dxa"/>
            <w:vAlign w:val="center"/>
          </w:tcPr>
          <w:p w14:paraId="67B0CA76" w14:textId="77777777" w:rsidR="0007132E" w:rsidRPr="00C61670" w:rsidRDefault="0007132E" w:rsidP="00A32671">
            <w:pPr>
              <w:pStyle w:val="Tabletext"/>
              <w:keepNext/>
              <w:keepLines/>
              <w:jc w:val="center"/>
              <w:rPr>
                <w:highlight w:val="yellow"/>
              </w:rPr>
            </w:pPr>
            <w:r w:rsidRPr="00C61670">
              <w:t>$1,980,000</w:t>
            </w:r>
          </w:p>
        </w:tc>
      </w:tr>
      <w:tr w:rsidR="0007132E" w:rsidRPr="00C61670" w14:paraId="15EC072B" w14:textId="77777777" w:rsidTr="00AA0FE0">
        <w:tc>
          <w:tcPr>
            <w:tcW w:w="1836" w:type="dxa"/>
            <w:vAlign w:val="center"/>
          </w:tcPr>
          <w:p w14:paraId="26FD5E46" w14:textId="77777777" w:rsidR="0007132E" w:rsidRPr="00C61670" w:rsidRDefault="0007132E" w:rsidP="00A32671">
            <w:pPr>
              <w:pStyle w:val="Tabletext"/>
              <w:keepNext/>
              <w:keepLines/>
            </w:pPr>
            <w:r w:rsidRPr="00C61670">
              <w:t>Administration cost</w:t>
            </w:r>
          </w:p>
        </w:tc>
        <w:tc>
          <w:tcPr>
            <w:tcW w:w="1205" w:type="dxa"/>
            <w:vAlign w:val="center"/>
          </w:tcPr>
          <w:p w14:paraId="6116770C" w14:textId="77777777" w:rsidR="0007132E" w:rsidRPr="00C61670" w:rsidRDefault="0007132E" w:rsidP="00A32671">
            <w:pPr>
              <w:pStyle w:val="Tabletext"/>
              <w:keepNext/>
              <w:keepLines/>
              <w:jc w:val="center"/>
            </w:pPr>
            <w:r w:rsidRPr="00C61670">
              <w:t>$2,616</w:t>
            </w:r>
          </w:p>
        </w:tc>
        <w:tc>
          <w:tcPr>
            <w:tcW w:w="1205" w:type="dxa"/>
            <w:vAlign w:val="center"/>
          </w:tcPr>
          <w:p w14:paraId="35E1FC79" w14:textId="77777777" w:rsidR="0007132E" w:rsidRPr="00C61670" w:rsidRDefault="0007132E" w:rsidP="00A32671">
            <w:pPr>
              <w:pStyle w:val="Tabletext"/>
              <w:keepNext/>
              <w:keepLines/>
              <w:jc w:val="center"/>
              <w:rPr>
                <w:highlight w:val="yellow"/>
              </w:rPr>
            </w:pPr>
            <w:r w:rsidRPr="00C61670">
              <w:t>$1,308</w:t>
            </w:r>
          </w:p>
        </w:tc>
        <w:tc>
          <w:tcPr>
            <w:tcW w:w="1205" w:type="dxa"/>
            <w:vAlign w:val="center"/>
          </w:tcPr>
          <w:p w14:paraId="399F8420" w14:textId="77777777" w:rsidR="0007132E" w:rsidRPr="00C61670" w:rsidRDefault="0007132E" w:rsidP="00A32671">
            <w:pPr>
              <w:pStyle w:val="Tabletext"/>
              <w:keepNext/>
              <w:keepLines/>
              <w:jc w:val="center"/>
              <w:rPr>
                <w:highlight w:val="yellow"/>
              </w:rPr>
            </w:pPr>
            <w:r w:rsidRPr="00C61670">
              <w:t>$1,308</w:t>
            </w:r>
          </w:p>
        </w:tc>
        <w:tc>
          <w:tcPr>
            <w:tcW w:w="1205" w:type="dxa"/>
            <w:vAlign w:val="center"/>
          </w:tcPr>
          <w:p w14:paraId="379C951E" w14:textId="77777777" w:rsidR="0007132E" w:rsidRPr="00C61670" w:rsidRDefault="0007132E" w:rsidP="00A32671">
            <w:pPr>
              <w:pStyle w:val="Tabletext"/>
              <w:keepNext/>
              <w:keepLines/>
              <w:jc w:val="center"/>
              <w:rPr>
                <w:highlight w:val="yellow"/>
              </w:rPr>
            </w:pPr>
            <w:r w:rsidRPr="00C61670">
              <w:t>$1,308</w:t>
            </w:r>
          </w:p>
        </w:tc>
        <w:tc>
          <w:tcPr>
            <w:tcW w:w="1205" w:type="dxa"/>
            <w:vAlign w:val="center"/>
          </w:tcPr>
          <w:p w14:paraId="0D118368" w14:textId="77777777" w:rsidR="0007132E" w:rsidRPr="00C61670" w:rsidRDefault="0007132E" w:rsidP="00A32671">
            <w:pPr>
              <w:pStyle w:val="Tabletext"/>
              <w:keepNext/>
              <w:keepLines/>
              <w:jc w:val="center"/>
              <w:rPr>
                <w:highlight w:val="yellow"/>
              </w:rPr>
            </w:pPr>
            <w:r w:rsidRPr="00C61670">
              <w:t>$1,308</w:t>
            </w:r>
          </w:p>
        </w:tc>
        <w:tc>
          <w:tcPr>
            <w:tcW w:w="1206" w:type="dxa"/>
            <w:vAlign w:val="center"/>
          </w:tcPr>
          <w:p w14:paraId="73EAE8A5" w14:textId="77777777" w:rsidR="0007132E" w:rsidRPr="00C61670" w:rsidRDefault="0007132E" w:rsidP="00A32671">
            <w:pPr>
              <w:pStyle w:val="Tabletext"/>
              <w:keepNext/>
              <w:keepLines/>
              <w:jc w:val="center"/>
              <w:rPr>
                <w:highlight w:val="yellow"/>
              </w:rPr>
            </w:pPr>
            <w:r w:rsidRPr="00C61670">
              <w:t>$7,847</w:t>
            </w:r>
          </w:p>
        </w:tc>
      </w:tr>
      <w:tr w:rsidR="0007132E" w:rsidRPr="00C61670" w14:paraId="1034AB5E" w14:textId="77777777" w:rsidTr="00AA0FE0">
        <w:tc>
          <w:tcPr>
            <w:tcW w:w="1836" w:type="dxa"/>
            <w:tcBorders>
              <w:bottom w:val="single" w:sz="4" w:space="0" w:color="000000" w:themeColor="text1"/>
            </w:tcBorders>
            <w:vAlign w:val="center"/>
          </w:tcPr>
          <w:p w14:paraId="1ADBAE9A" w14:textId="77777777" w:rsidR="0007132E" w:rsidRPr="00C61670" w:rsidRDefault="0007132E" w:rsidP="00A32671">
            <w:pPr>
              <w:pStyle w:val="Tabletext"/>
              <w:keepNext/>
              <w:keepLines/>
              <w:rPr>
                <w:iCs/>
              </w:rPr>
            </w:pPr>
            <w:r w:rsidRPr="00C61670">
              <w:rPr>
                <w:iCs/>
              </w:rPr>
              <w:t>Total cost per patient</w:t>
            </w:r>
          </w:p>
        </w:tc>
        <w:tc>
          <w:tcPr>
            <w:tcW w:w="1205" w:type="dxa"/>
            <w:tcBorders>
              <w:bottom w:val="single" w:sz="4" w:space="0" w:color="000000" w:themeColor="text1"/>
            </w:tcBorders>
            <w:vAlign w:val="center"/>
          </w:tcPr>
          <w:p w14:paraId="78C60356" w14:textId="77777777" w:rsidR="0007132E" w:rsidRPr="00C61670" w:rsidRDefault="0007132E" w:rsidP="00A32671">
            <w:pPr>
              <w:pStyle w:val="Tabletext"/>
              <w:keepNext/>
              <w:keepLines/>
              <w:jc w:val="center"/>
              <w:rPr>
                <w:i/>
              </w:rPr>
            </w:pPr>
            <w:r w:rsidRPr="00C61670">
              <w:t>$662,616</w:t>
            </w:r>
          </w:p>
        </w:tc>
        <w:tc>
          <w:tcPr>
            <w:tcW w:w="1205" w:type="dxa"/>
            <w:tcBorders>
              <w:bottom w:val="single" w:sz="4" w:space="0" w:color="000000" w:themeColor="text1"/>
            </w:tcBorders>
            <w:vAlign w:val="center"/>
          </w:tcPr>
          <w:p w14:paraId="5F7AFFB0" w14:textId="77777777" w:rsidR="0007132E" w:rsidRPr="00C61670" w:rsidRDefault="0007132E" w:rsidP="00A32671">
            <w:pPr>
              <w:pStyle w:val="Tabletext"/>
              <w:keepNext/>
              <w:keepLines/>
              <w:jc w:val="center"/>
              <w:rPr>
                <w:i/>
                <w:highlight w:val="yellow"/>
              </w:rPr>
            </w:pPr>
            <w:r w:rsidRPr="00C61670">
              <w:t>$331,308</w:t>
            </w:r>
          </w:p>
        </w:tc>
        <w:tc>
          <w:tcPr>
            <w:tcW w:w="1205" w:type="dxa"/>
            <w:tcBorders>
              <w:bottom w:val="single" w:sz="4" w:space="0" w:color="000000" w:themeColor="text1"/>
            </w:tcBorders>
            <w:vAlign w:val="center"/>
          </w:tcPr>
          <w:p w14:paraId="0CAFF01D" w14:textId="77777777" w:rsidR="0007132E" w:rsidRPr="00C61670" w:rsidRDefault="0007132E" w:rsidP="00A32671">
            <w:pPr>
              <w:pStyle w:val="Tabletext"/>
              <w:keepNext/>
              <w:keepLines/>
              <w:jc w:val="center"/>
              <w:rPr>
                <w:i/>
                <w:highlight w:val="yellow"/>
              </w:rPr>
            </w:pPr>
            <w:r w:rsidRPr="00C61670">
              <w:t>$331,308</w:t>
            </w:r>
          </w:p>
        </w:tc>
        <w:tc>
          <w:tcPr>
            <w:tcW w:w="1205" w:type="dxa"/>
            <w:tcBorders>
              <w:bottom w:val="single" w:sz="4" w:space="0" w:color="000000" w:themeColor="text1"/>
            </w:tcBorders>
            <w:vAlign w:val="center"/>
          </w:tcPr>
          <w:p w14:paraId="549B2E99" w14:textId="77777777" w:rsidR="0007132E" w:rsidRPr="00C61670" w:rsidRDefault="0007132E" w:rsidP="00A32671">
            <w:pPr>
              <w:pStyle w:val="Tabletext"/>
              <w:keepNext/>
              <w:keepLines/>
              <w:jc w:val="center"/>
              <w:rPr>
                <w:i/>
                <w:highlight w:val="yellow"/>
              </w:rPr>
            </w:pPr>
            <w:r w:rsidRPr="00C61670">
              <w:t>$331,308</w:t>
            </w:r>
          </w:p>
        </w:tc>
        <w:tc>
          <w:tcPr>
            <w:tcW w:w="1205" w:type="dxa"/>
            <w:tcBorders>
              <w:bottom w:val="single" w:sz="4" w:space="0" w:color="000000" w:themeColor="text1"/>
            </w:tcBorders>
            <w:vAlign w:val="center"/>
          </w:tcPr>
          <w:p w14:paraId="605787E9" w14:textId="77777777" w:rsidR="0007132E" w:rsidRPr="00C61670" w:rsidRDefault="0007132E" w:rsidP="00A32671">
            <w:pPr>
              <w:pStyle w:val="Tabletext"/>
              <w:keepNext/>
              <w:keepLines/>
              <w:jc w:val="center"/>
              <w:rPr>
                <w:i/>
                <w:highlight w:val="yellow"/>
              </w:rPr>
            </w:pPr>
            <w:r w:rsidRPr="00C61670">
              <w:t>$331,308</w:t>
            </w:r>
          </w:p>
        </w:tc>
        <w:tc>
          <w:tcPr>
            <w:tcW w:w="1206" w:type="dxa"/>
            <w:tcBorders>
              <w:bottom w:val="single" w:sz="4" w:space="0" w:color="000000" w:themeColor="text1"/>
            </w:tcBorders>
            <w:vAlign w:val="center"/>
          </w:tcPr>
          <w:p w14:paraId="1905D7CE" w14:textId="77777777" w:rsidR="0007132E" w:rsidRPr="00C61670" w:rsidRDefault="0007132E" w:rsidP="00A32671">
            <w:pPr>
              <w:pStyle w:val="Tabletext"/>
              <w:keepNext/>
              <w:keepLines/>
              <w:jc w:val="center"/>
              <w:rPr>
                <w:i/>
                <w:highlight w:val="yellow"/>
              </w:rPr>
            </w:pPr>
            <w:r w:rsidRPr="00C61670">
              <w:t>$1,987,847</w:t>
            </w:r>
          </w:p>
        </w:tc>
      </w:tr>
      <w:tr w:rsidR="0007132E" w:rsidRPr="00C61670" w14:paraId="1EADEF88" w14:textId="77777777" w:rsidTr="00AA0FE0">
        <w:tc>
          <w:tcPr>
            <w:tcW w:w="9067" w:type="dxa"/>
            <w:gridSpan w:val="7"/>
            <w:shd w:val="clear" w:color="auto" w:fill="auto"/>
            <w:vAlign w:val="center"/>
          </w:tcPr>
          <w:p w14:paraId="4F9EEB19" w14:textId="77777777" w:rsidR="0007132E" w:rsidRPr="00C61670" w:rsidRDefault="0007132E" w:rsidP="00A32671">
            <w:pPr>
              <w:pStyle w:val="Tabletext"/>
              <w:keepNext/>
              <w:keepLines/>
              <w:rPr>
                <w:b/>
              </w:rPr>
            </w:pPr>
            <w:r w:rsidRPr="00C61670">
              <w:rPr>
                <w:b/>
              </w:rPr>
              <w:t>Incremental cost (risdiplam - nusinersen)</w:t>
            </w:r>
          </w:p>
        </w:tc>
      </w:tr>
      <w:tr w:rsidR="0007132E" w:rsidRPr="00C61670" w14:paraId="1F0A467E" w14:textId="77777777" w:rsidTr="00AA0FE0">
        <w:tc>
          <w:tcPr>
            <w:tcW w:w="1836" w:type="dxa"/>
            <w:vAlign w:val="center"/>
          </w:tcPr>
          <w:p w14:paraId="11CAF8E5" w14:textId="77777777" w:rsidR="0007132E" w:rsidRPr="00C61670" w:rsidRDefault="0007132E" w:rsidP="00A32671">
            <w:pPr>
              <w:pStyle w:val="Tabletext"/>
              <w:keepNext/>
              <w:keepLines/>
            </w:pPr>
            <w:r w:rsidRPr="00C61670">
              <w:t>Incremental drug cost</w:t>
            </w:r>
          </w:p>
        </w:tc>
        <w:tc>
          <w:tcPr>
            <w:tcW w:w="1205" w:type="dxa"/>
            <w:vAlign w:val="center"/>
          </w:tcPr>
          <w:p w14:paraId="32BB1D6B" w14:textId="77777777" w:rsidR="0007132E" w:rsidRPr="00C61670" w:rsidRDefault="0007132E" w:rsidP="00A32671">
            <w:pPr>
              <w:pStyle w:val="Tabletext"/>
              <w:keepNext/>
              <w:keepLines/>
              <w:jc w:val="center"/>
            </w:pPr>
            <w:r w:rsidRPr="00C61670">
              <w:t>-$563,076</w:t>
            </w:r>
          </w:p>
        </w:tc>
        <w:tc>
          <w:tcPr>
            <w:tcW w:w="1205" w:type="dxa"/>
            <w:vAlign w:val="center"/>
          </w:tcPr>
          <w:p w14:paraId="4F645C80" w14:textId="77777777" w:rsidR="0007132E" w:rsidRPr="00C61670" w:rsidRDefault="0007132E" w:rsidP="00A32671">
            <w:pPr>
              <w:pStyle w:val="Tabletext"/>
              <w:keepNext/>
              <w:keepLines/>
              <w:jc w:val="center"/>
            </w:pPr>
            <w:r w:rsidRPr="00C61670">
              <w:t>-$185,776</w:t>
            </w:r>
          </w:p>
        </w:tc>
        <w:tc>
          <w:tcPr>
            <w:tcW w:w="1205" w:type="dxa"/>
            <w:vAlign w:val="center"/>
          </w:tcPr>
          <w:p w14:paraId="583D710B" w14:textId="77777777" w:rsidR="0007132E" w:rsidRPr="00C61670" w:rsidRDefault="0007132E" w:rsidP="00A32671">
            <w:pPr>
              <w:pStyle w:val="Tabletext"/>
              <w:keepNext/>
              <w:keepLines/>
              <w:jc w:val="center"/>
            </w:pPr>
            <w:r w:rsidRPr="00C61670">
              <w:t>-$114,125</w:t>
            </w:r>
          </w:p>
        </w:tc>
        <w:tc>
          <w:tcPr>
            <w:tcW w:w="1205" w:type="dxa"/>
            <w:vAlign w:val="center"/>
          </w:tcPr>
          <w:p w14:paraId="482684F8" w14:textId="77777777" w:rsidR="0007132E" w:rsidRPr="00C61670" w:rsidRDefault="0007132E" w:rsidP="00A32671">
            <w:pPr>
              <w:pStyle w:val="Tabletext"/>
              <w:keepNext/>
              <w:keepLines/>
              <w:jc w:val="center"/>
            </w:pPr>
            <w:r w:rsidRPr="00C61670">
              <w:t>-$78,787</w:t>
            </w:r>
          </w:p>
        </w:tc>
        <w:tc>
          <w:tcPr>
            <w:tcW w:w="1205" w:type="dxa"/>
            <w:vAlign w:val="center"/>
          </w:tcPr>
          <w:p w14:paraId="08C7ECFF" w14:textId="77777777" w:rsidR="0007132E" w:rsidRPr="00C61670" w:rsidRDefault="0007132E" w:rsidP="00A32671">
            <w:pPr>
              <w:pStyle w:val="Tabletext"/>
              <w:keepNext/>
              <w:keepLines/>
              <w:jc w:val="center"/>
            </w:pPr>
            <w:r w:rsidRPr="00C61670">
              <w:t>-$44,069</w:t>
            </w:r>
          </w:p>
        </w:tc>
        <w:tc>
          <w:tcPr>
            <w:tcW w:w="1206" w:type="dxa"/>
            <w:vAlign w:val="center"/>
          </w:tcPr>
          <w:p w14:paraId="78DBB060" w14:textId="77777777" w:rsidR="0007132E" w:rsidRPr="00C61670" w:rsidRDefault="0007132E" w:rsidP="00A32671">
            <w:pPr>
              <w:pStyle w:val="Tabletext"/>
              <w:keepNext/>
              <w:keepLines/>
              <w:jc w:val="center"/>
            </w:pPr>
            <w:r w:rsidRPr="00C61670">
              <w:t>-$985,834</w:t>
            </w:r>
          </w:p>
        </w:tc>
      </w:tr>
      <w:tr w:rsidR="0007132E" w:rsidRPr="00C61670" w14:paraId="45AEC2E4" w14:textId="77777777" w:rsidTr="00AA0FE0">
        <w:tc>
          <w:tcPr>
            <w:tcW w:w="1836" w:type="dxa"/>
            <w:vAlign w:val="center"/>
          </w:tcPr>
          <w:p w14:paraId="683F0DBD" w14:textId="77777777" w:rsidR="0007132E" w:rsidRPr="00C61670" w:rsidRDefault="0007132E" w:rsidP="00A32671">
            <w:pPr>
              <w:pStyle w:val="Tabletext"/>
              <w:keepNext/>
              <w:keepLines/>
            </w:pPr>
            <w:r w:rsidRPr="00C61670">
              <w:t>Incremental administration cost</w:t>
            </w:r>
          </w:p>
        </w:tc>
        <w:tc>
          <w:tcPr>
            <w:tcW w:w="1205" w:type="dxa"/>
            <w:vAlign w:val="center"/>
          </w:tcPr>
          <w:p w14:paraId="55FEEDD1" w14:textId="77777777" w:rsidR="0007132E" w:rsidRPr="00C61670" w:rsidRDefault="0007132E" w:rsidP="00A32671">
            <w:pPr>
              <w:pStyle w:val="Tabletext"/>
              <w:keepNext/>
              <w:keepLines/>
              <w:jc w:val="center"/>
              <w:rPr>
                <w:highlight w:val="yellow"/>
              </w:rPr>
            </w:pPr>
            <w:r w:rsidRPr="00C61670">
              <w:t>-$2,616</w:t>
            </w:r>
          </w:p>
        </w:tc>
        <w:tc>
          <w:tcPr>
            <w:tcW w:w="1205" w:type="dxa"/>
            <w:vAlign w:val="center"/>
          </w:tcPr>
          <w:p w14:paraId="2FF642D1" w14:textId="77777777" w:rsidR="0007132E" w:rsidRPr="00C61670" w:rsidRDefault="0007132E" w:rsidP="00A32671">
            <w:pPr>
              <w:pStyle w:val="Tabletext"/>
              <w:keepNext/>
              <w:keepLines/>
              <w:jc w:val="center"/>
              <w:rPr>
                <w:highlight w:val="yellow"/>
              </w:rPr>
            </w:pPr>
            <w:r w:rsidRPr="00C61670">
              <w:t>-$1,308</w:t>
            </w:r>
          </w:p>
        </w:tc>
        <w:tc>
          <w:tcPr>
            <w:tcW w:w="1205" w:type="dxa"/>
            <w:vAlign w:val="center"/>
          </w:tcPr>
          <w:p w14:paraId="156E283E" w14:textId="77777777" w:rsidR="0007132E" w:rsidRPr="00C61670" w:rsidRDefault="0007132E" w:rsidP="00A32671">
            <w:pPr>
              <w:pStyle w:val="Tabletext"/>
              <w:keepNext/>
              <w:keepLines/>
              <w:jc w:val="center"/>
              <w:rPr>
                <w:highlight w:val="yellow"/>
              </w:rPr>
            </w:pPr>
            <w:r w:rsidRPr="00C61670">
              <w:t>-$1,308</w:t>
            </w:r>
          </w:p>
        </w:tc>
        <w:tc>
          <w:tcPr>
            <w:tcW w:w="1205" w:type="dxa"/>
            <w:vAlign w:val="center"/>
          </w:tcPr>
          <w:p w14:paraId="3E0A7D9C" w14:textId="77777777" w:rsidR="0007132E" w:rsidRPr="00C61670" w:rsidRDefault="0007132E" w:rsidP="00A32671">
            <w:pPr>
              <w:pStyle w:val="Tabletext"/>
              <w:keepNext/>
              <w:keepLines/>
              <w:jc w:val="center"/>
              <w:rPr>
                <w:highlight w:val="yellow"/>
              </w:rPr>
            </w:pPr>
            <w:r w:rsidRPr="00C61670">
              <w:t>-$1,308</w:t>
            </w:r>
          </w:p>
        </w:tc>
        <w:tc>
          <w:tcPr>
            <w:tcW w:w="1205" w:type="dxa"/>
            <w:vAlign w:val="center"/>
          </w:tcPr>
          <w:p w14:paraId="33818E28" w14:textId="77777777" w:rsidR="0007132E" w:rsidRPr="00C61670" w:rsidRDefault="0007132E" w:rsidP="00A32671">
            <w:pPr>
              <w:pStyle w:val="Tabletext"/>
              <w:keepNext/>
              <w:keepLines/>
              <w:jc w:val="center"/>
              <w:rPr>
                <w:highlight w:val="yellow"/>
              </w:rPr>
            </w:pPr>
            <w:r w:rsidRPr="00C61670">
              <w:t>-$1,308</w:t>
            </w:r>
          </w:p>
        </w:tc>
        <w:tc>
          <w:tcPr>
            <w:tcW w:w="1206" w:type="dxa"/>
            <w:vAlign w:val="center"/>
          </w:tcPr>
          <w:p w14:paraId="0C376F1F" w14:textId="77777777" w:rsidR="0007132E" w:rsidRPr="00C61670" w:rsidRDefault="0007132E" w:rsidP="00A32671">
            <w:pPr>
              <w:pStyle w:val="Tabletext"/>
              <w:keepNext/>
              <w:keepLines/>
              <w:jc w:val="center"/>
              <w:rPr>
                <w:highlight w:val="yellow"/>
              </w:rPr>
            </w:pPr>
            <w:r w:rsidRPr="00C61670">
              <w:t>-$7,847</w:t>
            </w:r>
          </w:p>
        </w:tc>
      </w:tr>
      <w:tr w:rsidR="0007132E" w:rsidRPr="00C61670" w14:paraId="28437530" w14:textId="77777777" w:rsidTr="00AA0FE0">
        <w:tc>
          <w:tcPr>
            <w:tcW w:w="1836" w:type="dxa"/>
            <w:vAlign w:val="center"/>
          </w:tcPr>
          <w:p w14:paraId="5C777B5E" w14:textId="77777777" w:rsidR="0007132E" w:rsidRPr="00C61670" w:rsidRDefault="0007132E" w:rsidP="00A32671">
            <w:pPr>
              <w:pStyle w:val="Tabletext"/>
              <w:keepNext/>
              <w:keepLines/>
              <w:rPr>
                <w:b/>
                <w:iCs/>
              </w:rPr>
            </w:pPr>
            <w:r w:rsidRPr="00C61670">
              <w:rPr>
                <w:b/>
                <w:iCs/>
              </w:rPr>
              <w:t>Total incremental cost</w:t>
            </w:r>
          </w:p>
        </w:tc>
        <w:tc>
          <w:tcPr>
            <w:tcW w:w="1205" w:type="dxa"/>
            <w:vAlign w:val="center"/>
          </w:tcPr>
          <w:p w14:paraId="6EC4BD7B" w14:textId="77777777" w:rsidR="0007132E" w:rsidRPr="00C61670" w:rsidRDefault="0007132E" w:rsidP="00A32671">
            <w:pPr>
              <w:pStyle w:val="Tabletext"/>
              <w:keepNext/>
              <w:keepLines/>
              <w:jc w:val="center"/>
              <w:rPr>
                <w:b/>
                <w:i/>
                <w:highlight w:val="yellow"/>
              </w:rPr>
            </w:pPr>
            <w:r w:rsidRPr="00C61670">
              <w:t>-$565,692</w:t>
            </w:r>
          </w:p>
        </w:tc>
        <w:tc>
          <w:tcPr>
            <w:tcW w:w="1205" w:type="dxa"/>
            <w:vAlign w:val="center"/>
          </w:tcPr>
          <w:p w14:paraId="0CA60CF3" w14:textId="77777777" w:rsidR="0007132E" w:rsidRPr="00C61670" w:rsidRDefault="0007132E" w:rsidP="00A32671">
            <w:pPr>
              <w:pStyle w:val="Tabletext"/>
              <w:keepNext/>
              <w:keepLines/>
              <w:jc w:val="center"/>
              <w:rPr>
                <w:b/>
                <w:i/>
                <w:highlight w:val="yellow"/>
              </w:rPr>
            </w:pPr>
            <w:r w:rsidRPr="00C61670">
              <w:t>-$187,084</w:t>
            </w:r>
          </w:p>
        </w:tc>
        <w:tc>
          <w:tcPr>
            <w:tcW w:w="1205" w:type="dxa"/>
            <w:vAlign w:val="center"/>
          </w:tcPr>
          <w:p w14:paraId="594B8418" w14:textId="77777777" w:rsidR="0007132E" w:rsidRPr="00C61670" w:rsidRDefault="0007132E" w:rsidP="00A32671">
            <w:pPr>
              <w:pStyle w:val="Tabletext"/>
              <w:keepNext/>
              <w:keepLines/>
              <w:jc w:val="center"/>
              <w:rPr>
                <w:b/>
                <w:i/>
                <w:highlight w:val="yellow"/>
              </w:rPr>
            </w:pPr>
            <w:r w:rsidRPr="00C61670">
              <w:t>-$115,433</w:t>
            </w:r>
          </w:p>
        </w:tc>
        <w:tc>
          <w:tcPr>
            <w:tcW w:w="1205" w:type="dxa"/>
            <w:vAlign w:val="center"/>
          </w:tcPr>
          <w:p w14:paraId="411760F0" w14:textId="77777777" w:rsidR="0007132E" w:rsidRPr="00C61670" w:rsidRDefault="0007132E" w:rsidP="00A32671">
            <w:pPr>
              <w:pStyle w:val="Tabletext"/>
              <w:keepNext/>
              <w:keepLines/>
              <w:jc w:val="center"/>
              <w:rPr>
                <w:b/>
                <w:i/>
                <w:highlight w:val="yellow"/>
              </w:rPr>
            </w:pPr>
            <w:r w:rsidRPr="00C61670">
              <w:t>-$80,095</w:t>
            </w:r>
          </w:p>
        </w:tc>
        <w:tc>
          <w:tcPr>
            <w:tcW w:w="1205" w:type="dxa"/>
            <w:vAlign w:val="center"/>
          </w:tcPr>
          <w:p w14:paraId="38EEB752" w14:textId="77777777" w:rsidR="0007132E" w:rsidRPr="00C61670" w:rsidRDefault="0007132E" w:rsidP="00A32671">
            <w:pPr>
              <w:pStyle w:val="Tabletext"/>
              <w:keepNext/>
              <w:keepLines/>
              <w:jc w:val="center"/>
              <w:rPr>
                <w:b/>
                <w:i/>
                <w:highlight w:val="yellow"/>
              </w:rPr>
            </w:pPr>
            <w:r w:rsidRPr="00C61670">
              <w:t>-$45,377</w:t>
            </w:r>
          </w:p>
        </w:tc>
        <w:tc>
          <w:tcPr>
            <w:tcW w:w="1206" w:type="dxa"/>
            <w:vAlign w:val="center"/>
          </w:tcPr>
          <w:p w14:paraId="38FBA05A" w14:textId="77777777" w:rsidR="0007132E" w:rsidRPr="00C61670" w:rsidRDefault="0007132E" w:rsidP="00A32671">
            <w:pPr>
              <w:pStyle w:val="Tabletext"/>
              <w:keepNext/>
              <w:keepLines/>
              <w:jc w:val="center"/>
              <w:rPr>
                <w:b/>
                <w:i/>
                <w:highlight w:val="yellow"/>
              </w:rPr>
            </w:pPr>
            <w:r w:rsidRPr="00C61670">
              <w:t>-$993,681</w:t>
            </w:r>
          </w:p>
        </w:tc>
      </w:tr>
    </w:tbl>
    <w:p w14:paraId="3EF379C5" w14:textId="2BA05E1D" w:rsidR="0007132E" w:rsidRPr="00C61670" w:rsidRDefault="0007132E" w:rsidP="00A32671">
      <w:pPr>
        <w:pStyle w:val="TableFooter"/>
        <w:keepNext/>
        <w:keepLines/>
      </w:pPr>
      <w:r w:rsidRPr="00C61670">
        <w:rPr>
          <w:vertAlign w:val="superscript"/>
        </w:rPr>
        <w:t>a</w:t>
      </w:r>
      <w:r w:rsidRPr="00C61670">
        <w:t xml:space="preserve"> Risdiplam dosing based on the patient’s age and body weight as per the Product Information. For a patient weighing 20</w:t>
      </w:r>
      <w:r w:rsidR="00E62608">
        <w:t xml:space="preserve"> </w:t>
      </w:r>
      <w:r w:rsidRPr="00C61670">
        <w:t xml:space="preserve">kg, the number of bottles per year would be 30.44. </w:t>
      </w:r>
    </w:p>
    <w:p w14:paraId="1D935169" w14:textId="33EF36B5" w:rsidR="0007132E" w:rsidRPr="00C61670" w:rsidRDefault="0007132E" w:rsidP="00A32671">
      <w:pPr>
        <w:pStyle w:val="TableFooter"/>
        <w:keepNext/>
        <w:keepLines/>
      </w:pPr>
      <w:r w:rsidRPr="00C61670">
        <w:rPr>
          <w:vertAlign w:val="superscript"/>
        </w:rPr>
        <w:t>b</w:t>
      </w:r>
      <w:r w:rsidRPr="00C61670">
        <w:t xml:space="preserve"> Published ex-manufacturer prices at the time of the </w:t>
      </w:r>
      <w:r w:rsidR="0007089E">
        <w:t>submission</w:t>
      </w:r>
      <w:r w:rsidRPr="00C61670">
        <w:t xml:space="preserve">, The nusinersen published ex-manufacturer price </w:t>
      </w:r>
      <w:r w:rsidR="007A4A79">
        <w:t>at the time of the evaluation was</w:t>
      </w:r>
      <w:r w:rsidRPr="00C61670">
        <w:t xml:space="preserve"> $104,500 (effective 1 May 2024).</w:t>
      </w:r>
    </w:p>
    <w:p w14:paraId="1A6A0EE8" w14:textId="1D2AB39E" w:rsidR="0007132E" w:rsidRPr="00C61670" w:rsidRDefault="0007132E" w:rsidP="007161C6">
      <w:pPr>
        <w:pStyle w:val="TableFooter"/>
        <w:keepNext/>
        <w:keepLines/>
        <w:spacing w:after="120"/>
      </w:pPr>
      <w:r w:rsidRPr="00C61670">
        <w:t xml:space="preserve">Source: Tables 3.3, 3.5 and 3.6of the </w:t>
      </w:r>
      <w:r w:rsidR="0007089E">
        <w:t>submission</w:t>
      </w:r>
    </w:p>
    <w:p w14:paraId="71CA9985" w14:textId="5CF313C7" w:rsidR="0007132E" w:rsidRPr="00C91A15" w:rsidRDefault="001B7473" w:rsidP="00D35389">
      <w:pPr>
        <w:pStyle w:val="3-BodyText"/>
        <w:rPr>
          <w:iCs/>
        </w:rPr>
      </w:pPr>
      <w:bookmarkStart w:id="42" w:name="_Ref169776748"/>
      <w:r w:rsidRPr="00C91A15">
        <w:rPr>
          <w:iCs/>
        </w:rPr>
        <w:t xml:space="preserve">The </w:t>
      </w:r>
      <w:r w:rsidR="0067193B" w:rsidRPr="00C91A15">
        <w:rPr>
          <w:iCs/>
        </w:rPr>
        <w:t xml:space="preserve">evaluation </w:t>
      </w:r>
      <w:r w:rsidRPr="00C91A15">
        <w:rPr>
          <w:iCs/>
        </w:rPr>
        <w:t>considered that the CMA should be based on</w:t>
      </w:r>
      <w:r w:rsidRPr="00C91A15">
        <w:rPr>
          <w:i/>
        </w:rPr>
        <w:t xml:space="preserve"> </w:t>
      </w:r>
      <w:r w:rsidR="0007132E" w:rsidRPr="00C91A15">
        <w:rPr>
          <w:iCs/>
        </w:rPr>
        <w:t xml:space="preserve">both the dosing and </w:t>
      </w:r>
      <w:r w:rsidR="003A12B7" w:rsidRPr="00C91A15">
        <w:rPr>
          <w:iCs/>
        </w:rPr>
        <w:t xml:space="preserve">cost </w:t>
      </w:r>
      <w:r w:rsidR="0007132E" w:rsidRPr="00C91A15">
        <w:rPr>
          <w:iCs/>
        </w:rPr>
        <w:t>of risdiplam and nusinersen based on their steady state doses (i.e. using risdiplam 5</w:t>
      </w:r>
      <w:r w:rsidR="00C210EA" w:rsidRPr="00C91A15">
        <w:rPr>
          <w:iCs/>
        </w:rPr>
        <w:t xml:space="preserve"> </w:t>
      </w:r>
      <w:r w:rsidR="0007132E" w:rsidRPr="00C91A15">
        <w:rPr>
          <w:iCs/>
        </w:rPr>
        <w:lastRenderedPageBreak/>
        <w:t>mg/day and excluding nusinersen loading doses).</w:t>
      </w:r>
      <w:bookmarkEnd w:id="42"/>
      <w:r w:rsidR="0007132E" w:rsidRPr="00C91A15">
        <w:rPr>
          <w:iCs/>
        </w:rPr>
        <w:t xml:space="preserve"> </w:t>
      </w:r>
      <w:bookmarkStart w:id="43" w:name="_Ref169770883"/>
      <w:r w:rsidRPr="00C91A15">
        <w:rPr>
          <w:iCs/>
        </w:rPr>
        <w:t xml:space="preserve">The ESC </w:t>
      </w:r>
      <w:r w:rsidR="0067193B" w:rsidRPr="00C91A15">
        <w:rPr>
          <w:iCs/>
        </w:rPr>
        <w:t xml:space="preserve">agreed with the evaluation that the CMA should be based on </w:t>
      </w:r>
      <w:r w:rsidR="00991CB7" w:rsidRPr="00C91A15">
        <w:rPr>
          <w:iCs/>
        </w:rPr>
        <w:t>both the dosing and cost of nusinersen based on their steady state doses (paragraph</w:t>
      </w:r>
      <w:r w:rsidR="00415554" w:rsidRPr="00C91A15">
        <w:rPr>
          <w:iCs/>
        </w:rPr>
        <w:t xml:space="preserve"> </w:t>
      </w:r>
      <w:r w:rsidR="00415554" w:rsidRPr="00C91A15">
        <w:rPr>
          <w:iCs/>
        </w:rPr>
        <w:fldChar w:fldCharType="begin" w:fldLock="1"/>
      </w:r>
      <w:r w:rsidR="00415554" w:rsidRPr="00C91A15">
        <w:rPr>
          <w:iCs/>
        </w:rPr>
        <w:instrText xml:space="preserve"> REF _Ref169776788 \r \h </w:instrText>
      </w:r>
      <w:r w:rsidR="00DD6359" w:rsidRPr="00C91A15">
        <w:rPr>
          <w:iCs/>
        </w:rPr>
        <w:instrText xml:space="preserve"> \* MERGEFORMAT </w:instrText>
      </w:r>
      <w:r w:rsidR="00415554" w:rsidRPr="00C91A15">
        <w:rPr>
          <w:iCs/>
        </w:rPr>
      </w:r>
      <w:r w:rsidR="00415554" w:rsidRPr="00C91A15">
        <w:rPr>
          <w:iCs/>
        </w:rPr>
        <w:fldChar w:fldCharType="separate"/>
      </w:r>
      <w:r w:rsidR="00415554" w:rsidRPr="00C91A15">
        <w:rPr>
          <w:iCs/>
        </w:rPr>
        <w:t>6.33</w:t>
      </w:r>
      <w:r w:rsidR="00415554" w:rsidRPr="00C91A15">
        <w:rPr>
          <w:iCs/>
        </w:rPr>
        <w:fldChar w:fldCharType="end"/>
      </w:r>
      <w:r w:rsidR="00991CB7" w:rsidRPr="00C91A15">
        <w:rPr>
          <w:iCs/>
        </w:rPr>
        <w:t xml:space="preserve">) and </w:t>
      </w:r>
      <w:r w:rsidRPr="00C91A15">
        <w:rPr>
          <w:iCs/>
        </w:rPr>
        <w:t>noted that the evaluation undertook a sensitivity analysis based on these parameters</w:t>
      </w:r>
      <w:r w:rsidR="00991CB7" w:rsidRPr="00C91A15">
        <w:rPr>
          <w:iCs/>
        </w:rPr>
        <w:t>. The ESC further noted</w:t>
      </w:r>
      <w:r w:rsidR="00991CB7" w:rsidRPr="00C91A15">
        <w:rPr>
          <w:i/>
        </w:rPr>
        <w:t xml:space="preserve"> </w:t>
      </w:r>
      <w:r w:rsidRPr="00C91A15">
        <w:rPr>
          <w:iCs/>
        </w:rPr>
        <w:t>that a</w:t>
      </w:r>
      <w:r w:rsidR="0007132E" w:rsidRPr="00C91A15">
        <w:rPr>
          <w:iCs/>
        </w:rPr>
        <w:t xml:space="preserve">s shown in </w:t>
      </w:r>
      <w:r w:rsidR="0007132E" w:rsidRPr="00C91A15">
        <w:rPr>
          <w:iCs/>
        </w:rPr>
        <w:fldChar w:fldCharType="begin" w:fldLock="1"/>
      </w:r>
      <w:r w:rsidR="0007132E" w:rsidRPr="00C91A15">
        <w:rPr>
          <w:iCs/>
        </w:rPr>
        <w:instrText xml:space="preserve"> REF _Ref165906025 \h </w:instrText>
      </w:r>
      <w:r w:rsidR="00A32671" w:rsidRPr="00C91A15">
        <w:rPr>
          <w:iCs/>
        </w:rPr>
        <w:instrText xml:space="preserve"> \* MERGEFORMAT </w:instrText>
      </w:r>
      <w:r w:rsidR="0007132E" w:rsidRPr="00C91A15">
        <w:rPr>
          <w:iCs/>
        </w:rPr>
      </w:r>
      <w:r w:rsidR="0007132E" w:rsidRPr="00C91A15">
        <w:rPr>
          <w:iCs/>
        </w:rPr>
        <w:fldChar w:fldCharType="separate"/>
      </w:r>
      <w:r w:rsidR="00AA25E7" w:rsidRPr="00C91A15">
        <w:rPr>
          <w:iCs/>
        </w:rPr>
        <w:t xml:space="preserve">Table </w:t>
      </w:r>
      <w:r w:rsidR="00AA25E7" w:rsidRPr="00C91A15">
        <w:rPr>
          <w:iCs/>
          <w:noProof/>
        </w:rPr>
        <w:t>12</w:t>
      </w:r>
      <w:r w:rsidR="0007132E" w:rsidRPr="00C91A15">
        <w:rPr>
          <w:iCs/>
        </w:rPr>
        <w:fldChar w:fldCharType="end"/>
      </w:r>
      <w:r w:rsidR="0007132E" w:rsidRPr="00C91A15">
        <w:rPr>
          <w:iCs/>
        </w:rPr>
        <w:t>, this result</w:t>
      </w:r>
      <w:r w:rsidRPr="00C91A15">
        <w:rPr>
          <w:iCs/>
        </w:rPr>
        <w:t>ed</w:t>
      </w:r>
      <w:r w:rsidR="0007132E" w:rsidRPr="00C91A15">
        <w:rPr>
          <w:iCs/>
        </w:rPr>
        <w:t xml:space="preserve"> in identical annual drug </w:t>
      </w:r>
      <w:r w:rsidR="003A12B7" w:rsidRPr="00C91A15">
        <w:rPr>
          <w:iCs/>
        </w:rPr>
        <w:t xml:space="preserve">cost </w:t>
      </w:r>
      <w:r w:rsidR="0007132E" w:rsidRPr="00C91A15">
        <w:rPr>
          <w:iCs/>
        </w:rPr>
        <w:t>for risdiplam and nusinersen with the only difference in cost due to the nusinersen administration costs.</w:t>
      </w:r>
      <w:bookmarkEnd w:id="43"/>
      <w:r w:rsidR="00066399" w:rsidRPr="00C91A15">
        <w:rPr>
          <w:iCs/>
        </w:rPr>
        <w:t xml:space="preserve"> </w:t>
      </w:r>
    </w:p>
    <w:p w14:paraId="047068D9" w14:textId="1DD9CA48" w:rsidR="0007132E" w:rsidRPr="00C61670" w:rsidRDefault="0007132E" w:rsidP="00A32671">
      <w:pPr>
        <w:pStyle w:val="Caption"/>
      </w:pPr>
      <w:bookmarkStart w:id="44" w:name="_Ref165906025"/>
      <w:r w:rsidRPr="00C61670">
        <w:t xml:space="preserve">Table </w:t>
      </w:r>
      <w:r w:rsidR="002906A9">
        <w:fldChar w:fldCharType="begin" w:fldLock="1"/>
      </w:r>
      <w:r w:rsidR="002906A9">
        <w:instrText xml:space="preserve"> SEQ Table \* ARABIC </w:instrText>
      </w:r>
      <w:r w:rsidR="002906A9">
        <w:fldChar w:fldCharType="separate"/>
      </w:r>
      <w:r w:rsidR="00AA25E7">
        <w:rPr>
          <w:noProof/>
        </w:rPr>
        <w:t>12</w:t>
      </w:r>
      <w:r w:rsidR="002906A9">
        <w:rPr>
          <w:noProof/>
        </w:rPr>
        <w:fldChar w:fldCharType="end"/>
      </w:r>
      <w:bookmarkEnd w:id="44"/>
      <w:r w:rsidRPr="00C61670">
        <w:t xml:space="preserve">: Results of cost-minimisation </w:t>
      </w:r>
      <w:r w:rsidR="00E62608">
        <w:t>approach</w:t>
      </w:r>
      <w:r w:rsidR="00E62608" w:rsidRPr="00C61670">
        <w:t xml:space="preserve"> </w:t>
      </w:r>
      <w:r w:rsidRPr="00C61670">
        <w:t>risdiplam versus nusinersen – steady state dosing (published drug prices)</w:t>
      </w:r>
      <w:r w:rsidRPr="00C61670">
        <w:rPr>
          <w:vertAlign w:val="superscript"/>
        </w:rPr>
        <w:t xml:space="preserve"> a</w:t>
      </w:r>
    </w:p>
    <w:tbl>
      <w:tblPr>
        <w:tblStyle w:val="TableGrid"/>
        <w:tblW w:w="9067" w:type="dxa"/>
        <w:tblLayout w:type="fixed"/>
        <w:tblLook w:val="04A0" w:firstRow="1" w:lastRow="0" w:firstColumn="1" w:lastColumn="0" w:noHBand="0" w:noVBand="1"/>
        <w:tblCaption w:val="Table 12: Results of cost-minimisation approach risdiplam versus nusinersen – steady state dosing (published drug prices) a"/>
      </w:tblPr>
      <w:tblGrid>
        <w:gridCol w:w="1836"/>
        <w:gridCol w:w="1205"/>
        <w:gridCol w:w="1205"/>
        <w:gridCol w:w="1205"/>
        <w:gridCol w:w="1205"/>
        <w:gridCol w:w="1205"/>
        <w:gridCol w:w="1206"/>
      </w:tblGrid>
      <w:tr w:rsidR="0007132E" w:rsidRPr="00C61670" w14:paraId="54293A01" w14:textId="77777777" w:rsidTr="00AA0FE0">
        <w:trPr>
          <w:tblHeader/>
        </w:trPr>
        <w:tc>
          <w:tcPr>
            <w:tcW w:w="1836" w:type="dxa"/>
            <w:vAlign w:val="center"/>
          </w:tcPr>
          <w:p w14:paraId="6773051A" w14:textId="77777777" w:rsidR="0007132E" w:rsidRPr="0081032F" w:rsidRDefault="0007132E" w:rsidP="00A32671">
            <w:pPr>
              <w:pStyle w:val="In-tableHeading"/>
              <w:keepLines/>
              <w:rPr>
                <w:lang w:val="en-AU"/>
              </w:rPr>
            </w:pPr>
          </w:p>
        </w:tc>
        <w:tc>
          <w:tcPr>
            <w:tcW w:w="1205" w:type="dxa"/>
            <w:vAlign w:val="center"/>
          </w:tcPr>
          <w:p w14:paraId="4297A018" w14:textId="77777777" w:rsidR="0007132E" w:rsidRPr="0081032F" w:rsidRDefault="0007132E" w:rsidP="00A32671">
            <w:pPr>
              <w:pStyle w:val="In-tableHeading"/>
              <w:keepLines/>
              <w:jc w:val="center"/>
              <w:rPr>
                <w:lang w:val="en-AU"/>
              </w:rPr>
            </w:pPr>
            <w:r w:rsidRPr="0081032F">
              <w:rPr>
                <w:lang w:val="en-AU"/>
              </w:rPr>
              <w:t>Year 1</w:t>
            </w:r>
          </w:p>
        </w:tc>
        <w:tc>
          <w:tcPr>
            <w:tcW w:w="1205" w:type="dxa"/>
            <w:vAlign w:val="center"/>
          </w:tcPr>
          <w:p w14:paraId="4DE596E7" w14:textId="77777777" w:rsidR="0007132E" w:rsidRPr="0081032F" w:rsidRDefault="0007132E" w:rsidP="00A32671">
            <w:pPr>
              <w:pStyle w:val="In-tableHeading"/>
              <w:keepLines/>
              <w:jc w:val="center"/>
              <w:rPr>
                <w:lang w:val="en-AU"/>
              </w:rPr>
            </w:pPr>
            <w:r w:rsidRPr="0081032F">
              <w:rPr>
                <w:lang w:val="en-AU"/>
              </w:rPr>
              <w:t>Year 2</w:t>
            </w:r>
          </w:p>
        </w:tc>
        <w:tc>
          <w:tcPr>
            <w:tcW w:w="1205" w:type="dxa"/>
            <w:vAlign w:val="center"/>
          </w:tcPr>
          <w:p w14:paraId="7BDB021E" w14:textId="77777777" w:rsidR="0007132E" w:rsidRPr="0081032F" w:rsidRDefault="0007132E" w:rsidP="00A32671">
            <w:pPr>
              <w:pStyle w:val="In-tableHeading"/>
              <w:keepLines/>
              <w:jc w:val="center"/>
              <w:rPr>
                <w:lang w:val="en-AU"/>
              </w:rPr>
            </w:pPr>
            <w:r w:rsidRPr="0081032F">
              <w:rPr>
                <w:lang w:val="en-AU"/>
              </w:rPr>
              <w:t>Year 3</w:t>
            </w:r>
          </w:p>
        </w:tc>
        <w:tc>
          <w:tcPr>
            <w:tcW w:w="1205" w:type="dxa"/>
            <w:vAlign w:val="center"/>
          </w:tcPr>
          <w:p w14:paraId="1BED2FD0" w14:textId="77777777" w:rsidR="0007132E" w:rsidRPr="0081032F" w:rsidRDefault="0007132E" w:rsidP="00A32671">
            <w:pPr>
              <w:pStyle w:val="In-tableHeading"/>
              <w:keepLines/>
              <w:jc w:val="center"/>
              <w:rPr>
                <w:lang w:val="en-AU"/>
              </w:rPr>
            </w:pPr>
            <w:r w:rsidRPr="0081032F">
              <w:rPr>
                <w:lang w:val="en-AU"/>
              </w:rPr>
              <w:t>Year 4</w:t>
            </w:r>
          </w:p>
        </w:tc>
        <w:tc>
          <w:tcPr>
            <w:tcW w:w="1205" w:type="dxa"/>
            <w:vAlign w:val="center"/>
          </w:tcPr>
          <w:p w14:paraId="754FFC3A" w14:textId="77777777" w:rsidR="0007132E" w:rsidRPr="0081032F" w:rsidRDefault="0007132E" w:rsidP="00A32671">
            <w:pPr>
              <w:pStyle w:val="In-tableHeading"/>
              <w:keepLines/>
              <w:jc w:val="center"/>
              <w:rPr>
                <w:lang w:val="en-AU"/>
              </w:rPr>
            </w:pPr>
            <w:r w:rsidRPr="0081032F">
              <w:rPr>
                <w:lang w:val="en-AU"/>
              </w:rPr>
              <w:t>Year 5</w:t>
            </w:r>
          </w:p>
        </w:tc>
        <w:tc>
          <w:tcPr>
            <w:tcW w:w="1206" w:type="dxa"/>
            <w:vAlign w:val="center"/>
          </w:tcPr>
          <w:p w14:paraId="188C29B8" w14:textId="77777777" w:rsidR="0007132E" w:rsidRPr="0081032F" w:rsidRDefault="0007132E" w:rsidP="00A32671">
            <w:pPr>
              <w:pStyle w:val="In-tableHeading"/>
              <w:keepLines/>
              <w:jc w:val="center"/>
              <w:rPr>
                <w:lang w:val="en-AU"/>
              </w:rPr>
            </w:pPr>
            <w:r w:rsidRPr="0081032F">
              <w:rPr>
                <w:lang w:val="en-AU"/>
              </w:rPr>
              <w:t>5 year total</w:t>
            </w:r>
          </w:p>
        </w:tc>
      </w:tr>
      <w:tr w:rsidR="0007132E" w:rsidRPr="00C61670" w14:paraId="293A2CD4" w14:textId="77777777" w:rsidTr="00AA0FE0">
        <w:tc>
          <w:tcPr>
            <w:tcW w:w="9067" w:type="dxa"/>
            <w:gridSpan w:val="7"/>
            <w:shd w:val="clear" w:color="auto" w:fill="auto"/>
            <w:vAlign w:val="center"/>
          </w:tcPr>
          <w:p w14:paraId="4CA3211D" w14:textId="77777777" w:rsidR="0007132E" w:rsidRPr="0081032F" w:rsidRDefault="0007132E" w:rsidP="00A32671">
            <w:pPr>
              <w:pStyle w:val="Tabletext"/>
              <w:keepNext/>
              <w:keepLines/>
              <w:rPr>
                <w:b/>
              </w:rPr>
            </w:pPr>
            <w:r w:rsidRPr="0081032F">
              <w:rPr>
                <w:b/>
              </w:rPr>
              <w:t>Risdiplam costs</w:t>
            </w:r>
          </w:p>
        </w:tc>
      </w:tr>
      <w:tr w:rsidR="0007132E" w:rsidRPr="0081032F" w14:paraId="4FA50AAC" w14:textId="77777777" w:rsidTr="00AA0FE0">
        <w:tc>
          <w:tcPr>
            <w:tcW w:w="1836" w:type="dxa"/>
            <w:vAlign w:val="center"/>
          </w:tcPr>
          <w:p w14:paraId="37D68BF2" w14:textId="77777777" w:rsidR="0007132E" w:rsidRPr="0081032F" w:rsidRDefault="0007132E" w:rsidP="00A32671">
            <w:pPr>
              <w:pStyle w:val="Tabletext"/>
              <w:keepNext/>
              <w:keepLines/>
              <w:rPr>
                <w:vertAlign w:val="superscript"/>
              </w:rPr>
            </w:pPr>
            <w:r w:rsidRPr="0081032F">
              <w:t xml:space="preserve">Total bottles </w:t>
            </w:r>
            <w:r w:rsidRPr="0081032F">
              <w:rPr>
                <w:vertAlign w:val="superscript"/>
              </w:rPr>
              <w:t>b</w:t>
            </w:r>
          </w:p>
        </w:tc>
        <w:tc>
          <w:tcPr>
            <w:tcW w:w="1205" w:type="dxa"/>
            <w:vAlign w:val="center"/>
          </w:tcPr>
          <w:p w14:paraId="3CC38EF8" w14:textId="77777777" w:rsidR="0007132E" w:rsidRPr="0081032F" w:rsidRDefault="0007132E" w:rsidP="00A32671">
            <w:pPr>
              <w:pStyle w:val="Tabletext"/>
              <w:keepNext/>
              <w:keepLines/>
              <w:jc w:val="center"/>
            </w:pPr>
            <w:r w:rsidRPr="0081032F">
              <w:t>30.44</w:t>
            </w:r>
          </w:p>
        </w:tc>
        <w:tc>
          <w:tcPr>
            <w:tcW w:w="1205" w:type="dxa"/>
          </w:tcPr>
          <w:p w14:paraId="35508195" w14:textId="77777777" w:rsidR="0007132E" w:rsidRPr="0081032F" w:rsidRDefault="0007132E" w:rsidP="00A32671">
            <w:pPr>
              <w:pStyle w:val="Tabletext"/>
              <w:keepNext/>
              <w:keepLines/>
              <w:jc w:val="center"/>
            </w:pPr>
            <w:r w:rsidRPr="0081032F">
              <w:t>30.44</w:t>
            </w:r>
          </w:p>
        </w:tc>
        <w:tc>
          <w:tcPr>
            <w:tcW w:w="1205" w:type="dxa"/>
          </w:tcPr>
          <w:p w14:paraId="6C880186" w14:textId="77777777" w:rsidR="0007132E" w:rsidRPr="0081032F" w:rsidRDefault="0007132E" w:rsidP="00A32671">
            <w:pPr>
              <w:pStyle w:val="Tabletext"/>
              <w:keepNext/>
              <w:keepLines/>
              <w:jc w:val="center"/>
            </w:pPr>
            <w:r w:rsidRPr="0081032F">
              <w:t>30.44</w:t>
            </w:r>
          </w:p>
        </w:tc>
        <w:tc>
          <w:tcPr>
            <w:tcW w:w="1205" w:type="dxa"/>
          </w:tcPr>
          <w:p w14:paraId="38AF6E10" w14:textId="77777777" w:rsidR="0007132E" w:rsidRPr="0081032F" w:rsidRDefault="0007132E" w:rsidP="00A32671">
            <w:pPr>
              <w:pStyle w:val="Tabletext"/>
              <w:keepNext/>
              <w:keepLines/>
              <w:jc w:val="center"/>
            </w:pPr>
            <w:r w:rsidRPr="0081032F">
              <w:t>30.44</w:t>
            </w:r>
          </w:p>
        </w:tc>
        <w:tc>
          <w:tcPr>
            <w:tcW w:w="1205" w:type="dxa"/>
          </w:tcPr>
          <w:p w14:paraId="3D1E235F" w14:textId="77777777" w:rsidR="0007132E" w:rsidRPr="0081032F" w:rsidRDefault="0007132E" w:rsidP="00A32671">
            <w:pPr>
              <w:pStyle w:val="Tabletext"/>
              <w:keepNext/>
              <w:keepLines/>
              <w:jc w:val="center"/>
            </w:pPr>
            <w:r w:rsidRPr="0081032F">
              <w:t>30.44</w:t>
            </w:r>
          </w:p>
        </w:tc>
        <w:tc>
          <w:tcPr>
            <w:tcW w:w="1206" w:type="dxa"/>
            <w:vAlign w:val="center"/>
          </w:tcPr>
          <w:p w14:paraId="483FB8E5" w14:textId="77777777" w:rsidR="0007132E" w:rsidRPr="0081032F" w:rsidRDefault="0007132E" w:rsidP="00A32671">
            <w:pPr>
              <w:pStyle w:val="Tabletext"/>
              <w:keepNext/>
              <w:keepLines/>
              <w:jc w:val="center"/>
            </w:pPr>
            <w:r w:rsidRPr="0081032F">
              <w:t> </w:t>
            </w:r>
          </w:p>
        </w:tc>
      </w:tr>
      <w:tr w:rsidR="0007132E" w:rsidRPr="00C61670" w14:paraId="7D784C09" w14:textId="77777777" w:rsidTr="00AA0FE0">
        <w:tc>
          <w:tcPr>
            <w:tcW w:w="1836" w:type="dxa"/>
            <w:vAlign w:val="center"/>
          </w:tcPr>
          <w:p w14:paraId="09974E64" w14:textId="77777777" w:rsidR="0007132E" w:rsidRPr="0081032F" w:rsidRDefault="0007132E" w:rsidP="00A32671">
            <w:pPr>
              <w:pStyle w:val="Tabletext"/>
              <w:keepNext/>
              <w:keepLines/>
            </w:pPr>
            <w:r w:rsidRPr="0081032F">
              <w:t xml:space="preserve">Price per bottle </w:t>
            </w:r>
            <w:r w:rsidRPr="0081032F">
              <w:rPr>
                <w:vertAlign w:val="superscript"/>
              </w:rPr>
              <w:t>c</w:t>
            </w:r>
          </w:p>
        </w:tc>
        <w:tc>
          <w:tcPr>
            <w:tcW w:w="1205" w:type="dxa"/>
            <w:vAlign w:val="center"/>
          </w:tcPr>
          <w:p w14:paraId="0CA70702" w14:textId="77777777" w:rsidR="0007132E" w:rsidRPr="0081032F" w:rsidRDefault="0007132E" w:rsidP="00A32671">
            <w:pPr>
              <w:pStyle w:val="Tabletext"/>
              <w:keepNext/>
              <w:keepLines/>
              <w:jc w:val="center"/>
            </w:pPr>
            <w:r w:rsidRPr="0081032F">
              <w:t>$10,841.89</w:t>
            </w:r>
          </w:p>
        </w:tc>
        <w:tc>
          <w:tcPr>
            <w:tcW w:w="1205" w:type="dxa"/>
            <w:vAlign w:val="center"/>
          </w:tcPr>
          <w:p w14:paraId="7EC47F6F" w14:textId="77777777" w:rsidR="0007132E" w:rsidRPr="0081032F" w:rsidRDefault="0007132E" w:rsidP="00A32671">
            <w:pPr>
              <w:pStyle w:val="Tabletext"/>
              <w:keepNext/>
              <w:keepLines/>
              <w:jc w:val="center"/>
            </w:pPr>
            <w:r w:rsidRPr="0081032F">
              <w:t>$10,841.89</w:t>
            </w:r>
          </w:p>
        </w:tc>
        <w:tc>
          <w:tcPr>
            <w:tcW w:w="1205" w:type="dxa"/>
            <w:vAlign w:val="center"/>
          </w:tcPr>
          <w:p w14:paraId="5359CFDE" w14:textId="77777777" w:rsidR="0007132E" w:rsidRPr="0081032F" w:rsidRDefault="0007132E" w:rsidP="00A32671">
            <w:pPr>
              <w:pStyle w:val="Tabletext"/>
              <w:keepNext/>
              <w:keepLines/>
              <w:jc w:val="center"/>
            </w:pPr>
            <w:r w:rsidRPr="0081032F">
              <w:t>$10,841.89</w:t>
            </w:r>
          </w:p>
        </w:tc>
        <w:tc>
          <w:tcPr>
            <w:tcW w:w="1205" w:type="dxa"/>
            <w:vAlign w:val="center"/>
          </w:tcPr>
          <w:p w14:paraId="37884BF2" w14:textId="77777777" w:rsidR="0007132E" w:rsidRPr="0081032F" w:rsidRDefault="0007132E" w:rsidP="00A32671">
            <w:pPr>
              <w:pStyle w:val="Tabletext"/>
              <w:keepNext/>
              <w:keepLines/>
              <w:jc w:val="center"/>
            </w:pPr>
            <w:r w:rsidRPr="0081032F">
              <w:t>$10,841.89</w:t>
            </w:r>
          </w:p>
        </w:tc>
        <w:tc>
          <w:tcPr>
            <w:tcW w:w="1205" w:type="dxa"/>
            <w:vAlign w:val="center"/>
          </w:tcPr>
          <w:p w14:paraId="02D643A8" w14:textId="77777777" w:rsidR="0007132E" w:rsidRPr="0081032F" w:rsidRDefault="0007132E" w:rsidP="00A32671">
            <w:pPr>
              <w:pStyle w:val="Tabletext"/>
              <w:keepNext/>
              <w:keepLines/>
              <w:jc w:val="center"/>
            </w:pPr>
            <w:r w:rsidRPr="0081032F">
              <w:t>$10,841.89</w:t>
            </w:r>
          </w:p>
        </w:tc>
        <w:tc>
          <w:tcPr>
            <w:tcW w:w="1206" w:type="dxa"/>
            <w:vAlign w:val="center"/>
          </w:tcPr>
          <w:p w14:paraId="70EE351B" w14:textId="77777777" w:rsidR="0007132E" w:rsidRPr="0081032F" w:rsidRDefault="0007132E" w:rsidP="00A32671">
            <w:pPr>
              <w:pStyle w:val="Tabletext"/>
              <w:keepNext/>
              <w:keepLines/>
              <w:jc w:val="center"/>
            </w:pPr>
            <w:r w:rsidRPr="0081032F">
              <w:t> </w:t>
            </w:r>
          </w:p>
        </w:tc>
      </w:tr>
      <w:tr w:rsidR="0007132E" w:rsidRPr="0081032F" w14:paraId="647EB057" w14:textId="77777777" w:rsidTr="00AA0FE0">
        <w:tc>
          <w:tcPr>
            <w:tcW w:w="1836" w:type="dxa"/>
            <w:vAlign w:val="center"/>
          </w:tcPr>
          <w:p w14:paraId="0B09F686" w14:textId="77777777" w:rsidR="0007132E" w:rsidRPr="0081032F" w:rsidRDefault="0007132E" w:rsidP="00A32671">
            <w:pPr>
              <w:pStyle w:val="Tabletext"/>
              <w:keepNext/>
              <w:keepLines/>
            </w:pPr>
            <w:r w:rsidRPr="0081032F">
              <w:t xml:space="preserve">Drug cost </w:t>
            </w:r>
          </w:p>
        </w:tc>
        <w:tc>
          <w:tcPr>
            <w:tcW w:w="1205" w:type="dxa"/>
            <w:vAlign w:val="bottom"/>
          </w:tcPr>
          <w:p w14:paraId="184332E5" w14:textId="77777777" w:rsidR="0007132E" w:rsidRPr="0081032F" w:rsidRDefault="0007132E" w:rsidP="00A32671">
            <w:pPr>
              <w:pStyle w:val="Tabletext"/>
              <w:keepNext/>
              <w:keepLines/>
              <w:jc w:val="center"/>
            </w:pPr>
            <w:r w:rsidRPr="0081032F">
              <w:t>$330,000</w:t>
            </w:r>
          </w:p>
        </w:tc>
        <w:tc>
          <w:tcPr>
            <w:tcW w:w="1205" w:type="dxa"/>
            <w:vAlign w:val="bottom"/>
          </w:tcPr>
          <w:p w14:paraId="65044837" w14:textId="77777777" w:rsidR="0007132E" w:rsidRPr="0081032F" w:rsidRDefault="0007132E" w:rsidP="00A32671">
            <w:pPr>
              <w:pStyle w:val="Tabletext"/>
              <w:keepNext/>
              <w:keepLines/>
              <w:jc w:val="center"/>
            </w:pPr>
            <w:r w:rsidRPr="0081032F">
              <w:t>$330,000</w:t>
            </w:r>
          </w:p>
        </w:tc>
        <w:tc>
          <w:tcPr>
            <w:tcW w:w="1205" w:type="dxa"/>
            <w:vAlign w:val="bottom"/>
          </w:tcPr>
          <w:p w14:paraId="70535BB1" w14:textId="77777777" w:rsidR="0007132E" w:rsidRPr="0081032F" w:rsidRDefault="0007132E" w:rsidP="00A32671">
            <w:pPr>
              <w:pStyle w:val="Tabletext"/>
              <w:keepNext/>
              <w:keepLines/>
              <w:jc w:val="center"/>
            </w:pPr>
            <w:r w:rsidRPr="0081032F">
              <w:t>$330,000</w:t>
            </w:r>
          </w:p>
        </w:tc>
        <w:tc>
          <w:tcPr>
            <w:tcW w:w="1205" w:type="dxa"/>
            <w:vAlign w:val="bottom"/>
          </w:tcPr>
          <w:p w14:paraId="48F17CDA" w14:textId="77777777" w:rsidR="0007132E" w:rsidRPr="0081032F" w:rsidRDefault="0007132E" w:rsidP="00A32671">
            <w:pPr>
              <w:pStyle w:val="Tabletext"/>
              <w:keepNext/>
              <w:keepLines/>
              <w:jc w:val="center"/>
            </w:pPr>
            <w:r w:rsidRPr="0081032F">
              <w:t>$330,000</w:t>
            </w:r>
          </w:p>
        </w:tc>
        <w:tc>
          <w:tcPr>
            <w:tcW w:w="1205" w:type="dxa"/>
            <w:vAlign w:val="bottom"/>
          </w:tcPr>
          <w:p w14:paraId="734F923B" w14:textId="77777777" w:rsidR="0007132E" w:rsidRPr="0081032F" w:rsidRDefault="0007132E" w:rsidP="00A32671">
            <w:pPr>
              <w:pStyle w:val="Tabletext"/>
              <w:keepNext/>
              <w:keepLines/>
              <w:jc w:val="center"/>
            </w:pPr>
            <w:r w:rsidRPr="0081032F">
              <w:t>$330,000</w:t>
            </w:r>
          </w:p>
        </w:tc>
        <w:tc>
          <w:tcPr>
            <w:tcW w:w="1206" w:type="dxa"/>
            <w:vAlign w:val="bottom"/>
          </w:tcPr>
          <w:p w14:paraId="4EA9D5DF" w14:textId="77777777" w:rsidR="0007132E" w:rsidRPr="0081032F" w:rsidRDefault="0007132E" w:rsidP="00A32671">
            <w:pPr>
              <w:pStyle w:val="Tabletext"/>
              <w:keepNext/>
              <w:keepLines/>
              <w:jc w:val="center"/>
            </w:pPr>
            <w:r w:rsidRPr="0081032F">
              <w:t>$1,650,000</w:t>
            </w:r>
          </w:p>
        </w:tc>
      </w:tr>
      <w:tr w:rsidR="0007132E" w:rsidRPr="0081032F" w14:paraId="279F0822" w14:textId="77777777" w:rsidTr="00AA0FE0">
        <w:tc>
          <w:tcPr>
            <w:tcW w:w="1836" w:type="dxa"/>
            <w:tcBorders>
              <w:bottom w:val="single" w:sz="4" w:space="0" w:color="000000" w:themeColor="text1"/>
            </w:tcBorders>
            <w:vAlign w:val="center"/>
          </w:tcPr>
          <w:p w14:paraId="6B3FDBC2" w14:textId="77777777" w:rsidR="0007132E" w:rsidRPr="0081032F" w:rsidRDefault="0007132E" w:rsidP="00A32671">
            <w:pPr>
              <w:pStyle w:val="Tabletext"/>
              <w:keepNext/>
              <w:keepLines/>
            </w:pPr>
            <w:r w:rsidRPr="0081032F">
              <w:t>Administration cost</w:t>
            </w:r>
          </w:p>
        </w:tc>
        <w:tc>
          <w:tcPr>
            <w:tcW w:w="1205" w:type="dxa"/>
            <w:tcBorders>
              <w:bottom w:val="single" w:sz="4" w:space="0" w:color="000000" w:themeColor="text1"/>
            </w:tcBorders>
            <w:vAlign w:val="bottom"/>
          </w:tcPr>
          <w:p w14:paraId="0BDE9FBC" w14:textId="77777777" w:rsidR="0007132E" w:rsidRPr="0081032F" w:rsidRDefault="0007132E" w:rsidP="00A32671">
            <w:pPr>
              <w:pStyle w:val="Tabletext"/>
              <w:keepNext/>
              <w:keepLines/>
              <w:jc w:val="center"/>
            </w:pPr>
            <w:r w:rsidRPr="0081032F">
              <w:t>$0</w:t>
            </w:r>
          </w:p>
        </w:tc>
        <w:tc>
          <w:tcPr>
            <w:tcW w:w="1205" w:type="dxa"/>
            <w:tcBorders>
              <w:bottom w:val="single" w:sz="4" w:space="0" w:color="000000" w:themeColor="text1"/>
            </w:tcBorders>
            <w:vAlign w:val="bottom"/>
          </w:tcPr>
          <w:p w14:paraId="76A2A551" w14:textId="77777777" w:rsidR="0007132E" w:rsidRPr="0081032F" w:rsidRDefault="0007132E" w:rsidP="00A32671">
            <w:pPr>
              <w:pStyle w:val="Tabletext"/>
              <w:keepNext/>
              <w:keepLines/>
              <w:jc w:val="center"/>
            </w:pPr>
            <w:r w:rsidRPr="0081032F">
              <w:t>$0</w:t>
            </w:r>
          </w:p>
        </w:tc>
        <w:tc>
          <w:tcPr>
            <w:tcW w:w="1205" w:type="dxa"/>
            <w:tcBorders>
              <w:bottom w:val="single" w:sz="4" w:space="0" w:color="000000" w:themeColor="text1"/>
            </w:tcBorders>
            <w:vAlign w:val="bottom"/>
          </w:tcPr>
          <w:p w14:paraId="58AD1334" w14:textId="77777777" w:rsidR="0007132E" w:rsidRPr="0081032F" w:rsidRDefault="0007132E" w:rsidP="00A32671">
            <w:pPr>
              <w:pStyle w:val="Tabletext"/>
              <w:keepNext/>
              <w:keepLines/>
              <w:jc w:val="center"/>
            </w:pPr>
            <w:r w:rsidRPr="0081032F">
              <w:t>$0</w:t>
            </w:r>
          </w:p>
        </w:tc>
        <w:tc>
          <w:tcPr>
            <w:tcW w:w="1205" w:type="dxa"/>
            <w:tcBorders>
              <w:bottom w:val="single" w:sz="4" w:space="0" w:color="000000" w:themeColor="text1"/>
            </w:tcBorders>
            <w:vAlign w:val="bottom"/>
          </w:tcPr>
          <w:p w14:paraId="02C6989F" w14:textId="77777777" w:rsidR="0007132E" w:rsidRPr="0081032F" w:rsidRDefault="0007132E" w:rsidP="00A32671">
            <w:pPr>
              <w:pStyle w:val="Tabletext"/>
              <w:keepNext/>
              <w:keepLines/>
              <w:jc w:val="center"/>
            </w:pPr>
            <w:r w:rsidRPr="0081032F">
              <w:t>$0</w:t>
            </w:r>
          </w:p>
        </w:tc>
        <w:tc>
          <w:tcPr>
            <w:tcW w:w="1205" w:type="dxa"/>
            <w:tcBorders>
              <w:bottom w:val="single" w:sz="4" w:space="0" w:color="000000" w:themeColor="text1"/>
            </w:tcBorders>
            <w:vAlign w:val="bottom"/>
          </w:tcPr>
          <w:p w14:paraId="17D9C05D" w14:textId="77777777" w:rsidR="0007132E" w:rsidRPr="0081032F" w:rsidRDefault="0007132E" w:rsidP="00A32671">
            <w:pPr>
              <w:pStyle w:val="Tabletext"/>
              <w:keepNext/>
              <w:keepLines/>
              <w:jc w:val="center"/>
            </w:pPr>
            <w:r w:rsidRPr="0081032F">
              <w:t>$0</w:t>
            </w:r>
          </w:p>
        </w:tc>
        <w:tc>
          <w:tcPr>
            <w:tcW w:w="1206" w:type="dxa"/>
            <w:tcBorders>
              <w:bottom w:val="single" w:sz="4" w:space="0" w:color="000000" w:themeColor="text1"/>
            </w:tcBorders>
            <w:vAlign w:val="bottom"/>
          </w:tcPr>
          <w:p w14:paraId="17B576E6" w14:textId="77777777" w:rsidR="0007132E" w:rsidRPr="0081032F" w:rsidRDefault="0007132E" w:rsidP="00A32671">
            <w:pPr>
              <w:pStyle w:val="Tabletext"/>
              <w:keepNext/>
              <w:keepLines/>
              <w:jc w:val="center"/>
            </w:pPr>
            <w:r w:rsidRPr="0081032F">
              <w:t>$0</w:t>
            </w:r>
          </w:p>
        </w:tc>
      </w:tr>
      <w:tr w:rsidR="0007132E" w:rsidRPr="0081032F" w14:paraId="001B6CE3" w14:textId="77777777" w:rsidTr="00AA0FE0">
        <w:tc>
          <w:tcPr>
            <w:tcW w:w="1836" w:type="dxa"/>
            <w:tcBorders>
              <w:bottom w:val="single" w:sz="4" w:space="0" w:color="000000" w:themeColor="text1"/>
            </w:tcBorders>
            <w:vAlign w:val="center"/>
          </w:tcPr>
          <w:p w14:paraId="1B07CB22" w14:textId="77777777" w:rsidR="0007132E" w:rsidRPr="0081032F" w:rsidRDefault="0007132E" w:rsidP="00A32671">
            <w:pPr>
              <w:pStyle w:val="Tabletext"/>
              <w:keepNext/>
              <w:keepLines/>
            </w:pPr>
            <w:r w:rsidRPr="0081032F">
              <w:t>Total cost per patient</w:t>
            </w:r>
          </w:p>
        </w:tc>
        <w:tc>
          <w:tcPr>
            <w:tcW w:w="1205" w:type="dxa"/>
            <w:tcBorders>
              <w:bottom w:val="single" w:sz="4" w:space="0" w:color="000000" w:themeColor="text1"/>
            </w:tcBorders>
            <w:vAlign w:val="bottom"/>
          </w:tcPr>
          <w:p w14:paraId="15089578" w14:textId="77777777" w:rsidR="0007132E" w:rsidRPr="0081032F" w:rsidRDefault="0007132E" w:rsidP="00A32671">
            <w:pPr>
              <w:pStyle w:val="Tabletext"/>
              <w:keepNext/>
              <w:keepLines/>
              <w:jc w:val="center"/>
            </w:pPr>
            <w:r w:rsidRPr="0081032F">
              <w:t>$330,000</w:t>
            </w:r>
          </w:p>
        </w:tc>
        <w:tc>
          <w:tcPr>
            <w:tcW w:w="1205" w:type="dxa"/>
            <w:tcBorders>
              <w:bottom w:val="single" w:sz="4" w:space="0" w:color="000000" w:themeColor="text1"/>
            </w:tcBorders>
            <w:vAlign w:val="bottom"/>
          </w:tcPr>
          <w:p w14:paraId="055AE654" w14:textId="77777777" w:rsidR="0007132E" w:rsidRPr="0081032F" w:rsidRDefault="0007132E" w:rsidP="00A32671">
            <w:pPr>
              <w:pStyle w:val="Tabletext"/>
              <w:keepNext/>
              <w:keepLines/>
              <w:jc w:val="center"/>
            </w:pPr>
            <w:r w:rsidRPr="0081032F">
              <w:t>$330,000</w:t>
            </w:r>
          </w:p>
        </w:tc>
        <w:tc>
          <w:tcPr>
            <w:tcW w:w="1205" w:type="dxa"/>
            <w:tcBorders>
              <w:bottom w:val="single" w:sz="4" w:space="0" w:color="000000" w:themeColor="text1"/>
            </w:tcBorders>
            <w:vAlign w:val="bottom"/>
          </w:tcPr>
          <w:p w14:paraId="0B42CDCE" w14:textId="77777777" w:rsidR="0007132E" w:rsidRPr="0081032F" w:rsidRDefault="0007132E" w:rsidP="00A32671">
            <w:pPr>
              <w:pStyle w:val="Tabletext"/>
              <w:keepNext/>
              <w:keepLines/>
              <w:jc w:val="center"/>
            </w:pPr>
            <w:r w:rsidRPr="0081032F">
              <w:t>$330,000</w:t>
            </w:r>
          </w:p>
        </w:tc>
        <w:tc>
          <w:tcPr>
            <w:tcW w:w="1205" w:type="dxa"/>
            <w:tcBorders>
              <w:bottom w:val="single" w:sz="4" w:space="0" w:color="000000" w:themeColor="text1"/>
            </w:tcBorders>
            <w:vAlign w:val="bottom"/>
          </w:tcPr>
          <w:p w14:paraId="1CDE0E89" w14:textId="77777777" w:rsidR="0007132E" w:rsidRPr="0081032F" w:rsidRDefault="0007132E" w:rsidP="00A32671">
            <w:pPr>
              <w:pStyle w:val="Tabletext"/>
              <w:keepNext/>
              <w:keepLines/>
              <w:jc w:val="center"/>
            </w:pPr>
            <w:r w:rsidRPr="0081032F">
              <w:t>$330,000</w:t>
            </w:r>
          </w:p>
        </w:tc>
        <w:tc>
          <w:tcPr>
            <w:tcW w:w="1205" w:type="dxa"/>
            <w:tcBorders>
              <w:bottom w:val="single" w:sz="4" w:space="0" w:color="000000" w:themeColor="text1"/>
            </w:tcBorders>
            <w:vAlign w:val="bottom"/>
          </w:tcPr>
          <w:p w14:paraId="0DE0682D" w14:textId="77777777" w:rsidR="0007132E" w:rsidRPr="0081032F" w:rsidRDefault="0007132E" w:rsidP="00A32671">
            <w:pPr>
              <w:pStyle w:val="Tabletext"/>
              <w:keepNext/>
              <w:keepLines/>
              <w:jc w:val="center"/>
            </w:pPr>
            <w:r w:rsidRPr="0081032F">
              <w:t>$330,000</w:t>
            </w:r>
          </w:p>
        </w:tc>
        <w:tc>
          <w:tcPr>
            <w:tcW w:w="1206" w:type="dxa"/>
            <w:tcBorders>
              <w:bottom w:val="single" w:sz="4" w:space="0" w:color="000000" w:themeColor="text1"/>
            </w:tcBorders>
            <w:vAlign w:val="bottom"/>
          </w:tcPr>
          <w:p w14:paraId="750947FB" w14:textId="77777777" w:rsidR="0007132E" w:rsidRPr="0081032F" w:rsidRDefault="0007132E" w:rsidP="00A32671">
            <w:pPr>
              <w:pStyle w:val="Tabletext"/>
              <w:keepNext/>
              <w:keepLines/>
              <w:jc w:val="center"/>
            </w:pPr>
            <w:r w:rsidRPr="0081032F">
              <w:t>$1,650,000</w:t>
            </w:r>
          </w:p>
        </w:tc>
      </w:tr>
      <w:tr w:rsidR="0007132E" w:rsidRPr="0081032F" w14:paraId="50CB4AEA" w14:textId="77777777" w:rsidTr="00AA0FE0">
        <w:tc>
          <w:tcPr>
            <w:tcW w:w="9067" w:type="dxa"/>
            <w:gridSpan w:val="7"/>
            <w:shd w:val="clear" w:color="auto" w:fill="auto"/>
            <w:vAlign w:val="center"/>
          </w:tcPr>
          <w:p w14:paraId="372CE7F4" w14:textId="77777777" w:rsidR="0007132E" w:rsidRPr="0081032F" w:rsidRDefault="0007132E" w:rsidP="00A32671">
            <w:pPr>
              <w:pStyle w:val="Tabletext"/>
              <w:keepNext/>
              <w:keepLines/>
              <w:rPr>
                <w:b/>
              </w:rPr>
            </w:pPr>
            <w:r w:rsidRPr="0081032F">
              <w:rPr>
                <w:b/>
              </w:rPr>
              <w:t>Nusinersen costs</w:t>
            </w:r>
          </w:p>
        </w:tc>
      </w:tr>
      <w:tr w:rsidR="0007132E" w:rsidRPr="00C61670" w14:paraId="4B656E85" w14:textId="77777777" w:rsidTr="00AA0FE0">
        <w:tc>
          <w:tcPr>
            <w:tcW w:w="1836" w:type="dxa"/>
            <w:vAlign w:val="center"/>
          </w:tcPr>
          <w:p w14:paraId="2205E1FB" w14:textId="77777777" w:rsidR="0007132E" w:rsidRPr="0081032F" w:rsidRDefault="0007132E" w:rsidP="00A32671">
            <w:pPr>
              <w:pStyle w:val="Tabletext"/>
              <w:keepNext/>
              <w:keepLines/>
            </w:pPr>
            <w:r w:rsidRPr="0081032F">
              <w:t>Total doses</w:t>
            </w:r>
          </w:p>
        </w:tc>
        <w:tc>
          <w:tcPr>
            <w:tcW w:w="1205" w:type="dxa"/>
            <w:vAlign w:val="center"/>
          </w:tcPr>
          <w:p w14:paraId="56BB0E08" w14:textId="77777777" w:rsidR="0007132E" w:rsidRPr="0081032F" w:rsidRDefault="0007132E" w:rsidP="00A32671">
            <w:pPr>
              <w:pStyle w:val="Tabletext"/>
              <w:keepNext/>
              <w:keepLines/>
              <w:jc w:val="center"/>
            </w:pPr>
            <w:r w:rsidRPr="0081032F">
              <w:t>3</w:t>
            </w:r>
          </w:p>
        </w:tc>
        <w:tc>
          <w:tcPr>
            <w:tcW w:w="1205" w:type="dxa"/>
            <w:vAlign w:val="center"/>
          </w:tcPr>
          <w:p w14:paraId="61163D6B" w14:textId="77777777" w:rsidR="0007132E" w:rsidRPr="0081032F" w:rsidRDefault="0007132E" w:rsidP="00A32671">
            <w:pPr>
              <w:pStyle w:val="Tabletext"/>
              <w:keepNext/>
              <w:keepLines/>
              <w:jc w:val="center"/>
            </w:pPr>
            <w:r w:rsidRPr="0081032F">
              <w:t>3</w:t>
            </w:r>
          </w:p>
        </w:tc>
        <w:tc>
          <w:tcPr>
            <w:tcW w:w="1205" w:type="dxa"/>
            <w:vAlign w:val="center"/>
          </w:tcPr>
          <w:p w14:paraId="2D3F1D05" w14:textId="77777777" w:rsidR="0007132E" w:rsidRPr="0081032F" w:rsidRDefault="0007132E" w:rsidP="00A32671">
            <w:pPr>
              <w:pStyle w:val="Tabletext"/>
              <w:keepNext/>
              <w:keepLines/>
              <w:jc w:val="center"/>
            </w:pPr>
            <w:r w:rsidRPr="0081032F">
              <w:t>3</w:t>
            </w:r>
          </w:p>
        </w:tc>
        <w:tc>
          <w:tcPr>
            <w:tcW w:w="1205" w:type="dxa"/>
            <w:vAlign w:val="center"/>
          </w:tcPr>
          <w:p w14:paraId="694918EA" w14:textId="77777777" w:rsidR="0007132E" w:rsidRPr="0081032F" w:rsidRDefault="0007132E" w:rsidP="00A32671">
            <w:pPr>
              <w:pStyle w:val="Tabletext"/>
              <w:keepNext/>
              <w:keepLines/>
              <w:jc w:val="center"/>
            </w:pPr>
            <w:r w:rsidRPr="0081032F">
              <w:t>3</w:t>
            </w:r>
          </w:p>
        </w:tc>
        <w:tc>
          <w:tcPr>
            <w:tcW w:w="1205" w:type="dxa"/>
            <w:vAlign w:val="center"/>
          </w:tcPr>
          <w:p w14:paraId="344DA984" w14:textId="77777777" w:rsidR="0007132E" w:rsidRPr="0081032F" w:rsidRDefault="0007132E" w:rsidP="00A32671">
            <w:pPr>
              <w:pStyle w:val="Tabletext"/>
              <w:keepNext/>
              <w:keepLines/>
              <w:jc w:val="center"/>
            </w:pPr>
            <w:r w:rsidRPr="0081032F">
              <w:t>3</w:t>
            </w:r>
          </w:p>
        </w:tc>
        <w:tc>
          <w:tcPr>
            <w:tcW w:w="1206" w:type="dxa"/>
            <w:vAlign w:val="center"/>
          </w:tcPr>
          <w:p w14:paraId="226D04FF" w14:textId="77777777" w:rsidR="0007132E" w:rsidRPr="0081032F" w:rsidRDefault="0007132E" w:rsidP="00A32671">
            <w:pPr>
              <w:pStyle w:val="Tabletext"/>
              <w:keepNext/>
              <w:keepLines/>
              <w:jc w:val="center"/>
            </w:pPr>
          </w:p>
        </w:tc>
      </w:tr>
      <w:tr w:rsidR="0007132E" w:rsidRPr="00C61670" w14:paraId="7961D9C1" w14:textId="77777777" w:rsidTr="00AA0FE0">
        <w:tc>
          <w:tcPr>
            <w:tcW w:w="1836" w:type="dxa"/>
            <w:vAlign w:val="center"/>
          </w:tcPr>
          <w:p w14:paraId="0D4DD3E3" w14:textId="77777777" w:rsidR="0007132E" w:rsidRPr="0081032F" w:rsidRDefault="0007132E" w:rsidP="00A32671">
            <w:pPr>
              <w:pStyle w:val="Tabletext"/>
              <w:keepNext/>
              <w:keepLines/>
            </w:pPr>
            <w:r w:rsidRPr="0081032F">
              <w:t>Price per dose</w:t>
            </w:r>
            <w:r w:rsidRPr="0081032F">
              <w:rPr>
                <w:vertAlign w:val="superscript"/>
              </w:rPr>
              <w:t xml:space="preserve"> c</w:t>
            </w:r>
          </w:p>
        </w:tc>
        <w:tc>
          <w:tcPr>
            <w:tcW w:w="1205" w:type="dxa"/>
            <w:vAlign w:val="center"/>
          </w:tcPr>
          <w:p w14:paraId="7DC670B2" w14:textId="77777777" w:rsidR="0007132E" w:rsidRPr="0081032F" w:rsidRDefault="0007132E" w:rsidP="00A32671">
            <w:pPr>
              <w:pStyle w:val="Tabletext"/>
              <w:keepNext/>
              <w:keepLines/>
              <w:jc w:val="center"/>
            </w:pPr>
            <w:r w:rsidRPr="0081032F">
              <w:t>$110,000</w:t>
            </w:r>
          </w:p>
        </w:tc>
        <w:tc>
          <w:tcPr>
            <w:tcW w:w="1205" w:type="dxa"/>
            <w:vAlign w:val="center"/>
          </w:tcPr>
          <w:p w14:paraId="40DE5693" w14:textId="77777777" w:rsidR="0007132E" w:rsidRPr="0081032F" w:rsidRDefault="0007132E" w:rsidP="00A32671">
            <w:pPr>
              <w:pStyle w:val="Tabletext"/>
              <w:keepNext/>
              <w:keepLines/>
              <w:jc w:val="center"/>
            </w:pPr>
            <w:r w:rsidRPr="0081032F">
              <w:t>$110,000</w:t>
            </w:r>
          </w:p>
        </w:tc>
        <w:tc>
          <w:tcPr>
            <w:tcW w:w="1205" w:type="dxa"/>
            <w:vAlign w:val="center"/>
          </w:tcPr>
          <w:p w14:paraId="2CAC0D43" w14:textId="77777777" w:rsidR="0007132E" w:rsidRPr="0081032F" w:rsidRDefault="0007132E" w:rsidP="00A32671">
            <w:pPr>
              <w:pStyle w:val="Tabletext"/>
              <w:keepNext/>
              <w:keepLines/>
              <w:jc w:val="center"/>
            </w:pPr>
            <w:r w:rsidRPr="0081032F">
              <w:t>$110,000</w:t>
            </w:r>
          </w:p>
        </w:tc>
        <w:tc>
          <w:tcPr>
            <w:tcW w:w="1205" w:type="dxa"/>
            <w:vAlign w:val="center"/>
          </w:tcPr>
          <w:p w14:paraId="5F857E3B" w14:textId="77777777" w:rsidR="0007132E" w:rsidRPr="0081032F" w:rsidRDefault="0007132E" w:rsidP="00A32671">
            <w:pPr>
              <w:pStyle w:val="Tabletext"/>
              <w:keepNext/>
              <w:keepLines/>
              <w:jc w:val="center"/>
            </w:pPr>
            <w:r w:rsidRPr="0081032F">
              <w:t>$110,000</w:t>
            </w:r>
          </w:p>
        </w:tc>
        <w:tc>
          <w:tcPr>
            <w:tcW w:w="1205" w:type="dxa"/>
            <w:vAlign w:val="center"/>
          </w:tcPr>
          <w:p w14:paraId="1F4894CC" w14:textId="77777777" w:rsidR="0007132E" w:rsidRPr="0081032F" w:rsidRDefault="0007132E" w:rsidP="00A32671">
            <w:pPr>
              <w:pStyle w:val="Tabletext"/>
              <w:keepNext/>
              <w:keepLines/>
              <w:jc w:val="center"/>
            </w:pPr>
            <w:r w:rsidRPr="0081032F">
              <w:t>$110,000</w:t>
            </w:r>
          </w:p>
        </w:tc>
        <w:tc>
          <w:tcPr>
            <w:tcW w:w="1206" w:type="dxa"/>
            <w:vAlign w:val="center"/>
          </w:tcPr>
          <w:p w14:paraId="3E811726" w14:textId="77777777" w:rsidR="0007132E" w:rsidRPr="0081032F" w:rsidRDefault="0007132E" w:rsidP="00A32671">
            <w:pPr>
              <w:pStyle w:val="Tabletext"/>
              <w:keepNext/>
              <w:keepLines/>
              <w:jc w:val="center"/>
            </w:pPr>
          </w:p>
        </w:tc>
      </w:tr>
      <w:tr w:rsidR="0007132E" w:rsidRPr="00C61670" w14:paraId="21542547" w14:textId="77777777" w:rsidTr="00AA0FE0">
        <w:tc>
          <w:tcPr>
            <w:tcW w:w="1836" w:type="dxa"/>
            <w:vAlign w:val="center"/>
          </w:tcPr>
          <w:p w14:paraId="39EBAFDC" w14:textId="77777777" w:rsidR="0007132E" w:rsidRPr="0081032F" w:rsidRDefault="0007132E" w:rsidP="00A32671">
            <w:pPr>
              <w:pStyle w:val="Tabletext"/>
              <w:keepNext/>
              <w:keepLines/>
            </w:pPr>
            <w:r w:rsidRPr="0081032F">
              <w:t xml:space="preserve">Drug cost </w:t>
            </w:r>
          </w:p>
        </w:tc>
        <w:tc>
          <w:tcPr>
            <w:tcW w:w="1205" w:type="dxa"/>
            <w:vAlign w:val="bottom"/>
          </w:tcPr>
          <w:p w14:paraId="21C65062" w14:textId="77777777" w:rsidR="0007132E" w:rsidRPr="0081032F" w:rsidRDefault="0007132E" w:rsidP="00A32671">
            <w:pPr>
              <w:pStyle w:val="Tabletext"/>
              <w:keepNext/>
              <w:keepLines/>
              <w:jc w:val="center"/>
            </w:pPr>
            <w:r w:rsidRPr="0081032F">
              <w:t>$330,000</w:t>
            </w:r>
          </w:p>
        </w:tc>
        <w:tc>
          <w:tcPr>
            <w:tcW w:w="1205" w:type="dxa"/>
            <w:vAlign w:val="bottom"/>
          </w:tcPr>
          <w:p w14:paraId="500681B0" w14:textId="77777777" w:rsidR="0007132E" w:rsidRPr="0081032F" w:rsidRDefault="0007132E" w:rsidP="00A32671">
            <w:pPr>
              <w:pStyle w:val="Tabletext"/>
              <w:keepNext/>
              <w:keepLines/>
              <w:jc w:val="center"/>
            </w:pPr>
            <w:r w:rsidRPr="0081032F">
              <w:t>$330,000</w:t>
            </w:r>
          </w:p>
        </w:tc>
        <w:tc>
          <w:tcPr>
            <w:tcW w:w="1205" w:type="dxa"/>
            <w:vAlign w:val="bottom"/>
          </w:tcPr>
          <w:p w14:paraId="24AA1EB9" w14:textId="77777777" w:rsidR="0007132E" w:rsidRPr="0081032F" w:rsidRDefault="0007132E" w:rsidP="00A32671">
            <w:pPr>
              <w:pStyle w:val="Tabletext"/>
              <w:keepNext/>
              <w:keepLines/>
              <w:jc w:val="center"/>
            </w:pPr>
            <w:r w:rsidRPr="0081032F">
              <w:t>$330,000</w:t>
            </w:r>
          </w:p>
        </w:tc>
        <w:tc>
          <w:tcPr>
            <w:tcW w:w="1205" w:type="dxa"/>
            <w:vAlign w:val="bottom"/>
          </w:tcPr>
          <w:p w14:paraId="2D695442" w14:textId="77777777" w:rsidR="0007132E" w:rsidRPr="0081032F" w:rsidRDefault="0007132E" w:rsidP="00A32671">
            <w:pPr>
              <w:pStyle w:val="Tabletext"/>
              <w:keepNext/>
              <w:keepLines/>
              <w:jc w:val="center"/>
            </w:pPr>
            <w:r w:rsidRPr="0081032F">
              <w:t>$330,000</w:t>
            </w:r>
          </w:p>
        </w:tc>
        <w:tc>
          <w:tcPr>
            <w:tcW w:w="1205" w:type="dxa"/>
            <w:vAlign w:val="bottom"/>
          </w:tcPr>
          <w:p w14:paraId="3CD23288" w14:textId="77777777" w:rsidR="0007132E" w:rsidRPr="0081032F" w:rsidRDefault="0007132E" w:rsidP="00A32671">
            <w:pPr>
              <w:pStyle w:val="Tabletext"/>
              <w:keepNext/>
              <w:keepLines/>
              <w:jc w:val="center"/>
            </w:pPr>
            <w:r w:rsidRPr="0081032F">
              <w:t>$330,000</w:t>
            </w:r>
          </w:p>
        </w:tc>
        <w:tc>
          <w:tcPr>
            <w:tcW w:w="1206" w:type="dxa"/>
            <w:vAlign w:val="bottom"/>
          </w:tcPr>
          <w:p w14:paraId="66E95AFA" w14:textId="77777777" w:rsidR="0007132E" w:rsidRPr="0081032F" w:rsidRDefault="0007132E" w:rsidP="00A32671">
            <w:pPr>
              <w:pStyle w:val="Tabletext"/>
              <w:keepNext/>
              <w:keepLines/>
              <w:jc w:val="center"/>
            </w:pPr>
            <w:r w:rsidRPr="0081032F">
              <w:t>$1,650,000</w:t>
            </w:r>
          </w:p>
        </w:tc>
      </w:tr>
      <w:tr w:rsidR="0007132E" w:rsidRPr="00C61670" w14:paraId="2186BF4F" w14:textId="77777777" w:rsidTr="00AA0FE0">
        <w:tc>
          <w:tcPr>
            <w:tcW w:w="1836" w:type="dxa"/>
            <w:vAlign w:val="center"/>
          </w:tcPr>
          <w:p w14:paraId="3426E352" w14:textId="77777777" w:rsidR="0007132E" w:rsidRPr="0081032F" w:rsidRDefault="0007132E" w:rsidP="00A32671">
            <w:pPr>
              <w:pStyle w:val="Tabletext"/>
              <w:keepNext/>
              <w:keepLines/>
            </w:pPr>
            <w:r w:rsidRPr="0081032F">
              <w:t>Administration cost</w:t>
            </w:r>
          </w:p>
        </w:tc>
        <w:tc>
          <w:tcPr>
            <w:tcW w:w="1205" w:type="dxa"/>
            <w:vAlign w:val="bottom"/>
          </w:tcPr>
          <w:p w14:paraId="52EB820D" w14:textId="77777777" w:rsidR="0007132E" w:rsidRPr="0081032F" w:rsidRDefault="0007132E" w:rsidP="00A32671">
            <w:pPr>
              <w:pStyle w:val="Tabletext"/>
              <w:keepNext/>
              <w:keepLines/>
              <w:jc w:val="center"/>
            </w:pPr>
            <w:r w:rsidRPr="0081032F">
              <w:t>$1,308</w:t>
            </w:r>
          </w:p>
        </w:tc>
        <w:tc>
          <w:tcPr>
            <w:tcW w:w="1205" w:type="dxa"/>
            <w:vAlign w:val="bottom"/>
          </w:tcPr>
          <w:p w14:paraId="2FE90E95" w14:textId="77777777" w:rsidR="0007132E" w:rsidRPr="0081032F" w:rsidRDefault="0007132E" w:rsidP="00A32671">
            <w:pPr>
              <w:pStyle w:val="Tabletext"/>
              <w:keepNext/>
              <w:keepLines/>
              <w:jc w:val="center"/>
            </w:pPr>
            <w:r w:rsidRPr="0081032F">
              <w:t>$1,308</w:t>
            </w:r>
          </w:p>
        </w:tc>
        <w:tc>
          <w:tcPr>
            <w:tcW w:w="1205" w:type="dxa"/>
            <w:vAlign w:val="bottom"/>
          </w:tcPr>
          <w:p w14:paraId="1AE12626" w14:textId="77777777" w:rsidR="0007132E" w:rsidRPr="0081032F" w:rsidRDefault="0007132E" w:rsidP="00A32671">
            <w:pPr>
              <w:pStyle w:val="Tabletext"/>
              <w:keepNext/>
              <w:keepLines/>
              <w:jc w:val="center"/>
            </w:pPr>
            <w:r w:rsidRPr="0081032F">
              <w:t>$1,308</w:t>
            </w:r>
          </w:p>
        </w:tc>
        <w:tc>
          <w:tcPr>
            <w:tcW w:w="1205" w:type="dxa"/>
            <w:vAlign w:val="bottom"/>
          </w:tcPr>
          <w:p w14:paraId="4A81463D" w14:textId="77777777" w:rsidR="0007132E" w:rsidRPr="0081032F" w:rsidRDefault="0007132E" w:rsidP="00A32671">
            <w:pPr>
              <w:pStyle w:val="Tabletext"/>
              <w:keepNext/>
              <w:keepLines/>
              <w:jc w:val="center"/>
            </w:pPr>
            <w:r w:rsidRPr="0081032F">
              <w:t>$1,308</w:t>
            </w:r>
          </w:p>
        </w:tc>
        <w:tc>
          <w:tcPr>
            <w:tcW w:w="1205" w:type="dxa"/>
            <w:vAlign w:val="bottom"/>
          </w:tcPr>
          <w:p w14:paraId="5C70621B" w14:textId="77777777" w:rsidR="0007132E" w:rsidRPr="0081032F" w:rsidRDefault="0007132E" w:rsidP="00A32671">
            <w:pPr>
              <w:pStyle w:val="Tabletext"/>
              <w:keepNext/>
              <w:keepLines/>
              <w:jc w:val="center"/>
            </w:pPr>
            <w:r w:rsidRPr="0081032F">
              <w:t>$1,308</w:t>
            </w:r>
          </w:p>
        </w:tc>
        <w:tc>
          <w:tcPr>
            <w:tcW w:w="1206" w:type="dxa"/>
            <w:vAlign w:val="bottom"/>
          </w:tcPr>
          <w:p w14:paraId="5E709EBE" w14:textId="77777777" w:rsidR="0007132E" w:rsidRPr="0081032F" w:rsidRDefault="0007132E" w:rsidP="00A32671">
            <w:pPr>
              <w:pStyle w:val="Tabletext"/>
              <w:keepNext/>
              <w:keepLines/>
              <w:jc w:val="center"/>
            </w:pPr>
            <w:r w:rsidRPr="0081032F">
              <w:t>$6,539</w:t>
            </w:r>
          </w:p>
        </w:tc>
      </w:tr>
      <w:tr w:rsidR="0007132E" w:rsidRPr="00C61670" w14:paraId="66CC91E5" w14:textId="77777777" w:rsidTr="00AA0FE0">
        <w:tc>
          <w:tcPr>
            <w:tcW w:w="1836" w:type="dxa"/>
            <w:tcBorders>
              <w:bottom w:val="single" w:sz="4" w:space="0" w:color="000000" w:themeColor="text1"/>
            </w:tcBorders>
            <w:vAlign w:val="center"/>
          </w:tcPr>
          <w:p w14:paraId="4965FCD6" w14:textId="77777777" w:rsidR="0007132E" w:rsidRPr="0081032F" w:rsidRDefault="0007132E" w:rsidP="00A32671">
            <w:pPr>
              <w:pStyle w:val="Tabletext"/>
              <w:keepNext/>
              <w:keepLines/>
            </w:pPr>
            <w:r w:rsidRPr="0081032F">
              <w:t>Total cost per patient</w:t>
            </w:r>
          </w:p>
        </w:tc>
        <w:tc>
          <w:tcPr>
            <w:tcW w:w="1205" w:type="dxa"/>
            <w:tcBorders>
              <w:bottom w:val="single" w:sz="4" w:space="0" w:color="000000" w:themeColor="text1"/>
            </w:tcBorders>
            <w:vAlign w:val="bottom"/>
          </w:tcPr>
          <w:p w14:paraId="68A16DFD" w14:textId="77777777" w:rsidR="0007132E" w:rsidRPr="0081032F" w:rsidRDefault="0007132E" w:rsidP="00A32671">
            <w:pPr>
              <w:pStyle w:val="Tabletext"/>
              <w:keepNext/>
              <w:keepLines/>
              <w:jc w:val="center"/>
            </w:pPr>
            <w:r w:rsidRPr="0081032F">
              <w:t>$331,308</w:t>
            </w:r>
          </w:p>
        </w:tc>
        <w:tc>
          <w:tcPr>
            <w:tcW w:w="1205" w:type="dxa"/>
            <w:tcBorders>
              <w:bottom w:val="single" w:sz="4" w:space="0" w:color="000000" w:themeColor="text1"/>
            </w:tcBorders>
            <w:vAlign w:val="bottom"/>
          </w:tcPr>
          <w:p w14:paraId="1405715C" w14:textId="77777777" w:rsidR="0007132E" w:rsidRPr="0081032F" w:rsidRDefault="0007132E" w:rsidP="00A32671">
            <w:pPr>
              <w:pStyle w:val="Tabletext"/>
              <w:keepNext/>
              <w:keepLines/>
              <w:jc w:val="center"/>
            </w:pPr>
            <w:r w:rsidRPr="0081032F">
              <w:t>$331,308</w:t>
            </w:r>
          </w:p>
        </w:tc>
        <w:tc>
          <w:tcPr>
            <w:tcW w:w="1205" w:type="dxa"/>
            <w:tcBorders>
              <w:bottom w:val="single" w:sz="4" w:space="0" w:color="000000" w:themeColor="text1"/>
            </w:tcBorders>
            <w:vAlign w:val="bottom"/>
          </w:tcPr>
          <w:p w14:paraId="2FDA7FDC" w14:textId="77777777" w:rsidR="0007132E" w:rsidRPr="0081032F" w:rsidRDefault="0007132E" w:rsidP="00A32671">
            <w:pPr>
              <w:pStyle w:val="Tabletext"/>
              <w:keepNext/>
              <w:keepLines/>
              <w:jc w:val="center"/>
            </w:pPr>
            <w:r w:rsidRPr="0081032F">
              <w:t>$331,308</w:t>
            </w:r>
          </w:p>
        </w:tc>
        <w:tc>
          <w:tcPr>
            <w:tcW w:w="1205" w:type="dxa"/>
            <w:tcBorders>
              <w:bottom w:val="single" w:sz="4" w:space="0" w:color="000000" w:themeColor="text1"/>
            </w:tcBorders>
            <w:vAlign w:val="bottom"/>
          </w:tcPr>
          <w:p w14:paraId="6C67DF8E" w14:textId="77777777" w:rsidR="0007132E" w:rsidRPr="0081032F" w:rsidRDefault="0007132E" w:rsidP="00A32671">
            <w:pPr>
              <w:pStyle w:val="Tabletext"/>
              <w:keepNext/>
              <w:keepLines/>
              <w:jc w:val="center"/>
            </w:pPr>
            <w:r w:rsidRPr="0081032F">
              <w:t>$331,308</w:t>
            </w:r>
          </w:p>
        </w:tc>
        <w:tc>
          <w:tcPr>
            <w:tcW w:w="1205" w:type="dxa"/>
            <w:tcBorders>
              <w:bottom w:val="single" w:sz="4" w:space="0" w:color="000000" w:themeColor="text1"/>
            </w:tcBorders>
            <w:vAlign w:val="bottom"/>
          </w:tcPr>
          <w:p w14:paraId="67F8331C" w14:textId="77777777" w:rsidR="0007132E" w:rsidRPr="0081032F" w:rsidRDefault="0007132E" w:rsidP="00A32671">
            <w:pPr>
              <w:pStyle w:val="Tabletext"/>
              <w:keepNext/>
              <w:keepLines/>
              <w:jc w:val="center"/>
            </w:pPr>
            <w:r w:rsidRPr="0081032F">
              <w:t>$331,308</w:t>
            </w:r>
          </w:p>
        </w:tc>
        <w:tc>
          <w:tcPr>
            <w:tcW w:w="1206" w:type="dxa"/>
            <w:tcBorders>
              <w:bottom w:val="single" w:sz="4" w:space="0" w:color="000000" w:themeColor="text1"/>
            </w:tcBorders>
            <w:vAlign w:val="bottom"/>
          </w:tcPr>
          <w:p w14:paraId="37CDA1FF" w14:textId="77777777" w:rsidR="0007132E" w:rsidRPr="0081032F" w:rsidRDefault="0007132E" w:rsidP="00A32671">
            <w:pPr>
              <w:pStyle w:val="Tabletext"/>
              <w:keepNext/>
              <w:keepLines/>
              <w:jc w:val="center"/>
            </w:pPr>
            <w:r w:rsidRPr="0081032F">
              <w:t>$1,656,539</w:t>
            </w:r>
          </w:p>
        </w:tc>
      </w:tr>
      <w:tr w:rsidR="0007132E" w:rsidRPr="00C61670" w14:paraId="6B231B36" w14:textId="77777777" w:rsidTr="00AA0FE0">
        <w:tc>
          <w:tcPr>
            <w:tcW w:w="9067" w:type="dxa"/>
            <w:gridSpan w:val="7"/>
            <w:shd w:val="clear" w:color="auto" w:fill="auto"/>
            <w:vAlign w:val="center"/>
          </w:tcPr>
          <w:p w14:paraId="5105EB5C" w14:textId="77777777" w:rsidR="0007132E" w:rsidRPr="0081032F" w:rsidRDefault="0007132E" w:rsidP="00A32671">
            <w:pPr>
              <w:pStyle w:val="Tabletext"/>
              <w:keepNext/>
              <w:keepLines/>
              <w:rPr>
                <w:b/>
              </w:rPr>
            </w:pPr>
            <w:r w:rsidRPr="0081032F">
              <w:rPr>
                <w:b/>
              </w:rPr>
              <w:t>Incremental cost (risdiplam - nusinersen)</w:t>
            </w:r>
          </w:p>
        </w:tc>
      </w:tr>
      <w:tr w:rsidR="0007132E" w:rsidRPr="00C61670" w14:paraId="6B314343" w14:textId="77777777" w:rsidTr="00AA0FE0">
        <w:tc>
          <w:tcPr>
            <w:tcW w:w="1836" w:type="dxa"/>
            <w:vAlign w:val="center"/>
          </w:tcPr>
          <w:p w14:paraId="3CD7CAF2" w14:textId="77777777" w:rsidR="0007132E" w:rsidRPr="0081032F" w:rsidRDefault="0007132E" w:rsidP="00A32671">
            <w:pPr>
              <w:pStyle w:val="Tabletext"/>
              <w:keepNext/>
              <w:keepLines/>
            </w:pPr>
            <w:r w:rsidRPr="0081032F">
              <w:t>Incremental drug cost</w:t>
            </w:r>
          </w:p>
        </w:tc>
        <w:tc>
          <w:tcPr>
            <w:tcW w:w="1205" w:type="dxa"/>
            <w:vAlign w:val="bottom"/>
          </w:tcPr>
          <w:p w14:paraId="3D918825" w14:textId="77777777" w:rsidR="0007132E" w:rsidRPr="0081032F" w:rsidRDefault="0007132E" w:rsidP="00A32671">
            <w:pPr>
              <w:pStyle w:val="Tabletext"/>
              <w:keepNext/>
              <w:keepLines/>
              <w:jc w:val="center"/>
            </w:pPr>
            <w:r w:rsidRPr="0081032F">
              <w:t>$0</w:t>
            </w:r>
          </w:p>
        </w:tc>
        <w:tc>
          <w:tcPr>
            <w:tcW w:w="1205" w:type="dxa"/>
            <w:vAlign w:val="bottom"/>
          </w:tcPr>
          <w:p w14:paraId="1320D24E" w14:textId="77777777" w:rsidR="0007132E" w:rsidRPr="0081032F" w:rsidRDefault="0007132E" w:rsidP="00A32671">
            <w:pPr>
              <w:pStyle w:val="Tabletext"/>
              <w:keepNext/>
              <w:keepLines/>
              <w:jc w:val="center"/>
            </w:pPr>
            <w:r w:rsidRPr="0081032F">
              <w:t>$0</w:t>
            </w:r>
          </w:p>
        </w:tc>
        <w:tc>
          <w:tcPr>
            <w:tcW w:w="1205" w:type="dxa"/>
            <w:vAlign w:val="bottom"/>
          </w:tcPr>
          <w:p w14:paraId="6D30AC29" w14:textId="77777777" w:rsidR="0007132E" w:rsidRPr="0081032F" w:rsidRDefault="0007132E" w:rsidP="00A32671">
            <w:pPr>
              <w:pStyle w:val="Tabletext"/>
              <w:keepNext/>
              <w:keepLines/>
              <w:jc w:val="center"/>
            </w:pPr>
            <w:r w:rsidRPr="0081032F">
              <w:t>$0</w:t>
            </w:r>
          </w:p>
        </w:tc>
        <w:tc>
          <w:tcPr>
            <w:tcW w:w="1205" w:type="dxa"/>
            <w:vAlign w:val="bottom"/>
          </w:tcPr>
          <w:p w14:paraId="7F499913" w14:textId="77777777" w:rsidR="0007132E" w:rsidRPr="0081032F" w:rsidRDefault="0007132E" w:rsidP="00A32671">
            <w:pPr>
              <w:pStyle w:val="Tabletext"/>
              <w:keepNext/>
              <w:keepLines/>
              <w:jc w:val="center"/>
            </w:pPr>
            <w:r w:rsidRPr="0081032F">
              <w:t>$0</w:t>
            </w:r>
          </w:p>
        </w:tc>
        <w:tc>
          <w:tcPr>
            <w:tcW w:w="1205" w:type="dxa"/>
            <w:vAlign w:val="bottom"/>
          </w:tcPr>
          <w:p w14:paraId="45827B97" w14:textId="77777777" w:rsidR="0007132E" w:rsidRPr="0081032F" w:rsidRDefault="0007132E" w:rsidP="00A32671">
            <w:pPr>
              <w:pStyle w:val="Tabletext"/>
              <w:keepNext/>
              <w:keepLines/>
              <w:jc w:val="center"/>
            </w:pPr>
            <w:r w:rsidRPr="0081032F">
              <w:t>$0</w:t>
            </w:r>
          </w:p>
        </w:tc>
        <w:tc>
          <w:tcPr>
            <w:tcW w:w="1206" w:type="dxa"/>
            <w:vAlign w:val="bottom"/>
          </w:tcPr>
          <w:p w14:paraId="39CC3C47" w14:textId="77777777" w:rsidR="0007132E" w:rsidRPr="0081032F" w:rsidRDefault="0007132E" w:rsidP="00A32671">
            <w:pPr>
              <w:pStyle w:val="Tabletext"/>
              <w:keepNext/>
              <w:keepLines/>
              <w:jc w:val="center"/>
            </w:pPr>
            <w:r w:rsidRPr="0081032F">
              <w:t>$0</w:t>
            </w:r>
          </w:p>
        </w:tc>
      </w:tr>
      <w:tr w:rsidR="0007132E" w:rsidRPr="00C61670" w14:paraId="09BC1685" w14:textId="77777777" w:rsidTr="00AA0FE0">
        <w:tc>
          <w:tcPr>
            <w:tcW w:w="1836" w:type="dxa"/>
            <w:vAlign w:val="center"/>
          </w:tcPr>
          <w:p w14:paraId="5BEE4884" w14:textId="77777777" w:rsidR="0007132E" w:rsidRPr="0081032F" w:rsidRDefault="0007132E" w:rsidP="00A32671">
            <w:pPr>
              <w:pStyle w:val="Tabletext"/>
              <w:keepNext/>
              <w:keepLines/>
            </w:pPr>
            <w:r w:rsidRPr="0081032F">
              <w:t>Incremental administration cost</w:t>
            </w:r>
          </w:p>
        </w:tc>
        <w:tc>
          <w:tcPr>
            <w:tcW w:w="1205" w:type="dxa"/>
            <w:vAlign w:val="center"/>
          </w:tcPr>
          <w:p w14:paraId="5F60CE70" w14:textId="77777777" w:rsidR="0007132E" w:rsidRPr="0081032F" w:rsidRDefault="0007132E" w:rsidP="00A32671">
            <w:pPr>
              <w:pStyle w:val="Tabletext"/>
              <w:keepNext/>
              <w:keepLines/>
              <w:jc w:val="center"/>
            </w:pPr>
            <w:r w:rsidRPr="0081032F">
              <w:t>-$1,308</w:t>
            </w:r>
          </w:p>
        </w:tc>
        <w:tc>
          <w:tcPr>
            <w:tcW w:w="1205" w:type="dxa"/>
            <w:vAlign w:val="center"/>
          </w:tcPr>
          <w:p w14:paraId="1FDC7A67" w14:textId="77777777" w:rsidR="0007132E" w:rsidRPr="0081032F" w:rsidRDefault="0007132E" w:rsidP="00A32671">
            <w:pPr>
              <w:pStyle w:val="Tabletext"/>
              <w:keepNext/>
              <w:keepLines/>
              <w:jc w:val="center"/>
            </w:pPr>
            <w:r w:rsidRPr="0081032F">
              <w:t>-$1,308</w:t>
            </w:r>
          </w:p>
        </w:tc>
        <w:tc>
          <w:tcPr>
            <w:tcW w:w="1205" w:type="dxa"/>
            <w:vAlign w:val="center"/>
          </w:tcPr>
          <w:p w14:paraId="6850817B" w14:textId="77777777" w:rsidR="0007132E" w:rsidRPr="0081032F" w:rsidRDefault="0007132E" w:rsidP="00A32671">
            <w:pPr>
              <w:pStyle w:val="Tabletext"/>
              <w:keepNext/>
              <w:keepLines/>
              <w:jc w:val="center"/>
            </w:pPr>
            <w:r w:rsidRPr="0081032F">
              <w:t>-$1,308</w:t>
            </w:r>
          </w:p>
        </w:tc>
        <w:tc>
          <w:tcPr>
            <w:tcW w:w="1205" w:type="dxa"/>
            <w:vAlign w:val="center"/>
          </w:tcPr>
          <w:p w14:paraId="73843122" w14:textId="77777777" w:rsidR="0007132E" w:rsidRPr="0081032F" w:rsidRDefault="0007132E" w:rsidP="00A32671">
            <w:pPr>
              <w:pStyle w:val="Tabletext"/>
              <w:keepNext/>
              <w:keepLines/>
              <w:jc w:val="center"/>
            </w:pPr>
            <w:r w:rsidRPr="0081032F">
              <w:t>-$1,308</w:t>
            </w:r>
          </w:p>
        </w:tc>
        <w:tc>
          <w:tcPr>
            <w:tcW w:w="1205" w:type="dxa"/>
            <w:vAlign w:val="center"/>
          </w:tcPr>
          <w:p w14:paraId="315DE34F" w14:textId="77777777" w:rsidR="0007132E" w:rsidRPr="0081032F" w:rsidRDefault="0007132E" w:rsidP="00A32671">
            <w:pPr>
              <w:pStyle w:val="Tabletext"/>
              <w:keepNext/>
              <w:keepLines/>
              <w:jc w:val="center"/>
            </w:pPr>
            <w:r w:rsidRPr="0081032F">
              <w:t>-$1,308</w:t>
            </w:r>
          </w:p>
        </w:tc>
        <w:tc>
          <w:tcPr>
            <w:tcW w:w="1206" w:type="dxa"/>
            <w:vAlign w:val="center"/>
          </w:tcPr>
          <w:p w14:paraId="79E60E36" w14:textId="77777777" w:rsidR="0007132E" w:rsidRPr="0081032F" w:rsidRDefault="0007132E" w:rsidP="00A32671">
            <w:pPr>
              <w:pStyle w:val="Tabletext"/>
              <w:keepNext/>
              <w:keepLines/>
              <w:jc w:val="center"/>
            </w:pPr>
            <w:r w:rsidRPr="0081032F">
              <w:t>-$6,539</w:t>
            </w:r>
          </w:p>
        </w:tc>
      </w:tr>
      <w:tr w:rsidR="0007132E" w:rsidRPr="00C61670" w14:paraId="17339A5F" w14:textId="77777777" w:rsidTr="00AA0FE0">
        <w:tc>
          <w:tcPr>
            <w:tcW w:w="1836" w:type="dxa"/>
            <w:vAlign w:val="center"/>
          </w:tcPr>
          <w:p w14:paraId="0FB8AB2F" w14:textId="77777777" w:rsidR="0007132E" w:rsidRPr="0081032F" w:rsidRDefault="0007132E" w:rsidP="00A32671">
            <w:pPr>
              <w:pStyle w:val="Tabletext"/>
              <w:keepNext/>
              <w:keepLines/>
              <w:rPr>
                <w:b/>
              </w:rPr>
            </w:pPr>
            <w:r w:rsidRPr="0081032F">
              <w:rPr>
                <w:b/>
              </w:rPr>
              <w:t>Total incremental cost</w:t>
            </w:r>
          </w:p>
        </w:tc>
        <w:tc>
          <w:tcPr>
            <w:tcW w:w="1205" w:type="dxa"/>
            <w:vAlign w:val="center"/>
          </w:tcPr>
          <w:p w14:paraId="3A8BECC3" w14:textId="77777777" w:rsidR="0007132E" w:rsidRPr="0081032F" w:rsidRDefault="0007132E" w:rsidP="00A32671">
            <w:pPr>
              <w:pStyle w:val="Tabletext"/>
              <w:keepNext/>
              <w:keepLines/>
              <w:jc w:val="center"/>
            </w:pPr>
            <w:r w:rsidRPr="0081032F">
              <w:t>-$1,308</w:t>
            </w:r>
          </w:p>
        </w:tc>
        <w:tc>
          <w:tcPr>
            <w:tcW w:w="1205" w:type="dxa"/>
            <w:vAlign w:val="center"/>
          </w:tcPr>
          <w:p w14:paraId="2506C1A5" w14:textId="77777777" w:rsidR="0007132E" w:rsidRPr="0081032F" w:rsidRDefault="0007132E" w:rsidP="00A32671">
            <w:pPr>
              <w:pStyle w:val="Tabletext"/>
              <w:keepNext/>
              <w:keepLines/>
              <w:jc w:val="center"/>
            </w:pPr>
            <w:r w:rsidRPr="0081032F">
              <w:t>-$1,308</w:t>
            </w:r>
          </w:p>
        </w:tc>
        <w:tc>
          <w:tcPr>
            <w:tcW w:w="1205" w:type="dxa"/>
            <w:vAlign w:val="center"/>
          </w:tcPr>
          <w:p w14:paraId="0F3F9164" w14:textId="77777777" w:rsidR="0007132E" w:rsidRPr="0081032F" w:rsidRDefault="0007132E" w:rsidP="00A32671">
            <w:pPr>
              <w:pStyle w:val="Tabletext"/>
              <w:keepNext/>
              <w:keepLines/>
              <w:jc w:val="center"/>
            </w:pPr>
            <w:r w:rsidRPr="0081032F">
              <w:t>-$1,308</w:t>
            </w:r>
          </w:p>
        </w:tc>
        <w:tc>
          <w:tcPr>
            <w:tcW w:w="1205" w:type="dxa"/>
            <w:vAlign w:val="center"/>
          </w:tcPr>
          <w:p w14:paraId="14B95085" w14:textId="77777777" w:rsidR="0007132E" w:rsidRPr="0081032F" w:rsidRDefault="0007132E" w:rsidP="00A32671">
            <w:pPr>
              <w:pStyle w:val="Tabletext"/>
              <w:keepNext/>
              <w:keepLines/>
              <w:jc w:val="center"/>
            </w:pPr>
            <w:r w:rsidRPr="0081032F">
              <w:t>-$1,308</w:t>
            </w:r>
          </w:p>
        </w:tc>
        <w:tc>
          <w:tcPr>
            <w:tcW w:w="1205" w:type="dxa"/>
            <w:vAlign w:val="center"/>
          </w:tcPr>
          <w:p w14:paraId="2452B1B8" w14:textId="77777777" w:rsidR="0007132E" w:rsidRPr="0081032F" w:rsidRDefault="0007132E" w:rsidP="00A32671">
            <w:pPr>
              <w:pStyle w:val="Tabletext"/>
              <w:keepNext/>
              <w:keepLines/>
              <w:jc w:val="center"/>
            </w:pPr>
            <w:r w:rsidRPr="0081032F">
              <w:t>-$1,308</w:t>
            </w:r>
          </w:p>
        </w:tc>
        <w:tc>
          <w:tcPr>
            <w:tcW w:w="1206" w:type="dxa"/>
            <w:vAlign w:val="center"/>
          </w:tcPr>
          <w:p w14:paraId="1378AA8D" w14:textId="77777777" w:rsidR="0007132E" w:rsidRPr="0081032F" w:rsidRDefault="0007132E" w:rsidP="00A32671">
            <w:pPr>
              <w:pStyle w:val="Tabletext"/>
              <w:keepNext/>
              <w:keepLines/>
              <w:jc w:val="center"/>
            </w:pPr>
            <w:r w:rsidRPr="0081032F">
              <w:t>-$6,539</w:t>
            </w:r>
          </w:p>
        </w:tc>
      </w:tr>
    </w:tbl>
    <w:p w14:paraId="31B5FC5D" w14:textId="3B2D61FB" w:rsidR="0007132E" w:rsidRPr="00C61670" w:rsidRDefault="0007132E" w:rsidP="00A32671">
      <w:pPr>
        <w:pStyle w:val="FooterTableFigure"/>
        <w:keepNext/>
        <w:keepLines/>
      </w:pPr>
      <w:r w:rsidRPr="00C61670">
        <w:rPr>
          <w:vertAlign w:val="superscript"/>
        </w:rPr>
        <w:t>a</w:t>
      </w:r>
      <w:r w:rsidRPr="00C61670">
        <w:t xml:space="preserve"> Steady state dosing: risdiplam = 5</w:t>
      </w:r>
      <w:r w:rsidR="00D35C77">
        <w:t xml:space="preserve"> </w:t>
      </w:r>
      <w:r w:rsidRPr="00C61670">
        <w:t>mg/patient/day; nusinersen = 12</w:t>
      </w:r>
      <w:r w:rsidR="00D35C77">
        <w:t xml:space="preserve"> </w:t>
      </w:r>
      <w:r w:rsidRPr="00C61670">
        <w:t>mg/dose, 3 doses/year (no loading doses)</w:t>
      </w:r>
    </w:p>
    <w:p w14:paraId="2D9F4B10" w14:textId="1CBFE595" w:rsidR="0007132E" w:rsidRPr="00C61670" w:rsidRDefault="0007132E" w:rsidP="00A32671">
      <w:pPr>
        <w:pStyle w:val="FooterTableFigure"/>
        <w:keepNext/>
        <w:keepLines/>
      </w:pPr>
      <w:r w:rsidRPr="00C61670">
        <w:rPr>
          <w:vertAlign w:val="superscript"/>
        </w:rPr>
        <w:t>b</w:t>
      </w:r>
      <w:r w:rsidRPr="00C61670">
        <w:t xml:space="preserve"> For steady state dosing patients weigh ≥20kg and the number of bottles per year is 30.44 based on a dose of 5</w:t>
      </w:r>
      <w:r w:rsidR="00D35C77">
        <w:t xml:space="preserve"> </w:t>
      </w:r>
      <w:r w:rsidRPr="00C61670">
        <w:t xml:space="preserve">mg per day. </w:t>
      </w:r>
    </w:p>
    <w:p w14:paraId="530F5F08" w14:textId="39324AF4" w:rsidR="0007132E" w:rsidRPr="00C61670" w:rsidRDefault="0007132E" w:rsidP="00A32671">
      <w:pPr>
        <w:pStyle w:val="FooterTableFigure"/>
        <w:keepNext/>
        <w:keepLines/>
      </w:pPr>
      <w:r w:rsidRPr="00C61670">
        <w:rPr>
          <w:vertAlign w:val="superscript"/>
        </w:rPr>
        <w:t>c</w:t>
      </w:r>
      <w:r w:rsidRPr="00C61670">
        <w:t xml:space="preserve"> Published ex-manufacturer prices at the time of the </w:t>
      </w:r>
      <w:r w:rsidR="0007089E">
        <w:t>submission</w:t>
      </w:r>
      <w:r w:rsidRPr="00C61670">
        <w:t xml:space="preserve">, The nusinersen published ex-manufacturer price </w:t>
      </w:r>
      <w:r w:rsidR="00D35C77">
        <w:t>at the time of the evaluation wa</w:t>
      </w:r>
      <w:r w:rsidRPr="00C61670">
        <w:t>s $104,500 (effective 1 May 2024).</w:t>
      </w:r>
    </w:p>
    <w:p w14:paraId="7706BB22" w14:textId="36404A92" w:rsidR="0007132E" w:rsidRPr="00C61670" w:rsidRDefault="0007132E" w:rsidP="00A32671">
      <w:pPr>
        <w:pStyle w:val="FooterTableFigure"/>
        <w:keepNext/>
        <w:keepLines/>
      </w:pPr>
      <w:r w:rsidRPr="00C61670">
        <w:t xml:space="preserve">Source: Calculated during the evaluation based on the </w:t>
      </w:r>
      <w:r w:rsidR="0007089E">
        <w:t>submission</w:t>
      </w:r>
      <w:r w:rsidRPr="00C61670">
        <w:t>’s spreadsheet Cost minimisation analyses.xlsx</w:t>
      </w:r>
    </w:p>
    <w:p w14:paraId="34435962" w14:textId="5F46F5EC" w:rsidR="00F1689C" w:rsidRPr="0081032F" w:rsidRDefault="00C5339B" w:rsidP="00377BF7">
      <w:pPr>
        <w:pStyle w:val="3-BodyText"/>
      </w:pPr>
      <w:r w:rsidRPr="0081032F">
        <w:t>T</w:t>
      </w:r>
      <w:r w:rsidR="00F1689C" w:rsidRPr="0081032F">
        <w:t xml:space="preserve">he CMA </w:t>
      </w:r>
      <w:r w:rsidRPr="0081032F">
        <w:t>presented in the submission was calculated</w:t>
      </w:r>
      <w:r w:rsidR="00F1689C" w:rsidRPr="0081032F">
        <w:t xml:space="preserve"> using the </w:t>
      </w:r>
      <w:r w:rsidRPr="0081032F">
        <w:t xml:space="preserve">published </w:t>
      </w:r>
      <w:r w:rsidR="00FE00CE">
        <w:t>AEMP</w:t>
      </w:r>
      <w:r w:rsidR="00FE00CE" w:rsidRPr="0081032F">
        <w:t xml:space="preserve"> </w:t>
      </w:r>
      <w:r w:rsidR="00BD1A41" w:rsidRPr="0081032F">
        <w:t>for risdiplam and nusinersen</w:t>
      </w:r>
      <w:r w:rsidRPr="0081032F">
        <w:t xml:space="preserve">, as the </w:t>
      </w:r>
      <w:r w:rsidR="00BD1A41" w:rsidRPr="0081032F">
        <w:t xml:space="preserve">nusinersen </w:t>
      </w:r>
      <w:r w:rsidRPr="0081032F">
        <w:t>effective price was not available to the sponsor</w:t>
      </w:r>
      <w:r w:rsidR="00BD1A41" w:rsidRPr="0081032F">
        <w:t xml:space="preserve"> at the time of submission</w:t>
      </w:r>
      <w:r w:rsidRPr="0081032F">
        <w:t xml:space="preserve">. </w:t>
      </w:r>
    </w:p>
    <w:p w14:paraId="5845F74B" w14:textId="54CF6ADC" w:rsidR="0007132E" w:rsidRPr="0081032F" w:rsidRDefault="0007132E" w:rsidP="0007132E">
      <w:pPr>
        <w:pStyle w:val="3-BodyText"/>
      </w:pPr>
      <w:r w:rsidRPr="0081032F">
        <w:t>No risdiplam wastage was accounted for in the CMA, likely resulting in an underestimate of the amount of risdiplam dispensed. For the March 2023 risdiplam submission, DUSC considered scripts per year to be underestimated particularly in older children due to wastage associated with liquid formulations (paragraphs 6.78 and 6.86, risdiplam PSD, March 2023 PBAC meeting).</w:t>
      </w:r>
    </w:p>
    <w:p w14:paraId="47AC4ED5" w14:textId="542C7E4F" w:rsidR="0007132E" w:rsidRPr="0081032F" w:rsidRDefault="0007132E" w:rsidP="0007132E">
      <w:pPr>
        <w:pStyle w:val="3-BodyText"/>
      </w:pPr>
      <w:r w:rsidRPr="0081032F">
        <w:t xml:space="preserve">The </w:t>
      </w:r>
      <w:r w:rsidR="0007089E" w:rsidRPr="0081032F">
        <w:t>submission</w:t>
      </w:r>
      <w:r w:rsidRPr="0081032F">
        <w:t xml:space="preserve"> did not present a CMA to compare risdiplam versus ONA. </w:t>
      </w:r>
    </w:p>
    <w:p w14:paraId="38592928" w14:textId="77777777" w:rsidR="0007132E" w:rsidRPr="00C61670" w:rsidRDefault="0007132E" w:rsidP="0007132E">
      <w:pPr>
        <w:pStyle w:val="4-SubsectionHeading"/>
      </w:pPr>
      <w:bookmarkStart w:id="45" w:name="_Toc167202928"/>
      <w:r w:rsidRPr="00C61670">
        <w:t>Drug cost/patient/year $330,000 (published price, steady state dose)</w:t>
      </w:r>
      <w:bookmarkEnd w:id="45"/>
    </w:p>
    <w:p w14:paraId="4F8CACF6" w14:textId="7604999C" w:rsidR="0007132E" w:rsidRPr="00C61670" w:rsidRDefault="0007132E" w:rsidP="0007132E">
      <w:pPr>
        <w:pStyle w:val="3-BodyText"/>
      </w:pPr>
      <w:r w:rsidRPr="00C61670">
        <w:t xml:space="preserve">In the CMA presented in the </w:t>
      </w:r>
      <w:r w:rsidR="0007089E">
        <w:t>submission</w:t>
      </w:r>
      <w:r w:rsidRPr="00C61670">
        <w:t>, the risdiplam drug cost/patient/year was estimated to be $96,924 in Year 1</w:t>
      </w:r>
      <w:r w:rsidR="00EF210A">
        <w:t>, increasing</w:t>
      </w:r>
      <w:r w:rsidRPr="00C61670">
        <w:t xml:space="preserve"> to $285,931 in Year 6, assuming no discontinuations or wastage. This was based on the published price of risdiplam with dosing based on the patient’s weight and age.</w:t>
      </w:r>
    </w:p>
    <w:p w14:paraId="62D43381" w14:textId="47A21E9B" w:rsidR="0007132E" w:rsidRPr="00FE6642" w:rsidRDefault="0007132E" w:rsidP="0007132E">
      <w:pPr>
        <w:pStyle w:val="3-BodyText"/>
        <w:rPr>
          <w:snapToGrid/>
        </w:rPr>
      </w:pPr>
      <w:r w:rsidRPr="00C61670">
        <w:lastRenderedPageBreak/>
        <w:t xml:space="preserve">Based on a steady state dose (5 mg per day), risdiplam was estimated to cost $330,000 per patient per year, assuming no discontinuations or wastage, based on the published price of risdiplam. </w:t>
      </w:r>
    </w:p>
    <w:p w14:paraId="14D22245" w14:textId="2C149588" w:rsidR="005C7435" w:rsidRPr="005C7435" w:rsidRDefault="00FE6642" w:rsidP="0007132E">
      <w:pPr>
        <w:pStyle w:val="3-BodyText"/>
        <w:rPr>
          <w:snapToGrid/>
        </w:rPr>
      </w:pPr>
      <w:r>
        <w:t xml:space="preserve">The number of bottles of risdiplam </w:t>
      </w:r>
      <w:r w:rsidR="00264700">
        <w:t xml:space="preserve">used </w:t>
      </w:r>
      <w:r>
        <w:t xml:space="preserve">per patient </w:t>
      </w:r>
      <w:r w:rsidR="00264700">
        <w:t>as presented in the CMA in the submission, in the CMA using risdiplam steady state dosing (5</w:t>
      </w:r>
      <w:r w:rsidR="007D5F75">
        <w:t xml:space="preserve"> </w:t>
      </w:r>
      <w:r w:rsidR="00264700">
        <w:t>mg/day) and as</w:t>
      </w:r>
      <w:r>
        <w:t xml:space="preserve"> presented </w:t>
      </w:r>
      <w:r w:rsidR="00264700">
        <w:t xml:space="preserve">in the financial estimates are presented </w:t>
      </w:r>
      <w:r>
        <w:t>in</w:t>
      </w:r>
      <w:r w:rsidR="00E97591">
        <w:t xml:space="preserve"> </w:t>
      </w:r>
      <w:r w:rsidR="00E97591">
        <w:fldChar w:fldCharType="begin" w:fldLock="1"/>
      </w:r>
      <w:r w:rsidR="00E97591">
        <w:instrText xml:space="preserve"> REF _Ref166955601 \h </w:instrText>
      </w:r>
      <w:r w:rsidR="00E97591">
        <w:fldChar w:fldCharType="separate"/>
      </w:r>
      <w:r w:rsidR="00AA25E7">
        <w:t xml:space="preserve">Table </w:t>
      </w:r>
      <w:r w:rsidR="00AA25E7">
        <w:rPr>
          <w:noProof/>
        </w:rPr>
        <w:t>13</w:t>
      </w:r>
      <w:r w:rsidR="00E97591">
        <w:fldChar w:fldCharType="end"/>
      </w:r>
      <w:r>
        <w:t>.</w:t>
      </w:r>
      <w:r w:rsidR="0022060B">
        <w:t xml:space="preserve"> </w:t>
      </w:r>
    </w:p>
    <w:p w14:paraId="411D033B" w14:textId="143093ED" w:rsidR="00FE6642" w:rsidRPr="00FE6642" w:rsidRDefault="007102AF" w:rsidP="0007132E">
      <w:pPr>
        <w:pStyle w:val="3-BodyText"/>
        <w:rPr>
          <w:snapToGrid/>
        </w:rPr>
      </w:pPr>
      <w:r w:rsidRPr="0081032F">
        <w:rPr>
          <w:iCs/>
        </w:rPr>
        <w:t xml:space="preserve">The difference in the number of bottles in the CMA </w:t>
      </w:r>
      <w:r w:rsidR="00FE3153" w:rsidRPr="0081032F">
        <w:rPr>
          <w:iCs/>
        </w:rPr>
        <w:t xml:space="preserve">and the financial estimates </w:t>
      </w:r>
      <w:r w:rsidR="00952AD6" w:rsidRPr="0081032F">
        <w:rPr>
          <w:iCs/>
        </w:rPr>
        <w:t xml:space="preserve">in year </w:t>
      </w:r>
      <w:r w:rsidR="005C7435" w:rsidRPr="0081032F">
        <w:rPr>
          <w:iCs/>
        </w:rPr>
        <w:t xml:space="preserve">1 </w:t>
      </w:r>
      <w:r w:rsidR="00952AD6" w:rsidRPr="0081032F">
        <w:rPr>
          <w:iCs/>
        </w:rPr>
        <w:t xml:space="preserve">was </w:t>
      </w:r>
      <w:r w:rsidR="00FE3153" w:rsidRPr="0081032F">
        <w:rPr>
          <w:iCs/>
        </w:rPr>
        <w:t>due to</w:t>
      </w:r>
      <w:r w:rsidR="00243220" w:rsidRPr="0081032F">
        <w:rPr>
          <w:iCs/>
        </w:rPr>
        <w:t xml:space="preserve"> </w:t>
      </w:r>
      <w:r w:rsidR="005C7435" w:rsidRPr="0081032F">
        <w:rPr>
          <w:iCs/>
        </w:rPr>
        <w:t>different methods of estimating patient weight</w:t>
      </w:r>
      <w:r w:rsidR="00952AD6" w:rsidRPr="0081032F">
        <w:rPr>
          <w:iCs/>
        </w:rPr>
        <w:t xml:space="preserve">. </w:t>
      </w:r>
      <w:r w:rsidR="005C7435" w:rsidRPr="0081032F">
        <w:rPr>
          <w:iCs/>
        </w:rPr>
        <w:t xml:space="preserve">The CMA estimated the weight </w:t>
      </w:r>
      <w:r w:rsidR="00BD27B2" w:rsidRPr="0081032F">
        <w:rPr>
          <w:iCs/>
        </w:rPr>
        <w:t xml:space="preserve">every month whereas the financial estimates used an average weight based on the weight at the end of a treatment period. </w:t>
      </w:r>
      <w:r w:rsidR="00952AD6" w:rsidRPr="0081032F">
        <w:rPr>
          <w:iCs/>
        </w:rPr>
        <w:t xml:space="preserve">The difference in subsequent years was due to the </w:t>
      </w:r>
      <w:r w:rsidR="002D2845" w:rsidRPr="0081032F">
        <w:rPr>
          <w:iCs/>
        </w:rPr>
        <w:t xml:space="preserve">average for the number of bottles in the </w:t>
      </w:r>
      <w:r w:rsidR="00952AD6" w:rsidRPr="0081032F">
        <w:rPr>
          <w:iCs/>
        </w:rPr>
        <w:t xml:space="preserve">financial estimates including </w:t>
      </w:r>
      <w:r w:rsidR="002D2845" w:rsidRPr="0081032F">
        <w:rPr>
          <w:iCs/>
        </w:rPr>
        <w:t>incident patients (who use fewer bottles) as well as prevalent patients.</w:t>
      </w:r>
      <w:r w:rsidR="00952AD6" w:rsidRPr="0081032F">
        <w:rPr>
          <w:iCs/>
        </w:rPr>
        <w:t xml:space="preserve"> </w:t>
      </w:r>
      <w:r w:rsidR="00C93949" w:rsidRPr="0081032F">
        <w:rPr>
          <w:iCs/>
        </w:rPr>
        <w:t xml:space="preserve">These figures </w:t>
      </w:r>
      <w:r w:rsidR="00AA6F97" w:rsidRPr="0081032F">
        <w:rPr>
          <w:iCs/>
        </w:rPr>
        <w:t xml:space="preserve">also </w:t>
      </w:r>
      <w:r w:rsidR="00BF2D9C" w:rsidRPr="0081032F">
        <w:rPr>
          <w:iCs/>
        </w:rPr>
        <w:t>demonstrate</w:t>
      </w:r>
      <w:r w:rsidR="00C93949" w:rsidRPr="0081032F">
        <w:rPr>
          <w:iCs/>
        </w:rPr>
        <w:t xml:space="preserve"> the difference in the number of bottles used per patient depending on whether calculations </w:t>
      </w:r>
      <w:r w:rsidR="00FE241F" w:rsidRPr="0081032F">
        <w:rPr>
          <w:iCs/>
        </w:rPr>
        <w:t>use</w:t>
      </w:r>
      <w:r w:rsidR="00C93949" w:rsidRPr="0081032F">
        <w:rPr>
          <w:iCs/>
        </w:rPr>
        <w:t xml:space="preserve"> risdiplam weight-based dosing </w:t>
      </w:r>
      <w:r w:rsidR="001201C4" w:rsidRPr="0081032F">
        <w:rPr>
          <w:iCs/>
        </w:rPr>
        <w:t>or</w:t>
      </w:r>
      <w:r w:rsidR="00C93949" w:rsidRPr="0081032F">
        <w:rPr>
          <w:iCs/>
        </w:rPr>
        <w:t xml:space="preserve"> steady state dosing.</w:t>
      </w:r>
    </w:p>
    <w:p w14:paraId="2FF3561E" w14:textId="3AAC7905" w:rsidR="00FE6642" w:rsidRPr="00C61670" w:rsidRDefault="00E97591" w:rsidP="00E97591">
      <w:pPr>
        <w:pStyle w:val="Caption"/>
      </w:pPr>
      <w:bookmarkStart w:id="46" w:name="_Ref166955601"/>
      <w:r>
        <w:t xml:space="preserve">Table </w:t>
      </w:r>
      <w:r w:rsidR="002906A9">
        <w:fldChar w:fldCharType="begin" w:fldLock="1"/>
      </w:r>
      <w:r w:rsidR="002906A9">
        <w:instrText xml:space="preserve"> SEQ Table \* ARABIC </w:instrText>
      </w:r>
      <w:r w:rsidR="002906A9">
        <w:fldChar w:fldCharType="separate"/>
      </w:r>
      <w:r w:rsidR="00AA25E7">
        <w:rPr>
          <w:noProof/>
        </w:rPr>
        <w:t>13</w:t>
      </w:r>
      <w:r w:rsidR="002906A9">
        <w:rPr>
          <w:noProof/>
        </w:rPr>
        <w:fldChar w:fldCharType="end"/>
      </w:r>
      <w:bookmarkEnd w:id="46"/>
      <w:r w:rsidR="00FE6642" w:rsidRPr="00C61670">
        <w:t xml:space="preserve">: </w:t>
      </w:r>
      <w:r w:rsidR="00264700">
        <w:t>Number of bottles of risdiplam used per patient</w:t>
      </w:r>
      <w:r w:rsidR="001201C4">
        <w:t xml:space="preserve"> per year</w:t>
      </w:r>
    </w:p>
    <w:tbl>
      <w:tblPr>
        <w:tblStyle w:val="TableGrid"/>
        <w:tblW w:w="9067" w:type="dxa"/>
        <w:tblLayout w:type="fixed"/>
        <w:tblLook w:val="04A0" w:firstRow="1" w:lastRow="0" w:firstColumn="1" w:lastColumn="0" w:noHBand="0" w:noVBand="1"/>
        <w:tblCaption w:val="Table 13: Number of bottles of risdiplam used per patient per year"/>
      </w:tblPr>
      <w:tblGrid>
        <w:gridCol w:w="1980"/>
        <w:gridCol w:w="1061"/>
        <w:gridCol w:w="1205"/>
        <w:gridCol w:w="1205"/>
        <w:gridCol w:w="1205"/>
        <w:gridCol w:w="1205"/>
        <w:gridCol w:w="1206"/>
      </w:tblGrid>
      <w:tr w:rsidR="00FE6642" w:rsidRPr="00C61670" w14:paraId="43054B6D" w14:textId="77777777" w:rsidTr="00C3412E">
        <w:trPr>
          <w:tblHeader/>
        </w:trPr>
        <w:tc>
          <w:tcPr>
            <w:tcW w:w="1980" w:type="dxa"/>
            <w:vAlign w:val="center"/>
          </w:tcPr>
          <w:p w14:paraId="253B850E" w14:textId="77777777" w:rsidR="00FE6642" w:rsidRPr="00C61670" w:rsidRDefault="00FE6642" w:rsidP="00520E93">
            <w:pPr>
              <w:pStyle w:val="In-tableHeading"/>
              <w:keepLines/>
              <w:rPr>
                <w:lang w:val="en-AU"/>
              </w:rPr>
            </w:pPr>
          </w:p>
        </w:tc>
        <w:tc>
          <w:tcPr>
            <w:tcW w:w="7087" w:type="dxa"/>
            <w:gridSpan w:val="6"/>
            <w:vAlign w:val="center"/>
          </w:tcPr>
          <w:p w14:paraId="317A7C74" w14:textId="7A384C6C" w:rsidR="00FE6642" w:rsidRPr="00C61670" w:rsidRDefault="00FE6642" w:rsidP="00520E93">
            <w:pPr>
              <w:pStyle w:val="In-tableHeading"/>
              <w:keepLines/>
              <w:jc w:val="center"/>
              <w:rPr>
                <w:lang w:val="en-AU"/>
              </w:rPr>
            </w:pPr>
            <w:r>
              <w:rPr>
                <w:lang w:val="en-AU"/>
              </w:rPr>
              <w:t>Risdiplam, number of bottles</w:t>
            </w:r>
            <w:r w:rsidR="00FC0C39">
              <w:rPr>
                <w:lang w:val="en-AU"/>
              </w:rPr>
              <w:t xml:space="preserve"> used</w:t>
            </w:r>
            <w:r w:rsidR="00C3412E">
              <w:rPr>
                <w:lang w:val="en-AU"/>
              </w:rPr>
              <w:t xml:space="preserve"> per patient</w:t>
            </w:r>
          </w:p>
        </w:tc>
      </w:tr>
      <w:tr w:rsidR="00FE6642" w:rsidRPr="00C61670" w14:paraId="7B5E1AA9" w14:textId="77777777" w:rsidTr="00C3412E">
        <w:trPr>
          <w:tblHeader/>
        </w:trPr>
        <w:tc>
          <w:tcPr>
            <w:tcW w:w="1980" w:type="dxa"/>
            <w:vAlign w:val="center"/>
          </w:tcPr>
          <w:p w14:paraId="1A671E43" w14:textId="77777777" w:rsidR="00FE6642" w:rsidRPr="00C61670" w:rsidRDefault="00FE6642" w:rsidP="00FE6642">
            <w:pPr>
              <w:pStyle w:val="In-tableHeading"/>
              <w:keepLines/>
              <w:rPr>
                <w:lang w:val="en-AU"/>
              </w:rPr>
            </w:pPr>
          </w:p>
        </w:tc>
        <w:tc>
          <w:tcPr>
            <w:tcW w:w="1061" w:type="dxa"/>
            <w:vAlign w:val="center"/>
          </w:tcPr>
          <w:p w14:paraId="01009F8D" w14:textId="17445A7E" w:rsidR="00FE6642" w:rsidRPr="00C61670" w:rsidRDefault="00FE6642" w:rsidP="00FE6642">
            <w:pPr>
              <w:pStyle w:val="In-tableHeading"/>
              <w:keepLines/>
              <w:jc w:val="center"/>
              <w:rPr>
                <w:lang w:val="en-AU"/>
              </w:rPr>
            </w:pPr>
            <w:r w:rsidRPr="00C61670">
              <w:rPr>
                <w:lang w:val="en-AU"/>
              </w:rPr>
              <w:t>Year 1</w:t>
            </w:r>
          </w:p>
        </w:tc>
        <w:tc>
          <w:tcPr>
            <w:tcW w:w="1205" w:type="dxa"/>
            <w:vAlign w:val="center"/>
          </w:tcPr>
          <w:p w14:paraId="0FF581F9" w14:textId="345047C6" w:rsidR="00FE6642" w:rsidRPr="00C61670" w:rsidRDefault="00FE6642" w:rsidP="00FE6642">
            <w:pPr>
              <w:pStyle w:val="In-tableHeading"/>
              <w:keepLines/>
              <w:jc w:val="center"/>
              <w:rPr>
                <w:lang w:val="en-AU"/>
              </w:rPr>
            </w:pPr>
            <w:r w:rsidRPr="00C61670">
              <w:rPr>
                <w:lang w:val="en-AU"/>
              </w:rPr>
              <w:t>Year 2</w:t>
            </w:r>
          </w:p>
        </w:tc>
        <w:tc>
          <w:tcPr>
            <w:tcW w:w="1205" w:type="dxa"/>
            <w:vAlign w:val="center"/>
          </w:tcPr>
          <w:p w14:paraId="5887E534" w14:textId="06DE5305" w:rsidR="00FE6642" w:rsidRPr="00C61670" w:rsidRDefault="00FE6642" w:rsidP="00FE6642">
            <w:pPr>
              <w:pStyle w:val="In-tableHeading"/>
              <w:keepLines/>
              <w:jc w:val="center"/>
              <w:rPr>
                <w:lang w:val="en-AU"/>
              </w:rPr>
            </w:pPr>
            <w:r w:rsidRPr="00C61670">
              <w:rPr>
                <w:lang w:val="en-AU"/>
              </w:rPr>
              <w:t>Year 3</w:t>
            </w:r>
          </w:p>
        </w:tc>
        <w:tc>
          <w:tcPr>
            <w:tcW w:w="1205" w:type="dxa"/>
            <w:vAlign w:val="center"/>
          </w:tcPr>
          <w:p w14:paraId="7070E6A0" w14:textId="1A23A35C" w:rsidR="00FE6642" w:rsidRPr="00C61670" w:rsidRDefault="00FE6642" w:rsidP="00FE6642">
            <w:pPr>
              <w:pStyle w:val="In-tableHeading"/>
              <w:keepLines/>
              <w:jc w:val="center"/>
              <w:rPr>
                <w:lang w:val="en-AU"/>
              </w:rPr>
            </w:pPr>
            <w:r w:rsidRPr="00C61670">
              <w:rPr>
                <w:lang w:val="en-AU"/>
              </w:rPr>
              <w:t>Year 4</w:t>
            </w:r>
          </w:p>
        </w:tc>
        <w:tc>
          <w:tcPr>
            <w:tcW w:w="1205" w:type="dxa"/>
            <w:vAlign w:val="center"/>
          </w:tcPr>
          <w:p w14:paraId="364C6B7B" w14:textId="643ED145" w:rsidR="00FE6642" w:rsidRPr="00C61670" w:rsidRDefault="00FE6642" w:rsidP="00FE6642">
            <w:pPr>
              <w:pStyle w:val="In-tableHeading"/>
              <w:keepLines/>
              <w:jc w:val="center"/>
              <w:rPr>
                <w:lang w:val="en-AU"/>
              </w:rPr>
            </w:pPr>
            <w:r w:rsidRPr="00C61670">
              <w:rPr>
                <w:lang w:val="en-AU"/>
              </w:rPr>
              <w:t>Year 5</w:t>
            </w:r>
          </w:p>
        </w:tc>
        <w:tc>
          <w:tcPr>
            <w:tcW w:w="1206" w:type="dxa"/>
            <w:vAlign w:val="center"/>
          </w:tcPr>
          <w:p w14:paraId="2CC42221" w14:textId="58EF1D88" w:rsidR="00FE6642" w:rsidRPr="00C61670" w:rsidRDefault="00FE6642" w:rsidP="00FE6642">
            <w:pPr>
              <w:pStyle w:val="In-tableHeading"/>
              <w:keepLines/>
              <w:jc w:val="center"/>
              <w:rPr>
                <w:lang w:val="en-AU"/>
              </w:rPr>
            </w:pPr>
            <w:r w:rsidRPr="00C61670">
              <w:rPr>
                <w:lang w:val="en-AU"/>
              </w:rPr>
              <w:t>5 year total</w:t>
            </w:r>
          </w:p>
        </w:tc>
      </w:tr>
      <w:tr w:rsidR="00C3412E" w:rsidRPr="00C61670" w14:paraId="5AC952F9" w14:textId="77777777" w:rsidTr="00DB1A02">
        <w:tc>
          <w:tcPr>
            <w:tcW w:w="1980" w:type="dxa"/>
            <w:vAlign w:val="center"/>
          </w:tcPr>
          <w:p w14:paraId="751B24D4" w14:textId="11F850C8" w:rsidR="00C3412E" w:rsidRPr="00FE6642" w:rsidRDefault="00C3412E" w:rsidP="00C3412E">
            <w:pPr>
              <w:pStyle w:val="Tabletext"/>
              <w:keepNext/>
              <w:keepLines/>
              <w:rPr>
                <w:vertAlign w:val="superscript"/>
              </w:rPr>
            </w:pPr>
            <w:r>
              <w:t xml:space="preserve">CMA </w:t>
            </w:r>
            <w:r w:rsidR="00DB64AA">
              <w:t>as presented in the</w:t>
            </w:r>
            <w:r>
              <w:t xml:space="preserve"> submission </w:t>
            </w:r>
            <w:r w:rsidRPr="00FE6642">
              <w:rPr>
                <w:vertAlign w:val="superscript"/>
              </w:rPr>
              <w:t>a</w:t>
            </w:r>
          </w:p>
        </w:tc>
        <w:tc>
          <w:tcPr>
            <w:tcW w:w="1061" w:type="dxa"/>
            <w:vAlign w:val="center"/>
          </w:tcPr>
          <w:p w14:paraId="2D60C297" w14:textId="0D61249D" w:rsidR="00C3412E" w:rsidRPr="00FE6642" w:rsidRDefault="00C3412E" w:rsidP="00C3412E">
            <w:pPr>
              <w:pStyle w:val="Tabletext"/>
              <w:keepNext/>
              <w:keepLines/>
              <w:jc w:val="center"/>
            </w:pPr>
            <w:r w:rsidRPr="00C61670">
              <w:t>8.94</w:t>
            </w:r>
          </w:p>
        </w:tc>
        <w:tc>
          <w:tcPr>
            <w:tcW w:w="1205" w:type="dxa"/>
            <w:vAlign w:val="center"/>
          </w:tcPr>
          <w:p w14:paraId="7415F225" w14:textId="62C6527B" w:rsidR="00C3412E" w:rsidRPr="00FE6642" w:rsidRDefault="00C3412E" w:rsidP="00C3412E">
            <w:pPr>
              <w:pStyle w:val="Tabletext"/>
              <w:keepNext/>
              <w:keepLines/>
              <w:jc w:val="center"/>
            </w:pPr>
            <w:r w:rsidRPr="00C61670">
              <w:t>13.30</w:t>
            </w:r>
          </w:p>
        </w:tc>
        <w:tc>
          <w:tcPr>
            <w:tcW w:w="1205" w:type="dxa"/>
            <w:vAlign w:val="center"/>
          </w:tcPr>
          <w:p w14:paraId="08F766BD" w14:textId="6D572268" w:rsidR="00C3412E" w:rsidRPr="00FE6642" w:rsidRDefault="00C3412E" w:rsidP="00C3412E">
            <w:pPr>
              <w:pStyle w:val="Tabletext"/>
              <w:keepNext/>
              <w:keepLines/>
              <w:jc w:val="center"/>
            </w:pPr>
            <w:r w:rsidRPr="00C61670">
              <w:t>19.91</w:t>
            </w:r>
          </w:p>
        </w:tc>
        <w:tc>
          <w:tcPr>
            <w:tcW w:w="1205" w:type="dxa"/>
            <w:vAlign w:val="center"/>
          </w:tcPr>
          <w:p w14:paraId="162D065A" w14:textId="42CFD4EF" w:rsidR="00C3412E" w:rsidRPr="00FE6642" w:rsidRDefault="00C3412E" w:rsidP="00C3412E">
            <w:pPr>
              <w:pStyle w:val="Tabletext"/>
              <w:keepNext/>
              <w:keepLines/>
              <w:jc w:val="center"/>
            </w:pPr>
            <w:r w:rsidRPr="00C61670">
              <w:t>23.17</w:t>
            </w:r>
          </w:p>
        </w:tc>
        <w:tc>
          <w:tcPr>
            <w:tcW w:w="1205" w:type="dxa"/>
            <w:vAlign w:val="center"/>
          </w:tcPr>
          <w:p w14:paraId="58596C2E" w14:textId="3A28B70E" w:rsidR="00C3412E" w:rsidRPr="00FE6642" w:rsidRDefault="00C3412E" w:rsidP="00C3412E">
            <w:pPr>
              <w:pStyle w:val="Tabletext"/>
              <w:keepNext/>
              <w:keepLines/>
              <w:jc w:val="center"/>
            </w:pPr>
            <w:r w:rsidRPr="00C61670">
              <w:t>26.37</w:t>
            </w:r>
          </w:p>
        </w:tc>
        <w:tc>
          <w:tcPr>
            <w:tcW w:w="1206" w:type="dxa"/>
            <w:vAlign w:val="center"/>
          </w:tcPr>
          <w:p w14:paraId="79981778" w14:textId="1D205227" w:rsidR="00C3412E" w:rsidRPr="00FE6642" w:rsidRDefault="00DB64AA" w:rsidP="00C3412E">
            <w:pPr>
              <w:pStyle w:val="Tabletext"/>
              <w:keepNext/>
              <w:keepLines/>
              <w:jc w:val="center"/>
            </w:pPr>
            <w:r>
              <w:t>91.70</w:t>
            </w:r>
          </w:p>
        </w:tc>
      </w:tr>
      <w:tr w:rsidR="00C3412E" w:rsidRPr="0081032F" w14:paraId="3FC657DE" w14:textId="77777777" w:rsidTr="00DB1A02">
        <w:tc>
          <w:tcPr>
            <w:tcW w:w="1980" w:type="dxa"/>
            <w:vAlign w:val="center"/>
          </w:tcPr>
          <w:p w14:paraId="62ECBC0B" w14:textId="206730A1" w:rsidR="00C3412E" w:rsidRPr="0081032F" w:rsidRDefault="00C3412E" w:rsidP="00C3412E">
            <w:pPr>
              <w:pStyle w:val="Tabletext"/>
              <w:keepNext/>
              <w:keepLines/>
            </w:pPr>
            <w:r w:rsidRPr="0081032F">
              <w:t>CMA using steady state dosing</w:t>
            </w:r>
          </w:p>
        </w:tc>
        <w:tc>
          <w:tcPr>
            <w:tcW w:w="1061" w:type="dxa"/>
            <w:vAlign w:val="center"/>
          </w:tcPr>
          <w:p w14:paraId="2EF6CF95" w14:textId="55643B83" w:rsidR="00C3412E" w:rsidRPr="0081032F" w:rsidRDefault="00C3412E" w:rsidP="00C3412E">
            <w:pPr>
              <w:pStyle w:val="Tabletext"/>
              <w:keepNext/>
              <w:keepLines/>
              <w:jc w:val="center"/>
              <w:rPr>
                <w:iCs/>
              </w:rPr>
            </w:pPr>
            <w:r w:rsidRPr="0081032F">
              <w:rPr>
                <w:iCs/>
              </w:rPr>
              <w:t>30.44</w:t>
            </w:r>
          </w:p>
        </w:tc>
        <w:tc>
          <w:tcPr>
            <w:tcW w:w="1205" w:type="dxa"/>
            <w:vAlign w:val="center"/>
          </w:tcPr>
          <w:p w14:paraId="4D865BF2" w14:textId="014C05DB" w:rsidR="00C3412E" w:rsidRPr="0081032F" w:rsidRDefault="00C3412E" w:rsidP="00C3412E">
            <w:pPr>
              <w:pStyle w:val="Tabletext"/>
              <w:keepNext/>
              <w:keepLines/>
              <w:jc w:val="center"/>
              <w:rPr>
                <w:iCs/>
              </w:rPr>
            </w:pPr>
            <w:r w:rsidRPr="0081032F">
              <w:rPr>
                <w:iCs/>
              </w:rPr>
              <w:t>30.44</w:t>
            </w:r>
          </w:p>
        </w:tc>
        <w:tc>
          <w:tcPr>
            <w:tcW w:w="1205" w:type="dxa"/>
            <w:vAlign w:val="center"/>
          </w:tcPr>
          <w:p w14:paraId="3682446E" w14:textId="5C89604C" w:rsidR="00C3412E" w:rsidRPr="0081032F" w:rsidRDefault="00C3412E" w:rsidP="00C3412E">
            <w:pPr>
              <w:pStyle w:val="Tabletext"/>
              <w:keepNext/>
              <w:keepLines/>
              <w:jc w:val="center"/>
              <w:rPr>
                <w:iCs/>
              </w:rPr>
            </w:pPr>
            <w:r w:rsidRPr="0081032F">
              <w:rPr>
                <w:iCs/>
              </w:rPr>
              <w:t>30.44</w:t>
            </w:r>
          </w:p>
        </w:tc>
        <w:tc>
          <w:tcPr>
            <w:tcW w:w="1205" w:type="dxa"/>
            <w:vAlign w:val="center"/>
          </w:tcPr>
          <w:p w14:paraId="3E8810EB" w14:textId="1D40373A" w:rsidR="00C3412E" w:rsidRPr="0081032F" w:rsidRDefault="00C3412E" w:rsidP="00C3412E">
            <w:pPr>
              <w:pStyle w:val="Tabletext"/>
              <w:keepNext/>
              <w:keepLines/>
              <w:jc w:val="center"/>
              <w:rPr>
                <w:iCs/>
              </w:rPr>
            </w:pPr>
            <w:r w:rsidRPr="0081032F">
              <w:rPr>
                <w:iCs/>
              </w:rPr>
              <w:t>30.44</w:t>
            </w:r>
          </w:p>
        </w:tc>
        <w:tc>
          <w:tcPr>
            <w:tcW w:w="1205" w:type="dxa"/>
            <w:vAlign w:val="center"/>
          </w:tcPr>
          <w:p w14:paraId="04FDE2DD" w14:textId="4393756D" w:rsidR="00C3412E" w:rsidRPr="0081032F" w:rsidRDefault="00C3412E" w:rsidP="00C3412E">
            <w:pPr>
              <w:pStyle w:val="Tabletext"/>
              <w:keepNext/>
              <w:keepLines/>
              <w:jc w:val="center"/>
              <w:rPr>
                <w:iCs/>
              </w:rPr>
            </w:pPr>
            <w:r w:rsidRPr="0081032F">
              <w:rPr>
                <w:iCs/>
              </w:rPr>
              <w:t>30.44</w:t>
            </w:r>
          </w:p>
        </w:tc>
        <w:tc>
          <w:tcPr>
            <w:tcW w:w="1206" w:type="dxa"/>
            <w:vAlign w:val="center"/>
          </w:tcPr>
          <w:p w14:paraId="1AF4E372" w14:textId="469AB690" w:rsidR="00C3412E" w:rsidRPr="0081032F" w:rsidRDefault="00DB64AA" w:rsidP="00C3412E">
            <w:pPr>
              <w:pStyle w:val="Tabletext"/>
              <w:keepNext/>
              <w:keepLines/>
              <w:jc w:val="center"/>
              <w:rPr>
                <w:iCs/>
              </w:rPr>
            </w:pPr>
            <w:r w:rsidRPr="0081032F">
              <w:rPr>
                <w:iCs/>
              </w:rPr>
              <w:t>152.2</w:t>
            </w:r>
          </w:p>
        </w:tc>
      </w:tr>
      <w:tr w:rsidR="00C3412E" w:rsidRPr="0081032F" w14:paraId="5DD5824A" w14:textId="77777777" w:rsidTr="00DB1A02">
        <w:tc>
          <w:tcPr>
            <w:tcW w:w="1980" w:type="dxa"/>
            <w:vAlign w:val="center"/>
          </w:tcPr>
          <w:p w14:paraId="73BFA4DA" w14:textId="74F307D6" w:rsidR="00C3412E" w:rsidRPr="0081032F" w:rsidRDefault="00C3412E" w:rsidP="00C3412E">
            <w:pPr>
              <w:pStyle w:val="Tabletext"/>
              <w:keepNext/>
              <w:keepLines/>
            </w:pPr>
            <w:r w:rsidRPr="0081032F">
              <w:t xml:space="preserve">Financial estimates </w:t>
            </w:r>
            <w:r w:rsidRPr="0081032F">
              <w:rPr>
                <w:vertAlign w:val="superscript"/>
              </w:rPr>
              <w:t xml:space="preserve">a, </w:t>
            </w:r>
            <w:r w:rsidR="00264700" w:rsidRPr="0081032F">
              <w:rPr>
                <w:vertAlign w:val="superscript"/>
              </w:rPr>
              <w:t>b</w:t>
            </w:r>
          </w:p>
        </w:tc>
        <w:tc>
          <w:tcPr>
            <w:tcW w:w="1061" w:type="dxa"/>
            <w:vAlign w:val="center"/>
          </w:tcPr>
          <w:p w14:paraId="1A2432F6" w14:textId="25C95684" w:rsidR="00C3412E" w:rsidRPr="0081032F" w:rsidRDefault="00C3412E" w:rsidP="00C3412E">
            <w:pPr>
              <w:pStyle w:val="Tabletext"/>
              <w:keepNext/>
              <w:keepLines/>
              <w:jc w:val="center"/>
              <w:rPr>
                <w:iCs/>
              </w:rPr>
            </w:pPr>
            <w:r w:rsidRPr="0081032F">
              <w:rPr>
                <w:iCs/>
              </w:rPr>
              <w:t>10.75</w:t>
            </w:r>
          </w:p>
        </w:tc>
        <w:tc>
          <w:tcPr>
            <w:tcW w:w="1205" w:type="dxa"/>
            <w:vAlign w:val="center"/>
          </w:tcPr>
          <w:p w14:paraId="79C3D344" w14:textId="3808C0D9" w:rsidR="00C3412E" w:rsidRPr="0081032F" w:rsidRDefault="00C3412E" w:rsidP="00C3412E">
            <w:pPr>
              <w:pStyle w:val="Tabletext"/>
              <w:keepNext/>
              <w:keepLines/>
              <w:jc w:val="center"/>
              <w:rPr>
                <w:iCs/>
              </w:rPr>
            </w:pPr>
            <w:r w:rsidRPr="0081032F">
              <w:rPr>
                <w:iCs/>
              </w:rPr>
              <w:t>14.37</w:t>
            </w:r>
          </w:p>
        </w:tc>
        <w:tc>
          <w:tcPr>
            <w:tcW w:w="1205" w:type="dxa"/>
            <w:vAlign w:val="center"/>
          </w:tcPr>
          <w:p w14:paraId="688CD7FA" w14:textId="42DB15D4" w:rsidR="00C3412E" w:rsidRPr="0081032F" w:rsidRDefault="00C3412E" w:rsidP="00C3412E">
            <w:pPr>
              <w:pStyle w:val="Tabletext"/>
              <w:keepNext/>
              <w:keepLines/>
              <w:jc w:val="center"/>
              <w:rPr>
                <w:iCs/>
              </w:rPr>
            </w:pPr>
            <w:r w:rsidRPr="0081032F">
              <w:rPr>
                <w:iCs/>
              </w:rPr>
              <w:t>16.71</w:t>
            </w:r>
          </w:p>
        </w:tc>
        <w:tc>
          <w:tcPr>
            <w:tcW w:w="1205" w:type="dxa"/>
            <w:vAlign w:val="center"/>
          </w:tcPr>
          <w:p w14:paraId="7E4690D2" w14:textId="69E14D6A" w:rsidR="00C3412E" w:rsidRPr="0081032F" w:rsidRDefault="00C3412E" w:rsidP="00C3412E">
            <w:pPr>
              <w:pStyle w:val="Tabletext"/>
              <w:keepNext/>
              <w:keepLines/>
              <w:jc w:val="center"/>
              <w:rPr>
                <w:iCs/>
              </w:rPr>
            </w:pPr>
            <w:r w:rsidRPr="0081032F">
              <w:rPr>
                <w:iCs/>
              </w:rPr>
              <w:t>18.67</w:t>
            </w:r>
          </w:p>
        </w:tc>
        <w:tc>
          <w:tcPr>
            <w:tcW w:w="1205" w:type="dxa"/>
            <w:vAlign w:val="center"/>
          </w:tcPr>
          <w:p w14:paraId="742EC3EB" w14:textId="0363CED4" w:rsidR="00C3412E" w:rsidRPr="0081032F" w:rsidRDefault="00C3412E" w:rsidP="00C3412E">
            <w:pPr>
              <w:pStyle w:val="Tabletext"/>
              <w:keepNext/>
              <w:keepLines/>
              <w:jc w:val="center"/>
              <w:rPr>
                <w:iCs/>
              </w:rPr>
            </w:pPr>
            <w:r w:rsidRPr="0081032F">
              <w:rPr>
                <w:iCs/>
              </w:rPr>
              <w:t>20.46</w:t>
            </w:r>
          </w:p>
        </w:tc>
        <w:tc>
          <w:tcPr>
            <w:tcW w:w="1206" w:type="dxa"/>
            <w:vAlign w:val="center"/>
          </w:tcPr>
          <w:p w14:paraId="411F037C" w14:textId="01DEC773" w:rsidR="00C3412E" w:rsidRPr="0081032F" w:rsidRDefault="00C3412E" w:rsidP="00C3412E">
            <w:pPr>
              <w:pStyle w:val="Tabletext"/>
              <w:keepNext/>
              <w:keepLines/>
              <w:jc w:val="center"/>
              <w:rPr>
                <w:iCs/>
              </w:rPr>
            </w:pPr>
            <w:r w:rsidRPr="0081032F">
              <w:rPr>
                <w:iCs/>
              </w:rPr>
              <w:t>80.95</w:t>
            </w:r>
          </w:p>
        </w:tc>
      </w:tr>
    </w:tbl>
    <w:p w14:paraId="3774260C" w14:textId="1AFEE6B9" w:rsidR="00E83F46" w:rsidRDefault="00E83F46" w:rsidP="00FE6642">
      <w:pPr>
        <w:pStyle w:val="FooterTableFigure"/>
        <w:rPr>
          <w:snapToGrid/>
        </w:rPr>
      </w:pPr>
      <w:r>
        <w:rPr>
          <w:snapToGrid/>
        </w:rPr>
        <w:t>CMA = cost-minimisation approach</w:t>
      </w:r>
    </w:p>
    <w:p w14:paraId="211990D2" w14:textId="7F9FFB2F" w:rsidR="00FC0C39" w:rsidRDefault="00FE6642" w:rsidP="00FE6642">
      <w:pPr>
        <w:pStyle w:val="FooterTableFigure"/>
        <w:rPr>
          <w:snapToGrid/>
        </w:rPr>
      </w:pPr>
      <w:r>
        <w:rPr>
          <w:snapToGrid/>
        </w:rPr>
        <w:t xml:space="preserve">a </w:t>
      </w:r>
      <w:r w:rsidR="00FC0C39">
        <w:rPr>
          <w:snapToGrid/>
        </w:rPr>
        <w:t>Calculated using risdiplam weight-based dosing.</w:t>
      </w:r>
    </w:p>
    <w:p w14:paraId="19636017" w14:textId="1E5AA6DE" w:rsidR="00C3412E" w:rsidRDefault="00FC0C39" w:rsidP="00264700">
      <w:pPr>
        <w:pStyle w:val="FooterTableFigure"/>
        <w:rPr>
          <w:snapToGrid/>
        </w:rPr>
      </w:pPr>
      <w:r>
        <w:rPr>
          <w:snapToGrid/>
        </w:rPr>
        <w:t xml:space="preserve">b </w:t>
      </w:r>
      <w:r w:rsidR="00C3412E">
        <w:rPr>
          <w:snapToGrid/>
        </w:rPr>
        <w:t xml:space="preserve">Calculated based on the total number of bottles dispensed per year / total </w:t>
      </w:r>
      <w:r w:rsidR="00264700">
        <w:rPr>
          <w:snapToGrid/>
        </w:rPr>
        <w:t xml:space="preserve">number of </w:t>
      </w:r>
      <w:r w:rsidR="00C3412E">
        <w:rPr>
          <w:snapToGrid/>
        </w:rPr>
        <w:t>patients on therapy.</w:t>
      </w:r>
    </w:p>
    <w:p w14:paraId="1507D1D8" w14:textId="50B88F4A" w:rsidR="00FE6642" w:rsidRPr="00C61670" w:rsidRDefault="00E83F46" w:rsidP="00264700">
      <w:pPr>
        <w:pStyle w:val="FooterTableFigure"/>
        <w:keepNext/>
        <w:keepLines/>
        <w:rPr>
          <w:snapToGrid/>
        </w:rPr>
      </w:pPr>
      <w:r>
        <w:rPr>
          <w:snapToGrid/>
        </w:rPr>
        <w:t xml:space="preserve">Source: </w:t>
      </w:r>
      <w:r w:rsidRPr="00C61670">
        <w:t xml:space="preserve">Calculated during the evaluation based on the </w:t>
      </w:r>
      <w:r>
        <w:t>submission</w:t>
      </w:r>
      <w:r w:rsidRPr="00C61670">
        <w:t>’s spreadsheet</w:t>
      </w:r>
      <w:r>
        <w:t>s</w:t>
      </w:r>
      <w:r w:rsidRPr="00C61670">
        <w:t xml:space="preserve"> Cost minimisation analyses.xlsx</w:t>
      </w:r>
      <w:r>
        <w:t xml:space="preserve"> and Section 4 Workbook.xlsx</w:t>
      </w:r>
    </w:p>
    <w:p w14:paraId="01C8C96A" w14:textId="77777777" w:rsidR="0007132E" w:rsidRPr="00C61670" w:rsidRDefault="0007132E" w:rsidP="0007132E">
      <w:pPr>
        <w:pStyle w:val="4-SubsectionHeading"/>
      </w:pPr>
      <w:bookmarkStart w:id="47" w:name="_Toc167202929"/>
      <w:r w:rsidRPr="00C61670">
        <w:t>Estimated PBS usage &amp; financial implications</w:t>
      </w:r>
      <w:bookmarkEnd w:id="47"/>
    </w:p>
    <w:p w14:paraId="0EE38A0E" w14:textId="61A38434" w:rsidR="0007132E" w:rsidRPr="00C61670" w:rsidRDefault="0007132E" w:rsidP="0007132E">
      <w:pPr>
        <w:pStyle w:val="3-BodyText"/>
      </w:pPr>
      <w:r w:rsidRPr="00C61670">
        <w:t xml:space="preserve">This </w:t>
      </w:r>
      <w:r w:rsidR="0007089E">
        <w:t>submission</w:t>
      </w:r>
      <w:r w:rsidRPr="00C61670">
        <w:t xml:space="preserve"> </w:t>
      </w:r>
      <w:r w:rsidR="00B97455">
        <w:t>was not</w:t>
      </w:r>
      <w:r w:rsidRPr="00C61670">
        <w:t xml:space="preserve"> considered by DUSC.</w:t>
      </w:r>
    </w:p>
    <w:p w14:paraId="4A33E473" w14:textId="4A166CE7" w:rsidR="0007132E" w:rsidRPr="00C61670" w:rsidRDefault="0007132E" w:rsidP="0007132E">
      <w:pPr>
        <w:pStyle w:val="3-BodyText"/>
      </w:pPr>
      <w:r w:rsidRPr="00C61670">
        <w:t xml:space="preserve">The </w:t>
      </w:r>
      <w:r w:rsidR="0007089E">
        <w:t>submission</w:t>
      </w:r>
      <w:r w:rsidRPr="00C61670">
        <w:t xml:space="preserve"> used an epidemiological approach to estimate the financial impact of listing risdiplam for the pre-symptomatic treatment of SMA patients with three </w:t>
      </w:r>
      <w:r w:rsidRPr="00C61670">
        <w:rPr>
          <w:i/>
          <w:iCs/>
        </w:rPr>
        <w:t>SMN2</w:t>
      </w:r>
      <w:r w:rsidRPr="00C61670">
        <w:t xml:space="preserve"> copies on the PBS using published drug prices.</w:t>
      </w:r>
    </w:p>
    <w:p w14:paraId="43CFE472" w14:textId="08CE921D" w:rsidR="0007132E" w:rsidRPr="00C61670" w:rsidRDefault="0007132E" w:rsidP="0007132E">
      <w:pPr>
        <w:pStyle w:val="3-BodyText"/>
      </w:pPr>
      <w:r w:rsidRPr="00C61670">
        <w:t>The</w:t>
      </w:r>
      <w:r w:rsidR="005F76B1">
        <w:t xml:space="preserve"> key </w:t>
      </w:r>
      <w:r w:rsidRPr="00C61670">
        <w:t xml:space="preserve">data sources, parameters and assumptions used to estimate the financial impact are summarised in </w:t>
      </w:r>
      <w:r w:rsidRPr="00C61670">
        <w:fldChar w:fldCharType="begin" w:fldLock="1"/>
      </w:r>
      <w:r w:rsidRPr="00C61670">
        <w:instrText xml:space="preserve"> REF _Ref165921361 \h </w:instrText>
      </w:r>
      <w:r w:rsidRPr="00C61670">
        <w:fldChar w:fldCharType="separate"/>
      </w:r>
      <w:r w:rsidR="00AA25E7" w:rsidRPr="00C61670">
        <w:t xml:space="preserve">Table </w:t>
      </w:r>
      <w:r w:rsidR="00AA25E7">
        <w:rPr>
          <w:noProof/>
        </w:rPr>
        <w:t>14</w:t>
      </w:r>
      <w:r w:rsidRPr="00C61670">
        <w:fldChar w:fldCharType="end"/>
      </w:r>
      <w:r w:rsidRPr="00C61670">
        <w:t xml:space="preserve">. </w:t>
      </w:r>
    </w:p>
    <w:p w14:paraId="51F6F6A1" w14:textId="77777777" w:rsidR="00B97455" w:rsidRDefault="00B97455">
      <w:pPr>
        <w:jc w:val="left"/>
        <w:rPr>
          <w:rFonts w:ascii="Arial Narrow" w:hAnsi="Arial Narrow"/>
          <w:b/>
          <w:bCs/>
          <w:sz w:val="20"/>
          <w:szCs w:val="18"/>
        </w:rPr>
      </w:pPr>
      <w:bookmarkStart w:id="48" w:name="_Ref165921361"/>
      <w:r>
        <w:br w:type="page"/>
      </w:r>
    </w:p>
    <w:p w14:paraId="197BCCFF" w14:textId="1D3694CB" w:rsidR="0007132E" w:rsidRPr="00C61670" w:rsidRDefault="0007132E" w:rsidP="0007132E">
      <w:pPr>
        <w:pStyle w:val="Caption"/>
      </w:pPr>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14</w:t>
      </w:r>
      <w:r w:rsidR="002906A9">
        <w:rPr>
          <w:noProof/>
        </w:rPr>
        <w:fldChar w:fldCharType="end"/>
      </w:r>
      <w:bookmarkEnd w:id="48"/>
      <w:r w:rsidRPr="00C61670">
        <w:rPr>
          <w:rStyle w:val="CommentReference"/>
          <w:b/>
        </w:rPr>
        <w:t>: Data sources and parameter values applied in the utilisation and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Data sources and parameter values applied in the utilisation and financial estimates"/>
      </w:tblPr>
      <w:tblGrid>
        <w:gridCol w:w="1320"/>
        <w:gridCol w:w="2219"/>
        <w:gridCol w:w="2126"/>
        <w:gridCol w:w="3351"/>
      </w:tblGrid>
      <w:tr w:rsidR="0007132E" w:rsidRPr="00C61670" w14:paraId="383B3BBC" w14:textId="77777777" w:rsidTr="005F76B1">
        <w:trPr>
          <w:cantSplit/>
          <w:tblHeader/>
        </w:trPr>
        <w:tc>
          <w:tcPr>
            <w:tcW w:w="1320" w:type="dxa"/>
            <w:vAlign w:val="center"/>
          </w:tcPr>
          <w:p w14:paraId="3D741579" w14:textId="77777777" w:rsidR="0007132E" w:rsidRPr="00C61670" w:rsidRDefault="0007132E" w:rsidP="00AA0FE0">
            <w:pPr>
              <w:pStyle w:val="In-tableHeading"/>
              <w:rPr>
                <w:lang w:val="en-AU"/>
              </w:rPr>
            </w:pPr>
            <w:r w:rsidRPr="00C61670">
              <w:rPr>
                <w:lang w:val="en-AU"/>
              </w:rPr>
              <w:t>Data</w:t>
            </w:r>
          </w:p>
        </w:tc>
        <w:tc>
          <w:tcPr>
            <w:tcW w:w="4345" w:type="dxa"/>
            <w:gridSpan w:val="2"/>
            <w:vAlign w:val="center"/>
          </w:tcPr>
          <w:p w14:paraId="29689DB2" w14:textId="77777777" w:rsidR="0007132E" w:rsidRPr="00C61670" w:rsidRDefault="0007132E" w:rsidP="00AA0FE0">
            <w:pPr>
              <w:pStyle w:val="In-tableHeading"/>
              <w:jc w:val="center"/>
              <w:rPr>
                <w:lang w:val="en-AU"/>
              </w:rPr>
            </w:pPr>
            <w:r w:rsidRPr="00C61670">
              <w:rPr>
                <w:lang w:val="en-AU"/>
              </w:rPr>
              <w:t>Value and source</w:t>
            </w:r>
          </w:p>
        </w:tc>
        <w:tc>
          <w:tcPr>
            <w:tcW w:w="3351" w:type="dxa"/>
            <w:vAlign w:val="center"/>
          </w:tcPr>
          <w:p w14:paraId="2D768E3B" w14:textId="77777777" w:rsidR="0007132E" w:rsidRPr="00C61670" w:rsidRDefault="0007132E" w:rsidP="00AA0FE0">
            <w:pPr>
              <w:pStyle w:val="In-tableHeading"/>
              <w:jc w:val="center"/>
              <w:rPr>
                <w:lang w:val="en-AU"/>
              </w:rPr>
            </w:pPr>
            <w:r w:rsidRPr="00C61670">
              <w:rPr>
                <w:lang w:val="en-AU"/>
              </w:rPr>
              <w:t>Comment</w:t>
            </w:r>
          </w:p>
        </w:tc>
      </w:tr>
      <w:tr w:rsidR="0007132E" w:rsidRPr="00C61670" w14:paraId="74DC7DAB" w14:textId="77777777" w:rsidTr="005F76B1">
        <w:trPr>
          <w:cantSplit/>
        </w:trPr>
        <w:tc>
          <w:tcPr>
            <w:tcW w:w="0" w:type="auto"/>
            <w:gridSpan w:val="4"/>
          </w:tcPr>
          <w:p w14:paraId="536F6E04" w14:textId="77777777" w:rsidR="0007132E" w:rsidRPr="00C61670" w:rsidRDefault="0007132E" w:rsidP="00AA0FE0">
            <w:pPr>
              <w:pStyle w:val="Tabletext"/>
              <w:rPr>
                <w:b/>
                <w:bCs/>
              </w:rPr>
            </w:pPr>
            <w:r w:rsidRPr="00C61670">
              <w:rPr>
                <w:b/>
                <w:bCs/>
              </w:rPr>
              <w:t>Eligible population</w:t>
            </w:r>
          </w:p>
        </w:tc>
      </w:tr>
      <w:tr w:rsidR="0007132E" w:rsidRPr="0081032F" w14:paraId="74F51A13" w14:textId="77777777" w:rsidTr="005F76B1">
        <w:trPr>
          <w:cantSplit/>
          <w:tblHeader/>
        </w:trPr>
        <w:tc>
          <w:tcPr>
            <w:tcW w:w="1320" w:type="dxa"/>
            <w:vAlign w:val="center"/>
          </w:tcPr>
          <w:p w14:paraId="49CE10BE" w14:textId="77777777" w:rsidR="0007132E" w:rsidRPr="0081032F" w:rsidRDefault="0007132E" w:rsidP="00AA0FE0">
            <w:pPr>
              <w:pStyle w:val="Tabletext"/>
            </w:pPr>
            <w:r w:rsidRPr="0081032F">
              <w:rPr>
                <w:szCs w:val="20"/>
              </w:rPr>
              <w:t>Screening for SMA</w:t>
            </w:r>
          </w:p>
        </w:tc>
        <w:tc>
          <w:tcPr>
            <w:tcW w:w="4345" w:type="dxa"/>
            <w:gridSpan w:val="2"/>
            <w:vAlign w:val="center"/>
          </w:tcPr>
          <w:p w14:paraId="01651A2D" w14:textId="77777777" w:rsidR="0007132E" w:rsidRPr="0081032F" w:rsidRDefault="0007132E" w:rsidP="00AA0FE0">
            <w:pPr>
              <w:pStyle w:val="TableText0"/>
              <w:keepNext w:val="0"/>
              <w:widowControl w:val="0"/>
              <w:rPr>
                <w:b/>
                <w:bCs w:val="0"/>
              </w:rPr>
            </w:pPr>
            <w:r w:rsidRPr="0081032F">
              <w:rPr>
                <w:szCs w:val="20"/>
              </w:rPr>
              <w:t>All newborn babies in Australia were assumed to be screened for SMA at birth.</w:t>
            </w:r>
          </w:p>
        </w:tc>
        <w:tc>
          <w:tcPr>
            <w:tcW w:w="3351" w:type="dxa"/>
            <w:vAlign w:val="center"/>
          </w:tcPr>
          <w:p w14:paraId="1EA9D8F6" w14:textId="77777777" w:rsidR="0007132E" w:rsidRPr="0081032F" w:rsidRDefault="0007132E" w:rsidP="00AA0FE0">
            <w:pPr>
              <w:pStyle w:val="Tabletext"/>
            </w:pPr>
            <w:r w:rsidRPr="0081032F">
              <w:rPr>
                <w:szCs w:val="20"/>
              </w:rPr>
              <w:t>Reasonable as NBS for the detection of SMA has been rolled out nationally.</w:t>
            </w:r>
          </w:p>
        </w:tc>
      </w:tr>
      <w:tr w:rsidR="0007132E" w:rsidRPr="00C61670" w14:paraId="22CC4EB9" w14:textId="77777777" w:rsidTr="005F76B1">
        <w:trPr>
          <w:cantSplit/>
          <w:tblHeader/>
        </w:trPr>
        <w:tc>
          <w:tcPr>
            <w:tcW w:w="1320" w:type="dxa"/>
            <w:vAlign w:val="center"/>
          </w:tcPr>
          <w:p w14:paraId="79F645E5" w14:textId="77777777" w:rsidR="0007132E" w:rsidRPr="00C61670" w:rsidRDefault="0007132E" w:rsidP="00AA0FE0">
            <w:pPr>
              <w:pStyle w:val="Tabletext"/>
            </w:pPr>
            <w:r w:rsidRPr="00C61670">
              <w:t>Live births</w:t>
            </w:r>
          </w:p>
        </w:tc>
        <w:tc>
          <w:tcPr>
            <w:tcW w:w="4345" w:type="dxa"/>
            <w:gridSpan w:val="2"/>
            <w:vAlign w:val="center"/>
          </w:tcPr>
          <w:tbl>
            <w:tblPr>
              <w:tblStyle w:val="TableGrid"/>
              <w:tblW w:w="0" w:type="auto"/>
              <w:tblLook w:val="04A0" w:firstRow="1" w:lastRow="0" w:firstColumn="1" w:lastColumn="0" w:noHBand="0" w:noVBand="1"/>
            </w:tblPr>
            <w:tblGrid>
              <w:gridCol w:w="1613"/>
              <w:gridCol w:w="2506"/>
            </w:tblGrid>
            <w:tr w:rsidR="0007132E" w:rsidRPr="00C61670" w14:paraId="5FD919ED" w14:textId="77777777" w:rsidTr="00AA0FE0">
              <w:tc>
                <w:tcPr>
                  <w:tcW w:w="1694" w:type="dxa"/>
                  <w:tcBorders>
                    <w:top w:val="single" w:sz="4" w:space="0" w:color="auto"/>
                    <w:left w:val="single" w:sz="4" w:space="0" w:color="auto"/>
                    <w:bottom w:val="single" w:sz="4" w:space="0" w:color="auto"/>
                    <w:right w:val="single" w:sz="4" w:space="0" w:color="auto"/>
                  </w:tcBorders>
                  <w:hideMark/>
                </w:tcPr>
                <w:p w14:paraId="77E45581" w14:textId="77777777" w:rsidR="0007132E" w:rsidRPr="00C61670" w:rsidRDefault="0007132E" w:rsidP="00AA0FE0">
                  <w:pPr>
                    <w:pStyle w:val="TableText0"/>
                    <w:keepNext w:val="0"/>
                    <w:widowControl w:val="0"/>
                    <w:jc w:val="center"/>
                    <w:rPr>
                      <w:b/>
                      <w:bCs w:val="0"/>
                    </w:rPr>
                  </w:pPr>
                  <w:r w:rsidRPr="00C61670">
                    <w:rPr>
                      <w:b/>
                      <w:bCs w:val="0"/>
                    </w:rPr>
                    <w:t>Year</w:t>
                  </w:r>
                </w:p>
              </w:tc>
              <w:tc>
                <w:tcPr>
                  <w:tcW w:w="2638" w:type="dxa"/>
                  <w:tcBorders>
                    <w:top w:val="single" w:sz="4" w:space="0" w:color="auto"/>
                    <w:left w:val="single" w:sz="4" w:space="0" w:color="auto"/>
                    <w:bottom w:val="single" w:sz="4" w:space="0" w:color="auto"/>
                    <w:right w:val="single" w:sz="4" w:space="0" w:color="auto"/>
                  </w:tcBorders>
                  <w:hideMark/>
                </w:tcPr>
                <w:p w14:paraId="0DB124B0" w14:textId="77777777" w:rsidR="0007132E" w:rsidRPr="00C61670" w:rsidRDefault="0007132E" w:rsidP="00AA0FE0">
                  <w:pPr>
                    <w:pStyle w:val="TableText0"/>
                    <w:keepNext w:val="0"/>
                    <w:widowControl w:val="0"/>
                    <w:jc w:val="center"/>
                    <w:rPr>
                      <w:b/>
                      <w:bCs w:val="0"/>
                    </w:rPr>
                  </w:pPr>
                  <w:r w:rsidRPr="00C61670">
                    <w:rPr>
                      <w:b/>
                      <w:bCs w:val="0"/>
                    </w:rPr>
                    <w:t>Live births</w:t>
                  </w:r>
                </w:p>
              </w:tc>
            </w:tr>
            <w:tr w:rsidR="0007132E" w:rsidRPr="00C61670" w14:paraId="7EEB6C2B" w14:textId="77777777" w:rsidTr="00AA0FE0">
              <w:tc>
                <w:tcPr>
                  <w:tcW w:w="1694" w:type="dxa"/>
                  <w:tcBorders>
                    <w:top w:val="single" w:sz="4" w:space="0" w:color="auto"/>
                    <w:left w:val="single" w:sz="4" w:space="0" w:color="auto"/>
                    <w:bottom w:val="single" w:sz="4" w:space="0" w:color="auto"/>
                    <w:right w:val="single" w:sz="4" w:space="0" w:color="auto"/>
                  </w:tcBorders>
                  <w:hideMark/>
                </w:tcPr>
                <w:p w14:paraId="26C47676" w14:textId="77777777" w:rsidR="0007132E" w:rsidRPr="00C61670" w:rsidRDefault="0007132E" w:rsidP="00AA0FE0">
                  <w:pPr>
                    <w:pStyle w:val="TableText0"/>
                    <w:keepNext w:val="0"/>
                    <w:widowControl w:val="0"/>
                    <w:jc w:val="center"/>
                  </w:pPr>
                  <w:r w:rsidRPr="00C61670">
                    <w:t>2025</w:t>
                  </w:r>
                </w:p>
              </w:tc>
              <w:tc>
                <w:tcPr>
                  <w:tcW w:w="2638" w:type="dxa"/>
                  <w:tcBorders>
                    <w:top w:val="single" w:sz="4" w:space="0" w:color="auto"/>
                    <w:left w:val="single" w:sz="4" w:space="0" w:color="auto"/>
                    <w:bottom w:val="single" w:sz="4" w:space="0" w:color="auto"/>
                    <w:right w:val="single" w:sz="4" w:space="0" w:color="auto"/>
                  </w:tcBorders>
                  <w:hideMark/>
                </w:tcPr>
                <w:p w14:paraId="5A014CC8" w14:textId="77777777" w:rsidR="0007132E" w:rsidRPr="00C61670" w:rsidRDefault="0007132E" w:rsidP="00AA0FE0">
                  <w:pPr>
                    <w:pStyle w:val="TableText0"/>
                    <w:keepNext w:val="0"/>
                    <w:widowControl w:val="0"/>
                    <w:jc w:val="center"/>
                  </w:pPr>
                  <w:r w:rsidRPr="00C61670">
                    <w:t>362,706</w:t>
                  </w:r>
                </w:p>
              </w:tc>
            </w:tr>
            <w:tr w:rsidR="0007132E" w:rsidRPr="00C61670" w14:paraId="5F8BC5AA" w14:textId="77777777" w:rsidTr="00AA0FE0">
              <w:tc>
                <w:tcPr>
                  <w:tcW w:w="1694" w:type="dxa"/>
                  <w:tcBorders>
                    <w:top w:val="single" w:sz="4" w:space="0" w:color="auto"/>
                    <w:left w:val="single" w:sz="4" w:space="0" w:color="auto"/>
                    <w:bottom w:val="single" w:sz="4" w:space="0" w:color="auto"/>
                    <w:right w:val="single" w:sz="4" w:space="0" w:color="auto"/>
                  </w:tcBorders>
                  <w:hideMark/>
                </w:tcPr>
                <w:p w14:paraId="28A1B3D2" w14:textId="77777777" w:rsidR="0007132E" w:rsidRPr="00C61670" w:rsidRDefault="0007132E" w:rsidP="00AA0FE0">
                  <w:pPr>
                    <w:pStyle w:val="TableText0"/>
                    <w:keepNext w:val="0"/>
                    <w:widowControl w:val="0"/>
                    <w:jc w:val="center"/>
                  </w:pPr>
                  <w:r w:rsidRPr="00C61670">
                    <w:t>2026</w:t>
                  </w:r>
                </w:p>
              </w:tc>
              <w:tc>
                <w:tcPr>
                  <w:tcW w:w="2638" w:type="dxa"/>
                  <w:tcBorders>
                    <w:top w:val="single" w:sz="4" w:space="0" w:color="auto"/>
                    <w:left w:val="single" w:sz="4" w:space="0" w:color="auto"/>
                    <w:bottom w:val="single" w:sz="4" w:space="0" w:color="auto"/>
                    <w:right w:val="single" w:sz="4" w:space="0" w:color="auto"/>
                  </w:tcBorders>
                  <w:hideMark/>
                </w:tcPr>
                <w:p w14:paraId="5E7C3F0D" w14:textId="77777777" w:rsidR="0007132E" w:rsidRPr="00C61670" w:rsidRDefault="0007132E" w:rsidP="00AA0FE0">
                  <w:pPr>
                    <w:pStyle w:val="TableText0"/>
                    <w:keepNext w:val="0"/>
                    <w:widowControl w:val="0"/>
                    <w:jc w:val="center"/>
                  </w:pPr>
                  <w:r w:rsidRPr="00C61670">
                    <w:t>366,687</w:t>
                  </w:r>
                </w:p>
              </w:tc>
            </w:tr>
            <w:tr w:rsidR="0007132E" w:rsidRPr="00C61670" w14:paraId="15B0953B" w14:textId="77777777" w:rsidTr="00AA0FE0">
              <w:tc>
                <w:tcPr>
                  <w:tcW w:w="1694" w:type="dxa"/>
                  <w:tcBorders>
                    <w:top w:val="single" w:sz="4" w:space="0" w:color="auto"/>
                    <w:left w:val="single" w:sz="4" w:space="0" w:color="auto"/>
                    <w:bottom w:val="single" w:sz="4" w:space="0" w:color="auto"/>
                    <w:right w:val="single" w:sz="4" w:space="0" w:color="auto"/>
                  </w:tcBorders>
                  <w:hideMark/>
                </w:tcPr>
                <w:p w14:paraId="102AF2D6" w14:textId="77777777" w:rsidR="0007132E" w:rsidRPr="00C61670" w:rsidRDefault="0007132E" w:rsidP="00AA0FE0">
                  <w:pPr>
                    <w:pStyle w:val="TableText0"/>
                    <w:keepNext w:val="0"/>
                    <w:widowControl w:val="0"/>
                    <w:jc w:val="center"/>
                  </w:pPr>
                  <w:r w:rsidRPr="00C61670">
                    <w:t>2027</w:t>
                  </w:r>
                </w:p>
              </w:tc>
              <w:tc>
                <w:tcPr>
                  <w:tcW w:w="2638" w:type="dxa"/>
                  <w:tcBorders>
                    <w:top w:val="single" w:sz="4" w:space="0" w:color="auto"/>
                    <w:left w:val="single" w:sz="4" w:space="0" w:color="auto"/>
                    <w:bottom w:val="single" w:sz="4" w:space="0" w:color="auto"/>
                    <w:right w:val="single" w:sz="4" w:space="0" w:color="auto"/>
                  </w:tcBorders>
                  <w:hideMark/>
                </w:tcPr>
                <w:p w14:paraId="5AB2BAAE" w14:textId="77777777" w:rsidR="0007132E" w:rsidRPr="00C61670" w:rsidRDefault="0007132E" w:rsidP="00AA0FE0">
                  <w:pPr>
                    <w:pStyle w:val="TableText0"/>
                    <w:keepNext w:val="0"/>
                    <w:widowControl w:val="0"/>
                    <w:jc w:val="center"/>
                  </w:pPr>
                  <w:r w:rsidRPr="00C61670">
                    <w:t>370,252</w:t>
                  </w:r>
                </w:p>
              </w:tc>
            </w:tr>
            <w:tr w:rsidR="0007132E" w:rsidRPr="00C61670" w14:paraId="49D59ADF" w14:textId="77777777" w:rsidTr="00AA0FE0">
              <w:tc>
                <w:tcPr>
                  <w:tcW w:w="1694" w:type="dxa"/>
                  <w:tcBorders>
                    <w:top w:val="single" w:sz="4" w:space="0" w:color="auto"/>
                    <w:left w:val="single" w:sz="4" w:space="0" w:color="auto"/>
                    <w:bottom w:val="single" w:sz="4" w:space="0" w:color="auto"/>
                    <w:right w:val="single" w:sz="4" w:space="0" w:color="auto"/>
                  </w:tcBorders>
                  <w:hideMark/>
                </w:tcPr>
                <w:p w14:paraId="3259C11D" w14:textId="77777777" w:rsidR="0007132E" w:rsidRPr="00C61670" w:rsidRDefault="0007132E" w:rsidP="00AA0FE0">
                  <w:pPr>
                    <w:pStyle w:val="TableText0"/>
                    <w:keepNext w:val="0"/>
                    <w:widowControl w:val="0"/>
                    <w:jc w:val="center"/>
                  </w:pPr>
                  <w:r w:rsidRPr="00C61670">
                    <w:t>2028</w:t>
                  </w:r>
                </w:p>
              </w:tc>
              <w:tc>
                <w:tcPr>
                  <w:tcW w:w="2638" w:type="dxa"/>
                  <w:tcBorders>
                    <w:top w:val="single" w:sz="4" w:space="0" w:color="auto"/>
                    <w:left w:val="single" w:sz="4" w:space="0" w:color="auto"/>
                    <w:bottom w:val="single" w:sz="4" w:space="0" w:color="auto"/>
                    <w:right w:val="single" w:sz="4" w:space="0" w:color="auto"/>
                  </w:tcBorders>
                  <w:hideMark/>
                </w:tcPr>
                <w:p w14:paraId="385256B8" w14:textId="77777777" w:rsidR="0007132E" w:rsidRPr="00C61670" w:rsidRDefault="0007132E" w:rsidP="00AA0FE0">
                  <w:pPr>
                    <w:pStyle w:val="TableText0"/>
                    <w:keepNext w:val="0"/>
                    <w:widowControl w:val="0"/>
                    <w:jc w:val="center"/>
                  </w:pPr>
                  <w:r w:rsidRPr="00C61670">
                    <w:t>373,433</w:t>
                  </w:r>
                </w:p>
              </w:tc>
            </w:tr>
            <w:tr w:rsidR="0007132E" w:rsidRPr="00C61670" w14:paraId="5F092E3C" w14:textId="77777777" w:rsidTr="00AA0FE0">
              <w:tc>
                <w:tcPr>
                  <w:tcW w:w="1694" w:type="dxa"/>
                  <w:tcBorders>
                    <w:top w:val="single" w:sz="4" w:space="0" w:color="auto"/>
                    <w:left w:val="single" w:sz="4" w:space="0" w:color="auto"/>
                    <w:bottom w:val="single" w:sz="4" w:space="0" w:color="auto"/>
                    <w:right w:val="single" w:sz="4" w:space="0" w:color="auto"/>
                  </w:tcBorders>
                  <w:hideMark/>
                </w:tcPr>
                <w:p w14:paraId="22A34889" w14:textId="77777777" w:rsidR="0007132E" w:rsidRPr="00C61670" w:rsidRDefault="0007132E" w:rsidP="00AA0FE0">
                  <w:pPr>
                    <w:pStyle w:val="TableText0"/>
                    <w:keepNext w:val="0"/>
                    <w:widowControl w:val="0"/>
                    <w:jc w:val="center"/>
                  </w:pPr>
                  <w:r w:rsidRPr="00C61670">
                    <w:t>2029</w:t>
                  </w:r>
                </w:p>
              </w:tc>
              <w:tc>
                <w:tcPr>
                  <w:tcW w:w="2638" w:type="dxa"/>
                  <w:tcBorders>
                    <w:top w:val="single" w:sz="4" w:space="0" w:color="auto"/>
                    <w:left w:val="single" w:sz="4" w:space="0" w:color="auto"/>
                    <w:bottom w:val="single" w:sz="4" w:space="0" w:color="auto"/>
                    <w:right w:val="single" w:sz="4" w:space="0" w:color="auto"/>
                  </w:tcBorders>
                  <w:hideMark/>
                </w:tcPr>
                <w:p w14:paraId="6D227C58" w14:textId="77777777" w:rsidR="0007132E" w:rsidRPr="00C61670" w:rsidRDefault="0007132E" w:rsidP="00AA0FE0">
                  <w:pPr>
                    <w:pStyle w:val="TableText0"/>
                    <w:keepNext w:val="0"/>
                    <w:widowControl w:val="0"/>
                    <w:jc w:val="center"/>
                  </w:pPr>
                  <w:r w:rsidRPr="00C61670">
                    <w:t>376,318</w:t>
                  </w:r>
                </w:p>
              </w:tc>
            </w:tr>
            <w:tr w:rsidR="0007132E" w:rsidRPr="00C61670" w14:paraId="1975ECA3" w14:textId="77777777" w:rsidTr="00AA0FE0">
              <w:tc>
                <w:tcPr>
                  <w:tcW w:w="1694" w:type="dxa"/>
                  <w:tcBorders>
                    <w:top w:val="single" w:sz="4" w:space="0" w:color="auto"/>
                    <w:left w:val="single" w:sz="4" w:space="0" w:color="auto"/>
                    <w:bottom w:val="single" w:sz="4" w:space="0" w:color="auto"/>
                    <w:right w:val="single" w:sz="4" w:space="0" w:color="auto"/>
                  </w:tcBorders>
                  <w:hideMark/>
                </w:tcPr>
                <w:p w14:paraId="7E3F8DC8" w14:textId="77777777" w:rsidR="0007132E" w:rsidRPr="00C61670" w:rsidRDefault="0007132E" w:rsidP="00AA0FE0">
                  <w:pPr>
                    <w:pStyle w:val="TableText0"/>
                    <w:keepNext w:val="0"/>
                    <w:widowControl w:val="0"/>
                    <w:jc w:val="center"/>
                  </w:pPr>
                  <w:r w:rsidRPr="00C61670">
                    <w:t>2030</w:t>
                  </w:r>
                </w:p>
              </w:tc>
              <w:tc>
                <w:tcPr>
                  <w:tcW w:w="2638" w:type="dxa"/>
                  <w:tcBorders>
                    <w:top w:val="single" w:sz="4" w:space="0" w:color="auto"/>
                    <w:left w:val="single" w:sz="4" w:space="0" w:color="auto"/>
                    <w:bottom w:val="single" w:sz="4" w:space="0" w:color="auto"/>
                    <w:right w:val="single" w:sz="4" w:space="0" w:color="auto"/>
                  </w:tcBorders>
                  <w:hideMark/>
                </w:tcPr>
                <w:p w14:paraId="672F37A0" w14:textId="77777777" w:rsidR="0007132E" w:rsidRPr="00C61670" w:rsidRDefault="0007132E" w:rsidP="00AA0FE0">
                  <w:pPr>
                    <w:pStyle w:val="TableText0"/>
                    <w:keepNext w:val="0"/>
                    <w:widowControl w:val="0"/>
                    <w:jc w:val="center"/>
                  </w:pPr>
                  <w:r w:rsidRPr="00C61670">
                    <w:t>379,018</w:t>
                  </w:r>
                </w:p>
              </w:tc>
            </w:tr>
          </w:tbl>
          <w:p w14:paraId="5C03F830" w14:textId="77777777" w:rsidR="0007132E" w:rsidRPr="00C61670" w:rsidRDefault="0007132E" w:rsidP="00AA0FE0">
            <w:pPr>
              <w:pStyle w:val="TableFooter"/>
            </w:pPr>
            <w:r w:rsidRPr="00C61670">
              <w:t>Source: ABS projection, series B birth data, 2025-2030</w:t>
            </w:r>
          </w:p>
        </w:tc>
        <w:tc>
          <w:tcPr>
            <w:tcW w:w="3351" w:type="dxa"/>
            <w:vAlign w:val="center"/>
          </w:tcPr>
          <w:p w14:paraId="1F553483" w14:textId="21D1DE46" w:rsidR="0007132E" w:rsidRPr="00C61670" w:rsidRDefault="00C91A15" w:rsidP="00AA0FE0">
            <w:pPr>
              <w:pStyle w:val="Tabletext"/>
            </w:pPr>
            <w:r>
              <w:t>Values could not be verified.</w:t>
            </w:r>
            <w:r w:rsidR="0007132E" w:rsidRPr="0081032F">
              <w:t xml:space="preserve"> 3222.0 Population projection series B released 29/11/23 estimated 349,038 Australians will be aged 0 in 2025 increasing to 359,104 in 2030</w:t>
            </w:r>
            <w:r w:rsidR="0064143B" w:rsidRPr="0081032F">
              <w:t xml:space="preserve">, which were lower than the </w:t>
            </w:r>
            <w:r w:rsidR="0007089E" w:rsidRPr="0081032F">
              <w:t>submission</w:t>
            </w:r>
            <w:r w:rsidR="0064143B" w:rsidRPr="0081032F">
              <w:t>’s values.</w:t>
            </w:r>
            <w:r w:rsidR="0007132E" w:rsidRPr="0081032F">
              <w:t xml:space="preserve"> </w:t>
            </w:r>
          </w:p>
        </w:tc>
      </w:tr>
      <w:tr w:rsidR="0007132E" w:rsidRPr="00C61670" w14:paraId="7237DE37" w14:textId="77777777" w:rsidTr="005F76B1">
        <w:trPr>
          <w:cantSplit/>
          <w:tblHeader/>
        </w:trPr>
        <w:tc>
          <w:tcPr>
            <w:tcW w:w="1320" w:type="dxa"/>
            <w:vAlign w:val="center"/>
          </w:tcPr>
          <w:p w14:paraId="12F4CD7A" w14:textId="77777777" w:rsidR="0007132E" w:rsidRPr="00C61670" w:rsidRDefault="0007132E" w:rsidP="00AA0FE0">
            <w:pPr>
              <w:pStyle w:val="Tabletext"/>
            </w:pPr>
            <w:r w:rsidRPr="00C61670">
              <w:t xml:space="preserve">Incidence of SMA with 3 </w:t>
            </w:r>
            <w:r w:rsidRPr="000F1040">
              <w:rPr>
                <w:i/>
                <w:iCs/>
              </w:rPr>
              <w:t>SMN2</w:t>
            </w:r>
            <w:r w:rsidRPr="00C61670">
              <w:t xml:space="preserve"> gene copies</w:t>
            </w:r>
          </w:p>
        </w:tc>
        <w:tc>
          <w:tcPr>
            <w:tcW w:w="4345" w:type="dxa"/>
            <w:gridSpan w:val="2"/>
            <w:vAlign w:val="center"/>
          </w:tcPr>
          <w:p w14:paraId="547B729F" w14:textId="77777777" w:rsidR="0007132E" w:rsidRPr="00C61670" w:rsidRDefault="0007132E" w:rsidP="00AA0FE0">
            <w:pPr>
              <w:pStyle w:val="Tabletext"/>
            </w:pPr>
            <w:r w:rsidRPr="00C61670">
              <w:t xml:space="preserve">Australian data (D'Silva 2021) reported an incidence of 21/252,081 genetically identified patients with SMA (equivalent to 1 in 12,004 </w:t>
            </w:r>
            <w:r w:rsidRPr="0081032F">
              <w:rPr>
                <w:iCs/>
              </w:rPr>
              <w:t>or 8.33 per 100,000</w:t>
            </w:r>
            <w:r w:rsidRPr="00C61670">
              <w:t xml:space="preserve">). Of the patients diagnosed with SMA, 38.1% had 3 </w:t>
            </w:r>
            <w:r w:rsidRPr="0081032F">
              <w:rPr>
                <w:i/>
              </w:rPr>
              <w:t xml:space="preserve">SMN2 </w:t>
            </w:r>
            <w:r w:rsidRPr="00C61670">
              <w:t>copies.</w:t>
            </w:r>
          </w:p>
        </w:tc>
        <w:tc>
          <w:tcPr>
            <w:tcW w:w="3351" w:type="dxa"/>
            <w:vAlign w:val="center"/>
          </w:tcPr>
          <w:p w14:paraId="1EE92B89" w14:textId="77777777" w:rsidR="0007132E" w:rsidRPr="00C61670" w:rsidRDefault="0007132E" w:rsidP="00AA0FE0">
            <w:pPr>
              <w:pStyle w:val="Tabletext"/>
            </w:pPr>
            <w:r w:rsidRPr="0081032F">
              <w:t xml:space="preserve">These estimates were lower than those accepted by the PBAC at the July 2023 consideration of nusinersen (8.66 per 100,000 live births, 45.81% with 3 copies of </w:t>
            </w:r>
            <w:r w:rsidRPr="000F1040">
              <w:rPr>
                <w:i/>
                <w:iCs/>
              </w:rPr>
              <w:t>SMN2</w:t>
            </w:r>
            <w:r w:rsidRPr="0081032F">
              <w:t>) (Table 20, nusinersen PSD, July 2023 PBAC meeting). These figures were explored in sensitivity analyses conducted during the evaluation.</w:t>
            </w:r>
          </w:p>
        </w:tc>
      </w:tr>
      <w:tr w:rsidR="0007132E" w:rsidRPr="00C61670" w14:paraId="2464579F" w14:textId="77777777" w:rsidTr="005F76B1">
        <w:trPr>
          <w:cantSplit/>
        </w:trPr>
        <w:tc>
          <w:tcPr>
            <w:tcW w:w="0" w:type="auto"/>
            <w:gridSpan w:val="4"/>
          </w:tcPr>
          <w:p w14:paraId="6454CDB4" w14:textId="77777777" w:rsidR="0007132E" w:rsidRPr="00C61670" w:rsidRDefault="0007132E" w:rsidP="00AA0FE0">
            <w:pPr>
              <w:pStyle w:val="Tabletext"/>
              <w:rPr>
                <w:b/>
              </w:rPr>
            </w:pPr>
            <w:r w:rsidRPr="00C61670">
              <w:rPr>
                <w:b/>
              </w:rPr>
              <w:t>Treatment utilisation</w:t>
            </w:r>
          </w:p>
        </w:tc>
      </w:tr>
      <w:tr w:rsidR="0007132E" w:rsidRPr="0081032F" w14:paraId="4D4227F4" w14:textId="77777777" w:rsidTr="005F76B1">
        <w:trPr>
          <w:cantSplit/>
          <w:tblHeader/>
        </w:trPr>
        <w:tc>
          <w:tcPr>
            <w:tcW w:w="1320" w:type="dxa"/>
            <w:vAlign w:val="center"/>
          </w:tcPr>
          <w:p w14:paraId="38823173" w14:textId="77777777" w:rsidR="0007132E" w:rsidRPr="0081032F" w:rsidRDefault="0007132E" w:rsidP="00AA0FE0">
            <w:pPr>
              <w:pStyle w:val="Tabletext"/>
            </w:pPr>
            <w:r w:rsidRPr="0081032F">
              <w:t>Age of treatment initiation</w:t>
            </w:r>
          </w:p>
        </w:tc>
        <w:tc>
          <w:tcPr>
            <w:tcW w:w="4345" w:type="dxa"/>
            <w:gridSpan w:val="2"/>
            <w:vAlign w:val="center"/>
          </w:tcPr>
          <w:p w14:paraId="75AFD593" w14:textId="77777777" w:rsidR="0007132E" w:rsidRPr="0081032F" w:rsidRDefault="0007132E" w:rsidP="00AA0FE0">
            <w:pPr>
              <w:pStyle w:val="Tabletext"/>
            </w:pPr>
            <w:r w:rsidRPr="0081032F">
              <w:t xml:space="preserve">One month, as it closely aligned with the age at first dose for patients with 3 </w:t>
            </w:r>
            <w:r w:rsidRPr="00B97455">
              <w:rPr>
                <w:i/>
              </w:rPr>
              <w:t>SMN2</w:t>
            </w:r>
            <w:r w:rsidRPr="0081032F">
              <w:t xml:space="preserve"> gene copies observed in the RAINBOWFISH study, i.e. mean = 29.9 days, median = 28.0 days (range 20-41 days). Source: RAINBOWFISH Primary CSR</w:t>
            </w:r>
          </w:p>
        </w:tc>
        <w:tc>
          <w:tcPr>
            <w:tcW w:w="3351" w:type="dxa"/>
            <w:vAlign w:val="center"/>
          </w:tcPr>
          <w:p w14:paraId="75A16F92" w14:textId="54877781" w:rsidR="0007132E" w:rsidRPr="0081032F" w:rsidRDefault="00EF0B51" w:rsidP="00EF0B51">
            <w:pPr>
              <w:pStyle w:val="Tabletext"/>
              <w:rPr>
                <w:iCs/>
              </w:rPr>
            </w:pPr>
            <w:r w:rsidRPr="0081032F">
              <w:rPr>
                <w:iCs/>
              </w:rPr>
              <w:t>In the CMA the mean age of treatment initiation from RAINBOWFISH was used as a guide to approximate the age at which risdiplam is initiated. Given the introduction of NBS in Australia, the one month age of treatment initiation was reasonable</w:t>
            </w:r>
            <w:r w:rsidR="00305EAF">
              <w:rPr>
                <w:iCs/>
              </w:rPr>
              <w:t xml:space="preserve"> for </w:t>
            </w:r>
            <w:proofErr w:type="gramStart"/>
            <w:r w:rsidR="00305EAF">
              <w:rPr>
                <w:iCs/>
              </w:rPr>
              <w:t>the majority of</w:t>
            </w:r>
            <w:proofErr w:type="gramEnd"/>
            <w:r w:rsidR="00305EAF">
              <w:rPr>
                <w:iCs/>
              </w:rPr>
              <w:t xml:space="preserve"> patients (newborns), but not for any prevalent or grandfathered patients or patients switching from nusinersen to risdiplam</w:t>
            </w:r>
            <w:r w:rsidRPr="0081032F">
              <w:rPr>
                <w:iCs/>
              </w:rPr>
              <w:t>.</w:t>
            </w:r>
          </w:p>
        </w:tc>
      </w:tr>
      <w:tr w:rsidR="0007132E" w:rsidRPr="0081032F" w14:paraId="43D2A8E6" w14:textId="77777777" w:rsidTr="005F76B1">
        <w:trPr>
          <w:cantSplit/>
          <w:tblHeader/>
        </w:trPr>
        <w:tc>
          <w:tcPr>
            <w:tcW w:w="1320" w:type="dxa"/>
            <w:vAlign w:val="center"/>
          </w:tcPr>
          <w:p w14:paraId="7E03957A" w14:textId="77777777" w:rsidR="0007132E" w:rsidRPr="0081032F" w:rsidRDefault="0007132E" w:rsidP="00AA0FE0">
            <w:pPr>
              <w:pStyle w:val="Tabletext"/>
            </w:pPr>
            <w:r w:rsidRPr="0081032F">
              <w:t>Risdiplam uptake rate</w:t>
            </w:r>
          </w:p>
        </w:tc>
        <w:tc>
          <w:tcPr>
            <w:tcW w:w="4345" w:type="dxa"/>
            <w:gridSpan w:val="2"/>
            <w:vAlign w:val="center"/>
          </w:tcPr>
          <w:p w14:paraId="6A8A615A" w14:textId="01E8C78D" w:rsidR="0007132E" w:rsidRPr="0081032F" w:rsidRDefault="0007132E" w:rsidP="00AA0FE0">
            <w:pPr>
              <w:pStyle w:val="Tabletext"/>
            </w:pPr>
            <w:r w:rsidRPr="0081032F">
              <w:t xml:space="preserve">Based on expert opinion, the </w:t>
            </w:r>
            <w:r w:rsidR="0007089E" w:rsidRPr="0081032F">
              <w:t>submission</w:t>
            </w:r>
            <w:r w:rsidRPr="0081032F">
              <w:t xml:space="preserve"> assumed that 60% of patients with SMA with 3 copies of </w:t>
            </w:r>
            <w:r w:rsidRPr="00B97455">
              <w:rPr>
                <w:i/>
              </w:rPr>
              <w:t>SMN2</w:t>
            </w:r>
            <w:r w:rsidRPr="0081032F">
              <w:t xml:space="preserve"> would receive ONA and 40% of patients would not receive ONA due to patients not meeting the threshold for AAV9 or personal choice. For the patients not receiving ONA, it was assumed that half (20%) receive risdiplam and half (20%) receive nusinersen.</w:t>
            </w:r>
          </w:p>
        </w:tc>
        <w:tc>
          <w:tcPr>
            <w:tcW w:w="3351" w:type="dxa"/>
            <w:vAlign w:val="center"/>
          </w:tcPr>
          <w:p w14:paraId="116DFEBF" w14:textId="5E4CA8D7" w:rsidR="0007132E" w:rsidRPr="0081032F" w:rsidRDefault="0007132E" w:rsidP="004B6F32">
            <w:pPr>
              <w:pStyle w:val="Tabletext"/>
              <w:rPr>
                <w:iCs/>
              </w:rPr>
            </w:pPr>
            <w:r w:rsidRPr="0081032F">
              <w:rPr>
                <w:iCs/>
              </w:rPr>
              <w:t xml:space="preserve">It </w:t>
            </w:r>
            <w:r w:rsidR="005F76B1" w:rsidRPr="0081032F">
              <w:rPr>
                <w:iCs/>
              </w:rPr>
              <w:t>wa</w:t>
            </w:r>
            <w:r w:rsidRPr="0081032F">
              <w:rPr>
                <w:iCs/>
              </w:rPr>
              <w:t xml:space="preserve">s reasonable that ONA would be used by most SMA patients who are eligible to receive it for convenience reasons, however some families could opt for risdiplam treatment due to its oral administration or ready availability. </w:t>
            </w:r>
            <w:r w:rsidR="00B97455" w:rsidRPr="00DD6359">
              <w:rPr>
                <w:iCs/>
              </w:rPr>
              <w:t>The evaluation and the ESC considered that</w:t>
            </w:r>
            <w:r w:rsidR="00B97455">
              <w:rPr>
                <w:iCs/>
              </w:rPr>
              <w:t xml:space="preserve"> i</w:t>
            </w:r>
            <w:r w:rsidRPr="0081032F">
              <w:rPr>
                <w:iCs/>
              </w:rPr>
              <w:t xml:space="preserve">t therefore may not be reasonable to assume that risdiplam </w:t>
            </w:r>
            <w:r w:rsidR="00B7174F" w:rsidRPr="0081032F">
              <w:rPr>
                <w:iCs/>
              </w:rPr>
              <w:t xml:space="preserve">will be </w:t>
            </w:r>
            <w:r w:rsidRPr="0081032F">
              <w:rPr>
                <w:iCs/>
              </w:rPr>
              <w:t>used only in patients for whom ONA was not suitable, and risdiplam may substitute for ONA in some patients. Further, it may not be reasonable to assume that nusinersen and risdiplam would have the same market share</w:t>
            </w:r>
            <w:r w:rsidR="001201C4" w:rsidRPr="0081032F">
              <w:rPr>
                <w:iCs/>
              </w:rPr>
              <w:t>,</w:t>
            </w:r>
            <w:r w:rsidRPr="0081032F">
              <w:rPr>
                <w:iCs/>
              </w:rPr>
              <w:t xml:space="preserve"> as</w:t>
            </w:r>
            <w:r w:rsidR="00884C4F" w:rsidRPr="0081032F">
              <w:rPr>
                <w:iCs/>
              </w:rPr>
              <w:t xml:space="preserve"> most</w:t>
            </w:r>
            <w:r w:rsidRPr="0081032F">
              <w:rPr>
                <w:iCs/>
              </w:rPr>
              <w:t xml:space="preserve"> Advisors to the </w:t>
            </w:r>
            <w:r w:rsidR="00EF210A">
              <w:rPr>
                <w:iCs/>
              </w:rPr>
              <w:t>s</w:t>
            </w:r>
            <w:r w:rsidRPr="0081032F">
              <w:rPr>
                <w:iCs/>
              </w:rPr>
              <w:t>ponsor</w:t>
            </w:r>
            <w:r w:rsidR="001201C4" w:rsidRPr="0081032F">
              <w:rPr>
                <w:iCs/>
              </w:rPr>
              <w:t xml:space="preserve"> </w:t>
            </w:r>
            <w:r w:rsidR="00884C4F" w:rsidRPr="0081032F">
              <w:rPr>
                <w:iCs/>
              </w:rPr>
              <w:t>(comprised of 5</w:t>
            </w:r>
            <w:r w:rsidR="001201C4" w:rsidRPr="0081032F">
              <w:rPr>
                <w:iCs/>
              </w:rPr>
              <w:t xml:space="preserve"> experienced paediatric neuromuscular experts in SMA</w:t>
            </w:r>
            <w:r w:rsidR="00884C4F" w:rsidRPr="0081032F">
              <w:rPr>
                <w:iCs/>
              </w:rPr>
              <w:t>)</w:t>
            </w:r>
            <w:r w:rsidRPr="0081032F">
              <w:rPr>
                <w:iCs/>
              </w:rPr>
              <w:t xml:space="preserve"> </w:t>
            </w:r>
            <w:r w:rsidR="006D66F5" w:rsidRPr="0081032F">
              <w:rPr>
                <w:iCs/>
              </w:rPr>
              <w:t xml:space="preserve">reported that they </w:t>
            </w:r>
            <w:r w:rsidRPr="0081032F">
              <w:rPr>
                <w:iCs/>
              </w:rPr>
              <w:t>expect to treat more pre-symptomatic patients with risdiplam than nusinersen.</w:t>
            </w:r>
          </w:p>
        </w:tc>
      </w:tr>
      <w:tr w:rsidR="0007132E" w:rsidRPr="00C61670" w14:paraId="07580F18" w14:textId="77777777" w:rsidTr="005F76B1">
        <w:trPr>
          <w:cantSplit/>
          <w:tblHeader/>
        </w:trPr>
        <w:tc>
          <w:tcPr>
            <w:tcW w:w="1320" w:type="dxa"/>
            <w:vAlign w:val="center"/>
          </w:tcPr>
          <w:p w14:paraId="03A64C49" w14:textId="77777777" w:rsidR="0007132E" w:rsidRPr="00C61670" w:rsidRDefault="0007132E" w:rsidP="00AA0FE0">
            <w:pPr>
              <w:pStyle w:val="Tabletext"/>
            </w:pPr>
            <w:r w:rsidRPr="00C61670">
              <w:lastRenderedPageBreak/>
              <w:t>Risdiplam dose</w:t>
            </w:r>
          </w:p>
        </w:tc>
        <w:tc>
          <w:tcPr>
            <w:tcW w:w="4345" w:type="dxa"/>
            <w:gridSpan w:val="2"/>
            <w:vAlign w:val="center"/>
          </w:tcPr>
          <w:p w14:paraId="1DC93FFF" w14:textId="0DB14AF8" w:rsidR="0007132E" w:rsidRPr="00F262D9" w:rsidRDefault="0007132E" w:rsidP="00AA0FE0">
            <w:pPr>
              <w:pStyle w:val="Tabletext"/>
              <w:rPr>
                <w:i/>
                <w:iCs/>
              </w:rPr>
            </w:pPr>
            <w:r w:rsidRPr="00C61670">
              <w:t xml:space="preserve">Dosing was based on the risdiplam dosing regimen </w:t>
            </w:r>
            <w:r w:rsidR="00884C4F">
              <w:t>with treatment assumed to commence when the patient is one month</w:t>
            </w:r>
            <w:r w:rsidR="000661E4">
              <w:t xml:space="preserve"> of age</w:t>
            </w:r>
            <w:r w:rsidRPr="00C61670">
              <w:t>. The dose required for patients in each year whilst they are on treatment was estimated based on the patient’s expected weight at the end of the continuation period. (Patient weight estimated using WHO Child Growth Standards, 50</w:t>
            </w:r>
            <w:r w:rsidRPr="00C61670">
              <w:rPr>
                <w:vertAlign w:val="superscript"/>
              </w:rPr>
              <w:t>th</w:t>
            </w:r>
            <w:r w:rsidRPr="00C61670">
              <w:t xml:space="preserve"> percentile). Based on their body weight, patients were dispensed 1, 2 or 3 bottles of risdiplam per script.</w:t>
            </w:r>
            <w:r w:rsidR="00884C4F">
              <w:t xml:space="preserve"> </w:t>
            </w:r>
          </w:p>
        </w:tc>
        <w:tc>
          <w:tcPr>
            <w:tcW w:w="3351" w:type="dxa"/>
            <w:vAlign w:val="center"/>
          </w:tcPr>
          <w:p w14:paraId="4CA8EB4F" w14:textId="77777777" w:rsidR="0007132E" w:rsidRPr="0081032F" w:rsidRDefault="0007132E" w:rsidP="00AA0FE0">
            <w:pPr>
              <w:pStyle w:val="Tabletext"/>
              <w:rPr>
                <w:iCs/>
              </w:rPr>
            </w:pPr>
            <w:r w:rsidRPr="0081032F">
              <w:rPr>
                <w:iCs/>
              </w:rPr>
              <w:t xml:space="preserve">Reasonable, although the calculations slightly overestimate the number of risdiplam bottles required per year due to the assumption that the patient’s weight is as expected at the end of the continuum period, rather than increasing gradually over each </w:t>
            </w:r>
            <w:proofErr w:type="gramStart"/>
            <w:r w:rsidRPr="0081032F">
              <w:rPr>
                <w:iCs/>
              </w:rPr>
              <w:t>time period</w:t>
            </w:r>
            <w:proofErr w:type="gramEnd"/>
            <w:r w:rsidRPr="0081032F">
              <w:rPr>
                <w:iCs/>
              </w:rPr>
              <w:t>.</w:t>
            </w:r>
          </w:p>
        </w:tc>
      </w:tr>
      <w:tr w:rsidR="0007132E" w:rsidRPr="00C61670" w14:paraId="0BF47827" w14:textId="77777777" w:rsidTr="005F76B1">
        <w:trPr>
          <w:cantSplit/>
          <w:tblHeader/>
        </w:trPr>
        <w:tc>
          <w:tcPr>
            <w:tcW w:w="1320" w:type="dxa"/>
            <w:vAlign w:val="center"/>
          </w:tcPr>
          <w:p w14:paraId="5847B394" w14:textId="77777777" w:rsidR="0007132E" w:rsidRPr="00C61670" w:rsidRDefault="0007132E" w:rsidP="00AA0FE0">
            <w:pPr>
              <w:pStyle w:val="Tabletext"/>
            </w:pPr>
            <w:r w:rsidRPr="00C61670">
              <w:t>DMT discontinuation</w:t>
            </w:r>
          </w:p>
        </w:tc>
        <w:tc>
          <w:tcPr>
            <w:tcW w:w="4345" w:type="dxa"/>
            <w:gridSpan w:val="2"/>
            <w:vAlign w:val="center"/>
          </w:tcPr>
          <w:p w14:paraId="51C126E1" w14:textId="77777777" w:rsidR="0007132E" w:rsidRPr="00C61670" w:rsidRDefault="0007132E" w:rsidP="00AA0FE0">
            <w:pPr>
              <w:pStyle w:val="Tabletext"/>
            </w:pPr>
            <w:r w:rsidRPr="00C61670">
              <w:t>It was assumed that no patients discontinued risdiplam treatment due to AEs or any other reasons.</w:t>
            </w:r>
          </w:p>
        </w:tc>
        <w:tc>
          <w:tcPr>
            <w:tcW w:w="3351" w:type="dxa"/>
            <w:vAlign w:val="center"/>
          </w:tcPr>
          <w:p w14:paraId="79FD7813" w14:textId="77777777" w:rsidR="0007132E" w:rsidRPr="0081032F" w:rsidRDefault="0007132E" w:rsidP="00AA0FE0">
            <w:pPr>
              <w:pStyle w:val="Tabletext"/>
              <w:rPr>
                <w:iCs/>
              </w:rPr>
            </w:pPr>
            <w:r w:rsidRPr="0081032F">
              <w:rPr>
                <w:iCs/>
              </w:rPr>
              <w:t>It may be reasonable to assume that patients continue DMT over the first 6 years of their life, however there is no data to support this assumption over a longer duration.</w:t>
            </w:r>
          </w:p>
        </w:tc>
      </w:tr>
      <w:tr w:rsidR="0007132E" w:rsidRPr="00C61670" w14:paraId="67A1E7A1" w14:textId="77777777" w:rsidTr="005F76B1">
        <w:trPr>
          <w:cantSplit/>
          <w:tblHeader/>
        </w:trPr>
        <w:tc>
          <w:tcPr>
            <w:tcW w:w="1320" w:type="dxa"/>
            <w:vAlign w:val="center"/>
          </w:tcPr>
          <w:p w14:paraId="3CB21E66" w14:textId="77777777" w:rsidR="0007132E" w:rsidRPr="00C61670" w:rsidRDefault="0007132E" w:rsidP="00AA0FE0">
            <w:pPr>
              <w:pStyle w:val="Tabletext"/>
            </w:pPr>
            <w:r w:rsidRPr="00C61670">
              <w:t>DMT switching</w:t>
            </w:r>
          </w:p>
        </w:tc>
        <w:tc>
          <w:tcPr>
            <w:tcW w:w="4345" w:type="dxa"/>
            <w:gridSpan w:val="2"/>
            <w:vAlign w:val="center"/>
          </w:tcPr>
          <w:p w14:paraId="18450BAB" w14:textId="2A47BA31" w:rsidR="0007132E" w:rsidRPr="00C61670" w:rsidRDefault="0007132E" w:rsidP="00AA0FE0">
            <w:pPr>
              <w:pStyle w:val="Tabletext"/>
            </w:pPr>
            <w:r w:rsidRPr="00C61670">
              <w:t xml:space="preserve">The </w:t>
            </w:r>
            <w:r w:rsidR="0007089E">
              <w:t>submission</w:t>
            </w:r>
            <w:r w:rsidRPr="00C61670">
              <w:t xml:space="preserve"> assumed that no patients switched to receive risdiplam after receiving </w:t>
            </w:r>
            <w:r w:rsidR="003213D5">
              <w:t>another DMT</w:t>
            </w:r>
            <w:r w:rsidRPr="00C61670">
              <w:t xml:space="preserve"> and that no patients switched to </w:t>
            </w:r>
            <w:r w:rsidR="003213D5">
              <w:t>another DMT</w:t>
            </w:r>
            <w:r w:rsidRPr="00C61670">
              <w:t xml:space="preserve"> after receiving risdiplam.</w:t>
            </w:r>
          </w:p>
        </w:tc>
        <w:tc>
          <w:tcPr>
            <w:tcW w:w="3351" w:type="dxa"/>
            <w:vAlign w:val="center"/>
          </w:tcPr>
          <w:p w14:paraId="2BDD6614" w14:textId="114FD036" w:rsidR="0007132E" w:rsidRPr="0081032F" w:rsidRDefault="0007132E" w:rsidP="00AA0FE0">
            <w:pPr>
              <w:pStyle w:val="Tabletext"/>
              <w:rPr>
                <w:iCs/>
              </w:rPr>
            </w:pPr>
            <w:r w:rsidRPr="0081032F">
              <w:rPr>
                <w:iCs/>
              </w:rPr>
              <w:t xml:space="preserve">This may not be reasonable. Patients </w:t>
            </w:r>
            <w:proofErr w:type="gramStart"/>
            <w:r w:rsidR="006D40E0" w:rsidRPr="0081032F">
              <w:rPr>
                <w:iCs/>
              </w:rPr>
              <w:t>are able to</w:t>
            </w:r>
            <w:proofErr w:type="gramEnd"/>
            <w:r w:rsidR="006D40E0" w:rsidRPr="0081032F">
              <w:rPr>
                <w:iCs/>
              </w:rPr>
              <w:t xml:space="preserve"> </w:t>
            </w:r>
            <w:r w:rsidRPr="0081032F">
              <w:rPr>
                <w:iCs/>
              </w:rPr>
              <w:t xml:space="preserve">receive risdiplam and then switch to </w:t>
            </w:r>
            <w:r w:rsidR="006D40E0" w:rsidRPr="0081032F">
              <w:rPr>
                <w:iCs/>
              </w:rPr>
              <w:t xml:space="preserve">nusinersen or </w:t>
            </w:r>
            <w:r w:rsidR="006D66F5" w:rsidRPr="0081032F">
              <w:rPr>
                <w:iCs/>
              </w:rPr>
              <w:t xml:space="preserve">first </w:t>
            </w:r>
            <w:r w:rsidR="006D40E0" w:rsidRPr="0081032F">
              <w:rPr>
                <w:iCs/>
              </w:rPr>
              <w:t>receive nusinersen and then switch to risdiplam</w:t>
            </w:r>
            <w:r w:rsidRPr="0081032F">
              <w:rPr>
                <w:iCs/>
              </w:rPr>
              <w:t xml:space="preserve">. </w:t>
            </w:r>
          </w:p>
        </w:tc>
      </w:tr>
      <w:tr w:rsidR="0007132E" w:rsidRPr="00C61670" w14:paraId="06C3BC54" w14:textId="77777777" w:rsidTr="005F76B1">
        <w:trPr>
          <w:cantSplit/>
          <w:tblHeader/>
        </w:trPr>
        <w:tc>
          <w:tcPr>
            <w:tcW w:w="1320" w:type="dxa"/>
            <w:vAlign w:val="center"/>
          </w:tcPr>
          <w:p w14:paraId="493FE793" w14:textId="77777777" w:rsidR="0007132E" w:rsidRPr="00C61670" w:rsidRDefault="0007132E" w:rsidP="00AA0FE0">
            <w:pPr>
              <w:pStyle w:val="Tabletext"/>
            </w:pPr>
            <w:r w:rsidRPr="00C61670">
              <w:t>Mortality</w:t>
            </w:r>
          </w:p>
        </w:tc>
        <w:tc>
          <w:tcPr>
            <w:tcW w:w="4345" w:type="dxa"/>
            <w:gridSpan w:val="2"/>
            <w:vAlign w:val="center"/>
          </w:tcPr>
          <w:p w14:paraId="33A3D54F" w14:textId="77777777" w:rsidR="0007132E" w:rsidRPr="00C61670" w:rsidRDefault="0007132E" w:rsidP="00AA0FE0">
            <w:pPr>
              <w:pStyle w:val="Tabletext"/>
            </w:pPr>
            <w:r w:rsidRPr="00C61670">
              <w:t xml:space="preserve">Survival for patients treated pre-symptomatically with risdiplam or nusinersen with 3 </w:t>
            </w:r>
            <w:r w:rsidRPr="00C61670">
              <w:rPr>
                <w:i/>
                <w:iCs/>
              </w:rPr>
              <w:t>SMN2</w:t>
            </w:r>
            <w:r w:rsidRPr="00C61670">
              <w:t xml:space="preserve"> gene copies was assumed to be 100% whilst on treatment as no patients have died whilst on treatment in the RAINBOWFISH and NURTURE studies during follow-up of 20 months for risdiplam and 60 months for nusinersen.</w:t>
            </w:r>
          </w:p>
        </w:tc>
        <w:tc>
          <w:tcPr>
            <w:tcW w:w="3351" w:type="dxa"/>
            <w:vAlign w:val="center"/>
          </w:tcPr>
          <w:p w14:paraId="2F3B088C" w14:textId="0B48E226" w:rsidR="0007132E" w:rsidRPr="0081032F" w:rsidRDefault="0007132E" w:rsidP="00AA0FE0">
            <w:pPr>
              <w:pStyle w:val="Tabletext"/>
              <w:rPr>
                <w:iCs/>
              </w:rPr>
            </w:pPr>
            <w:r w:rsidRPr="0081032F">
              <w:rPr>
                <w:iCs/>
              </w:rPr>
              <w:t xml:space="preserve">This </w:t>
            </w:r>
            <w:r w:rsidR="00C95ED6">
              <w:rPr>
                <w:iCs/>
              </w:rPr>
              <w:t>was</w:t>
            </w:r>
            <w:r w:rsidRPr="0081032F">
              <w:rPr>
                <w:iCs/>
              </w:rPr>
              <w:t xml:space="preserve"> consistent with the data available for the requested patient population. </w:t>
            </w:r>
          </w:p>
        </w:tc>
      </w:tr>
      <w:tr w:rsidR="0007132E" w:rsidRPr="00C61670" w14:paraId="7DC92CFC" w14:textId="77777777" w:rsidTr="005F76B1">
        <w:trPr>
          <w:cantSplit/>
          <w:tblHeader/>
        </w:trPr>
        <w:tc>
          <w:tcPr>
            <w:tcW w:w="1320" w:type="dxa"/>
            <w:vAlign w:val="center"/>
          </w:tcPr>
          <w:p w14:paraId="1E1C9159" w14:textId="77777777" w:rsidR="0007132E" w:rsidRPr="00C61670" w:rsidRDefault="0007132E" w:rsidP="00AA0FE0">
            <w:pPr>
              <w:pStyle w:val="Tabletext"/>
            </w:pPr>
            <w:r w:rsidRPr="00C61670">
              <w:t>Prevalent patients</w:t>
            </w:r>
          </w:p>
        </w:tc>
        <w:tc>
          <w:tcPr>
            <w:tcW w:w="4345" w:type="dxa"/>
            <w:gridSpan w:val="2"/>
            <w:vAlign w:val="center"/>
          </w:tcPr>
          <w:p w14:paraId="4900CAF7" w14:textId="314B3D9D" w:rsidR="0007132E" w:rsidRPr="00C61670" w:rsidRDefault="0007132E" w:rsidP="00AA0FE0">
            <w:pPr>
              <w:pStyle w:val="Tabletext"/>
            </w:pPr>
            <w:r w:rsidRPr="00C61670">
              <w:t xml:space="preserve">No prevalent patients were assumed at the start of the utilisation. The </w:t>
            </w:r>
            <w:r w:rsidR="0007089E">
              <w:t>submission</w:t>
            </w:r>
            <w:r w:rsidRPr="00C61670">
              <w:t xml:space="preserve"> (p85) claimed this was due to the speed of symptom onset for SMA and the availability of DMT.</w:t>
            </w:r>
          </w:p>
        </w:tc>
        <w:tc>
          <w:tcPr>
            <w:tcW w:w="3351" w:type="dxa"/>
            <w:vAlign w:val="center"/>
          </w:tcPr>
          <w:p w14:paraId="3E773215" w14:textId="06922691" w:rsidR="0007132E" w:rsidRPr="0081032F" w:rsidRDefault="0007132E" w:rsidP="00AA0FE0">
            <w:pPr>
              <w:pStyle w:val="Tabletext"/>
              <w:rPr>
                <w:iCs/>
              </w:rPr>
            </w:pPr>
            <w:r w:rsidRPr="0081032F">
              <w:rPr>
                <w:iCs/>
              </w:rPr>
              <w:t xml:space="preserve">This may not be reasonable. NBS was recently rolled out across Australia and patients with SMA with 3 copies of </w:t>
            </w:r>
            <w:r w:rsidRPr="000F1040">
              <w:rPr>
                <w:i/>
              </w:rPr>
              <w:t>SMN2</w:t>
            </w:r>
            <w:r w:rsidRPr="0081032F">
              <w:rPr>
                <w:iCs/>
              </w:rPr>
              <w:t xml:space="preserve"> born before the implementation of NBS may not yet have received treatment. These patients could potentially initiate risdiplam before the age of 36 months in line with the proposed restriction. Consequently, the </w:t>
            </w:r>
            <w:r w:rsidR="0007089E" w:rsidRPr="0081032F">
              <w:rPr>
                <w:iCs/>
              </w:rPr>
              <w:t>submission</w:t>
            </w:r>
            <w:r w:rsidRPr="0081032F">
              <w:rPr>
                <w:iCs/>
              </w:rPr>
              <w:t xml:space="preserve"> may have underestimated the number of patients who will receive risdiplam under the proposed listing.</w:t>
            </w:r>
          </w:p>
        </w:tc>
      </w:tr>
      <w:tr w:rsidR="0007132E" w:rsidRPr="003D7F39" w14:paraId="120C65E7" w14:textId="77777777" w:rsidTr="005F76B1">
        <w:trPr>
          <w:cantSplit/>
          <w:tblHeader/>
        </w:trPr>
        <w:tc>
          <w:tcPr>
            <w:tcW w:w="1320" w:type="dxa"/>
            <w:vAlign w:val="center"/>
          </w:tcPr>
          <w:p w14:paraId="29CFCC30" w14:textId="77777777" w:rsidR="0007132E" w:rsidRPr="003D7F39" w:rsidRDefault="0007132E" w:rsidP="00AA0FE0">
            <w:pPr>
              <w:pStyle w:val="Tabletext"/>
            </w:pPr>
            <w:r w:rsidRPr="003D7F39">
              <w:t>Grandfathered patients</w:t>
            </w:r>
          </w:p>
        </w:tc>
        <w:tc>
          <w:tcPr>
            <w:tcW w:w="4345" w:type="dxa"/>
            <w:gridSpan w:val="2"/>
            <w:vAlign w:val="center"/>
          </w:tcPr>
          <w:p w14:paraId="23D92508" w14:textId="54505B97" w:rsidR="0007132E" w:rsidRPr="003D7F39" w:rsidRDefault="0007132E" w:rsidP="00AA0FE0">
            <w:pPr>
              <w:pStyle w:val="Tabletext"/>
            </w:pPr>
            <w:r w:rsidRPr="003D7F39">
              <w:t xml:space="preserve">The </w:t>
            </w:r>
            <w:r w:rsidR="0007089E" w:rsidRPr="003D7F39">
              <w:t>submission</w:t>
            </w:r>
            <w:r w:rsidRPr="003D7F39">
              <w:t xml:space="preserve"> assumed there would be no grandfathered patients.</w:t>
            </w:r>
          </w:p>
        </w:tc>
        <w:tc>
          <w:tcPr>
            <w:tcW w:w="3351" w:type="dxa"/>
            <w:vAlign w:val="center"/>
          </w:tcPr>
          <w:p w14:paraId="5C6E6458" w14:textId="666DAC8B" w:rsidR="0007132E" w:rsidRPr="003D7F39" w:rsidRDefault="00933174" w:rsidP="00AA0FE0">
            <w:pPr>
              <w:pStyle w:val="Tabletext"/>
              <w:rPr>
                <w:iCs/>
              </w:rPr>
            </w:pPr>
            <w:r w:rsidRPr="003D7F39">
              <w:rPr>
                <w:iCs/>
              </w:rPr>
              <w:t xml:space="preserve">The </w:t>
            </w:r>
            <w:r w:rsidR="0007089E" w:rsidRPr="003D7F39">
              <w:rPr>
                <w:iCs/>
              </w:rPr>
              <w:t>submission</w:t>
            </w:r>
            <w:r w:rsidRPr="003D7F39">
              <w:rPr>
                <w:iCs/>
              </w:rPr>
              <w:t xml:space="preserve"> </w:t>
            </w:r>
            <w:r w:rsidR="0007132E" w:rsidRPr="003D7F39">
              <w:rPr>
                <w:iCs/>
              </w:rPr>
              <w:t xml:space="preserve">noted that 8 pre-symptomatic Australian SMA patients (including 6 patients with 3 copies of </w:t>
            </w:r>
            <w:r w:rsidR="0007132E" w:rsidRPr="000F1040">
              <w:rPr>
                <w:i/>
              </w:rPr>
              <w:t>SMN2</w:t>
            </w:r>
            <w:r w:rsidR="0007132E" w:rsidRPr="003D7F39">
              <w:rPr>
                <w:iCs/>
              </w:rPr>
              <w:t>) are currently accessing risdiplam via the RAINBOWFISH study and may be eligible for PBS supply.</w:t>
            </w:r>
            <w:r w:rsidR="00305EAF">
              <w:rPr>
                <w:iCs/>
              </w:rPr>
              <w:t xml:space="preserve"> </w:t>
            </w:r>
            <w:r w:rsidR="0007132E" w:rsidRPr="003D7F39">
              <w:t xml:space="preserve">Consequently, the </w:t>
            </w:r>
            <w:r w:rsidR="0007089E" w:rsidRPr="003D7F39">
              <w:t>submission</w:t>
            </w:r>
            <w:r w:rsidR="0007132E" w:rsidRPr="003D7F39">
              <w:t xml:space="preserve"> may have underestimated the number of patients who will receive risdiplam under the proposed listing</w:t>
            </w:r>
            <w:r w:rsidR="00102545" w:rsidRPr="003D7F39">
              <w:t xml:space="preserve">. </w:t>
            </w:r>
            <w:r w:rsidR="003B21A3">
              <w:t>T</w:t>
            </w:r>
            <w:r w:rsidR="00102545" w:rsidRPr="003D7F39">
              <w:t xml:space="preserve">hese patients would commence </w:t>
            </w:r>
            <w:r w:rsidR="003B21A3">
              <w:t xml:space="preserve">PBS-reimbursed </w:t>
            </w:r>
            <w:r w:rsidR="00102545" w:rsidRPr="003D7F39">
              <w:t>treatment at a higher dose than newborns</w:t>
            </w:r>
            <w:r w:rsidR="0007132E" w:rsidRPr="003D7F39">
              <w:t xml:space="preserve">. </w:t>
            </w:r>
          </w:p>
        </w:tc>
      </w:tr>
      <w:tr w:rsidR="0007132E" w:rsidRPr="00C61670" w14:paraId="30F1B398" w14:textId="77777777" w:rsidTr="005F76B1">
        <w:trPr>
          <w:cantSplit/>
        </w:trPr>
        <w:tc>
          <w:tcPr>
            <w:tcW w:w="0" w:type="auto"/>
            <w:gridSpan w:val="4"/>
          </w:tcPr>
          <w:p w14:paraId="00AE11E8" w14:textId="77777777" w:rsidR="0007132E" w:rsidRPr="00C61670" w:rsidRDefault="0007132E" w:rsidP="00AA0FE0">
            <w:pPr>
              <w:pStyle w:val="Tabletext"/>
              <w:rPr>
                <w:b/>
              </w:rPr>
            </w:pPr>
            <w:r w:rsidRPr="00C61670">
              <w:rPr>
                <w:b/>
              </w:rPr>
              <w:t>Costs</w:t>
            </w:r>
          </w:p>
        </w:tc>
      </w:tr>
      <w:tr w:rsidR="0007132E" w:rsidRPr="003D7F39" w14:paraId="50690027" w14:textId="77777777" w:rsidTr="005F76B1">
        <w:trPr>
          <w:cantSplit/>
        </w:trPr>
        <w:tc>
          <w:tcPr>
            <w:tcW w:w="1320" w:type="dxa"/>
            <w:shd w:val="clear" w:color="auto" w:fill="auto"/>
            <w:vAlign w:val="center"/>
          </w:tcPr>
          <w:p w14:paraId="43839E8B" w14:textId="77777777" w:rsidR="0007132E" w:rsidRPr="003D7F39" w:rsidRDefault="0007132E" w:rsidP="00AA0FE0">
            <w:pPr>
              <w:pStyle w:val="Tabletext"/>
            </w:pPr>
            <w:r w:rsidRPr="003D7F39">
              <w:t>Proposed risdiplam</w:t>
            </w:r>
          </w:p>
        </w:tc>
        <w:tc>
          <w:tcPr>
            <w:tcW w:w="2219" w:type="dxa"/>
            <w:shd w:val="clear" w:color="auto" w:fill="auto"/>
            <w:vAlign w:val="center"/>
          </w:tcPr>
          <w:p w14:paraId="2B66150C" w14:textId="77777777" w:rsidR="0007132E" w:rsidRPr="003D7F39" w:rsidRDefault="0007132E" w:rsidP="00AA0FE0">
            <w:pPr>
              <w:pStyle w:val="Tabletext"/>
            </w:pPr>
            <w:r w:rsidRPr="003D7F39">
              <w:t>$10,841.89</w:t>
            </w:r>
          </w:p>
        </w:tc>
        <w:tc>
          <w:tcPr>
            <w:tcW w:w="2126" w:type="dxa"/>
            <w:shd w:val="clear" w:color="auto" w:fill="auto"/>
            <w:vAlign w:val="center"/>
          </w:tcPr>
          <w:p w14:paraId="064247BA" w14:textId="77777777" w:rsidR="0007132E" w:rsidRPr="003D7F39" w:rsidRDefault="0007132E" w:rsidP="00AA0FE0">
            <w:pPr>
              <w:pStyle w:val="Tabletext"/>
            </w:pPr>
            <w:r w:rsidRPr="003D7F39">
              <w:t>Published price (AEMP)</w:t>
            </w:r>
          </w:p>
        </w:tc>
        <w:tc>
          <w:tcPr>
            <w:tcW w:w="3351" w:type="dxa"/>
            <w:vMerge w:val="restart"/>
            <w:shd w:val="clear" w:color="auto" w:fill="auto"/>
            <w:vAlign w:val="center"/>
          </w:tcPr>
          <w:p w14:paraId="37C6604B" w14:textId="18814B9B" w:rsidR="0007132E" w:rsidRPr="003D7F39" w:rsidRDefault="0007132E" w:rsidP="00AA0FE0">
            <w:pPr>
              <w:pStyle w:val="Tabletext"/>
              <w:rPr>
                <w:iCs/>
              </w:rPr>
            </w:pPr>
          </w:p>
        </w:tc>
      </w:tr>
      <w:tr w:rsidR="0007132E" w:rsidRPr="00C61670" w14:paraId="23467C0E" w14:textId="77777777" w:rsidTr="005F76B1">
        <w:trPr>
          <w:cantSplit/>
        </w:trPr>
        <w:tc>
          <w:tcPr>
            <w:tcW w:w="1320" w:type="dxa"/>
            <w:shd w:val="clear" w:color="auto" w:fill="auto"/>
            <w:vAlign w:val="center"/>
          </w:tcPr>
          <w:p w14:paraId="6737A903" w14:textId="77777777" w:rsidR="0007132E" w:rsidRPr="00C61670" w:rsidRDefault="0007132E" w:rsidP="00AA0FE0">
            <w:pPr>
              <w:pStyle w:val="Tabletext"/>
            </w:pPr>
            <w:r w:rsidRPr="00C61670">
              <w:t>Nusinersen</w:t>
            </w:r>
          </w:p>
        </w:tc>
        <w:tc>
          <w:tcPr>
            <w:tcW w:w="2219" w:type="dxa"/>
            <w:shd w:val="clear" w:color="auto" w:fill="auto"/>
            <w:vAlign w:val="center"/>
          </w:tcPr>
          <w:p w14:paraId="5D5BD7EB" w14:textId="77777777" w:rsidR="0007132E" w:rsidRPr="00C61670" w:rsidRDefault="0007132E" w:rsidP="00AA0FE0">
            <w:pPr>
              <w:pStyle w:val="Tabletext"/>
            </w:pPr>
            <w:r w:rsidRPr="00C61670">
              <w:t>$110,000</w:t>
            </w:r>
          </w:p>
        </w:tc>
        <w:tc>
          <w:tcPr>
            <w:tcW w:w="2126" w:type="dxa"/>
            <w:shd w:val="clear" w:color="auto" w:fill="auto"/>
            <w:vAlign w:val="center"/>
          </w:tcPr>
          <w:p w14:paraId="27772791" w14:textId="77777777" w:rsidR="0007132E" w:rsidRPr="00C61670" w:rsidRDefault="0007132E" w:rsidP="00AA0FE0">
            <w:pPr>
              <w:pStyle w:val="Tabletext"/>
            </w:pPr>
            <w:r w:rsidRPr="00C61670">
              <w:t>Published price (AEMP)</w:t>
            </w:r>
          </w:p>
        </w:tc>
        <w:tc>
          <w:tcPr>
            <w:tcW w:w="3351" w:type="dxa"/>
            <w:vMerge/>
            <w:shd w:val="clear" w:color="auto" w:fill="auto"/>
            <w:vAlign w:val="center"/>
          </w:tcPr>
          <w:p w14:paraId="2135AD4F" w14:textId="77777777" w:rsidR="0007132E" w:rsidRPr="00C61670" w:rsidRDefault="0007132E" w:rsidP="00AA0FE0">
            <w:pPr>
              <w:pStyle w:val="Tabletext"/>
              <w:rPr>
                <w:i/>
                <w:iCs/>
              </w:rPr>
            </w:pPr>
          </w:p>
        </w:tc>
      </w:tr>
      <w:tr w:rsidR="0007132E" w:rsidRPr="00C61670" w14:paraId="3C94F51E" w14:textId="77777777" w:rsidTr="005F76B1">
        <w:trPr>
          <w:cantSplit/>
          <w:tblHeader/>
        </w:trPr>
        <w:tc>
          <w:tcPr>
            <w:tcW w:w="1320" w:type="dxa"/>
            <w:vAlign w:val="center"/>
          </w:tcPr>
          <w:p w14:paraId="6211DC15" w14:textId="77777777" w:rsidR="0007132E" w:rsidRPr="00C61670" w:rsidRDefault="0007132E" w:rsidP="00AA0FE0">
            <w:pPr>
              <w:pStyle w:val="Tabletext"/>
            </w:pPr>
            <w:r w:rsidRPr="00C61670">
              <w:lastRenderedPageBreak/>
              <w:t>MBS costs</w:t>
            </w:r>
          </w:p>
          <w:p w14:paraId="6234F7E7" w14:textId="77777777" w:rsidR="0007132E" w:rsidRPr="00C61670" w:rsidRDefault="0007132E" w:rsidP="00AA0FE0">
            <w:pPr>
              <w:pStyle w:val="Tabletext"/>
            </w:pPr>
            <w:r w:rsidRPr="00C61670">
              <w:t>(nusinersen administration)</w:t>
            </w:r>
          </w:p>
        </w:tc>
        <w:tc>
          <w:tcPr>
            <w:tcW w:w="4345" w:type="dxa"/>
            <w:gridSpan w:val="2"/>
            <w:vAlign w:val="center"/>
          </w:tcPr>
          <w:tbl>
            <w:tblPr>
              <w:tblStyle w:val="TableGrid"/>
              <w:tblW w:w="0" w:type="auto"/>
              <w:tblLook w:val="04A0" w:firstRow="1" w:lastRow="0" w:firstColumn="1" w:lastColumn="0" w:noHBand="0" w:noVBand="1"/>
            </w:tblPr>
            <w:tblGrid>
              <w:gridCol w:w="2464"/>
              <w:gridCol w:w="718"/>
              <w:gridCol w:w="937"/>
            </w:tblGrid>
            <w:tr w:rsidR="0007132E" w:rsidRPr="00C61670" w14:paraId="4F917AEB" w14:textId="77777777" w:rsidTr="00AA0FE0">
              <w:tc>
                <w:tcPr>
                  <w:tcW w:w="2464" w:type="dxa"/>
                  <w:tcBorders>
                    <w:top w:val="single" w:sz="4" w:space="0" w:color="auto"/>
                    <w:left w:val="single" w:sz="4" w:space="0" w:color="auto"/>
                    <w:bottom w:val="single" w:sz="4" w:space="0" w:color="auto"/>
                    <w:right w:val="single" w:sz="4" w:space="0" w:color="auto"/>
                  </w:tcBorders>
                  <w:vAlign w:val="center"/>
                </w:tcPr>
                <w:p w14:paraId="251756CD" w14:textId="77777777" w:rsidR="0007132E" w:rsidRPr="00C61670" w:rsidRDefault="0007132E" w:rsidP="00AA0FE0">
                  <w:pPr>
                    <w:pStyle w:val="In-tableHeading"/>
                    <w:rPr>
                      <w:rFonts w:cstheme="majorBidi"/>
                      <w:lang w:val="en-AU"/>
                    </w:rPr>
                  </w:pPr>
                  <w:r w:rsidRPr="00C61670">
                    <w:rPr>
                      <w:lang w:val="en-AU"/>
                    </w:rPr>
                    <w:t>MBS item and description</w:t>
                  </w:r>
                </w:p>
              </w:tc>
              <w:tc>
                <w:tcPr>
                  <w:tcW w:w="718" w:type="dxa"/>
                  <w:tcBorders>
                    <w:top w:val="single" w:sz="4" w:space="0" w:color="auto"/>
                    <w:left w:val="single" w:sz="4" w:space="0" w:color="auto"/>
                    <w:bottom w:val="single" w:sz="4" w:space="0" w:color="auto"/>
                    <w:right w:val="single" w:sz="4" w:space="0" w:color="auto"/>
                  </w:tcBorders>
                  <w:vAlign w:val="center"/>
                </w:tcPr>
                <w:p w14:paraId="0B69AFF2" w14:textId="77777777" w:rsidR="0007132E" w:rsidRPr="00C61670" w:rsidRDefault="0007132E" w:rsidP="00AA0FE0">
                  <w:pPr>
                    <w:pStyle w:val="In-tableHeading"/>
                    <w:jc w:val="center"/>
                    <w:rPr>
                      <w:lang w:val="en-AU"/>
                    </w:rPr>
                  </w:pPr>
                  <w:r w:rsidRPr="00C61670">
                    <w:rPr>
                      <w:lang w:val="en-AU"/>
                    </w:rPr>
                    <w:t>MBS item</w:t>
                  </w:r>
                </w:p>
              </w:tc>
              <w:tc>
                <w:tcPr>
                  <w:tcW w:w="937" w:type="dxa"/>
                  <w:tcBorders>
                    <w:top w:val="single" w:sz="4" w:space="0" w:color="auto"/>
                    <w:left w:val="single" w:sz="4" w:space="0" w:color="auto"/>
                    <w:bottom w:val="single" w:sz="4" w:space="0" w:color="auto"/>
                    <w:right w:val="single" w:sz="4" w:space="0" w:color="auto"/>
                  </w:tcBorders>
                  <w:vAlign w:val="center"/>
                </w:tcPr>
                <w:p w14:paraId="708F969A" w14:textId="77777777" w:rsidR="0007132E" w:rsidRPr="00C61670" w:rsidRDefault="0007132E" w:rsidP="00AA0FE0">
                  <w:pPr>
                    <w:pStyle w:val="In-tableHeading"/>
                    <w:jc w:val="center"/>
                    <w:rPr>
                      <w:bCs/>
                      <w:lang w:val="en-AU"/>
                    </w:rPr>
                  </w:pPr>
                  <w:r w:rsidRPr="00C61670">
                    <w:rPr>
                      <w:lang w:val="en-AU"/>
                    </w:rPr>
                    <w:t>MBS cost</w:t>
                  </w:r>
                </w:p>
              </w:tc>
            </w:tr>
            <w:tr w:rsidR="0007132E" w:rsidRPr="00C61670" w14:paraId="0C416D8A" w14:textId="77777777" w:rsidTr="00AA0FE0">
              <w:tc>
                <w:tcPr>
                  <w:tcW w:w="2464" w:type="dxa"/>
                  <w:tcBorders>
                    <w:top w:val="single" w:sz="4" w:space="0" w:color="auto"/>
                    <w:left w:val="single" w:sz="4" w:space="0" w:color="auto"/>
                    <w:bottom w:val="single" w:sz="4" w:space="0" w:color="auto"/>
                    <w:right w:val="single" w:sz="4" w:space="0" w:color="auto"/>
                  </w:tcBorders>
                  <w:vAlign w:val="center"/>
                </w:tcPr>
                <w:p w14:paraId="1B2575A5" w14:textId="77777777" w:rsidR="0007132E" w:rsidRPr="00C61670" w:rsidRDefault="0007132E" w:rsidP="00AA0FE0">
                  <w:pPr>
                    <w:pStyle w:val="TableText0"/>
                    <w:keepNext w:val="0"/>
                    <w:widowControl w:val="0"/>
                  </w:pPr>
                  <w:r w:rsidRPr="00C61670">
                    <w:t>Professional attendance by specialist</w:t>
                  </w:r>
                </w:p>
              </w:tc>
              <w:tc>
                <w:tcPr>
                  <w:tcW w:w="718" w:type="dxa"/>
                  <w:tcBorders>
                    <w:top w:val="single" w:sz="4" w:space="0" w:color="auto"/>
                    <w:left w:val="single" w:sz="4" w:space="0" w:color="auto"/>
                    <w:bottom w:val="single" w:sz="4" w:space="0" w:color="auto"/>
                    <w:right w:val="single" w:sz="4" w:space="0" w:color="auto"/>
                  </w:tcBorders>
                  <w:vAlign w:val="center"/>
                </w:tcPr>
                <w:p w14:paraId="071F007B" w14:textId="77777777" w:rsidR="0007132E" w:rsidRPr="00C61670" w:rsidRDefault="0007132E" w:rsidP="00AA0FE0">
                  <w:pPr>
                    <w:pStyle w:val="TableText0"/>
                    <w:keepNext w:val="0"/>
                    <w:widowControl w:val="0"/>
                    <w:jc w:val="center"/>
                  </w:pPr>
                  <w:r w:rsidRPr="00C61670">
                    <w:t>105</w:t>
                  </w:r>
                </w:p>
              </w:tc>
              <w:tc>
                <w:tcPr>
                  <w:tcW w:w="937" w:type="dxa"/>
                  <w:tcBorders>
                    <w:top w:val="single" w:sz="4" w:space="0" w:color="auto"/>
                    <w:left w:val="single" w:sz="4" w:space="0" w:color="auto"/>
                    <w:bottom w:val="single" w:sz="4" w:space="0" w:color="auto"/>
                    <w:right w:val="single" w:sz="4" w:space="0" w:color="auto"/>
                  </w:tcBorders>
                  <w:vAlign w:val="center"/>
                </w:tcPr>
                <w:p w14:paraId="4B621160" w14:textId="77777777" w:rsidR="0007132E" w:rsidRPr="00C61670" w:rsidRDefault="0007132E" w:rsidP="00AA0FE0">
                  <w:pPr>
                    <w:pStyle w:val="TableText0"/>
                    <w:keepNext w:val="0"/>
                    <w:widowControl w:val="0"/>
                    <w:jc w:val="center"/>
                  </w:pPr>
                  <w:r w:rsidRPr="00C61670">
                    <w:t>$48.05</w:t>
                  </w:r>
                </w:p>
              </w:tc>
            </w:tr>
            <w:tr w:rsidR="0007132E" w:rsidRPr="00C61670" w14:paraId="7FAF25EA" w14:textId="77777777" w:rsidTr="00AA0FE0">
              <w:tc>
                <w:tcPr>
                  <w:tcW w:w="2464" w:type="dxa"/>
                  <w:tcBorders>
                    <w:top w:val="single" w:sz="4" w:space="0" w:color="auto"/>
                    <w:left w:val="single" w:sz="4" w:space="0" w:color="auto"/>
                    <w:bottom w:val="single" w:sz="4" w:space="0" w:color="auto"/>
                    <w:right w:val="single" w:sz="4" w:space="0" w:color="auto"/>
                  </w:tcBorders>
                  <w:vAlign w:val="center"/>
                </w:tcPr>
                <w:p w14:paraId="4513FC8F" w14:textId="77777777" w:rsidR="0007132E" w:rsidRPr="00C61670" w:rsidRDefault="0007132E" w:rsidP="00AA0FE0">
                  <w:pPr>
                    <w:pStyle w:val="TableText0"/>
                    <w:keepNext w:val="0"/>
                    <w:widowControl w:val="0"/>
                  </w:pPr>
                  <w:r w:rsidRPr="00C61670">
                    <w:t>Anaesthetist, pre-anaesthesia consultation</w:t>
                  </w:r>
                </w:p>
              </w:tc>
              <w:tc>
                <w:tcPr>
                  <w:tcW w:w="718" w:type="dxa"/>
                  <w:tcBorders>
                    <w:top w:val="single" w:sz="4" w:space="0" w:color="auto"/>
                    <w:left w:val="single" w:sz="4" w:space="0" w:color="auto"/>
                    <w:bottom w:val="single" w:sz="4" w:space="0" w:color="auto"/>
                    <w:right w:val="single" w:sz="4" w:space="0" w:color="auto"/>
                  </w:tcBorders>
                  <w:vAlign w:val="center"/>
                </w:tcPr>
                <w:p w14:paraId="2ACCC0FC" w14:textId="77777777" w:rsidR="0007132E" w:rsidRPr="00C61670" w:rsidRDefault="0007132E" w:rsidP="00AA0FE0">
                  <w:pPr>
                    <w:pStyle w:val="TableText0"/>
                    <w:keepNext w:val="0"/>
                    <w:widowControl w:val="0"/>
                    <w:jc w:val="center"/>
                  </w:pPr>
                  <w:r w:rsidRPr="00C61670">
                    <w:t>17610</w:t>
                  </w:r>
                </w:p>
              </w:tc>
              <w:tc>
                <w:tcPr>
                  <w:tcW w:w="937" w:type="dxa"/>
                  <w:tcBorders>
                    <w:top w:val="single" w:sz="4" w:space="0" w:color="auto"/>
                    <w:left w:val="single" w:sz="4" w:space="0" w:color="auto"/>
                    <w:bottom w:val="single" w:sz="4" w:space="0" w:color="auto"/>
                    <w:right w:val="single" w:sz="4" w:space="0" w:color="auto"/>
                  </w:tcBorders>
                  <w:vAlign w:val="center"/>
                </w:tcPr>
                <w:p w14:paraId="0C143E85" w14:textId="77777777" w:rsidR="0007132E" w:rsidRPr="00C61670" w:rsidRDefault="0007132E" w:rsidP="00AA0FE0">
                  <w:pPr>
                    <w:pStyle w:val="TableText0"/>
                    <w:keepNext w:val="0"/>
                    <w:widowControl w:val="0"/>
                    <w:jc w:val="center"/>
                  </w:pPr>
                  <w:r w:rsidRPr="00C61670">
                    <w:t>$48.05</w:t>
                  </w:r>
                </w:p>
              </w:tc>
            </w:tr>
            <w:tr w:rsidR="0007132E" w:rsidRPr="00C61670" w14:paraId="06CAB9F8" w14:textId="77777777" w:rsidTr="00AA0FE0">
              <w:tc>
                <w:tcPr>
                  <w:tcW w:w="2464" w:type="dxa"/>
                  <w:tcBorders>
                    <w:top w:val="single" w:sz="4" w:space="0" w:color="auto"/>
                    <w:left w:val="single" w:sz="4" w:space="0" w:color="auto"/>
                    <w:bottom w:val="single" w:sz="4" w:space="0" w:color="auto"/>
                    <w:right w:val="single" w:sz="4" w:space="0" w:color="auto"/>
                  </w:tcBorders>
                  <w:vAlign w:val="center"/>
                </w:tcPr>
                <w:p w14:paraId="7D4E8BA6" w14:textId="77777777" w:rsidR="0007132E" w:rsidRPr="00C61670" w:rsidRDefault="0007132E" w:rsidP="00AA0FE0">
                  <w:pPr>
                    <w:pStyle w:val="TableText0"/>
                    <w:keepNext w:val="0"/>
                    <w:widowControl w:val="0"/>
                  </w:pPr>
                  <w:r w:rsidRPr="00C61670">
                    <w:t>Initiation of management of anaesthesia for lumbar puncture</w:t>
                  </w:r>
                </w:p>
              </w:tc>
              <w:tc>
                <w:tcPr>
                  <w:tcW w:w="718" w:type="dxa"/>
                  <w:tcBorders>
                    <w:top w:val="single" w:sz="4" w:space="0" w:color="auto"/>
                    <w:left w:val="single" w:sz="4" w:space="0" w:color="auto"/>
                    <w:bottom w:val="single" w:sz="4" w:space="0" w:color="auto"/>
                    <w:right w:val="single" w:sz="4" w:space="0" w:color="auto"/>
                  </w:tcBorders>
                  <w:vAlign w:val="center"/>
                </w:tcPr>
                <w:p w14:paraId="49505312" w14:textId="77777777" w:rsidR="0007132E" w:rsidRPr="00C61670" w:rsidRDefault="0007132E" w:rsidP="00AA0FE0">
                  <w:pPr>
                    <w:pStyle w:val="TableText0"/>
                    <w:keepNext w:val="0"/>
                    <w:widowControl w:val="0"/>
                    <w:jc w:val="center"/>
                  </w:pPr>
                  <w:r w:rsidRPr="00C61670">
                    <w:t>21945</w:t>
                  </w:r>
                </w:p>
              </w:tc>
              <w:tc>
                <w:tcPr>
                  <w:tcW w:w="937" w:type="dxa"/>
                  <w:tcBorders>
                    <w:top w:val="single" w:sz="4" w:space="0" w:color="auto"/>
                    <w:left w:val="single" w:sz="4" w:space="0" w:color="auto"/>
                    <w:bottom w:val="single" w:sz="4" w:space="0" w:color="auto"/>
                    <w:right w:val="single" w:sz="4" w:space="0" w:color="auto"/>
                  </w:tcBorders>
                  <w:vAlign w:val="center"/>
                </w:tcPr>
                <w:p w14:paraId="298FA571" w14:textId="77777777" w:rsidR="0007132E" w:rsidRPr="00C61670" w:rsidRDefault="0007132E" w:rsidP="00AA0FE0">
                  <w:pPr>
                    <w:pStyle w:val="TableText0"/>
                    <w:keepNext w:val="0"/>
                    <w:widowControl w:val="0"/>
                    <w:jc w:val="center"/>
                  </w:pPr>
                  <w:r w:rsidRPr="00C61670">
                    <w:t>$109.00</w:t>
                  </w:r>
                </w:p>
              </w:tc>
            </w:tr>
            <w:tr w:rsidR="0007132E" w:rsidRPr="00C61670" w14:paraId="51C1A535" w14:textId="77777777" w:rsidTr="00AA0FE0">
              <w:tc>
                <w:tcPr>
                  <w:tcW w:w="2464" w:type="dxa"/>
                  <w:tcBorders>
                    <w:top w:val="single" w:sz="4" w:space="0" w:color="auto"/>
                    <w:left w:val="single" w:sz="4" w:space="0" w:color="auto"/>
                    <w:bottom w:val="single" w:sz="4" w:space="0" w:color="auto"/>
                    <w:right w:val="single" w:sz="4" w:space="0" w:color="auto"/>
                  </w:tcBorders>
                  <w:vAlign w:val="center"/>
                </w:tcPr>
                <w:p w14:paraId="2A4D115F" w14:textId="77777777" w:rsidR="0007132E" w:rsidRPr="00C61670" w:rsidRDefault="0007132E" w:rsidP="00AA0FE0">
                  <w:pPr>
                    <w:pStyle w:val="TableText0"/>
                    <w:keepNext w:val="0"/>
                    <w:widowControl w:val="0"/>
                  </w:pPr>
                  <w:r w:rsidRPr="00C61670">
                    <w:t>Anaesthesia, perfusion or assistance at anaesthesia</w:t>
                  </w:r>
                </w:p>
              </w:tc>
              <w:tc>
                <w:tcPr>
                  <w:tcW w:w="718" w:type="dxa"/>
                  <w:tcBorders>
                    <w:top w:val="single" w:sz="4" w:space="0" w:color="auto"/>
                    <w:left w:val="single" w:sz="4" w:space="0" w:color="auto"/>
                    <w:bottom w:val="single" w:sz="4" w:space="0" w:color="auto"/>
                    <w:right w:val="single" w:sz="4" w:space="0" w:color="auto"/>
                  </w:tcBorders>
                  <w:vAlign w:val="center"/>
                </w:tcPr>
                <w:p w14:paraId="69A03EC7" w14:textId="77777777" w:rsidR="0007132E" w:rsidRPr="00C61670" w:rsidRDefault="0007132E" w:rsidP="00AA0FE0">
                  <w:pPr>
                    <w:pStyle w:val="TableText0"/>
                    <w:keepNext w:val="0"/>
                    <w:widowControl w:val="0"/>
                    <w:jc w:val="center"/>
                  </w:pPr>
                  <w:r w:rsidRPr="00C61670">
                    <w:t>23010</w:t>
                  </w:r>
                </w:p>
              </w:tc>
              <w:tc>
                <w:tcPr>
                  <w:tcW w:w="937" w:type="dxa"/>
                  <w:tcBorders>
                    <w:top w:val="single" w:sz="4" w:space="0" w:color="auto"/>
                    <w:left w:val="single" w:sz="4" w:space="0" w:color="auto"/>
                    <w:bottom w:val="single" w:sz="4" w:space="0" w:color="auto"/>
                    <w:right w:val="single" w:sz="4" w:space="0" w:color="auto"/>
                  </w:tcBorders>
                  <w:vAlign w:val="center"/>
                </w:tcPr>
                <w:p w14:paraId="43954D42" w14:textId="77777777" w:rsidR="0007132E" w:rsidRPr="00C61670" w:rsidRDefault="0007132E" w:rsidP="00AA0FE0">
                  <w:pPr>
                    <w:pStyle w:val="TableText0"/>
                    <w:keepNext w:val="0"/>
                    <w:widowControl w:val="0"/>
                    <w:jc w:val="center"/>
                  </w:pPr>
                  <w:r w:rsidRPr="00C61670">
                    <w:t>$21.80</w:t>
                  </w:r>
                </w:p>
              </w:tc>
            </w:tr>
            <w:tr w:rsidR="0007132E" w:rsidRPr="00C61670" w14:paraId="1502F29E" w14:textId="77777777" w:rsidTr="00AA0FE0">
              <w:tc>
                <w:tcPr>
                  <w:tcW w:w="2464" w:type="dxa"/>
                  <w:tcBorders>
                    <w:top w:val="single" w:sz="4" w:space="0" w:color="auto"/>
                    <w:left w:val="single" w:sz="4" w:space="0" w:color="auto"/>
                    <w:bottom w:val="single" w:sz="4" w:space="0" w:color="auto"/>
                    <w:right w:val="single" w:sz="4" w:space="0" w:color="auto"/>
                  </w:tcBorders>
                  <w:vAlign w:val="center"/>
                </w:tcPr>
                <w:p w14:paraId="0CEBBFFE" w14:textId="77777777" w:rsidR="0007132E" w:rsidRPr="00C61670" w:rsidRDefault="0007132E" w:rsidP="00AA0FE0">
                  <w:pPr>
                    <w:pStyle w:val="TableText0"/>
                    <w:keepNext w:val="0"/>
                    <w:widowControl w:val="0"/>
                  </w:pPr>
                  <w:r w:rsidRPr="00C61670">
                    <w:t>Intrathecal initial injection including &lt;1 hour of attendance by the medical practitioner</w:t>
                  </w:r>
                </w:p>
              </w:tc>
              <w:tc>
                <w:tcPr>
                  <w:tcW w:w="718" w:type="dxa"/>
                  <w:tcBorders>
                    <w:top w:val="single" w:sz="4" w:space="0" w:color="auto"/>
                    <w:left w:val="single" w:sz="4" w:space="0" w:color="auto"/>
                    <w:bottom w:val="single" w:sz="4" w:space="0" w:color="auto"/>
                    <w:right w:val="single" w:sz="4" w:space="0" w:color="auto"/>
                  </w:tcBorders>
                  <w:vAlign w:val="center"/>
                </w:tcPr>
                <w:p w14:paraId="4B312FAA" w14:textId="77777777" w:rsidR="0007132E" w:rsidRPr="00C61670" w:rsidRDefault="0007132E" w:rsidP="00AA0FE0">
                  <w:pPr>
                    <w:pStyle w:val="TableText0"/>
                    <w:keepNext w:val="0"/>
                    <w:widowControl w:val="0"/>
                    <w:jc w:val="center"/>
                  </w:pPr>
                  <w:r w:rsidRPr="00C61670">
                    <w:t>18216</w:t>
                  </w:r>
                </w:p>
              </w:tc>
              <w:tc>
                <w:tcPr>
                  <w:tcW w:w="937" w:type="dxa"/>
                  <w:tcBorders>
                    <w:top w:val="single" w:sz="4" w:space="0" w:color="auto"/>
                    <w:left w:val="single" w:sz="4" w:space="0" w:color="auto"/>
                    <w:bottom w:val="single" w:sz="4" w:space="0" w:color="auto"/>
                    <w:right w:val="single" w:sz="4" w:space="0" w:color="auto"/>
                  </w:tcBorders>
                  <w:vAlign w:val="center"/>
                </w:tcPr>
                <w:p w14:paraId="38FE7608" w14:textId="77777777" w:rsidR="0007132E" w:rsidRPr="00C61670" w:rsidRDefault="0007132E" w:rsidP="00AA0FE0">
                  <w:pPr>
                    <w:pStyle w:val="TableText0"/>
                    <w:keepNext w:val="0"/>
                    <w:widowControl w:val="0"/>
                    <w:jc w:val="center"/>
                  </w:pPr>
                  <w:r w:rsidRPr="00C61670">
                    <w:t>$209.05</w:t>
                  </w:r>
                </w:p>
              </w:tc>
            </w:tr>
          </w:tbl>
          <w:p w14:paraId="2D22457B" w14:textId="5E22662B" w:rsidR="0007132E" w:rsidRPr="00C61670" w:rsidRDefault="0007132E" w:rsidP="00AA0FE0">
            <w:pPr>
              <w:pStyle w:val="Tabletext"/>
            </w:pPr>
            <w:r w:rsidRPr="00C61670">
              <w:t xml:space="preserve">Source: Table 4.20, p98 of the </w:t>
            </w:r>
            <w:r w:rsidR="0007089E">
              <w:t>submission</w:t>
            </w:r>
          </w:p>
          <w:p w14:paraId="16D04E5C" w14:textId="77777777" w:rsidR="0007132E" w:rsidRPr="00C61670" w:rsidRDefault="0007132E" w:rsidP="00AA0FE0">
            <w:pPr>
              <w:pStyle w:val="Tabletext"/>
            </w:pPr>
            <w:r w:rsidRPr="00C61670">
              <w:t>Costs shown reflect 100% MBS benefits.</w:t>
            </w:r>
          </w:p>
          <w:p w14:paraId="505AEE9F" w14:textId="77777777" w:rsidR="0007132E" w:rsidRPr="00C61670" w:rsidRDefault="0007132E" w:rsidP="00AA0FE0">
            <w:pPr>
              <w:pStyle w:val="Tabletext"/>
            </w:pPr>
            <w:r w:rsidRPr="00C61670">
              <w:t>80% MBS benefit applied in the financial estimates.</w:t>
            </w:r>
          </w:p>
        </w:tc>
        <w:tc>
          <w:tcPr>
            <w:tcW w:w="3351" w:type="dxa"/>
            <w:vAlign w:val="center"/>
          </w:tcPr>
          <w:p w14:paraId="4B812360" w14:textId="3FCB9437" w:rsidR="0007132E" w:rsidRPr="003D7F39" w:rsidRDefault="0007132E" w:rsidP="00AA0FE0">
            <w:pPr>
              <w:pStyle w:val="Tabletext"/>
            </w:pPr>
            <w:r w:rsidRPr="003D7F39">
              <w:t>Reasonable and consistent with current MBS costs and the resource costs used in the CMA.</w:t>
            </w:r>
          </w:p>
          <w:p w14:paraId="3436FD02" w14:textId="52AC7918" w:rsidR="0007132E" w:rsidRPr="003D7F39" w:rsidRDefault="0007132E" w:rsidP="00AA0FE0">
            <w:pPr>
              <w:pStyle w:val="Tabletext"/>
            </w:pPr>
            <w:r w:rsidRPr="003D7F39">
              <w:t xml:space="preserve">These were also consistent with the nusinersen submission evaluated at the July 2023 PBAC meeting (paragraph 6.63, </w:t>
            </w:r>
            <w:r w:rsidR="00F20AFF" w:rsidRPr="003D7F39">
              <w:t>nusinersen</w:t>
            </w:r>
            <w:r w:rsidRPr="003D7F39">
              <w:t xml:space="preserve"> PSD, July 2023).</w:t>
            </w:r>
          </w:p>
        </w:tc>
      </w:tr>
      <w:tr w:rsidR="0007132E" w:rsidRPr="00C61670" w14:paraId="43904391" w14:textId="77777777" w:rsidTr="005F76B1">
        <w:trPr>
          <w:cantSplit/>
          <w:tblHeader/>
        </w:trPr>
        <w:tc>
          <w:tcPr>
            <w:tcW w:w="1320" w:type="dxa"/>
            <w:vAlign w:val="center"/>
          </w:tcPr>
          <w:p w14:paraId="2E5590B8" w14:textId="77777777" w:rsidR="0007132E" w:rsidRPr="00C61670" w:rsidRDefault="0007132E" w:rsidP="00AA0FE0">
            <w:pPr>
              <w:pStyle w:val="Tabletext"/>
            </w:pPr>
            <w:r w:rsidRPr="00C61670">
              <w:t>Adverse events</w:t>
            </w:r>
          </w:p>
        </w:tc>
        <w:tc>
          <w:tcPr>
            <w:tcW w:w="4345" w:type="dxa"/>
            <w:gridSpan w:val="2"/>
            <w:vAlign w:val="center"/>
          </w:tcPr>
          <w:p w14:paraId="239DB185" w14:textId="77777777" w:rsidR="0007132E" w:rsidRPr="00C61670" w:rsidRDefault="0007132E" w:rsidP="00AA0FE0">
            <w:pPr>
              <w:pStyle w:val="Tabletext"/>
            </w:pPr>
            <w:r w:rsidRPr="00C61670">
              <w:t>Any costs and resource utilisation associated with AEs were not included in the financial estimates.</w:t>
            </w:r>
          </w:p>
        </w:tc>
        <w:tc>
          <w:tcPr>
            <w:tcW w:w="3351" w:type="dxa"/>
            <w:vAlign w:val="center"/>
          </w:tcPr>
          <w:p w14:paraId="73B00A83" w14:textId="75C9EFD9" w:rsidR="0007132E" w:rsidRPr="003D7F39" w:rsidRDefault="0007132E" w:rsidP="00AA0FE0">
            <w:pPr>
              <w:pStyle w:val="Tabletext"/>
            </w:pPr>
            <w:r w:rsidRPr="003D7F39">
              <w:t xml:space="preserve">This </w:t>
            </w:r>
            <w:r w:rsidR="00C95ED6">
              <w:t>was</w:t>
            </w:r>
            <w:r w:rsidRPr="003D7F39">
              <w:t xml:space="preserve"> consistent with the CMA presented</w:t>
            </w:r>
            <w:r w:rsidR="00025A8C">
              <w:t>.</w:t>
            </w:r>
          </w:p>
        </w:tc>
      </w:tr>
    </w:tbl>
    <w:p w14:paraId="107CF4CF" w14:textId="77777777" w:rsidR="0007132E" w:rsidRPr="00E62608" w:rsidRDefault="0007132E" w:rsidP="0007132E">
      <w:pPr>
        <w:pStyle w:val="TableFooter"/>
        <w:rPr>
          <w:szCs w:val="18"/>
        </w:rPr>
      </w:pPr>
      <w:r w:rsidRPr="00E62608">
        <w:rPr>
          <w:szCs w:val="18"/>
        </w:rPr>
        <w:t>AAV9 = high adeno-associated viral vector serotype 9; ABS = Australian Bureau of Statistics; AE = adverse event; AEMP = Australian ex-manufacturer price; CMA = cost=minimisation approach; CSR = clinical study report; DMT = disease modifying therapy; NBS = newborn bloodspot screening; ONA = onasemnogene abeparvovec; SMA = spinal muscular atrophy; SMN = survival of motor neuron</w:t>
      </w:r>
    </w:p>
    <w:p w14:paraId="24C86897" w14:textId="058C6EA2" w:rsidR="0007132E" w:rsidRPr="00E62608" w:rsidRDefault="0007132E" w:rsidP="0007132E">
      <w:pPr>
        <w:pStyle w:val="TableFooter"/>
        <w:rPr>
          <w:szCs w:val="18"/>
        </w:rPr>
      </w:pPr>
      <w:r w:rsidRPr="00E62608">
        <w:rPr>
          <w:szCs w:val="18"/>
        </w:rPr>
        <w:t xml:space="preserve">a - In sheet ‘2e. Scripts – market’ presented in the </w:t>
      </w:r>
      <w:r w:rsidR="0007089E">
        <w:rPr>
          <w:szCs w:val="18"/>
        </w:rPr>
        <w:t>submission</w:t>
      </w:r>
      <w:r w:rsidRPr="00E62608">
        <w:rPr>
          <w:szCs w:val="18"/>
        </w:rPr>
        <w:t>, cell G351 shows that 11 patients received risdiplam PBS item 12606L during 2023 under the concessional safety net but these services were not included in the calculations for determining the average weighted copayment for risdiplam and the ratio of public to private use for risdiplam. However, the inclusion of these 11 patients in these calculations made a negligible difference to the overall financial estimates and therefore this was not corrected during the evaluation.</w:t>
      </w:r>
    </w:p>
    <w:p w14:paraId="376135F5" w14:textId="777CFB44" w:rsidR="0007132E" w:rsidRPr="00E62608" w:rsidRDefault="0007132E" w:rsidP="0007132E">
      <w:pPr>
        <w:pStyle w:val="TableFooter"/>
        <w:rPr>
          <w:szCs w:val="18"/>
        </w:rPr>
      </w:pPr>
      <w:r w:rsidRPr="00E62608">
        <w:rPr>
          <w:szCs w:val="18"/>
        </w:rPr>
        <w:t xml:space="preserve">Source: Tables 4.2 and 4.3 of the </w:t>
      </w:r>
      <w:r w:rsidR="0007089E">
        <w:rPr>
          <w:szCs w:val="18"/>
        </w:rPr>
        <w:t>submission</w:t>
      </w:r>
      <w:r w:rsidRPr="00E62608">
        <w:rPr>
          <w:szCs w:val="18"/>
        </w:rPr>
        <w:t>; Section 4 Workbook.xlsx</w:t>
      </w:r>
    </w:p>
    <w:p w14:paraId="275FCE53" w14:textId="77777777" w:rsidR="0007132E" w:rsidRPr="00C61670" w:rsidRDefault="0007132E" w:rsidP="0007132E"/>
    <w:p w14:paraId="217B0339" w14:textId="3DF62AF4" w:rsidR="0007132E" w:rsidRPr="00C61670" w:rsidRDefault="00A014F6" w:rsidP="00012326">
      <w:pPr>
        <w:pStyle w:val="3-BodyText"/>
      </w:pPr>
      <w:r>
        <w:fldChar w:fldCharType="begin" w:fldLock="1"/>
      </w:r>
      <w:r>
        <w:instrText xml:space="preserve"> REF _Ref166199081 \h </w:instrText>
      </w:r>
      <w:r>
        <w:fldChar w:fldCharType="separate"/>
      </w:r>
      <w:r w:rsidR="00AA25E7" w:rsidRPr="00C61670">
        <w:t xml:space="preserve">Table </w:t>
      </w:r>
      <w:r w:rsidR="00AA25E7">
        <w:rPr>
          <w:noProof/>
        </w:rPr>
        <w:t>15</w:t>
      </w:r>
      <w:r>
        <w:fldChar w:fldCharType="end"/>
      </w:r>
      <w:r w:rsidR="0007132E" w:rsidRPr="00C61670">
        <w:t xml:space="preserve"> presents the estimated net financial implications for the proposed listing of risdiplam as shown in the </w:t>
      </w:r>
      <w:r w:rsidR="0007089E">
        <w:t>submission</w:t>
      </w:r>
      <w:r w:rsidR="0007132E" w:rsidRPr="00C61670">
        <w:t>, which used published drug</w:t>
      </w:r>
      <w:r w:rsidR="00500208" w:rsidRPr="007116D5">
        <w:t>.</w:t>
      </w:r>
      <w:r w:rsidR="0008494C" w:rsidRPr="007116D5">
        <w:rPr>
          <w:bCs/>
          <w:szCs w:val="22"/>
        </w:rPr>
        <w:t xml:space="preserve"> At year 6, the estimated number of patients was </w:t>
      </w:r>
      <w:r w:rsidR="007116D5" w:rsidRPr="007116D5">
        <w:rPr>
          <w:bCs/>
          <w:szCs w:val="22"/>
        </w:rPr>
        <w:t>32</w:t>
      </w:r>
      <w:r w:rsidR="0008494C" w:rsidRPr="007116D5">
        <w:rPr>
          <w:bCs/>
          <w:szCs w:val="22"/>
        </w:rPr>
        <w:t xml:space="preserve"> and the net </w:t>
      </w:r>
      <w:r w:rsidR="007116D5" w:rsidRPr="007116D5">
        <w:rPr>
          <w:bCs/>
          <w:szCs w:val="22"/>
        </w:rPr>
        <w:t>saving</w:t>
      </w:r>
      <w:r w:rsidR="0008494C" w:rsidRPr="007116D5">
        <w:rPr>
          <w:bCs/>
          <w:szCs w:val="22"/>
        </w:rPr>
        <w:t xml:space="preserve"> to the PBS would be </w:t>
      </w:r>
      <w:r w:rsidR="007116D5" w:rsidRPr="007116D5">
        <w:rPr>
          <w:bCs/>
          <w:szCs w:val="22"/>
        </w:rPr>
        <w:t>$</w:t>
      </w:r>
      <w:r w:rsidR="007116D5" w:rsidRPr="007116D5">
        <w:t>2,075,149</w:t>
      </w:r>
      <w:r w:rsidR="0008494C" w:rsidRPr="007116D5">
        <w:rPr>
          <w:rFonts w:ascii="Arial" w:hAnsi="Arial"/>
          <w:bCs/>
          <w:sz w:val="22"/>
          <w:szCs w:val="22"/>
        </w:rPr>
        <w:t>.</w:t>
      </w:r>
      <w:r w:rsidR="0008494C">
        <w:rPr>
          <w:rFonts w:ascii="Arial" w:hAnsi="Arial"/>
          <w:bCs/>
          <w:sz w:val="22"/>
          <w:szCs w:val="22"/>
        </w:rPr>
        <w:t xml:space="preserve"> </w:t>
      </w:r>
      <w:r w:rsidR="003708C8" w:rsidRPr="003D7F39">
        <w:rPr>
          <w:iCs/>
        </w:rPr>
        <w:t xml:space="preserve">The estimated financial implications for the PBS were cost saving due to the use of weight-based dosing for risdiplam (which minimised risdiplam drug costs in years 1 to 6 of treatment) and the inclusion of loading doses for nusinersen (which </w:t>
      </w:r>
      <w:r w:rsidR="00305EAF">
        <w:rPr>
          <w:iCs/>
        </w:rPr>
        <w:t>increased</w:t>
      </w:r>
      <w:r w:rsidR="00305EAF" w:rsidRPr="003D7F39">
        <w:rPr>
          <w:iCs/>
        </w:rPr>
        <w:t xml:space="preserve"> </w:t>
      </w:r>
      <w:r w:rsidR="003708C8" w:rsidRPr="003D7F39">
        <w:rPr>
          <w:iCs/>
        </w:rPr>
        <w:t>the cost of the nusinersen affected scripts</w:t>
      </w:r>
      <w:r w:rsidR="003C5CF6" w:rsidRPr="003D7F39">
        <w:rPr>
          <w:iCs/>
        </w:rPr>
        <w:t xml:space="preserve"> in year 1 of treatment).</w:t>
      </w:r>
      <w:r w:rsidR="00012326" w:rsidRPr="003D7F39">
        <w:rPr>
          <w:iCs/>
        </w:rPr>
        <w:t xml:space="preserve"> </w:t>
      </w:r>
    </w:p>
    <w:p w14:paraId="0737569C" w14:textId="5F17314A" w:rsidR="0007132E" w:rsidRPr="00C61670" w:rsidRDefault="0007132E" w:rsidP="00C3117B">
      <w:pPr>
        <w:pStyle w:val="Caption"/>
      </w:pPr>
      <w:bookmarkStart w:id="49" w:name="_Ref166199081"/>
      <w:r w:rsidRPr="00C61670">
        <w:lastRenderedPageBreak/>
        <w:t xml:space="preserve">Table </w:t>
      </w:r>
      <w:r w:rsidR="002906A9">
        <w:fldChar w:fldCharType="begin" w:fldLock="1"/>
      </w:r>
      <w:r w:rsidR="002906A9">
        <w:instrText xml:space="preserve"> SEQ Table \* ARABIC </w:instrText>
      </w:r>
      <w:r w:rsidR="002906A9">
        <w:fldChar w:fldCharType="separate"/>
      </w:r>
      <w:r w:rsidR="00AA25E7">
        <w:rPr>
          <w:noProof/>
        </w:rPr>
        <w:t>15</w:t>
      </w:r>
      <w:r w:rsidR="002906A9">
        <w:rPr>
          <w:noProof/>
        </w:rPr>
        <w:fldChar w:fldCharType="end"/>
      </w:r>
      <w:bookmarkStart w:id="50" w:name="_Ref165924526"/>
      <w:bookmarkEnd w:id="49"/>
      <w:r w:rsidRPr="00C61670">
        <w:t>: Estimated financial impact of the requested risdiplam PBS listing for the PBS/RPBS and for the health budget (published drug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financial impact of the requested risdiplam PBS listing for the PBS/RPBS and for the health budget (published drug prices)"/>
      </w:tblPr>
      <w:tblGrid>
        <w:gridCol w:w="2816"/>
        <w:gridCol w:w="1033"/>
        <w:gridCol w:w="1034"/>
        <w:gridCol w:w="1033"/>
        <w:gridCol w:w="1034"/>
        <w:gridCol w:w="1033"/>
        <w:gridCol w:w="1034"/>
      </w:tblGrid>
      <w:tr w:rsidR="0007132E" w:rsidRPr="00C61670" w14:paraId="39773B64" w14:textId="77777777" w:rsidTr="00305EAF">
        <w:trPr>
          <w:tblHeader/>
        </w:trPr>
        <w:tc>
          <w:tcPr>
            <w:tcW w:w="2816" w:type="dxa"/>
            <w:tcBorders>
              <w:top w:val="single" w:sz="4" w:space="0" w:color="auto"/>
              <w:left w:val="single" w:sz="4" w:space="0" w:color="auto"/>
              <w:bottom w:val="single" w:sz="4" w:space="0" w:color="auto"/>
              <w:right w:val="single" w:sz="4" w:space="0" w:color="auto"/>
            </w:tcBorders>
            <w:vAlign w:val="center"/>
          </w:tcPr>
          <w:p w14:paraId="71025B49" w14:textId="77777777" w:rsidR="0007132E" w:rsidRPr="00C61670" w:rsidRDefault="0007132E" w:rsidP="00C3117B">
            <w:pPr>
              <w:pStyle w:val="Tabletext"/>
              <w:keepNext/>
              <w:keepLines/>
              <w:rPr>
                <w:rStyle w:val="CommentReference"/>
                <w:b w:val="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0274FDB4" w14:textId="77777777" w:rsidR="0007132E" w:rsidRPr="00C61670" w:rsidRDefault="0007132E" w:rsidP="00C3117B">
            <w:pPr>
              <w:pStyle w:val="Tabletext"/>
              <w:keepNext/>
              <w:keepLines/>
              <w:jc w:val="center"/>
              <w:rPr>
                <w:rStyle w:val="CommentReference"/>
                <w:szCs w:val="20"/>
              </w:rPr>
            </w:pPr>
            <w:r w:rsidRPr="00C61670">
              <w:rPr>
                <w:rStyle w:val="CommentReference"/>
                <w:szCs w:val="20"/>
              </w:rPr>
              <w:t>Year 1</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D35915F" w14:textId="77777777" w:rsidR="0007132E" w:rsidRPr="00C61670" w:rsidRDefault="0007132E" w:rsidP="00C3117B">
            <w:pPr>
              <w:pStyle w:val="Tabletext"/>
              <w:keepNext/>
              <w:keepLines/>
              <w:jc w:val="center"/>
              <w:rPr>
                <w:rStyle w:val="CommentReference"/>
                <w:szCs w:val="20"/>
              </w:rPr>
            </w:pPr>
            <w:r w:rsidRPr="00C61670">
              <w:rPr>
                <w:rStyle w:val="CommentReference"/>
                <w:szCs w:val="20"/>
              </w:rPr>
              <w:t>Year 2</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B16BF14" w14:textId="77777777" w:rsidR="0007132E" w:rsidRPr="00C61670" w:rsidRDefault="0007132E" w:rsidP="00C3117B">
            <w:pPr>
              <w:pStyle w:val="Tabletext"/>
              <w:keepNext/>
              <w:keepLines/>
              <w:jc w:val="center"/>
              <w:rPr>
                <w:rStyle w:val="CommentReference"/>
                <w:szCs w:val="20"/>
              </w:rPr>
            </w:pPr>
            <w:r w:rsidRPr="00C61670">
              <w:rPr>
                <w:rStyle w:val="CommentReference"/>
                <w:szCs w:val="20"/>
              </w:rPr>
              <w:t>Year 3</w:t>
            </w:r>
          </w:p>
        </w:tc>
        <w:tc>
          <w:tcPr>
            <w:tcW w:w="1034" w:type="dxa"/>
            <w:tcBorders>
              <w:top w:val="single" w:sz="4" w:space="0" w:color="auto"/>
              <w:left w:val="single" w:sz="4" w:space="0" w:color="auto"/>
              <w:bottom w:val="single" w:sz="4" w:space="0" w:color="auto"/>
              <w:right w:val="single" w:sz="4" w:space="0" w:color="auto"/>
            </w:tcBorders>
            <w:vAlign w:val="center"/>
            <w:hideMark/>
          </w:tcPr>
          <w:p w14:paraId="62AD63BD" w14:textId="77777777" w:rsidR="0007132E" w:rsidRPr="00C61670" w:rsidRDefault="0007132E" w:rsidP="00C3117B">
            <w:pPr>
              <w:pStyle w:val="Tabletext"/>
              <w:keepNext/>
              <w:keepLines/>
              <w:jc w:val="center"/>
              <w:rPr>
                <w:rStyle w:val="CommentReference"/>
                <w:szCs w:val="20"/>
              </w:rPr>
            </w:pPr>
            <w:r w:rsidRPr="00C61670">
              <w:rPr>
                <w:rStyle w:val="CommentReference"/>
                <w:szCs w:val="20"/>
              </w:rPr>
              <w:t>Year 4</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0D84511" w14:textId="77777777" w:rsidR="0007132E" w:rsidRPr="00C61670" w:rsidRDefault="0007132E" w:rsidP="00C3117B">
            <w:pPr>
              <w:pStyle w:val="Tabletext"/>
              <w:keepNext/>
              <w:keepLines/>
              <w:jc w:val="center"/>
              <w:rPr>
                <w:rStyle w:val="CommentReference"/>
                <w:szCs w:val="20"/>
              </w:rPr>
            </w:pPr>
            <w:r w:rsidRPr="00C61670">
              <w:rPr>
                <w:rStyle w:val="CommentReference"/>
                <w:szCs w:val="20"/>
              </w:rPr>
              <w:t>Year 5</w:t>
            </w:r>
          </w:p>
        </w:tc>
        <w:tc>
          <w:tcPr>
            <w:tcW w:w="1034" w:type="dxa"/>
            <w:tcBorders>
              <w:top w:val="single" w:sz="4" w:space="0" w:color="auto"/>
              <w:left w:val="single" w:sz="4" w:space="0" w:color="auto"/>
              <w:bottom w:val="single" w:sz="4" w:space="0" w:color="auto"/>
              <w:right w:val="single" w:sz="4" w:space="0" w:color="auto"/>
            </w:tcBorders>
            <w:vAlign w:val="center"/>
            <w:hideMark/>
          </w:tcPr>
          <w:p w14:paraId="73DE7D3B" w14:textId="77777777" w:rsidR="0007132E" w:rsidRPr="00C61670" w:rsidRDefault="0007132E" w:rsidP="00C3117B">
            <w:pPr>
              <w:pStyle w:val="Tabletext"/>
              <w:keepNext/>
              <w:keepLines/>
              <w:jc w:val="center"/>
              <w:rPr>
                <w:rStyle w:val="CommentReference"/>
                <w:szCs w:val="20"/>
              </w:rPr>
            </w:pPr>
            <w:r w:rsidRPr="00C61670">
              <w:rPr>
                <w:rStyle w:val="CommentReference"/>
                <w:szCs w:val="20"/>
              </w:rPr>
              <w:t>Year 6</w:t>
            </w:r>
          </w:p>
        </w:tc>
      </w:tr>
      <w:tr w:rsidR="0007132E" w:rsidRPr="00C61670" w14:paraId="408D8F61" w14:textId="77777777" w:rsidTr="00305EAF">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2E2E4804" w14:textId="13F84462" w:rsidR="0007132E" w:rsidRPr="00C61670" w:rsidRDefault="0007132E" w:rsidP="00C3117B">
            <w:pPr>
              <w:pStyle w:val="Tabletext"/>
              <w:keepNext/>
              <w:keepLines/>
              <w:rPr>
                <w:rStyle w:val="CommentReference"/>
                <w:szCs w:val="20"/>
              </w:rPr>
            </w:pPr>
            <w:r w:rsidRPr="00C61670">
              <w:rPr>
                <w:rStyle w:val="CommentReference"/>
                <w:szCs w:val="20"/>
              </w:rPr>
              <w:t>Estimation of use and financial impact of the proposed medicine (PBS)</w:t>
            </w:r>
          </w:p>
        </w:tc>
      </w:tr>
      <w:tr w:rsidR="0007132E" w:rsidRPr="00C61670" w14:paraId="7280FCBC"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11C2527C" w14:textId="41737694" w:rsidR="0007132E" w:rsidRPr="00C61670" w:rsidRDefault="00554F4C" w:rsidP="00C3117B">
            <w:pPr>
              <w:pStyle w:val="Tabletext"/>
              <w:keepNext/>
              <w:keepLines/>
            </w:pPr>
            <w:r w:rsidRPr="00C61670">
              <w:rPr>
                <w:color w:val="000000"/>
                <w:szCs w:val="20"/>
              </w:rPr>
              <w:t>Inciden</w:t>
            </w:r>
            <w:r>
              <w:rPr>
                <w:color w:val="000000"/>
                <w:szCs w:val="20"/>
              </w:rPr>
              <w:t>t patients with</w:t>
            </w:r>
            <w:r w:rsidR="0007132E" w:rsidRPr="00C61670">
              <w:rPr>
                <w:color w:val="000000"/>
                <w:szCs w:val="20"/>
              </w:rPr>
              <w:t xml:space="preserve"> SMA</w:t>
            </w:r>
          </w:p>
        </w:tc>
        <w:tc>
          <w:tcPr>
            <w:tcW w:w="1033" w:type="dxa"/>
            <w:tcBorders>
              <w:top w:val="single" w:sz="4" w:space="0" w:color="auto"/>
              <w:left w:val="single" w:sz="4" w:space="0" w:color="auto"/>
              <w:bottom w:val="single" w:sz="4" w:space="0" w:color="auto"/>
              <w:right w:val="single" w:sz="4" w:space="0" w:color="auto"/>
            </w:tcBorders>
            <w:vAlign w:val="center"/>
          </w:tcPr>
          <w:p w14:paraId="66E31525" w14:textId="5936F07E" w:rsidR="0007132E" w:rsidRPr="002E7657" w:rsidRDefault="00875C10" w:rsidP="00C3117B">
            <w:pPr>
              <w:keepNext/>
              <w:keepLines/>
              <w:jc w:val="center"/>
              <w:rPr>
                <w:rFonts w:ascii="Arial Narrow" w:hAnsi="Arial Narrow"/>
                <w:sz w:val="20"/>
                <w:szCs w:val="20"/>
                <w:highlight w:val="lightGray"/>
              </w:rPr>
            </w:pPr>
            <w:r w:rsidRPr="00A20CDB">
              <w:rPr>
                <w:rFonts w:ascii="Arial Narrow" w:hAnsi="Arial Narrow" w:hint="eastAsia"/>
                <w:color w:val="000000"/>
                <w:w w:val="20"/>
                <w:sz w:val="20"/>
                <w:szCs w:val="20"/>
                <w:shd w:val="solid" w:color="000000" w:fill="000000"/>
                <w:fitText w:val="90" w:id="-894167552"/>
                <w14:textFill>
                  <w14:solidFill>
                    <w14:srgbClr w14:val="000000">
                      <w14:alpha w14:val="100000"/>
                    </w14:srgbClr>
                  </w14:solidFill>
                </w14:textFill>
              </w:rPr>
              <w:t xml:space="preserve">　</w:t>
            </w:r>
            <w:r w:rsidRPr="00A20CDB">
              <w:rPr>
                <w:rFonts w:ascii="Arial Narrow" w:hAnsi="Arial Narrow"/>
                <w:color w:val="000000"/>
                <w:w w:val="20"/>
                <w:sz w:val="20"/>
                <w:szCs w:val="20"/>
                <w:shd w:val="solid" w:color="000000" w:fill="000000"/>
                <w:fitText w:val="90" w:id="-894167552"/>
                <w14:textFill>
                  <w14:solidFill>
                    <w14:srgbClr w14:val="000000">
                      <w14:alpha w14:val="100000"/>
                    </w14:srgbClr>
                  </w14:solidFill>
                </w14:textFill>
              </w:rPr>
              <w:t>|</w:t>
            </w:r>
            <w:r w:rsidRPr="00A20CDB">
              <w:rPr>
                <w:rFonts w:ascii="Arial Narrow" w:hAnsi="Arial Narrow" w:hint="eastAsia"/>
                <w:color w:val="000000"/>
                <w:w w:val="20"/>
                <w:sz w:val="20"/>
                <w:szCs w:val="20"/>
                <w:shd w:val="solid" w:color="000000" w:fill="000000"/>
                <w:fitText w:val="90" w:id="-894167552"/>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30AF0BD4" w14:textId="3317B45E"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1"/>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51"/>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46658042" w14:textId="7C0A6504"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0"/>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50"/>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3EF63F51" w14:textId="1C668A36"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9"/>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9"/>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07E7CA04" w14:textId="2D7A943C"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8"/>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8"/>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623DA8C8" w14:textId="7893DE84"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7"/>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7"/>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7981670D"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596CB0B5" w14:textId="77777777" w:rsidR="0007132E" w:rsidRPr="00C61670" w:rsidRDefault="0007132E" w:rsidP="00C3117B">
            <w:pPr>
              <w:pStyle w:val="Tabletext"/>
              <w:keepNext/>
              <w:keepLines/>
              <w:rPr>
                <w:szCs w:val="20"/>
              </w:rPr>
            </w:pPr>
            <w:r w:rsidRPr="00C61670">
              <w:rPr>
                <w:color w:val="000000"/>
                <w:szCs w:val="20"/>
              </w:rPr>
              <w:t xml:space="preserve">Proportion with 3 </w:t>
            </w:r>
            <w:r w:rsidRPr="00C61670">
              <w:rPr>
                <w:i/>
                <w:iCs/>
                <w:color w:val="000000"/>
                <w:szCs w:val="20"/>
              </w:rPr>
              <w:t>SMN2</w:t>
            </w:r>
            <w:r w:rsidRPr="00C61670">
              <w:rPr>
                <w:color w:val="000000"/>
                <w:szCs w:val="20"/>
              </w:rPr>
              <w:t xml:space="preserve"> copies (38.1%)</w:t>
            </w:r>
          </w:p>
        </w:tc>
        <w:tc>
          <w:tcPr>
            <w:tcW w:w="1033" w:type="dxa"/>
            <w:tcBorders>
              <w:top w:val="single" w:sz="4" w:space="0" w:color="auto"/>
              <w:left w:val="single" w:sz="4" w:space="0" w:color="auto"/>
              <w:bottom w:val="single" w:sz="4" w:space="0" w:color="auto"/>
              <w:right w:val="single" w:sz="4" w:space="0" w:color="auto"/>
            </w:tcBorders>
            <w:vAlign w:val="center"/>
          </w:tcPr>
          <w:p w14:paraId="39C3E5B3" w14:textId="58284B19"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6"/>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6"/>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2B4FC49E" w14:textId="7A228062"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5"/>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5"/>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5"/>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2E36AAE8" w14:textId="3DEA254F"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4"/>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4"/>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4"/>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02474107" w14:textId="39875E31"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3"/>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3"/>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3"/>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02966C9C" w14:textId="66EB56B8"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2"/>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2"/>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5FD13F97" w14:textId="0FBDFDFC"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1"/>
                <w14:textFill>
                  <w14:solidFill>
                    <w14:srgbClr w14:val="000000">
                      <w14:alpha w14:val="100000"/>
                    </w14:srgbClr>
                  </w14:solidFill>
                </w14:textFill>
              </w:rPr>
              <w:t>|</w:t>
            </w:r>
            <w:r w:rsidRPr="00875C10">
              <w:rPr>
                <w:rFonts w:ascii="Arial Narrow" w:hAnsi="Arial Narrow" w:hint="eastAsia"/>
                <w:color w:val="000000"/>
                <w:w w:val="20"/>
                <w:sz w:val="20"/>
                <w:szCs w:val="20"/>
                <w:shd w:val="solid" w:color="000000" w:fill="000000"/>
                <w:fitText w:val="90" w:id="-894167541"/>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4B8281F2"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745B6929" w14:textId="77777777" w:rsidR="0007132E" w:rsidRPr="00C61670" w:rsidRDefault="0007132E" w:rsidP="00C3117B">
            <w:pPr>
              <w:pStyle w:val="Tabletext"/>
              <w:keepNext/>
              <w:keepLines/>
              <w:rPr>
                <w:szCs w:val="20"/>
              </w:rPr>
            </w:pPr>
            <w:r w:rsidRPr="00C61670">
              <w:rPr>
                <w:color w:val="000000"/>
                <w:szCs w:val="20"/>
              </w:rPr>
              <w:t>Patients seeking pre-symptomatic SMA treatment (100%)</w:t>
            </w:r>
          </w:p>
        </w:tc>
        <w:tc>
          <w:tcPr>
            <w:tcW w:w="1033" w:type="dxa"/>
            <w:tcBorders>
              <w:top w:val="single" w:sz="4" w:space="0" w:color="auto"/>
              <w:left w:val="single" w:sz="4" w:space="0" w:color="auto"/>
              <w:bottom w:val="single" w:sz="4" w:space="0" w:color="auto"/>
              <w:right w:val="single" w:sz="4" w:space="0" w:color="auto"/>
            </w:tcBorders>
            <w:vAlign w:val="center"/>
          </w:tcPr>
          <w:p w14:paraId="71DE4B71" w14:textId="63AEA123"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0"/>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7801307F" w14:textId="01225F1F"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9"/>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60AE817B" w14:textId="4E5ED974"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8"/>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21AA2394" w14:textId="2A537BF8"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7"/>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17239AB8" w14:textId="360982C8"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6"/>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4BF32FED" w14:textId="62597B34"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2"/>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6ECC6F9D"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68BFFB80" w14:textId="77777777" w:rsidR="0007132E" w:rsidRPr="00C61670" w:rsidRDefault="0007132E" w:rsidP="00C3117B">
            <w:pPr>
              <w:pStyle w:val="Tabletext"/>
              <w:keepNext/>
              <w:keepLines/>
              <w:rPr>
                <w:szCs w:val="20"/>
              </w:rPr>
            </w:pPr>
            <w:r w:rsidRPr="00C61670">
              <w:rPr>
                <w:color w:val="000000"/>
                <w:szCs w:val="20"/>
              </w:rPr>
              <w:t>Patients initiating treatment with risdiplam (20% uptake)</w:t>
            </w:r>
          </w:p>
        </w:tc>
        <w:tc>
          <w:tcPr>
            <w:tcW w:w="1033" w:type="dxa"/>
            <w:tcBorders>
              <w:top w:val="single" w:sz="4" w:space="0" w:color="auto"/>
              <w:left w:val="single" w:sz="4" w:space="0" w:color="auto"/>
              <w:bottom w:val="single" w:sz="4" w:space="0" w:color="auto"/>
              <w:right w:val="single" w:sz="4" w:space="0" w:color="auto"/>
            </w:tcBorders>
            <w:vAlign w:val="center"/>
          </w:tcPr>
          <w:p w14:paraId="28204E7E" w14:textId="0B2FE1FC"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1"/>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7A700E50" w14:textId="4C3535BB"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0"/>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37E20B66" w14:textId="44D525CD"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9"/>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75DC171A" w14:textId="5C6E79D9"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8"/>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176F327D" w14:textId="3E0FA99A"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7"/>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1FF0AA92" w14:textId="54E985F2"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6"/>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75625411"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33E2CC4D" w14:textId="77777777" w:rsidR="0007132E" w:rsidRPr="00C61670" w:rsidRDefault="0007132E" w:rsidP="00C3117B">
            <w:pPr>
              <w:pStyle w:val="Tabletext"/>
              <w:keepNext/>
              <w:keepLines/>
              <w:rPr>
                <w:szCs w:val="20"/>
              </w:rPr>
            </w:pPr>
            <w:r w:rsidRPr="00C61670">
              <w:rPr>
                <w:color w:val="000000"/>
                <w:szCs w:val="20"/>
              </w:rPr>
              <w:t>Patients continuing treatment with risdiplam (100%)</w:t>
            </w:r>
          </w:p>
        </w:tc>
        <w:tc>
          <w:tcPr>
            <w:tcW w:w="1033" w:type="dxa"/>
            <w:tcBorders>
              <w:top w:val="single" w:sz="4" w:space="0" w:color="auto"/>
              <w:left w:val="single" w:sz="4" w:space="0" w:color="auto"/>
              <w:bottom w:val="single" w:sz="4" w:space="0" w:color="auto"/>
              <w:right w:val="single" w:sz="4" w:space="0" w:color="auto"/>
            </w:tcBorders>
            <w:vAlign w:val="center"/>
          </w:tcPr>
          <w:p w14:paraId="1EC47FF7" w14:textId="362A44EC"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5"/>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5"/>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5"/>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736DDFF9" w14:textId="44E88B64"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4"/>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4"/>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4"/>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59364AF7" w14:textId="54049D56"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3"/>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3"/>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3"/>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12E6DB25" w14:textId="2F8E879D"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2"/>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3D71E61F" w14:textId="5344BA0E"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1"/>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5595F845" w14:textId="76BA71B0"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0"/>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482CDE5C"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58400AAF" w14:textId="77777777" w:rsidR="0007132E" w:rsidRPr="00C61670" w:rsidRDefault="0007132E" w:rsidP="00C3117B">
            <w:pPr>
              <w:pStyle w:val="Tabletext"/>
              <w:keepNext/>
              <w:keepLines/>
              <w:rPr>
                <w:szCs w:val="20"/>
              </w:rPr>
            </w:pPr>
            <w:r w:rsidRPr="00C61670">
              <w:rPr>
                <w:color w:val="000000"/>
                <w:szCs w:val="20"/>
              </w:rPr>
              <w:t xml:space="preserve">Total patients on risdiplam </w:t>
            </w:r>
            <w:r w:rsidRPr="00C61670">
              <w:rPr>
                <w:vertAlign w:val="superscript"/>
              </w:rPr>
              <w:t>a</w:t>
            </w:r>
          </w:p>
        </w:tc>
        <w:tc>
          <w:tcPr>
            <w:tcW w:w="1033" w:type="dxa"/>
            <w:tcBorders>
              <w:top w:val="single" w:sz="4" w:space="0" w:color="auto"/>
              <w:left w:val="single" w:sz="4" w:space="0" w:color="auto"/>
              <w:bottom w:val="single" w:sz="4" w:space="0" w:color="auto"/>
              <w:right w:val="single" w:sz="4" w:space="0" w:color="auto"/>
            </w:tcBorders>
            <w:vAlign w:val="center"/>
          </w:tcPr>
          <w:p w14:paraId="2BE6B4D1" w14:textId="06CAF4C6"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9"/>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4CB37637" w14:textId="04CEB20E"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8"/>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1BCAEFFA" w14:textId="2B56624D"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7"/>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5365150C" w14:textId="3C5FDD32"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6"/>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67E55548" w14:textId="73EB23F1"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2"/>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6405A8E2" w14:textId="56E9B5E5"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1"/>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58271DB4" w14:textId="77777777" w:rsidTr="00305EAF">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7C5B5DB7" w14:textId="77777777" w:rsidR="0007132E" w:rsidRPr="00C61670" w:rsidRDefault="0007132E" w:rsidP="00C3117B">
            <w:pPr>
              <w:keepNext/>
              <w:keepLines/>
              <w:rPr>
                <w:rFonts w:ascii="Arial Narrow" w:hAnsi="Arial Narrow"/>
                <w:sz w:val="20"/>
                <w:szCs w:val="20"/>
              </w:rPr>
            </w:pPr>
            <w:r w:rsidRPr="00C61670">
              <w:rPr>
                <w:rFonts w:ascii="Arial Narrow" w:hAnsi="Arial Narrow"/>
                <w:sz w:val="20"/>
                <w:szCs w:val="20"/>
              </w:rPr>
              <w:t>Number of risdiplam scripts</w:t>
            </w:r>
          </w:p>
        </w:tc>
      </w:tr>
      <w:tr w:rsidR="0007132E" w:rsidRPr="00C61670" w14:paraId="3D2BC365" w14:textId="77777777" w:rsidTr="00305EAF">
        <w:tc>
          <w:tcPr>
            <w:tcW w:w="2816" w:type="dxa"/>
            <w:tcBorders>
              <w:top w:val="single" w:sz="4" w:space="0" w:color="auto"/>
              <w:left w:val="single" w:sz="4" w:space="0" w:color="auto"/>
              <w:bottom w:val="single" w:sz="4" w:space="0" w:color="auto"/>
              <w:right w:val="single" w:sz="4" w:space="0" w:color="auto"/>
            </w:tcBorders>
            <w:vAlign w:val="center"/>
            <w:hideMark/>
          </w:tcPr>
          <w:p w14:paraId="6FAB75B4" w14:textId="77777777" w:rsidR="0007132E" w:rsidRPr="00C61670" w:rsidRDefault="0007132E" w:rsidP="00C3117B">
            <w:pPr>
              <w:pStyle w:val="Tabletext"/>
              <w:keepNext/>
              <w:keepLines/>
              <w:rPr>
                <w:szCs w:val="20"/>
              </w:rPr>
            </w:pPr>
            <w:r w:rsidRPr="00C61670">
              <w:rPr>
                <w:szCs w:val="20"/>
              </w:rPr>
              <w:t>Initiating scripts</w:t>
            </w:r>
          </w:p>
        </w:tc>
        <w:tc>
          <w:tcPr>
            <w:tcW w:w="1033" w:type="dxa"/>
            <w:tcBorders>
              <w:top w:val="single" w:sz="4" w:space="0" w:color="auto"/>
              <w:left w:val="single" w:sz="4" w:space="0" w:color="auto"/>
              <w:bottom w:val="single" w:sz="4" w:space="0" w:color="auto"/>
              <w:right w:val="single" w:sz="4" w:space="0" w:color="auto"/>
            </w:tcBorders>
            <w:hideMark/>
          </w:tcPr>
          <w:p w14:paraId="1FCF6923" w14:textId="67A7CA44"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5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0"/>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7301292C" w14:textId="5D862D81"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9"/>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hideMark/>
          </w:tcPr>
          <w:p w14:paraId="0E956570" w14:textId="32883739"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8"/>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14613542" w14:textId="0109E9E7"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7"/>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hideMark/>
          </w:tcPr>
          <w:p w14:paraId="7044E7F6" w14:textId="0E8B4F56"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6"/>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1E83B10B" w14:textId="4ADB2395"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5"/>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5"/>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5"/>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121883BA" w14:textId="77777777" w:rsidTr="00305EAF">
        <w:tc>
          <w:tcPr>
            <w:tcW w:w="2816" w:type="dxa"/>
            <w:tcBorders>
              <w:top w:val="single" w:sz="4" w:space="0" w:color="auto"/>
              <w:left w:val="single" w:sz="4" w:space="0" w:color="auto"/>
              <w:bottom w:val="single" w:sz="4" w:space="0" w:color="auto"/>
              <w:right w:val="single" w:sz="4" w:space="0" w:color="auto"/>
            </w:tcBorders>
            <w:vAlign w:val="center"/>
            <w:hideMark/>
          </w:tcPr>
          <w:p w14:paraId="52F3CFB5" w14:textId="77777777" w:rsidR="0007132E" w:rsidRPr="00C61670" w:rsidRDefault="0007132E" w:rsidP="00C3117B">
            <w:pPr>
              <w:pStyle w:val="Tabletext"/>
              <w:keepNext/>
              <w:keepLines/>
              <w:rPr>
                <w:szCs w:val="20"/>
              </w:rPr>
            </w:pPr>
            <w:r w:rsidRPr="00C61670">
              <w:rPr>
                <w:szCs w:val="20"/>
              </w:rPr>
              <w:t>Continuing scripts</w:t>
            </w:r>
          </w:p>
        </w:tc>
        <w:tc>
          <w:tcPr>
            <w:tcW w:w="1033" w:type="dxa"/>
            <w:tcBorders>
              <w:top w:val="single" w:sz="4" w:space="0" w:color="auto"/>
              <w:left w:val="single" w:sz="4" w:space="0" w:color="auto"/>
              <w:bottom w:val="single" w:sz="4" w:space="0" w:color="auto"/>
              <w:right w:val="single" w:sz="4" w:space="0" w:color="auto"/>
            </w:tcBorders>
            <w:hideMark/>
          </w:tcPr>
          <w:p w14:paraId="6E7440AC" w14:textId="0E2EA52D"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4"/>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4"/>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4"/>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7CE1F23A" w14:textId="0CE78843"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3"/>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3"/>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3"/>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hideMark/>
          </w:tcPr>
          <w:p w14:paraId="0316A312" w14:textId="0057FAA2"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2"/>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167A90BB" w14:textId="13E63FE1"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1"/>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hideMark/>
          </w:tcPr>
          <w:p w14:paraId="770F0955" w14:textId="420CADF5"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0"/>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16E609F4" w14:textId="0D443044"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3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9"/>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530482A1" w14:textId="77777777" w:rsidTr="00305EAF">
        <w:tc>
          <w:tcPr>
            <w:tcW w:w="2816" w:type="dxa"/>
            <w:tcBorders>
              <w:top w:val="single" w:sz="4" w:space="0" w:color="auto"/>
              <w:left w:val="single" w:sz="4" w:space="0" w:color="auto"/>
              <w:bottom w:val="single" w:sz="4" w:space="0" w:color="auto"/>
              <w:right w:val="single" w:sz="4" w:space="0" w:color="auto"/>
            </w:tcBorders>
            <w:vAlign w:val="center"/>
            <w:hideMark/>
          </w:tcPr>
          <w:p w14:paraId="51821EE2" w14:textId="77777777" w:rsidR="0007132E" w:rsidRPr="00C61670" w:rsidRDefault="0007132E" w:rsidP="00C3117B">
            <w:pPr>
              <w:pStyle w:val="Tabletext"/>
              <w:keepNext/>
              <w:keepLines/>
              <w:rPr>
                <w:szCs w:val="20"/>
              </w:rPr>
            </w:pPr>
            <w:r w:rsidRPr="00C61670">
              <w:rPr>
                <w:szCs w:val="20"/>
              </w:rPr>
              <w:t>Total</w:t>
            </w:r>
          </w:p>
        </w:tc>
        <w:tc>
          <w:tcPr>
            <w:tcW w:w="1033" w:type="dxa"/>
            <w:tcBorders>
              <w:top w:val="single" w:sz="4" w:space="0" w:color="auto"/>
              <w:left w:val="single" w:sz="4" w:space="0" w:color="auto"/>
              <w:bottom w:val="single" w:sz="4" w:space="0" w:color="auto"/>
              <w:right w:val="single" w:sz="4" w:space="0" w:color="auto"/>
            </w:tcBorders>
            <w:hideMark/>
          </w:tcPr>
          <w:p w14:paraId="07E7934E" w14:textId="2F00E1FF"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3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8"/>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5A0ACA96" w14:textId="0D46B5C8"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3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7"/>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hideMark/>
          </w:tcPr>
          <w:p w14:paraId="6B0ABF9F" w14:textId="40A6DDEF"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3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6"/>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16661C84" w14:textId="1F96F83A"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5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2"/>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hideMark/>
          </w:tcPr>
          <w:p w14:paraId="6660C134" w14:textId="41221297"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5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1"/>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hideMark/>
          </w:tcPr>
          <w:p w14:paraId="28E0CC25" w14:textId="7C88FC9F"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5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0"/>
                <w14:textFill>
                  <w14:solidFill>
                    <w14:srgbClr w14:val="000000">
                      <w14:alpha w14:val="100000"/>
                    </w14:srgbClr>
                  </w14:solidFill>
                </w14:textFill>
              </w:rPr>
              <w:t xml:space="preserve">　</w:t>
            </w:r>
            <w:r w:rsidR="004D65BF" w:rsidRPr="004D65BF">
              <w:rPr>
                <w:rFonts w:ascii="Arial Narrow" w:hAnsi="Arial Narrow"/>
                <w:color w:val="000000"/>
                <w:sz w:val="20"/>
                <w:szCs w:val="20"/>
                <w:vertAlign w:val="superscript"/>
              </w:rPr>
              <w:t>1</w:t>
            </w:r>
          </w:p>
        </w:tc>
      </w:tr>
      <w:tr w:rsidR="0007132E" w:rsidRPr="00C61670" w14:paraId="208C1558"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6F14367F" w14:textId="48FACD8E" w:rsidR="0007132E" w:rsidRPr="00C61670" w:rsidRDefault="0007132E" w:rsidP="00C3117B">
            <w:pPr>
              <w:pStyle w:val="Tabletext"/>
              <w:keepNext/>
              <w:keepLines/>
              <w:rPr>
                <w:szCs w:val="20"/>
              </w:rPr>
            </w:pPr>
            <w:r w:rsidRPr="00C61670">
              <w:rPr>
                <w:szCs w:val="20"/>
              </w:rPr>
              <w:t>Number of risdiplam 60</w:t>
            </w:r>
            <w:r w:rsidR="00E62608">
              <w:rPr>
                <w:szCs w:val="20"/>
              </w:rPr>
              <w:t xml:space="preserve"> </w:t>
            </w:r>
            <w:r w:rsidRPr="00C61670">
              <w:rPr>
                <w:szCs w:val="20"/>
              </w:rPr>
              <w:t xml:space="preserve">mg bottles dispensed </w:t>
            </w:r>
            <w:r w:rsidRPr="00C61670">
              <w:rPr>
                <w:vertAlign w:val="superscript"/>
              </w:rPr>
              <w:t>b</w:t>
            </w:r>
          </w:p>
        </w:tc>
        <w:tc>
          <w:tcPr>
            <w:tcW w:w="1033" w:type="dxa"/>
            <w:tcBorders>
              <w:top w:val="single" w:sz="4" w:space="0" w:color="auto"/>
              <w:left w:val="single" w:sz="4" w:space="0" w:color="auto"/>
              <w:bottom w:val="single" w:sz="4" w:space="0" w:color="auto"/>
              <w:right w:val="single" w:sz="4" w:space="0" w:color="auto"/>
            </w:tcBorders>
            <w:vAlign w:val="center"/>
          </w:tcPr>
          <w:p w14:paraId="757BA86F" w14:textId="25F8B984"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9"/>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23F9A5BC" w14:textId="011F5A7E"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8"/>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3B57D711" w14:textId="4B9C23E9"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7"/>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33E282BD" w14:textId="73B5239E"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6"/>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tcPr>
          <w:p w14:paraId="13BE6527" w14:textId="4D43BC8C"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5"/>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5"/>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5"/>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tcPr>
          <w:p w14:paraId="0A3B5081" w14:textId="1817BD04"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4"/>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4"/>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4"/>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r>
      <w:tr w:rsidR="0007132E" w:rsidRPr="00C61670" w14:paraId="72B4588E" w14:textId="77777777" w:rsidTr="00305EAF">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391B9873" w14:textId="77777777" w:rsidR="0007132E" w:rsidRPr="00C61670" w:rsidRDefault="0007132E" w:rsidP="00C3117B">
            <w:pPr>
              <w:keepNext/>
              <w:keepLines/>
              <w:rPr>
                <w:rFonts w:ascii="Arial Narrow" w:hAnsi="Arial Narrow"/>
                <w:sz w:val="20"/>
                <w:szCs w:val="20"/>
              </w:rPr>
            </w:pPr>
            <w:r w:rsidRPr="00C61670">
              <w:rPr>
                <w:rFonts w:ascii="Arial Narrow" w:hAnsi="Arial Narrow"/>
                <w:sz w:val="20"/>
                <w:szCs w:val="20"/>
              </w:rPr>
              <w:t>PBS cost for risdiplam (pub)</w:t>
            </w:r>
          </w:p>
        </w:tc>
      </w:tr>
      <w:tr w:rsidR="0007132E" w:rsidRPr="00C61670" w14:paraId="35D5F347" w14:textId="77777777" w:rsidTr="00305EAF">
        <w:tc>
          <w:tcPr>
            <w:tcW w:w="2816" w:type="dxa"/>
            <w:tcBorders>
              <w:top w:val="single" w:sz="4" w:space="0" w:color="auto"/>
              <w:left w:val="single" w:sz="4" w:space="0" w:color="auto"/>
              <w:bottom w:val="single" w:sz="4" w:space="0" w:color="auto"/>
              <w:right w:val="single" w:sz="4" w:space="0" w:color="auto"/>
            </w:tcBorders>
            <w:vAlign w:val="center"/>
            <w:hideMark/>
          </w:tcPr>
          <w:p w14:paraId="0BB62531" w14:textId="77777777" w:rsidR="0007132E" w:rsidRPr="00C61670" w:rsidRDefault="0007132E" w:rsidP="00C3117B">
            <w:pPr>
              <w:pStyle w:val="Tabletext"/>
              <w:keepNext/>
              <w:keepLines/>
              <w:rPr>
                <w:szCs w:val="20"/>
              </w:rPr>
            </w:pPr>
            <w:r w:rsidRPr="00C61670">
              <w:rPr>
                <w:szCs w:val="20"/>
              </w:rPr>
              <w:t>PBS drug cost for risdiplam (pub)</w:t>
            </w:r>
          </w:p>
        </w:tc>
        <w:tc>
          <w:tcPr>
            <w:tcW w:w="1033" w:type="dxa"/>
            <w:tcBorders>
              <w:top w:val="single" w:sz="4" w:space="0" w:color="auto"/>
              <w:left w:val="single" w:sz="4" w:space="0" w:color="auto"/>
              <w:bottom w:val="single" w:sz="4" w:space="0" w:color="auto"/>
              <w:right w:val="single" w:sz="4" w:space="0" w:color="auto"/>
            </w:tcBorders>
            <w:vAlign w:val="center"/>
          </w:tcPr>
          <w:p w14:paraId="65BD87F7" w14:textId="2F4073F1"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3"/>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3"/>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3"/>
                <w14:textFill>
                  <w14:solidFill>
                    <w14:srgbClr w14:val="000000">
                      <w14:alpha w14:val="100000"/>
                    </w14:srgbClr>
                  </w14:solidFill>
                </w14:textFill>
              </w:rPr>
              <w:t xml:space="preserve">　</w:t>
            </w:r>
            <w:r w:rsidR="00976652" w:rsidRPr="00976652">
              <w:rPr>
                <w:rFonts w:ascii="Arial Narrow" w:hAnsi="Arial Narrow"/>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vAlign w:val="center"/>
          </w:tcPr>
          <w:p w14:paraId="3315ED4B" w14:textId="5449CAAD"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2"/>
                <w14:textFill>
                  <w14:solidFill>
                    <w14:srgbClr w14:val="000000">
                      <w14:alpha w14:val="100000"/>
                    </w14:srgbClr>
                  </w14:solidFill>
                </w14:textFill>
              </w:rPr>
              <w:t xml:space="preserve">　</w:t>
            </w:r>
            <w:r w:rsidR="00976652" w:rsidRPr="00976652">
              <w:rPr>
                <w:rFonts w:ascii="Arial Narrow" w:hAnsi="Arial Narrow"/>
                <w:color w:val="000000"/>
                <w:sz w:val="20"/>
                <w:szCs w:val="20"/>
                <w:vertAlign w:val="superscript"/>
              </w:rPr>
              <w:t>2</w:t>
            </w:r>
          </w:p>
        </w:tc>
        <w:tc>
          <w:tcPr>
            <w:tcW w:w="1033" w:type="dxa"/>
            <w:tcBorders>
              <w:top w:val="single" w:sz="4" w:space="0" w:color="auto"/>
              <w:left w:val="nil"/>
              <w:bottom w:val="single" w:sz="4" w:space="0" w:color="auto"/>
              <w:right w:val="single" w:sz="4" w:space="0" w:color="auto"/>
            </w:tcBorders>
            <w:vAlign w:val="center"/>
          </w:tcPr>
          <w:p w14:paraId="6B3D1290" w14:textId="0CB85FC0"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1"/>
                <w14:textFill>
                  <w14:solidFill>
                    <w14:srgbClr w14:val="000000">
                      <w14:alpha w14:val="100000"/>
                    </w14:srgbClr>
                  </w14:solidFill>
                </w14:textFill>
              </w:rPr>
              <w:t xml:space="preserve">　</w:t>
            </w:r>
            <w:r w:rsidR="00976652" w:rsidRPr="00976652">
              <w:rPr>
                <w:rFonts w:ascii="Arial Narrow" w:hAnsi="Arial Narrow"/>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vAlign w:val="center"/>
          </w:tcPr>
          <w:p w14:paraId="20FE009F" w14:textId="036A3494"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0"/>
                <w14:textFill>
                  <w14:solidFill>
                    <w14:srgbClr w14:val="000000">
                      <w14:alpha w14:val="100000"/>
                    </w14:srgbClr>
                  </w14:solidFill>
                </w14:textFill>
              </w:rPr>
              <w:t xml:space="preserve">　</w:t>
            </w:r>
            <w:r w:rsidR="00976652" w:rsidRPr="00976652">
              <w:rPr>
                <w:rFonts w:ascii="Arial Narrow" w:hAnsi="Arial Narrow"/>
                <w:color w:val="000000"/>
                <w:sz w:val="20"/>
                <w:szCs w:val="20"/>
                <w:vertAlign w:val="superscript"/>
              </w:rPr>
              <w:t>2</w:t>
            </w:r>
          </w:p>
        </w:tc>
        <w:tc>
          <w:tcPr>
            <w:tcW w:w="1033" w:type="dxa"/>
            <w:tcBorders>
              <w:top w:val="single" w:sz="4" w:space="0" w:color="auto"/>
              <w:left w:val="nil"/>
              <w:bottom w:val="single" w:sz="4" w:space="0" w:color="auto"/>
              <w:right w:val="single" w:sz="4" w:space="0" w:color="auto"/>
            </w:tcBorders>
            <w:vAlign w:val="center"/>
          </w:tcPr>
          <w:p w14:paraId="4B6A933A" w14:textId="7F44B3AE"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3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9"/>
                <w14:textFill>
                  <w14:solidFill>
                    <w14:srgbClr w14:val="000000">
                      <w14:alpha w14:val="100000"/>
                    </w14:srgbClr>
                  </w14:solidFill>
                </w14:textFill>
              </w:rPr>
              <w:t xml:space="preserve">　</w:t>
            </w:r>
            <w:r w:rsidR="00976652" w:rsidRPr="00976652">
              <w:rPr>
                <w:rFonts w:ascii="Arial Narrow" w:hAnsi="Arial Narrow"/>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vAlign w:val="center"/>
          </w:tcPr>
          <w:p w14:paraId="529EEC24" w14:textId="1609788A"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3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8"/>
                <w14:textFill>
                  <w14:solidFill>
                    <w14:srgbClr w14:val="000000">
                      <w14:alpha w14:val="100000"/>
                    </w14:srgbClr>
                  </w14:solidFill>
                </w14:textFill>
              </w:rPr>
              <w:t xml:space="preserve">　</w:t>
            </w:r>
            <w:r w:rsidR="00976652" w:rsidRPr="00976652">
              <w:rPr>
                <w:rFonts w:ascii="Arial Narrow" w:hAnsi="Arial Narrow"/>
                <w:color w:val="000000"/>
                <w:sz w:val="20"/>
                <w:szCs w:val="20"/>
                <w:vertAlign w:val="superscript"/>
              </w:rPr>
              <w:t>2</w:t>
            </w:r>
          </w:p>
        </w:tc>
      </w:tr>
      <w:tr w:rsidR="0007132E" w:rsidRPr="00C61670" w14:paraId="200A651E"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6BE2A83B" w14:textId="77777777" w:rsidR="0007132E" w:rsidRPr="00C61670" w:rsidRDefault="0007132E" w:rsidP="00C3117B">
            <w:pPr>
              <w:pStyle w:val="Tabletext"/>
              <w:keepNext/>
              <w:keepLines/>
              <w:rPr>
                <w:szCs w:val="20"/>
              </w:rPr>
            </w:pPr>
            <w:r w:rsidRPr="00C61670">
              <w:rPr>
                <w:szCs w:val="20"/>
              </w:rPr>
              <w:t>PBS patient co-payment</w:t>
            </w:r>
          </w:p>
        </w:tc>
        <w:tc>
          <w:tcPr>
            <w:tcW w:w="1033" w:type="dxa"/>
            <w:tcBorders>
              <w:top w:val="single" w:sz="4" w:space="0" w:color="auto"/>
              <w:left w:val="single" w:sz="4" w:space="0" w:color="auto"/>
              <w:bottom w:val="single" w:sz="4" w:space="0" w:color="auto"/>
              <w:right w:val="single" w:sz="4" w:space="0" w:color="auto"/>
            </w:tcBorders>
            <w:vAlign w:val="center"/>
          </w:tcPr>
          <w:p w14:paraId="715CDD89" w14:textId="4BDC9C2C"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7"/>
                <w14:textFill>
                  <w14:solidFill>
                    <w14:srgbClr w14:val="000000">
                      <w14:alpha w14:val="100000"/>
                    </w14:srgbClr>
                  </w14:solidFill>
                </w14:textFill>
              </w:rPr>
              <w:t xml:space="preserve">　</w:t>
            </w:r>
            <w:r w:rsidR="00EF733D" w:rsidRPr="00EF733D">
              <w:rPr>
                <w:rFonts w:ascii="Arial Narrow" w:hAnsi="Arial Narrow"/>
                <w:sz w:val="20"/>
                <w:szCs w:val="20"/>
                <w:vertAlign w:val="superscript"/>
              </w:rPr>
              <w:t>3</w:t>
            </w:r>
          </w:p>
        </w:tc>
        <w:tc>
          <w:tcPr>
            <w:tcW w:w="1034" w:type="dxa"/>
            <w:tcBorders>
              <w:top w:val="single" w:sz="4" w:space="0" w:color="auto"/>
              <w:left w:val="nil"/>
              <w:bottom w:val="single" w:sz="4" w:space="0" w:color="auto"/>
              <w:right w:val="single" w:sz="4" w:space="0" w:color="auto"/>
            </w:tcBorders>
            <w:vAlign w:val="center"/>
          </w:tcPr>
          <w:p w14:paraId="12ABC596" w14:textId="671CE6CF"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3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3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36"/>
                <w14:textFill>
                  <w14:solidFill>
                    <w14:srgbClr w14:val="000000">
                      <w14:alpha w14:val="100000"/>
                    </w14:srgbClr>
                  </w14:solidFill>
                </w14:textFill>
              </w:rPr>
              <w:t xml:space="preserve">　</w:t>
            </w:r>
            <w:r w:rsidR="00EF733D" w:rsidRPr="00EF733D">
              <w:rPr>
                <w:rFonts w:ascii="Arial Narrow" w:hAnsi="Arial Narrow"/>
                <w:sz w:val="20"/>
                <w:szCs w:val="20"/>
                <w:vertAlign w:val="superscript"/>
              </w:rPr>
              <w:t>3</w:t>
            </w:r>
          </w:p>
        </w:tc>
        <w:tc>
          <w:tcPr>
            <w:tcW w:w="1033" w:type="dxa"/>
            <w:tcBorders>
              <w:top w:val="single" w:sz="4" w:space="0" w:color="auto"/>
              <w:left w:val="nil"/>
              <w:bottom w:val="single" w:sz="4" w:space="0" w:color="auto"/>
              <w:right w:val="single" w:sz="4" w:space="0" w:color="auto"/>
            </w:tcBorders>
            <w:vAlign w:val="center"/>
          </w:tcPr>
          <w:p w14:paraId="62C7C5DC" w14:textId="23776F9B"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2"/>
                <w14:textFill>
                  <w14:solidFill>
                    <w14:srgbClr w14:val="000000">
                      <w14:alpha w14:val="100000"/>
                    </w14:srgbClr>
                  </w14:solidFill>
                </w14:textFill>
              </w:rPr>
              <w:t xml:space="preserve">　</w:t>
            </w:r>
            <w:r w:rsidR="00EF733D" w:rsidRPr="00EF733D">
              <w:rPr>
                <w:rFonts w:ascii="Arial Narrow" w:hAnsi="Arial Narrow"/>
                <w:sz w:val="20"/>
                <w:szCs w:val="20"/>
                <w:vertAlign w:val="superscript"/>
              </w:rPr>
              <w:t>3</w:t>
            </w:r>
          </w:p>
        </w:tc>
        <w:tc>
          <w:tcPr>
            <w:tcW w:w="1034" w:type="dxa"/>
            <w:tcBorders>
              <w:top w:val="single" w:sz="4" w:space="0" w:color="auto"/>
              <w:left w:val="nil"/>
              <w:bottom w:val="single" w:sz="4" w:space="0" w:color="auto"/>
              <w:right w:val="single" w:sz="4" w:space="0" w:color="auto"/>
            </w:tcBorders>
            <w:vAlign w:val="center"/>
          </w:tcPr>
          <w:p w14:paraId="24FE75DF" w14:textId="7D4FCC49"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1"/>
                <w14:textFill>
                  <w14:solidFill>
                    <w14:srgbClr w14:val="000000">
                      <w14:alpha w14:val="100000"/>
                    </w14:srgbClr>
                  </w14:solidFill>
                </w14:textFill>
              </w:rPr>
              <w:t xml:space="preserve">　</w:t>
            </w:r>
            <w:r w:rsidR="00EF733D" w:rsidRPr="00EF733D">
              <w:rPr>
                <w:rFonts w:ascii="Arial Narrow" w:hAnsi="Arial Narrow"/>
                <w:sz w:val="20"/>
                <w:szCs w:val="20"/>
                <w:vertAlign w:val="superscript"/>
              </w:rPr>
              <w:t>3</w:t>
            </w:r>
          </w:p>
        </w:tc>
        <w:tc>
          <w:tcPr>
            <w:tcW w:w="1033" w:type="dxa"/>
            <w:tcBorders>
              <w:top w:val="single" w:sz="4" w:space="0" w:color="auto"/>
              <w:left w:val="nil"/>
              <w:bottom w:val="single" w:sz="4" w:space="0" w:color="auto"/>
              <w:right w:val="single" w:sz="4" w:space="0" w:color="auto"/>
            </w:tcBorders>
            <w:vAlign w:val="center"/>
          </w:tcPr>
          <w:p w14:paraId="50FCA388" w14:textId="10927B1D"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5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5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50"/>
                <w14:textFill>
                  <w14:solidFill>
                    <w14:srgbClr w14:val="000000">
                      <w14:alpha w14:val="100000"/>
                    </w14:srgbClr>
                  </w14:solidFill>
                </w14:textFill>
              </w:rPr>
              <w:t xml:space="preserve">　</w:t>
            </w:r>
            <w:r w:rsidR="00EF733D" w:rsidRPr="00EF733D">
              <w:rPr>
                <w:rFonts w:ascii="Arial Narrow" w:hAnsi="Arial Narrow"/>
                <w:sz w:val="20"/>
                <w:szCs w:val="20"/>
                <w:vertAlign w:val="superscript"/>
              </w:rPr>
              <w:t>3</w:t>
            </w:r>
          </w:p>
        </w:tc>
        <w:tc>
          <w:tcPr>
            <w:tcW w:w="1034" w:type="dxa"/>
            <w:tcBorders>
              <w:top w:val="single" w:sz="4" w:space="0" w:color="auto"/>
              <w:left w:val="nil"/>
              <w:bottom w:val="single" w:sz="4" w:space="0" w:color="auto"/>
              <w:right w:val="single" w:sz="4" w:space="0" w:color="auto"/>
            </w:tcBorders>
            <w:vAlign w:val="center"/>
          </w:tcPr>
          <w:p w14:paraId="071A891A" w14:textId="7689FD49"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54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9"/>
                <w14:textFill>
                  <w14:solidFill>
                    <w14:srgbClr w14:val="000000">
                      <w14:alpha w14:val="100000"/>
                    </w14:srgbClr>
                  </w14:solidFill>
                </w14:textFill>
              </w:rPr>
              <w:t xml:space="preserve">　</w:t>
            </w:r>
            <w:r w:rsidR="00EF733D" w:rsidRPr="00EF733D">
              <w:rPr>
                <w:rFonts w:ascii="Arial Narrow" w:hAnsi="Arial Narrow"/>
                <w:sz w:val="20"/>
                <w:szCs w:val="20"/>
                <w:vertAlign w:val="superscript"/>
              </w:rPr>
              <w:t>3</w:t>
            </w:r>
          </w:p>
        </w:tc>
      </w:tr>
      <w:tr w:rsidR="0007132E" w:rsidRPr="00C61670" w14:paraId="31B12270" w14:textId="77777777" w:rsidTr="00305EAF">
        <w:tc>
          <w:tcPr>
            <w:tcW w:w="2816" w:type="dxa"/>
            <w:tcBorders>
              <w:top w:val="single" w:sz="4" w:space="0" w:color="auto"/>
              <w:left w:val="single" w:sz="4" w:space="0" w:color="auto"/>
              <w:bottom w:val="single" w:sz="4" w:space="0" w:color="auto"/>
              <w:right w:val="single" w:sz="4" w:space="0" w:color="auto"/>
            </w:tcBorders>
            <w:vAlign w:val="center"/>
          </w:tcPr>
          <w:p w14:paraId="49D5EBFE" w14:textId="77777777" w:rsidR="0007132E" w:rsidRPr="00C61670" w:rsidRDefault="0007132E" w:rsidP="00C3117B">
            <w:pPr>
              <w:pStyle w:val="Tabletext"/>
              <w:keepNext/>
              <w:keepLines/>
              <w:rPr>
                <w:szCs w:val="20"/>
              </w:rPr>
            </w:pPr>
            <w:r w:rsidRPr="00C61670">
              <w:rPr>
                <w:szCs w:val="20"/>
              </w:rPr>
              <w:t>Total (pub)</w:t>
            </w:r>
          </w:p>
        </w:tc>
        <w:tc>
          <w:tcPr>
            <w:tcW w:w="1033" w:type="dxa"/>
            <w:tcBorders>
              <w:top w:val="single" w:sz="4" w:space="0" w:color="auto"/>
              <w:left w:val="single" w:sz="4" w:space="0" w:color="auto"/>
              <w:bottom w:val="single" w:sz="4" w:space="0" w:color="auto"/>
              <w:right w:val="single" w:sz="4" w:space="0" w:color="auto"/>
            </w:tcBorders>
          </w:tcPr>
          <w:p w14:paraId="2ECB3CAD" w14:textId="101E901D"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8"/>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8"/>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8"/>
                <w14:textFill>
                  <w14:solidFill>
                    <w14:srgbClr w14:val="000000">
                      <w14:alpha w14:val="100000"/>
                    </w14:srgbClr>
                  </w14:solidFill>
                </w14:textFill>
              </w:rPr>
              <w:t xml:space="preserve">　</w:t>
            </w:r>
            <w:r w:rsidR="00065ED4" w:rsidRPr="00976652">
              <w:rPr>
                <w:rFonts w:ascii="Arial Narrow" w:hAnsi="Arial Narrow"/>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tcPr>
          <w:p w14:paraId="45E384AD" w14:textId="5C175419"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7"/>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7"/>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7"/>
                <w14:textFill>
                  <w14:solidFill>
                    <w14:srgbClr w14:val="000000">
                      <w14:alpha w14:val="100000"/>
                    </w14:srgbClr>
                  </w14:solidFill>
                </w14:textFill>
              </w:rPr>
              <w:t xml:space="preserve">　</w:t>
            </w:r>
            <w:r w:rsidR="00065ED4" w:rsidRPr="00976652">
              <w:rPr>
                <w:rFonts w:ascii="Arial Narrow" w:hAnsi="Arial Narrow"/>
                <w:color w:val="000000"/>
                <w:sz w:val="20"/>
                <w:szCs w:val="20"/>
                <w:vertAlign w:val="superscript"/>
              </w:rPr>
              <w:t>2</w:t>
            </w:r>
          </w:p>
        </w:tc>
        <w:tc>
          <w:tcPr>
            <w:tcW w:w="1033" w:type="dxa"/>
            <w:tcBorders>
              <w:top w:val="single" w:sz="4" w:space="0" w:color="auto"/>
              <w:left w:val="nil"/>
              <w:bottom w:val="single" w:sz="4" w:space="0" w:color="auto"/>
              <w:right w:val="single" w:sz="4" w:space="0" w:color="auto"/>
            </w:tcBorders>
          </w:tcPr>
          <w:p w14:paraId="4465B3CB" w14:textId="6F681583"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6"/>
                <w14:textFill>
                  <w14:solidFill>
                    <w14:srgbClr w14:val="000000">
                      <w14:alpha w14:val="100000"/>
                    </w14:srgbClr>
                  </w14:solidFill>
                </w14:textFill>
              </w:rPr>
              <w:t xml:space="preserve">　</w:t>
            </w:r>
            <w:r w:rsidR="00065ED4" w:rsidRPr="00976652">
              <w:rPr>
                <w:rFonts w:ascii="Arial Narrow" w:hAnsi="Arial Narrow"/>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tcPr>
          <w:p w14:paraId="0CAF4F83" w14:textId="4AEC8F19"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545"/>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545"/>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545"/>
                <w14:textFill>
                  <w14:solidFill>
                    <w14:srgbClr w14:val="000000">
                      <w14:alpha w14:val="100000"/>
                    </w14:srgbClr>
                  </w14:solidFill>
                </w14:textFill>
              </w:rPr>
              <w:t xml:space="preserve">　</w:t>
            </w:r>
            <w:r w:rsidR="00065ED4" w:rsidRPr="00976652">
              <w:rPr>
                <w:rFonts w:ascii="Arial Narrow" w:hAnsi="Arial Narrow"/>
                <w:color w:val="000000"/>
                <w:sz w:val="20"/>
                <w:szCs w:val="20"/>
                <w:vertAlign w:val="superscript"/>
              </w:rPr>
              <w:t>2</w:t>
            </w:r>
          </w:p>
        </w:tc>
        <w:tc>
          <w:tcPr>
            <w:tcW w:w="1033" w:type="dxa"/>
            <w:tcBorders>
              <w:top w:val="single" w:sz="4" w:space="0" w:color="auto"/>
              <w:left w:val="nil"/>
              <w:bottom w:val="single" w:sz="4" w:space="0" w:color="auto"/>
              <w:right w:val="single" w:sz="4" w:space="0" w:color="auto"/>
            </w:tcBorders>
          </w:tcPr>
          <w:p w14:paraId="3C8A031F" w14:textId="307130BE"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296"/>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96"/>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96"/>
                <w14:textFill>
                  <w14:solidFill>
                    <w14:srgbClr w14:val="000000">
                      <w14:alpha w14:val="100000"/>
                    </w14:srgbClr>
                  </w14:solidFill>
                </w14:textFill>
              </w:rPr>
              <w:t xml:space="preserve">　</w:t>
            </w:r>
            <w:r w:rsidR="00065ED4" w:rsidRPr="00976652">
              <w:rPr>
                <w:rFonts w:ascii="Arial Narrow" w:hAnsi="Arial Narrow"/>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tcPr>
          <w:p w14:paraId="15A68E63" w14:textId="1CD6C0D5" w:rsidR="0007132E" w:rsidRPr="002E7657" w:rsidRDefault="00875C10" w:rsidP="00C3117B">
            <w:pPr>
              <w:keepNext/>
              <w:keepLines/>
              <w:jc w:val="center"/>
              <w:rPr>
                <w:rFonts w:ascii="Arial Narrow" w:hAnsi="Arial Narrow"/>
                <w:color w:val="000000"/>
                <w:sz w:val="20"/>
                <w:szCs w:val="20"/>
                <w:highlight w:val="lightGray"/>
              </w:rPr>
            </w:pPr>
            <w:r w:rsidRPr="00875C10">
              <w:rPr>
                <w:rFonts w:ascii="Arial Narrow" w:hAnsi="Arial Narrow" w:hint="eastAsia"/>
                <w:color w:val="000000"/>
                <w:w w:val="20"/>
                <w:sz w:val="20"/>
                <w:szCs w:val="20"/>
                <w:shd w:val="solid" w:color="000000" w:fill="000000"/>
                <w:fitText w:val="90" w:id="-894167295"/>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95"/>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95"/>
                <w14:textFill>
                  <w14:solidFill>
                    <w14:srgbClr w14:val="000000">
                      <w14:alpha w14:val="100000"/>
                    </w14:srgbClr>
                  </w14:solidFill>
                </w14:textFill>
              </w:rPr>
              <w:t xml:space="preserve">　</w:t>
            </w:r>
            <w:r w:rsidR="00065ED4" w:rsidRPr="00976652">
              <w:rPr>
                <w:rFonts w:ascii="Arial Narrow" w:hAnsi="Arial Narrow"/>
                <w:color w:val="000000"/>
                <w:sz w:val="20"/>
                <w:szCs w:val="20"/>
                <w:vertAlign w:val="superscript"/>
              </w:rPr>
              <w:t>2</w:t>
            </w:r>
          </w:p>
        </w:tc>
      </w:tr>
      <w:tr w:rsidR="0007132E" w:rsidRPr="00C61670" w14:paraId="036C353A" w14:textId="77777777" w:rsidTr="00305EAF">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7382FE8C" w14:textId="274C73B6" w:rsidR="0007132E" w:rsidRPr="00C61670" w:rsidRDefault="0007132E" w:rsidP="00C3117B">
            <w:pPr>
              <w:pStyle w:val="Tabletext"/>
              <w:keepNext/>
              <w:keepLines/>
              <w:rPr>
                <w:rStyle w:val="CommentReference"/>
                <w:szCs w:val="20"/>
              </w:rPr>
            </w:pPr>
            <w:r w:rsidRPr="00C61670">
              <w:rPr>
                <w:rStyle w:val="CommentReference"/>
                <w:szCs w:val="20"/>
              </w:rPr>
              <w:t>Estimation of changes in use and financial impact of other medicines (PBS)</w:t>
            </w:r>
          </w:p>
        </w:tc>
      </w:tr>
      <w:tr w:rsidR="0007132E" w:rsidRPr="00C61670" w14:paraId="3C4F085A" w14:textId="77777777" w:rsidTr="00305EAF">
        <w:tc>
          <w:tcPr>
            <w:tcW w:w="2816" w:type="dxa"/>
            <w:tcBorders>
              <w:top w:val="single" w:sz="4" w:space="0" w:color="auto"/>
              <w:left w:val="single" w:sz="4" w:space="0" w:color="auto"/>
              <w:bottom w:val="single" w:sz="4" w:space="0" w:color="auto"/>
              <w:right w:val="single" w:sz="4" w:space="0" w:color="auto"/>
            </w:tcBorders>
            <w:hideMark/>
          </w:tcPr>
          <w:p w14:paraId="6942A8FE" w14:textId="77777777" w:rsidR="0007132E" w:rsidRPr="00C61670" w:rsidRDefault="0007132E" w:rsidP="00C3117B">
            <w:pPr>
              <w:pStyle w:val="Tabletext"/>
              <w:keepNext/>
              <w:keepLines/>
              <w:rPr>
                <w:szCs w:val="20"/>
              </w:rPr>
            </w:pPr>
            <w:r w:rsidRPr="00C61670">
              <w:rPr>
                <w:szCs w:val="20"/>
              </w:rPr>
              <w:t>Patients not receiving nusinersen</w:t>
            </w:r>
            <w:r w:rsidRPr="00C61670">
              <w:rPr>
                <w:vertAlign w:val="superscript"/>
              </w:rPr>
              <w:t xml:space="preserve"> b</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D59F795" w14:textId="4AD9EACB"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294"/>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94"/>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94"/>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F7BEAC4" w14:textId="369C77F2"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293"/>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93"/>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93"/>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0FEA40AA" w14:textId="45E6EE12"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292"/>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92"/>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92"/>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hideMark/>
          </w:tcPr>
          <w:p w14:paraId="28BF7CF8" w14:textId="60655C62"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291"/>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91"/>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91"/>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552A0D4F" w14:textId="60A80757"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290"/>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90"/>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90"/>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hideMark/>
          </w:tcPr>
          <w:p w14:paraId="494D7A06" w14:textId="17B38B5B" w:rsidR="0007132E" w:rsidRPr="002E7657" w:rsidRDefault="00875C10" w:rsidP="00C3117B">
            <w:pPr>
              <w:keepNext/>
              <w:keepLines/>
              <w:jc w:val="center"/>
              <w:rPr>
                <w:rFonts w:ascii="Arial Narrow" w:hAnsi="Arial Narrow"/>
                <w:sz w:val="20"/>
                <w:szCs w:val="20"/>
                <w:highlight w:val="lightGray"/>
              </w:rPr>
            </w:pPr>
            <w:r w:rsidRPr="00875C10">
              <w:rPr>
                <w:rFonts w:ascii="Arial Narrow" w:hAnsi="Arial Narrow" w:hint="eastAsia"/>
                <w:color w:val="000000"/>
                <w:w w:val="20"/>
                <w:sz w:val="20"/>
                <w:szCs w:val="20"/>
                <w:shd w:val="solid" w:color="000000" w:fill="000000"/>
                <w:fitText w:val="90" w:id="-894167289"/>
                <w14:textFill>
                  <w14:solidFill>
                    <w14:srgbClr w14:val="000000">
                      <w14:alpha w14:val="100000"/>
                    </w14:srgbClr>
                  </w14:solidFill>
                </w14:textFill>
              </w:rPr>
              <w:t xml:space="preserve">　</w:t>
            </w:r>
            <w:r w:rsidRPr="00875C10">
              <w:rPr>
                <w:rFonts w:ascii="Arial Narrow" w:hAnsi="Arial Narrow"/>
                <w:color w:val="000000"/>
                <w:w w:val="20"/>
                <w:sz w:val="20"/>
                <w:szCs w:val="20"/>
                <w:shd w:val="solid" w:color="000000" w:fill="000000"/>
                <w:fitText w:val="90" w:id="-894167289"/>
                <w14:textFill>
                  <w14:solidFill>
                    <w14:srgbClr w14:val="000000">
                      <w14:alpha w14:val="100000"/>
                    </w14:srgbClr>
                  </w14:solidFill>
                </w14:textFill>
              </w:rPr>
              <w:t>|</w:t>
            </w:r>
            <w:r w:rsidRPr="00875C10">
              <w:rPr>
                <w:rFonts w:ascii="Arial Narrow" w:hAnsi="Arial Narrow" w:hint="eastAsia"/>
                <w:color w:val="000000"/>
                <w:spacing w:val="3"/>
                <w:w w:val="20"/>
                <w:sz w:val="20"/>
                <w:szCs w:val="20"/>
                <w:shd w:val="solid" w:color="000000" w:fill="000000"/>
                <w:fitText w:val="90" w:id="-894167289"/>
                <w14:textFill>
                  <w14:solidFill>
                    <w14:srgbClr w14:val="000000">
                      <w14:alpha w14:val="100000"/>
                    </w14:srgbClr>
                  </w14:solidFill>
                </w14:textFill>
              </w:rPr>
              <w:t xml:space="preserve">　</w:t>
            </w:r>
            <w:r w:rsidR="000F505F" w:rsidRPr="004D65BF">
              <w:rPr>
                <w:rFonts w:ascii="Arial Narrow" w:hAnsi="Arial Narrow"/>
                <w:color w:val="000000"/>
                <w:sz w:val="20"/>
                <w:szCs w:val="20"/>
                <w:vertAlign w:val="superscript"/>
              </w:rPr>
              <w:t>1</w:t>
            </w:r>
          </w:p>
        </w:tc>
      </w:tr>
      <w:tr w:rsidR="0007132E" w:rsidRPr="00C61670" w14:paraId="2AE685A7" w14:textId="77777777" w:rsidTr="00305EAF">
        <w:tc>
          <w:tcPr>
            <w:tcW w:w="2816" w:type="dxa"/>
            <w:tcBorders>
              <w:top w:val="single" w:sz="4" w:space="0" w:color="auto"/>
              <w:left w:val="single" w:sz="4" w:space="0" w:color="auto"/>
              <w:bottom w:val="single" w:sz="4" w:space="0" w:color="auto"/>
              <w:right w:val="single" w:sz="4" w:space="0" w:color="auto"/>
            </w:tcBorders>
            <w:hideMark/>
          </w:tcPr>
          <w:p w14:paraId="3F004C2C" w14:textId="77777777" w:rsidR="0007132E" w:rsidRPr="00C61670" w:rsidRDefault="0007132E" w:rsidP="00C3117B">
            <w:pPr>
              <w:pStyle w:val="Tabletext"/>
              <w:keepNext/>
              <w:keepLines/>
              <w:rPr>
                <w:szCs w:val="20"/>
              </w:rPr>
            </w:pPr>
            <w:r w:rsidRPr="00C61670">
              <w:rPr>
                <w:szCs w:val="20"/>
              </w:rPr>
              <w:t>Change in nusinersen scripts</w:t>
            </w:r>
            <w:r w:rsidRPr="00C61670">
              <w:rPr>
                <w:vertAlign w:val="superscript"/>
              </w:rPr>
              <w:t xml:space="preserve"> c</w:t>
            </w:r>
          </w:p>
        </w:tc>
        <w:tc>
          <w:tcPr>
            <w:tcW w:w="1033" w:type="dxa"/>
            <w:tcBorders>
              <w:top w:val="single" w:sz="4" w:space="0" w:color="auto"/>
              <w:left w:val="single" w:sz="4" w:space="0" w:color="auto"/>
              <w:bottom w:val="single" w:sz="4" w:space="0" w:color="auto"/>
              <w:right w:val="single" w:sz="4" w:space="0" w:color="auto"/>
            </w:tcBorders>
            <w:vAlign w:val="center"/>
            <w:hideMark/>
          </w:tcPr>
          <w:p w14:paraId="097707E8" w14:textId="395AFA94" w:rsidR="0007132E" w:rsidRPr="00C223E9" w:rsidRDefault="0007132E" w:rsidP="00C3117B">
            <w:pPr>
              <w:pStyle w:val="Tabletext"/>
              <w:keepNext/>
              <w:keepLines/>
              <w:jc w:val="center"/>
              <w:rPr>
                <w:szCs w:val="20"/>
              </w:rPr>
            </w:pPr>
            <w:r w:rsidRPr="00C223E9">
              <w:rPr>
                <w:rFonts w:cs="Arial"/>
                <w:bCs/>
                <w:szCs w:val="20"/>
              </w:rPr>
              <w:t>-</w:t>
            </w:r>
            <w:r w:rsidR="00875C10" w:rsidRPr="00875C10">
              <w:rPr>
                <w:rFonts w:cs="Arial" w:hint="eastAsia"/>
                <w:bCs/>
                <w:color w:val="000000"/>
                <w:w w:val="24"/>
                <w:szCs w:val="20"/>
                <w:shd w:val="solid" w:color="000000" w:fill="000000"/>
                <w:fitText w:val="110" w:id="-894167288"/>
                <w14:textFill>
                  <w14:solidFill>
                    <w14:srgbClr w14:val="000000">
                      <w14:alpha w14:val="100000"/>
                    </w14:srgbClr>
                  </w14:solidFill>
                </w14:textFill>
              </w:rPr>
              <w:t xml:space="preserve">　</w:t>
            </w:r>
            <w:r w:rsidR="00875C10" w:rsidRPr="00875C10">
              <w:rPr>
                <w:rFonts w:cs="Arial"/>
                <w:bCs/>
                <w:color w:val="000000"/>
                <w:w w:val="24"/>
                <w:szCs w:val="20"/>
                <w:shd w:val="solid" w:color="000000" w:fill="000000"/>
                <w:fitText w:val="110" w:id="-894167288"/>
                <w14:textFill>
                  <w14:solidFill>
                    <w14:srgbClr w14:val="000000">
                      <w14:alpha w14:val="100000"/>
                    </w14:srgbClr>
                  </w14:solidFill>
                </w14:textFill>
              </w:rPr>
              <w:t>|</w:t>
            </w:r>
            <w:r w:rsidR="00875C10" w:rsidRPr="00875C10">
              <w:rPr>
                <w:rFonts w:cs="Arial" w:hint="eastAsia"/>
                <w:bCs/>
                <w:color w:val="000000"/>
                <w:spacing w:val="6"/>
                <w:w w:val="24"/>
                <w:szCs w:val="20"/>
                <w:shd w:val="solid" w:color="000000" w:fill="000000"/>
                <w:fitText w:val="110" w:id="-894167288"/>
                <w14:textFill>
                  <w14:solidFill>
                    <w14:srgbClr w14:val="000000">
                      <w14:alpha w14:val="100000"/>
                    </w14:srgbClr>
                  </w14:solidFill>
                </w14:textFill>
              </w:rPr>
              <w:t xml:space="preserve">　</w:t>
            </w:r>
            <w:r w:rsidR="000F505F" w:rsidRPr="004D65BF">
              <w:rPr>
                <w:color w:val="00000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677138B" w14:textId="33F03F7A" w:rsidR="0007132E" w:rsidRPr="00C223E9" w:rsidRDefault="0007132E" w:rsidP="00C3117B">
            <w:pPr>
              <w:pStyle w:val="Tabletext"/>
              <w:keepNext/>
              <w:keepLines/>
              <w:jc w:val="center"/>
              <w:rPr>
                <w:szCs w:val="20"/>
              </w:rPr>
            </w:pPr>
            <w:r w:rsidRPr="00C223E9">
              <w:rPr>
                <w:rFonts w:cs="Arial"/>
                <w:bCs/>
                <w:szCs w:val="20"/>
              </w:rPr>
              <w:t>-</w:t>
            </w:r>
            <w:r w:rsidR="00875C10" w:rsidRPr="00875C10">
              <w:rPr>
                <w:rFonts w:cs="Arial" w:hint="eastAsia"/>
                <w:bCs/>
                <w:color w:val="000000"/>
                <w:w w:val="27"/>
                <w:szCs w:val="20"/>
                <w:shd w:val="solid" w:color="000000" w:fill="000000"/>
                <w:fitText w:val="120" w:id="-894167287"/>
                <w14:textFill>
                  <w14:solidFill>
                    <w14:srgbClr w14:val="000000">
                      <w14:alpha w14:val="100000"/>
                    </w14:srgbClr>
                  </w14:solidFill>
                </w14:textFill>
              </w:rPr>
              <w:t xml:space="preserve">　</w:t>
            </w:r>
            <w:r w:rsidR="00875C10" w:rsidRPr="00875C10">
              <w:rPr>
                <w:rFonts w:cs="Arial"/>
                <w:bCs/>
                <w:color w:val="000000"/>
                <w:w w:val="27"/>
                <w:szCs w:val="20"/>
                <w:shd w:val="solid" w:color="000000" w:fill="000000"/>
                <w:fitText w:val="120" w:id="-894167287"/>
                <w14:textFill>
                  <w14:solidFill>
                    <w14:srgbClr w14:val="000000">
                      <w14:alpha w14:val="100000"/>
                    </w14:srgbClr>
                  </w14:solidFill>
                </w14:textFill>
              </w:rPr>
              <w:t>|</w:t>
            </w:r>
            <w:r w:rsidR="00875C10" w:rsidRPr="00875C10">
              <w:rPr>
                <w:rFonts w:cs="Arial" w:hint="eastAsia"/>
                <w:bCs/>
                <w:color w:val="000000"/>
                <w:spacing w:val="2"/>
                <w:w w:val="27"/>
                <w:szCs w:val="20"/>
                <w:shd w:val="solid" w:color="000000" w:fill="000000"/>
                <w:fitText w:val="120" w:id="-894167287"/>
                <w14:textFill>
                  <w14:solidFill>
                    <w14:srgbClr w14:val="000000">
                      <w14:alpha w14:val="100000"/>
                    </w14:srgbClr>
                  </w14:solidFill>
                </w14:textFill>
              </w:rPr>
              <w:t xml:space="preserve">　</w:t>
            </w:r>
            <w:r w:rsidR="000F505F" w:rsidRPr="004D65BF">
              <w:rPr>
                <w:color w:val="00000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135812F" w14:textId="3F307E4E" w:rsidR="0007132E" w:rsidRPr="00C223E9" w:rsidRDefault="0007132E" w:rsidP="00C3117B">
            <w:pPr>
              <w:pStyle w:val="Tabletext"/>
              <w:keepNext/>
              <w:keepLines/>
              <w:jc w:val="center"/>
              <w:rPr>
                <w:szCs w:val="20"/>
              </w:rPr>
            </w:pPr>
            <w:r w:rsidRPr="00C223E9">
              <w:rPr>
                <w:rFonts w:cs="Arial"/>
                <w:bCs/>
                <w:szCs w:val="20"/>
              </w:rPr>
              <w:t>-</w:t>
            </w:r>
            <w:r w:rsidR="00875C10" w:rsidRPr="00875C10">
              <w:rPr>
                <w:rFonts w:cs="Arial" w:hint="eastAsia"/>
                <w:bCs/>
                <w:color w:val="000000"/>
                <w:w w:val="24"/>
                <w:szCs w:val="20"/>
                <w:shd w:val="solid" w:color="000000" w:fill="000000"/>
                <w:fitText w:val="110" w:id="-894167286"/>
                <w14:textFill>
                  <w14:solidFill>
                    <w14:srgbClr w14:val="000000">
                      <w14:alpha w14:val="100000"/>
                    </w14:srgbClr>
                  </w14:solidFill>
                </w14:textFill>
              </w:rPr>
              <w:t xml:space="preserve">　</w:t>
            </w:r>
            <w:r w:rsidR="00875C10" w:rsidRPr="00875C10">
              <w:rPr>
                <w:rFonts w:cs="Arial"/>
                <w:bCs/>
                <w:color w:val="000000"/>
                <w:w w:val="24"/>
                <w:szCs w:val="20"/>
                <w:shd w:val="solid" w:color="000000" w:fill="000000"/>
                <w:fitText w:val="110" w:id="-894167286"/>
                <w14:textFill>
                  <w14:solidFill>
                    <w14:srgbClr w14:val="000000">
                      <w14:alpha w14:val="100000"/>
                    </w14:srgbClr>
                  </w14:solidFill>
                </w14:textFill>
              </w:rPr>
              <w:t>|</w:t>
            </w:r>
            <w:r w:rsidR="00875C10" w:rsidRPr="00875C10">
              <w:rPr>
                <w:rFonts w:cs="Arial" w:hint="eastAsia"/>
                <w:bCs/>
                <w:color w:val="000000"/>
                <w:spacing w:val="6"/>
                <w:w w:val="24"/>
                <w:szCs w:val="20"/>
                <w:shd w:val="solid" w:color="000000" w:fill="000000"/>
                <w:fitText w:val="110" w:id="-894167286"/>
                <w14:textFill>
                  <w14:solidFill>
                    <w14:srgbClr w14:val="000000">
                      <w14:alpha w14:val="100000"/>
                    </w14:srgbClr>
                  </w14:solidFill>
                </w14:textFill>
              </w:rPr>
              <w:t xml:space="preserve">　</w:t>
            </w:r>
            <w:r w:rsidR="000F505F" w:rsidRPr="004D65BF">
              <w:rPr>
                <w:color w:val="00000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hideMark/>
          </w:tcPr>
          <w:p w14:paraId="4CA998B4" w14:textId="1C3BB259" w:rsidR="0007132E" w:rsidRPr="00C223E9" w:rsidRDefault="0007132E" w:rsidP="00C3117B">
            <w:pPr>
              <w:pStyle w:val="Tabletext"/>
              <w:keepNext/>
              <w:keepLines/>
              <w:jc w:val="center"/>
              <w:rPr>
                <w:szCs w:val="20"/>
              </w:rPr>
            </w:pPr>
            <w:r w:rsidRPr="00C223E9">
              <w:rPr>
                <w:rFonts w:cs="Arial"/>
                <w:bCs/>
                <w:szCs w:val="20"/>
              </w:rPr>
              <w:t>-</w:t>
            </w:r>
            <w:r w:rsidR="00875C10" w:rsidRPr="00875C10">
              <w:rPr>
                <w:rFonts w:cs="Arial" w:hint="eastAsia"/>
                <w:bCs/>
                <w:color w:val="000000"/>
                <w:w w:val="27"/>
                <w:szCs w:val="20"/>
                <w:shd w:val="solid" w:color="000000" w:fill="000000"/>
                <w:fitText w:val="120" w:id="-894167285"/>
                <w14:textFill>
                  <w14:solidFill>
                    <w14:srgbClr w14:val="000000">
                      <w14:alpha w14:val="100000"/>
                    </w14:srgbClr>
                  </w14:solidFill>
                </w14:textFill>
              </w:rPr>
              <w:t xml:space="preserve">　</w:t>
            </w:r>
            <w:r w:rsidR="00875C10" w:rsidRPr="00875C10">
              <w:rPr>
                <w:rFonts w:cs="Arial"/>
                <w:bCs/>
                <w:color w:val="000000"/>
                <w:w w:val="27"/>
                <w:szCs w:val="20"/>
                <w:shd w:val="solid" w:color="000000" w:fill="000000"/>
                <w:fitText w:val="120" w:id="-894167285"/>
                <w14:textFill>
                  <w14:solidFill>
                    <w14:srgbClr w14:val="000000">
                      <w14:alpha w14:val="100000"/>
                    </w14:srgbClr>
                  </w14:solidFill>
                </w14:textFill>
              </w:rPr>
              <w:t>|</w:t>
            </w:r>
            <w:r w:rsidR="00875C10" w:rsidRPr="00875C10">
              <w:rPr>
                <w:rFonts w:cs="Arial" w:hint="eastAsia"/>
                <w:bCs/>
                <w:color w:val="000000"/>
                <w:spacing w:val="2"/>
                <w:w w:val="27"/>
                <w:szCs w:val="20"/>
                <w:shd w:val="solid" w:color="000000" w:fill="000000"/>
                <w:fitText w:val="120" w:id="-894167285"/>
                <w14:textFill>
                  <w14:solidFill>
                    <w14:srgbClr w14:val="000000">
                      <w14:alpha w14:val="100000"/>
                    </w14:srgbClr>
                  </w14:solidFill>
                </w14:textFill>
              </w:rPr>
              <w:t xml:space="preserve">　</w:t>
            </w:r>
            <w:r w:rsidR="000F505F" w:rsidRPr="004D65BF">
              <w:rPr>
                <w:color w:val="000000"/>
                <w:szCs w:val="20"/>
                <w:vertAlign w:val="superscript"/>
              </w:rPr>
              <w:t>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15406D0" w14:textId="57DB7B42" w:rsidR="0007132E" w:rsidRPr="00C223E9" w:rsidRDefault="0007132E" w:rsidP="00C3117B">
            <w:pPr>
              <w:pStyle w:val="Tabletext"/>
              <w:keepNext/>
              <w:keepLines/>
              <w:jc w:val="center"/>
              <w:rPr>
                <w:szCs w:val="20"/>
              </w:rPr>
            </w:pPr>
            <w:r w:rsidRPr="00C223E9">
              <w:rPr>
                <w:rFonts w:cs="Arial"/>
                <w:bCs/>
                <w:szCs w:val="20"/>
              </w:rPr>
              <w:t>-</w:t>
            </w:r>
            <w:r w:rsidR="00875C10" w:rsidRPr="00875C10">
              <w:rPr>
                <w:rFonts w:cs="Arial" w:hint="eastAsia"/>
                <w:bCs/>
                <w:color w:val="000000"/>
                <w:w w:val="24"/>
                <w:szCs w:val="20"/>
                <w:shd w:val="solid" w:color="000000" w:fill="000000"/>
                <w:fitText w:val="110" w:id="-894167284"/>
                <w14:textFill>
                  <w14:solidFill>
                    <w14:srgbClr w14:val="000000">
                      <w14:alpha w14:val="100000"/>
                    </w14:srgbClr>
                  </w14:solidFill>
                </w14:textFill>
              </w:rPr>
              <w:t xml:space="preserve">　</w:t>
            </w:r>
            <w:r w:rsidR="00875C10" w:rsidRPr="00875C10">
              <w:rPr>
                <w:rFonts w:cs="Arial"/>
                <w:bCs/>
                <w:color w:val="000000"/>
                <w:w w:val="24"/>
                <w:szCs w:val="20"/>
                <w:shd w:val="solid" w:color="000000" w:fill="000000"/>
                <w:fitText w:val="110" w:id="-894167284"/>
                <w14:textFill>
                  <w14:solidFill>
                    <w14:srgbClr w14:val="000000">
                      <w14:alpha w14:val="100000"/>
                    </w14:srgbClr>
                  </w14:solidFill>
                </w14:textFill>
              </w:rPr>
              <w:t>|</w:t>
            </w:r>
            <w:r w:rsidR="00875C10" w:rsidRPr="00875C10">
              <w:rPr>
                <w:rFonts w:cs="Arial" w:hint="eastAsia"/>
                <w:bCs/>
                <w:color w:val="000000"/>
                <w:spacing w:val="6"/>
                <w:w w:val="24"/>
                <w:szCs w:val="20"/>
                <w:shd w:val="solid" w:color="000000" w:fill="000000"/>
                <w:fitText w:val="110" w:id="-894167284"/>
                <w14:textFill>
                  <w14:solidFill>
                    <w14:srgbClr w14:val="000000">
                      <w14:alpha w14:val="100000"/>
                    </w14:srgbClr>
                  </w14:solidFill>
                </w14:textFill>
              </w:rPr>
              <w:t xml:space="preserve">　</w:t>
            </w:r>
            <w:r w:rsidR="000F505F" w:rsidRPr="004D65BF">
              <w:rPr>
                <w:color w:val="000000"/>
                <w:szCs w:val="20"/>
                <w:vertAlign w:val="superscript"/>
              </w:rPr>
              <w:t>1</w:t>
            </w:r>
          </w:p>
        </w:tc>
        <w:tc>
          <w:tcPr>
            <w:tcW w:w="1034" w:type="dxa"/>
            <w:tcBorders>
              <w:top w:val="single" w:sz="4" w:space="0" w:color="auto"/>
              <w:left w:val="single" w:sz="4" w:space="0" w:color="auto"/>
              <w:bottom w:val="single" w:sz="4" w:space="0" w:color="auto"/>
              <w:right w:val="single" w:sz="4" w:space="0" w:color="auto"/>
            </w:tcBorders>
            <w:vAlign w:val="center"/>
            <w:hideMark/>
          </w:tcPr>
          <w:p w14:paraId="2F960FBD" w14:textId="06BC2E7B" w:rsidR="0007132E" w:rsidRPr="00C223E9" w:rsidRDefault="0007132E" w:rsidP="00C3117B">
            <w:pPr>
              <w:pStyle w:val="Tabletext"/>
              <w:keepNext/>
              <w:keepLines/>
              <w:jc w:val="center"/>
              <w:rPr>
                <w:szCs w:val="20"/>
              </w:rPr>
            </w:pPr>
            <w:r w:rsidRPr="00C223E9">
              <w:rPr>
                <w:rFonts w:cs="Arial"/>
                <w:bCs/>
                <w:szCs w:val="20"/>
              </w:rPr>
              <w:t>-</w:t>
            </w:r>
            <w:r w:rsidR="00875C10" w:rsidRPr="00875C10">
              <w:rPr>
                <w:rFonts w:cs="Arial" w:hint="eastAsia"/>
                <w:bCs/>
                <w:color w:val="000000"/>
                <w:w w:val="27"/>
                <w:szCs w:val="20"/>
                <w:shd w:val="solid" w:color="000000" w:fill="000000"/>
                <w:fitText w:val="120" w:id="-894167283"/>
                <w14:textFill>
                  <w14:solidFill>
                    <w14:srgbClr w14:val="000000">
                      <w14:alpha w14:val="100000"/>
                    </w14:srgbClr>
                  </w14:solidFill>
                </w14:textFill>
              </w:rPr>
              <w:t xml:space="preserve">　</w:t>
            </w:r>
            <w:r w:rsidR="00875C10" w:rsidRPr="00875C10">
              <w:rPr>
                <w:rFonts w:cs="Arial"/>
                <w:bCs/>
                <w:color w:val="000000"/>
                <w:w w:val="27"/>
                <w:szCs w:val="20"/>
                <w:shd w:val="solid" w:color="000000" w:fill="000000"/>
                <w:fitText w:val="120" w:id="-894167283"/>
                <w14:textFill>
                  <w14:solidFill>
                    <w14:srgbClr w14:val="000000">
                      <w14:alpha w14:val="100000"/>
                    </w14:srgbClr>
                  </w14:solidFill>
                </w14:textFill>
              </w:rPr>
              <w:t>|</w:t>
            </w:r>
            <w:r w:rsidR="00875C10" w:rsidRPr="00875C10">
              <w:rPr>
                <w:rFonts w:cs="Arial" w:hint="eastAsia"/>
                <w:bCs/>
                <w:color w:val="000000"/>
                <w:spacing w:val="2"/>
                <w:w w:val="27"/>
                <w:szCs w:val="20"/>
                <w:shd w:val="solid" w:color="000000" w:fill="000000"/>
                <w:fitText w:val="120" w:id="-894167283"/>
                <w14:textFill>
                  <w14:solidFill>
                    <w14:srgbClr w14:val="000000">
                      <w14:alpha w14:val="100000"/>
                    </w14:srgbClr>
                  </w14:solidFill>
                </w14:textFill>
              </w:rPr>
              <w:t xml:space="preserve">　</w:t>
            </w:r>
            <w:r w:rsidR="000F505F" w:rsidRPr="004D65BF">
              <w:rPr>
                <w:color w:val="000000"/>
                <w:szCs w:val="20"/>
                <w:vertAlign w:val="superscript"/>
              </w:rPr>
              <w:t>1</w:t>
            </w:r>
          </w:p>
        </w:tc>
      </w:tr>
      <w:tr w:rsidR="0007132E" w:rsidRPr="00C61670" w14:paraId="2C449419" w14:textId="77777777" w:rsidTr="00305EAF">
        <w:tc>
          <w:tcPr>
            <w:tcW w:w="9017" w:type="dxa"/>
            <w:gridSpan w:val="7"/>
            <w:tcBorders>
              <w:top w:val="single" w:sz="4" w:space="0" w:color="auto"/>
              <w:left w:val="single" w:sz="4" w:space="0" w:color="auto"/>
              <w:bottom w:val="single" w:sz="4" w:space="0" w:color="auto"/>
              <w:right w:val="single" w:sz="4" w:space="0" w:color="auto"/>
            </w:tcBorders>
            <w:hideMark/>
          </w:tcPr>
          <w:p w14:paraId="68A20FC9" w14:textId="77777777" w:rsidR="0007132E" w:rsidRPr="00C61670" w:rsidRDefault="0007132E" w:rsidP="00C3117B">
            <w:pPr>
              <w:pStyle w:val="Tabletext"/>
              <w:keepNext/>
              <w:keepLines/>
              <w:rPr>
                <w:szCs w:val="20"/>
              </w:rPr>
            </w:pPr>
            <w:r w:rsidRPr="00C61670">
              <w:rPr>
                <w:szCs w:val="20"/>
              </w:rPr>
              <w:t>PBS cost of nusinersen (pub)</w:t>
            </w:r>
          </w:p>
        </w:tc>
      </w:tr>
      <w:tr w:rsidR="0007132E" w:rsidRPr="00C61670" w14:paraId="3E6E4338" w14:textId="77777777" w:rsidTr="00305EAF">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24325" w14:textId="77777777" w:rsidR="0007132E" w:rsidRPr="00C61670" w:rsidRDefault="0007132E" w:rsidP="00C3117B">
            <w:pPr>
              <w:pStyle w:val="Tabletext"/>
              <w:keepNext/>
              <w:keepLines/>
              <w:rPr>
                <w:szCs w:val="20"/>
              </w:rPr>
            </w:pPr>
            <w:r w:rsidRPr="00C61670">
              <w:rPr>
                <w:szCs w:val="20"/>
              </w:rPr>
              <w:t>PBS drug cost for nusinersen (pub)</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206C7E5" w14:textId="788C9FD6"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2"/>
                <w14:textFill>
                  <w14:solidFill>
                    <w14:srgbClr w14:val="000000">
                      <w14:alpha w14:val="100000"/>
                    </w14:srgbClr>
                  </w14:solidFill>
                </w14:textFill>
              </w:rPr>
              <w:t xml:space="preserve">　</w:t>
            </w:r>
            <w:r w:rsidRPr="00875C10">
              <w:rPr>
                <w:color w:val="000000"/>
                <w:w w:val="20"/>
                <w:shd w:val="solid" w:color="000000" w:fill="000000"/>
                <w:fitText w:val="90" w:id="-894167282"/>
                <w14:textFill>
                  <w14:solidFill>
                    <w14:srgbClr w14:val="000000">
                      <w14:alpha w14:val="100000"/>
                    </w14:srgbClr>
                  </w14:solidFill>
                </w14:textFill>
              </w:rPr>
              <w:t>|</w:t>
            </w:r>
            <w:r w:rsidRPr="00875C10">
              <w:rPr>
                <w:rFonts w:hint="eastAsia"/>
                <w:color w:val="000000"/>
                <w:spacing w:val="3"/>
                <w:w w:val="20"/>
                <w:shd w:val="solid" w:color="000000" w:fill="000000"/>
                <w:fitText w:val="90" w:id="-894167282"/>
                <w14:textFill>
                  <w14:solidFill>
                    <w14:srgbClr w14:val="000000">
                      <w14:alpha w14:val="100000"/>
                    </w14:srgbClr>
                  </w14:solidFill>
                </w14:textFill>
              </w:rPr>
              <w:t xml:space="preserve">　</w:t>
            </w:r>
            <w:r w:rsidR="004920AF"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92F73C8" w14:textId="2F446D00"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1"/>
                <w14:textFill>
                  <w14:solidFill>
                    <w14:srgbClr w14:val="000000">
                      <w14:alpha w14:val="100000"/>
                    </w14:srgbClr>
                  </w14:solidFill>
                </w14:textFill>
              </w:rPr>
              <w:t xml:space="preserve">　</w:t>
            </w:r>
            <w:r w:rsidRPr="00875C10">
              <w:rPr>
                <w:color w:val="000000"/>
                <w:w w:val="20"/>
                <w:shd w:val="solid" w:color="000000" w:fill="000000"/>
                <w:fitText w:val="90" w:id="-894167281"/>
                <w14:textFill>
                  <w14:solidFill>
                    <w14:srgbClr w14:val="000000">
                      <w14:alpha w14:val="100000"/>
                    </w14:srgbClr>
                  </w14:solidFill>
                </w14:textFill>
              </w:rPr>
              <w:t>|</w:t>
            </w:r>
            <w:r w:rsidRPr="00875C10">
              <w:rPr>
                <w:rFonts w:hint="eastAsia"/>
                <w:color w:val="000000"/>
                <w:spacing w:val="3"/>
                <w:w w:val="20"/>
                <w:shd w:val="solid" w:color="000000" w:fill="000000"/>
                <w:fitText w:val="90" w:id="-894167281"/>
                <w14:textFill>
                  <w14:solidFill>
                    <w14:srgbClr w14:val="000000">
                      <w14:alpha w14:val="100000"/>
                    </w14:srgbClr>
                  </w14:solidFill>
                </w14:textFill>
              </w:rPr>
              <w:t xml:space="preserve">　</w:t>
            </w:r>
            <w:r w:rsidR="004920AF"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C79A675" w14:textId="5925D2EC"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0"/>
                <w14:textFill>
                  <w14:solidFill>
                    <w14:srgbClr w14:val="000000">
                      <w14:alpha w14:val="100000"/>
                    </w14:srgbClr>
                  </w14:solidFill>
                </w14:textFill>
              </w:rPr>
              <w:t xml:space="preserve">　</w:t>
            </w:r>
            <w:r w:rsidRPr="00875C10">
              <w:rPr>
                <w:color w:val="000000"/>
                <w:w w:val="20"/>
                <w:shd w:val="solid" w:color="000000" w:fill="000000"/>
                <w:fitText w:val="90" w:id="-894167280"/>
                <w14:textFill>
                  <w14:solidFill>
                    <w14:srgbClr w14:val="000000">
                      <w14:alpha w14:val="100000"/>
                    </w14:srgbClr>
                  </w14:solidFill>
                </w14:textFill>
              </w:rPr>
              <w:t>|</w:t>
            </w:r>
            <w:r w:rsidRPr="00875C10">
              <w:rPr>
                <w:rFonts w:hint="eastAsia"/>
                <w:color w:val="000000"/>
                <w:spacing w:val="3"/>
                <w:w w:val="20"/>
                <w:shd w:val="solid" w:color="000000" w:fill="000000"/>
                <w:fitText w:val="90" w:id="-894167280"/>
                <w14:textFill>
                  <w14:solidFill>
                    <w14:srgbClr w14:val="000000">
                      <w14:alpha w14:val="100000"/>
                    </w14:srgbClr>
                  </w14:solidFill>
                </w14:textFill>
              </w:rPr>
              <w:t xml:space="preserve">　</w:t>
            </w:r>
            <w:r w:rsidR="004920AF"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1F3B870" w14:textId="34F7C7C8"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6"/>
                <w14:textFill>
                  <w14:solidFill>
                    <w14:srgbClr w14:val="000000">
                      <w14:alpha w14:val="100000"/>
                    </w14:srgbClr>
                  </w14:solidFill>
                </w14:textFill>
              </w:rPr>
              <w:t xml:space="preserve">　</w:t>
            </w:r>
            <w:r w:rsidRPr="00875C10">
              <w:rPr>
                <w:color w:val="000000"/>
                <w:w w:val="20"/>
                <w:shd w:val="solid" w:color="000000" w:fill="000000"/>
                <w:fitText w:val="90" w:id="-894167296"/>
                <w14:textFill>
                  <w14:solidFill>
                    <w14:srgbClr w14:val="000000">
                      <w14:alpha w14:val="100000"/>
                    </w14:srgbClr>
                  </w14:solidFill>
                </w14:textFill>
              </w:rPr>
              <w:t>|</w:t>
            </w:r>
            <w:r w:rsidRPr="00875C10">
              <w:rPr>
                <w:rFonts w:hint="eastAsia"/>
                <w:color w:val="000000"/>
                <w:spacing w:val="3"/>
                <w:w w:val="20"/>
                <w:shd w:val="solid" w:color="000000" w:fill="000000"/>
                <w:fitText w:val="90" w:id="-894167296"/>
                <w14:textFill>
                  <w14:solidFill>
                    <w14:srgbClr w14:val="000000">
                      <w14:alpha w14:val="100000"/>
                    </w14:srgbClr>
                  </w14:solidFill>
                </w14:textFill>
              </w:rPr>
              <w:t xml:space="preserve">　</w:t>
            </w:r>
            <w:r w:rsidR="004920AF"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1DF763AD" w14:textId="20126B0E"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5"/>
                <w14:textFill>
                  <w14:solidFill>
                    <w14:srgbClr w14:val="000000">
                      <w14:alpha w14:val="100000"/>
                    </w14:srgbClr>
                  </w14:solidFill>
                </w14:textFill>
              </w:rPr>
              <w:t xml:space="preserve">　</w:t>
            </w:r>
            <w:r w:rsidRPr="00875C10">
              <w:rPr>
                <w:color w:val="000000"/>
                <w:w w:val="20"/>
                <w:shd w:val="solid" w:color="000000" w:fill="000000"/>
                <w:fitText w:val="90" w:id="-894167295"/>
                <w14:textFill>
                  <w14:solidFill>
                    <w14:srgbClr w14:val="000000">
                      <w14:alpha w14:val="100000"/>
                    </w14:srgbClr>
                  </w14:solidFill>
                </w14:textFill>
              </w:rPr>
              <w:t>|</w:t>
            </w:r>
            <w:r w:rsidRPr="00875C10">
              <w:rPr>
                <w:rFonts w:hint="eastAsia"/>
                <w:color w:val="000000"/>
                <w:spacing w:val="3"/>
                <w:w w:val="20"/>
                <w:shd w:val="solid" w:color="000000" w:fill="000000"/>
                <w:fitText w:val="90" w:id="-894167295"/>
                <w14:textFill>
                  <w14:solidFill>
                    <w14:srgbClr w14:val="000000">
                      <w14:alpha w14:val="100000"/>
                    </w14:srgbClr>
                  </w14:solidFill>
                </w14:textFill>
              </w:rPr>
              <w:t xml:space="preserve">　</w:t>
            </w:r>
            <w:r w:rsidR="004920AF"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6B7A629" w14:textId="03931B4F"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4"/>
                <w14:textFill>
                  <w14:solidFill>
                    <w14:srgbClr w14:val="000000">
                      <w14:alpha w14:val="100000"/>
                    </w14:srgbClr>
                  </w14:solidFill>
                </w14:textFill>
              </w:rPr>
              <w:t xml:space="preserve">　</w:t>
            </w:r>
            <w:r w:rsidRPr="00875C10">
              <w:rPr>
                <w:color w:val="000000"/>
                <w:w w:val="20"/>
                <w:shd w:val="solid" w:color="000000" w:fill="000000"/>
                <w:fitText w:val="90" w:id="-894167294"/>
                <w14:textFill>
                  <w14:solidFill>
                    <w14:srgbClr w14:val="000000">
                      <w14:alpha w14:val="100000"/>
                    </w14:srgbClr>
                  </w14:solidFill>
                </w14:textFill>
              </w:rPr>
              <w:t>|</w:t>
            </w:r>
            <w:r w:rsidRPr="00875C10">
              <w:rPr>
                <w:rFonts w:hint="eastAsia"/>
                <w:color w:val="000000"/>
                <w:spacing w:val="3"/>
                <w:w w:val="20"/>
                <w:shd w:val="solid" w:color="000000" w:fill="000000"/>
                <w:fitText w:val="90" w:id="-894167294"/>
                <w14:textFill>
                  <w14:solidFill>
                    <w14:srgbClr w14:val="000000">
                      <w14:alpha w14:val="100000"/>
                    </w14:srgbClr>
                  </w14:solidFill>
                </w14:textFill>
              </w:rPr>
              <w:t xml:space="preserve">　</w:t>
            </w:r>
            <w:r w:rsidR="004920AF" w:rsidRPr="00EF733D">
              <w:rPr>
                <w:szCs w:val="20"/>
                <w:vertAlign w:val="superscript"/>
              </w:rPr>
              <w:t>3</w:t>
            </w:r>
          </w:p>
        </w:tc>
      </w:tr>
      <w:tr w:rsidR="0007132E" w:rsidRPr="00C61670" w14:paraId="0ED2F269" w14:textId="77777777" w:rsidTr="00305EAF">
        <w:tc>
          <w:tcPr>
            <w:tcW w:w="2816" w:type="dxa"/>
            <w:tcBorders>
              <w:top w:val="single" w:sz="4" w:space="0" w:color="auto"/>
              <w:left w:val="single" w:sz="4" w:space="0" w:color="auto"/>
              <w:bottom w:val="single" w:sz="4" w:space="0" w:color="auto"/>
              <w:right w:val="single" w:sz="4" w:space="0" w:color="auto"/>
            </w:tcBorders>
            <w:shd w:val="clear" w:color="auto" w:fill="auto"/>
            <w:vAlign w:val="center"/>
          </w:tcPr>
          <w:p w14:paraId="27158A65" w14:textId="77777777" w:rsidR="0007132E" w:rsidRPr="00C61670" w:rsidRDefault="0007132E" w:rsidP="00C3117B">
            <w:pPr>
              <w:pStyle w:val="Tabletext"/>
              <w:keepNext/>
              <w:keepLines/>
              <w:rPr>
                <w:szCs w:val="20"/>
              </w:rPr>
            </w:pPr>
            <w:r w:rsidRPr="00C61670">
              <w:rPr>
                <w:szCs w:val="20"/>
              </w:rPr>
              <w:t xml:space="preserve">PBS patient co-payment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006B1060" w14:textId="28EB2B05"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3"/>
                <w14:textFill>
                  <w14:solidFill>
                    <w14:srgbClr w14:val="000000">
                      <w14:alpha w14:val="100000"/>
                    </w14:srgbClr>
                  </w14:solidFill>
                </w14:textFill>
              </w:rPr>
              <w:t xml:space="preserve">　</w:t>
            </w:r>
            <w:r w:rsidRPr="00875C10">
              <w:rPr>
                <w:color w:val="000000"/>
                <w:w w:val="20"/>
                <w:shd w:val="solid" w:color="000000" w:fill="000000"/>
                <w:fitText w:val="90" w:id="-894167293"/>
                <w14:textFill>
                  <w14:solidFill>
                    <w14:srgbClr w14:val="000000">
                      <w14:alpha w14:val="100000"/>
                    </w14:srgbClr>
                  </w14:solidFill>
                </w14:textFill>
              </w:rPr>
              <w:t>|</w:t>
            </w:r>
            <w:r w:rsidRPr="00875C10">
              <w:rPr>
                <w:rFonts w:hint="eastAsia"/>
                <w:color w:val="000000"/>
                <w:spacing w:val="3"/>
                <w:w w:val="20"/>
                <w:shd w:val="solid" w:color="000000" w:fill="000000"/>
                <w:fitText w:val="90" w:id="-894167293"/>
                <w14:textFill>
                  <w14:solidFill>
                    <w14:srgbClr w14:val="000000">
                      <w14:alpha w14:val="100000"/>
                    </w14:srgbClr>
                  </w14:solidFill>
                </w14:textFill>
              </w:rPr>
              <w:t xml:space="preserve">　</w:t>
            </w:r>
            <w:r w:rsidR="00AA4000" w:rsidRPr="00976652">
              <w:rPr>
                <w:color w:val="000000"/>
                <w:szCs w:val="20"/>
                <w:vertAlign w:val="superscript"/>
              </w:rPr>
              <w:t>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65FD186" w14:textId="5BC866BE"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2"/>
                <w14:textFill>
                  <w14:solidFill>
                    <w14:srgbClr w14:val="000000">
                      <w14:alpha w14:val="100000"/>
                    </w14:srgbClr>
                  </w14:solidFill>
                </w14:textFill>
              </w:rPr>
              <w:t xml:space="preserve">　</w:t>
            </w:r>
            <w:r w:rsidRPr="00875C10">
              <w:rPr>
                <w:color w:val="000000"/>
                <w:w w:val="20"/>
                <w:shd w:val="solid" w:color="000000" w:fill="000000"/>
                <w:fitText w:val="90" w:id="-894167292"/>
                <w14:textFill>
                  <w14:solidFill>
                    <w14:srgbClr w14:val="000000">
                      <w14:alpha w14:val="100000"/>
                    </w14:srgbClr>
                  </w14:solidFill>
                </w14:textFill>
              </w:rPr>
              <w:t>|</w:t>
            </w:r>
            <w:r w:rsidRPr="00875C10">
              <w:rPr>
                <w:rFonts w:hint="eastAsia"/>
                <w:color w:val="000000"/>
                <w:spacing w:val="3"/>
                <w:w w:val="20"/>
                <w:shd w:val="solid" w:color="000000" w:fill="000000"/>
                <w:fitText w:val="90" w:id="-894167292"/>
                <w14:textFill>
                  <w14:solidFill>
                    <w14:srgbClr w14:val="000000">
                      <w14:alpha w14:val="100000"/>
                    </w14:srgbClr>
                  </w14:solidFill>
                </w14:textFill>
              </w:rPr>
              <w:t xml:space="preserve">　</w:t>
            </w:r>
            <w:r w:rsidR="00AA4000" w:rsidRPr="00976652">
              <w:rPr>
                <w:color w:val="000000"/>
                <w:szCs w:val="20"/>
                <w:vertAlign w:val="superscript"/>
              </w:rPr>
              <w:t>2</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44F5C052" w14:textId="2320A9ED"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1"/>
                <w14:textFill>
                  <w14:solidFill>
                    <w14:srgbClr w14:val="000000">
                      <w14:alpha w14:val="100000"/>
                    </w14:srgbClr>
                  </w14:solidFill>
                </w14:textFill>
              </w:rPr>
              <w:t xml:space="preserve">　</w:t>
            </w:r>
            <w:r w:rsidRPr="00875C10">
              <w:rPr>
                <w:color w:val="000000"/>
                <w:w w:val="20"/>
                <w:shd w:val="solid" w:color="000000" w:fill="000000"/>
                <w:fitText w:val="90" w:id="-894167291"/>
                <w14:textFill>
                  <w14:solidFill>
                    <w14:srgbClr w14:val="000000">
                      <w14:alpha w14:val="100000"/>
                    </w14:srgbClr>
                  </w14:solidFill>
                </w14:textFill>
              </w:rPr>
              <w:t>|</w:t>
            </w:r>
            <w:r w:rsidRPr="00875C10">
              <w:rPr>
                <w:rFonts w:hint="eastAsia"/>
                <w:color w:val="000000"/>
                <w:spacing w:val="3"/>
                <w:w w:val="20"/>
                <w:shd w:val="solid" w:color="000000" w:fill="000000"/>
                <w:fitText w:val="90" w:id="-894167291"/>
                <w14:textFill>
                  <w14:solidFill>
                    <w14:srgbClr w14:val="000000">
                      <w14:alpha w14:val="100000"/>
                    </w14:srgbClr>
                  </w14:solidFill>
                </w14:textFill>
              </w:rPr>
              <w:t xml:space="preserve">　</w:t>
            </w:r>
            <w:r w:rsidR="00AA4000" w:rsidRPr="00976652">
              <w:rPr>
                <w:color w:val="000000"/>
                <w:szCs w:val="20"/>
                <w:vertAlign w:val="superscript"/>
              </w:rPr>
              <w:t>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2DFE970" w14:textId="4E446EC4"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0"/>
                <w14:textFill>
                  <w14:solidFill>
                    <w14:srgbClr w14:val="000000">
                      <w14:alpha w14:val="100000"/>
                    </w14:srgbClr>
                  </w14:solidFill>
                </w14:textFill>
              </w:rPr>
              <w:t xml:space="preserve">　</w:t>
            </w:r>
            <w:r w:rsidRPr="00875C10">
              <w:rPr>
                <w:color w:val="000000"/>
                <w:w w:val="20"/>
                <w:shd w:val="solid" w:color="000000" w:fill="000000"/>
                <w:fitText w:val="90" w:id="-894167290"/>
                <w14:textFill>
                  <w14:solidFill>
                    <w14:srgbClr w14:val="000000">
                      <w14:alpha w14:val="100000"/>
                    </w14:srgbClr>
                  </w14:solidFill>
                </w14:textFill>
              </w:rPr>
              <w:t>|</w:t>
            </w:r>
            <w:r w:rsidRPr="00875C10">
              <w:rPr>
                <w:rFonts w:hint="eastAsia"/>
                <w:color w:val="000000"/>
                <w:spacing w:val="3"/>
                <w:w w:val="20"/>
                <w:shd w:val="solid" w:color="000000" w:fill="000000"/>
                <w:fitText w:val="90" w:id="-894167290"/>
                <w14:textFill>
                  <w14:solidFill>
                    <w14:srgbClr w14:val="000000">
                      <w14:alpha w14:val="100000"/>
                    </w14:srgbClr>
                  </w14:solidFill>
                </w14:textFill>
              </w:rPr>
              <w:t xml:space="preserve">　</w:t>
            </w:r>
            <w:r w:rsidR="00AA4000" w:rsidRPr="00976652">
              <w:rPr>
                <w:color w:val="000000"/>
                <w:szCs w:val="20"/>
                <w:vertAlign w:val="superscript"/>
              </w:rPr>
              <w:t>2</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030B2F2E" w14:textId="5D20D29D"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9"/>
                <w14:textFill>
                  <w14:solidFill>
                    <w14:srgbClr w14:val="000000">
                      <w14:alpha w14:val="100000"/>
                    </w14:srgbClr>
                  </w14:solidFill>
                </w14:textFill>
              </w:rPr>
              <w:t xml:space="preserve">　</w:t>
            </w:r>
            <w:r w:rsidRPr="00875C10">
              <w:rPr>
                <w:color w:val="000000"/>
                <w:w w:val="20"/>
                <w:shd w:val="solid" w:color="000000" w:fill="000000"/>
                <w:fitText w:val="90" w:id="-894167289"/>
                <w14:textFill>
                  <w14:solidFill>
                    <w14:srgbClr w14:val="000000">
                      <w14:alpha w14:val="100000"/>
                    </w14:srgbClr>
                  </w14:solidFill>
                </w14:textFill>
              </w:rPr>
              <w:t>|</w:t>
            </w:r>
            <w:r w:rsidRPr="00875C10">
              <w:rPr>
                <w:rFonts w:hint="eastAsia"/>
                <w:color w:val="000000"/>
                <w:spacing w:val="3"/>
                <w:w w:val="20"/>
                <w:shd w:val="solid" w:color="000000" w:fill="000000"/>
                <w:fitText w:val="90" w:id="-894167289"/>
                <w14:textFill>
                  <w14:solidFill>
                    <w14:srgbClr w14:val="000000">
                      <w14:alpha w14:val="100000"/>
                    </w14:srgbClr>
                  </w14:solidFill>
                </w14:textFill>
              </w:rPr>
              <w:t xml:space="preserve">　</w:t>
            </w:r>
            <w:r w:rsidR="00AA4000" w:rsidRPr="00976652">
              <w:rPr>
                <w:color w:val="000000"/>
                <w:szCs w:val="20"/>
                <w:vertAlign w:val="superscript"/>
              </w:rPr>
              <w:t>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F1DA1BF" w14:textId="69B5312A"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8"/>
                <w14:textFill>
                  <w14:solidFill>
                    <w14:srgbClr w14:val="000000">
                      <w14:alpha w14:val="100000"/>
                    </w14:srgbClr>
                  </w14:solidFill>
                </w14:textFill>
              </w:rPr>
              <w:t xml:space="preserve">　</w:t>
            </w:r>
            <w:r w:rsidRPr="00875C10">
              <w:rPr>
                <w:color w:val="000000"/>
                <w:w w:val="20"/>
                <w:shd w:val="solid" w:color="000000" w:fill="000000"/>
                <w:fitText w:val="90" w:id="-894167288"/>
                <w14:textFill>
                  <w14:solidFill>
                    <w14:srgbClr w14:val="000000">
                      <w14:alpha w14:val="100000"/>
                    </w14:srgbClr>
                  </w14:solidFill>
                </w14:textFill>
              </w:rPr>
              <w:t>|</w:t>
            </w:r>
            <w:r w:rsidRPr="00875C10">
              <w:rPr>
                <w:rFonts w:hint="eastAsia"/>
                <w:color w:val="000000"/>
                <w:spacing w:val="3"/>
                <w:w w:val="20"/>
                <w:shd w:val="solid" w:color="000000" w:fill="000000"/>
                <w:fitText w:val="90" w:id="-894167288"/>
                <w14:textFill>
                  <w14:solidFill>
                    <w14:srgbClr w14:val="000000">
                      <w14:alpha w14:val="100000"/>
                    </w14:srgbClr>
                  </w14:solidFill>
                </w14:textFill>
              </w:rPr>
              <w:t xml:space="preserve">　</w:t>
            </w:r>
            <w:r w:rsidR="00AA4000" w:rsidRPr="00976652">
              <w:rPr>
                <w:color w:val="000000"/>
                <w:szCs w:val="20"/>
                <w:vertAlign w:val="superscript"/>
              </w:rPr>
              <w:t>2</w:t>
            </w:r>
          </w:p>
        </w:tc>
      </w:tr>
      <w:tr w:rsidR="0007132E" w:rsidRPr="00C61670" w14:paraId="09ED269C" w14:textId="77777777" w:rsidTr="00305EAF">
        <w:tc>
          <w:tcPr>
            <w:tcW w:w="2816" w:type="dxa"/>
            <w:tcBorders>
              <w:top w:val="single" w:sz="4" w:space="0" w:color="auto"/>
              <w:left w:val="single" w:sz="4" w:space="0" w:color="auto"/>
              <w:bottom w:val="single" w:sz="4" w:space="0" w:color="auto"/>
              <w:right w:val="single" w:sz="4" w:space="0" w:color="auto"/>
            </w:tcBorders>
            <w:shd w:val="clear" w:color="auto" w:fill="auto"/>
            <w:vAlign w:val="center"/>
          </w:tcPr>
          <w:p w14:paraId="4DAA5E57" w14:textId="77777777" w:rsidR="0007132E" w:rsidRPr="00C61670" w:rsidRDefault="0007132E" w:rsidP="00C3117B">
            <w:pPr>
              <w:pStyle w:val="Tabletext"/>
              <w:keepNext/>
              <w:keepLines/>
              <w:rPr>
                <w:szCs w:val="20"/>
              </w:rPr>
            </w:pPr>
            <w:r w:rsidRPr="00C61670">
              <w:rPr>
                <w:szCs w:val="20"/>
              </w:rPr>
              <w:t>Total (pub)</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BF2124A" w14:textId="46C7073D"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7"/>
                <w14:textFill>
                  <w14:solidFill>
                    <w14:srgbClr w14:val="000000">
                      <w14:alpha w14:val="100000"/>
                    </w14:srgbClr>
                  </w14:solidFill>
                </w14:textFill>
              </w:rPr>
              <w:t xml:space="preserve">　</w:t>
            </w:r>
            <w:r w:rsidRPr="00875C10">
              <w:rPr>
                <w:color w:val="000000"/>
                <w:w w:val="20"/>
                <w:shd w:val="solid" w:color="000000" w:fill="000000"/>
                <w:fitText w:val="90" w:id="-894167287"/>
                <w14:textFill>
                  <w14:solidFill>
                    <w14:srgbClr w14:val="000000">
                      <w14:alpha w14:val="100000"/>
                    </w14:srgbClr>
                  </w14:solidFill>
                </w14:textFill>
              </w:rPr>
              <w:t>|</w:t>
            </w:r>
            <w:r w:rsidRPr="00875C10">
              <w:rPr>
                <w:rFonts w:hint="eastAsia"/>
                <w:color w:val="000000"/>
                <w:spacing w:val="3"/>
                <w:w w:val="20"/>
                <w:shd w:val="solid" w:color="000000" w:fill="000000"/>
                <w:fitText w:val="90" w:id="-894167287"/>
                <w14:textFill>
                  <w14:solidFill>
                    <w14:srgbClr w14:val="000000">
                      <w14:alpha w14:val="100000"/>
                    </w14:srgbClr>
                  </w14:solidFill>
                </w14:textFill>
              </w:rPr>
              <w:t xml:space="preserve">　</w:t>
            </w:r>
            <w:r w:rsidR="004920AF"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30B45CD4" w14:textId="14B6276D"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6"/>
                <w14:textFill>
                  <w14:solidFill>
                    <w14:srgbClr w14:val="000000">
                      <w14:alpha w14:val="100000"/>
                    </w14:srgbClr>
                  </w14:solidFill>
                </w14:textFill>
              </w:rPr>
              <w:t xml:space="preserve">　</w:t>
            </w:r>
            <w:r w:rsidRPr="00875C10">
              <w:rPr>
                <w:color w:val="000000"/>
                <w:w w:val="20"/>
                <w:shd w:val="solid" w:color="000000" w:fill="000000"/>
                <w:fitText w:val="90" w:id="-894167286"/>
                <w14:textFill>
                  <w14:solidFill>
                    <w14:srgbClr w14:val="000000">
                      <w14:alpha w14:val="100000"/>
                    </w14:srgbClr>
                  </w14:solidFill>
                </w14:textFill>
              </w:rPr>
              <w:t>|</w:t>
            </w:r>
            <w:r w:rsidRPr="00875C10">
              <w:rPr>
                <w:rFonts w:hint="eastAsia"/>
                <w:color w:val="000000"/>
                <w:spacing w:val="3"/>
                <w:w w:val="20"/>
                <w:shd w:val="solid" w:color="000000" w:fill="000000"/>
                <w:fitText w:val="90" w:id="-894167286"/>
                <w14:textFill>
                  <w14:solidFill>
                    <w14:srgbClr w14:val="000000">
                      <w14:alpha w14:val="100000"/>
                    </w14:srgbClr>
                  </w14:solidFill>
                </w14:textFill>
              </w:rPr>
              <w:t xml:space="preserve">　</w:t>
            </w:r>
            <w:r w:rsidR="004920AF"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259F07C" w14:textId="52F29644"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5"/>
                <w14:textFill>
                  <w14:solidFill>
                    <w14:srgbClr w14:val="000000">
                      <w14:alpha w14:val="100000"/>
                    </w14:srgbClr>
                  </w14:solidFill>
                </w14:textFill>
              </w:rPr>
              <w:t xml:space="preserve">　</w:t>
            </w:r>
            <w:r w:rsidRPr="00875C10">
              <w:rPr>
                <w:color w:val="000000"/>
                <w:w w:val="20"/>
                <w:shd w:val="solid" w:color="000000" w:fill="000000"/>
                <w:fitText w:val="90" w:id="-894167285"/>
                <w14:textFill>
                  <w14:solidFill>
                    <w14:srgbClr w14:val="000000">
                      <w14:alpha w14:val="100000"/>
                    </w14:srgbClr>
                  </w14:solidFill>
                </w14:textFill>
              </w:rPr>
              <w:t>|</w:t>
            </w:r>
            <w:r w:rsidRPr="00875C10">
              <w:rPr>
                <w:rFonts w:hint="eastAsia"/>
                <w:color w:val="000000"/>
                <w:spacing w:val="3"/>
                <w:w w:val="20"/>
                <w:shd w:val="solid" w:color="000000" w:fill="000000"/>
                <w:fitText w:val="90" w:id="-894167285"/>
                <w14:textFill>
                  <w14:solidFill>
                    <w14:srgbClr w14:val="000000">
                      <w14:alpha w14:val="100000"/>
                    </w14:srgbClr>
                  </w14:solidFill>
                </w14:textFill>
              </w:rPr>
              <w:t xml:space="preserve">　</w:t>
            </w:r>
            <w:r w:rsidR="004920AF"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1F6B72C1" w14:textId="3E772995"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4"/>
                <w14:textFill>
                  <w14:solidFill>
                    <w14:srgbClr w14:val="000000">
                      <w14:alpha w14:val="100000"/>
                    </w14:srgbClr>
                  </w14:solidFill>
                </w14:textFill>
              </w:rPr>
              <w:t xml:space="preserve">　</w:t>
            </w:r>
            <w:r w:rsidRPr="00875C10">
              <w:rPr>
                <w:color w:val="000000"/>
                <w:w w:val="20"/>
                <w:shd w:val="solid" w:color="000000" w:fill="000000"/>
                <w:fitText w:val="90" w:id="-894167284"/>
                <w14:textFill>
                  <w14:solidFill>
                    <w14:srgbClr w14:val="000000">
                      <w14:alpha w14:val="100000"/>
                    </w14:srgbClr>
                  </w14:solidFill>
                </w14:textFill>
              </w:rPr>
              <w:t>|</w:t>
            </w:r>
            <w:r w:rsidRPr="00875C10">
              <w:rPr>
                <w:rFonts w:hint="eastAsia"/>
                <w:color w:val="000000"/>
                <w:spacing w:val="3"/>
                <w:w w:val="20"/>
                <w:shd w:val="solid" w:color="000000" w:fill="000000"/>
                <w:fitText w:val="90" w:id="-894167284"/>
                <w14:textFill>
                  <w14:solidFill>
                    <w14:srgbClr w14:val="000000">
                      <w14:alpha w14:val="100000"/>
                    </w14:srgbClr>
                  </w14:solidFill>
                </w14:textFill>
              </w:rPr>
              <w:t xml:space="preserve">　</w:t>
            </w:r>
            <w:r w:rsidR="001E514B"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81E284E" w14:textId="1535B75A"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3"/>
                <w14:textFill>
                  <w14:solidFill>
                    <w14:srgbClr w14:val="000000">
                      <w14:alpha w14:val="100000"/>
                    </w14:srgbClr>
                  </w14:solidFill>
                </w14:textFill>
              </w:rPr>
              <w:t xml:space="preserve">　</w:t>
            </w:r>
            <w:r w:rsidRPr="00875C10">
              <w:rPr>
                <w:color w:val="000000"/>
                <w:w w:val="20"/>
                <w:shd w:val="solid" w:color="000000" w:fill="000000"/>
                <w:fitText w:val="90" w:id="-894167283"/>
                <w14:textFill>
                  <w14:solidFill>
                    <w14:srgbClr w14:val="000000">
                      <w14:alpha w14:val="100000"/>
                    </w14:srgbClr>
                  </w14:solidFill>
                </w14:textFill>
              </w:rPr>
              <w:t>|</w:t>
            </w:r>
            <w:r w:rsidRPr="00875C10">
              <w:rPr>
                <w:rFonts w:hint="eastAsia"/>
                <w:color w:val="000000"/>
                <w:spacing w:val="3"/>
                <w:w w:val="20"/>
                <w:shd w:val="solid" w:color="000000" w:fill="000000"/>
                <w:fitText w:val="90" w:id="-894167283"/>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37FD4281" w14:textId="7B14B67B"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2"/>
                <w14:textFill>
                  <w14:solidFill>
                    <w14:srgbClr w14:val="000000">
                      <w14:alpha w14:val="100000"/>
                    </w14:srgbClr>
                  </w14:solidFill>
                </w14:textFill>
              </w:rPr>
              <w:t xml:space="preserve">　</w:t>
            </w:r>
            <w:r w:rsidRPr="00875C10">
              <w:rPr>
                <w:color w:val="000000"/>
                <w:w w:val="20"/>
                <w:shd w:val="solid" w:color="000000" w:fill="000000"/>
                <w:fitText w:val="90" w:id="-894167282"/>
                <w14:textFill>
                  <w14:solidFill>
                    <w14:srgbClr w14:val="000000">
                      <w14:alpha w14:val="100000"/>
                    </w14:srgbClr>
                  </w14:solidFill>
                </w14:textFill>
              </w:rPr>
              <w:t>|</w:t>
            </w:r>
            <w:r w:rsidRPr="00875C10">
              <w:rPr>
                <w:rFonts w:hint="eastAsia"/>
                <w:color w:val="000000"/>
                <w:spacing w:val="3"/>
                <w:w w:val="20"/>
                <w:shd w:val="solid" w:color="000000" w:fill="000000"/>
                <w:fitText w:val="90" w:id="-894167282"/>
                <w14:textFill>
                  <w14:solidFill>
                    <w14:srgbClr w14:val="000000">
                      <w14:alpha w14:val="100000"/>
                    </w14:srgbClr>
                  </w14:solidFill>
                </w14:textFill>
              </w:rPr>
              <w:t xml:space="preserve">　</w:t>
            </w:r>
            <w:r w:rsidR="001E514B" w:rsidRPr="00EF733D">
              <w:rPr>
                <w:szCs w:val="20"/>
                <w:vertAlign w:val="superscript"/>
              </w:rPr>
              <w:t>3</w:t>
            </w:r>
          </w:p>
        </w:tc>
      </w:tr>
      <w:tr w:rsidR="0007132E" w:rsidRPr="00C61670" w14:paraId="0AAED144" w14:textId="77777777" w:rsidTr="00305EAF">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69EED6AE" w14:textId="3AFFDE57" w:rsidR="0007132E" w:rsidRPr="00C61670" w:rsidRDefault="0007132E" w:rsidP="00C3117B">
            <w:pPr>
              <w:pStyle w:val="Tabletext"/>
              <w:keepNext/>
              <w:keepLines/>
              <w:rPr>
                <w:rStyle w:val="CommentReference"/>
                <w:szCs w:val="20"/>
              </w:rPr>
            </w:pPr>
            <w:r w:rsidRPr="00C61670">
              <w:rPr>
                <w:rStyle w:val="CommentReference"/>
                <w:szCs w:val="20"/>
              </w:rPr>
              <w:t>Estimated financial implications for the PBS</w:t>
            </w:r>
          </w:p>
        </w:tc>
      </w:tr>
      <w:tr w:rsidR="0007132E" w:rsidRPr="00C61670" w14:paraId="507AC94A" w14:textId="77777777" w:rsidTr="00305EAF">
        <w:tc>
          <w:tcPr>
            <w:tcW w:w="2816" w:type="dxa"/>
            <w:tcBorders>
              <w:top w:val="single" w:sz="4" w:space="0" w:color="auto"/>
              <w:left w:val="single" w:sz="4" w:space="0" w:color="auto"/>
              <w:bottom w:val="single" w:sz="4" w:space="0" w:color="auto"/>
              <w:right w:val="single" w:sz="4" w:space="0" w:color="auto"/>
            </w:tcBorders>
            <w:vAlign w:val="center"/>
            <w:hideMark/>
          </w:tcPr>
          <w:p w14:paraId="6F9EE170" w14:textId="77777777" w:rsidR="0007132E" w:rsidRPr="00C61670" w:rsidRDefault="0007132E" w:rsidP="00C3117B">
            <w:pPr>
              <w:pStyle w:val="Tabletext"/>
              <w:keepNext/>
              <w:keepLines/>
            </w:pPr>
            <w:r w:rsidRPr="00C61670">
              <w:rPr>
                <w:szCs w:val="20"/>
              </w:rPr>
              <w:t>Net cost to PBS (pub)</w:t>
            </w:r>
          </w:p>
        </w:tc>
        <w:tc>
          <w:tcPr>
            <w:tcW w:w="1033" w:type="dxa"/>
            <w:tcBorders>
              <w:top w:val="single" w:sz="4" w:space="0" w:color="auto"/>
              <w:left w:val="nil"/>
              <w:bottom w:val="single" w:sz="4" w:space="0" w:color="auto"/>
              <w:right w:val="single" w:sz="4" w:space="0" w:color="auto"/>
            </w:tcBorders>
          </w:tcPr>
          <w:p w14:paraId="3D3B6752" w14:textId="0A9E9108"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1"/>
                <w14:textFill>
                  <w14:solidFill>
                    <w14:srgbClr w14:val="000000">
                      <w14:alpha w14:val="100000"/>
                    </w14:srgbClr>
                  </w14:solidFill>
                </w14:textFill>
              </w:rPr>
              <w:t xml:space="preserve">　</w:t>
            </w:r>
            <w:r w:rsidRPr="00875C10">
              <w:rPr>
                <w:color w:val="000000"/>
                <w:w w:val="20"/>
                <w:shd w:val="solid" w:color="000000" w:fill="000000"/>
                <w:fitText w:val="90" w:id="-894167281"/>
                <w14:textFill>
                  <w14:solidFill>
                    <w14:srgbClr w14:val="000000">
                      <w14:alpha w14:val="100000"/>
                    </w14:srgbClr>
                  </w14:solidFill>
                </w14:textFill>
              </w:rPr>
              <w:t>|</w:t>
            </w:r>
            <w:r w:rsidRPr="00875C10">
              <w:rPr>
                <w:rFonts w:hint="eastAsia"/>
                <w:color w:val="000000"/>
                <w:spacing w:val="3"/>
                <w:w w:val="20"/>
                <w:shd w:val="solid" w:color="000000" w:fill="000000"/>
                <w:fitText w:val="90" w:id="-894167281"/>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tcPr>
          <w:p w14:paraId="2AF78257" w14:textId="36C835CB"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0"/>
                <w14:textFill>
                  <w14:solidFill>
                    <w14:srgbClr w14:val="000000">
                      <w14:alpha w14:val="100000"/>
                    </w14:srgbClr>
                  </w14:solidFill>
                </w14:textFill>
              </w:rPr>
              <w:t xml:space="preserve">　</w:t>
            </w:r>
            <w:r w:rsidRPr="00875C10">
              <w:rPr>
                <w:color w:val="000000"/>
                <w:w w:val="20"/>
                <w:shd w:val="solid" w:color="000000" w:fill="000000"/>
                <w:fitText w:val="90" w:id="-894167280"/>
                <w14:textFill>
                  <w14:solidFill>
                    <w14:srgbClr w14:val="000000">
                      <w14:alpha w14:val="100000"/>
                    </w14:srgbClr>
                  </w14:solidFill>
                </w14:textFill>
              </w:rPr>
              <w:t>|</w:t>
            </w:r>
            <w:r w:rsidRPr="00875C10">
              <w:rPr>
                <w:rFonts w:hint="eastAsia"/>
                <w:color w:val="000000"/>
                <w:spacing w:val="3"/>
                <w:w w:val="20"/>
                <w:shd w:val="solid" w:color="000000" w:fill="000000"/>
                <w:fitText w:val="90" w:id="-894167280"/>
                <w14:textFill>
                  <w14:solidFill>
                    <w14:srgbClr w14:val="000000">
                      <w14:alpha w14:val="100000"/>
                    </w14:srgbClr>
                  </w14:solidFill>
                </w14:textFill>
              </w:rPr>
              <w:t xml:space="preserve">　</w:t>
            </w:r>
            <w:r w:rsidR="001E514B"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tcPr>
          <w:p w14:paraId="74501D5E" w14:textId="72BC0CC9"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6"/>
                <w14:textFill>
                  <w14:solidFill>
                    <w14:srgbClr w14:val="000000">
                      <w14:alpha w14:val="100000"/>
                    </w14:srgbClr>
                  </w14:solidFill>
                </w14:textFill>
              </w:rPr>
              <w:t xml:space="preserve">　</w:t>
            </w:r>
            <w:r w:rsidRPr="00875C10">
              <w:rPr>
                <w:color w:val="000000"/>
                <w:w w:val="20"/>
                <w:shd w:val="solid" w:color="000000" w:fill="000000"/>
                <w:fitText w:val="90" w:id="-894167296"/>
                <w14:textFill>
                  <w14:solidFill>
                    <w14:srgbClr w14:val="000000">
                      <w14:alpha w14:val="100000"/>
                    </w14:srgbClr>
                  </w14:solidFill>
                </w14:textFill>
              </w:rPr>
              <w:t>|</w:t>
            </w:r>
            <w:r w:rsidRPr="00875C10">
              <w:rPr>
                <w:rFonts w:hint="eastAsia"/>
                <w:color w:val="000000"/>
                <w:spacing w:val="3"/>
                <w:w w:val="20"/>
                <w:shd w:val="solid" w:color="000000" w:fill="000000"/>
                <w:fitText w:val="90" w:id="-894167296"/>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tcPr>
          <w:p w14:paraId="40839037" w14:textId="4809A662"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5"/>
                <w14:textFill>
                  <w14:solidFill>
                    <w14:srgbClr w14:val="000000">
                      <w14:alpha w14:val="100000"/>
                    </w14:srgbClr>
                  </w14:solidFill>
                </w14:textFill>
              </w:rPr>
              <w:t xml:space="preserve">　</w:t>
            </w:r>
            <w:r w:rsidRPr="00875C10">
              <w:rPr>
                <w:color w:val="000000"/>
                <w:w w:val="20"/>
                <w:shd w:val="solid" w:color="000000" w:fill="000000"/>
                <w:fitText w:val="90" w:id="-894167295"/>
                <w14:textFill>
                  <w14:solidFill>
                    <w14:srgbClr w14:val="000000">
                      <w14:alpha w14:val="100000"/>
                    </w14:srgbClr>
                  </w14:solidFill>
                </w14:textFill>
              </w:rPr>
              <w:t>|</w:t>
            </w:r>
            <w:r w:rsidRPr="00875C10">
              <w:rPr>
                <w:rFonts w:hint="eastAsia"/>
                <w:color w:val="000000"/>
                <w:spacing w:val="3"/>
                <w:w w:val="20"/>
                <w:shd w:val="solid" w:color="000000" w:fill="000000"/>
                <w:fitText w:val="90" w:id="-894167295"/>
                <w14:textFill>
                  <w14:solidFill>
                    <w14:srgbClr w14:val="000000">
                      <w14:alpha w14:val="100000"/>
                    </w14:srgbClr>
                  </w14:solidFill>
                </w14:textFill>
              </w:rPr>
              <w:t xml:space="preserve">　</w:t>
            </w:r>
            <w:r w:rsidR="001E514B"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tcPr>
          <w:p w14:paraId="12406B92" w14:textId="4AA641E8"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4"/>
                <w14:textFill>
                  <w14:solidFill>
                    <w14:srgbClr w14:val="000000">
                      <w14:alpha w14:val="100000"/>
                    </w14:srgbClr>
                  </w14:solidFill>
                </w14:textFill>
              </w:rPr>
              <w:t xml:space="preserve">　</w:t>
            </w:r>
            <w:r w:rsidRPr="00875C10">
              <w:rPr>
                <w:color w:val="000000"/>
                <w:w w:val="20"/>
                <w:shd w:val="solid" w:color="000000" w:fill="000000"/>
                <w:fitText w:val="90" w:id="-894167294"/>
                <w14:textFill>
                  <w14:solidFill>
                    <w14:srgbClr w14:val="000000">
                      <w14:alpha w14:val="100000"/>
                    </w14:srgbClr>
                  </w14:solidFill>
                </w14:textFill>
              </w:rPr>
              <w:t>|</w:t>
            </w:r>
            <w:r w:rsidRPr="00875C10">
              <w:rPr>
                <w:rFonts w:hint="eastAsia"/>
                <w:color w:val="000000"/>
                <w:spacing w:val="3"/>
                <w:w w:val="20"/>
                <w:shd w:val="solid" w:color="000000" w:fill="000000"/>
                <w:fitText w:val="90" w:id="-894167294"/>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tcPr>
          <w:p w14:paraId="4C6B6E7F" w14:textId="1BB2764F"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3"/>
                <w14:textFill>
                  <w14:solidFill>
                    <w14:srgbClr w14:val="000000">
                      <w14:alpha w14:val="100000"/>
                    </w14:srgbClr>
                  </w14:solidFill>
                </w14:textFill>
              </w:rPr>
              <w:t xml:space="preserve">　</w:t>
            </w:r>
            <w:r w:rsidRPr="00875C10">
              <w:rPr>
                <w:color w:val="000000"/>
                <w:w w:val="20"/>
                <w:shd w:val="solid" w:color="000000" w:fill="000000"/>
                <w:fitText w:val="90" w:id="-894167293"/>
                <w14:textFill>
                  <w14:solidFill>
                    <w14:srgbClr w14:val="000000">
                      <w14:alpha w14:val="100000"/>
                    </w14:srgbClr>
                  </w14:solidFill>
                </w14:textFill>
              </w:rPr>
              <w:t>|</w:t>
            </w:r>
            <w:r w:rsidRPr="00875C10">
              <w:rPr>
                <w:rFonts w:hint="eastAsia"/>
                <w:color w:val="000000"/>
                <w:spacing w:val="3"/>
                <w:w w:val="20"/>
                <w:shd w:val="solid" w:color="000000" w:fill="000000"/>
                <w:fitText w:val="90" w:id="-894167293"/>
                <w14:textFill>
                  <w14:solidFill>
                    <w14:srgbClr w14:val="000000">
                      <w14:alpha w14:val="100000"/>
                    </w14:srgbClr>
                  </w14:solidFill>
                </w14:textFill>
              </w:rPr>
              <w:t xml:space="preserve">　</w:t>
            </w:r>
            <w:r w:rsidR="001E514B" w:rsidRPr="00EF733D">
              <w:rPr>
                <w:szCs w:val="20"/>
                <w:vertAlign w:val="superscript"/>
              </w:rPr>
              <w:t>3</w:t>
            </w:r>
          </w:p>
        </w:tc>
      </w:tr>
      <w:tr w:rsidR="0007132E" w:rsidRPr="00C61670" w14:paraId="4F589F98" w14:textId="77777777" w:rsidTr="00305EAF">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1188FCD8" w14:textId="0501858D" w:rsidR="0007132E" w:rsidRPr="00C61670" w:rsidRDefault="0007132E" w:rsidP="00C3117B">
            <w:pPr>
              <w:pStyle w:val="Tabletext"/>
              <w:keepNext/>
              <w:keepLines/>
              <w:rPr>
                <w:rStyle w:val="CommentReference"/>
                <w:szCs w:val="20"/>
              </w:rPr>
            </w:pPr>
            <w:r w:rsidRPr="00C61670">
              <w:rPr>
                <w:rStyle w:val="CommentReference"/>
                <w:szCs w:val="20"/>
              </w:rPr>
              <w:t>Estimated financial implications for the health budget</w:t>
            </w:r>
          </w:p>
        </w:tc>
      </w:tr>
      <w:tr w:rsidR="0007132E" w:rsidRPr="00C61670" w14:paraId="78FFB481" w14:textId="77777777" w:rsidTr="00305EAF">
        <w:tc>
          <w:tcPr>
            <w:tcW w:w="2816" w:type="dxa"/>
            <w:tcBorders>
              <w:top w:val="single" w:sz="4" w:space="0" w:color="auto"/>
              <w:left w:val="single" w:sz="4" w:space="0" w:color="auto"/>
              <w:bottom w:val="single" w:sz="4" w:space="0" w:color="auto"/>
              <w:right w:val="single" w:sz="4" w:space="0" w:color="auto"/>
            </w:tcBorders>
            <w:vAlign w:val="center"/>
            <w:hideMark/>
          </w:tcPr>
          <w:p w14:paraId="46958DAB" w14:textId="77777777" w:rsidR="0007132E" w:rsidRPr="00C61670" w:rsidRDefault="0007132E" w:rsidP="00C3117B">
            <w:pPr>
              <w:pStyle w:val="Tabletext"/>
              <w:keepNext/>
              <w:keepLines/>
              <w:rPr>
                <w:szCs w:val="20"/>
              </w:rPr>
            </w:pPr>
            <w:r w:rsidRPr="00C61670">
              <w:rPr>
                <w:szCs w:val="20"/>
              </w:rPr>
              <w:t>Net MBS costs</w:t>
            </w:r>
          </w:p>
        </w:tc>
        <w:tc>
          <w:tcPr>
            <w:tcW w:w="1033" w:type="dxa"/>
            <w:tcBorders>
              <w:top w:val="single" w:sz="4" w:space="0" w:color="auto"/>
              <w:left w:val="single" w:sz="4" w:space="0" w:color="auto"/>
              <w:bottom w:val="single" w:sz="4" w:space="0" w:color="auto"/>
              <w:right w:val="single" w:sz="4" w:space="0" w:color="auto"/>
            </w:tcBorders>
          </w:tcPr>
          <w:p w14:paraId="7268B235" w14:textId="70FE5C1A"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2"/>
                <w14:textFill>
                  <w14:solidFill>
                    <w14:srgbClr w14:val="000000">
                      <w14:alpha w14:val="100000"/>
                    </w14:srgbClr>
                  </w14:solidFill>
                </w14:textFill>
              </w:rPr>
              <w:t xml:space="preserve">　</w:t>
            </w:r>
            <w:r w:rsidRPr="00875C10">
              <w:rPr>
                <w:color w:val="000000"/>
                <w:w w:val="20"/>
                <w:shd w:val="solid" w:color="000000" w:fill="000000"/>
                <w:fitText w:val="90" w:id="-894167292"/>
                <w14:textFill>
                  <w14:solidFill>
                    <w14:srgbClr w14:val="000000">
                      <w14:alpha w14:val="100000"/>
                    </w14:srgbClr>
                  </w14:solidFill>
                </w14:textFill>
              </w:rPr>
              <w:t>|</w:t>
            </w:r>
            <w:r w:rsidRPr="00875C10">
              <w:rPr>
                <w:rFonts w:hint="eastAsia"/>
                <w:color w:val="000000"/>
                <w:spacing w:val="3"/>
                <w:w w:val="20"/>
                <w:shd w:val="solid" w:color="000000" w:fill="000000"/>
                <w:fitText w:val="90" w:id="-894167292"/>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nil"/>
              <w:bottom w:val="single" w:sz="4" w:space="0" w:color="auto"/>
              <w:right w:val="single" w:sz="4" w:space="0" w:color="auto"/>
            </w:tcBorders>
          </w:tcPr>
          <w:p w14:paraId="35899A55" w14:textId="56DDDA2D"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1"/>
                <w14:textFill>
                  <w14:solidFill>
                    <w14:srgbClr w14:val="000000">
                      <w14:alpha w14:val="100000"/>
                    </w14:srgbClr>
                  </w14:solidFill>
                </w14:textFill>
              </w:rPr>
              <w:t xml:space="preserve">　</w:t>
            </w:r>
            <w:r w:rsidRPr="00875C10">
              <w:rPr>
                <w:color w:val="000000"/>
                <w:w w:val="20"/>
                <w:shd w:val="solid" w:color="000000" w:fill="000000"/>
                <w:fitText w:val="90" w:id="-894167291"/>
                <w14:textFill>
                  <w14:solidFill>
                    <w14:srgbClr w14:val="000000">
                      <w14:alpha w14:val="100000"/>
                    </w14:srgbClr>
                  </w14:solidFill>
                </w14:textFill>
              </w:rPr>
              <w:t>|</w:t>
            </w:r>
            <w:r w:rsidRPr="00875C10">
              <w:rPr>
                <w:rFonts w:hint="eastAsia"/>
                <w:color w:val="000000"/>
                <w:spacing w:val="3"/>
                <w:w w:val="20"/>
                <w:shd w:val="solid" w:color="000000" w:fill="000000"/>
                <w:fitText w:val="90" w:id="-894167291"/>
                <w14:textFill>
                  <w14:solidFill>
                    <w14:srgbClr w14:val="000000">
                      <w14:alpha w14:val="100000"/>
                    </w14:srgbClr>
                  </w14:solidFill>
                </w14:textFill>
              </w:rPr>
              <w:t xml:space="preserve">　</w:t>
            </w:r>
            <w:r w:rsidR="001E514B" w:rsidRPr="00EF733D">
              <w:rPr>
                <w:szCs w:val="20"/>
                <w:vertAlign w:val="superscript"/>
              </w:rPr>
              <w:t>3</w:t>
            </w:r>
          </w:p>
        </w:tc>
        <w:tc>
          <w:tcPr>
            <w:tcW w:w="1033" w:type="dxa"/>
            <w:tcBorders>
              <w:top w:val="single" w:sz="4" w:space="0" w:color="auto"/>
              <w:left w:val="nil"/>
              <w:bottom w:val="single" w:sz="4" w:space="0" w:color="auto"/>
              <w:right w:val="single" w:sz="4" w:space="0" w:color="auto"/>
            </w:tcBorders>
          </w:tcPr>
          <w:p w14:paraId="7AF28B1D" w14:textId="4B09528F"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90"/>
                <w14:textFill>
                  <w14:solidFill>
                    <w14:srgbClr w14:val="000000">
                      <w14:alpha w14:val="100000"/>
                    </w14:srgbClr>
                  </w14:solidFill>
                </w14:textFill>
              </w:rPr>
              <w:t xml:space="preserve">　</w:t>
            </w:r>
            <w:r w:rsidRPr="00875C10">
              <w:rPr>
                <w:color w:val="000000"/>
                <w:w w:val="20"/>
                <w:shd w:val="solid" w:color="000000" w:fill="000000"/>
                <w:fitText w:val="90" w:id="-894167290"/>
                <w14:textFill>
                  <w14:solidFill>
                    <w14:srgbClr w14:val="000000">
                      <w14:alpha w14:val="100000"/>
                    </w14:srgbClr>
                  </w14:solidFill>
                </w14:textFill>
              </w:rPr>
              <w:t>|</w:t>
            </w:r>
            <w:r w:rsidRPr="00875C10">
              <w:rPr>
                <w:rFonts w:hint="eastAsia"/>
                <w:color w:val="000000"/>
                <w:spacing w:val="3"/>
                <w:w w:val="20"/>
                <w:shd w:val="solid" w:color="000000" w:fill="000000"/>
                <w:fitText w:val="90" w:id="-894167290"/>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nil"/>
              <w:bottom w:val="single" w:sz="4" w:space="0" w:color="auto"/>
              <w:right w:val="single" w:sz="4" w:space="0" w:color="auto"/>
            </w:tcBorders>
          </w:tcPr>
          <w:p w14:paraId="45CFC861" w14:textId="633FD5D7"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9"/>
                <w14:textFill>
                  <w14:solidFill>
                    <w14:srgbClr w14:val="000000">
                      <w14:alpha w14:val="100000"/>
                    </w14:srgbClr>
                  </w14:solidFill>
                </w14:textFill>
              </w:rPr>
              <w:t xml:space="preserve">　</w:t>
            </w:r>
            <w:r w:rsidRPr="00875C10">
              <w:rPr>
                <w:color w:val="000000"/>
                <w:w w:val="20"/>
                <w:shd w:val="solid" w:color="000000" w:fill="000000"/>
                <w:fitText w:val="90" w:id="-894167289"/>
                <w14:textFill>
                  <w14:solidFill>
                    <w14:srgbClr w14:val="000000">
                      <w14:alpha w14:val="100000"/>
                    </w14:srgbClr>
                  </w14:solidFill>
                </w14:textFill>
              </w:rPr>
              <w:t>|</w:t>
            </w:r>
            <w:r w:rsidRPr="00875C10">
              <w:rPr>
                <w:rFonts w:hint="eastAsia"/>
                <w:color w:val="000000"/>
                <w:spacing w:val="3"/>
                <w:w w:val="20"/>
                <w:shd w:val="solid" w:color="000000" w:fill="000000"/>
                <w:fitText w:val="90" w:id="-894167289"/>
                <w14:textFill>
                  <w14:solidFill>
                    <w14:srgbClr w14:val="000000">
                      <w14:alpha w14:val="100000"/>
                    </w14:srgbClr>
                  </w14:solidFill>
                </w14:textFill>
              </w:rPr>
              <w:t xml:space="preserve">　</w:t>
            </w:r>
            <w:r w:rsidR="001E514B" w:rsidRPr="00EF733D">
              <w:rPr>
                <w:szCs w:val="20"/>
                <w:vertAlign w:val="superscript"/>
              </w:rPr>
              <w:t>3</w:t>
            </w:r>
          </w:p>
        </w:tc>
        <w:tc>
          <w:tcPr>
            <w:tcW w:w="1033" w:type="dxa"/>
            <w:tcBorders>
              <w:top w:val="single" w:sz="4" w:space="0" w:color="auto"/>
              <w:left w:val="nil"/>
              <w:bottom w:val="single" w:sz="4" w:space="0" w:color="auto"/>
              <w:right w:val="single" w:sz="4" w:space="0" w:color="auto"/>
            </w:tcBorders>
          </w:tcPr>
          <w:p w14:paraId="4F46F9FE" w14:textId="39AC0593"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8"/>
                <w14:textFill>
                  <w14:solidFill>
                    <w14:srgbClr w14:val="000000">
                      <w14:alpha w14:val="100000"/>
                    </w14:srgbClr>
                  </w14:solidFill>
                </w14:textFill>
              </w:rPr>
              <w:t xml:space="preserve">　</w:t>
            </w:r>
            <w:r w:rsidRPr="00875C10">
              <w:rPr>
                <w:color w:val="000000"/>
                <w:w w:val="20"/>
                <w:shd w:val="solid" w:color="000000" w:fill="000000"/>
                <w:fitText w:val="90" w:id="-894167288"/>
                <w14:textFill>
                  <w14:solidFill>
                    <w14:srgbClr w14:val="000000">
                      <w14:alpha w14:val="100000"/>
                    </w14:srgbClr>
                  </w14:solidFill>
                </w14:textFill>
              </w:rPr>
              <w:t>|</w:t>
            </w:r>
            <w:r w:rsidRPr="00875C10">
              <w:rPr>
                <w:rFonts w:hint="eastAsia"/>
                <w:color w:val="000000"/>
                <w:spacing w:val="3"/>
                <w:w w:val="20"/>
                <w:shd w:val="solid" w:color="000000" w:fill="000000"/>
                <w:fitText w:val="90" w:id="-894167288"/>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nil"/>
              <w:bottom w:val="single" w:sz="4" w:space="0" w:color="auto"/>
              <w:right w:val="single" w:sz="4" w:space="0" w:color="auto"/>
            </w:tcBorders>
          </w:tcPr>
          <w:p w14:paraId="70F16D6C" w14:textId="012925F6"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7"/>
                <w14:textFill>
                  <w14:solidFill>
                    <w14:srgbClr w14:val="000000">
                      <w14:alpha w14:val="100000"/>
                    </w14:srgbClr>
                  </w14:solidFill>
                </w14:textFill>
              </w:rPr>
              <w:t xml:space="preserve">　</w:t>
            </w:r>
            <w:r w:rsidRPr="00875C10">
              <w:rPr>
                <w:color w:val="000000"/>
                <w:w w:val="20"/>
                <w:shd w:val="solid" w:color="000000" w:fill="000000"/>
                <w:fitText w:val="90" w:id="-894167287"/>
                <w14:textFill>
                  <w14:solidFill>
                    <w14:srgbClr w14:val="000000">
                      <w14:alpha w14:val="100000"/>
                    </w14:srgbClr>
                  </w14:solidFill>
                </w14:textFill>
              </w:rPr>
              <w:t>|</w:t>
            </w:r>
            <w:r w:rsidRPr="00875C10">
              <w:rPr>
                <w:rFonts w:hint="eastAsia"/>
                <w:color w:val="000000"/>
                <w:spacing w:val="3"/>
                <w:w w:val="20"/>
                <w:shd w:val="solid" w:color="000000" w:fill="000000"/>
                <w:fitText w:val="90" w:id="-894167287"/>
                <w14:textFill>
                  <w14:solidFill>
                    <w14:srgbClr w14:val="000000">
                      <w14:alpha w14:val="100000"/>
                    </w14:srgbClr>
                  </w14:solidFill>
                </w14:textFill>
              </w:rPr>
              <w:t xml:space="preserve">　</w:t>
            </w:r>
            <w:r w:rsidR="001E514B" w:rsidRPr="00EF733D">
              <w:rPr>
                <w:szCs w:val="20"/>
                <w:vertAlign w:val="superscript"/>
              </w:rPr>
              <w:t>3</w:t>
            </w:r>
          </w:p>
        </w:tc>
      </w:tr>
      <w:tr w:rsidR="0007132E" w:rsidRPr="00C61670" w14:paraId="0FE049EC" w14:textId="77777777" w:rsidTr="00305EAF">
        <w:tc>
          <w:tcPr>
            <w:tcW w:w="2816" w:type="dxa"/>
            <w:tcBorders>
              <w:top w:val="single" w:sz="4" w:space="0" w:color="auto"/>
              <w:left w:val="single" w:sz="4" w:space="0" w:color="auto"/>
              <w:bottom w:val="single" w:sz="4" w:space="0" w:color="auto"/>
              <w:right w:val="single" w:sz="4" w:space="0" w:color="auto"/>
            </w:tcBorders>
            <w:vAlign w:val="center"/>
            <w:hideMark/>
          </w:tcPr>
          <w:p w14:paraId="04BCA4D7" w14:textId="77777777" w:rsidR="0007132E" w:rsidRPr="00C61670" w:rsidRDefault="0007132E" w:rsidP="00C3117B">
            <w:pPr>
              <w:pStyle w:val="Tabletext"/>
              <w:keepNext/>
              <w:keepLines/>
              <w:rPr>
                <w:szCs w:val="20"/>
              </w:rPr>
            </w:pPr>
            <w:r w:rsidRPr="00C61670">
              <w:rPr>
                <w:szCs w:val="20"/>
              </w:rPr>
              <w:t>Net cost to Govt health budget (pub)</w:t>
            </w:r>
          </w:p>
        </w:tc>
        <w:tc>
          <w:tcPr>
            <w:tcW w:w="1033" w:type="dxa"/>
            <w:tcBorders>
              <w:top w:val="single" w:sz="4" w:space="0" w:color="auto"/>
              <w:left w:val="nil"/>
              <w:bottom w:val="single" w:sz="4" w:space="0" w:color="auto"/>
              <w:right w:val="single" w:sz="4" w:space="0" w:color="auto"/>
            </w:tcBorders>
          </w:tcPr>
          <w:p w14:paraId="540C75D7" w14:textId="0E154693"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6"/>
                <w14:textFill>
                  <w14:solidFill>
                    <w14:srgbClr w14:val="000000">
                      <w14:alpha w14:val="100000"/>
                    </w14:srgbClr>
                  </w14:solidFill>
                </w14:textFill>
              </w:rPr>
              <w:t xml:space="preserve">　</w:t>
            </w:r>
            <w:r w:rsidRPr="00875C10">
              <w:rPr>
                <w:color w:val="000000"/>
                <w:w w:val="20"/>
                <w:shd w:val="solid" w:color="000000" w:fill="000000"/>
                <w:fitText w:val="90" w:id="-894167286"/>
                <w14:textFill>
                  <w14:solidFill>
                    <w14:srgbClr w14:val="000000">
                      <w14:alpha w14:val="100000"/>
                    </w14:srgbClr>
                  </w14:solidFill>
                </w14:textFill>
              </w:rPr>
              <w:t>|</w:t>
            </w:r>
            <w:r w:rsidRPr="00875C10">
              <w:rPr>
                <w:rFonts w:hint="eastAsia"/>
                <w:color w:val="000000"/>
                <w:spacing w:val="3"/>
                <w:w w:val="20"/>
                <w:shd w:val="solid" w:color="000000" w:fill="000000"/>
                <w:fitText w:val="90" w:id="-894167286"/>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tcPr>
          <w:p w14:paraId="7D11999C" w14:textId="2B5BFA7A"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5"/>
                <w14:textFill>
                  <w14:solidFill>
                    <w14:srgbClr w14:val="000000">
                      <w14:alpha w14:val="100000"/>
                    </w14:srgbClr>
                  </w14:solidFill>
                </w14:textFill>
              </w:rPr>
              <w:t xml:space="preserve">　</w:t>
            </w:r>
            <w:r w:rsidRPr="00875C10">
              <w:rPr>
                <w:color w:val="000000"/>
                <w:w w:val="20"/>
                <w:shd w:val="solid" w:color="000000" w:fill="000000"/>
                <w:fitText w:val="90" w:id="-894167285"/>
                <w14:textFill>
                  <w14:solidFill>
                    <w14:srgbClr w14:val="000000">
                      <w14:alpha w14:val="100000"/>
                    </w14:srgbClr>
                  </w14:solidFill>
                </w14:textFill>
              </w:rPr>
              <w:t>|</w:t>
            </w:r>
            <w:r w:rsidRPr="00875C10">
              <w:rPr>
                <w:rFonts w:hint="eastAsia"/>
                <w:color w:val="000000"/>
                <w:spacing w:val="3"/>
                <w:w w:val="20"/>
                <w:shd w:val="solid" w:color="000000" w:fill="000000"/>
                <w:fitText w:val="90" w:id="-894167285"/>
                <w14:textFill>
                  <w14:solidFill>
                    <w14:srgbClr w14:val="000000">
                      <w14:alpha w14:val="100000"/>
                    </w14:srgbClr>
                  </w14:solidFill>
                </w14:textFill>
              </w:rPr>
              <w:t xml:space="preserve">　</w:t>
            </w:r>
            <w:r w:rsidR="001E514B"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tcPr>
          <w:p w14:paraId="273EF414" w14:textId="07463572"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4"/>
                <w14:textFill>
                  <w14:solidFill>
                    <w14:srgbClr w14:val="000000">
                      <w14:alpha w14:val="100000"/>
                    </w14:srgbClr>
                  </w14:solidFill>
                </w14:textFill>
              </w:rPr>
              <w:t xml:space="preserve">　</w:t>
            </w:r>
            <w:r w:rsidRPr="00875C10">
              <w:rPr>
                <w:color w:val="000000"/>
                <w:w w:val="20"/>
                <w:shd w:val="solid" w:color="000000" w:fill="000000"/>
                <w:fitText w:val="90" w:id="-894167284"/>
                <w14:textFill>
                  <w14:solidFill>
                    <w14:srgbClr w14:val="000000">
                      <w14:alpha w14:val="100000"/>
                    </w14:srgbClr>
                  </w14:solidFill>
                </w14:textFill>
              </w:rPr>
              <w:t>|</w:t>
            </w:r>
            <w:r w:rsidRPr="00875C10">
              <w:rPr>
                <w:rFonts w:hint="eastAsia"/>
                <w:color w:val="000000"/>
                <w:spacing w:val="3"/>
                <w:w w:val="20"/>
                <w:shd w:val="solid" w:color="000000" w:fill="000000"/>
                <w:fitText w:val="90" w:id="-894167284"/>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tcPr>
          <w:p w14:paraId="3526673A" w14:textId="318F2285"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3"/>
                <w14:textFill>
                  <w14:solidFill>
                    <w14:srgbClr w14:val="000000">
                      <w14:alpha w14:val="100000"/>
                    </w14:srgbClr>
                  </w14:solidFill>
                </w14:textFill>
              </w:rPr>
              <w:t xml:space="preserve">　</w:t>
            </w:r>
            <w:r w:rsidRPr="00875C10">
              <w:rPr>
                <w:color w:val="000000"/>
                <w:w w:val="20"/>
                <w:shd w:val="solid" w:color="000000" w:fill="000000"/>
                <w:fitText w:val="90" w:id="-894167283"/>
                <w14:textFill>
                  <w14:solidFill>
                    <w14:srgbClr w14:val="000000">
                      <w14:alpha w14:val="100000"/>
                    </w14:srgbClr>
                  </w14:solidFill>
                </w14:textFill>
              </w:rPr>
              <w:t>|</w:t>
            </w:r>
            <w:r w:rsidRPr="00875C10">
              <w:rPr>
                <w:rFonts w:hint="eastAsia"/>
                <w:color w:val="000000"/>
                <w:spacing w:val="3"/>
                <w:w w:val="20"/>
                <w:shd w:val="solid" w:color="000000" w:fill="000000"/>
                <w:fitText w:val="90" w:id="-894167283"/>
                <w14:textFill>
                  <w14:solidFill>
                    <w14:srgbClr w14:val="000000">
                      <w14:alpha w14:val="100000"/>
                    </w14:srgbClr>
                  </w14:solidFill>
                </w14:textFill>
              </w:rPr>
              <w:t xml:space="preserve">　</w:t>
            </w:r>
            <w:r w:rsidR="001E514B" w:rsidRPr="00EF733D">
              <w:rPr>
                <w:szCs w:val="20"/>
                <w:vertAlign w:val="superscript"/>
              </w:rPr>
              <w:t>3</w:t>
            </w:r>
          </w:p>
        </w:tc>
        <w:tc>
          <w:tcPr>
            <w:tcW w:w="1033" w:type="dxa"/>
            <w:tcBorders>
              <w:top w:val="single" w:sz="4" w:space="0" w:color="auto"/>
              <w:left w:val="single" w:sz="4" w:space="0" w:color="auto"/>
              <w:bottom w:val="single" w:sz="4" w:space="0" w:color="auto"/>
              <w:right w:val="single" w:sz="4" w:space="0" w:color="auto"/>
            </w:tcBorders>
          </w:tcPr>
          <w:p w14:paraId="1D52EC3F" w14:textId="0BAB1A12"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2"/>
                <w14:textFill>
                  <w14:solidFill>
                    <w14:srgbClr w14:val="000000">
                      <w14:alpha w14:val="100000"/>
                    </w14:srgbClr>
                  </w14:solidFill>
                </w14:textFill>
              </w:rPr>
              <w:t xml:space="preserve">　</w:t>
            </w:r>
            <w:r w:rsidRPr="00875C10">
              <w:rPr>
                <w:color w:val="000000"/>
                <w:w w:val="20"/>
                <w:shd w:val="solid" w:color="000000" w:fill="000000"/>
                <w:fitText w:val="90" w:id="-894167282"/>
                <w14:textFill>
                  <w14:solidFill>
                    <w14:srgbClr w14:val="000000">
                      <w14:alpha w14:val="100000"/>
                    </w14:srgbClr>
                  </w14:solidFill>
                </w14:textFill>
              </w:rPr>
              <w:t>|</w:t>
            </w:r>
            <w:r w:rsidRPr="00875C10">
              <w:rPr>
                <w:rFonts w:hint="eastAsia"/>
                <w:color w:val="000000"/>
                <w:spacing w:val="3"/>
                <w:w w:val="20"/>
                <w:shd w:val="solid" w:color="000000" w:fill="000000"/>
                <w:fitText w:val="90" w:id="-894167282"/>
                <w14:textFill>
                  <w14:solidFill>
                    <w14:srgbClr w14:val="000000">
                      <w14:alpha w14:val="100000"/>
                    </w14:srgbClr>
                  </w14:solidFill>
                </w14:textFill>
              </w:rPr>
              <w:t xml:space="preserve">　</w:t>
            </w:r>
            <w:r w:rsidR="001E514B" w:rsidRPr="00EF733D">
              <w:rPr>
                <w:szCs w:val="20"/>
                <w:vertAlign w:val="superscript"/>
              </w:rPr>
              <w:t>3</w:t>
            </w:r>
          </w:p>
        </w:tc>
        <w:tc>
          <w:tcPr>
            <w:tcW w:w="1034" w:type="dxa"/>
            <w:tcBorders>
              <w:top w:val="single" w:sz="4" w:space="0" w:color="auto"/>
              <w:left w:val="single" w:sz="4" w:space="0" w:color="auto"/>
              <w:bottom w:val="single" w:sz="4" w:space="0" w:color="auto"/>
              <w:right w:val="single" w:sz="4" w:space="0" w:color="auto"/>
            </w:tcBorders>
          </w:tcPr>
          <w:p w14:paraId="113DEE01" w14:textId="5E7AF577" w:rsidR="0007132E" w:rsidRPr="002E7657" w:rsidRDefault="00875C10" w:rsidP="00C3117B">
            <w:pPr>
              <w:pStyle w:val="Tabletext"/>
              <w:keepNext/>
              <w:keepLines/>
              <w:jc w:val="center"/>
              <w:rPr>
                <w:highlight w:val="lightGray"/>
              </w:rPr>
            </w:pPr>
            <w:r w:rsidRPr="00875C10">
              <w:rPr>
                <w:rFonts w:hint="eastAsia"/>
                <w:color w:val="000000"/>
                <w:w w:val="20"/>
                <w:shd w:val="solid" w:color="000000" w:fill="000000"/>
                <w:fitText w:val="90" w:id="-894167281"/>
                <w14:textFill>
                  <w14:solidFill>
                    <w14:srgbClr w14:val="000000">
                      <w14:alpha w14:val="100000"/>
                    </w14:srgbClr>
                  </w14:solidFill>
                </w14:textFill>
              </w:rPr>
              <w:t xml:space="preserve">　</w:t>
            </w:r>
            <w:r w:rsidRPr="00875C10">
              <w:rPr>
                <w:color w:val="000000"/>
                <w:w w:val="20"/>
                <w:shd w:val="solid" w:color="000000" w:fill="000000"/>
                <w:fitText w:val="90" w:id="-894167281"/>
                <w14:textFill>
                  <w14:solidFill>
                    <w14:srgbClr w14:val="000000">
                      <w14:alpha w14:val="100000"/>
                    </w14:srgbClr>
                  </w14:solidFill>
                </w14:textFill>
              </w:rPr>
              <w:t>|</w:t>
            </w:r>
            <w:r w:rsidRPr="00875C10">
              <w:rPr>
                <w:rFonts w:hint="eastAsia"/>
                <w:color w:val="000000"/>
                <w:spacing w:val="3"/>
                <w:w w:val="20"/>
                <w:shd w:val="solid" w:color="000000" w:fill="000000"/>
                <w:fitText w:val="90" w:id="-894167281"/>
                <w14:textFill>
                  <w14:solidFill>
                    <w14:srgbClr w14:val="000000">
                      <w14:alpha w14:val="100000"/>
                    </w14:srgbClr>
                  </w14:solidFill>
                </w14:textFill>
              </w:rPr>
              <w:t xml:space="preserve">　</w:t>
            </w:r>
            <w:r w:rsidR="001E514B" w:rsidRPr="00EF733D">
              <w:rPr>
                <w:szCs w:val="20"/>
                <w:vertAlign w:val="superscript"/>
              </w:rPr>
              <w:t>3</w:t>
            </w:r>
          </w:p>
        </w:tc>
      </w:tr>
    </w:tbl>
    <w:p w14:paraId="2A80A6FF" w14:textId="77777777" w:rsidR="0007132E" w:rsidRPr="00C61670" w:rsidRDefault="0007132E" w:rsidP="00C3117B">
      <w:pPr>
        <w:pStyle w:val="FooterTableFigure"/>
        <w:keepNext/>
        <w:keepLines/>
      </w:pPr>
      <w:r w:rsidRPr="00C61670">
        <w:t>govt = government; MBS = Medicare Benefits Schedule; PBS = Pharmaceutical Benefits Scheme; pub = published; RIS = risdiplam; SMA = spinal muscular atrophy; SMN = survival of motor neuron</w:t>
      </w:r>
    </w:p>
    <w:p w14:paraId="24934A52" w14:textId="77777777" w:rsidR="0007132E" w:rsidRPr="00C61670" w:rsidRDefault="0007132E" w:rsidP="00C3117B">
      <w:pPr>
        <w:pStyle w:val="FooterTableFigure"/>
        <w:keepNext/>
        <w:keepLines/>
      </w:pPr>
      <w:r w:rsidRPr="00C61670">
        <w:t>a Totals may not add up due to rounding.</w:t>
      </w:r>
    </w:p>
    <w:p w14:paraId="419702C8" w14:textId="187AB55A" w:rsidR="0007132E" w:rsidRPr="00C61670" w:rsidRDefault="0007132E" w:rsidP="00C3117B">
      <w:pPr>
        <w:pStyle w:val="FooterTableFigure"/>
        <w:keepNext/>
        <w:keepLines/>
      </w:pPr>
      <w:r w:rsidRPr="00C61670">
        <w:t>b Depending on age and body weight, patients can be dispensed either 1, 2 or 3 bottles of risdiplam (60</w:t>
      </w:r>
      <w:r w:rsidR="00E62608">
        <w:t xml:space="preserve"> </w:t>
      </w:r>
      <w:r w:rsidRPr="00C61670">
        <w:t>mg) per script.</w:t>
      </w:r>
    </w:p>
    <w:p w14:paraId="59528813" w14:textId="77777777" w:rsidR="0007132E" w:rsidRPr="00C61670" w:rsidRDefault="0007132E" w:rsidP="00C3117B">
      <w:pPr>
        <w:pStyle w:val="FooterTableFigure"/>
        <w:keepNext/>
        <w:keepLines/>
      </w:pPr>
      <w:r w:rsidRPr="00C61670">
        <w:t>c The number of patients who would no longer receive nusinersen was assumed to be equal the number of patients who would initiate risdiplam.</w:t>
      </w:r>
    </w:p>
    <w:p w14:paraId="4E3B1D70" w14:textId="77777777" w:rsidR="0007132E" w:rsidRPr="00C61670" w:rsidRDefault="0007132E" w:rsidP="00C3117B">
      <w:pPr>
        <w:pStyle w:val="FooterTableFigure"/>
        <w:keepNext/>
        <w:keepLines/>
      </w:pPr>
      <w:r w:rsidRPr="00C61670">
        <w:t>d The number of doses of nusinersen that would no longer be received was assumed to include 6 doses in year 1 (including loading doses) and 3 doses in subsequent years (steady state dose).</w:t>
      </w:r>
    </w:p>
    <w:p w14:paraId="4CE5380A" w14:textId="6F2099DB" w:rsidR="0007132E" w:rsidRDefault="0007132E" w:rsidP="00C3117B">
      <w:pPr>
        <w:pStyle w:val="FooterTableFigure"/>
        <w:keepNext/>
        <w:keepLines/>
      </w:pPr>
      <w:r w:rsidRPr="00C61670">
        <w:t xml:space="preserve">Source: Tables 4.4, 4.5, 4.6, 4.7, 4.8, 4.9, 4.10, 4.12, 4.13, 4.14, 4.15, 4.16, 4.17, 4.18, 4.19, 4.20, 4.21 and 4.22of the </w:t>
      </w:r>
      <w:r w:rsidR="0007089E">
        <w:t>submission</w:t>
      </w:r>
      <w:r w:rsidRPr="00C61670">
        <w:t>.</w:t>
      </w:r>
    </w:p>
    <w:p w14:paraId="6B550546" w14:textId="77777777" w:rsidR="005175F6" w:rsidRDefault="005175F6" w:rsidP="005175F6">
      <w:pPr>
        <w:spacing w:after="120"/>
        <w:contextualSpacing/>
        <w:rPr>
          <w:rFonts w:ascii="Arial Narrow" w:hAnsi="Arial Narrow"/>
          <w:snapToGrid w:val="0"/>
          <w:sz w:val="18"/>
          <w:szCs w:val="18"/>
        </w:rPr>
      </w:pPr>
      <w:bookmarkStart w:id="51" w:name="_Hlk176358988"/>
      <w:r w:rsidRPr="00DA62A6">
        <w:rPr>
          <w:rFonts w:ascii="Arial Narrow" w:hAnsi="Arial Narrow"/>
          <w:snapToGrid w:val="0"/>
          <w:sz w:val="18"/>
          <w:szCs w:val="18"/>
        </w:rPr>
        <w:t>The redacted values correspond to the following ranges</w:t>
      </w:r>
    </w:p>
    <w:p w14:paraId="113B52DD" w14:textId="70A98791" w:rsidR="000E0768" w:rsidRDefault="000E0768" w:rsidP="000E0768">
      <w:pPr>
        <w:spacing w:after="120"/>
        <w:contextualSpacing/>
        <w:rPr>
          <w:rFonts w:ascii="Arial Narrow" w:hAnsi="Arial Narrow"/>
          <w:snapToGrid w:val="0"/>
          <w:sz w:val="18"/>
          <w:szCs w:val="18"/>
        </w:rPr>
      </w:pPr>
      <w:bookmarkStart w:id="52" w:name="_Hlk113629054"/>
      <w:r>
        <w:rPr>
          <w:rFonts w:ascii="Arial Narrow" w:hAnsi="Arial Narrow"/>
          <w:snapToGrid w:val="0"/>
          <w:sz w:val="18"/>
          <w:szCs w:val="18"/>
        </w:rPr>
        <w:t xml:space="preserve">1 </w:t>
      </w:r>
      <w:r w:rsidRPr="000E0768">
        <w:rPr>
          <w:rFonts w:ascii="Arial Narrow" w:hAnsi="Arial Narrow"/>
          <w:snapToGrid w:val="0"/>
          <w:sz w:val="18"/>
          <w:szCs w:val="18"/>
        </w:rPr>
        <w:t>&lt; 500</w:t>
      </w:r>
    </w:p>
    <w:p w14:paraId="709083CF" w14:textId="77777777" w:rsidR="00DD652C" w:rsidRPr="00DD652C" w:rsidRDefault="00DD652C" w:rsidP="00DD652C">
      <w:pPr>
        <w:spacing w:after="120"/>
        <w:contextualSpacing/>
        <w:rPr>
          <w:rFonts w:ascii="Arial Narrow" w:hAnsi="Arial Narrow"/>
          <w:snapToGrid w:val="0"/>
          <w:sz w:val="18"/>
          <w:szCs w:val="18"/>
        </w:rPr>
      </w:pPr>
      <w:r w:rsidRPr="00DD652C">
        <w:rPr>
          <w:rFonts w:ascii="Arial Narrow" w:hAnsi="Arial Narrow"/>
          <w:snapToGrid w:val="0"/>
          <w:sz w:val="18"/>
          <w:szCs w:val="18"/>
        </w:rPr>
        <w:t>2 $0 to &lt; $10 million</w:t>
      </w:r>
    </w:p>
    <w:p w14:paraId="28602316" w14:textId="0A8F2D2E" w:rsidR="00DD652C" w:rsidRPr="00DD652C" w:rsidRDefault="00DD652C" w:rsidP="00DD652C">
      <w:pPr>
        <w:spacing w:after="120"/>
        <w:contextualSpacing/>
        <w:rPr>
          <w:rFonts w:ascii="Arial Narrow" w:hAnsi="Arial Narrow"/>
          <w:snapToGrid w:val="0"/>
          <w:sz w:val="18"/>
          <w:szCs w:val="18"/>
        </w:rPr>
      </w:pPr>
      <w:bookmarkStart w:id="53" w:name="_Hlk113629082"/>
      <w:bookmarkEnd w:id="52"/>
      <w:r>
        <w:rPr>
          <w:rFonts w:ascii="Arial Narrow" w:hAnsi="Arial Narrow"/>
          <w:snapToGrid w:val="0"/>
          <w:sz w:val="18"/>
          <w:szCs w:val="18"/>
        </w:rPr>
        <w:t xml:space="preserve">3 </w:t>
      </w:r>
      <w:r w:rsidRPr="00DD652C">
        <w:rPr>
          <w:rFonts w:ascii="Arial Narrow" w:hAnsi="Arial Narrow"/>
          <w:snapToGrid w:val="0"/>
          <w:sz w:val="18"/>
          <w:szCs w:val="18"/>
        </w:rPr>
        <w:t>net cost saving</w:t>
      </w:r>
    </w:p>
    <w:bookmarkEnd w:id="51"/>
    <w:bookmarkEnd w:id="53"/>
    <w:p w14:paraId="10A3B61F" w14:textId="58C91A51" w:rsidR="0007132E" w:rsidRPr="00C61670" w:rsidRDefault="0007132E" w:rsidP="0007132E">
      <w:pPr>
        <w:pStyle w:val="3-BodyText"/>
      </w:pPr>
      <w:r w:rsidRPr="00C61670">
        <w:t xml:space="preserve">While the </w:t>
      </w:r>
      <w:r w:rsidR="0007089E">
        <w:t>submission</w:t>
      </w:r>
      <w:r w:rsidRPr="00C61670">
        <w:t xml:space="preserve"> estimated the total </w:t>
      </w:r>
      <w:r w:rsidR="00305EAF">
        <w:t>impact</w:t>
      </w:r>
      <w:r w:rsidR="00305EAF" w:rsidRPr="00C61670">
        <w:t xml:space="preserve"> </w:t>
      </w:r>
      <w:r w:rsidRPr="00C61670">
        <w:t xml:space="preserve">to government to be cost saving for each year over the first six years of listing, these figures </w:t>
      </w:r>
      <w:r w:rsidR="00C95ED6">
        <w:t>we</w:t>
      </w:r>
      <w:r w:rsidRPr="00C61670">
        <w:t xml:space="preserve">re based on published prices for risdiplam and nusinersen. </w:t>
      </w:r>
      <w:r w:rsidRPr="003D7F39">
        <w:rPr>
          <w:iCs/>
        </w:rPr>
        <w:t>Additionally, as risdiplam is to be given as a life-</w:t>
      </w:r>
      <w:r w:rsidRPr="003D7F39">
        <w:rPr>
          <w:iCs/>
        </w:rPr>
        <w:lastRenderedPageBreak/>
        <w:t>long therapy and patients were assumed to not discontinue treatment, the total use of risdiplam will continue to rise beyond six years.</w:t>
      </w:r>
      <w:r w:rsidRPr="00C61670">
        <w:t xml:space="preserve"> </w:t>
      </w:r>
    </w:p>
    <w:p w14:paraId="738E789C" w14:textId="2B816AE9" w:rsidR="0007132E" w:rsidRPr="003B21A3" w:rsidRDefault="0007132E" w:rsidP="005640E8">
      <w:pPr>
        <w:pStyle w:val="3-BodyText"/>
        <w:rPr>
          <w:iCs/>
        </w:rPr>
      </w:pPr>
      <w:bookmarkStart w:id="54" w:name="_Ref172807633"/>
      <w:bookmarkEnd w:id="50"/>
      <w:r w:rsidRPr="00C61670">
        <w:t xml:space="preserve">The </w:t>
      </w:r>
      <w:r w:rsidR="0007089E">
        <w:t>submission</w:t>
      </w:r>
      <w:r w:rsidRPr="00C61670">
        <w:t xml:space="preserve"> did not include any grandfathered patients in the financial estimates. </w:t>
      </w:r>
      <w:r w:rsidR="003B21A3">
        <w:t>E</w:t>
      </w:r>
      <w:r w:rsidRPr="00C61670">
        <w:t xml:space="preserve">ight pre-symptomatic Australian SMA patients, including six patients with three copies of </w:t>
      </w:r>
      <w:r w:rsidRPr="003B21A3">
        <w:rPr>
          <w:i/>
          <w:iCs/>
        </w:rPr>
        <w:t>SMN2</w:t>
      </w:r>
      <w:r w:rsidRPr="00C61670">
        <w:t xml:space="preserve">, </w:t>
      </w:r>
      <w:r w:rsidR="005015DB">
        <w:t>we</w:t>
      </w:r>
      <w:r w:rsidRPr="00C61670">
        <w:t>re accessing risdiplam as part of the RAINBOWFISH study</w:t>
      </w:r>
      <w:r w:rsidR="005015DB">
        <w:t xml:space="preserve"> at the time of the </w:t>
      </w:r>
      <w:r w:rsidR="0007089E">
        <w:t>submission</w:t>
      </w:r>
      <w:r w:rsidRPr="00C61670">
        <w:t>.</w:t>
      </w:r>
      <w:bookmarkStart w:id="55" w:name="_Ref172807645"/>
      <w:bookmarkEnd w:id="54"/>
      <w:r w:rsidR="003B21A3">
        <w:rPr>
          <w:iCs/>
        </w:rPr>
        <w:t xml:space="preserve"> </w:t>
      </w:r>
      <w:r w:rsidR="00AC6934">
        <w:rPr>
          <w:iCs/>
        </w:rPr>
        <w:t xml:space="preserve">These </w:t>
      </w:r>
      <w:r w:rsidR="00305EAF">
        <w:rPr>
          <w:iCs/>
        </w:rPr>
        <w:t xml:space="preserve">six </w:t>
      </w:r>
      <w:r w:rsidR="00AC6934">
        <w:rPr>
          <w:iCs/>
        </w:rPr>
        <w:t xml:space="preserve">patients would not have been accounted for in the incident population. </w:t>
      </w:r>
      <w:r w:rsidRPr="003B21A3">
        <w:rPr>
          <w:iCs/>
        </w:rPr>
        <w:t>The impact of these patients on the financial estimates was unclear as it was unknown what treatment these patients would receive once they complete RAINBOWFISH</w:t>
      </w:r>
      <w:r w:rsidR="00F25E01" w:rsidRPr="003B21A3">
        <w:rPr>
          <w:iCs/>
        </w:rPr>
        <w:t xml:space="preserve"> in the absence of PBS listing for risdiplam in pre-symptomatic SMA in patients with three copies of </w:t>
      </w:r>
      <w:r w:rsidR="00F25E01" w:rsidRPr="003B21A3">
        <w:rPr>
          <w:i/>
        </w:rPr>
        <w:t>SMN2</w:t>
      </w:r>
      <w:r w:rsidRPr="003B21A3">
        <w:rPr>
          <w:iCs/>
        </w:rPr>
        <w:t xml:space="preserve">. </w:t>
      </w:r>
      <w:r w:rsidR="00C34D13" w:rsidRPr="003B21A3">
        <w:rPr>
          <w:iCs/>
        </w:rPr>
        <w:t>If these patients would not have initiated nusinersen, then the financial estimates may be underestimated</w:t>
      </w:r>
      <w:r w:rsidR="00074A9A" w:rsidRPr="003B21A3">
        <w:rPr>
          <w:iCs/>
        </w:rPr>
        <w:t xml:space="preserve"> as they would represent additional market growth for risdiplam only</w:t>
      </w:r>
      <w:r w:rsidR="00C34D13" w:rsidRPr="003B21A3">
        <w:rPr>
          <w:iCs/>
        </w:rPr>
        <w:t xml:space="preserve">. </w:t>
      </w:r>
      <w:r w:rsidR="00F25E01" w:rsidRPr="003B21A3">
        <w:rPr>
          <w:iCs/>
        </w:rPr>
        <w:t xml:space="preserve">However, </w:t>
      </w:r>
      <w:r w:rsidR="00676DC3" w:rsidRPr="003B21A3">
        <w:rPr>
          <w:iCs/>
        </w:rPr>
        <w:t xml:space="preserve">if </w:t>
      </w:r>
      <w:r w:rsidRPr="003B21A3">
        <w:rPr>
          <w:iCs/>
        </w:rPr>
        <w:t xml:space="preserve">these patients </w:t>
      </w:r>
      <w:r w:rsidR="00676DC3" w:rsidRPr="003B21A3">
        <w:rPr>
          <w:iCs/>
        </w:rPr>
        <w:t xml:space="preserve">would have </w:t>
      </w:r>
      <w:r w:rsidRPr="003B21A3">
        <w:rPr>
          <w:iCs/>
        </w:rPr>
        <w:t>switch</w:t>
      </w:r>
      <w:r w:rsidR="00676DC3" w:rsidRPr="003B21A3">
        <w:rPr>
          <w:iCs/>
        </w:rPr>
        <w:t>ed</w:t>
      </w:r>
      <w:r w:rsidRPr="003B21A3">
        <w:rPr>
          <w:iCs/>
        </w:rPr>
        <w:t xml:space="preserve"> </w:t>
      </w:r>
      <w:r w:rsidR="005B689C" w:rsidRPr="003B21A3">
        <w:rPr>
          <w:iCs/>
        </w:rPr>
        <w:t xml:space="preserve">to </w:t>
      </w:r>
      <w:r w:rsidRPr="003B21A3">
        <w:rPr>
          <w:iCs/>
        </w:rPr>
        <w:t xml:space="preserve">nusinersen following their participation in RAINBOWFISH, </w:t>
      </w:r>
      <w:r w:rsidR="00676DC3" w:rsidRPr="003B21A3">
        <w:rPr>
          <w:iCs/>
        </w:rPr>
        <w:t xml:space="preserve">the impact on the </w:t>
      </w:r>
      <w:r w:rsidRPr="003B21A3">
        <w:rPr>
          <w:iCs/>
        </w:rPr>
        <w:t>financial estimates</w:t>
      </w:r>
      <w:r w:rsidR="00676DC3" w:rsidRPr="003B21A3">
        <w:rPr>
          <w:iCs/>
        </w:rPr>
        <w:t xml:space="preserve"> would be negligible</w:t>
      </w:r>
      <w:r w:rsidRPr="003B21A3">
        <w:rPr>
          <w:iCs/>
        </w:rPr>
        <w:t>.</w:t>
      </w:r>
      <w:bookmarkEnd w:id="55"/>
    </w:p>
    <w:p w14:paraId="3BB5DF19" w14:textId="72CC7251" w:rsidR="0007132E" w:rsidRPr="003D7F39" w:rsidRDefault="0007132E" w:rsidP="0007132E">
      <w:pPr>
        <w:pStyle w:val="3-BodyText"/>
        <w:rPr>
          <w:iCs/>
        </w:rPr>
      </w:pPr>
      <w:r w:rsidRPr="00B75CAF">
        <w:t xml:space="preserve">The </w:t>
      </w:r>
      <w:r w:rsidR="0007089E">
        <w:t>submission</w:t>
      </w:r>
      <w:r w:rsidRPr="00B75CAF">
        <w:t xml:space="preserve"> stated that treatment uptake rates were informed based on internal assumptions following consultation with </w:t>
      </w:r>
      <w:r w:rsidR="00233A69" w:rsidRPr="00B75CAF">
        <w:t>advisors (</w:t>
      </w:r>
      <w:r w:rsidRPr="00B75CAF">
        <w:t>pre-symptomatic SMA prescribers</w:t>
      </w:r>
      <w:r w:rsidR="00233A69" w:rsidRPr="00B75CAF">
        <w:t>)</w:t>
      </w:r>
      <w:r w:rsidRPr="00B75CAF">
        <w:t xml:space="preserve">. The </w:t>
      </w:r>
      <w:r w:rsidR="0007089E">
        <w:t>submission</w:t>
      </w:r>
      <w:r w:rsidRPr="00B75CAF">
        <w:t xml:space="preserve"> claimed that </w:t>
      </w:r>
      <w:proofErr w:type="gramStart"/>
      <w:r w:rsidRPr="00B75CAF">
        <w:t>the majority of</w:t>
      </w:r>
      <w:proofErr w:type="gramEnd"/>
      <w:r w:rsidRPr="00B75CAF">
        <w:t xml:space="preserve"> families will elect for one-time treatment with ONA (~60%) and the remaining 40% of patients will be divided evenly between risdiplam and nusinersen</w:t>
      </w:r>
      <w:r w:rsidRPr="003D7F39">
        <w:rPr>
          <w:iCs/>
        </w:rPr>
        <w:t xml:space="preserve">; </w:t>
      </w:r>
      <w:r w:rsidR="00EF210A" w:rsidRPr="003D7F39">
        <w:rPr>
          <w:iCs/>
        </w:rPr>
        <w:t>however,</w:t>
      </w:r>
      <w:r w:rsidRPr="003D7F39">
        <w:rPr>
          <w:iCs/>
        </w:rPr>
        <w:t xml:space="preserve"> these figures were based on assumption</w:t>
      </w:r>
      <w:r w:rsidR="00554F4C" w:rsidRPr="003D7F39">
        <w:rPr>
          <w:iCs/>
        </w:rPr>
        <w:t>s</w:t>
      </w:r>
      <w:r w:rsidRPr="003D7F39">
        <w:rPr>
          <w:iCs/>
        </w:rPr>
        <w:t xml:space="preserve">. While it may be reasonable to assume that ONA is </w:t>
      </w:r>
      <w:proofErr w:type="gramStart"/>
      <w:r w:rsidRPr="003D7F39">
        <w:rPr>
          <w:iCs/>
        </w:rPr>
        <w:t>used most commonly</w:t>
      </w:r>
      <w:proofErr w:type="gramEnd"/>
      <w:r w:rsidRPr="003D7F39">
        <w:rPr>
          <w:iCs/>
        </w:rPr>
        <w:t>, some families could opt to initiate risdiplam, favouring it over ONA because of its oral administration or ready availability. Further, it may not be reasonable to assume that nusinersen and risdiplam would have the same market share</w:t>
      </w:r>
      <w:r w:rsidR="00A85E3C">
        <w:rPr>
          <w:iCs/>
        </w:rPr>
        <w:t>,</w:t>
      </w:r>
      <w:r w:rsidRPr="003D7F39">
        <w:rPr>
          <w:iCs/>
        </w:rPr>
        <w:t xml:space="preserve"> as the </w:t>
      </w:r>
      <w:r w:rsidR="0007089E" w:rsidRPr="003D7F39">
        <w:rPr>
          <w:iCs/>
        </w:rPr>
        <w:t>submission</w:t>
      </w:r>
      <w:r w:rsidRPr="003D7F39">
        <w:rPr>
          <w:iCs/>
        </w:rPr>
        <w:t xml:space="preserve"> reported that advisors to the </w:t>
      </w:r>
      <w:r w:rsidR="00233A69" w:rsidRPr="003D7F39">
        <w:rPr>
          <w:iCs/>
        </w:rPr>
        <w:t>s</w:t>
      </w:r>
      <w:r w:rsidRPr="003D7F39">
        <w:rPr>
          <w:iCs/>
        </w:rPr>
        <w:t xml:space="preserve">ponsor expect to treat more pre-symptomatic patients with risdiplam than nusinersen. Consequently, </w:t>
      </w:r>
      <w:r w:rsidRPr="00DD6359">
        <w:rPr>
          <w:iCs/>
        </w:rPr>
        <w:t xml:space="preserve">the </w:t>
      </w:r>
      <w:r w:rsidR="00EA001D" w:rsidRPr="00DD6359">
        <w:rPr>
          <w:iCs/>
        </w:rPr>
        <w:t>evaluation and the ESC considered</w:t>
      </w:r>
      <w:r w:rsidR="00EA001D">
        <w:rPr>
          <w:iCs/>
        </w:rPr>
        <w:t xml:space="preserve"> the </w:t>
      </w:r>
      <w:r w:rsidRPr="003D7F39">
        <w:rPr>
          <w:iCs/>
        </w:rPr>
        <w:t xml:space="preserve">assumption that 20% of eligible patients would receive risdiplam </w:t>
      </w:r>
      <w:r w:rsidR="005B689C" w:rsidRPr="003D7F39">
        <w:rPr>
          <w:iCs/>
        </w:rPr>
        <w:t xml:space="preserve">is </w:t>
      </w:r>
      <w:r w:rsidR="00EF564B" w:rsidRPr="003D7F39">
        <w:rPr>
          <w:iCs/>
        </w:rPr>
        <w:t>likely to be underestimated</w:t>
      </w:r>
      <w:r w:rsidRPr="003D7F39">
        <w:rPr>
          <w:iCs/>
        </w:rPr>
        <w:t xml:space="preserve">. </w:t>
      </w:r>
    </w:p>
    <w:p w14:paraId="70F6EA3B" w14:textId="1505E03A" w:rsidR="0007132E" w:rsidRPr="003D7F39" w:rsidRDefault="0007132E" w:rsidP="00001CA3">
      <w:pPr>
        <w:pStyle w:val="3-BodyText"/>
        <w:rPr>
          <w:iCs/>
        </w:rPr>
      </w:pPr>
      <w:r w:rsidRPr="00B75CAF">
        <w:t xml:space="preserve">The </w:t>
      </w:r>
      <w:r w:rsidR="0007089E">
        <w:t>submission</w:t>
      </w:r>
      <w:r w:rsidRPr="00B75CAF">
        <w:t xml:space="preserve"> assumed that the uptake of risdiplam did not include any treatment switching either to or from other DMTs.</w:t>
      </w:r>
      <w:r w:rsidRPr="003D7F39">
        <w:rPr>
          <w:iCs/>
        </w:rPr>
        <w:t xml:space="preserve"> </w:t>
      </w:r>
      <w:r w:rsidRPr="00DD6359">
        <w:rPr>
          <w:iCs/>
        </w:rPr>
        <w:t>Th</w:t>
      </w:r>
      <w:r w:rsidR="00EA001D" w:rsidRPr="00DD6359">
        <w:rPr>
          <w:iCs/>
        </w:rPr>
        <w:t>e evaluation and the ESC considered</w:t>
      </w:r>
      <w:r w:rsidR="00EA001D">
        <w:rPr>
          <w:iCs/>
        </w:rPr>
        <w:t xml:space="preserve"> th</w:t>
      </w:r>
      <w:r w:rsidRPr="003D7F39">
        <w:rPr>
          <w:iCs/>
        </w:rPr>
        <w:t>is may not be reasonable</w:t>
      </w:r>
      <w:r w:rsidR="0015241B" w:rsidRPr="003D7F39">
        <w:rPr>
          <w:iCs/>
        </w:rPr>
        <w:t xml:space="preserve"> as patients can use risdiplam after nusinersen (and vice versa)</w:t>
      </w:r>
      <w:r w:rsidRPr="003D7F39">
        <w:rPr>
          <w:iCs/>
        </w:rPr>
        <w:t xml:space="preserve">. </w:t>
      </w:r>
      <w:bookmarkStart w:id="56" w:name="_Ref166198749"/>
      <w:r w:rsidR="00F14975" w:rsidRPr="003D7F39">
        <w:rPr>
          <w:iCs/>
        </w:rPr>
        <w:t xml:space="preserve">Whether there would be cost savings associated with risdiplam depends on the degree of substitution for nusinersen and ONA. </w:t>
      </w:r>
      <w:r w:rsidR="00956B83" w:rsidRPr="003D7F39">
        <w:rPr>
          <w:iCs/>
        </w:rPr>
        <w:t>W</w:t>
      </w:r>
      <w:r w:rsidRPr="003D7F39">
        <w:rPr>
          <w:iCs/>
        </w:rPr>
        <w:t xml:space="preserve">hen considering the proposed listing for ONA for patients aged less than 9 months with pre-symptomatic SMA with 1-3 copies of the </w:t>
      </w:r>
      <w:r w:rsidRPr="000F1040">
        <w:rPr>
          <w:i/>
        </w:rPr>
        <w:t>SMN2</w:t>
      </w:r>
      <w:r w:rsidRPr="003D7F39">
        <w:rPr>
          <w:iCs/>
        </w:rPr>
        <w:t xml:space="preserve"> gene, the PBAC considered that seven years was a reasonable duration for the basis of the cost-minimisation analysis (comparator nusinersen) (paragraph 8.11, ONA PSD, May 2021 PBAC meeting). </w:t>
      </w:r>
      <w:r w:rsidR="00BF7B85" w:rsidRPr="003D7F39">
        <w:rPr>
          <w:iCs/>
        </w:rPr>
        <w:t>As such, c</w:t>
      </w:r>
      <w:r w:rsidRPr="003D7F39">
        <w:rPr>
          <w:iCs/>
        </w:rPr>
        <w:t xml:space="preserve">ompared to ONA, treatment with risdiplam </w:t>
      </w:r>
      <w:r w:rsidR="00BF7B85" w:rsidRPr="003D7F39">
        <w:rPr>
          <w:iCs/>
        </w:rPr>
        <w:t xml:space="preserve">will be </w:t>
      </w:r>
      <w:r w:rsidRPr="003D7F39">
        <w:rPr>
          <w:iCs/>
        </w:rPr>
        <w:t>less expensive in the shorter term, but beyond seven years</w:t>
      </w:r>
      <w:r w:rsidR="00BF7B85" w:rsidRPr="003D7F39">
        <w:rPr>
          <w:iCs/>
        </w:rPr>
        <w:t>,</w:t>
      </w:r>
      <w:r w:rsidRPr="003D7F39">
        <w:rPr>
          <w:iCs/>
        </w:rPr>
        <w:t xml:space="preserve"> treatment with ONA will be less expensive</w:t>
      </w:r>
      <w:r w:rsidR="00BF7B85" w:rsidRPr="003D7F39">
        <w:rPr>
          <w:iCs/>
        </w:rPr>
        <w:t xml:space="preserve"> than risdiplam</w:t>
      </w:r>
      <w:r w:rsidRPr="003D7F39">
        <w:rPr>
          <w:iCs/>
        </w:rPr>
        <w:t>.</w:t>
      </w:r>
      <w:bookmarkEnd w:id="56"/>
    </w:p>
    <w:p w14:paraId="4B84BC1D" w14:textId="69DAF812" w:rsidR="0007132E" w:rsidRPr="003D7F39" w:rsidRDefault="0007132E" w:rsidP="0007132E">
      <w:pPr>
        <w:pStyle w:val="3-BodyText"/>
        <w:rPr>
          <w:iCs/>
        </w:rPr>
      </w:pPr>
      <w:r w:rsidRPr="003D7F39">
        <w:rPr>
          <w:iCs/>
        </w:rPr>
        <w:t xml:space="preserve">Overall, </w:t>
      </w:r>
      <w:r w:rsidRPr="00DD6359">
        <w:rPr>
          <w:iCs/>
        </w:rPr>
        <w:t xml:space="preserve">the </w:t>
      </w:r>
      <w:r w:rsidR="00025A8C" w:rsidRPr="00DD6359">
        <w:rPr>
          <w:iCs/>
        </w:rPr>
        <w:t xml:space="preserve">evaluation and the </w:t>
      </w:r>
      <w:r w:rsidR="00A95324" w:rsidRPr="00DD6359">
        <w:rPr>
          <w:iCs/>
        </w:rPr>
        <w:t>ESC considered</w:t>
      </w:r>
      <w:r w:rsidR="00A95324">
        <w:rPr>
          <w:iCs/>
        </w:rPr>
        <w:t xml:space="preserve"> the </w:t>
      </w:r>
      <w:r w:rsidRPr="003D7F39">
        <w:rPr>
          <w:iCs/>
        </w:rPr>
        <w:t>utilisation of risdiplam was likely underestimated as:</w:t>
      </w:r>
    </w:p>
    <w:p w14:paraId="3E3186EB" w14:textId="7353154A" w:rsidR="0007132E" w:rsidRPr="003D7F39" w:rsidRDefault="0007132E" w:rsidP="00C12E81">
      <w:pPr>
        <w:pStyle w:val="ListBullet"/>
        <w:tabs>
          <w:tab w:val="clear" w:pos="360"/>
          <w:tab w:val="num" w:pos="1080"/>
        </w:tabs>
        <w:spacing w:after="120"/>
        <w:ind w:left="1077" w:hanging="357"/>
        <w:contextualSpacing w:val="0"/>
        <w:rPr>
          <w:iCs/>
        </w:rPr>
      </w:pPr>
      <w:r w:rsidRPr="003D7F39">
        <w:rPr>
          <w:iCs/>
        </w:rPr>
        <w:t xml:space="preserve">The incidence of SMA (8.33 per 100,000) and proportion with three </w:t>
      </w:r>
      <w:r w:rsidRPr="000F1040">
        <w:rPr>
          <w:i/>
        </w:rPr>
        <w:t>SMN2</w:t>
      </w:r>
      <w:r w:rsidRPr="003D7F39">
        <w:rPr>
          <w:iCs/>
        </w:rPr>
        <w:t xml:space="preserve"> copies (38.1%) assumed in the </w:t>
      </w:r>
      <w:r w:rsidR="0007089E" w:rsidRPr="003D7F39">
        <w:rPr>
          <w:iCs/>
        </w:rPr>
        <w:t>submission</w:t>
      </w:r>
      <w:r w:rsidRPr="003D7F39">
        <w:rPr>
          <w:iCs/>
        </w:rPr>
        <w:t xml:space="preserve"> were lower than what was previously accepted </w:t>
      </w:r>
      <w:r w:rsidRPr="003D7F39">
        <w:rPr>
          <w:iCs/>
        </w:rPr>
        <w:lastRenderedPageBreak/>
        <w:t>by the PBAC for nusinersen at the July 2023 meeting (8.66 per 100,000 and 45.81%, respectively; Table 20, nusinersen PSD, July 2023);</w:t>
      </w:r>
    </w:p>
    <w:p w14:paraId="0D11ABCF" w14:textId="702976AE" w:rsidR="0007132E" w:rsidRPr="003D7F39" w:rsidRDefault="0007132E" w:rsidP="00C12E81">
      <w:pPr>
        <w:pStyle w:val="ListBullet"/>
        <w:tabs>
          <w:tab w:val="clear" w:pos="360"/>
          <w:tab w:val="num" w:pos="1080"/>
        </w:tabs>
        <w:spacing w:after="120"/>
        <w:ind w:left="1077" w:hanging="357"/>
        <w:contextualSpacing w:val="0"/>
        <w:rPr>
          <w:iCs/>
        </w:rPr>
      </w:pPr>
      <w:r w:rsidRPr="003D7F39">
        <w:rPr>
          <w:iCs/>
        </w:rPr>
        <w:t xml:space="preserve">The uptake rate </w:t>
      </w:r>
      <w:r w:rsidR="00554F4C" w:rsidRPr="003D7F39">
        <w:rPr>
          <w:iCs/>
        </w:rPr>
        <w:t>for</w:t>
      </w:r>
      <w:r w:rsidRPr="003D7F39">
        <w:rPr>
          <w:iCs/>
        </w:rPr>
        <w:t xml:space="preserve"> risdiplam may be underestimated. Advisors to the Sponsor suggested that they expect to treat more pre-symptomatic patients with risdiplam than nusinersen; and</w:t>
      </w:r>
    </w:p>
    <w:p w14:paraId="79F8CDC8" w14:textId="7EACBDCE" w:rsidR="0007132E" w:rsidRPr="003D7F39" w:rsidRDefault="0007132E" w:rsidP="00C12E81">
      <w:pPr>
        <w:pStyle w:val="ListBullet"/>
        <w:tabs>
          <w:tab w:val="clear" w:pos="360"/>
          <w:tab w:val="num" w:pos="1080"/>
        </w:tabs>
        <w:spacing w:after="120"/>
        <w:ind w:left="1077" w:hanging="357"/>
        <w:contextualSpacing w:val="0"/>
        <w:rPr>
          <w:iCs/>
        </w:rPr>
      </w:pPr>
      <w:r w:rsidRPr="003D7F39">
        <w:rPr>
          <w:iCs/>
        </w:rPr>
        <w:t xml:space="preserve">No substitution for ONA was considered by the resubmission. As the </w:t>
      </w:r>
      <w:r w:rsidR="003760CD" w:rsidRPr="003D7F39">
        <w:rPr>
          <w:iCs/>
        </w:rPr>
        <w:t>re</w:t>
      </w:r>
      <w:r w:rsidRPr="003D7F39">
        <w:rPr>
          <w:iCs/>
        </w:rPr>
        <w:t xml:space="preserve">submission noted, caregivers of patients may have reservations around ONA as a gene therapy, though it may still be preferred if the alternative was a thrice yearly intrathecal injection. Risdiplam, as an oral therapy, would represent an alternative which may be more tolerable for caregivers and may in fact be preferred by caregivers who have reservations around ONA. </w:t>
      </w:r>
    </w:p>
    <w:p w14:paraId="58FB6A97" w14:textId="6C65EE40" w:rsidR="0007132E" w:rsidRDefault="00BF7B85" w:rsidP="0007132E">
      <w:pPr>
        <w:pStyle w:val="3-BodyText"/>
        <w:numPr>
          <w:ilvl w:val="0"/>
          <w:numId w:val="0"/>
        </w:numPr>
        <w:ind w:left="720"/>
        <w:rPr>
          <w:iCs/>
        </w:rPr>
      </w:pPr>
      <w:r w:rsidRPr="003D7F39">
        <w:rPr>
          <w:iCs/>
        </w:rPr>
        <w:t xml:space="preserve">However as discussed in paragraph </w:t>
      </w:r>
      <w:r w:rsidR="00630A42" w:rsidRPr="00630A42">
        <w:rPr>
          <w:iCs/>
        </w:rPr>
        <w:fldChar w:fldCharType="begin" w:fldLock="1"/>
      </w:r>
      <w:r w:rsidR="00630A42" w:rsidRPr="00630A42">
        <w:rPr>
          <w:iCs/>
        </w:rPr>
        <w:instrText xml:space="preserve"> REF _Ref166198749 \r \h  \* MERGEFORMAT </w:instrText>
      </w:r>
      <w:r w:rsidR="00630A42" w:rsidRPr="00630A42">
        <w:rPr>
          <w:iCs/>
        </w:rPr>
      </w:r>
      <w:r w:rsidR="00630A42" w:rsidRPr="00630A42">
        <w:rPr>
          <w:iCs/>
        </w:rPr>
        <w:fldChar w:fldCharType="separate"/>
      </w:r>
      <w:r w:rsidR="00630A42" w:rsidRPr="00630A42">
        <w:rPr>
          <w:iCs/>
        </w:rPr>
        <w:t>6.59</w:t>
      </w:r>
      <w:r w:rsidR="00630A42" w:rsidRPr="00630A42">
        <w:rPr>
          <w:iCs/>
        </w:rPr>
        <w:fldChar w:fldCharType="end"/>
      </w:r>
      <w:r w:rsidRPr="003D7F39">
        <w:rPr>
          <w:iCs/>
        </w:rPr>
        <w:t>, t</w:t>
      </w:r>
      <w:r w:rsidR="0007132E" w:rsidRPr="003D7F39">
        <w:rPr>
          <w:iCs/>
        </w:rPr>
        <w:t xml:space="preserve">he impact of </w:t>
      </w:r>
      <w:r w:rsidRPr="003D7F39">
        <w:rPr>
          <w:iCs/>
        </w:rPr>
        <w:t xml:space="preserve">the </w:t>
      </w:r>
      <w:r w:rsidR="0007132E" w:rsidRPr="003D7F39">
        <w:rPr>
          <w:iCs/>
        </w:rPr>
        <w:t>underestimat</w:t>
      </w:r>
      <w:r w:rsidRPr="003D7F39">
        <w:rPr>
          <w:iCs/>
        </w:rPr>
        <w:t>e</w:t>
      </w:r>
      <w:r w:rsidR="0007132E" w:rsidRPr="003D7F39">
        <w:rPr>
          <w:iCs/>
        </w:rPr>
        <w:t xml:space="preserve"> depends on whether nusinersen or ONA was substituted for. If risdiplam substituted for nusinersen, then underestimating risdiplam utilisation likely would have </w:t>
      </w:r>
      <w:r w:rsidR="00B12A43" w:rsidRPr="003D7F39">
        <w:rPr>
          <w:iCs/>
        </w:rPr>
        <w:t xml:space="preserve">a slight cost saving or </w:t>
      </w:r>
      <w:r w:rsidR="0007132E" w:rsidRPr="003D7F39">
        <w:rPr>
          <w:iCs/>
        </w:rPr>
        <w:t>no impact (assuming cost neutrality). However, if risdiplam substituted for ONA, then the financial impacts may be underestimated in the long run</w:t>
      </w:r>
      <w:r w:rsidR="00BD5677" w:rsidRPr="003D7F39">
        <w:rPr>
          <w:iCs/>
        </w:rPr>
        <w:t xml:space="preserve"> </w:t>
      </w:r>
      <w:bookmarkStart w:id="57" w:name="_Hlk167011525"/>
      <w:r w:rsidR="00BD5677" w:rsidRPr="003D7F39">
        <w:rPr>
          <w:iCs/>
        </w:rPr>
        <w:t xml:space="preserve">(although not </w:t>
      </w:r>
      <w:r w:rsidR="00B86401" w:rsidRPr="003D7F39">
        <w:rPr>
          <w:iCs/>
        </w:rPr>
        <w:t>with</w:t>
      </w:r>
      <w:r w:rsidR="00BD5677" w:rsidRPr="003D7F39">
        <w:rPr>
          <w:iCs/>
        </w:rPr>
        <w:t>in the six years of the forward estimates)</w:t>
      </w:r>
      <w:bookmarkEnd w:id="57"/>
      <w:r w:rsidR="0007132E" w:rsidRPr="003D7F39">
        <w:rPr>
          <w:iCs/>
        </w:rPr>
        <w:t xml:space="preserve"> as risdiplam needs to be administered lifelong whereas ONA is intended </w:t>
      </w:r>
      <w:r w:rsidR="006B716B" w:rsidRPr="003D7F39">
        <w:rPr>
          <w:iCs/>
        </w:rPr>
        <w:t xml:space="preserve">to be a once-off injection. </w:t>
      </w:r>
    </w:p>
    <w:p w14:paraId="079749CB" w14:textId="77777777" w:rsidR="00CF4FAF" w:rsidRPr="00CF4FAF" w:rsidRDefault="00CF4FAF" w:rsidP="00CF4FAF">
      <w:pPr>
        <w:spacing w:after="120"/>
        <w:ind w:firstLine="709"/>
        <w:rPr>
          <w:rFonts w:asciiTheme="minorHAnsi" w:hAnsiTheme="minorHAnsi" w:cs="Times New Roman"/>
          <w:i/>
          <w:lang w:eastAsia="en-US"/>
        </w:rPr>
      </w:pPr>
      <w:r w:rsidRPr="00CF4FAF">
        <w:rPr>
          <w:rFonts w:asciiTheme="minorHAnsi" w:hAnsiTheme="minorHAnsi" w:cs="Times New Roman"/>
          <w:i/>
          <w:lang w:eastAsia="en-US"/>
        </w:rPr>
        <w:t>For more detail on PBAC’s view, see section 7 PBAC outcome.</w:t>
      </w:r>
    </w:p>
    <w:p w14:paraId="4035034A" w14:textId="77777777" w:rsidR="0007132E" w:rsidRPr="00C61670" w:rsidRDefault="0007132E" w:rsidP="0007132E">
      <w:pPr>
        <w:pStyle w:val="4-SubsectionHeading"/>
      </w:pPr>
      <w:bookmarkStart w:id="58" w:name="_Toc167202930"/>
      <w:r w:rsidRPr="00C61670">
        <w:t>Financial Management – Risk Sharing Arrangements</w:t>
      </w:r>
      <w:bookmarkEnd w:id="58"/>
    </w:p>
    <w:p w14:paraId="4CCBFEF4" w14:textId="395025EC" w:rsidR="0007132E" w:rsidRDefault="0007132E" w:rsidP="0007132E">
      <w:pPr>
        <w:pStyle w:val="3-BodyText"/>
      </w:pPr>
      <w:r w:rsidRPr="00C61670">
        <w:t xml:space="preserve">No subsidisation cap was proposed in the </w:t>
      </w:r>
      <w:r w:rsidR="0007089E">
        <w:t>submission</w:t>
      </w:r>
      <w:r w:rsidRPr="00C61670">
        <w:t xml:space="preserve">. The </w:t>
      </w:r>
      <w:r w:rsidR="0007089E">
        <w:t>submission</w:t>
      </w:r>
      <w:r w:rsidRPr="00C61670">
        <w:t xml:space="preserve"> stated that the </w:t>
      </w:r>
      <w:r w:rsidR="00AC36F6">
        <w:t>s</w:t>
      </w:r>
      <w:r w:rsidRPr="00C61670">
        <w:t xml:space="preserve">ponsor is willing in principle to </w:t>
      </w:r>
      <w:proofErr w:type="gramStart"/>
      <w:r w:rsidRPr="00C61670">
        <w:t>enter into</w:t>
      </w:r>
      <w:proofErr w:type="gramEnd"/>
      <w:r w:rsidRPr="00C61670">
        <w:t xml:space="preserve"> the existing risk sharing arrangement in place for pre-symptomatic SMA patients with three </w:t>
      </w:r>
      <w:r w:rsidRPr="00E62608">
        <w:rPr>
          <w:i/>
          <w:iCs/>
        </w:rPr>
        <w:t>SMN2</w:t>
      </w:r>
      <w:r w:rsidRPr="00C61670">
        <w:t xml:space="preserve"> gene copies. </w:t>
      </w:r>
    </w:p>
    <w:p w14:paraId="393CE366" w14:textId="77777777" w:rsidR="00457055" w:rsidRPr="00457055" w:rsidRDefault="00457055" w:rsidP="00457055">
      <w:pPr>
        <w:keepNext/>
        <w:numPr>
          <w:ilvl w:val="0"/>
          <w:numId w:val="1"/>
        </w:numPr>
        <w:spacing w:before="240" w:after="120"/>
        <w:jc w:val="left"/>
        <w:outlineLvl w:val="1"/>
        <w:rPr>
          <w:rFonts w:asciiTheme="minorHAnsi" w:hAnsiTheme="minorHAnsi"/>
          <w:b/>
          <w:snapToGrid w:val="0"/>
          <w:sz w:val="32"/>
          <w:szCs w:val="32"/>
        </w:rPr>
      </w:pPr>
      <w:bookmarkStart w:id="59" w:name="_Hlk76381249"/>
      <w:bookmarkStart w:id="60" w:name="_Hlk76377955"/>
      <w:r w:rsidRPr="00457055">
        <w:rPr>
          <w:rFonts w:asciiTheme="minorHAnsi" w:hAnsiTheme="minorHAnsi"/>
          <w:b/>
          <w:snapToGrid w:val="0"/>
          <w:sz w:val="32"/>
          <w:szCs w:val="32"/>
        </w:rPr>
        <w:t>PBAC Outcome</w:t>
      </w:r>
    </w:p>
    <w:p w14:paraId="0C53DF5D" w14:textId="52CBABCB" w:rsidR="00457055" w:rsidRPr="00C723B2" w:rsidRDefault="00457055" w:rsidP="00C723B2">
      <w:pPr>
        <w:widowControl w:val="0"/>
        <w:numPr>
          <w:ilvl w:val="1"/>
          <w:numId w:val="1"/>
        </w:numPr>
        <w:spacing w:after="120"/>
        <w:rPr>
          <w:rFonts w:asciiTheme="minorHAnsi" w:hAnsiTheme="minorHAnsi"/>
          <w:snapToGrid w:val="0"/>
          <w:lang w:val="en-GB" w:eastAsia="en-US"/>
        </w:rPr>
      </w:pPr>
      <w:bookmarkStart w:id="61" w:name="_Hlk171687885"/>
      <w:r w:rsidRPr="00C723B2">
        <w:rPr>
          <w:rFonts w:asciiTheme="minorHAnsi" w:hAnsiTheme="minorHAnsi"/>
          <w:snapToGrid w:val="0"/>
          <w:lang w:val="en-GB" w:eastAsia="en-US"/>
        </w:rPr>
        <w:t xml:space="preserve">The PBAC recommended the listing of </w:t>
      </w:r>
      <w:r w:rsidR="00C723B2" w:rsidRPr="00C723B2">
        <w:rPr>
          <w:rFonts w:asciiTheme="minorHAnsi" w:hAnsiTheme="minorHAnsi"/>
          <w:snapToGrid w:val="0"/>
          <w:lang w:val="en-GB" w:eastAsia="en-US"/>
        </w:rPr>
        <w:t xml:space="preserve">risdiplam for </w:t>
      </w:r>
      <w:r w:rsidR="00C723B2" w:rsidRPr="007C3FC9">
        <w:rPr>
          <w:rFonts w:asciiTheme="minorHAnsi" w:hAnsiTheme="minorHAnsi"/>
          <w:snapToGrid w:val="0"/>
          <w:lang w:val="en-GB" w:eastAsia="en-US"/>
        </w:rPr>
        <w:t xml:space="preserve">the pre-symptomatic initiation </w:t>
      </w:r>
      <w:r w:rsidR="00C723B2">
        <w:rPr>
          <w:rFonts w:asciiTheme="minorHAnsi" w:hAnsiTheme="minorHAnsi"/>
          <w:snapToGrid w:val="0"/>
          <w:lang w:val="en-GB" w:eastAsia="en-US"/>
        </w:rPr>
        <w:t>of treatment in</w:t>
      </w:r>
      <w:r w:rsidR="00C723B2" w:rsidRPr="007C3FC9">
        <w:rPr>
          <w:rFonts w:asciiTheme="minorHAnsi" w:hAnsiTheme="minorHAnsi"/>
          <w:snapToGrid w:val="0"/>
          <w:lang w:val="en-GB" w:eastAsia="en-US"/>
        </w:rPr>
        <w:t xml:space="preserve"> patients</w:t>
      </w:r>
      <w:r w:rsidR="00A8534F">
        <w:rPr>
          <w:rFonts w:asciiTheme="minorHAnsi" w:hAnsiTheme="minorHAnsi"/>
          <w:snapToGrid w:val="0"/>
          <w:lang w:val="en-GB" w:eastAsia="en-US"/>
        </w:rPr>
        <w:t xml:space="preserve"> aged </w:t>
      </w:r>
      <w:r w:rsidR="00D725BE">
        <w:rPr>
          <w:rFonts w:asciiTheme="minorHAnsi" w:hAnsiTheme="minorHAnsi"/>
          <w:snapToGrid w:val="0"/>
          <w:lang w:val="en-GB" w:eastAsia="en-US"/>
        </w:rPr>
        <w:t>&lt;</w:t>
      </w:r>
      <w:r w:rsidR="00A8534F">
        <w:rPr>
          <w:rFonts w:asciiTheme="minorHAnsi" w:hAnsiTheme="minorHAnsi"/>
          <w:snapToGrid w:val="0"/>
          <w:lang w:val="en-GB" w:eastAsia="en-US"/>
        </w:rPr>
        <w:t>36 months</w:t>
      </w:r>
      <w:r w:rsidR="00C723B2">
        <w:rPr>
          <w:rFonts w:asciiTheme="minorHAnsi" w:hAnsiTheme="minorHAnsi"/>
          <w:snapToGrid w:val="0"/>
          <w:lang w:val="en-GB" w:eastAsia="en-US"/>
        </w:rPr>
        <w:t xml:space="preserve">, </w:t>
      </w:r>
      <w:r w:rsidR="00C723B2" w:rsidRPr="007C3FC9">
        <w:rPr>
          <w:rFonts w:asciiTheme="minorHAnsi" w:hAnsiTheme="minorHAnsi"/>
          <w:snapToGrid w:val="0"/>
          <w:lang w:val="en-GB" w:eastAsia="en-US"/>
        </w:rPr>
        <w:t xml:space="preserve">genetically diagnosed with spinal muscular atrophy (SMA), who have a </w:t>
      </w:r>
      <w:r w:rsidR="00C723B2" w:rsidRPr="003E394F">
        <w:rPr>
          <w:rFonts w:asciiTheme="minorHAnsi" w:hAnsiTheme="minorHAnsi"/>
          <w:snapToGrid w:val="0"/>
          <w:lang w:val="en-GB" w:eastAsia="en-US"/>
        </w:rPr>
        <w:t>survival motor neuron 2</w:t>
      </w:r>
      <w:r w:rsidR="00C723B2" w:rsidRPr="007C3FC9">
        <w:rPr>
          <w:rFonts w:asciiTheme="minorHAnsi" w:hAnsiTheme="minorHAnsi"/>
          <w:snapToGrid w:val="0"/>
          <w:lang w:val="en-GB" w:eastAsia="en-US"/>
        </w:rPr>
        <w:t xml:space="preserve"> (</w:t>
      </w:r>
      <w:r w:rsidR="00C723B2" w:rsidRPr="004E6BDA">
        <w:rPr>
          <w:rFonts w:asciiTheme="minorHAnsi" w:hAnsiTheme="minorHAnsi"/>
          <w:i/>
          <w:iCs/>
          <w:snapToGrid w:val="0"/>
          <w:lang w:val="en-GB" w:eastAsia="en-US"/>
        </w:rPr>
        <w:t>SMN2</w:t>
      </w:r>
      <w:r w:rsidR="00C723B2" w:rsidRPr="007C3FC9">
        <w:rPr>
          <w:rFonts w:asciiTheme="minorHAnsi" w:hAnsiTheme="minorHAnsi"/>
          <w:snapToGrid w:val="0"/>
          <w:lang w:val="en-GB" w:eastAsia="en-US"/>
        </w:rPr>
        <w:t>) gene copy number of 3</w:t>
      </w:r>
      <w:r w:rsidR="00A8534F">
        <w:rPr>
          <w:rFonts w:asciiTheme="minorHAnsi" w:hAnsiTheme="minorHAnsi"/>
          <w:snapToGrid w:val="0"/>
          <w:lang w:val="en-GB" w:eastAsia="en-US"/>
        </w:rPr>
        <w:t xml:space="preserve">, on the basis that it should be available only under special arrangements under Section 100. The PBAC’s recommendation for listing was based on, among other matters, its assessment, as described above, that the cost-effectiveness of risdiplam would be acceptable if it were cost minimised against nusinersen. </w:t>
      </w:r>
    </w:p>
    <w:p w14:paraId="48653739" w14:textId="7CE45794" w:rsidR="00A8534F" w:rsidRPr="00B5412A" w:rsidRDefault="00A8534F" w:rsidP="00A8534F">
      <w:pPr>
        <w:pStyle w:val="3-BodyText"/>
        <w:spacing w:after="160"/>
        <w:rPr>
          <w:lang w:val="en-GB"/>
        </w:rPr>
      </w:pPr>
      <w:r>
        <w:t>The PBAC’s recommendation was based on equi-effective doses of</w:t>
      </w:r>
      <w:r w:rsidRPr="00B51162">
        <w:t xml:space="preserve"> </w:t>
      </w:r>
      <w:r w:rsidRPr="00F71866">
        <w:t xml:space="preserve">5 mg of risdiplam </w:t>
      </w:r>
      <w:r>
        <w:t>daily and</w:t>
      </w:r>
      <w:r w:rsidRPr="00F71866">
        <w:t xml:space="preserve"> nusinersen 12 mg (5 mL) per administration </w:t>
      </w:r>
      <w:r>
        <w:t xml:space="preserve">every 4 months (3 per year, </w:t>
      </w:r>
      <w:r w:rsidRPr="00F71866">
        <w:t>i.e. excluding nusinersen loading doses)</w:t>
      </w:r>
      <w:r>
        <w:t xml:space="preserve"> </w:t>
      </w:r>
      <w:bookmarkEnd w:id="61"/>
      <w:r>
        <w:t xml:space="preserve">consistent with its previous advice for the pre-symptomatic initiation of risdiplam in patients with SMA and an </w:t>
      </w:r>
      <w:r w:rsidRPr="00A8534F">
        <w:rPr>
          <w:i/>
          <w:iCs/>
        </w:rPr>
        <w:t>SMN2</w:t>
      </w:r>
      <w:r>
        <w:t xml:space="preserve"> gene copy number of 1 or 2 (paragraph 7.2, risdiplam PSD, March 2023 PBAC meeting)</w:t>
      </w:r>
      <w:r w:rsidRPr="00F71866">
        <w:t>.</w:t>
      </w:r>
    </w:p>
    <w:p w14:paraId="21F2D47F" w14:textId="2EEF27CF" w:rsidR="00457055" w:rsidRDefault="00A8534F" w:rsidP="00A8534F">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acknowledged there is a c</w:t>
      </w:r>
      <w:r w:rsidR="00457055" w:rsidRPr="00457055">
        <w:rPr>
          <w:rFonts w:asciiTheme="minorHAnsi" w:hAnsiTheme="minorHAnsi"/>
          <w:snapToGrid w:val="0"/>
          <w:lang w:val="en-GB" w:eastAsia="en-US"/>
        </w:rPr>
        <w:t xml:space="preserve">linical need </w:t>
      </w:r>
      <w:r>
        <w:rPr>
          <w:rFonts w:asciiTheme="minorHAnsi" w:hAnsiTheme="minorHAnsi"/>
          <w:snapToGrid w:val="0"/>
          <w:lang w:val="en-GB" w:eastAsia="en-US"/>
        </w:rPr>
        <w:t>for an orally administered treatment</w:t>
      </w:r>
      <w:r w:rsidR="00F643E3">
        <w:t xml:space="preserve">, noting consumer comments that there were current inequities with lack of access for </w:t>
      </w:r>
      <w:r w:rsidR="00F643E3">
        <w:lastRenderedPageBreak/>
        <w:t xml:space="preserve">patients with 3 copies of </w:t>
      </w:r>
      <w:r w:rsidR="009E0AC7">
        <w:t xml:space="preserve">the </w:t>
      </w:r>
      <w:r w:rsidR="00F643E3" w:rsidRPr="00F643E3">
        <w:rPr>
          <w:i/>
          <w:iCs/>
        </w:rPr>
        <w:t>SMN2</w:t>
      </w:r>
      <w:r w:rsidR="009E0AC7">
        <w:rPr>
          <w:i/>
          <w:iCs/>
        </w:rPr>
        <w:t xml:space="preserve"> </w:t>
      </w:r>
      <w:r w:rsidR="009E0AC7" w:rsidRPr="009E0AC7">
        <w:t>gene.</w:t>
      </w:r>
    </w:p>
    <w:p w14:paraId="11A3AD61" w14:textId="25C88EE3" w:rsidR="00792A8D" w:rsidRDefault="00935DBF" w:rsidP="00A8534F">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it was reasonable for </w:t>
      </w:r>
      <w:r w:rsidR="00BA352C">
        <w:rPr>
          <w:rFonts w:asciiTheme="minorHAnsi" w:hAnsiTheme="minorHAnsi"/>
          <w:snapToGrid w:val="0"/>
          <w:lang w:val="en-GB" w:eastAsia="en-US"/>
        </w:rPr>
        <w:t>the</w:t>
      </w:r>
      <w:r>
        <w:rPr>
          <w:rFonts w:asciiTheme="minorHAnsi" w:hAnsiTheme="minorHAnsi"/>
          <w:snapToGrid w:val="0"/>
          <w:lang w:val="en-GB" w:eastAsia="en-US"/>
        </w:rPr>
        <w:t xml:space="preserve"> </w:t>
      </w:r>
      <w:r w:rsidR="00BA352C">
        <w:rPr>
          <w:rFonts w:asciiTheme="minorHAnsi" w:hAnsiTheme="minorHAnsi"/>
          <w:snapToGrid w:val="0"/>
          <w:lang w:val="en-GB" w:eastAsia="en-US"/>
        </w:rPr>
        <w:t xml:space="preserve">risdiplam initial and continuing </w:t>
      </w:r>
      <w:r>
        <w:rPr>
          <w:rFonts w:asciiTheme="minorHAnsi" w:hAnsiTheme="minorHAnsi"/>
          <w:snapToGrid w:val="0"/>
          <w:lang w:val="en-GB" w:eastAsia="en-US"/>
        </w:rPr>
        <w:t>restriction</w:t>
      </w:r>
      <w:r w:rsidR="00EE7C9B">
        <w:rPr>
          <w:rFonts w:asciiTheme="minorHAnsi" w:hAnsiTheme="minorHAnsi"/>
          <w:snapToGrid w:val="0"/>
          <w:lang w:val="en-GB" w:eastAsia="en-US"/>
        </w:rPr>
        <w:t>s</w:t>
      </w:r>
      <w:r>
        <w:rPr>
          <w:rFonts w:asciiTheme="minorHAnsi" w:hAnsiTheme="minorHAnsi"/>
          <w:snapToGrid w:val="0"/>
          <w:lang w:val="en-GB" w:eastAsia="en-US"/>
        </w:rPr>
        <w:t xml:space="preserve"> for pre</w:t>
      </w:r>
      <w:r w:rsidR="00BA352C">
        <w:rPr>
          <w:rFonts w:asciiTheme="minorHAnsi" w:hAnsiTheme="minorHAnsi"/>
          <w:snapToGrid w:val="0"/>
          <w:lang w:val="en-GB" w:eastAsia="en-US"/>
        </w:rPr>
        <w:noBreakHyphen/>
      </w:r>
      <w:r>
        <w:rPr>
          <w:rFonts w:asciiTheme="minorHAnsi" w:hAnsiTheme="minorHAnsi"/>
          <w:snapToGrid w:val="0"/>
          <w:lang w:val="en-GB" w:eastAsia="en-US"/>
        </w:rPr>
        <w:t xml:space="preserve">symptomatic </w:t>
      </w:r>
      <w:r w:rsidR="00BA352C">
        <w:rPr>
          <w:rFonts w:asciiTheme="minorHAnsi" w:hAnsiTheme="minorHAnsi"/>
          <w:snapToGrid w:val="0"/>
          <w:lang w:val="en-GB" w:eastAsia="en-US"/>
        </w:rPr>
        <w:t xml:space="preserve">SMA </w:t>
      </w:r>
      <w:r>
        <w:rPr>
          <w:rFonts w:asciiTheme="minorHAnsi" w:hAnsiTheme="minorHAnsi"/>
          <w:snapToGrid w:val="0"/>
          <w:lang w:val="en-GB" w:eastAsia="en-US"/>
        </w:rPr>
        <w:t xml:space="preserve">in patients with 3 copies of </w:t>
      </w:r>
      <w:r w:rsidRPr="00935DBF">
        <w:rPr>
          <w:rFonts w:asciiTheme="minorHAnsi" w:hAnsiTheme="minorHAnsi"/>
          <w:i/>
          <w:iCs/>
          <w:snapToGrid w:val="0"/>
          <w:lang w:val="en-GB" w:eastAsia="en-US"/>
        </w:rPr>
        <w:t>SMN2</w:t>
      </w:r>
      <w:r w:rsidR="00BA352C" w:rsidRPr="00BA352C">
        <w:rPr>
          <w:rFonts w:asciiTheme="minorHAnsi" w:hAnsiTheme="minorHAnsi"/>
          <w:snapToGrid w:val="0"/>
          <w:lang w:val="en-GB" w:eastAsia="en-US"/>
        </w:rPr>
        <w:t xml:space="preserve"> to be separate from restrictions for patients </w:t>
      </w:r>
      <w:r w:rsidR="00BA352C">
        <w:rPr>
          <w:rFonts w:asciiTheme="minorHAnsi" w:hAnsiTheme="minorHAnsi"/>
          <w:snapToGrid w:val="0"/>
          <w:lang w:val="en-GB" w:eastAsia="en-US"/>
        </w:rPr>
        <w:t xml:space="preserve">with </w:t>
      </w:r>
      <w:r w:rsidR="00585AE6">
        <w:rPr>
          <w:rFonts w:asciiTheme="minorHAnsi" w:hAnsiTheme="minorHAnsi"/>
          <w:snapToGrid w:val="0"/>
          <w:lang w:val="en-GB" w:eastAsia="en-US"/>
        </w:rPr>
        <w:t>1-2</w:t>
      </w:r>
      <w:r w:rsidR="00BA352C">
        <w:rPr>
          <w:rFonts w:asciiTheme="minorHAnsi" w:hAnsiTheme="minorHAnsi"/>
          <w:snapToGrid w:val="0"/>
          <w:lang w:val="en-GB" w:eastAsia="en-US"/>
        </w:rPr>
        <w:t xml:space="preserve"> copies of </w:t>
      </w:r>
      <w:r w:rsidR="00BA352C" w:rsidRPr="00935DBF">
        <w:rPr>
          <w:rFonts w:asciiTheme="minorHAnsi" w:hAnsiTheme="minorHAnsi"/>
          <w:i/>
          <w:iCs/>
          <w:snapToGrid w:val="0"/>
          <w:lang w:val="en-GB" w:eastAsia="en-US"/>
        </w:rPr>
        <w:t>SMN2</w:t>
      </w:r>
      <w:r w:rsidR="00BA352C">
        <w:rPr>
          <w:rFonts w:asciiTheme="minorHAnsi" w:hAnsiTheme="minorHAnsi"/>
          <w:i/>
          <w:iCs/>
          <w:snapToGrid w:val="0"/>
          <w:lang w:val="en-GB" w:eastAsia="en-US"/>
        </w:rPr>
        <w:t>.</w:t>
      </w:r>
    </w:p>
    <w:p w14:paraId="6F3DB833" w14:textId="053D1F25" w:rsidR="00935DBF" w:rsidRDefault="001806AB" w:rsidP="00A8534F">
      <w:pPr>
        <w:widowControl w:val="0"/>
        <w:numPr>
          <w:ilvl w:val="1"/>
          <w:numId w:val="1"/>
        </w:numPr>
        <w:spacing w:after="120"/>
        <w:rPr>
          <w:rFonts w:asciiTheme="minorHAnsi" w:hAnsiTheme="minorHAnsi"/>
          <w:snapToGrid w:val="0"/>
          <w:lang w:val="en-GB" w:eastAsia="en-US"/>
        </w:rPr>
      </w:pPr>
      <w:r w:rsidRPr="001806AB">
        <w:rPr>
          <w:rFonts w:asciiTheme="minorHAnsi" w:hAnsiTheme="minorHAnsi"/>
          <w:snapToGrid w:val="0"/>
          <w:lang w:val="en-GB" w:eastAsia="en-US"/>
        </w:rPr>
        <w:t xml:space="preserve">The </w:t>
      </w:r>
      <w:r>
        <w:rPr>
          <w:rFonts w:asciiTheme="minorHAnsi" w:hAnsiTheme="minorHAnsi"/>
          <w:snapToGrid w:val="0"/>
          <w:lang w:val="en-GB" w:eastAsia="en-US"/>
        </w:rPr>
        <w:t xml:space="preserve">PBAC </w:t>
      </w:r>
      <w:r w:rsidR="00882CB5">
        <w:rPr>
          <w:rFonts w:asciiTheme="minorHAnsi" w:hAnsiTheme="minorHAnsi"/>
          <w:snapToGrid w:val="0"/>
          <w:lang w:val="en-GB" w:eastAsia="en-US"/>
        </w:rPr>
        <w:t>considered it was reasonable to remove</w:t>
      </w:r>
      <w:r w:rsidRPr="001806AB">
        <w:rPr>
          <w:rFonts w:asciiTheme="minorHAnsi" w:hAnsiTheme="minorHAnsi"/>
          <w:snapToGrid w:val="0"/>
          <w:lang w:val="en-GB" w:eastAsia="en-US"/>
        </w:rPr>
        <w:t xml:space="preserve"> the treatment criteria</w:t>
      </w:r>
      <w:r w:rsidR="004556F6">
        <w:rPr>
          <w:rFonts w:asciiTheme="minorHAnsi" w:hAnsiTheme="minorHAnsi"/>
          <w:snapToGrid w:val="0"/>
          <w:lang w:val="en-GB" w:eastAsia="en-US"/>
        </w:rPr>
        <w:t xml:space="preserve"> proposed in the submission for </w:t>
      </w:r>
      <w:r w:rsidRPr="001806AB">
        <w:rPr>
          <w:rFonts w:asciiTheme="minorHAnsi" w:hAnsiTheme="minorHAnsi"/>
          <w:snapToGrid w:val="0"/>
          <w:lang w:val="en-GB" w:eastAsia="en-US"/>
        </w:rPr>
        <w:t xml:space="preserve">patients to be </w:t>
      </w:r>
      <w:r w:rsidR="004556F6">
        <w:rPr>
          <w:rFonts w:asciiTheme="minorHAnsi" w:hAnsiTheme="minorHAnsi"/>
          <w:snapToGrid w:val="0"/>
          <w:lang w:val="en-GB" w:eastAsia="en-US"/>
        </w:rPr>
        <w:t xml:space="preserve">either </w:t>
      </w:r>
      <w:r w:rsidRPr="001806AB">
        <w:rPr>
          <w:rFonts w:asciiTheme="minorHAnsi" w:hAnsiTheme="minorHAnsi"/>
          <w:snapToGrid w:val="0"/>
          <w:lang w:val="en-GB" w:eastAsia="en-US"/>
        </w:rPr>
        <w:t>untreated or treated with non-PBS subsidised supply</w:t>
      </w:r>
      <w:r w:rsidR="004556F6">
        <w:rPr>
          <w:rFonts w:asciiTheme="minorHAnsi" w:hAnsiTheme="minorHAnsi"/>
          <w:snapToGrid w:val="0"/>
          <w:lang w:val="en-GB" w:eastAsia="en-US"/>
        </w:rPr>
        <w:t xml:space="preserve">. The PBAC considered that removing this </w:t>
      </w:r>
      <w:r w:rsidR="002376D3">
        <w:rPr>
          <w:rFonts w:asciiTheme="minorHAnsi" w:hAnsiTheme="minorHAnsi"/>
          <w:snapToGrid w:val="0"/>
          <w:lang w:val="en-GB" w:eastAsia="en-US"/>
        </w:rPr>
        <w:t>would:</w:t>
      </w:r>
      <w:r>
        <w:rPr>
          <w:rFonts w:asciiTheme="minorHAnsi" w:hAnsiTheme="minorHAnsi"/>
          <w:snapToGrid w:val="0"/>
          <w:lang w:val="en-GB" w:eastAsia="en-US"/>
        </w:rPr>
        <w:t xml:space="preserve"> </w:t>
      </w:r>
      <w:r w:rsidR="00882CB5">
        <w:rPr>
          <w:rFonts w:asciiTheme="minorHAnsi" w:hAnsiTheme="minorHAnsi"/>
          <w:snapToGrid w:val="0"/>
          <w:lang w:val="en-GB" w:eastAsia="en-US"/>
        </w:rPr>
        <w:t xml:space="preserve">i) </w:t>
      </w:r>
      <w:r w:rsidRPr="001806AB">
        <w:rPr>
          <w:rFonts w:asciiTheme="minorHAnsi" w:hAnsiTheme="minorHAnsi"/>
          <w:snapToGrid w:val="0"/>
          <w:lang w:val="en-GB" w:eastAsia="en-US"/>
        </w:rPr>
        <w:t>allow patients initiated pre-symptomatically on nusinersen to be switched to risdiplam and</w:t>
      </w:r>
      <w:r w:rsidR="00882CB5">
        <w:rPr>
          <w:rFonts w:asciiTheme="minorHAnsi" w:hAnsiTheme="minorHAnsi"/>
          <w:snapToGrid w:val="0"/>
          <w:lang w:val="en-GB" w:eastAsia="en-US"/>
        </w:rPr>
        <w:t>,</w:t>
      </w:r>
      <w:r w:rsidRPr="001806AB">
        <w:rPr>
          <w:rFonts w:asciiTheme="minorHAnsi" w:hAnsiTheme="minorHAnsi"/>
          <w:snapToGrid w:val="0"/>
          <w:lang w:val="en-GB" w:eastAsia="en-US"/>
        </w:rPr>
        <w:t xml:space="preserve"> </w:t>
      </w:r>
      <w:r w:rsidR="00882CB5">
        <w:rPr>
          <w:rFonts w:asciiTheme="minorHAnsi" w:hAnsiTheme="minorHAnsi"/>
          <w:snapToGrid w:val="0"/>
          <w:lang w:val="en-GB" w:eastAsia="en-US"/>
        </w:rPr>
        <w:t xml:space="preserve">ii) </w:t>
      </w:r>
      <w:r w:rsidR="004556F6">
        <w:rPr>
          <w:rFonts w:asciiTheme="minorHAnsi" w:hAnsiTheme="minorHAnsi"/>
          <w:snapToGrid w:val="0"/>
          <w:lang w:val="en-GB" w:eastAsia="en-US"/>
        </w:rPr>
        <w:t>still ensure</w:t>
      </w:r>
      <w:r w:rsidR="00882CB5">
        <w:rPr>
          <w:rFonts w:asciiTheme="minorHAnsi" w:hAnsiTheme="minorHAnsi"/>
          <w:snapToGrid w:val="0"/>
          <w:lang w:val="en-GB" w:eastAsia="en-US"/>
        </w:rPr>
        <w:t xml:space="preserve"> </w:t>
      </w:r>
      <w:r w:rsidR="004556F6">
        <w:rPr>
          <w:rFonts w:asciiTheme="minorHAnsi" w:hAnsiTheme="minorHAnsi"/>
          <w:snapToGrid w:val="0"/>
          <w:lang w:val="en-GB" w:eastAsia="en-US"/>
        </w:rPr>
        <w:t xml:space="preserve">that </w:t>
      </w:r>
      <w:r w:rsidR="00882CB5">
        <w:rPr>
          <w:rFonts w:asciiTheme="minorHAnsi" w:hAnsiTheme="minorHAnsi"/>
          <w:snapToGrid w:val="0"/>
          <w:lang w:val="en-GB" w:eastAsia="en-US"/>
        </w:rPr>
        <w:t>g</w:t>
      </w:r>
      <w:r w:rsidRPr="001806AB">
        <w:rPr>
          <w:rFonts w:asciiTheme="minorHAnsi" w:hAnsiTheme="minorHAnsi"/>
          <w:snapToGrid w:val="0"/>
          <w:lang w:val="en-GB" w:eastAsia="en-US"/>
        </w:rPr>
        <w:t>randfather</w:t>
      </w:r>
      <w:r w:rsidR="00792A8D">
        <w:rPr>
          <w:rFonts w:asciiTheme="minorHAnsi" w:hAnsiTheme="minorHAnsi"/>
          <w:snapToGrid w:val="0"/>
          <w:lang w:val="en-GB" w:eastAsia="en-US"/>
        </w:rPr>
        <w:t>ed</w:t>
      </w:r>
      <w:r w:rsidRPr="001806AB">
        <w:rPr>
          <w:rFonts w:asciiTheme="minorHAnsi" w:hAnsiTheme="minorHAnsi"/>
          <w:snapToGrid w:val="0"/>
          <w:lang w:val="en-GB" w:eastAsia="en-US"/>
        </w:rPr>
        <w:t xml:space="preserve"> patients </w:t>
      </w:r>
      <w:r w:rsidR="00882CB5">
        <w:rPr>
          <w:rFonts w:asciiTheme="minorHAnsi" w:hAnsiTheme="minorHAnsi"/>
          <w:snapToGrid w:val="0"/>
          <w:lang w:val="en-GB" w:eastAsia="en-US"/>
        </w:rPr>
        <w:t>would be</w:t>
      </w:r>
      <w:r w:rsidRPr="001806AB">
        <w:rPr>
          <w:rFonts w:asciiTheme="minorHAnsi" w:hAnsiTheme="minorHAnsi"/>
          <w:snapToGrid w:val="0"/>
          <w:lang w:val="en-GB" w:eastAsia="en-US"/>
        </w:rPr>
        <w:t xml:space="preserve"> eligible to access risdiplam. Th</w:t>
      </w:r>
      <w:r>
        <w:rPr>
          <w:rFonts w:asciiTheme="minorHAnsi" w:hAnsiTheme="minorHAnsi"/>
          <w:snapToGrid w:val="0"/>
          <w:lang w:val="en-GB" w:eastAsia="en-US"/>
        </w:rPr>
        <w:t xml:space="preserve">e PBAC noted this </w:t>
      </w:r>
      <w:r w:rsidR="00882CB5">
        <w:rPr>
          <w:rFonts w:asciiTheme="minorHAnsi" w:hAnsiTheme="minorHAnsi"/>
          <w:snapToGrid w:val="0"/>
          <w:lang w:val="en-GB" w:eastAsia="en-US"/>
        </w:rPr>
        <w:t>change to the proposed restriction would be</w:t>
      </w:r>
      <w:r w:rsidRPr="001806AB">
        <w:rPr>
          <w:rFonts w:asciiTheme="minorHAnsi" w:hAnsiTheme="minorHAnsi"/>
          <w:snapToGrid w:val="0"/>
          <w:lang w:val="en-GB" w:eastAsia="en-US"/>
        </w:rPr>
        <w:t xml:space="preserve"> consistent with the risdiplam initial listing for patients with pre-symptomatic SMA with 1-2 copies</w:t>
      </w:r>
      <w:r w:rsidR="00792A8D">
        <w:rPr>
          <w:rFonts w:asciiTheme="minorHAnsi" w:hAnsiTheme="minorHAnsi"/>
          <w:snapToGrid w:val="0"/>
          <w:lang w:val="en-GB" w:eastAsia="en-US"/>
        </w:rPr>
        <w:t xml:space="preserve"> of the</w:t>
      </w:r>
      <w:r w:rsidRPr="001806AB">
        <w:rPr>
          <w:rFonts w:asciiTheme="minorHAnsi" w:hAnsiTheme="minorHAnsi"/>
          <w:snapToGrid w:val="0"/>
          <w:lang w:val="en-GB" w:eastAsia="en-US"/>
        </w:rPr>
        <w:t xml:space="preserve"> </w:t>
      </w:r>
      <w:r w:rsidRPr="00792A8D">
        <w:rPr>
          <w:rFonts w:asciiTheme="minorHAnsi" w:hAnsiTheme="minorHAnsi"/>
          <w:i/>
          <w:iCs/>
          <w:snapToGrid w:val="0"/>
          <w:lang w:val="en-GB" w:eastAsia="en-US"/>
        </w:rPr>
        <w:t>SMN2</w:t>
      </w:r>
      <w:r w:rsidRPr="001806AB">
        <w:rPr>
          <w:rFonts w:asciiTheme="minorHAnsi" w:hAnsiTheme="minorHAnsi"/>
          <w:snapToGrid w:val="0"/>
          <w:lang w:val="en-GB" w:eastAsia="en-US"/>
        </w:rPr>
        <w:t xml:space="preserve"> gene.</w:t>
      </w:r>
    </w:p>
    <w:p w14:paraId="489D6600" w14:textId="6CCA9688" w:rsidR="00913390" w:rsidRDefault="00F643E3" w:rsidP="00913390">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considered the submission appropriately nominated nusinersen as the main comparator</w:t>
      </w:r>
      <w:r w:rsidR="00F6679D">
        <w:rPr>
          <w:rFonts w:asciiTheme="minorHAnsi" w:hAnsiTheme="minorHAnsi"/>
          <w:snapToGrid w:val="0"/>
          <w:lang w:val="en-GB" w:eastAsia="en-US"/>
        </w:rPr>
        <w:t xml:space="preserve"> given it is expected that nusinersen would be the </w:t>
      </w:r>
      <w:r w:rsidR="008B1523">
        <w:rPr>
          <w:rFonts w:asciiTheme="minorHAnsi" w:hAnsiTheme="minorHAnsi"/>
          <w:snapToGrid w:val="0"/>
          <w:lang w:val="en-GB" w:eastAsia="en-US"/>
        </w:rPr>
        <w:t xml:space="preserve">main </w:t>
      </w:r>
      <w:r w:rsidR="00F6679D">
        <w:rPr>
          <w:rFonts w:asciiTheme="minorHAnsi" w:hAnsiTheme="minorHAnsi"/>
          <w:snapToGrid w:val="0"/>
          <w:lang w:val="en-GB" w:eastAsia="en-US"/>
        </w:rPr>
        <w:t>treatment replaced</w:t>
      </w:r>
      <w:r>
        <w:rPr>
          <w:rFonts w:asciiTheme="minorHAnsi" w:hAnsiTheme="minorHAnsi"/>
          <w:snapToGrid w:val="0"/>
          <w:lang w:val="en-GB" w:eastAsia="en-US"/>
        </w:rPr>
        <w:t xml:space="preserve">. </w:t>
      </w:r>
    </w:p>
    <w:p w14:paraId="4F2DBE93" w14:textId="77777777" w:rsidR="00413AE9" w:rsidRDefault="00F643E3" w:rsidP="0097528E">
      <w:pPr>
        <w:widowControl w:val="0"/>
        <w:numPr>
          <w:ilvl w:val="1"/>
          <w:numId w:val="1"/>
        </w:numPr>
        <w:spacing w:after="120"/>
      </w:pPr>
      <w:r w:rsidRPr="00243F25">
        <w:rPr>
          <w:rFonts w:asciiTheme="minorHAnsi" w:hAnsiTheme="minorHAnsi" w:cstheme="minorHAnsi"/>
        </w:rPr>
        <w:t xml:space="preserve">The PBAC noted the clinical evidence presented was primarily based on </w:t>
      </w:r>
      <w:r w:rsidR="00487416" w:rsidRPr="00C61670">
        <w:t xml:space="preserve">unanchored numerical comparisons </w:t>
      </w:r>
      <w:r w:rsidR="00487416">
        <w:t xml:space="preserve">of point estimates for several outcomes </w:t>
      </w:r>
      <w:r w:rsidR="00487416" w:rsidRPr="00C61670">
        <w:t xml:space="preserve">using single arm studies to compare risdiplam (RAINBOWFISH) and nusinersen (NURTURE). </w:t>
      </w:r>
      <w:r w:rsidR="006A0963">
        <w:t>The PBAC noted that patient numbers were low</w:t>
      </w:r>
      <w:r w:rsidR="000D7578">
        <w:t>,</w:t>
      </w:r>
      <w:r w:rsidR="006A0963">
        <w:t xml:space="preserve"> with </w:t>
      </w:r>
      <w:r w:rsidR="006A0963" w:rsidRPr="00C61670">
        <w:t>RAINBOWFISH enroll</w:t>
      </w:r>
      <w:r w:rsidR="006A0963">
        <w:t>ing</w:t>
      </w:r>
      <w:r w:rsidR="006A0963" w:rsidRPr="00C61670">
        <w:t xml:space="preserve"> 13 patients (13/26 patients = 50%) and NURTURE enroll</w:t>
      </w:r>
      <w:r w:rsidR="006A0963">
        <w:t>ing</w:t>
      </w:r>
      <w:r w:rsidR="006A0963" w:rsidRPr="00C61670">
        <w:t xml:space="preserve"> 10 patients (10/25 patients = 40%) </w:t>
      </w:r>
      <w:r w:rsidR="000D7578">
        <w:t>who had</w:t>
      </w:r>
      <w:r w:rsidR="006A0963" w:rsidRPr="00C61670">
        <w:t xml:space="preserve"> three copies of </w:t>
      </w:r>
      <w:r w:rsidR="006A0963" w:rsidRPr="00243F25">
        <w:rPr>
          <w:i/>
          <w:iCs/>
        </w:rPr>
        <w:t>SMN2</w:t>
      </w:r>
      <w:r w:rsidR="000D7578">
        <w:t>. The PBAC considered that</w:t>
      </w:r>
      <w:r w:rsidR="00C66DEC">
        <w:t xml:space="preserve"> the studies had a high risk of </w:t>
      </w:r>
      <w:r w:rsidR="00413AE9">
        <w:t xml:space="preserve">bias. </w:t>
      </w:r>
    </w:p>
    <w:p w14:paraId="3E3C11D1" w14:textId="0264F3A3" w:rsidR="000D7578" w:rsidRPr="000D7578" w:rsidRDefault="00EB25A6" w:rsidP="00413AE9">
      <w:pPr>
        <w:widowControl w:val="0"/>
        <w:numPr>
          <w:ilvl w:val="1"/>
          <w:numId w:val="1"/>
        </w:numPr>
        <w:spacing w:after="120"/>
      </w:pPr>
      <w:r>
        <w:t xml:space="preserve">The PBAC noted </w:t>
      </w:r>
      <w:r w:rsidRPr="00243F25">
        <w:rPr>
          <w:iCs/>
        </w:rPr>
        <w:t>that comparisons between RAINBOWFISH and NURTURE were made only on point estimates of change from baseline in HINE-2 scores and CHOP-INTEND scores</w:t>
      </w:r>
      <w:r w:rsidR="00A40BC9">
        <w:rPr>
          <w:iCs/>
        </w:rPr>
        <w:t xml:space="preserve"> as</w:t>
      </w:r>
      <w:r w:rsidRPr="00243F25">
        <w:rPr>
          <w:iCs/>
        </w:rPr>
        <w:t xml:space="preserve"> statistical comparisons were likely unreliable. The PBAC noted that no minimal clinically important difference</w:t>
      </w:r>
      <w:r w:rsidRPr="004C429B">
        <w:t xml:space="preserve"> was proposed to allow assessment of non-inferiority.</w:t>
      </w:r>
      <w:r w:rsidR="00243F25">
        <w:t xml:space="preserve"> </w:t>
      </w:r>
      <w:r w:rsidR="00413AE9">
        <w:t xml:space="preserve">The PBAC noted that patients in RAINBOWFISH had higher motor functioning status at baseline, and considered this may have biased the results of the unanchored comparison in favour of risdiplam. </w:t>
      </w:r>
      <w:r w:rsidR="00C66DEC" w:rsidRPr="004C429B">
        <w:t xml:space="preserve">Overall, the </w:t>
      </w:r>
      <w:r w:rsidR="00C66DEC">
        <w:t xml:space="preserve">PBAC considered that the </w:t>
      </w:r>
      <w:r w:rsidR="00C66DEC" w:rsidRPr="004C429B">
        <w:t>evidence provided was of poor quality</w:t>
      </w:r>
      <w:r w:rsidR="00C66DEC">
        <w:t>. However, the PBAC considered that the clinical claim of non-inferior efficacy</w:t>
      </w:r>
      <w:r w:rsidR="00413AE9">
        <w:t>, while poorly supported,</w:t>
      </w:r>
      <w:r w:rsidR="00C66DEC">
        <w:t xml:space="preserve"> was clinically plausible, consistent with previous comparisons between risdiplam and nusinersen, noting the limitations of the data availabl</w:t>
      </w:r>
      <w:r w:rsidR="00C66DEC" w:rsidRPr="000D7578">
        <w:t>e.</w:t>
      </w:r>
      <w:r w:rsidR="00C66DEC" w:rsidRPr="00413AE9" w:rsidDel="00C66DEC">
        <w:rPr>
          <w:rFonts w:asciiTheme="minorHAnsi" w:hAnsiTheme="minorHAnsi" w:cstheme="minorHAnsi"/>
        </w:rPr>
        <w:t xml:space="preserve"> </w:t>
      </w:r>
    </w:p>
    <w:p w14:paraId="67273D5A" w14:textId="77777777" w:rsidR="00F457B4" w:rsidRDefault="00F446C0" w:rsidP="00F457B4">
      <w:pPr>
        <w:widowControl w:val="0"/>
        <w:numPr>
          <w:ilvl w:val="1"/>
          <w:numId w:val="1"/>
        </w:numPr>
        <w:spacing w:after="120"/>
      </w:pPr>
      <w:r w:rsidRPr="000D7578">
        <w:rPr>
          <w:szCs w:val="20"/>
        </w:rPr>
        <w:t>The</w:t>
      </w:r>
      <w:r w:rsidRPr="00C66DEC">
        <w:rPr>
          <w:szCs w:val="20"/>
        </w:rPr>
        <w:t xml:space="preserve"> PBAC considered that the claim of non-inferior comparative safety, </w:t>
      </w:r>
      <w:r w:rsidRPr="000C053F">
        <w:t>with a favourable safety profile in some patients</w:t>
      </w:r>
      <w:r>
        <w:t>,</w:t>
      </w:r>
      <w:r w:rsidRPr="000C053F">
        <w:t xml:space="preserve"> </w:t>
      </w:r>
      <w:r>
        <w:t xml:space="preserve">was </w:t>
      </w:r>
      <w:r w:rsidRPr="000C053F">
        <w:t xml:space="preserve">reasonable. The PBAC </w:t>
      </w:r>
      <w:r>
        <w:t xml:space="preserve">recalled it had </w:t>
      </w:r>
      <w:r w:rsidRPr="000C053F">
        <w:t xml:space="preserve">previously acknowledged that a conclusion of a favourable safety profile </w:t>
      </w:r>
      <w:r>
        <w:t>for</w:t>
      </w:r>
      <w:r w:rsidRPr="000C053F">
        <w:t xml:space="preserve"> risdiplam over nusinersen in some patients</w:t>
      </w:r>
      <w:r>
        <w:t xml:space="preserve"> was reasonable </w:t>
      </w:r>
      <w:r w:rsidRPr="000C053F">
        <w:t>given the less invasive route of administration (</w:t>
      </w:r>
      <w:r>
        <w:t>p</w:t>
      </w:r>
      <w:r w:rsidRPr="000C053F">
        <w:t xml:space="preserve">ara 7.8, risdiplam </w:t>
      </w:r>
      <w:r>
        <w:t>PSD</w:t>
      </w:r>
      <w:r w:rsidRPr="000C053F">
        <w:t>, March 2021 PBAC meeting</w:t>
      </w:r>
      <w:r w:rsidR="0043563E">
        <w:t>; para 7.7, risdiplam PSD, March 2023 meeting</w:t>
      </w:r>
      <w:r w:rsidRPr="000C053F">
        <w:t>).</w:t>
      </w:r>
    </w:p>
    <w:p w14:paraId="59310FB2" w14:textId="317AD28D" w:rsidR="00F457B4" w:rsidRDefault="00E0541C" w:rsidP="00F457B4">
      <w:pPr>
        <w:widowControl w:val="0"/>
        <w:numPr>
          <w:ilvl w:val="1"/>
          <w:numId w:val="1"/>
        </w:numPr>
        <w:spacing w:after="120"/>
      </w:pPr>
      <w:r>
        <w:t xml:space="preserve">The </w:t>
      </w:r>
      <w:r w:rsidR="00F457B4">
        <w:t xml:space="preserve">submission presented a cost-minimisation approach. The </w:t>
      </w:r>
      <w:r>
        <w:t xml:space="preserve">PBAC noted that </w:t>
      </w:r>
      <w:r w:rsidR="0027226E">
        <w:t xml:space="preserve">the </w:t>
      </w:r>
      <w:r>
        <w:t xml:space="preserve">proposed equi-effective doses </w:t>
      </w:r>
      <w:r w:rsidR="00A40BC9">
        <w:t>included</w:t>
      </w:r>
      <w:r w:rsidR="0027226E">
        <w:t xml:space="preserve"> weight-based</w:t>
      </w:r>
      <w:r w:rsidR="008357EF">
        <w:t xml:space="preserve"> dosing </w:t>
      </w:r>
      <w:r w:rsidR="00260BC8">
        <w:t xml:space="preserve">of risdiplam </w:t>
      </w:r>
      <w:r w:rsidR="008357EF">
        <w:t xml:space="preserve">for </w:t>
      </w:r>
      <w:r w:rsidR="00DC0FE8" w:rsidRPr="00D376BF">
        <w:lastRenderedPageBreak/>
        <w:t>paediatric</w:t>
      </w:r>
      <w:r w:rsidR="008357EF">
        <w:t xml:space="preserve"> patients</w:t>
      </w:r>
      <w:r w:rsidR="00D376BF">
        <w:t xml:space="preserve"> who commence treatment at the age of one month</w:t>
      </w:r>
      <w:r>
        <w:t xml:space="preserve">, rather than maintenance (steady state) dosing. The PBAC noted this increased the cost-minimised price for risdiplam and considered </w:t>
      </w:r>
      <w:r w:rsidR="00DC0FE8">
        <w:t>this</w:t>
      </w:r>
      <w:r>
        <w:t xml:space="preserve"> was not justified</w:t>
      </w:r>
      <w:r w:rsidR="00DC0FE8">
        <w:t xml:space="preserve"> as </w:t>
      </w:r>
      <w:r w:rsidR="00A40BC9">
        <w:t xml:space="preserve">treatment is likely to be life-long and </w:t>
      </w:r>
      <w:r w:rsidR="00DC0FE8">
        <w:t>doses are higher in older infants and children.</w:t>
      </w:r>
    </w:p>
    <w:p w14:paraId="4819350F" w14:textId="14F4F127" w:rsidR="00180928" w:rsidRDefault="00A40BC9" w:rsidP="00F457B4">
      <w:pPr>
        <w:widowControl w:val="0"/>
        <w:numPr>
          <w:ilvl w:val="1"/>
          <w:numId w:val="1"/>
        </w:numPr>
        <w:spacing w:after="120"/>
      </w:pPr>
      <w:r>
        <w:t xml:space="preserve">The PBAC noted that the submission proposed equi-effective doses that incorporated loading doses for nusinersen, rather than maintenance (steady state) dosing. The PBAC noted this increased the cost-minimised price for risdiplam and considered it was not justified. </w:t>
      </w:r>
      <w:r w:rsidR="00180928">
        <w:t xml:space="preserve">The </w:t>
      </w:r>
      <w:r w:rsidR="004A0C5E">
        <w:t xml:space="preserve">PBAC noted that the </w:t>
      </w:r>
      <w:r w:rsidR="00180928">
        <w:t xml:space="preserve">cost-minimisation approach </w:t>
      </w:r>
      <w:r w:rsidR="00F457B4">
        <w:t xml:space="preserve">excluded </w:t>
      </w:r>
      <w:r w:rsidR="00917E5F" w:rsidRPr="00E34DFE">
        <w:t>the cost of administration of nusinersen,</w:t>
      </w:r>
      <w:r w:rsidR="00917E5F">
        <w:t xml:space="preserve"> </w:t>
      </w:r>
      <w:r w:rsidR="00180928">
        <w:t xml:space="preserve">consistent with </w:t>
      </w:r>
      <w:r w:rsidR="004A0C5E">
        <w:t>its</w:t>
      </w:r>
      <w:r w:rsidR="00180928">
        <w:t xml:space="preserve"> previous recommendation</w:t>
      </w:r>
      <w:r w:rsidR="00F457B4">
        <w:t xml:space="preserve"> (para 7.9, risdiplam PSD, March 2023 PBAC meeting)</w:t>
      </w:r>
      <w:r w:rsidR="00260BC8">
        <w:t xml:space="preserve">, and </w:t>
      </w:r>
      <w:r w:rsidR="00F457B4">
        <w:t xml:space="preserve">the </w:t>
      </w:r>
      <w:r w:rsidR="00260BC8">
        <w:t>Committee</w:t>
      </w:r>
      <w:r w:rsidR="00F457B4">
        <w:t xml:space="preserve"> </w:t>
      </w:r>
      <w:r w:rsidR="007116D5">
        <w:t>considered this</w:t>
      </w:r>
      <w:r w:rsidR="00180928">
        <w:t xml:space="preserve"> was appropriate</w:t>
      </w:r>
      <w:r>
        <w:t>.</w:t>
      </w:r>
    </w:p>
    <w:p w14:paraId="5E40C154" w14:textId="3E3B7352" w:rsidR="00935DBF" w:rsidRPr="00F77994" w:rsidRDefault="00935DBF" w:rsidP="00332A23">
      <w:pPr>
        <w:pStyle w:val="3-BodyText"/>
        <w:spacing w:after="160"/>
        <w:rPr>
          <w:snapToGrid/>
        </w:rPr>
      </w:pPr>
      <w:r>
        <w:t>The PBAC noted that w</w:t>
      </w:r>
      <w:r w:rsidRPr="00AF346B">
        <w:t xml:space="preserve">here cost per patient calculations are uncertain, the guiding principle is that the Australian Government should not bear the financial risk of this uncertainty because the Australian population already has access to therapy that is at least as effective and safe. </w:t>
      </w:r>
      <w:r w:rsidR="00A53291">
        <w:t>As in its previous advice, the PBAC considered that a conservative approach (</w:t>
      </w:r>
      <w:proofErr w:type="gramStart"/>
      <w:r w:rsidR="00A53291">
        <w:t>assuming that</w:t>
      </w:r>
      <w:proofErr w:type="gramEnd"/>
      <w:r w:rsidR="00A53291">
        <w:t xml:space="preserve"> all patients treated with risdiplam would require 5 mg per day and excluding costs for nusinersen loading doses and administration) was appropriate, given the limitations of the available evidence for risdiplam and nusinersen and the high treatment costs.</w:t>
      </w:r>
      <w:r w:rsidR="00A40BC9">
        <w:t xml:space="preserve"> The PBAC also recalled DUSC’s comments regarding the potential for additional wastage with risdiplam due to its liquid formulation for administration, which was not accounted for in the proposed equi-effective dose calculations.</w:t>
      </w:r>
    </w:p>
    <w:p w14:paraId="16023E6B" w14:textId="340137E7" w:rsidR="00F77994" w:rsidRPr="004A0C5E" w:rsidRDefault="00F77994" w:rsidP="00332A23">
      <w:pPr>
        <w:pStyle w:val="3-BodyText"/>
        <w:spacing w:after="160"/>
        <w:rPr>
          <w:snapToGrid/>
        </w:rPr>
      </w:pPr>
      <w:r>
        <w:t xml:space="preserve">The PBAC noted that ONA was a </w:t>
      </w:r>
      <w:r w:rsidR="00F6679D">
        <w:t xml:space="preserve">potential </w:t>
      </w:r>
      <w:r>
        <w:t xml:space="preserve">alternative </w:t>
      </w:r>
      <w:r w:rsidR="00F6679D">
        <w:t>therapy</w:t>
      </w:r>
      <w:r>
        <w:t xml:space="preserve">, </w:t>
      </w:r>
      <w:r w:rsidR="00F6679D">
        <w:t>although given the differences in mechanism of action and administration (once off versus continuous)</w:t>
      </w:r>
      <w:r w:rsidR="009F041B">
        <w:t xml:space="preserve"> expected risdiplam and ONA to primarily be used in different patient populations. The PBAC noted that </w:t>
      </w:r>
      <w:r w:rsidR="009148BC">
        <w:t xml:space="preserve">risdiplam would be less expensive than ONA </w:t>
      </w:r>
      <w:r w:rsidR="009F041B">
        <w:t>in the initial years</w:t>
      </w:r>
      <w:r w:rsidR="009148BC">
        <w:t xml:space="preserve"> of treatment</w:t>
      </w:r>
      <w:r w:rsidR="009F041B">
        <w:t>, and a comparison of costs over the longer-term would be uncertain due to the lack of long-term clinical data.</w:t>
      </w:r>
      <w:r>
        <w:t xml:space="preserve"> </w:t>
      </w:r>
    </w:p>
    <w:p w14:paraId="55BDE043" w14:textId="27DAAD3B" w:rsidR="00413AE9" w:rsidRPr="00291E5F" w:rsidRDefault="00413AE9" w:rsidP="00935DBF">
      <w:pPr>
        <w:pStyle w:val="3-BodyText"/>
        <w:spacing w:after="160"/>
        <w:rPr>
          <w:snapToGrid/>
        </w:rPr>
      </w:pPr>
      <w:r>
        <w:t xml:space="preserve">The </w:t>
      </w:r>
      <w:r w:rsidR="00B166BA">
        <w:t xml:space="preserve">submission took an epidemiological approach to estimate the number of eligible patients likely to receive treatment with risdiplam under the proposed </w:t>
      </w:r>
      <w:r w:rsidR="008C0860">
        <w:t>restriction and</w:t>
      </w:r>
      <w:r w:rsidR="00B166BA">
        <w:t xml:space="preserve"> </w:t>
      </w:r>
      <w:r w:rsidR="008B1523">
        <w:t xml:space="preserve">the PBAC </w:t>
      </w:r>
      <w:r w:rsidR="00B166BA">
        <w:t xml:space="preserve">considered that </w:t>
      </w:r>
      <w:r w:rsidR="008C0860">
        <w:t>this</w:t>
      </w:r>
      <w:r w:rsidR="00B166BA">
        <w:t xml:space="preserve"> was appropriate</w:t>
      </w:r>
      <w:r w:rsidR="00820AF2">
        <w:t xml:space="preserve"> because there was insufficient data for nusinersen in the proposed population to inform a market share approach (&lt;</w:t>
      </w:r>
      <w:r w:rsidR="008F7033">
        <w:t>3</w:t>
      </w:r>
      <w:r w:rsidR="00820AF2">
        <w:t xml:space="preserve"> months)</w:t>
      </w:r>
      <w:r w:rsidR="00B166BA">
        <w:t xml:space="preserve">. The </w:t>
      </w:r>
      <w:r w:rsidR="00F77994">
        <w:t xml:space="preserve">PBAC </w:t>
      </w:r>
      <w:r w:rsidR="00B166BA">
        <w:t xml:space="preserve">considered most </w:t>
      </w:r>
      <w:r w:rsidR="008C0860">
        <w:t xml:space="preserve">of the submission’s </w:t>
      </w:r>
      <w:r w:rsidR="00B166BA">
        <w:t xml:space="preserve">assumptions to be reasonable, </w:t>
      </w:r>
      <w:r w:rsidR="008C0860">
        <w:t xml:space="preserve">with the </w:t>
      </w:r>
      <w:r w:rsidR="005B237A">
        <w:t xml:space="preserve">following </w:t>
      </w:r>
      <w:r w:rsidR="008C0860">
        <w:t>exception</w:t>
      </w:r>
      <w:r w:rsidR="005B237A">
        <w:t xml:space="preserve">s: the submission </w:t>
      </w:r>
      <w:r w:rsidR="008C0860">
        <w:t xml:space="preserve">i) </w:t>
      </w:r>
      <w:r w:rsidR="00B166BA">
        <w:t xml:space="preserve">had likely underestimated the incidence of SMA, </w:t>
      </w:r>
      <w:r w:rsidR="008C0860">
        <w:t xml:space="preserve">ii) did </w:t>
      </w:r>
      <w:r w:rsidR="00B166BA">
        <w:t xml:space="preserve">not estimate the impact of treatment switching, and </w:t>
      </w:r>
      <w:r w:rsidR="008C0860">
        <w:t xml:space="preserve">iii) did not </w:t>
      </w:r>
      <w:r w:rsidR="00B166BA">
        <w:t xml:space="preserve">factor in the likelihood that some patients would be grandfathered onto PBS treatment. </w:t>
      </w:r>
      <w:r w:rsidR="008C0860">
        <w:t>In addition</w:t>
      </w:r>
      <w:r w:rsidR="00B166BA">
        <w:t>, the Committee considered that</w:t>
      </w:r>
      <w:r w:rsidR="008B1523">
        <w:t xml:space="preserve"> the market share for</w:t>
      </w:r>
      <w:r w:rsidR="00F77994">
        <w:t xml:space="preserve"> </w:t>
      </w:r>
      <w:r w:rsidR="00B166BA">
        <w:t xml:space="preserve">risdiplam </w:t>
      </w:r>
      <w:r w:rsidR="009148BC">
        <w:t>i</w:t>
      </w:r>
      <w:r w:rsidR="00B166BA">
        <w:t xml:space="preserve">s likely to </w:t>
      </w:r>
      <w:r w:rsidR="005B237A">
        <w:t>be greater than</w:t>
      </w:r>
      <w:r w:rsidR="009148BC">
        <w:t xml:space="preserve"> for</w:t>
      </w:r>
      <w:r w:rsidR="005B237A">
        <w:t xml:space="preserve"> nusinersen</w:t>
      </w:r>
      <w:r w:rsidR="00B166BA">
        <w:t xml:space="preserve"> given the oral route of administration. Overall, the </w:t>
      </w:r>
      <w:r w:rsidR="00F77994">
        <w:t xml:space="preserve">PBAC </w:t>
      </w:r>
      <w:r w:rsidR="00B166BA">
        <w:t xml:space="preserve">considered the </w:t>
      </w:r>
      <w:r w:rsidR="008C0860">
        <w:t>submission</w:t>
      </w:r>
      <w:r w:rsidR="00B166BA">
        <w:t xml:space="preserve"> had underestimated the use of risdiplam</w:t>
      </w:r>
      <w:r w:rsidR="008F7033">
        <w:t>.</w:t>
      </w:r>
      <w:r w:rsidR="00B166BA">
        <w:t xml:space="preserve"> </w:t>
      </w:r>
      <w:r w:rsidR="008F7033">
        <w:t>However</w:t>
      </w:r>
      <w:r w:rsidR="00F31C5E">
        <w:t>,</w:t>
      </w:r>
      <w:r w:rsidR="008F7033">
        <w:t xml:space="preserve"> as the estimates assume a small initial cost-saving associated with risdiplam </w:t>
      </w:r>
      <w:r w:rsidR="008F7033">
        <w:lastRenderedPageBreak/>
        <w:t xml:space="preserve">(due to lower doses in newborns), following which the listing would be cost-neutral, </w:t>
      </w:r>
      <w:r w:rsidR="00B166BA">
        <w:t xml:space="preserve">this </w:t>
      </w:r>
      <w:r w:rsidR="008F7033">
        <w:t xml:space="preserve">underestimate </w:t>
      </w:r>
      <w:r w:rsidR="00B166BA">
        <w:t>would not result in additional costs to the PBS/RPBS.</w:t>
      </w:r>
      <w:r w:rsidR="005B237A">
        <w:t xml:space="preserve"> </w:t>
      </w:r>
    </w:p>
    <w:p w14:paraId="70728BB3" w14:textId="45BF361B" w:rsidR="00457055" w:rsidRPr="00457055" w:rsidRDefault="00457055" w:rsidP="001E18A2">
      <w:pPr>
        <w:widowControl w:val="0"/>
        <w:numPr>
          <w:ilvl w:val="1"/>
          <w:numId w:val="1"/>
        </w:numPr>
        <w:spacing w:after="120"/>
        <w:rPr>
          <w:rFonts w:asciiTheme="minorHAnsi" w:hAnsiTheme="minorHAnsi"/>
          <w:bCs/>
          <w:snapToGrid w:val="0"/>
          <w:lang w:val="en-GB" w:eastAsia="en-US"/>
        </w:rPr>
      </w:pPr>
      <w:r w:rsidRPr="00457055">
        <w:rPr>
          <w:rFonts w:asciiTheme="minorHAnsi" w:hAnsiTheme="minorHAnsi"/>
          <w:bCs/>
          <w:snapToGrid w:val="0"/>
          <w:lang w:val="en-GB" w:eastAsia="en-US"/>
        </w:rPr>
        <w:t xml:space="preserve">The PBAC </w:t>
      </w:r>
      <w:r w:rsidR="00935DBF">
        <w:rPr>
          <w:rFonts w:asciiTheme="minorHAnsi" w:hAnsiTheme="minorHAnsi"/>
          <w:bCs/>
          <w:snapToGrid w:val="0"/>
          <w:lang w:val="en-GB" w:eastAsia="en-US"/>
        </w:rPr>
        <w:t>considered that</w:t>
      </w:r>
      <w:r w:rsidRPr="00457055">
        <w:rPr>
          <w:rFonts w:asciiTheme="minorHAnsi" w:hAnsiTheme="minorHAnsi"/>
          <w:bCs/>
          <w:snapToGrid w:val="0"/>
          <w:lang w:val="en-GB" w:eastAsia="en-US"/>
        </w:rPr>
        <w:t xml:space="preserve"> flow-on changes </w:t>
      </w:r>
      <w:r w:rsidR="001E18A2">
        <w:rPr>
          <w:rFonts w:asciiTheme="minorHAnsi" w:hAnsiTheme="minorHAnsi"/>
          <w:bCs/>
          <w:snapToGrid w:val="0"/>
          <w:lang w:val="en-GB" w:eastAsia="en-US"/>
        </w:rPr>
        <w:t xml:space="preserve">to the </w:t>
      </w:r>
      <w:r w:rsidR="00935DBF">
        <w:rPr>
          <w:rFonts w:asciiTheme="minorHAnsi" w:hAnsiTheme="minorHAnsi" w:cstheme="minorHAnsi"/>
          <w:lang w:eastAsia="en-US"/>
        </w:rPr>
        <w:t>ONA</w:t>
      </w:r>
      <w:r w:rsidR="001E18A2" w:rsidRPr="006667BF">
        <w:rPr>
          <w:rFonts w:asciiTheme="minorHAnsi" w:hAnsiTheme="minorHAnsi" w:cstheme="minorHAnsi"/>
          <w:lang w:eastAsia="en-US"/>
        </w:rPr>
        <w:t xml:space="preserve"> restrictions </w:t>
      </w:r>
      <w:r w:rsidR="00935DBF">
        <w:rPr>
          <w:rFonts w:asciiTheme="minorHAnsi" w:hAnsiTheme="minorHAnsi" w:cstheme="minorHAnsi"/>
          <w:lang w:eastAsia="en-US"/>
        </w:rPr>
        <w:t>would</w:t>
      </w:r>
      <w:r w:rsidR="001E18A2" w:rsidRPr="006667BF">
        <w:rPr>
          <w:rFonts w:asciiTheme="minorHAnsi" w:hAnsiTheme="minorHAnsi" w:cstheme="minorHAnsi"/>
          <w:lang w:eastAsia="en-US"/>
        </w:rPr>
        <w:t xml:space="preserve"> be required to allow patients with 3 copies of the </w:t>
      </w:r>
      <w:r w:rsidR="001E18A2" w:rsidRPr="00E723AF">
        <w:rPr>
          <w:rFonts w:asciiTheme="minorHAnsi" w:hAnsiTheme="minorHAnsi" w:cstheme="minorHAnsi"/>
          <w:i/>
          <w:iCs/>
          <w:lang w:eastAsia="en-US"/>
        </w:rPr>
        <w:t>SMN2</w:t>
      </w:r>
      <w:r w:rsidR="001E18A2" w:rsidRPr="006667BF">
        <w:rPr>
          <w:rFonts w:asciiTheme="minorHAnsi" w:hAnsiTheme="minorHAnsi" w:cstheme="minorHAnsi"/>
          <w:lang w:eastAsia="en-US"/>
        </w:rPr>
        <w:t xml:space="preserve"> gene to switch from </w:t>
      </w:r>
      <w:r w:rsidR="001E18A2">
        <w:rPr>
          <w:rFonts w:asciiTheme="minorHAnsi" w:hAnsiTheme="minorHAnsi" w:cstheme="minorHAnsi"/>
          <w:lang w:eastAsia="en-US"/>
        </w:rPr>
        <w:t xml:space="preserve">pre-symptomatic treatment with </w:t>
      </w:r>
      <w:r w:rsidR="001E18A2" w:rsidRPr="006667BF">
        <w:rPr>
          <w:rFonts w:asciiTheme="minorHAnsi" w:hAnsiTheme="minorHAnsi" w:cstheme="minorHAnsi"/>
          <w:lang w:eastAsia="en-US"/>
        </w:rPr>
        <w:t xml:space="preserve">risdiplam to </w:t>
      </w:r>
      <w:r w:rsidR="00935DBF">
        <w:rPr>
          <w:rFonts w:asciiTheme="minorHAnsi" w:hAnsiTheme="minorHAnsi" w:cstheme="minorHAnsi"/>
          <w:lang w:eastAsia="en-US"/>
        </w:rPr>
        <w:t>ONA</w:t>
      </w:r>
      <w:r w:rsidRPr="00457055">
        <w:rPr>
          <w:rFonts w:asciiTheme="minorHAnsi" w:hAnsiTheme="minorHAnsi"/>
          <w:bCs/>
          <w:snapToGrid w:val="0"/>
          <w:lang w:val="en-GB" w:eastAsia="en-US"/>
        </w:rPr>
        <w:t xml:space="preserve">. </w:t>
      </w:r>
    </w:p>
    <w:p w14:paraId="2F797432" w14:textId="4735D073" w:rsidR="00457055" w:rsidRPr="00457055" w:rsidRDefault="00457055" w:rsidP="00F77994">
      <w:pPr>
        <w:widowControl w:val="0"/>
        <w:numPr>
          <w:ilvl w:val="1"/>
          <w:numId w:val="1"/>
        </w:numPr>
        <w:spacing w:after="120"/>
        <w:rPr>
          <w:rFonts w:asciiTheme="minorHAnsi" w:hAnsiTheme="minorHAnsi" w:cs="Times New Roman"/>
          <w:b/>
          <w:bCs/>
          <w:lang w:val="en-GB" w:eastAsia="en-US"/>
        </w:rPr>
      </w:pPr>
      <w:r w:rsidRPr="00457055">
        <w:rPr>
          <w:rFonts w:asciiTheme="minorHAnsi" w:hAnsiTheme="minorHAnsi" w:cstheme="minorHAnsi"/>
          <w:lang w:val="en-GB" w:eastAsia="en-US"/>
        </w:rPr>
        <w:t xml:space="preserve">The PBAC noted that its recommendation was on a cost-minimisation basis and advised that, because </w:t>
      </w:r>
      <w:r w:rsidR="00EE1545">
        <w:rPr>
          <w:rFonts w:asciiTheme="minorHAnsi" w:hAnsiTheme="minorHAnsi" w:cstheme="minorHAnsi"/>
          <w:lang w:val="en-GB" w:eastAsia="en-US"/>
        </w:rPr>
        <w:t>risdiplam</w:t>
      </w:r>
      <w:r w:rsidRPr="00457055">
        <w:rPr>
          <w:rFonts w:asciiTheme="minorHAnsi" w:hAnsiTheme="minorHAnsi" w:cstheme="minorHAnsi"/>
          <w:lang w:val="en-GB" w:eastAsia="en-US"/>
        </w:rPr>
        <w:t xml:space="preserve"> is not expected to provide a substantial</w:t>
      </w:r>
      <w:r w:rsidRPr="00457055">
        <w:rPr>
          <w:rFonts w:asciiTheme="minorHAnsi" w:hAnsiTheme="minorHAnsi" w:cs="Times New Roman"/>
          <w:bCs/>
          <w:lang w:val="en-GB" w:eastAsia="en-US"/>
        </w:rPr>
        <w:t xml:space="preserve"> and clinically relevant improvement in efficacy, or reduction of toxicity, over </w:t>
      </w:r>
      <w:r w:rsidR="00EE1545">
        <w:rPr>
          <w:rFonts w:asciiTheme="minorHAnsi" w:hAnsiTheme="minorHAnsi" w:cs="Times New Roman"/>
          <w:bCs/>
          <w:lang w:val="en-GB" w:eastAsia="en-US"/>
        </w:rPr>
        <w:t>nusinersen</w:t>
      </w:r>
      <w:r w:rsidRPr="00457055">
        <w:rPr>
          <w:rFonts w:asciiTheme="minorHAnsi" w:hAnsiTheme="minorHAnsi" w:cs="Times New Roman"/>
          <w:bCs/>
          <w:lang w:val="en-GB" w:eastAsia="en-US"/>
        </w:rPr>
        <w:t xml:space="preserve">, or not expected to address a high and urgent unmet clinical need given the presence of an alternative therapy, the criteria prescribed by the </w:t>
      </w:r>
      <w:r w:rsidRPr="00457055">
        <w:rPr>
          <w:rFonts w:asciiTheme="minorHAnsi" w:hAnsiTheme="minorHAnsi" w:cs="Times New Roman"/>
          <w:bCs/>
          <w:i/>
          <w:lang w:val="en-GB" w:eastAsia="en-US"/>
        </w:rPr>
        <w:t>National Health (Pharmaceuticals and Vaccines – Cost Recovery) Regulations 2022</w:t>
      </w:r>
      <w:r w:rsidRPr="00457055">
        <w:rPr>
          <w:rFonts w:asciiTheme="minorHAnsi" w:hAnsiTheme="minorHAnsi" w:cs="Times New Roman"/>
          <w:bCs/>
          <w:lang w:val="en-GB" w:eastAsia="en-US"/>
        </w:rPr>
        <w:t xml:space="preserve"> for Pricing Pathway A were not met.</w:t>
      </w:r>
    </w:p>
    <w:p w14:paraId="131FF519" w14:textId="4C288E05" w:rsidR="00457055" w:rsidRPr="00EE1545" w:rsidRDefault="00457055" w:rsidP="001E43BE">
      <w:pPr>
        <w:widowControl w:val="0"/>
        <w:numPr>
          <w:ilvl w:val="1"/>
          <w:numId w:val="1"/>
        </w:numPr>
        <w:spacing w:after="120"/>
        <w:rPr>
          <w:rFonts w:asciiTheme="minorHAnsi" w:hAnsiTheme="minorHAnsi"/>
          <w:bCs/>
          <w:i/>
          <w:snapToGrid w:val="0"/>
          <w:lang w:val="en-GB" w:eastAsia="en-US"/>
        </w:rPr>
      </w:pPr>
      <w:r w:rsidRPr="00EE1545">
        <w:rPr>
          <w:rFonts w:asciiTheme="minorHAnsi" w:hAnsiTheme="minorHAnsi"/>
          <w:bCs/>
          <w:snapToGrid w:val="0"/>
          <w:lang w:val="en-GB" w:eastAsia="en-US"/>
        </w:rPr>
        <w:t>The PBAC noted that this submission is not eligible for an Independent Review</w:t>
      </w:r>
      <w:r w:rsidR="00EE1545" w:rsidRPr="00EE1545">
        <w:rPr>
          <w:rFonts w:asciiTheme="minorHAnsi" w:hAnsiTheme="minorHAnsi"/>
          <w:bCs/>
          <w:snapToGrid w:val="0"/>
          <w:lang w:val="en-GB" w:eastAsia="en-US"/>
        </w:rPr>
        <w:t xml:space="preserve"> as it received a positive recommendation</w:t>
      </w:r>
      <w:r w:rsidRPr="00EE1545">
        <w:rPr>
          <w:rFonts w:asciiTheme="minorHAnsi" w:hAnsiTheme="minorHAnsi"/>
          <w:bCs/>
          <w:i/>
          <w:snapToGrid w:val="0"/>
          <w:lang w:val="en-GB" w:eastAsia="en-US"/>
        </w:rPr>
        <w:t>.</w:t>
      </w:r>
    </w:p>
    <w:p w14:paraId="315140C9" w14:textId="77777777" w:rsidR="00457055" w:rsidRPr="00457055" w:rsidRDefault="00457055" w:rsidP="00457055">
      <w:pPr>
        <w:spacing w:before="240"/>
        <w:rPr>
          <w:rFonts w:asciiTheme="minorHAnsi" w:hAnsiTheme="minorHAnsi"/>
          <w:b/>
          <w:bCs/>
          <w:snapToGrid w:val="0"/>
          <w:lang w:val="en-GB" w:eastAsia="en-US"/>
        </w:rPr>
      </w:pPr>
      <w:r w:rsidRPr="00457055">
        <w:rPr>
          <w:rFonts w:asciiTheme="minorHAnsi" w:hAnsiTheme="minorHAnsi"/>
          <w:b/>
          <w:bCs/>
          <w:snapToGrid w:val="0"/>
          <w:lang w:val="en-GB" w:eastAsia="en-US"/>
        </w:rPr>
        <w:t>Outcome:</w:t>
      </w:r>
    </w:p>
    <w:p w14:paraId="152F3890" w14:textId="568BCC46" w:rsidR="00457055" w:rsidRPr="00457055" w:rsidRDefault="00457055" w:rsidP="00457055">
      <w:pPr>
        <w:spacing w:after="120"/>
        <w:rPr>
          <w:rFonts w:asciiTheme="minorHAnsi" w:hAnsiTheme="minorHAnsi"/>
          <w:bCs/>
          <w:snapToGrid w:val="0"/>
          <w:lang w:val="en-GB" w:eastAsia="en-US"/>
        </w:rPr>
      </w:pPr>
      <w:r w:rsidRPr="00457055">
        <w:rPr>
          <w:rFonts w:asciiTheme="minorHAnsi" w:hAnsiTheme="minorHAnsi"/>
          <w:bCs/>
          <w:snapToGrid w:val="0"/>
          <w:lang w:val="en-GB" w:eastAsia="en-US"/>
        </w:rPr>
        <w:t>Recommended</w:t>
      </w:r>
    </w:p>
    <w:bookmarkEnd w:id="59"/>
    <w:p w14:paraId="3845E998" w14:textId="77777777" w:rsidR="00457055" w:rsidRPr="00457055" w:rsidRDefault="00457055" w:rsidP="00457055">
      <w:pPr>
        <w:keepNext/>
        <w:numPr>
          <w:ilvl w:val="0"/>
          <w:numId w:val="1"/>
        </w:numPr>
        <w:spacing w:before="240" w:after="120"/>
        <w:jc w:val="left"/>
        <w:outlineLvl w:val="1"/>
        <w:rPr>
          <w:rFonts w:asciiTheme="minorHAnsi" w:hAnsiTheme="minorHAnsi"/>
          <w:bCs/>
          <w:iCs/>
          <w:snapToGrid w:val="0"/>
          <w:sz w:val="32"/>
          <w:szCs w:val="32"/>
          <w:lang w:val="en-GB"/>
        </w:rPr>
      </w:pPr>
      <w:r w:rsidRPr="00457055">
        <w:rPr>
          <w:rFonts w:asciiTheme="minorHAnsi" w:hAnsiTheme="minorHAnsi"/>
          <w:b/>
          <w:bCs/>
          <w:snapToGrid w:val="0"/>
          <w:sz w:val="32"/>
          <w:szCs w:val="32"/>
          <w:lang w:val="en-GB"/>
        </w:rPr>
        <w:t>Recommended listing</w:t>
      </w:r>
    </w:p>
    <w:p w14:paraId="6D1F3BCA" w14:textId="74D5B97F" w:rsidR="00457055" w:rsidRPr="006667BF" w:rsidRDefault="006667BF" w:rsidP="00457055">
      <w:pPr>
        <w:widowControl w:val="0"/>
        <w:numPr>
          <w:ilvl w:val="1"/>
          <w:numId w:val="1"/>
        </w:numPr>
        <w:spacing w:after="120"/>
        <w:contextualSpacing/>
        <w:jc w:val="left"/>
        <w:rPr>
          <w:rFonts w:asciiTheme="minorHAnsi" w:hAnsiTheme="minorHAnsi"/>
          <w:snapToGrid w:val="0"/>
          <w:lang w:eastAsia="en-US"/>
        </w:rPr>
      </w:pPr>
      <w:bookmarkStart w:id="62" w:name="_Hlk171598347"/>
      <w:r w:rsidRPr="006667BF">
        <w:rPr>
          <w:rFonts w:asciiTheme="minorHAnsi" w:hAnsiTheme="minorHAnsi"/>
          <w:snapToGrid w:val="0"/>
          <w:lang w:eastAsia="en-US"/>
        </w:rPr>
        <w:t>A</w:t>
      </w:r>
      <w:r w:rsidR="00AB02AE">
        <w:rPr>
          <w:rFonts w:asciiTheme="minorHAnsi" w:hAnsiTheme="minorHAnsi"/>
          <w:snapToGrid w:val="0"/>
          <w:lang w:eastAsia="en-US"/>
        </w:rPr>
        <w:t xml:space="preserve">mend </w:t>
      </w:r>
      <w:r w:rsidR="001806AB">
        <w:rPr>
          <w:rFonts w:asciiTheme="minorHAnsi" w:hAnsiTheme="minorHAnsi"/>
          <w:snapToGrid w:val="0"/>
          <w:lang w:eastAsia="en-US"/>
        </w:rPr>
        <w:t>existing/</w:t>
      </w:r>
      <w:r w:rsidR="00AB02AE">
        <w:rPr>
          <w:rFonts w:asciiTheme="minorHAnsi" w:hAnsiTheme="minorHAnsi"/>
          <w:snapToGrid w:val="0"/>
          <w:lang w:eastAsia="en-US"/>
        </w:rPr>
        <w:t>recommended listing as follows</w:t>
      </w:r>
      <w:r w:rsidRPr="006667BF">
        <w:rPr>
          <w:rFonts w:asciiTheme="minorHAnsi" w:hAnsiTheme="minorHAnsi"/>
          <w:snapToGrid w:val="0"/>
          <w:lang w:eastAsia="en-US"/>
        </w:rPr>
        <w:t>:</w:t>
      </w:r>
    </w:p>
    <w:bookmarkEnd w:id="62"/>
    <w:p w14:paraId="364621AB" w14:textId="184A75B2" w:rsidR="00457055" w:rsidRPr="00457055" w:rsidRDefault="00457055" w:rsidP="00C723B2">
      <w:pPr>
        <w:spacing w:after="120"/>
        <w:ind w:left="1440"/>
        <w:contextualSpacing/>
        <w:jc w:val="left"/>
        <w:rPr>
          <w:rFonts w:asciiTheme="minorHAnsi" w:hAnsiTheme="minorHAnsi" w:cs="Times New Roman"/>
          <w:snapToGrid w:val="0"/>
        </w:rPr>
      </w:pPr>
    </w:p>
    <w:bookmarkEnd w:id="60"/>
    <w:p w14:paraId="1D73135B" w14:textId="77777777" w:rsidR="00606FBA" w:rsidRPr="00C61670" w:rsidRDefault="00606FBA">
      <w:pPr>
        <w:jc w:val="left"/>
        <w:rPr>
          <w:b/>
          <w:caps/>
          <w:sz w:val="32"/>
        </w:rPr>
      </w:pPr>
      <w:r w:rsidRPr="00C61670">
        <w:br w:type="page"/>
      </w:r>
    </w:p>
    <w:p w14:paraId="4D62C612" w14:textId="66AA87FD" w:rsidR="00A705BF" w:rsidRPr="002511DB" w:rsidRDefault="00A705BF" w:rsidP="00A705BF">
      <w:pPr>
        <w:spacing w:after="120"/>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09"/>
        <w:gridCol w:w="2527"/>
        <w:gridCol w:w="876"/>
        <w:gridCol w:w="747"/>
        <w:gridCol w:w="811"/>
        <w:gridCol w:w="812"/>
        <w:gridCol w:w="1881"/>
      </w:tblGrid>
      <w:tr w:rsidR="00A705BF" w:rsidRPr="009D04B0" w14:paraId="6CB3B353" w14:textId="77777777" w:rsidTr="002B27D8">
        <w:trPr>
          <w:cantSplit/>
          <w:trHeight w:val="20"/>
        </w:trPr>
        <w:tc>
          <w:tcPr>
            <w:tcW w:w="3940" w:type="dxa"/>
            <w:gridSpan w:val="3"/>
            <w:vAlign w:val="center"/>
          </w:tcPr>
          <w:p w14:paraId="61557009" w14:textId="77777777" w:rsidR="00A705BF" w:rsidRPr="009D04B0" w:rsidRDefault="00A705BF" w:rsidP="00D419D5">
            <w:pPr>
              <w:keepNext/>
              <w:keepLines/>
              <w:rPr>
                <w:rFonts w:ascii="Arial Narrow" w:hAnsi="Arial Narrow"/>
                <w:b/>
                <w:bCs/>
                <w:sz w:val="20"/>
                <w:szCs w:val="20"/>
              </w:rPr>
            </w:pPr>
            <w:r w:rsidRPr="009D04B0">
              <w:rPr>
                <w:rFonts w:ascii="Arial Narrow" w:hAnsi="Arial Narrow"/>
                <w:b/>
                <w:bCs/>
                <w:sz w:val="20"/>
                <w:szCs w:val="20"/>
              </w:rPr>
              <w:t>MEDICINAL PRODUCT</w:t>
            </w:r>
          </w:p>
          <w:p w14:paraId="25B7FEC2" w14:textId="77777777" w:rsidR="00A705BF" w:rsidRPr="009D04B0" w:rsidRDefault="00A705BF" w:rsidP="00D419D5">
            <w:pPr>
              <w:keepNext/>
              <w:keepLines/>
              <w:rPr>
                <w:rFonts w:ascii="Arial Narrow" w:hAnsi="Arial Narrow"/>
                <w:b/>
                <w:sz w:val="20"/>
                <w:szCs w:val="20"/>
              </w:rPr>
            </w:pPr>
            <w:r w:rsidRPr="009D04B0">
              <w:rPr>
                <w:rFonts w:ascii="Arial Narrow" w:hAnsi="Arial Narrow"/>
                <w:b/>
                <w:bCs/>
                <w:sz w:val="20"/>
                <w:szCs w:val="20"/>
              </w:rPr>
              <w:t>medicinal product pack</w:t>
            </w:r>
          </w:p>
        </w:tc>
        <w:tc>
          <w:tcPr>
            <w:tcW w:w="876" w:type="dxa"/>
            <w:vAlign w:val="center"/>
          </w:tcPr>
          <w:p w14:paraId="1EB52B20" w14:textId="77777777" w:rsidR="00A705BF" w:rsidRPr="009D04B0" w:rsidRDefault="00A705BF" w:rsidP="00D419D5">
            <w:pPr>
              <w:keepNext/>
              <w:keepLines/>
              <w:jc w:val="center"/>
              <w:rPr>
                <w:rFonts w:ascii="Arial Narrow" w:hAnsi="Arial Narrow"/>
                <w:b/>
                <w:sz w:val="20"/>
                <w:szCs w:val="20"/>
              </w:rPr>
            </w:pPr>
            <w:r w:rsidRPr="009D04B0">
              <w:rPr>
                <w:rFonts w:ascii="Arial Narrow" w:hAnsi="Arial Narrow"/>
                <w:b/>
                <w:sz w:val="20"/>
                <w:szCs w:val="20"/>
              </w:rPr>
              <w:t>PBS item code</w:t>
            </w:r>
          </w:p>
        </w:tc>
        <w:tc>
          <w:tcPr>
            <w:tcW w:w="747" w:type="dxa"/>
            <w:vAlign w:val="center"/>
          </w:tcPr>
          <w:p w14:paraId="27442B84" w14:textId="77777777" w:rsidR="00A705BF" w:rsidRPr="009D04B0" w:rsidRDefault="00A705BF" w:rsidP="00D419D5">
            <w:pPr>
              <w:keepNext/>
              <w:keepLines/>
              <w:jc w:val="center"/>
              <w:rPr>
                <w:rFonts w:ascii="Arial Narrow" w:hAnsi="Arial Narrow"/>
                <w:b/>
                <w:sz w:val="20"/>
                <w:szCs w:val="20"/>
              </w:rPr>
            </w:pPr>
            <w:r w:rsidRPr="009D04B0">
              <w:rPr>
                <w:rFonts w:ascii="Arial Narrow" w:hAnsi="Arial Narrow"/>
                <w:b/>
                <w:sz w:val="20"/>
                <w:szCs w:val="20"/>
              </w:rPr>
              <w:t>Max. qty packs</w:t>
            </w:r>
          </w:p>
        </w:tc>
        <w:tc>
          <w:tcPr>
            <w:tcW w:w="811" w:type="dxa"/>
            <w:vAlign w:val="center"/>
          </w:tcPr>
          <w:p w14:paraId="7D4625F7" w14:textId="77777777" w:rsidR="00A705BF" w:rsidRPr="009D04B0" w:rsidRDefault="00A705BF" w:rsidP="00D419D5">
            <w:pPr>
              <w:keepNext/>
              <w:keepLines/>
              <w:jc w:val="center"/>
              <w:rPr>
                <w:rFonts w:ascii="Arial Narrow" w:hAnsi="Arial Narrow"/>
                <w:b/>
                <w:sz w:val="20"/>
                <w:szCs w:val="20"/>
              </w:rPr>
            </w:pPr>
            <w:r w:rsidRPr="009D04B0">
              <w:rPr>
                <w:rFonts w:ascii="Arial Narrow" w:hAnsi="Arial Narrow"/>
                <w:b/>
                <w:sz w:val="20"/>
                <w:szCs w:val="20"/>
              </w:rPr>
              <w:t>Max. qty units</w:t>
            </w:r>
          </w:p>
        </w:tc>
        <w:tc>
          <w:tcPr>
            <w:tcW w:w="812" w:type="dxa"/>
            <w:vAlign w:val="center"/>
          </w:tcPr>
          <w:p w14:paraId="072B6BB8" w14:textId="77777777" w:rsidR="00A705BF" w:rsidRPr="009D04B0" w:rsidRDefault="00A705BF" w:rsidP="00D419D5">
            <w:pPr>
              <w:keepNext/>
              <w:keepLines/>
              <w:jc w:val="center"/>
              <w:rPr>
                <w:rFonts w:ascii="Arial Narrow" w:hAnsi="Arial Narrow"/>
                <w:b/>
                <w:sz w:val="20"/>
                <w:szCs w:val="20"/>
              </w:rPr>
            </w:pPr>
            <w:r w:rsidRPr="009D04B0">
              <w:rPr>
                <w:rFonts w:ascii="Arial Narrow" w:hAnsi="Arial Narrow"/>
                <w:b/>
                <w:sz w:val="20"/>
                <w:szCs w:val="20"/>
              </w:rPr>
              <w:t>№.of</w:t>
            </w:r>
          </w:p>
          <w:p w14:paraId="27D03668" w14:textId="77777777" w:rsidR="00A705BF" w:rsidRPr="009D04B0" w:rsidRDefault="00A705BF" w:rsidP="00D419D5">
            <w:pPr>
              <w:keepNext/>
              <w:keepLines/>
              <w:jc w:val="center"/>
              <w:rPr>
                <w:rFonts w:ascii="Arial Narrow" w:hAnsi="Arial Narrow"/>
                <w:b/>
                <w:sz w:val="20"/>
                <w:szCs w:val="20"/>
              </w:rPr>
            </w:pPr>
            <w:r w:rsidRPr="009D04B0">
              <w:rPr>
                <w:rFonts w:ascii="Arial Narrow" w:hAnsi="Arial Narrow"/>
                <w:b/>
                <w:sz w:val="20"/>
                <w:szCs w:val="20"/>
              </w:rPr>
              <w:t>Rpts</w:t>
            </w:r>
          </w:p>
        </w:tc>
        <w:tc>
          <w:tcPr>
            <w:tcW w:w="1881" w:type="dxa"/>
            <w:vAlign w:val="center"/>
          </w:tcPr>
          <w:p w14:paraId="79C3EEF9" w14:textId="77777777" w:rsidR="00A705BF" w:rsidRPr="009D04B0" w:rsidRDefault="00A705BF" w:rsidP="00D419D5">
            <w:pPr>
              <w:keepNext/>
              <w:keepLines/>
              <w:rPr>
                <w:rFonts w:ascii="Arial Narrow" w:hAnsi="Arial Narrow"/>
                <w:b/>
                <w:sz w:val="20"/>
                <w:szCs w:val="20"/>
                <w:lang w:val="fr-FR"/>
              </w:rPr>
            </w:pPr>
            <w:r w:rsidRPr="009D04B0">
              <w:rPr>
                <w:rFonts w:ascii="Arial Narrow" w:hAnsi="Arial Narrow"/>
                <w:b/>
                <w:sz w:val="20"/>
                <w:szCs w:val="20"/>
              </w:rPr>
              <w:t>Available brands</w:t>
            </w:r>
          </w:p>
        </w:tc>
      </w:tr>
      <w:tr w:rsidR="00A705BF" w:rsidRPr="009D04B0" w14:paraId="4AC974B8" w14:textId="77777777" w:rsidTr="002B27D8">
        <w:trPr>
          <w:cantSplit/>
          <w:trHeight w:val="20"/>
        </w:trPr>
        <w:tc>
          <w:tcPr>
            <w:tcW w:w="9067" w:type="dxa"/>
            <w:gridSpan w:val="8"/>
            <w:vAlign w:val="center"/>
          </w:tcPr>
          <w:p w14:paraId="44F37482" w14:textId="77777777" w:rsidR="00A705BF" w:rsidRPr="009D04B0" w:rsidRDefault="00A705BF" w:rsidP="00D419D5">
            <w:pPr>
              <w:keepLines/>
              <w:rPr>
                <w:rFonts w:ascii="Arial Narrow" w:hAnsi="Arial Narrow"/>
                <w:caps/>
                <w:sz w:val="20"/>
                <w:szCs w:val="20"/>
              </w:rPr>
            </w:pPr>
            <w:r w:rsidRPr="009D04B0">
              <w:rPr>
                <w:rFonts w:ascii="Arial Narrow" w:hAnsi="Arial Narrow"/>
                <w:caps/>
                <w:sz w:val="20"/>
                <w:szCs w:val="20"/>
              </w:rPr>
              <w:t>Risdiplam</w:t>
            </w:r>
          </w:p>
        </w:tc>
      </w:tr>
      <w:tr w:rsidR="00A705BF" w:rsidRPr="009D04B0" w14:paraId="79212A8F" w14:textId="77777777" w:rsidTr="002B27D8">
        <w:trPr>
          <w:cantSplit/>
          <w:trHeight w:val="20"/>
        </w:trPr>
        <w:tc>
          <w:tcPr>
            <w:tcW w:w="9067" w:type="dxa"/>
            <w:gridSpan w:val="8"/>
            <w:vAlign w:val="center"/>
          </w:tcPr>
          <w:p w14:paraId="2D8F9A5A" w14:textId="77777777" w:rsidR="00A705BF" w:rsidRPr="009D04B0" w:rsidRDefault="00A705BF" w:rsidP="00D419D5">
            <w:pPr>
              <w:keepLines/>
              <w:rPr>
                <w:rFonts w:ascii="Arial Narrow" w:hAnsi="Arial Narrow"/>
                <w:sz w:val="20"/>
                <w:szCs w:val="20"/>
              </w:rPr>
            </w:pPr>
          </w:p>
        </w:tc>
      </w:tr>
      <w:tr w:rsidR="00A705BF" w:rsidRPr="009D04B0" w14:paraId="5D6C5AC9" w14:textId="77777777" w:rsidTr="002B27D8">
        <w:trPr>
          <w:cantSplit/>
          <w:trHeight w:val="20"/>
        </w:trPr>
        <w:tc>
          <w:tcPr>
            <w:tcW w:w="3940" w:type="dxa"/>
            <w:gridSpan w:val="3"/>
            <w:vAlign w:val="center"/>
          </w:tcPr>
          <w:p w14:paraId="086AB52D"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risdiplam 750 microgram/mL powder for oral liquid, 80 mL</w:t>
            </w:r>
          </w:p>
        </w:tc>
        <w:tc>
          <w:tcPr>
            <w:tcW w:w="876" w:type="dxa"/>
            <w:vAlign w:val="center"/>
          </w:tcPr>
          <w:p w14:paraId="00B53154"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NEW</w:t>
            </w:r>
          </w:p>
          <w:p w14:paraId="42321CE9"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(private)</w:t>
            </w:r>
          </w:p>
        </w:tc>
        <w:tc>
          <w:tcPr>
            <w:tcW w:w="747" w:type="dxa"/>
            <w:vAlign w:val="center"/>
          </w:tcPr>
          <w:p w14:paraId="178BF5BC"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1" w:type="dxa"/>
            <w:vAlign w:val="center"/>
          </w:tcPr>
          <w:p w14:paraId="6F5ED921"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2" w:type="dxa"/>
            <w:vAlign w:val="center"/>
          </w:tcPr>
          <w:p w14:paraId="24BCAACB"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0</w:t>
            </w:r>
          </w:p>
        </w:tc>
        <w:tc>
          <w:tcPr>
            <w:tcW w:w="1881" w:type="dxa"/>
            <w:vAlign w:val="center"/>
          </w:tcPr>
          <w:p w14:paraId="74F1057C"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Evrysdi</w:t>
            </w:r>
          </w:p>
        </w:tc>
      </w:tr>
      <w:tr w:rsidR="00A705BF" w:rsidRPr="009D04B0" w14:paraId="66A05F49" w14:textId="77777777" w:rsidTr="002B27D8">
        <w:trPr>
          <w:cantSplit/>
          <w:trHeight w:val="20"/>
        </w:trPr>
        <w:tc>
          <w:tcPr>
            <w:tcW w:w="3940" w:type="dxa"/>
            <w:gridSpan w:val="3"/>
            <w:vAlign w:val="center"/>
          </w:tcPr>
          <w:p w14:paraId="20E3AADC"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risdiplam 750 microgram/mL powder for oral liquid, 80 mL</w:t>
            </w:r>
          </w:p>
        </w:tc>
        <w:tc>
          <w:tcPr>
            <w:tcW w:w="876" w:type="dxa"/>
            <w:vAlign w:val="center"/>
          </w:tcPr>
          <w:p w14:paraId="591E8B98"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NEW</w:t>
            </w:r>
          </w:p>
          <w:p w14:paraId="03DE1F9D"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(public)</w:t>
            </w:r>
          </w:p>
        </w:tc>
        <w:tc>
          <w:tcPr>
            <w:tcW w:w="747" w:type="dxa"/>
            <w:vAlign w:val="center"/>
          </w:tcPr>
          <w:p w14:paraId="7B6F71E5"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1" w:type="dxa"/>
            <w:vAlign w:val="center"/>
          </w:tcPr>
          <w:p w14:paraId="7D71504E"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2" w:type="dxa"/>
            <w:vAlign w:val="center"/>
          </w:tcPr>
          <w:p w14:paraId="7F22B2BF"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0</w:t>
            </w:r>
          </w:p>
        </w:tc>
        <w:tc>
          <w:tcPr>
            <w:tcW w:w="1881" w:type="dxa"/>
            <w:vAlign w:val="center"/>
          </w:tcPr>
          <w:p w14:paraId="713057AC"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Evrysdi</w:t>
            </w:r>
          </w:p>
        </w:tc>
      </w:tr>
      <w:tr w:rsidR="00A705BF" w:rsidRPr="009D04B0" w14:paraId="5B65D36E" w14:textId="77777777" w:rsidTr="002B27D8">
        <w:tblPrEx>
          <w:tblCellMar>
            <w:top w:w="15" w:type="dxa"/>
            <w:bottom w:w="15" w:type="dxa"/>
          </w:tblCellMar>
          <w:tblLook w:val="04A0" w:firstRow="1" w:lastRow="0" w:firstColumn="1" w:lastColumn="0" w:noHBand="0" w:noVBand="1"/>
        </w:tblPrEx>
        <w:trPr>
          <w:trHeight w:val="20"/>
        </w:trPr>
        <w:tc>
          <w:tcPr>
            <w:tcW w:w="9067" w:type="dxa"/>
            <w:gridSpan w:val="8"/>
            <w:tcBorders>
              <w:top w:val="single" w:sz="4" w:space="0" w:color="auto"/>
              <w:left w:val="single" w:sz="4" w:space="0" w:color="auto"/>
              <w:right w:val="single" w:sz="4" w:space="0" w:color="auto"/>
            </w:tcBorders>
            <w:vAlign w:val="center"/>
          </w:tcPr>
          <w:p w14:paraId="317472D3" w14:textId="77777777" w:rsidR="00A705BF" w:rsidRPr="00C723B2" w:rsidRDefault="00A705BF" w:rsidP="00D419D5">
            <w:pPr>
              <w:rPr>
                <w:rFonts w:ascii="Arial Narrow" w:hAnsi="Arial Narrow"/>
                <w:sz w:val="20"/>
                <w:szCs w:val="20"/>
              </w:rPr>
            </w:pPr>
          </w:p>
        </w:tc>
      </w:tr>
      <w:tr w:rsidR="00A705BF" w:rsidRPr="009D04B0" w14:paraId="2DC343C8" w14:textId="77777777" w:rsidTr="002B27D8">
        <w:tblPrEx>
          <w:tblCellMar>
            <w:top w:w="15" w:type="dxa"/>
            <w:bottom w:w="15" w:type="dxa"/>
          </w:tblCellMar>
          <w:tblLook w:val="04A0" w:firstRow="1" w:lastRow="0" w:firstColumn="1" w:lastColumn="0" w:noHBand="0" w:noVBand="1"/>
        </w:tblPrEx>
        <w:trPr>
          <w:trHeight w:val="20"/>
        </w:trPr>
        <w:tc>
          <w:tcPr>
            <w:tcW w:w="9067" w:type="dxa"/>
            <w:gridSpan w:val="8"/>
            <w:tcBorders>
              <w:top w:val="single" w:sz="4" w:space="0" w:color="auto"/>
              <w:left w:val="single" w:sz="4" w:space="0" w:color="auto"/>
              <w:right w:val="single" w:sz="4" w:space="0" w:color="auto"/>
            </w:tcBorders>
            <w:vAlign w:val="center"/>
          </w:tcPr>
          <w:p w14:paraId="6C6D0770" w14:textId="77777777" w:rsidR="00A705BF" w:rsidRPr="00C723B2" w:rsidRDefault="00A705BF" w:rsidP="00D419D5">
            <w:pPr>
              <w:keepLines/>
              <w:rPr>
                <w:rFonts w:ascii="Arial Narrow" w:hAnsi="Arial Narrow"/>
                <w:b/>
                <w:sz w:val="20"/>
                <w:szCs w:val="20"/>
              </w:rPr>
            </w:pPr>
            <w:r w:rsidRPr="00C723B2">
              <w:rPr>
                <w:rFonts w:ascii="Arial Narrow" w:hAnsi="Arial Narrow"/>
                <w:b/>
                <w:sz w:val="20"/>
                <w:szCs w:val="20"/>
              </w:rPr>
              <w:t>Restriction Summary [new]</w:t>
            </w:r>
          </w:p>
        </w:tc>
      </w:tr>
      <w:tr w:rsidR="00A705BF" w:rsidRPr="009D04B0" w14:paraId="645CA375" w14:textId="77777777" w:rsidTr="002B27D8">
        <w:tblPrEx>
          <w:tblCellMar>
            <w:top w:w="15" w:type="dxa"/>
            <w:bottom w:w="15" w:type="dxa"/>
          </w:tblCellMar>
          <w:tblLook w:val="04A0" w:firstRow="1" w:lastRow="0" w:firstColumn="1" w:lastColumn="0" w:noHBand="0" w:noVBand="1"/>
        </w:tblPrEx>
        <w:trPr>
          <w:trHeight w:val="20"/>
        </w:trPr>
        <w:tc>
          <w:tcPr>
            <w:tcW w:w="1413" w:type="dxa"/>
            <w:gridSpan w:val="2"/>
            <w:vMerge w:val="restart"/>
            <w:tcBorders>
              <w:top w:val="single" w:sz="4" w:space="0" w:color="auto"/>
              <w:left w:val="single" w:sz="4" w:space="0" w:color="auto"/>
              <w:right w:val="single" w:sz="4" w:space="0" w:color="auto"/>
            </w:tcBorders>
          </w:tcPr>
          <w:p w14:paraId="370C1F4E" w14:textId="77777777" w:rsidR="00A705BF" w:rsidRPr="00C723B2" w:rsidRDefault="00A705BF" w:rsidP="00D419D5">
            <w:pPr>
              <w:jc w:val="center"/>
              <w:rPr>
                <w:rFonts w:ascii="Arial Narrow" w:hAnsi="Arial Narrow"/>
                <w:b/>
                <w:sz w:val="20"/>
                <w:szCs w:val="20"/>
              </w:rPr>
            </w:pPr>
            <w:r w:rsidRPr="00C723B2">
              <w:rPr>
                <w:rFonts w:ascii="Arial Narrow" w:hAnsi="Arial Narrow"/>
                <w:b/>
                <w:sz w:val="20"/>
                <w:szCs w:val="20"/>
              </w:rPr>
              <w:t xml:space="preserve">Concept ID </w:t>
            </w:r>
            <w:r w:rsidRPr="00C723B2">
              <w:rPr>
                <w:rFonts w:ascii="Arial Narrow" w:hAnsi="Arial Narrow"/>
                <w:sz w:val="20"/>
                <w:szCs w:val="20"/>
              </w:rPr>
              <w:t>(for internal Dept. use)</w:t>
            </w: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719D065" w14:textId="77777777" w:rsidR="00A705BF" w:rsidRPr="00C723B2" w:rsidRDefault="00A705BF" w:rsidP="00D419D5">
            <w:pPr>
              <w:keepLines/>
              <w:rPr>
                <w:rFonts w:ascii="Arial Narrow" w:hAnsi="Arial Narrow"/>
                <w:sz w:val="20"/>
                <w:szCs w:val="20"/>
              </w:rPr>
            </w:pPr>
            <w:r w:rsidRPr="00C723B2">
              <w:rPr>
                <w:rFonts w:ascii="Arial Narrow" w:hAnsi="Arial Narrow"/>
                <w:b/>
                <w:sz w:val="20"/>
                <w:szCs w:val="20"/>
              </w:rPr>
              <w:t xml:space="preserve">Category / Program: </w:t>
            </w:r>
            <w:r w:rsidRPr="00C723B2">
              <w:rPr>
                <w:rFonts w:ascii="Arial Narrow" w:hAnsi="Arial Narrow"/>
                <w:sz w:val="20"/>
                <w:szCs w:val="20"/>
              </w:rPr>
              <w:t>Section 100 – Highly Specialised Drugs Program</w:t>
            </w:r>
          </w:p>
        </w:tc>
      </w:tr>
      <w:tr w:rsidR="00A705BF" w:rsidRPr="009D04B0" w14:paraId="3F16184E" w14:textId="77777777" w:rsidTr="002B27D8">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50F7A781" w14:textId="77777777" w:rsidR="00A705BF" w:rsidRPr="00C723B2" w:rsidRDefault="00A705BF" w:rsidP="00D419D5">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47E1DE33" w14:textId="77777777" w:rsidR="00A705BF" w:rsidRPr="00C723B2" w:rsidRDefault="00A705BF" w:rsidP="00D419D5">
            <w:pPr>
              <w:keepLines/>
              <w:rPr>
                <w:rFonts w:ascii="Arial Narrow" w:hAnsi="Arial Narrow"/>
                <w:b/>
                <w:sz w:val="20"/>
                <w:szCs w:val="20"/>
              </w:rPr>
            </w:pPr>
            <w:r w:rsidRPr="00C723B2">
              <w:rPr>
                <w:rFonts w:ascii="Arial Narrow" w:hAnsi="Arial Narrow"/>
                <w:b/>
                <w:sz w:val="20"/>
                <w:szCs w:val="20"/>
              </w:rPr>
              <w:t xml:space="preserve">Prescriber type: </w:t>
            </w:r>
            <w:r w:rsidRPr="00C723B2">
              <w:rPr>
                <w:rFonts w:ascii="Arial Narrow" w:hAnsi="Arial Narrow"/>
                <w:sz w:val="20"/>
                <w:szCs w:val="20"/>
              </w:rPr>
              <w:fldChar w:fldCharType="begin" w:fldLock="1">
                <w:ffData>
                  <w:name w:val=""/>
                  <w:enabled/>
                  <w:calcOnExit w:val="0"/>
                  <w:checkBox>
                    <w:sizeAuto/>
                    <w:default w:val="1"/>
                  </w:checkBox>
                </w:ffData>
              </w:fldChar>
            </w:r>
            <w:r w:rsidRPr="00C723B2">
              <w:rPr>
                <w:rFonts w:ascii="Arial Narrow" w:hAnsi="Arial Narrow"/>
                <w:sz w:val="20"/>
                <w:szCs w:val="20"/>
              </w:rPr>
              <w:instrText xml:space="preserve"> FORMCHECKBOX </w:instrText>
            </w:r>
            <w:r w:rsidR="00A20CDB">
              <w:rPr>
                <w:rFonts w:ascii="Arial Narrow" w:hAnsi="Arial Narrow"/>
                <w:sz w:val="20"/>
                <w:szCs w:val="20"/>
              </w:rPr>
            </w:r>
            <w:r w:rsidR="00A20CDB">
              <w:rPr>
                <w:rFonts w:ascii="Arial Narrow" w:hAnsi="Arial Narrow"/>
                <w:sz w:val="20"/>
                <w:szCs w:val="20"/>
              </w:rPr>
              <w:fldChar w:fldCharType="separate"/>
            </w:r>
            <w:r w:rsidRPr="00C723B2">
              <w:rPr>
                <w:rFonts w:ascii="Arial Narrow" w:hAnsi="Arial Narrow"/>
                <w:sz w:val="20"/>
                <w:szCs w:val="20"/>
              </w:rPr>
              <w:fldChar w:fldCharType="end"/>
            </w:r>
            <w:r w:rsidRPr="00C723B2">
              <w:rPr>
                <w:rFonts w:ascii="Arial Narrow" w:hAnsi="Arial Narrow"/>
                <w:sz w:val="20"/>
                <w:szCs w:val="20"/>
              </w:rPr>
              <w:t>Medical Practitioners</w:t>
            </w:r>
          </w:p>
        </w:tc>
      </w:tr>
      <w:tr w:rsidR="00A77015" w:rsidRPr="009D04B0" w14:paraId="6B531E55" w14:textId="77777777" w:rsidTr="002B27D8">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bottom w:val="single" w:sz="4" w:space="0" w:color="auto"/>
              <w:right w:val="single" w:sz="4" w:space="0" w:color="auto"/>
            </w:tcBorders>
          </w:tcPr>
          <w:p w14:paraId="14F557F9" w14:textId="77777777" w:rsidR="00A77015" w:rsidRPr="00C723B2" w:rsidRDefault="00A77015" w:rsidP="00D419D5">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233CB75D" w14:textId="5D3FBBE1" w:rsidR="00A77015" w:rsidRPr="00C723B2" w:rsidRDefault="00A77015" w:rsidP="00A77015">
            <w:pPr>
              <w:keepLines/>
              <w:jc w:val="left"/>
              <w:rPr>
                <w:rFonts w:ascii="Arial Narrow" w:hAnsi="Arial Narrow"/>
                <w:b/>
                <w:sz w:val="20"/>
                <w:szCs w:val="20"/>
              </w:rPr>
            </w:pPr>
            <w:r w:rsidRPr="001428E9">
              <w:rPr>
                <w:rFonts w:ascii="Arial Narrow" w:hAnsi="Arial Narrow"/>
                <w:b/>
                <w:sz w:val="20"/>
                <w:szCs w:val="20"/>
              </w:rPr>
              <w:t>Restriction ty</w:t>
            </w:r>
            <w:r>
              <w:rPr>
                <w:rFonts w:ascii="Arial Narrow" w:hAnsi="Arial Narrow"/>
                <w:b/>
                <w:sz w:val="20"/>
                <w:szCs w:val="20"/>
              </w:rPr>
              <w:t>pe:</w:t>
            </w:r>
            <w:r>
              <w:rPr>
                <w:rFonts w:ascii="Arial Narrow" w:eastAsia="Calibri" w:hAnsi="Arial Narrow"/>
                <w:color w:val="FF0000"/>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A20CDB">
              <w:rPr>
                <w:rFonts w:ascii="Arial Narrow" w:eastAsia="Calibri" w:hAnsi="Arial Narrow"/>
                <w:sz w:val="20"/>
                <w:szCs w:val="20"/>
              </w:rPr>
            </w:r>
            <w:r w:rsidR="00A20CDB">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 xml:space="preserve">FULL assessment) </w:t>
            </w:r>
            <w:r w:rsidRPr="001428E9">
              <w:rPr>
                <w:rFonts w:ascii="Arial Narrow" w:eastAsia="Calibri" w:hAnsi="Arial Narrow"/>
                <w:sz w:val="20"/>
                <w:szCs w:val="20"/>
              </w:rPr>
              <w:t xml:space="preserve">in writing only via post/HPOS upload) </w:t>
            </w:r>
          </w:p>
        </w:tc>
      </w:tr>
      <w:tr w:rsidR="00A705BF" w:rsidRPr="009D04B0" w14:paraId="2C80F0CB" w14:textId="77777777" w:rsidTr="002B27D8">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bottom w:val="single" w:sz="4" w:space="0" w:color="auto"/>
              <w:right w:val="single" w:sz="4" w:space="0" w:color="auto"/>
            </w:tcBorders>
          </w:tcPr>
          <w:p w14:paraId="4DAF30A4" w14:textId="77777777" w:rsidR="00A705BF" w:rsidRPr="00C723B2" w:rsidRDefault="00A705BF" w:rsidP="00D419D5">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54E9E848" w14:textId="6B38532F" w:rsidR="00A705BF" w:rsidRPr="00C723B2" w:rsidRDefault="00A77015" w:rsidP="001E18A2">
            <w:pPr>
              <w:keepLines/>
              <w:jc w:val="left"/>
              <w:rPr>
                <w:rFonts w:ascii="Arial Narrow" w:eastAsia="Calibri" w:hAnsi="Arial Narrow"/>
                <w:sz w:val="20"/>
                <w:szCs w:val="20"/>
              </w:rPr>
            </w:pPr>
            <w:r>
              <w:rPr>
                <w:rFonts w:ascii="Arial Narrow" w:hAnsi="Arial Narrow"/>
                <w:b/>
                <w:sz w:val="20"/>
                <w:szCs w:val="20"/>
              </w:rPr>
              <w:t>Authority</w:t>
            </w:r>
            <w:r w:rsidR="00A705BF" w:rsidRPr="00C723B2">
              <w:rPr>
                <w:rFonts w:ascii="Arial Narrow" w:hAnsi="Arial Narrow"/>
                <w:b/>
                <w:sz w:val="20"/>
                <w:szCs w:val="20"/>
              </w:rPr>
              <w:t xml:space="preserve"> type: </w:t>
            </w:r>
            <w:r w:rsidR="00A705BF" w:rsidRPr="00C723B2">
              <w:rPr>
                <w:rFonts w:ascii="Arial Narrow" w:eastAsia="Calibri" w:hAnsi="Arial Narrow"/>
                <w:color w:val="FF0000"/>
                <w:sz w:val="20"/>
                <w:szCs w:val="20"/>
              </w:rPr>
              <w:br/>
            </w:r>
            <w:r w:rsidR="00A705BF" w:rsidRPr="00C723B2">
              <w:rPr>
                <w:rFonts w:ascii="Arial Narrow" w:eastAsia="Calibri" w:hAnsi="Arial Narrow"/>
                <w:sz w:val="20"/>
                <w:szCs w:val="20"/>
              </w:rPr>
              <w:fldChar w:fldCharType="begin" w:fldLock="1">
                <w:ffData>
                  <w:name w:val=""/>
                  <w:enabled/>
                  <w:calcOnExit w:val="0"/>
                  <w:checkBox>
                    <w:sizeAuto/>
                    <w:default w:val="1"/>
                  </w:checkBox>
                </w:ffData>
              </w:fldChar>
            </w:r>
            <w:r w:rsidR="00A705BF" w:rsidRPr="00C723B2">
              <w:rPr>
                <w:rFonts w:ascii="Arial Narrow" w:eastAsia="Calibri" w:hAnsi="Arial Narrow"/>
                <w:sz w:val="20"/>
                <w:szCs w:val="20"/>
              </w:rPr>
              <w:instrText xml:space="preserve"> FORMCHECKBOX </w:instrText>
            </w:r>
            <w:r w:rsidR="00A20CDB">
              <w:rPr>
                <w:rFonts w:ascii="Arial Narrow" w:eastAsia="Calibri" w:hAnsi="Arial Narrow"/>
                <w:sz w:val="20"/>
                <w:szCs w:val="20"/>
              </w:rPr>
            </w:r>
            <w:r w:rsidR="00A20CDB">
              <w:rPr>
                <w:rFonts w:ascii="Arial Narrow" w:eastAsia="Calibri" w:hAnsi="Arial Narrow"/>
                <w:sz w:val="20"/>
                <w:szCs w:val="20"/>
              </w:rPr>
              <w:fldChar w:fldCharType="separate"/>
            </w:r>
            <w:r w:rsidR="00A705BF" w:rsidRPr="00C723B2">
              <w:rPr>
                <w:rFonts w:ascii="Arial Narrow" w:eastAsia="Calibri" w:hAnsi="Arial Narrow"/>
                <w:sz w:val="20"/>
                <w:szCs w:val="20"/>
              </w:rPr>
              <w:fldChar w:fldCharType="end"/>
            </w:r>
            <w:r w:rsidR="00E22F32">
              <w:rPr>
                <w:rFonts w:ascii="Arial Narrow" w:eastAsia="Calibri" w:hAnsi="Arial Narrow"/>
                <w:sz w:val="20"/>
                <w:szCs w:val="20"/>
              </w:rPr>
              <w:t xml:space="preserve"> Complex Authority Required (CAR)</w:t>
            </w:r>
          </w:p>
        </w:tc>
      </w:tr>
      <w:tr w:rsidR="00A705BF" w:rsidRPr="009D04B0" w14:paraId="3621AABA" w14:textId="77777777" w:rsidTr="002B27D8">
        <w:tblPrEx>
          <w:tblCellMar>
            <w:top w:w="15" w:type="dxa"/>
            <w:bottom w:w="15" w:type="dxa"/>
          </w:tblCellMar>
          <w:tblLook w:val="04A0" w:firstRow="1" w:lastRow="0" w:firstColumn="1" w:lastColumn="0" w:noHBand="0" w:noVBand="1"/>
        </w:tblPrEx>
        <w:trPr>
          <w:trHeight w:val="514"/>
        </w:trPr>
        <w:tc>
          <w:tcPr>
            <w:tcW w:w="704" w:type="dxa"/>
            <w:vMerge w:val="restart"/>
            <w:tcBorders>
              <w:left w:val="single" w:sz="4" w:space="0" w:color="auto"/>
              <w:right w:val="single" w:sz="4" w:space="0" w:color="auto"/>
            </w:tcBorders>
            <w:textDirection w:val="btLr"/>
          </w:tcPr>
          <w:p w14:paraId="7DE86E16" w14:textId="558EDFAC" w:rsidR="00A705BF" w:rsidRPr="00C723B2" w:rsidRDefault="00295E4F" w:rsidP="002B27D8">
            <w:pPr>
              <w:ind w:left="113" w:right="113"/>
              <w:rPr>
                <w:rFonts w:ascii="Arial Narrow" w:hAnsi="Arial Narrow"/>
                <w:sz w:val="20"/>
                <w:szCs w:val="20"/>
              </w:rPr>
            </w:pPr>
            <w:r>
              <w:rPr>
                <w:rFonts w:ascii="Arial Narrow" w:hAnsi="Arial Narrow"/>
                <w:sz w:val="20"/>
                <w:szCs w:val="20"/>
              </w:rPr>
              <w:t>Prescr</w:t>
            </w:r>
            <w:r w:rsidR="005A6259">
              <w:rPr>
                <w:rFonts w:ascii="Arial Narrow" w:hAnsi="Arial Narrow"/>
                <w:sz w:val="20"/>
                <w:szCs w:val="20"/>
              </w:rPr>
              <w:t>i</w:t>
            </w:r>
            <w:r>
              <w:rPr>
                <w:rFonts w:ascii="Arial Narrow" w:hAnsi="Arial Narrow"/>
                <w:sz w:val="20"/>
                <w:szCs w:val="20"/>
              </w:rPr>
              <w:t>bing rule level</w:t>
            </w:r>
          </w:p>
        </w:tc>
        <w:tc>
          <w:tcPr>
            <w:tcW w:w="709" w:type="dxa"/>
            <w:vAlign w:val="center"/>
          </w:tcPr>
          <w:p w14:paraId="58D44E08" w14:textId="1AF68E4E" w:rsidR="00A705BF" w:rsidRPr="00C723B2" w:rsidRDefault="00A705BF" w:rsidP="00D419D5">
            <w:pPr>
              <w:jc w:val="center"/>
              <w:rPr>
                <w:rFonts w:ascii="Arial Narrow" w:hAnsi="Arial Narrow"/>
                <w:color w:val="333333"/>
                <w:sz w:val="20"/>
                <w:szCs w:val="20"/>
              </w:rPr>
            </w:pPr>
          </w:p>
        </w:tc>
        <w:tc>
          <w:tcPr>
            <w:tcW w:w="7654" w:type="dxa"/>
            <w:gridSpan w:val="6"/>
            <w:vAlign w:val="center"/>
          </w:tcPr>
          <w:p w14:paraId="63C2757A" w14:textId="77777777" w:rsidR="00A705BF" w:rsidRPr="00C723B2" w:rsidRDefault="00A705BF" w:rsidP="00D419D5">
            <w:pPr>
              <w:rPr>
                <w:rFonts w:ascii="Arial Narrow" w:hAnsi="Arial Narrow"/>
                <w:b/>
                <w:bCs/>
                <w:color w:val="333333"/>
                <w:sz w:val="20"/>
                <w:szCs w:val="20"/>
              </w:rPr>
            </w:pPr>
            <w:r w:rsidRPr="00C723B2">
              <w:rPr>
                <w:rFonts w:ascii="Arial Narrow" w:hAnsi="Arial Narrow"/>
                <w:b/>
                <w:bCs/>
                <w:color w:val="333333"/>
                <w:sz w:val="20"/>
                <w:szCs w:val="20"/>
              </w:rPr>
              <w:t xml:space="preserve">Administrative Advice: </w:t>
            </w:r>
            <w:r w:rsidRPr="00C723B2">
              <w:rPr>
                <w:rFonts w:ascii="Arial Narrow" w:eastAsia="Calibri" w:hAnsi="Arial Narrow"/>
                <w:sz w:val="20"/>
                <w:szCs w:val="20"/>
              </w:rPr>
              <w:t>No increase in the maximum number of repeats may be authorised.</w:t>
            </w:r>
          </w:p>
        </w:tc>
      </w:tr>
      <w:tr w:rsidR="00A705BF" w:rsidRPr="009D04B0" w14:paraId="4984FA70" w14:textId="77777777" w:rsidTr="002B27D8">
        <w:tblPrEx>
          <w:tblCellMar>
            <w:top w:w="15" w:type="dxa"/>
            <w:bottom w:w="15" w:type="dxa"/>
          </w:tblCellMar>
          <w:tblLook w:val="04A0" w:firstRow="1" w:lastRow="0" w:firstColumn="1" w:lastColumn="0" w:noHBand="0" w:noVBand="1"/>
        </w:tblPrEx>
        <w:trPr>
          <w:trHeight w:val="536"/>
        </w:trPr>
        <w:tc>
          <w:tcPr>
            <w:tcW w:w="704" w:type="dxa"/>
            <w:vMerge/>
            <w:tcBorders>
              <w:left w:val="single" w:sz="4" w:space="0" w:color="auto"/>
              <w:bottom w:val="single" w:sz="4" w:space="0" w:color="auto"/>
              <w:right w:val="single" w:sz="4" w:space="0" w:color="auto"/>
            </w:tcBorders>
          </w:tcPr>
          <w:p w14:paraId="449F8081" w14:textId="77777777" w:rsidR="00A705BF" w:rsidRPr="00C723B2" w:rsidRDefault="00A705BF" w:rsidP="00D419D5">
            <w:pPr>
              <w:rPr>
                <w:rFonts w:ascii="Arial Narrow" w:hAnsi="Arial Narrow"/>
                <w:sz w:val="20"/>
                <w:szCs w:val="20"/>
              </w:rPr>
            </w:pPr>
          </w:p>
        </w:tc>
        <w:tc>
          <w:tcPr>
            <w:tcW w:w="709" w:type="dxa"/>
            <w:vAlign w:val="center"/>
          </w:tcPr>
          <w:p w14:paraId="3611B406" w14:textId="7FBE074C" w:rsidR="00A705BF" w:rsidRPr="00C723B2" w:rsidRDefault="00A705BF" w:rsidP="00D419D5">
            <w:pPr>
              <w:jc w:val="center"/>
              <w:rPr>
                <w:rFonts w:ascii="Arial Narrow" w:hAnsi="Arial Narrow"/>
                <w:color w:val="333333"/>
                <w:sz w:val="20"/>
                <w:szCs w:val="20"/>
              </w:rPr>
            </w:pPr>
          </w:p>
        </w:tc>
        <w:tc>
          <w:tcPr>
            <w:tcW w:w="7654" w:type="dxa"/>
            <w:gridSpan w:val="6"/>
            <w:vAlign w:val="center"/>
          </w:tcPr>
          <w:p w14:paraId="603417E1" w14:textId="77777777" w:rsidR="00A705BF" w:rsidRPr="00C723B2" w:rsidRDefault="00A705BF" w:rsidP="00D419D5">
            <w:pPr>
              <w:rPr>
                <w:rFonts w:ascii="Arial Narrow" w:hAnsi="Arial Narrow"/>
                <w:b/>
                <w:bCs/>
                <w:color w:val="333333"/>
                <w:sz w:val="20"/>
                <w:szCs w:val="20"/>
              </w:rPr>
            </w:pPr>
            <w:r w:rsidRPr="00C723B2">
              <w:rPr>
                <w:rFonts w:ascii="Arial Narrow" w:hAnsi="Arial Narrow"/>
                <w:b/>
                <w:bCs/>
                <w:color w:val="333333"/>
                <w:sz w:val="20"/>
                <w:szCs w:val="20"/>
              </w:rPr>
              <w:t xml:space="preserve">Administrative Advice: </w:t>
            </w:r>
            <w:r w:rsidRPr="00C723B2">
              <w:rPr>
                <w:rFonts w:ascii="Arial Narrow" w:eastAsia="Calibri" w:hAnsi="Arial Narrow"/>
                <w:sz w:val="20"/>
                <w:szCs w:val="20"/>
              </w:rPr>
              <w:t>Special Pricing Arrangements apply.</w:t>
            </w:r>
          </w:p>
        </w:tc>
      </w:tr>
      <w:tr w:rsidR="00A705BF" w:rsidRPr="009D04B0" w14:paraId="6EBB7000" w14:textId="77777777" w:rsidTr="002B27D8">
        <w:tblPrEx>
          <w:tblCellMar>
            <w:top w:w="15" w:type="dxa"/>
            <w:bottom w:w="15" w:type="dxa"/>
          </w:tblCellMar>
          <w:tblLook w:val="04A0" w:firstRow="1" w:lastRow="0" w:firstColumn="1" w:lastColumn="0" w:noHBand="0" w:noVBand="1"/>
        </w:tblPrEx>
        <w:trPr>
          <w:trHeight w:val="414"/>
        </w:trPr>
        <w:tc>
          <w:tcPr>
            <w:tcW w:w="1413" w:type="dxa"/>
            <w:gridSpan w:val="2"/>
            <w:tcBorders>
              <w:left w:val="single" w:sz="4" w:space="0" w:color="auto"/>
              <w:bottom w:val="single" w:sz="4" w:space="0" w:color="auto"/>
            </w:tcBorders>
          </w:tcPr>
          <w:p w14:paraId="0D888384" w14:textId="2D90A622" w:rsidR="00A705BF" w:rsidRPr="00C723B2" w:rsidRDefault="00A705BF" w:rsidP="00D419D5">
            <w:pPr>
              <w:jc w:val="center"/>
              <w:rPr>
                <w:rFonts w:ascii="Arial Narrow" w:hAnsi="Arial Narrow"/>
                <w:color w:val="333333"/>
                <w:sz w:val="20"/>
                <w:szCs w:val="20"/>
              </w:rPr>
            </w:pPr>
          </w:p>
        </w:tc>
        <w:tc>
          <w:tcPr>
            <w:tcW w:w="7654" w:type="dxa"/>
            <w:gridSpan w:val="6"/>
            <w:vAlign w:val="center"/>
          </w:tcPr>
          <w:p w14:paraId="492A16D9" w14:textId="77777777" w:rsidR="00A705BF" w:rsidRPr="00C723B2" w:rsidRDefault="00A705BF" w:rsidP="00D419D5">
            <w:pPr>
              <w:rPr>
                <w:rFonts w:ascii="Arial Narrow" w:hAnsi="Arial Narrow"/>
                <w:sz w:val="20"/>
                <w:szCs w:val="20"/>
              </w:rPr>
            </w:pPr>
            <w:r w:rsidRPr="00C723B2">
              <w:rPr>
                <w:rFonts w:ascii="Arial Narrow" w:hAnsi="Arial Narrow"/>
                <w:b/>
                <w:bCs/>
                <w:color w:val="333333"/>
                <w:sz w:val="20"/>
                <w:szCs w:val="20"/>
              </w:rPr>
              <w:t xml:space="preserve">Administrative Advice: </w:t>
            </w:r>
            <w:r w:rsidRPr="00C723B2">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A705BF" w:rsidRPr="00813D47" w14:paraId="24E93F46" w14:textId="77777777" w:rsidTr="002B27D8">
        <w:tblPrEx>
          <w:tblCellMar>
            <w:top w:w="15" w:type="dxa"/>
            <w:bottom w:w="15" w:type="dxa"/>
          </w:tblCellMar>
          <w:tblLook w:val="04A0" w:firstRow="1" w:lastRow="0" w:firstColumn="1" w:lastColumn="0" w:noHBand="0" w:noVBand="1"/>
        </w:tblPrEx>
        <w:trPr>
          <w:trHeight w:val="414"/>
        </w:trPr>
        <w:tc>
          <w:tcPr>
            <w:tcW w:w="1413" w:type="dxa"/>
            <w:gridSpan w:val="2"/>
            <w:tcBorders>
              <w:left w:val="single" w:sz="4" w:space="0" w:color="auto"/>
              <w:bottom w:val="single" w:sz="4" w:space="0" w:color="auto"/>
            </w:tcBorders>
            <w:vAlign w:val="center"/>
          </w:tcPr>
          <w:p w14:paraId="27C4A2CB" w14:textId="2142381A" w:rsidR="00A705BF" w:rsidRPr="00C723B2" w:rsidRDefault="00A705BF" w:rsidP="00D419D5">
            <w:pPr>
              <w:jc w:val="center"/>
              <w:rPr>
                <w:rFonts w:ascii="Arial Narrow" w:hAnsi="Arial Narrow"/>
                <w:sz w:val="20"/>
                <w:szCs w:val="20"/>
              </w:rPr>
            </w:pPr>
          </w:p>
        </w:tc>
        <w:tc>
          <w:tcPr>
            <w:tcW w:w="7654" w:type="dxa"/>
            <w:gridSpan w:val="6"/>
            <w:vAlign w:val="center"/>
          </w:tcPr>
          <w:p w14:paraId="3DA603B6" w14:textId="77777777" w:rsidR="00A705BF" w:rsidRPr="00C723B2" w:rsidRDefault="00A705BF" w:rsidP="00D419D5">
            <w:pPr>
              <w:rPr>
                <w:rFonts w:ascii="Arial Narrow" w:hAnsi="Arial Narrow"/>
                <w:b/>
                <w:bCs/>
                <w:sz w:val="20"/>
                <w:szCs w:val="20"/>
              </w:rPr>
            </w:pPr>
            <w:r w:rsidRPr="00C723B2">
              <w:rPr>
                <w:rFonts w:ascii="Arial Narrow" w:hAnsi="Arial Narrow"/>
                <w:b/>
                <w:bCs/>
                <w:sz w:val="20"/>
                <w:szCs w:val="20"/>
              </w:rPr>
              <w:t xml:space="preserve">Prescribing Instructions: </w:t>
            </w:r>
            <w:r w:rsidRPr="00C723B2">
              <w:rPr>
                <w:rFonts w:ascii="Arial Narrow" w:hAnsi="Arial Narrow"/>
                <w:sz w:val="20"/>
                <w:szCs w:val="20"/>
              </w:rPr>
              <w:t>The quantity of drug and number of repeat prescriptions prescribed is to be in accordance with the relevant 'Note' attached to this listing.</w:t>
            </w:r>
          </w:p>
        </w:tc>
      </w:tr>
      <w:tr w:rsidR="00A705BF" w:rsidRPr="009D04B0" w14:paraId="33FD81D2"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32D3853" w14:textId="046F02F2"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48B421AD"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The approved Product Information recommended dosing is as follows:</w:t>
            </w:r>
          </w:p>
          <w:p w14:paraId="417CC496"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 16 days to less than 2 months of age: 0.15 mg/kg</w:t>
            </w:r>
          </w:p>
          <w:p w14:paraId="6A8E870E"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(ii) 2 months to less than 2 years of age: 0.20 mg/kg</w:t>
            </w:r>
          </w:p>
          <w:p w14:paraId="78E018BF"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(iii) 2 years of age and older weighing less than 20 kg: 0.25 mg/kg</w:t>
            </w:r>
          </w:p>
          <w:p w14:paraId="6775F9D0" w14:textId="463A44AF" w:rsidR="00A705BF" w:rsidRPr="001806AB" w:rsidRDefault="00A705BF" w:rsidP="00D419D5">
            <w:pPr>
              <w:keepLines/>
              <w:rPr>
                <w:rFonts w:ascii="Arial Narrow" w:hAnsi="Arial Narrow"/>
                <w:color w:val="333333"/>
                <w:sz w:val="20"/>
                <w:szCs w:val="20"/>
              </w:rPr>
            </w:pPr>
            <w:r w:rsidRPr="00C723B2">
              <w:rPr>
                <w:rFonts w:ascii="Arial Narrow" w:hAnsi="Arial Narrow"/>
                <w:color w:val="333333"/>
                <w:sz w:val="20"/>
                <w:szCs w:val="20"/>
              </w:rPr>
              <w:t>(iv) 2 years of age and older weighing 20 kg or more: 5 mg</w:t>
            </w:r>
          </w:p>
        </w:tc>
      </w:tr>
      <w:tr w:rsidR="00A705BF" w:rsidRPr="009D04B0" w14:paraId="72778542"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F6A264A" w14:textId="31D0B04E"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464BA5EC"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bCs/>
                <w:color w:val="333333"/>
                <w:sz w:val="20"/>
                <w:szCs w:val="20"/>
              </w:rPr>
              <w:t xml:space="preserve">Prescribing Instructions: </w:t>
            </w:r>
          </w:p>
          <w:p w14:paraId="5F291BAF"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In this authority application, state which of (i) to (iv) above applies to the patient. Based on (i) to (iv), prescribe up to:</w:t>
            </w:r>
          </w:p>
          <w:p w14:paraId="4717F751"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1 unit where (i) applies;</w:t>
            </w:r>
          </w:p>
          <w:p w14:paraId="7D77CA18"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2 units where (ii) applies;</w:t>
            </w:r>
          </w:p>
          <w:p w14:paraId="7790FB98"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3 units where (iii) applies;</w:t>
            </w:r>
          </w:p>
          <w:p w14:paraId="1010E03F" w14:textId="77777777" w:rsidR="00A705BF" w:rsidRPr="00C723B2" w:rsidDel="000C2AA4" w:rsidRDefault="00A705BF" w:rsidP="00D419D5">
            <w:pPr>
              <w:keepLines/>
              <w:rPr>
                <w:rFonts w:ascii="Arial Narrow" w:hAnsi="Arial Narrow"/>
                <w:b/>
                <w:bCs/>
                <w:color w:val="333333"/>
                <w:sz w:val="20"/>
                <w:szCs w:val="20"/>
              </w:rPr>
            </w:pPr>
            <w:r w:rsidRPr="00C723B2">
              <w:rPr>
                <w:rFonts w:ascii="Arial Narrow" w:hAnsi="Arial Narrow"/>
                <w:color w:val="333333"/>
                <w:sz w:val="20"/>
                <w:szCs w:val="20"/>
              </w:rPr>
              <w:t>3 units where (iv) applies.</w:t>
            </w:r>
          </w:p>
        </w:tc>
      </w:tr>
      <w:tr w:rsidR="002B27D8" w:rsidRPr="009D04B0" w14:paraId="43B6B8DF"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514CB73" w14:textId="77777777" w:rsidR="002B27D8" w:rsidRPr="00C723B2" w:rsidRDefault="002B27D8" w:rsidP="00D419D5">
            <w:pPr>
              <w:keepLines/>
              <w:jc w:val="center"/>
              <w:rPr>
                <w:rFonts w:ascii="Arial Narrow" w:hAnsi="Arial Narrow"/>
                <w:color w:val="333333"/>
                <w:sz w:val="20"/>
                <w:szCs w:val="20"/>
              </w:rPr>
            </w:pPr>
          </w:p>
        </w:tc>
        <w:tc>
          <w:tcPr>
            <w:tcW w:w="7654" w:type="dxa"/>
            <w:gridSpan w:val="6"/>
            <w:vAlign w:val="center"/>
          </w:tcPr>
          <w:p w14:paraId="59CDB572" w14:textId="77777777" w:rsidR="002B27D8" w:rsidRPr="00C723B2" w:rsidRDefault="002B27D8" w:rsidP="00D419D5">
            <w:pPr>
              <w:keepLines/>
              <w:rPr>
                <w:rFonts w:ascii="Arial Narrow" w:hAnsi="Arial Narrow"/>
                <w:b/>
                <w:bCs/>
                <w:color w:val="333333"/>
                <w:sz w:val="20"/>
                <w:szCs w:val="20"/>
              </w:rPr>
            </w:pPr>
          </w:p>
        </w:tc>
      </w:tr>
      <w:tr w:rsidR="00A705BF" w:rsidRPr="009D04B0" w14:paraId="0E2BFBAB" w14:textId="77777777" w:rsidTr="005244F9">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E4033E7" w14:textId="2E086CE0" w:rsidR="00A705BF" w:rsidRPr="00C723B2" w:rsidRDefault="00A705BF" w:rsidP="00D419D5">
            <w:pPr>
              <w:keepLines/>
              <w:jc w:val="center"/>
              <w:rPr>
                <w:rFonts w:ascii="Arial Narrow" w:hAnsi="Arial Narrow"/>
                <w:color w:val="333333"/>
                <w:sz w:val="20"/>
                <w:szCs w:val="20"/>
              </w:rPr>
            </w:pPr>
          </w:p>
        </w:tc>
        <w:tc>
          <w:tcPr>
            <w:tcW w:w="7654" w:type="dxa"/>
            <w:gridSpan w:val="6"/>
            <w:vAlign w:val="center"/>
            <w:hideMark/>
          </w:tcPr>
          <w:p w14:paraId="301419BC" w14:textId="77777777" w:rsidR="00A705BF" w:rsidRPr="00C723B2" w:rsidRDefault="00A705BF" w:rsidP="00D419D5">
            <w:pPr>
              <w:keepLines/>
              <w:rPr>
                <w:rFonts w:ascii="Arial Narrow" w:hAnsi="Arial Narrow"/>
                <w:color w:val="333333"/>
                <w:sz w:val="20"/>
                <w:szCs w:val="20"/>
              </w:rPr>
            </w:pPr>
            <w:r w:rsidRPr="00C723B2">
              <w:rPr>
                <w:rFonts w:ascii="Arial Narrow" w:hAnsi="Arial Narrow"/>
                <w:b/>
                <w:bCs/>
                <w:color w:val="333333"/>
                <w:sz w:val="20"/>
                <w:szCs w:val="20"/>
              </w:rPr>
              <w:t>Indication:</w:t>
            </w:r>
            <w:r w:rsidRPr="00C723B2">
              <w:rPr>
                <w:rFonts w:ascii="Arial Narrow" w:hAnsi="Arial Narrow"/>
                <w:color w:val="333333"/>
                <w:sz w:val="20"/>
                <w:szCs w:val="20"/>
              </w:rPr>
              <w:t xml:space="preserve"> Pre-symptomatic Spinal Muscular Atrophy (SMA)</w:t>
            </w:r>
          </w:p>
        </w:tc>
      </w:tr>
      <w:tr w:rsidR="00A171F7" w:rsidRPr="009D04B0" w14:paraId="65317A12"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6FEC5CA" w14:textId="77777777" w:rsidR="00A171F7" w:rsidRPr="00C723B2" w:rsidRDefault="00A171F7" w:rsidP="00D419D5">
            <w:pPr>
              <w:keepLines/>
              <w:jc w:val="center"/>
              <w:rPr>
                <w:rFonts w:ascii="Arial Narrow" w:hAnsi="Arial Narrow"/>
                <w:color w:val="333333"/>
                <w:sz w:val="20"/>
                <w:szCs w:val="20"/>
              </w:rPr>
            </w:pPr>
          </w:p>
        </w:tc>
        <w:tc>
          <w:tcPr>
            <w:tcW w:w="7654" w:type="dxa"/>
            <w:gridSpan w:val="6"/>
            <w:vAlign w:val="center"/>
          </w:tcPr>
          <w:p w14:paraId="26F6CD5F" w14:textId="77777777" w:rsidR="00A171F7" w:rsidRPr="00C723B2" w:rsidRDefault="00A171F7" w:rsidP="00D419D5">
            <w:pPr>
              <w:keepLines/>
              <w:rPr>
                <w:rFonts w:ascii="Arial Narrow" w:hAnsi="Arial Narrow"/>
                <w:b/>
                <w:bCs/>
                <w:color w:val="333333"/>
                <w:sz w:val="20"/>
                <w:szCs w:val="20"/>
              </w:rPr>
            </w:pPr>
          </w:p>
        </w:tc>
      </w:tr>
      <w:tr w:rsidR="00A705BF" w:rsidRPr="009D04B0" w14:paraId="7351DDCA"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F40344B" w14:textId="77777777"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6D2303B3"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bCs/>
                <w:color w:val="333333"/>
                <w:sz w:val="20"/>
                <w:szCs w:val="20"/>
              </w:rPr>
              <w:t>Treatment Phase:</w:t>
            </w:r>
            <w:r w:rsidRPr="00C723B2">
              <w:rPr>
                <w:rFonts w:ascii="Arial Narrow" w:hAnsi="Arial Narrow"/>
                <w:color w:val="FF0000"/>
                <w:sz w:val="20"/>
                <w:szCs w:val="20"/>
              </w:rPr>
              <w:t xml:space="preserve"> </w:t>
            </w:r>
            <w:r w:rsidRPr="00C723B2">
              <w:rPr>
                <w:rFonts w:ascii="Arial Narrow" w:hAnsi="Arial Narrow"/>
                <w:sz w:val="20"/>
                <w:szCs w:val="20"/>
              </w:rPr>
              <w:t xml:space="preserve">Initial treatment of pre-symptomatic spinal muscular atrophy (SMA) with 3 copies of the </w:t>
            </w:r>
            <w:r w:rsidRPr="001806AB">
              <w:rPr>
                <w:rFonts w:ascii="Arial Narrow" w:hAnsi="Arial Narrow"/>
                <w:i/>
                <w:iCs/>
                <w:sz w:val="20"/>
                <w:szCs w:val="20"/>
              </w:rPr>
              <w:t>SMN2</w:t>
            </w:r>
            <w:r w:rsidRPr="00C723B2">
              <w:rPr>
                <w:rFonts w:ascii="Arial Narrow" w:hAnsi="Arial Narrow"/>
                <w:sz w:val="20"/>
                <w:szCs w:val="20"/>
              </w:rPr>
              <w:t xml:space="preserve"> gene</w:t>
            </w:r>
          </w:p>
        </w:tc>
      </w:tr>
      <w:tr w:rsidR="00A171F7" w:rsidRPr="009D04B0" w14:paraId="640471EB"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F82C701" w14:textId="77777777" w:rsidR="00A171F7" w:rsidRPr="00C723B2" w:rsidRDefault="00A171F7" w:rsidP="00D419D5">
            <w:pPr>
              <w:keepLines/>
              <w:jc w:val="center"/>
              <w:rPr>
                <w:rFonts w:ascii="Arial Narrow" w:hAnsi="Arial Narrow"/>
                <w:color w:val="333333"/>
                <w:sz w:val="20"/>
                <w:szCs w:val="20"/>
              </w:rPr>
            </w:pPr>
          </w:p>
        </w:tc>
        <w:tc>
          <w:tcPr>
            <w:tcW w:w="7654" w:type="dxa"/>
            <w:gridSpan w:val="6"/>
            <w:vAlign w:val="center"/>
          </w:tcPr>
          <w:p w14:paraId="37196355" w14:textId="77777777" w:rsidR="00A171F7" w:rsidRPr="00C723B2" w:rsidRDefault="00A171F7" w:rsidP="00D419D5">
            <w:pPr>
              <w:keepLines/>
              <w:rPr>
                <w:rFonts w:ascii="Arial Narrow" w:hAnsi="Arial Narrow"/>
                <w:b/>
                <w:bCs/>
                <w:color w:val="333333"/>
                <w:sz w:val="20"/>
                <w:szCs w:val="20"/>
              </w:rPr>
            </w:pPr>
          </w:p>
        </w:tc>
      </w:tr>
      <w:tr w:rsidR="00A705BF" w:rsidRPr="009D04B0" w14:paraId="33332EDB"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6B680A6" w14:textId="1445A8FA"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42723A4B" w14:textId="77777777" w:rsidR="00A705BF" w:rsidRPr="009D04B0" w:rsidRDefault="00A705BF" w:rsidP="00D419D5">
            <w:pPr>
              <w:keepLines/>
              <w:rPr>
                <w:rFonts w:ascii="Arial Narrow" w:hAnsi="Arial Narrow"/>
                <w:b/>
                <w:bCs/>
                <w:color w:val="333333"/>
                <w:sz w:val="20"/>
                <w:szCs w:val="20"/>
              </w:rPr>
            </w:pPr>
            <w:r w:rsidRPr="009D04B0">
              <w:rPr>
                <w:rFonts w:ascii="Arial Narrow" w:hAnsi="Arial Narrow"/>
                <w:b/>
                <w:sz w:val="20"/>
                <w:szCs w:val="20"/>
              </w:rPr>
              <w:t>Treatment criteria:</w:t>
            </w:r>
          </w:p>
        </w:tc>
      </w:tr>
      <w:tr w:rsidR="00A705BF" w:rsidRPr="009D04B0" w14:paraId="315C58A5"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D9958B5" w14:textId="4F70479D"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0EECE6BB" w14:textId="6B21CB5D" w:rsidR="00A705BF" w:rsidRPr="009D04B0" w:rsidRDefault="00A705BF" w:rsidP="00D419D5">
            <w:pPr>
              <w:rPr>
                <w:rFonts w:ascii="Arial Narrow" w:hAnsi="Arial Narrow"/>
                <w:sz w:val="20"/>
                <w:szCs w:val="20"/>
              </w:rPr>
            </w:pPr>
            <w:r w:rsidRPr="009D04B0">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w:t>
            </w:r>
            <w:r w:rsidR="00E22F32">
              <w:rPr>
                <w:rFonts w:ascii="Arial Narrow" w:hAnsi="Arial Narrow"/>
                <w:sz w:val="20"/>
                <w:szCs w:val="20"/>
              </w:rPr>
              <w:t>.</w:t>
            </w:r>
          </w:p>
        </w:tc>
      </w:tr>
      <w:tr w:rsidR="00A171F7" w:rsidRPr="009D04B0" w14:paraId="71F53BFD"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936332F" w14:textId="77777777" w:rsidR="00A171F7" w:rsidRPr="009D04B0" w:rsidRDefault="00A171F7" w:rsidP="00D419D5">
            <w:pPr>
              <w:keepLines/>
              <w:jc w:val="center"/>
              <w:rPr>
                <w:rFonts w:ascii="Arial Narrow" w:hAnsi="Arial Narrow"/>
                <w:sz w:val="20"/>
                <w:szCs w:val="20"/>
              </w:rPr>
            </w:pPr>
          </w:p>
        </w:tc>
        <w:tc>
          <w:tcPr>
            <w:tcW w:w="7654" w:type="dxa"/>
            <w:gridSpan w:val="6"/>
            <w:vAlign w:val="center"/>
          </w:tcPr>
          <w:p w14:paraId="3F566F36" w14:textId="77777777" w:rsidR="00A171F7" w:rsidRPr="009D04B0" w:rsidRDefault="00A171F7" w:rsidP="00D419D5">
            <w:pPr>
              <w:rPr>
                <w:rFonts w:ascii="Arial Narrow" w:hAnsi="Arial Narrow"/>
                <w:sz w:val="20"/>
                <w:szCs w:val="20"/>
              </w:rPr>
            </w:pPr>
          </w:p>
        </w:tc>
      </w:tr>
      <w:tr w:rsidR="00A705BF" w:rsidRPr="009D04B0" w14:paraId="60BF3750"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34BBAF6" w14:textId="21782A7D"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4B50404A" w14:textId="77777777" w:rsidR="00A705BF" w:rsidRPr="009D04B0" w:rsidRDefault="00A705BF" w:rsidP="00D419D5">
            <w:pPr>
              <w:keepLines/>
              <w:rPr>
                <w:rFonts w:ascii="Arial Narrow" w:hAnsi="Arial Narrow"/>
                <w:b/>
                <w:bCs/>
                <w:color w:val="333333"/>
                <w:sz w:val="20"/>
                <w:szCs w:val="20"/>
              </w:rPr>
            </w:pPr>
            <w:r w:rsidRPr="009D04B0">
              <w:rPr>
                <w:rFonts w:ascii="Arial Narrow" w:hAnsi="Arial Narrow"/>
                <w:b/>
                <w:bCs/>
                <w:color w:val="333333"/>
                <w:sz w:val="20"/>
                <w:szCs w:val="20"/>
              </w:rPr>
              <w:t>Clinical criteria:</w:t>
            </w:r>
          </w:p>
        </w:tc>
      </w:tr>
      <w:tr w:rsidR="00A705BF" w:rsidRPr="009D04B0" w14:paraId="0EB0490F"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2B9EF80" w14:textId="1A02D47B"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5225C981"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The condition must have genetic confirmation of 5q homozygous deletion of the survival motor neuron 1 (</w:t>
            </w:r>
            <w:r w:rsidRPr="001806AB">
              <w:rPr>
                <w:rFonts w:ascii="Arial Narrow" w:hAnsi="Arial Narrow"/>
                <w:i/>
                <w:iCs/>
                <w:sz w:val="20"/>
                <w:szCs w:val="20"/>
              </w:rPr>
              <w:t>SMN1</w:t>
            </w:r>
            <w:r w:rsidRPr="009D04B0">
              <w:rPr>
                <w:rFonts w:ascii="Arial Narrow" w:hAnsi="Arial Narrow"/>
                <w:sz w:val="20"/>
                <w:szCs w:val="20"/>
              </w:rPr>
              <w:t>) gene; or</w:t>
            </w:r>
          </w:p>
        </w:tc>
      </w:tr>
      <w:tr w:rsidR="00A705BF" w:rsidRPr="009D04B0" w14:paraId="015427E9"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BEF8D35" w14:textId="799E28B4"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5008EC0A"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 xml:space="preserve">The condition must have genetic confirmation of deletion of one copy of the </w:t>
            </w:r>
            <w:r w:rsidRPr="001806AB">
              <w:rPr>
                <w:rFonts w:ascii="Arial Narrow" w:hAnsi="Arial Narrow"/>
                <w:i/>
                <w:iCs/>
                <w:sz w:val="20"/>
                <w:szCs w:val="20"/>
              </w:rPr>
              <w:t>SMN1</w:t>
            </w:r>
            <w:r w:rsidRPr="009D04B0">
              <w:rPr>
                <w:rFonts w:ascii="Arial Narrow" w:hAnsi="Arial Narrow"/>
                <w:sz w:val="20"/>
                <w:szCs w:val="20"/>
              </w:rPr>
              <w:t xml:space="preserve"> gene in addition to a pathogenic/likely pathogenic variant in the remaining single copy of the </w:t>
            </w:r>
            <w:r w:rsidRPr="001806AB">
              <w:rPr>
                <w:rFonts w:ascii="Arial Narrow" w:hAnsi="Arial Narrow"/>
                <w:i/>
                <w:iCs/>
                <w:sz w:val="20"/>
                <w:szCs w:val="20"/>
              </w:rPr>
              <w:t>SMN1</w:t>
            </w:r>
            <w:r w:rsidRPr="009D04B0">
              <w:rPr>
                <w:rFonts w:ascii="Arial Narrow" w:hAnsi="Arial Narrow"/>
                <w:sz w:val="20"/>
                <w:szCs w:val="20"/>
              </w:rPr>
              <w:t xml:space="preserve"> gene</w:t>
            </w:r>
          </w:p>
        </w:tc>
      </w:tr>
      <w:tr w:rsidR="002B27D8" w:rsidRPr="009D04B0" w14:paraId="26639DE4"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E0CCB45" w14:textId="6ADC289C" w:rsidR="002B27D8" w:rsidRPr="002B27D8" w:rsidRDefault="002B27D8" w:rsidP="00163E11">
            <w:pPr>
              <w:keepLines/>
              <w:jc w:val="center"/>
              <w:rPr>
                <w:rFonts w:ascii="Arial Narrow" w:hAnsi="Arial Narrow"/>
                <w:strike/>
                <w:color w:val="333333"/>
                <w:sz w:val="20"/>
                <w:szCs w:val="20"/>
              </w:rPr>
            </w:pPr>
          </w:p>
        </w:tc>
        <w:tc>
          <w:tcPr>
            <w:tcW w:w="7654" w:type="dxa"/>
            <w:gridSpan w:val="6"/>
            <w:vAlign w:val="center"/>
          </w:tcPr>
          <w:p w14:paraId="2BDF08DC" w14:textId="77777777" w:rsidR="002B27D8" w:rsidRPr="009D04B0" w:rsidRDefault="002B27D8" w:rsidP="00163E11">
            <w:pPr>
              <w:keepLines/>
              <w:rPr>
                <w:rFonts w:ascii="Arial Narrow" w:hAnsi="Arial Narrow"/>
                <w:b/>
                <w:bCs/>
                <w:color w:val="333333"/>
                <w:sz w:val="20"/>
                <w:szCs w:val="20"/>
              </w:rPr>
            </w:pPr>
            <w:r w:rsidRPr="009D04B0">
              <w:rPr>
                <w:rFonts w:ascii="Arial Narrow" w:hAnsi="Arial Narrow"/>
                <w:b/>
                <w:bCs/>
                <w:color w:val="333333"/>
                <w:sz w:val="20"/>
                <w:szCs w:val="20"/>
              </w:rPr>
              <w:t>AND</w:t>
            </w:r>
          </w:p>
        </w:tc>
      </w:tr>
      <w:tr w:rsidR="00A171F7" w:rsidRPr="009D04B0" w14:paraId="1F741BF8"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D621564" w14:textId="438C802B" w:rsidR="00A171F7" w:rsidRPr="002B27D8" w:rsidRDefault="00A171F7" w:rsidP="00163E11">
            <w:pPr>
              <w:keepLines/>
              <w:jc w:val="center"/>
              <w:rPr>
                <w:rFonts w:ascii="Arial Narrow" w:hAnsi="Arial Narrow"/>
                <w:sz w:val="20"/>
                <w:szCs w:val="20"/>
              </w:rPr>
            </w:pPr>
          </w:p>
        </w:tc>
        <w:tc>
          <w:tcPr>
            <w:tcW w:w="7654" w:type="dxa"/>
            <w:gridSpan w:val="6"/>
            <w:vAlign w:val="center"/>
          </w:tcPr>
          <w:p w14:paraId="36DB8B19" w14:textId="74662D8F" w:rsidR="00A171F7" w:rsidRPr="009D04B0" w:rsidRDefault="00A171F7" w:rsidP="00163E11">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2B27D8" w:rsidRPr="009D04B0" w14:paraId="57A376A1"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6ACEF9F" w14:textId="001DD85A" w:rsidR="002B27D8" w:rsidRPr="00C26141" w:rsidRDefault="002B27D8" w:rsidP="00163E11">
            <w:pPr>
              <w:keepLines/>
              <w:jc w:val="center"/>
              <w:rPr>
                <w:rFonts w:ascii="Arial Narrow" w:hAnsi="Arial Narrow"/>
                <w:sz w:val="20"/>
                <w:szCs w:val="20"/>
              </w:rPr>
            </w:pPr>
          </w:p>
        </w:tc>
        <w:tc>
          <w:tcPr>
            <w:tcW w:w="7654" w:type="dxa"/>
            <w:gridSpan w:val="6"/>
            <w:vAlign w:val="center"/>
          </w:tcPr>
          <w:p w14:paraId="7414A8FA" w14:textId="77777777" w:rsidR="002B27D8" w:rsidRPr="009D04B0" w:rsidRDefault="002B27D8" w:rsidP="00163E11">
            <w:pPr>
              <w:rPr>
                <w:rFonts w:ascii="Arial Narrow" w:hAnsi="Arial Narrow"/>
                <w:sz w:val="20"/>
                <w:szCs w:val="20"/>
              </w:rPr>
            </w:pPr>
            <w:r w:rsidRPr="009D04B0">
              <w:rPr>
                <w:rFonts w:ascii="Arial Narrow" w:hAnsi="Arial Narrow"/>
                <w:sz w:val="20"/>
                <w:szCs w:val="20"/>
              </w:rPr>
              <w:t>The condition must be pre-symptomatic SMA, with genetic confirmation that there are 3 copies of the survival motor neuron 2 (SMN2) gene</w:t>
            </w:r>
          </w:p>
        </w:tc>
      </w:tr>
      <w:tr w:rsidR="00A705BF" w:rsidRPr="009D04B0" w14:paraId="427F464B"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C286041" w14:textId="1B0ED04D" w:rsidR="00A705BF" w:rsidRPr="009D04B0" w:rsidRDefault="00A705BF" w:rsidP="00D419D5">
            <w:pPr>
              <w:jc w:val="center"/>
              <w:rPr>
                <w:rFonts w:ascii="Arial Narrow" w:hAnsi="Arial Narrow"/>
                <w:color w:val="333333"/>
                <w:sz w:val="20"/>
                <w:szCs w:val="20"/>
              </w:rPr>
            </w:pPr>
          </w:p>
        </w:tc>
        <w:tc>
          <w:tcPr>
            <w:tcW w:w="7654" w:type="dxa"/>
            <w:gridSpan w:val="6"/>
            <w:vAlign w:val="center"/>
          </w:tcPr>
          <w:p w14:paraId="04015750" w14:textId="77777777" w:rsidR="00A705BF" w:rsidRPr="009D04B0" w:rsidRDefault="00A705BF" w:rsidP="00D419D5">
            <w:pPr>
              <w:keepLines/>
              <w:rPr>
                <w:rFonts w:ascii="Arial Narrow" w:hAnsi="Arial Narrow"/>
                <w:b/>
                <w:bCs/>
                <w:color w:val="333333"/>
                <w:sz w:val="20"/>
                <w:szCs w:val="20"/>
              </w:rPr>
            </w:pPr>
            <w:r w:rsidRPr="009D04B0">
              <w:rPr>
                <w:rFonts w:ascii="Arial Narrow" w:hAnsi="Arial Narrow"/>
                <w:b/>
                <w:bCs/>
                <w:color w:val="333333"/>
                <w:sz w:val="20"/>
                <w:szCs w:val="20"/>
              </w:rPr>
              <w:t>AND</w:t>
            </w:r>
          </w:p>
        </w:tc>
      </w:tr>
      <w:tr w:rsidR="00A171F7" w:rsidRPr="009D04B0" w14:paraId="7AFFE81F"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6561404" w14:textId="1401A94C" w:rsidR="00A171F7" w:rsidRPr="009D04B0" w:rsidRDefault="00A171F7" w:rsidP="00D419D5">
            <w:pPr>
              <w:jc w:val="center"/>
              <w:rPr>
                <w:rFonts w:ascii="Arial Narrow" w:hAnsi="Arial Narrow"/>
                <w:sz w:val="20"/>
                <w:szCs w:val="20"/>
              </w:rPr>
            </w:pPr>
          </w:p>
        </w:tc>
        <w:tc>
          <w:tcPr>
            <w:tcW w:w="7654" w:type="dxa"/>
            <w:gridSpan w:val="6"/>
            <w:vAlign w:val="center"/>
          </w:tcPr>
          <w:p w14:paraId="4F4A9340" w14:textId="79F9802B" w:rsidR="00A171F7" w:rsidRPr="009D04B0" w:rsidRDefault="00A171F7" w:rsidP="00D419D5">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A705BF" w:rsidRPr="009D04B0" w14:paraId="698D9719"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7B887DC" w14:textId="1EC88FB8" w:rsidR="00A705BF" w:rsidRPr="002B27D8" w:rsidRDefault="00A705BF" w:rsidP="00D419D5">
            <w:pPr>
              <w:keepLines/>
              <w:jc w:val="center"/>
              <w:rPr>
                <w:rFonts w:ascii="Arial Narrow" w:hAnsi="Arial Narrow"/>
                <w:color w:val="333333"/>
                <w:sz w:val="20"/>
                <w:szCs w:val="20"/>
              </w:rPr>
            </w:pPr>
          </w:p>
        </w:tc>
        <w:tc>
          <w:tcPr>
            <w:tcW w:w="7654" w:type="dxa"/>
            <w:gridSpan w:val="6"/>
            <w:vAlign w:val="center"/>
          </w:tcPr>
          <w:p w14:paraId="6D40C9E0"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The treatment must be given concomitantly with best supportive care for this condition</w:t>
            </w:r>
          </w:p>
        </w:tc>
      </w:tr>
      <w:tr w:rsidR="00A705BF" w:rsidRPr="009D04B0" w14:paraId="0333D1D8"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7EA9CAE" w14:textId="2259D58B"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7E89B00D" w14:textId="77777777" w:rsidR="00A705BF" w:rsidRPr="009D04B0" w:rsidRDefault="00A705BF" w:rsidP="00D419D5">
            <w:pPr>
              <w:keepLines/>
              <w:rPr>
                <w:rFonts w:ascii="Arial Narrow" w:hAnsi="Arial Narrow"/>
                <w:b/>
                <w:bCs/>
                <w:color w:val="333333"/>
                <w:sz w:val="20"/>
                <w:szCs w:val="20"/>
              </w:rPr>
            </w:pPr>
            <w:r w:rsidRPr="009D04B0">
              <w:rPr>
                <w:rFonts w:ascii="Arial Narrow" w:hAnsi="Arial Narrow"/>
                <w:b/>
                <w:bCs/>
                <w:color w:val="333333"/>
                <w:sz w:val="20"/>
                <w:szCs w:val="20"/>
              </w:rPr>
              <w:t>AND</w:t>
            </w:r>
          </w:p>
        </w:tc>
      </w:tr>
      <w:tr w:rsidR="00A171F7" w:rsidRPr="009D04B0" w14:paraId="25053408"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D452896" w14:textId="0F3E5627" w:rsidR="00A171F7" w:rsidRPr="009D04B0" w:rsidRDefault="00A171F7" w:rsidP="00D419D5">
            <w:pPr>
              <w:keepLines/>
              <w:jc w:val="center"/>
              <w:rPr>
                <w:rFonts w:ascii="Arial Narrow" w:hAnsi="Arial Narrow"/>
                <w:color w:val="333333"/>
                <w:sz w:val="20"/>
                <w:szCs w:val="20"/>
              </w:rPr>
            </w:pPr>
          </w:p>
        </w:tc>
        <w:tc>
          <w:tcPr>
            <w:tcW w:w="7654" w:type="dxa"/>
            <w:gridSpan w:val="6"/>
            <w:vAlign w:val="center"/>
          </w:tcPr>
          <w:p w14:paraId="5132CD92" w14:textId="0B47C531" w:rsidR="00A171F7" w:rsidRPr="009D04B0" w:rsidRDefault="00A171F7" w:rsidP="00D419D5">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A705BF" w:rsidRPr="009D04B0" w14:paraId="131FE4F8"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6060D54" w14:textId="657BC6B8"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613A42C2"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Patient must be untreated with gene therapy</w:t>
            </w:r>
          </w:p>
        </w:tc>
      </w:tr>
      <w:tr w:rsidR="00A171F7" w:rsidRPr="009D04B0" w14:paraId="682B2858"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BF02829" w14:textId="77777777" w:rsidR="00A171F7" w:rsidRPr="009D04B0" w:rsidRDefault="00A171F7" w:rsidP="00D419D5">
            <w:pPr>
              <w:keepLines/>
              <w:jc w:val="center"/>
              <w:rPr>
                <w:rFonts w:ascii="Arial Narrow" w:hAnsi="Arial Narrow"/>
                <w:sz w:val="20"/>
                <w:szCs w:val="20"/>
              </w:rPr>
            </w:pPr>
          </w:p>
        </w:tc>
        <w:tc>
          <w:tcPr>
            <w:tcW w:w="7654" w:type="dxa"/>
            <w:gridSpan w:val="6"/>
            <w:vAlign w:val="center"/>
          </w:tcPr>
          <w:p w14:paraId="374188D5" w14:textId="77777777" w:rsidR="00A171F7" w:rsidRPr="009D04B0" w:rsidRDefault="00A171F7" w:rsidP="00D419D5">
            <w:pPr>
              <w:rPr>
                <w:rFonts w:ascii="Arial Narrow" w:hAnsi="Arial Narrow"/>
                <w:sz w:val="20"/>
                <w:szCs w:val="20"/>
              </w:rPr>
            </w:pPr>
          </w:p>
        </w:tc>
      </w:tr>
      <w:tr w:rsidR="00A705BF" w:rsidRPr="009D04B0" w14:paraId="07215F89"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99FC56D" w14:textId="588375A8"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1165BD71" w14:textId="77777777" w:rsidR="00A705BF" w:rsidRPr="009D04B0" w:rsidRDefault="00A705BF" w:rsidP="00D419D5">
            <w:pPr>
              <w:rPr>
                <w:rFonts w:ascii="Arial Narrow" w:hAnsi="Arial Narrow"/>
                <w:b/>
                <w:bCs/>
                <w:sz w:val="20"/>
                <w:szCs w:val="20"/>
              </w:rPr>
            </w:pPr>
            <w:r w:rsidRPr="009D04B0">
              <w:rPr>
                <w:rFonts w:ascii="Arial Narrow" w:hAnsi="Arial Narrow"/>
                <w:b/>
                <w:bCs/>
                <w:sz w:val="20"/>
                <w:szCs w:val="20"/>
              </w:rPr>
              <w:t>Population criteria:</w:t>
            </w:r>
          </w:p>
        </w:tc>
      </w:tr>
      <w:tr w:rsidR="00A705BF" w:rsidRPr="009D04B0" w14:paraId="01B1D361"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65AC930" w14:textId="46458EB0" w:rsidR="00A705BF" w:rsidRPr="009D04B0" w:rsidRDefault="00A705BF" w:rsidP="00D419D5">
            <w:pPr>
              <w:keepLines/>
              <w:jc w:val="center"/>
              <w:rPr>
                <w:rFonts w:ascii="Arial Narrow" w:hAnsi="Arial Narrow"/>
                <w:color w:val="333333"/>
                <w:sz w:val="20"/>
                <w:szCs w:val="20"/>
              </w:rPr>
            </w:pPr>
          </w:p>
        </w:tc>
        <w:tc>
          <w:tcPr>
            <w:tcW w:w="7654" w:type="dxa"/>
            <w:gridSpan w:val="6"/>
            <w:vAlign w:val="center"/>
          </w:tcPr>
          <w:p w14:paraId="03E4F5AE"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Patient must be aged under 36 months prior to commencing treatment</w:t>
            </w:r>
          </w:p>
        </w:tc>
      </w:tr>
      <w:tr w:rsidR="00A171F7" w:rsidRPr="009D04B0" w14:paraId="008FE408"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33E9B92" w14:textId="77777777" w:rsidR="00A171F7" w:rsidRPr="009D04B0" w:rsidRDefault="00A171F7" w:rsidP="00D419D5">
            <w:pPr>
              <w:keepLines/>
              <w:jc w:val="center"/>
              <w:rPr>
                <w:rFonts w:ascii="Arial Narrow" w:hAnsi="Arial Narrow"/>
                <w:sz w:val="20"/>
                <w:szCs w:val="20"/>
              </w:rPr>
            </w:pPr>
          </w:p>
        </w:tc>
        <w:tc>
          <w:tcPr>
            <w:tcW w:w="7654" w:type="dxa"/>
            <w:gridSpan w:val="6"/>
            <w:vAlign w:val="center"/>
          </w:tcPr>
          <w:p w14:paraId="13E2D847" w14:textId="77777777" w:rsidR="00A171F7" w:rsidRPr="009D04B0" w:rsidRDefault="00A171F7" w:rsidP="00D419D5">
            <w:pPr>
              <w:rPr>
                <w:rFonts w:ascii="Arial Narrow" w:hAnsi="Arial Narrow"/>
                <w:sz w:val="20"/>
                <w:szCs w:val="20"/>
              </w:rPr>
            </w:pPr>
          </w:p>
        </w:tc>
      </w:tr>
      <w:tr w:rsidR="00A705BF" w:rsidRPr="009D04B0" w14:paraId="12948522"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E06E870" w14:textId="274F8356" w:rsidR="002B27D8" w:rsidRPr="009D04B0" w:rsidRDefault="002B27D8" w:rsidP="00D419D5">
            <w:pPr>
              <w:keepLines/>
              <w:jc w:val="center"/>
              <w:rPr>
                <w:rFonts w:ascii="Arial Narrow" w:hAnsi="Arial Narrow"/>
                <w:color w:val="333333"/>
                <w:sz w:val="20"/>
                <w:szCs w:val="20"/>
              </w:rPr>
            </w:pPr>
          </w:p>
        </w:tc>
        <w:tc>
          <w:tcPr>
            <w:tcW w:w="7654" w:type="dxa"/>
            <w:gridSpan w:val="6"/>
            <w:vAlign w:val="center"/>
          </w:tcPr>
          <w:p w14:paraId="0A0FCD03" w14:textId="77777777" w:rsidR="00A705BF" w:rsidRPr="009D04B0" w:rsidRDefault="00A705BF" w:rsidP="00D419D5">
            <w:pPr>
              <w:rPr>
                <w:rFonts w:ascii="Arial Narrow" w:hAnsi="Arial Narrow"/>
                <w:sz w:val="20"/>
                <w:szCs w:val="20"/>
              </w:rPr>
            </w:pPr>
            <w:r w:rsidRPr="00AB06D8">
              <w:rPr>
                <w:rFonts w:ascii="Arial Narrow" w:hAnsi="Arial Narrow"/>
                <w:b/>
                <w:bCs/>
                <w:sz w:val="20"/>
                <w:szCs w:val="20"/>
              </w:rPr>
              <w:t>Prescribing Instructions:</w:t>
            </w:r>
            <w:r w:rsidRPr="009D04B0">
              <w:rPr>
                <w:rFonts w:ascii="Arial Narrow" w:hAnsi="Arial Narrow"/>
                <w:sz w:val="20"/>
                <w:szCs w:val="20"/>
              </w:rPr>
              <w:t xml:space="preserve"> Application for authorisation of initial treatment must be in writing (lodged via postal service or electronic upload) and must include: </w:t>
            </w:r>
          </w:p>
          <w:p w14:paraId="1B3898AD" w14:textId="14E0873D" w:rsidR="00A705BF" w:rsidRPr="009D04B0" w:rsidRDefault="00A705BF" w:rsidP="00D419D5">
            <w:pPr>
              <w:rPr>
                <w:rFonts w:ascii="Arial Narrow" w:hAnsi="Arial Narrow"/>
                <w:sz w:val="20"/>
                <w:szCs w:val="20"/>
              </w:rPr>
            </w:pPr>
            <w:r w:rsidRPr="009D04B0">
              <w:rPr>
                <w:rFonts w:ascii="Arial Narrow" w:hAnsi="Arial Narrow"/>
                <w:sz w:val="20"/>
                <w:szCs w:val="20"/>
              </w:rPr>
              <w:t xml:space="preserve">(a) </w:t>
            </w:r>
            <w:r w:rsidR="005A6259">
              <w:rPr>
                <w:rFonts w:ascii="Arial Narrow" w:hAnsi="Arial Narrow"/>
                <w:sz w:val="20"/>
                <w:szCs w:val="20"/>
              </w:rPr>
              <w:t>details of the proposed prescription</w:t>
            </w:r>
            <w:r w:rsidRPr="009D04B0">
              <w:rPr>
                <w:rFonts w:ascii="Arial Narrow" w:hAnsi="Arial Narrow"/>
                <w:sz w:val="20"/>
                <w:szCs w:val="20"/>
              </w:rPr>
              <w:t xml:space="preserve">; and, </w:t>
            </w:r>
          </w:p>
          <w:p w14:paraId="6545DB3E"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(b) a completed Spinal muscular atrophy PBS Authority Application Form which includes the following:</w:t>
            </w:r>
          </w:p>
          <w:p w14:paraId="43F8D4C8"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(i) confirmation of genetic diagnosis of SMA; and</w:t>
            </w:r>
          </w:p>
          <w:p w14:paraId="3C07CEC7" w14:textId="77777777" w:rsidR="00A705BF" w:rsidRPr="009D04B0" w:rsidRDefault="00A705BF" w:rsidP="00D419D5">
            <w:pPr>
              <w:rPr>
                <w:rFonts w:ascii="Arial Narrow" w:hAnsi="Arial Narrow"/>
                <w:sz w:val="20"/>
                <w:szCs w:val="20"/>
              </w:rPr>
            </w:pPr>
            <w:r w:rsidRPr="009D04B0">
              <w:rPr>
                <w:rFonts w:ascii="Arial Narrow" w:hAnsi="Arial Narrow"/>
                <w:sz w:val="20"/>
                <w:szCs w:val="20"/>
              </w:rPr>
              <w:t xml:space="preserve">(ii) a copy of the results substantiating the number of </w:t>
            </w:r>
            <w:r w:rsidRPr="001806AB">
              <w:rPr>
                <w:rFonts w:ascii="Arial Narrow" w:hAnsi="Arial Narrow"/>
                <w:i/>
                <w:iCs/>
                <w:sz w:val="20"/>
                <w:szCs w:val="20"/>
              </w:rPr>
              <w:t>SMN2</w:t>
            </w:r>
            <w:r w:rsidRPr="009D04B0">
              <w:rPr>
                <w:rFonts w:ascii="Arial Narrow" w:hAnsi="Arial Narrow"/>
                <w:sz w:val="20"/>
                <w:szCs w:val="20"/>
              </w:rPr>
              <w:t xml:space="preserve"> gene copies determined by quantitative polymerase chain reaction (qPCR) or multiple ligation dependent probe amplification (MLPA)</w:t>
            </w:r>
          </w:p>
        </w:tc>
      </w:tr>
      <w:tr w:rsidR="00A705BF" w:rsidRPr="00C723B2" w14:paraId="16B0DE61" w14:textId="77777777" w:rsidTr="002B27D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6C41ED9" w14:textId="306E4AF1"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0CE05F33" w14:textId="77777777" w:rsidR="00A705BF" w:rsidRPr="00C723B2" w:rsidRDefault="00A705BF" w:rsidP="00D419D5">
            <w:pPr>
              <w:rPr>
                <w:rFonts w:ascii="Arial Narrow" w:hAnsi="Arial Narrow"/>
                <w:sz w:val="20"/>
                <w:szCs w:val="20"/>
              </w:rPr>
            </w:pPr>
            <w:r w:rsidRPr="00C723B2">
              <w:rPr>
                <w:rFonts w:ascii="Arial Narrow" w:hAnsi="Arial Narrow"/>
                <w:b/>
                <w:bCs/>
                <w:sz w:val="20"/>
                <w:szCs w:val="20"/>
              </w:rPr>
              <w:t>Administrative Advice:</w:t>
            </w:r>
            <w:r w:rsidRPr="00C723B2">
              <w:rPr>
                <w:rFonts w:ascii="Arial Narrow" w:hAnsi="Arial Narrow"/>
                <w:sz w:val="20"/>
                <w:szCs w:val="20"/>
              </w:rPr>
              <w:t xml:space="preserve"> An outcome on the authority application is not immediate, but will follow in due course. Electronic upload is encouraged to reduce processing time.</w:t>
            </w:r>
          </w:p>
        </w:tc>
      </w:tr>
    </w:tbl>
    <w:p w14:paraId="1A4FE138" w14:textId="77777777" w:rsidR="00A705BF" w:rsidRDefault="00A705BF" w:rsidP="00A705BF"/>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850"/>
        <w:gridCol w:w="2527"/>
        <w:gridCol w:w="876"/>
        <w:gridCol w:w="747"/>
        <w:gridCol w:w="811"/>
        <w:gridCol w:w="812"/>
        <w:gridCol w:w="1881"/>
      </w:tblGrid>
      <w:tr w:rsidR="00A705BF" w:rsidRPr="009D04B0" w14:paraId="354E8DE5" w14:textId="77777777" w:rsidTr="00A923AC">
        <w:trPr>
          <w:cantSplit/>
          <w:trHeight w:val="20"/>
        </w:trPr>
        <w:tc>
          <w:tcPr>
            <w:tcW w:w="3941" w:type="dxa"/>
            <w:gridSpan w:val="3"/>
            <w:vAlign w:val="center"/>
          </w:tcPr>
          <w:p w14:paraId="057FDABE" w14:textId="77777777" w:rsidR="00A705BF" w:rsidRPr="00C723B2" w:rsidRDefault="00A705BF" w:rsidP="00D419D5">
            <w:pPr>
              <w:keepNext/>
              <w:keepLines/>
              <w:rPr>
                <w:rFonts w:ascii="Arial Narrow" w:hAnsi="Arial Narrow"/>
                <w:b/>
                <w:bCs/>
                <w:sz w:val="20"/>
                <w:szCs w:val="20"/>
              </w:rPr>
            </w:pPr>
            <w:r w:rsidRPr="00C723B2">
              <w:rPr>
                <w:rFonts w:ascii="Arial Narrow" w:hAnsi="Arial Narrow"/>
                <w:b/>
                <w:bCs/>
                <w:sz w:val="20"/>
                <w:szCs w:val="20"/>
              </w:rPr>
              <w:t>MEDICINAL PRODUCT</w:t>
            </w:r>
          </w:p>
          <w:p w14:paraId="14F763BF" w14:textId="77777777" w:rsidR="00A705BF" w:rsidRPr="00C723B2" w:rsidRDefault="00A705BF" w:rsidP="00D419D5">
            <w:pPr>
              <w:keepNext/>
              <w:keepLines/>
              <w:rPr>
                <w:rFonts w:ascii="Arial Narrow" w:hAnsi="Arial Narrow"/>
                <w:b/>
                <w:sz w:val="20"/>
                <w:szCs w:val="20"/>
              </w:rPr>
            </w:pPr>
            <w:r w:rsidRPr="00C723B2">
              <w:rPr>
                <w:rFonts w:ascii="Arial Narrow" w:hAnsi="Arial Narrow"/>
                <w:b/>
                <w:bCs/>
                <w:sz w:val="20"/>
                <w:szCs w:val="20"/>
              </w:rPr>
              <w:t>medicinal product pack</w:t>
            </w:r>
          </w:p>
        </w:tc>
        <w:tc>
          <w:tcPr>
            <w:tcW w:w="876" w:type="dxa"/>
            <w:vAlign w:val="center"/>
          </w:tcPr>
          <w:p w14:paraId="71BA5D1E" w14:textId="77777777" w:rsidR="00A705BF" w:rsidRPr="00C723B2" w:rsidRDefault="00A705BF" w:rsidP="00D419D5">
            <w:pPr>
              <w:keepNext/>
              <w:keepLines/>
              <w:jc w:val="center"/>
              <w:rPr>
                <w:rFonts w:ascii="Arial Narrow" w:hAnsi="Arial Narrow"/>
                <w:b/>
                <w:sz w:val="20"/>
                <w:szCs w:val="20"/>
              </w:rPr>
            </w:pPr>
            <w:r w:rsidRPr="00C723B2">
              <w:rPr>
                <w:rFonts w:ascii="Arial Narrow" w:hAnsi="Arial Narrow"/>
                <w:b/>
                <w:sz w:val="20"/>
                <w:szCs w:val="20"/>
              </w:rPr>
              <w:t>PBS item code</w:t>
            </w:r>
          </w:p>
        </w:tc>
        <w:tc>
          <w:tcPr>
            <w:tcW w:w="747" w:type="dxa"/>
            <w:vAlign w:val="center"/>
          </w:tcPr>
          <w:p w14:paraId="159333B9" w14:textId="77777777" w:rsidR="00A705BF" w:rsidRPr="00C723B2" w:rsidRDefault="00A705BF" w:rsidP="00D419D5">
            <w:pPr>
              <w:keepNext/>
              <w:keepLines/>
              <w:jc w:val="center"/>
              <w:rPr>
                <w:rFonts w:ascii="Arial Narrow" w:hAnsi="Arial Narrow"/>
                <w:b/>
                <w:sz w:val="20"/>
                <w:szCs w:val="20"/>
              </w:rPr>
            </w:pPr>
            <w:r w:rsidRPr="00C723B2">
              <w:rPr>
                <w:rFonts w:ascii="Arial Narrow" w:hAnsi="Arial Narrow"/>
                <w:b/>
                <w:sz w:val="20"/>
                <w:szCs w:val="20"/>
              </w:rPr>
              <w:t>Max. qty packs</w:t>
            </w:r>
          </w:p>
        </w:tc>
        <w:tc>
          <w:tcPr>
            <w:tcW w:w="811" w:type="dxa"/>
            <w:vAlign w:val="center"/>
          </w:tcPr>
          <w:p w14:paraId="4B34025E" w14:textId="77777777" w:rsidR="00A705BF" w:rsidRPr="00C723B2" w:rsidRDefault="00A705BF" w:rsidP="00D419D5">
            <w:pPr>
              <w:keepNext/>
              <w:keepLines/>
              <w:jc w:val="center"/>
              <w:rPr>
                <w:rFonts w:ascii="Arial Narrow" w:hAnsi="Arial Narrow"/>
                <w:b/>
                <w:sz w:val="20"/>
                <w:szCs w:val="20"/>
              </w:rPr>
            </w:pPr>
            <w:r w:rsidRPr="00C723B2">
              <w:rPr>
                <w:rFonts w:ascii="Arial Narrow" w:hAnsi="Arial Narrow"/>
                <w:b/>
                <w:sz w:val="20"/>
                <w:szCs w:val="20"/>
              </w:rPr>
              <w:t>Max. qty units</w:t>
            </w:r>
          </w:p>
        </w:tc>
        <w:tc>
          <w:tcPr>
            <w:tcW w:w="812" w:type="dxa"/>
            <w:vAlign w:val="center"/>
          </w:tcPr>
          <w:p w14:paraId="254BB8E6" w14:textId="77777777" w:rsidR="00A705BF" w:rsidRPr="00C723B2" w:rsidRDefault="00A705BF" w:rsidP="00D419D5">
            <w:pPr>
              <w:keepNext/>
              <w:keepLines/>
              <w:jc w:val="center"/>
              <w:rPr>
                <w:rFonts w:ascii="Arial Narrow" w:hAnsi="Arial Narrow"/>
                <w:b/>
                <w:sz w:val="20"/>
                <w:szCs w:val="20"/>
              </w:rPr>
            </w:pPr>
            <w:r w:rsidRPr="00C723B2">
              <w:rPr>
                <w:rFonts w:ascii="Arial Narrow" w:hAnsi="Arial Narrow"/>
                <w:b/>
                <w:sz w:val="20"/>
                <w:szCs w:val="20"/>
              </w:rPr>
              <w:t>№.of</w:t>
            </w:r>
          </w:p>
          <w:p w14:paraId="650126D8" w14:textId="77777777" w:rsidR="00A705BF" w:rsidRPr="00C723B2" w:rsidRDefault="00A705BF" w:rsidP="00D419D5">
            <w:pPr>
              <w:keepNext/>
              <w:keepLines/>
              <w:jc w:val="center"/>
              <w:rPr>
                <w:rFonts w:ascii="Arial Narrow" w:hAnsi="Arial Narrow"/>
                <w:b/>
                <w:sz w:val="20"/>
                <w:szCs w:val="20"/>
              </w:rPr>
            </w:pPr>
            <w:r w:rsidRPr="00C723B2">
              <w:rPr>
                <w:rFonts w:ascii="Arial Narrow" w:hAnsi="Arial Narrow"/>
                <w:b/>
                <w:sz w:val="20"/>
                <w:szCs w:val="20"/>
              </w:rPr>
              <w:t>Rpts</w:t>
            </w:r>
          </w:p>
        </w:tc>
        <w:tc>
          <w:tcPr>
            <w:tcW w:w="1881" w:type="dxa"/>
            <w:vAlign w:val="center"/>
          </w:tcPr>
          <w:p w14:paraId="783C1DC2" w14:textId="77777777" w:rsidR="00A705BF" w:rsidRPr="00C723B2" w:rsidRDefault="00A705BF" w:rsidP="00D419D5">
            <w:pPr>
              <w:keepNext/>
              <w:keepLines/>
              <w:rPr>
                <w:rFonts w:ascii="Arial Narrow" w:hAnsi="Arial Narrow"/>
                <w:b/>
                <w:sz w:val="20"/>
                <w:szCs w:val="20"/>
                <w:lang w:val="fr-FR"/>
              </w:rPr>
            </w:pPr>
            <w:r w:rsidRPr="00C723B2">
              <w:rPr>
                <w:rFonts w:ascii="Arial Narrow" w:hAnsi="Arial Narrow"/>
                <w:b/>
                <w:sz w:val="20"/>
                <w:szCs w:val="20"/>
              </w:rPr>
              <w:t>Available brands</w:t>
            </w:r>
          </w:p>
        </w:tc>
      </w:tr>
      <w:tr w:rsidR="00A705BF" w:rsidRPr="009D04B0" w14:paraId="03B5027C" w14:textId="77777777" w:rsidTr="00A923AC">
        <w:trPr>
          <w:cantSplit/>
          <w:trHeight w:val="20"/>
        </w:trPr>
        <w:tc>
          <w:tcPr>
            <w:tcW w:w="9068" w:type="dxa"/>
            <w:gridSpan w:val="8"/>
            <w:vAlign w:val="center"/>
          </w:tcPr>
          <w:p w14:paraId="21A64BC1" w14:textId="77777777" w:rsidR="00A705BF" w:rsidRPr="00C723B2" w:rsidRDefault="00A705BF" w:rsidP="00D419D5">
            <w:pPr>
              <w:keepLines/>
              <w:rPr>
                <w:rFonts w:ascii="Arial Narrow" w:hAnsi="Arial Narrow"/>
                <w:caps/>
                <w:sz w:val="20"/>
                <w:szCs w:val="20"/>
              </w:rPr>
            </w:pPr>
            <w:r w:rsidRPr="00C723B2">
              <w:rPr>
                <w:rFonts w:ascii="Arial Narrow" w:hAnsi="Arial Narrow"/>
                <w:caps/>
                <w:sz w:val="20"/>
                <w:szCs w:val="20"/>
              </w:rPr>
              <w:t>Risdiplam</w:t>
            </w:r>
          </w:p>
        </w:tc>
      </w:tr>
      <w:tr w:rsidR="00A705BF" w:rsidRPr="009D04B0" w14:paraId="2295EE10" w14:textId="77777777" w:rsidTr="00A923AC">
        <w:trPr>
          <w:cantSplit/>
          <w:trHeight w:val="20"/>
        </w:trPr>
        <w:tc>
          <w:tcPr>
            <w:tcW w:w="9068" w:type="dxa"/>
            <w:gridSpan w:val="8"/>
            <w:vAlign w:val="center"/>
          </w:tcPr>
          <w:p w14:paraId="522CFA94" w14:textId="77777777" w:rsidR="00A705BF" w:rsidRPr="00C723B2" w:rsidRDefault="00A705BF" w:rsidP="00D419D5">
            <w:pPr>
              <w:keepLines/>
              <w:rPr>
                <w:rFonts w:ascii="Arial Narrow" w:hAnsi="Arial Narrow"/>
                <w:sz w:val="20"/>
                <w:szCs w:val="20"/>
              </w:rPr>
            </w:pPr>
          </w:p>
        </w:tc>
      </w:tr>
      <w:tr w:rsidR="00A705BF" w:rsidRPr="009D04B0" w14:paraId="15A3FB87" w14:textId="77777777" w:rsidTr="00A923AC">
        <w:trPr>
          <w:cantSplit/>
          <w:trHeight w:val="20"/>
        </w:trPr>
        <w:tc>
          <w:tcPr>
            <w:tcW w:w="3941" w:type="dxa"/>
            <w:gridSpan w:val="3"/>
            <w:vAlign w:val="center"/>
          </w:tcPr>
          <w:p w14:paraId="6CDA9DAC"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risdiplam 750 microgram/mL powder for oral liquid, 80 mL</w:t>
            </w:r>
          </w:p>
        </w:tc>
        <w:tc>
          <w:tcPr>
            <w:tcW w:w="876" w:type="dxa"/>
            <w:vAlign w:val="center"/>
          </w:tcPr>
          <w:p w14:paraId="19DFC2BA"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NEW</w:t>
            </w:r>
          </w:p>
          <w:p w14:paraId="383E1B22"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(private)</w:t>
            </w:r>
          </w:p>
        </w:tc>
        <w:tc>
          <w:tcPr>
            <w:tcW w:w="747" w:type="dxa"/>
            <w:vAlign w:val="center"/>
          </w:tcPr>
          <w:p w14:paraId="41A3BEB8"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1" w:type="dxa"/>
            <w:vAlign w:val="center"/>
          </w:tcPr>
          <w:p w14:paraId="41D86ABE"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2" w:type="dxa"/>
            <w:vAlign w:val="center"/>
          </w:tcPr>
          <w:p w14:paraId="2683C2F5"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5</w:t>
            </w:r>
          </w:p>
        </w:tc>
        <w:tc>
          <w:tcPr>
            <w:tcW w:w="1881" w:type="dxa"/>
            <w:vAlign w:val="center"/>
          </w:tcPr>
          <w:p w14:paraId="27DAF2DE"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Evrysdi</w:t>
            </w:r>
          </w:p>
        </w:tc>
      </w:tr>
      <w:tr w:rsidR="00A705BF" w:rsidRPr="009D04B0" w14:paraId="110B4804" w14:textId="77777777" w:rsidTr="00A923AC">
        <w:trPr>
          <w:cantSplit/>
          <w:trHeight w:val="20"/>
        </w:trPr>
        <w:tc>
          <w:tcPr>
            <w:tcW w:w="3941" w:type="dxa"/>
            <w:gridSpan w:val="3"/>
            <w:vAlign w:val="center"/>
          </w:tcPr>
          <w:p w14:paraId="4EF52B74"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risdiplam 750 microgram/mL powder for oral liquid, 80 mL</w:t>
            </w:r>
          </w:p>
        </w:tc>
        <w:tc>
          <w:tcPr>
            <w:tcW w:w="876" w:type="dxa"/>
            <w:vAlign w:val="center"/>
          </w:tcPr>
          <w:p w14:paraId="2E90F0EF"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NEW</w:t>
            </w:r>
          </w:p>
          <w:p w14:paraId="0977DAF7"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(public)</w:t>
            </w:r>
          </w:p>
        </w:tc>
        <w:tc>
          <w:tcPr>
            <w:tcW w:w="747" w:type="dxa"/>
            <w:vAlign w:val="center"/>
          </w:tcPr>
          <w:p w14:paraId="5617FCE9"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1" w:type="dxa"/>
            <w:vAlign w:val="center"/>
          </w:tcPr>
          <w:p w14:paraId="714E65E9"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1</w:t>
            </w:r>
          </w:p>
        </w:tc>
        <w:tc>
          <w:tcPr>
            <w:tcW w:w="812" w:type="dxa"/>
            <w:vAlign w:val="center"/>
          </w:tcPr>
          <w:p w14:paraId="67A891BB" w14:textId="77777777" w:rsidR="00A705BF" w:rsidRPr="00C723B2" w:rsidRDefault="00A705BF" w:rsidP="00D419D5">
            <w:pPr>
              <w:keepLines/>
              <w:jc w:val="center"/>
              <w:rPr>
                <w:rFonts w:ascii="Arial Narrow" w:hAnsi="Arial Narrow"/>
                <w:sz w:val="20"/>
                <w:szCs w:val="20"/>
              </w:rPr>
            </w:pPr>
            <w:r w:rsidRPr="00C723B2">
              <w:rPr>
                <w:rFonts w:ascii="Arial Narrow" w:hAnsi="Arial Narrow"/>
                <w:sz w:val="20"/>
                <w:szCs w:val="20"/>
              </w:rPr>
              <w:t>5</w:t>
            </w:r>
          </w:p>
        </w:tc>
        <w:tc>
          <w:tcPr>
            <w:tcW w:w="1881" w:type="dxa"/>
            <w:vAlign w:val="center"/>
          </w:tcPr>
          <w:p w14:paraId="48EB96F6" w14:textId="77777777" w:rsidR="00A705BF" w:rsidRPr="00C723B2" w:rsidRDefault="00A705BF" w:rsidP="00D419D5">
            <w:pPr>
              <w:keepLines/>
              <w:rPr>
                <w:rFonts w:ascii="Arial Narrow" w:hAnsi="Arial Narrow"/>
                <w:sz w:val="20"/>
                <w:szCs w:val="20"/>
              </w:rPr>
            </w:pPr>
            <w:r w:rsidRPr="00C723B2">
              <w:rPr>
                <w:rFonts w:ascii="Arial Narrow" w:hAnsi="Arial Narrow"/>
                <w:sz w:val="20"/>
                <w:szCs w:val="20"/>
              </w:rPr>
              <w:t>Evrysdi</w:t>
            </w:r>
          </w:p>
        </w:tc>
      </w:tr>
      <w:tr w:rsidR="00A705BF" w:rsidRPr="009D04B0" w14:paraId="3888A546" w14:textId="77777777" w:rsidTr="00A923AC">
        <w:tblPrEx>
          <w:tblCellMar>
            <w:top w:w="15" w:type="dxa"/>
            <w:bottom w:w="15" w:type="dxa"/>
          </w:tblCellMar>
          <w:tblLook w:val="04A0" w:firstRow="1" w:lastRow="0" w:firstColumn="1" w:lastColumn="0" w:noHBand="0" w:noVBand="1"/>
        </w:tblPrEx>
        <w:trPr>
          <w:trHeight w:val="20"/>
        </w:trPr>
        <w:tc>
          <w:tcPr>
            <w:tcW w:w="9068" w:type="dxa"/>
            <w:gridSpan w:val="8"/>
            <w:tcBorders>
              <w:top w:val="single" w:sz="4" w:space="0" w:color="auto"/>
              <w:left w:val="single" w:sz="4" w:space="0" w:color="auto"/>
              <w:right w:val="single" w:sz="4" w:space="0" w:color="auto"/>
            </w:tcBorders>
            <w:vAlign w:val="center"/>
          </w:tcPr>
          <w:p w14:paraId="6F1CA23B" w14:textId="77777777" w:rsidR="00A705BF" w:rsidRPr="00C723B2" w:rsidRDefault="00A705BF" w:rsidP="00D419D5">
            <w:pPr>
              <w:rPr>
                <w:rFonts w:ascii="Arial Narrow" w:hAnsi="Arial Narrow"/>
                <w:sz w:val="20"/>
                <w:szCs w:val="20"/>
              </w:rPr>
            </w:pPr>
          </w:p>
        </w:tc>
      </w:tr>
      <w:tr w:rsidR="00A705BF" w:rsidRPr="009D04B0" w14:paraId="488DDCA3" w14:textId="77777777" w:rsidTr="00A923AC">
        <w:tblPrEx>
          <w:tblCellMar>
            <w:top w:w="15" w:type="dxa"/>
            <w:bottom w:w="15" w:type="dxa"/>
          </w:tblCellMar>
          <w:tblLook w:val="04A0" w:firstRow="1" w:lastRow="0" w:firstColumn="1" w:lastColumn="0" w:noHBand="0" w:noVBand="1"/>
        </w:tblPrEx>
        <w:trPr>
          <w:trHeight w:val="20"/>
        </w:trPr>
        <w:tc>
          <w:tcPr>
            <w:tcW w:w="9068" w:type="dxa"/>
            <w:gridSpan w:val="8"/>
            <w:tcBorders>
              <w:top w:val="single" w:sz="4" w:space="0" w:color="auto"/>
              <w:left w:val="single" w:sz="4" w:space="0" w:color="auto"/>
              <w:right w:val="single" w:sz="4" w:space="0" w:color="auto"/>
            </w:tcBorders>
            <w:vAlign w:val="center"/>
          </w:tcPr>
          <w:p w14:paraId="6D39415F" w14:textId="77777777" w:rsidR="00A705BF" w:rsidRPr="00C723B2" w:rsidRDefault="00A705BF" w:rsidP="00D419D5">
            <w:pPr>
              <w:keepLines/>
              <w:rPr>
                <w:rFonts w:ascii="Arial Narrow" w:hAnsi="Arial Narrow"/>
                <w:b/>
                <w:sz w:val="20"/>
                <w:szCs w:val="20"/>
              </w:rPr>
            </w:pPr>
            <w:r w:rsidRPr="00C723B2">
              <w:rPr>
                <w:rFonts w:ascii="Arial Narrow" w:hAnsi="Arial Narrow"/>
                <w:b/>
                <w:sz w:val="20"/>
                <w:szCs w:val="20"/>
              </w:rPr>
              <w:t>Restriction Summary [new]</w:t>
            </w:r>
          </w:p>
        </w:tc>
      </w:tr>
      <w:tr w:rsidR="00A705BF" w:rsidRPr="009D04B0" w14:paraId="760B7FDC" w14:textId="77777777" w:rsidTr="00A923AC">
        <w:tblPrEx>
          <w:tblCellMar>
            <w:top w:w="15" w:type="dxa"/>
            <w:bottom w:w="15" w:type="dxa"/>
          </w:tblCellMar>
          <w:tblLook w:val="04A0" w:firstRow="1" w:lastRow="0" w:firstColumn="1" w:lastColumn="0" w:noHBand="0" w:noVBand="1"/>
        </w:tblPrEx>
        <w:trPr>
          <w:trHeight w:val="20"/>
        </w:trPr>
        <w:tc>
          <w:tcPr>
            <w:tcW w:w="1414" w:type="dxa"/>
            <w:gridSpan w:val="2"/>
            <w:vMerge w:val="restart"/>
            <w:tcBorders>
              <w:top w:val="single" w:sz="4" w:space="0" w:color="auto"/>
              <w:left w:val="single" w:sz="4" w:space="0" w:color="auto"/>
              <w:right w:val="single" w:sz="4" w:space="0" w:color="auto"/>
            </w:tcBorders>
          </w:tcPr>
          <w:p w14:paraId="05562E43" w14:textId="77777777" w:rsidR="00A705BF" w:rsidRPr="00C723B2" w:rsidRDefault="00A705BF" w:rsidP="00D419D5">
            <w:pPr>
              <w:jc w:val="center"/>
              <w:rPr>
                <w:rFonts w:ascii="Arial Narrow" w:hAnsi="Arial Narrow"/>
                <w:b/>
                <w:sz w:val="20"/>
                <w:szCs w:val="20"/>
              </w:rPr>
            </w:pPr>
            <w:r w:rsidRPr="00C723B2">
              <w:rPr>
                <w:rFonts w:ascii="Arial Narrow" w:hAnsi="Arial Narrow"/>
                <w:b/>
                <w:sz w:val="20"/>
                <w:szCs w:val="20"/>
              </w:rPr>
              <w:t xml:space="preserve">Concept ID </w:t>
            </w:r>
            <w:r w:rsidRPr="00C723B2">
              <w:rPr>
                <w:rFonts w:ascii="Arial Narrow" w:hAnsi="Arial Narrow"/>
                <w:sz w:val="20"/>
                <w:szCs w:val="20"/>
              </w:rPr>
              <w:t>(for internal Dept. use)</w:t>
            </w: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56397A09" w14:textId="77777777" w:rsidR="00A705BF" w:rsidRPr="00C723B2" w:rsidRDefault="00A705BF" w:rsidP="00D419D5">
            <w:pPr>
              <w:keepLines/>
              <w:rPr>
                <w:rFonts w:ascii="Arial Narrow" w:hAnsi="Arial Narrow"/>
                <w:sz w:val="20"/>
                <w:szCs w:val="20"/>
              </w:rPr>
            </w:pPr>
            <w:r w:rsidRPr="00C723B2">
              <w:rPr>
                <w:rFonts w:ascii="Arial Narrow" w:hAnsi="Arial Narrow"/>
                <w:b/>
                <w:sz w:val="20"/>
                <w:szCs w:val="20"/>
              </w:rPr>
              <w:t xml:space="preserve">Category / Program: </w:t>
            </w:r>
            <w:r w:rsidRPr="00C723B2">
              <w:rPr>
                <w:rFonts w:ascii="Arial Narrow" w:hAnsi="Arial Narrow"/>
                <w:sz w:val="20"/>
                <w:szCs w:val="20"/>
              </w:rPr>
              <w:t>Section 100 – Highly Specialised Drugs Program</w:t>
            </w:r>
          </w:p>
        </w:tc>
      </w:tr>
      <w:tr w:rsidR="00A705BF" w:rsidRPr="009D04B0" w14:paraId="439AC6F4" w14:textId="77777777" w:rsidTr="00A923AC">
        <w:tblPrEx>
          <w:tblCellMar>
            <w:top w:w="15" w:type="dxa"/>
            <w:bottom w:w="15" w:type="dxa"/>
          </w:tblCellMar>
          <w:tblLook w:val="04A0" w:firstRow="1" w:lastRow="0" w:firstColumn="1" w:lastColumn="0" w:noHBand="0" w:noVBand="1"/>
        </w:tblPrEx>
        <w:trPr>
          <w:trHeight w:val="20"/>
        </w:trPr>
        <w:tc>
          <w:tcPr>
            <w:tcW w:w="1414" w:type="dxa"/>
            <w:gridSpan w:val="2"/>
            <w:vMerge/>
            <w:tcBorders>
              <w:left w:val="single" w:sz="4" w:space="0" w:color="auto"/>
              <w:right w:val="single" w:sz="4" w:space="0" w:color="auto"/>
            </w:tcBorders>
          </w:tcPr>
          <w:p w14:paraId="32351DE6" w14:textId="77777777" w:rsidR="00A705BF" w:rsidRPr="00C723B2" w:rsidRDefault="00A705BF" w:rsidP="00D419D5">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3AC8C783" w14:textId="77777777" w:rsidR="00A705BF" w:rsidRPr="00C723B2" w:rsidRDefault="00A705BF" w:rsidP="00D419D5">
            <w:pPr>
              <w:keepLines/>
              <w:rPr>
                <w:rFonts w:ascii="Arial Narrow" w:hAnsi="Arial Narrow"/>
                <w:b/>
                <w:sz w:val="20"/>
                <w:szCs w:val="20"/>
              </w:rPr>
            </w:pPr>
            <w:r w:rsidRPr="00C723B2">
              <w:rPr>
                <w:rFonts w:ascii="Arial Narrow" w:hAnsi="Arial Narrow"/>
                <w:b/>
                <w:sz w:val="20"/>
                <w:szCs w:val="20"/>
              </w:rPr>
              <w:t xml:space="preserve">Prescriber type: </w:t>
            </w:r>
            <w:r w:rsidRPr="00C723B2">
              <w:rPr>
                <w:rFonts w:ascii="Arial Narrow" w:hAnsi="Arial Narrow"/>
                <w:sz w:val="20"/>
                <w:szCs w:val="20"/>
              </w:rPr>
              <w:fldChar w:fldCharType="begin" w:fldLock="1">
                <w:ffData>
                  <w:name w:val=""/>
                  <w:enabled/>
                  <w:calcOnExit w:val="0"/>
                  <w:checkBox>
                    <w:sizeAuto/>
                    <w:default w:val="1"/>
                  </w:checkBox>
                </w:ffData>
              </w:fldChar>
            </w:r>
            <w:r w:rsidRPr="00C723B2">
              <w:rPr>
                <w:rFonts w:ascii="Arial Narrow" w:hAnsi="Arial Narrow"/>
                <w:sz w:val="20"/>
                <w:szCs w:val="20"/>
              </w:rPr>
              <w:instrText xml:space="preserve"> FORMCHECKBOX </w:instrText>
            </w:r>
            <w:r w:rsidR="00A20CDB">
              <w:rPr>
                <w:rFonts w:ascii="Arial Narrow" w:hAnsi="Arial Narrow"/>
                <w:sz w:val="20"/>
                <w:szCs w:val="20"/>
              </w:rPr>
            </w:r>
            <w:r w:rsidR="00A20CDB">
              <w:rPr>
                <w:rFonts w:ascii="Arial Narrow" w:hAnsi="Arial Narrow"/>
                <w:sz w:val="20"/>
                <w:szCs w:val="20"/>
              </w:rPr>
              <w:fldChar w:fldCharType="separate"/>
            </w:r>
            <w:r w:rsidRPr="00C723B2">
              <w:rPr>
                <w:rFonts w:ascii="Arial Narrow" w:hAnsi="Arial Narrow"/>
                <w:sz w:val="20"/>
                <w:szCs w:val="20"/>
              </w:rPr>
              <w:fldChar w:fldCharType="end"/>
            </w:r>
            <w:r w:rsidRPr="00C723B2">
              <w:rPr>
                <w:rFonts w:ascii="Arial Narrow" w:hAnsi="Arial Narrow"/>
                <w:sz w:val="20"/>
                <w:szCs w:val="20"/>
              </w:rPr>
              <w:t>Medical Practitioners</w:t>
            </w:r>
          </w:p>
        </w:tc>
      </w:tr>
      <w:tr w:rsidR="00A77015" w:rsidRPr="009D04B0" w14:paraId="70E477C3" w14:textId="77777777" w:rsidTr="00FF3B53">
        <w:tblPrEx>
          <w:tblCellMar>
            <w:top w:w="15" w:type="dxa"/>
            <w:bottom w:w="15" w:type="dxa"/>
          </w:tblCellMar>
          <w:tblLook w:val="04A0" w:firstRow="1" w:lastRow="0" w:firstColumn="1" w:lastColumn="0" w:noHBand="0" w:noVBand="1"/>
        </w:tblPrEx>
        <w:trPr>
          <w:trHeight w:val="35"/>
        </w:trPr>
        <w:tc>
          <w:tcPr>
            <w:tcW w:w="1414" w:type="dxa"/>
            <w:gridSpan w:val="2"/>
            <w:vMerge/>
            <w:tcBorders>
              <w:left w:val="single" w:sz="4" w:space="0" w:color="auto"/>
              <w:bottom w:val="single" w:sz="4" w:space="0" w:color="auto"/>
              <w:right w:val="single" w:sz="4" w:space="0" w:color="auto"/>
            </w:tcBorders>
          </w:tcPr>
          <w:p w14:paraId="749A6FFE" w14:textId="77777777" w:rsidR="00A77015" w:rsidRPr="00C723B2" w:rsidRDefault="00A77015" w:rsidP="00D419D5">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24AF8E96" w14:textId="35320A15" w:rsidR="00A77015" w:rsidRPr="001428E9" w:rsidRDefault="00A77015" w:rsidP="00A77015">
            <w:pPr>
              <w:keepLines/>
              <w:rPr>
                <w:rFonts w:ascii="Arial Narrow" w:hAnsi="Arial Narrow"/>
                <w:b/>
                <w:sz w:val="20"/>
                <w:szCs w:val="20"/>
              </w:rPr>
            </w:pPr>
            <w:r w:rsidRPr="001428E9">
              <w:rPr>
                <w:rFonts w:ascii="Arial Narrow" w:hAnsi="Arial Narrow"/>
                <w:b/>
                <w:sz w:val="20"/>
                <w:szCs w:val="20"/>
              </w:rPr>
              <w:t xml:space="preserve">Restriction type: </w:t>
            </w:r>
          </w:p>
          <w:p w14:paraId="63C753BD" w14:textId="79B0D4D4" w:rsidR="00A77015" w:rsidRPr="00C723B2" w:rsidRDefault="00C4297E" w:rsidP="00A77015">
            <w:pPr>
              <w:keepLines/>
              <w:jc w:val="left"/>
              <w:rPr>
                <w:rFonts w:ascii="Arial Narrow" w:hAnsi="Arial Narrow"/>
                <w:b/>
                <w:sz w:val="20"/>
                <w:szCs w:val="20"/>
              </w:rPr>
            </w:pPr>
            <w:r>
              <w:rPr>
                <w:rFonts w:ascii="Arial Narrow" w:eastAsia="Calibri" w:hAnsi="Arial Narrow"/>
                <w:sz w:val="20"/>
                <w:szCs w:val="20"/>
              </w:rPr>
              <w:fldChar w:fldCharType="begin" w:fldLock="1">
                <w:ffData>
                  <w:name w:val="Check3"/>
                  <w:enabled/>
                  <w:calcOnExit w:val="0"/>
                  <w:checkBox>
                    <w:sizeAuto/>
                    <w:default w:val="1"/>
                  </w:checkBox>
                </w:ffData>
              </w:fldChar>
            </w:r>
            <w:bookmarkStart w:id="63" w:name="Check3"/>
            <w:r>
              <w:rPr>
                <w:rFonts w:ascii="Arial Narrow" w:eastAsia="Calibri" w:hAnsi="Arial Narrow"/>
                <w:sz w:val="20"/>
                <w:szCs w:val="20"/>
              </w:rPr>
              <w:instrText xml:space="preserve"> FORMCHECKBOX </w:instrText>
            </w:r>
            <w:r w:rsidR="00A20CDB">
              <w:rPr>
                <w:rFonts w:ascii="Arial Narrow" w:eastAsia="Calibri" w:hAnsi="Arial Narrow"/>
                <w:sz w:val="20"/>
                <w:szCs w:val="20"/>
              </w:rPr>
            </w:r>
            <w:r w:rsidR="00A20CDB">
              <w:rPr>
                <w:rFonts w:ascii="Arial Narrow" w:eastAsia="Calibri" w:hAnsi="Arial Narrow"/>
                <w:sz w:val="20"/>
                <w:szCs w:val="20"/>
              </w:rPr>
              <w:fldChar w:fldCharType="separate"/>
            </w:r>
            <w:r>
              <w:rPr>
                <w:rFonts w:ascii="Arial Narrow" w:eastAsia="Calibri" w:hAnsi="Arial Narrow"/>
                <w:sz w:val="20"/>
                <w:szCs w:val="20"/>
              </w:rPr>
              <w:fldChar w:fldCharType="end"/>
            </w:r>
            <w:bookmarkEnd w:id="63"/>
            <w:r w:rsidR="00A77015" w:rsidRPr="001428E9">
              <w:rPr>
                <w:rFonts w:ascii="Arial Narrow" w:eastAsia="Calibri" w:hAnsi="Arial Narrow"/>
                <w:sz w:val="20"/>
                <w:szCs w:val="20"/>
              </w:rPr>
              <w:t>Authority Required (</w:t>
            </w:r>
            <w:r w:rsidR="00A77015" w:rsidRPr="00FF3B53">
              <w:rPr>
                <w:rFonts w:ascii="Arial Narrow" w:eastAsia="Calibri" w:hAnsi="Arial Narrow"/>
                <w:sz w:val="20"/>
                <w:szCs w:val="20"/>
              </w:rPr>
              <w:t>immediate assessment) the prescriber can apply via telephone/online channels and get an immediate outcome at the end of the interaction</w:t>
            </w:r>
          </w:p>
        </w:tc>
      </w:tr>
      <w:tr w:rsidR="00A705BF" w:rsidRPr="009D04B0" w14:paraId="5EF93D2B" w14:textId="77777777" w:rsidTr="00A923AC">
        <w:tblPrEx>
          <w:tblCellMar>
            <w:top w:w="15" w:type="dxa"/>
            <w:bottom w:w="15" w:type="dxa"/>
          </w:tblCellMar>
          <w:tblLook w:val="04A0" w:firstRow="1" w:lastRow="0" w:firstColumn="1" w:lastColumn="0" w:noHBand="0" w:noVBand="1"/>
        </w:tblPrEx>
        <w:trPr>
          <w:trHeight w:val="20"/>
        </w:trPr>
        <w:tc>
          <w:tcPr>
            <w:tcW w:w="1414" w:type="dxa"/>
            <w:gridSpan w:val="2"/>
            <w:vMerge/>
            <w:tcBorders>
              <w:left w:val="single" w:sz="4" w:space="0" w:color="auto"/>
              <w:bottom w:val="single" w:sz="4" w:space="0" w:color="auto"/>
              <w:right w:val="single" w:sz="4" w:space="0" w:color="auto"/>
            </w:tcBorders>
          </w:tcPr>
          <w:p w14:paraId="23CF5ABB" w14:textId="77777777" w:rsidR="00A705BF" w:rsidRPr="00C723B2" w:rsidRDefault="00A705BF" w:rsidP="00D419D5">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4D87479" w14:textId="358C442C" w:rsidR="00A705BF" w:rsidRPr="00C723B2" w:rsidRDefault="00A77015" w:rsidP="001E18A2">
            <w:pPr>
              <w:keepLines/>
              <w:jc w:val="left"/>
              <w:rPr>
                <w:rFonts w:ascii="Arial Narrow" w:eastAsia="Calibri" w:hAnsi="Arial Narrow"/>
                <w:sz w:val="20"/>
                <w:szCs w:val="20"/>
              </w:rPr>
            </w:pPr>
            <w:r>
              <w:rPr>
                <w:rFonts w:ascii="Arial Narrow" w:hAnsi="Arial Narrow"/>
                <w:b/>
                <w:sz w:val="20"/>
                <w:szCs w:val="20"/>
              </w:rPr>
              <w:t>Authority</w:t>
            </w:r>
            <w:r w:rsidR="00A705BF" w:rsidRPr="00C723B2">
              <w:rPr>
                <w:rFonts w:ascii="Arial Narrow" w:hAnsi="Arial Narrow"/>
                <w:b/>
                <w:sz w:val="20"/>
                <w:szCs w:val="20"/>
              </w:rPr>
              <w:t xml:space="preserve"> type: </w:t>
            </w:r>
            <w:r w:rsidR="00A705BF" w:rsidRPr="00C723B2">
              <w:rPr>
                <w:rFonts w:ascii="Arial Narrow" w:eastAsia="Calibri" w:hAnsi="Arial Narrow"/>
                <w:color w:val="FF0000"/>
                <w:sz w:val="20"/>
                <w:szCs w:val="20"/>
              </w:rPr>
              <w:br/>
            </w:r>
            <w:r w:rsidR="00A705BF" w:rsidRPr="00C723B2">
              <w:rPr>
                <w:rFonts w:ascii="Arial Narrow" w:hAnsi="Arial Narrow"/>
                <w:sz w:val="20"/>
                <w:szCs w:val="20"/>
              </w:rPr>
              <w:fldChar w:fldCharType="begin" w:fldLock="1">
                <w:ffData>
                  <w:name w:val=""/>
                  <w:enabled/>
                  <w:calcOnExit w:val="0"/>
                  <w:checkBox>
                    <w:sizeAuto/>
                    <w:default w:val="1"/>
                  </w:checkBox>
                </w:ffData>
              </w:fldChar>
            </w:r>
            <w:r w:rsidR="00A705BF" w:rsidRPr="00C723B2">
              <w:rPr>
                <w:rFonts w:ascii="Arial Narrow" w:hAnsi="Arial Narrow"/>
                <w:sz w:val="20"/>
                <w:szCs w:val="20"/>
              </w:rPr>
              <w:instrText xml:space="preserve"> FORMCHECKBOX </w:instrText>
            </w:r>
            <w:r w:rsidR="00A20CDB">
              <w:rPr>
                <w:rFonts w:ascii="Arial Narrow" w:hAnsi="Arial Narrow"/>
                <w:sz w:val="20"/>
                <w:szCs w:val="20"/>
              </w:rPr>
            </w:r>
            <w:r w:rsidR="00A20CDB">
              <w:rPr>
                <w:rFonts w:ascii="Arial Narrow" w:hAnsi="Arial Narrow"/>
                <w:sz w:val="20"/>
                <w:szCs w:val="20"/>
              </w:rPr>
              <w:fldChar w:fldCharType="separate"/>
            </w:r>
            <w:r w:rsidR="00A705BF" w:rsidRPr="00C723B2">
              <w:rPr>
                <w:rFonts w:ascii="Arial Narrow" w:hAnsi="Arial Narrow"/>
                <w:sz w:val="20"/>
                <w:szCs w:val="20"/>
              </w:rPr>
              <w:fldChar w:fldCharType="end"/>
            </w:r>
            <w:r w:rsidR="00A705BF" w:rsidRPr="00C723B2">
              <w:rPr>
                <w:rFonts w:ascii="Arial Narrow" w:hAnsi="Arial Narrow"/>
                <w:sz w:val="20"/>
                <w:szCs w:val="20"/>
              </w:rPr>
              <w:t xml:space="preserve"> </w:t>
            </w:r>
            <w:r w:rsidR="002B27D8">
              <w:rPr>
                <w:rFonts w:ascii="Arial Narrow" w:hAnsi="Arial Narrow"/>
                <w:sz w:val="20"/>
                <w:szCs w:val="20"/>
              </w:rPr>
              <w:t>Complex Authority Required (CAR)</w:t>
            </w:r>
          </w:p>
        </w:tc>
      </w:tr>
      <w:tr w:rsidR="00A705BF" w:rsidRPr="009D04B0" w14:paraId="6BB7DB78" w14:textId="77777777" w:rsidTr="00A923AC">
        <w:tblPrEx>
          <w:tblCellMar>
            <w:top w:w="15" w:type="dxa"/>
            <w:bottom w:w="15" w:type="dxa"/>
          </w:tblCellMar>
          <w:tblLook w:val="04A0" w:firstRow="1" w:lastRow="0" w:firstColumn="1" w:lastColumn="0" w:noHBand="0" w:noVBand="1"/>
        </w:tblPrEx>
        <w:trPr>
          <w:trHeight w:val="413"/>
        </w:trPr>
        <w:tc>
          <w:tcPr>
            <w:tcW w:w="564" w:type="dxa"/>
            <w:vMerge w:val="restart"/>
            <w:tcBorders>
              <w:left w:val="single" w:sz="4" w:space="0" w:color="auto"/>
              <w:right w:val="single" w:sz="4" w:space="0" w:color="auto"/>
            </w:tcBorders>
            <w:textDirection w:val="btLr"/>
          </w:tcPr>
          <w:p w14:paraId="0296A831" w14:textId="5B21BF1E" w:rsidR="00A705BF" w:rsidRPr="00C723B2" w:rsidRDefault="002B27D8" w:rsidP="002B27D8">
            <w:pPr>
              <w:ind w:left="113" w:right="113"/>
              <w:jc w:val="right"/>
              <w:rPr>
                <w:rFonts w:ascii="Arial Narrow" w:hAnsi="Arial Narrow"/>
                <w:sz w:val="20"/>
                <w:szCs w:val="20"/>
              </w:rPr>
            </w:pPr>
            <w:r>
              <w:rPr>
                <w:rFonts w:ascii="Arial Narrow" w:hAnsi="Arial Narrow"/>
                <w:sz w:val="20"/>
                <w:szCs w:val="20"/>
              </w:rPr>
              <w:t>Prescribing rule level</w:t>
            </w:r>
          </w:p>
        </w:tc>
        <w:tc>
          <w:tcPr>
            <w:tcW w:w="850" w:type="dxa"/>
            <w:vAlign w:val="center"/>
          </w:tcPr>
          <w:p w14:paraId="68BF1FB6" w14:textId="123DCB15" w:rsidR="00A705BF" w:rsidRPr="00C723B2" w:rsidRDefault="00A705BF" w:rsidP="00D419D5">
            <w:pPr>
              <w:jc w:val="center"/>
              <w:rPr>
                <w:rFonts w:ascii="Arial Narrow" w:hAnsi="Arial Narrow"/>
                <w:color w:val="333333"/>
                <w:sz w:val="20"/>
                <w:szCs w:val="20"/>
              </w:rPr>
            </w:pPr>
          </w:p>
        </w:tc>
        <w:tc>
          <w:tcPr>
            <w:tcW w:w="7654" w:type="dxa"/>
            <w:gridSpan w:val="6"/>
            <w:vAlign w:val="center"/>
          </w:tcPr>
          <w:p w14:paraId="07308701" w14:textId="77777777" w:rsidR="00A705BF" w:rsidRPr="00C723B2" w:rsidRDefault="00A705BF" w:rsidP="00D419D5">
            <w:pPr>
              <w:rPr>
                <w:rFonts w:ascii="Arial Narrow" w:hAnsi="Arial Narrow"/>
                <w:b/>
                <w:bCs/>
                <w:color w:val="333333"/>
                <w:sz w:val="20"/>
                <w:szCs w:val="20"/>
              </w:rPr>
            </w:pPr>
            <w:r w:rsidRPr="00C723B2">
              <w:rPr>
                <w:rFonts w:ascii="Arial Narrow" w:hAnsi="Arial Narrow"/>
                <w:b/>
                <w:bCs/>
                <w:color w:val="333333"/>
                <w:sz w:val="20"/>
                <w:szCs w:val="20"/>
              </w:rPr>
              <w:t xml:space="preserve">Administrative Advice: </w:t>
            </w:r>
            <w:r w:rsidRPr="00C723B2">
              <w:rPr>
                <w:rFonts w:ascii="Arial Narrow" w:eastAsia="Calibri" w:hAnsi="Arial Narrow"/>
                <w:sz w:val="20"/>
                <w:szCs w:val="20"/>
              </w:rPr>
              <w:t>No increase in the maximum number of repeats may be authorised.</w:t>
            </w:r>
          </w:p>
        </w:tc>
      </w:tr>
      <w:tr w:rsidR="00A705BF" w:rsidRPr="009D04B0" w14:paraId="6EA5E3FD" w14:textId="77777777" w:rsidTr="00A923AC">
        <w:tblPrEx>
          <w:tblCellMar>
            <w:top w:w="15" w:type="dxa"/>
            <w:bottom w:w="15" w:type="dxa"/>
          </w:tblCellMar>
          <w:tblLook w:val="04A0" w:firstRow="1" w:lastRow="0" w:firstColumn="1" w:lastColumn="0" w:noHBand="0" w:noVBand="1"/>
        </w:tblPrEx>
        <w:trPr>
          <w:trHeight w:val="675"/>
        </w:trPr>
        <w:tc>
          <w:tcPr>
            <w:tcW w:w="564" w:type="dxa"/>
            <w:vMerge/>
            <w:tcBorders>
              <w:left w:val="single" w:sz="4" w:space="0" w:color="auto"/>
              <w:bottom w:val="single" w:sz="4" w:space="0" w:color="auto"/>
              <w:right w:val="single" w:sz="4" w:space="0" w:color="auto"/>
            </w:tcBorders>
          </w:tcPr>
          <w:p w14:paraId="076B8DF2" w14:textId="77777777" w:rsidR="00A705BF" w:rsidRPr="00C723B2" w:rsidRDefault="00A705BF" w:rsidP="00D419D5">
            <w:pPr>
              <w:rPr>
                <w:rFonts w:ascii="Arial Narrow" w:hAnsi="Arial Narrow"/>
                <w:sz w:val="20"/>
                <w:szCs w:val="20"/>
              </w:rPr>
            </w:pPr>
          </w:p>
        </w:tc>
        <w:tc>
          <w:tcPr>
            <w:tcW w:w="850" w:type="dxa"/>
            <w:vAlign w:val="center"/>
          </w:tcPr>
          <w:p w14:paraId="4431406D" w14:textId="67A49BB3" w:rsidR="00A705BF" w:rsidRPr="00C723B2" w:rsidRDefault="00A705BF" w:rsidP="00D419D5">
            <w:pPr>
              <w:jc w:val="center"/>
              <w:rPr>
                <w:rFonts w:ascii="Arial Narrow" w:hAnsi="Arial Narrow"/>
                <w:color w:val="333333"/>
                <w:sz w:val="20"/>
                <w:szCs w:val="20"/>
              </w:rPr>
            </w:pPr>
          </w:p>
        </w:tc>
        <w:tc>
          <w:tcPr>
            <w:tcW w:w="7654" w:type="dxa"/>
            <w:gridSpan w:val="6"/>
            <w:vAlign w:val="center"/>
          </w:tcPr>
          <w:p w14:paraId="30816253" w14:textId="77777777" w:rsidR="00A705BF" w:rsidRPr="00C723B2" w:rsidRDefault="00A705BF" w:rsidP="00D419D5">
            <w:pPr>
              <w:rPr>
                <w:rFonts w:ascii="Arial Narrow" w:hAnsi="Arial Narrow"/>
                <w:b/>
                <w:bCs/>
                <w:color w:val="333333"/>
                <w:sz w:val="20"/>
                <w:szCs w:val="20"/>
              </w:rPr>
            </w:pPr>
            <w:r w:rsidRPr="00C723B2">
              <w:rPr>
                <w:rFonts w:ascii="Arial Narrow" w:hAnsi="Arial Narrow"/>
                <w:b/>
                <w:bCs/>
                <w:color w:val="333333"/>
                <w:sz w:val="20"/>
                <w:szCs w:val="20"/>
              </w:rPr>
              <w:t xml:space="preserve">Administrative Advice: </w:t>
            </w:r>
            <w:r w:rsidRPr="00C723B2">
              <w:rPr>
                <w:rFonts w:ascii="Arial Narrow" w:eastAsia="Calibri" w:hAnsi="Arial Narrow"/>
                <w:sz w:val="20"/>
                <w:szCs w:val="20"/>
              </w:rPr>
              <w:t>Special Pricing Arrangements apply.</w:t>
            </w:r>
          </w:p>
        </w:tc>
      </w:tr>
      <w:tr w:rsidR="00A705BF" w:rsidRPr="009D04B0" w14:paraId="5FCE56B7" w14:textId="77777777" w:rsidTr="00A923AC">
        <w:tblPrEx>
          <w:tblCellMar>
            <w:top w:w="15" w:type="dxa"/>
            <w:bottom w:w="15" w:type="dxa"/>
          </w:tblCellMar>
        </w:tblPrEx>
        <w:trPr>
          <w:trHeight w:val="414"/>
        </w:trPr>
        <w:tc>
          <w:tcPr>
            <w:tcW w:w="1414" w:type="dxa"/>
            <w:gridSpan w:val="2"/>
            <w:tcBorders>
              <w:left w:val="single" w:sz="4" w:space="0" w:color="auto"/>
              <w:bottom w:val="single" w:sz="4" w:space="0" w:color="auto"/>
            </w:tcBorders>
            <w:vAlign w:val="center"/>
          </w:tcPr>
          <w:p w14:paraId="3FE91574" w14:textId="4DEFBB74" w:rsidR="00A705BF" w:rsidRPr="00C723B2" w:rsidRDefault="00A705BF" w:rsidP="00D419D5">
            <w:pPr>
              <w:jc w:val="center"/>
              <w:rPr>
                <w:rFonts w:ascii="Arial Narrow" w:hAnsi="Arial Narrow"/>
                <w:color w:val="333333"/>
                <w:sz w:val="20"/>
                <w:szCs w:val="20"/>
              </w:rPr>
            </w:pPr>
          </w:p>
        </w:tc>
        <w:tc>
          <w:tcPr>
            <w:tcW w:w="7654" w:type="dxa"/>
            <w:gridSpan w:val="6"/>
            <w:vAlign w:val="center"/>
          </w:tcPr>
          <w:p w14:paraId="6BE8DF60" w14:textId="77777777" w:rsidR="00A705BF" w:rsidRPr="00C723B2" w:rsidRDefault="00A705BF" w:rsidP="00D419D5">
            <w:pPr>
              <w:rPr>
                <w:rFonts w:ascii="Arial Narrow" w:hAnsi="Arial Narrow"/>
                <w:sz w:val="20"/>
                <w:szCs w:val="20"/>
              </w:rPr>
            </w:pPr>
            <w:r w:rsidRPr="00C723B2">
              <w:rPr>
                <w:rFonts w:ascii="Arial Narrow" w:hAnsi="Arial Narrow"/>
                <w:b/>
                <w:bCs/>
                <w:sz w:val="20"/>
                <w:szCs w:val="20"/>
              </w:rPr>
              <w:t>Administrative Advice:</w:t>
            </w:r>
            <w:r w:rsidRPr="00C723B2">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705BF" w:rsidRPr="009D04B0" w14:paraId="62151A94"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tcPr>
          <w:p w14:paraId="09E1999A" w14:textId="76F46CAF" w:rsidR="00A705BF" w:rsidRPr="00C723B2" w:rsidRDefault="00A705BF" w:rsidP="002B27D8">
            <w:pPr>
              <w:keepLines/>
              <w:jc w:val="center"/>
              <w:rPr>
                <w:rFonts w:ascii="Arial Narrow" w:hAnsi="Arial Narrow"/>
                <w:color w:val="333333"/>
                <w:sz w:val="20"/>
                <w:szCs w:val="20"/>
              </w:rPr>
            </w:pPr>
          </w:p>
        </w:tc>
        <w:tc>
          <w:tcPr>
            <w:tcW w:w="7654" w:type="dxa"/>
            <w:gridSpan w:val="6"/>
            <w:vAlign w:val="center"/>
          </w:tcPr>
          <w:p w14:paraId="2ECE6ABC" w14:textId="77777777" w:rsidR="00A705BF" w:rsidRPr="00C723B2" w:rsidRDefault="00A705BF" w:rsidP="00D419D5">
            <w:pPr>
              <w:keepLines/>
              <w:rPr>
                <w:rFonts w:ascii="Arial Narrow" w:hAnsi="Arial Narrow"/>
                <w:color w:val="333333"/>
                <w:sz w:val="20"/>
                <w:szCs w:val="20"/>
              </w:rPr>
            </w:pPr>
            <w:r w:rsidRPr="00C723B2">
              <w:rPr>
                <w:rFonts w:ascii="Arial Narrow" w:hAnsi="Arial Narrow"/>
                <w:b/>
                <w:bCs/>
                <w:color w:val="333333"/>
                <w:sz w:val="20"/>
                <w:szCs w:val="20"/>
              </w:rPr>
              <w:t>Prescribing Instructions:</w:t>
            </w:r>
            <w:r w:rsidRPr="00C723B2">
              <w:rPr>
                <w:rFonts w:ascii="Arial Narrow" w:hAnsi="Arial Narrow"/>
                <w:color w:val="333333"/>
                <w:sz w:val="20"/>
                <w:szCs w:val="20"/>
              </w:rPr>
              <w:t xml:space="preserve"> The quantity of drug and number of repeat prescriptions prescribed is to be in accordance with the relevant 'Note' attached to this listing.</w:t>
            </w:r>
          </w:p>
          <w:p w14:paraId="3FE17435" w14:textId="77777777" w:rsidR="00A705BF" w:rsidRPr="00C723B2" w:rsidRDefault="00A705BF" w:rsidP="00D419D5">
            <w:pPr>
              <w:keepLines/>
              <w:rPr>
                <w:rFonts w:ascii="Arial Narrow" w:hAnsi="Arial Narrow"/>
                <w:color w:val="333333"/>
                <w:sz w:val="20"/>
                <w:szCs w:val="20"/>
              </w:rPr>
            </w:pPr>
          </w:p>
          <w:p w14:paraId="4733DACA"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The approved Product Information recommended dosing is as follows:</w:t>
            </w:r>
          </w:p>
          <w:p w14:paraId="2B5D4071"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 16 days to less than 2 months of age: 0.15 mg/kg</w:t>
            </w:r>
          </w:p>
          <w:p w14:paraId="337DE659"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(ii) 2 months to less than 2 years of age: 0.20 mg/kg</w:t>
            </w:r>
          </w:p>
          <w:p w14:paraId="7FFAC01E"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(iii) 2 years of age and older weighing less than 20 kg: 0.25 mg/kg</w:t>
            </w:r>
          </w:p>
          <w:p w14:paraId="51A92C4B"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(iv) 2 years of age and older weighing 20 kg or more: 5 mg</w:t>
            </w:r>
          </w:p>
        </w:tc>
      </w:tr>
      <w:tr w:rsidR="00A705BF" w:rsidRPr="009D04B0" w14:paraId="3658F8EA"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EA977BB" w14:textId="19FA6020"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26632437"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bCs/>
                <w:color w:val="333333"/>
                <w:sz w:val="20"/>
                <w:szCs w:val="20"/>
              </w:rPr>
              <w:t>Prescribing Instructions:</w:t>
            </w:r>
          </w:p>
          <w:p w14:paraId="44711F4E"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In this authority application, state which of (i) to (iv) above applies to the patient. Based on (i) to (iv), prescribe up to:</w:t>
            </w:r>
          </w:p>
          <w:p w14:paraId="42CADE8F"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1 unit where (i) applies;</w:t>
            </w:r>
          </w:p>
          <w:p w14:paraId="7BC8EB03"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2 units where (ii) applies;</w:t>
            </w:r>
          </w:p>
          <w:p w14:paraId="65ECD4D6"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3 units where (iii) applies;</w:t>
            </w:r>
          </w:p>
          <w:p w14:paraId="49AE1498"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color w:val="333333"/>
                <w:sz w:val="20"/>
                <w:szCs w:val="20"/>
              </w:rPr>
              <w:t>3 units where (iv) applies.</w:t>
            </w:r>
          </w:p>
        </w:tc>
      </w:tr>
      <w:tr w:rsidR="00603AE1" w:rsidRPr="009D04B0" w14:paraId="04B4C99D"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33BFB52" w14:textId="77777777" w:rsidR="00603AE1" w:rsidRPr="00C723B2" w:rsidRDefault="00603AE1" w:rsidP="00D419D5">
            <w:pPr>
              <w:keepLines/>
              <w:jc w:val="center"/>
              <w:rPr>
                <w:rFonts w:ascii="Arial Narrow" w:hAnsi="Arial Narrow"/>
                <w:color w:val="333333"/>
                <w:sz w:val="20"/>
                <w:szCs w:val="20"/>
              </w:rPr>
            </w:pPr>
          </w:p>
        </w:tc>
        <w:tc>
          <w:tcPr>
            <w:tcW w:w="7654" w:type="dxa"/>
            <w:gridSpan w:val="6"/>
            <w:vAlign w:val="center"/>
          </w:tcPr>
          <w:p w14:paraId="6F254AD5" w14:textId="77777777" w:rsidR="00603AE1" w:rsidRPr="00C723B2" w:rsidRDefault="00603AE1" w:rsidP="00D419D5">
            <w:pPr>
              <w:keepLines/>
              <w:rPr>
                <w:rFonts w:ascii="Arial Narrow" w:hAnsi="Arial Narrow"/>
                <w:b/>
                <w:bCs/>
                <w:color w:val="333333"/>
                <w:sz w:val="20"/>
                <w:szCs w:val="20"/>
              </w:rPr>
            </w:pPr>
          </w:p>
        </w:tc>
      </w:tr>
      <w:tr w:rsidR="00A705BF" w:rsidRPr="009D04B0" w14:paraId="423972A0" w14:textId="77777777" w:rsidTr="005D257B">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E51FFDA" w14:textId="35466A7E" w:rsidR="00A705BF" w:rsidRPr="00C723B2" w:rsidRDefault="00A705BF" w:rsidP="00D419D5">
            <w:pPr>
              <w:keepLines/>
              <w:jc w:val="center"/>
              <w:rPr>
                <w:rFonts w:ascii="Arial Narrow" w:hAnsi="Arial Narrow"/>
                <w:color w:val="333333"/>
                <w:sz w:val="20"/>
                <w:szCs w:val="20"/>
              </w:rPr>
            </w:pPr>
          </w:p>
        </w:tc>
        <w:tc>
          <w:tcPr>
            <w:tcW w:w="7654" w:type="dxa"/>
            <w:gridSpan w:val="6"/>
            <w:vAlign w:val="center"/>
            <w:hideMark/>
          </w:tcPr>
          <w:p w14:paraId="7AD115AC" w14:textId="77777777" w:rsidR="00A705BF" w:rsidRPr="00C723B2" w:rsidRDefault="00A705BF" w:rsidP="00D419D5">
            <w:pPr>
              <w:keepLines/>
              <w:rPr>
                <w:rFonts w:ascii="Arial Narrow" w:hAnsi="Arial Narrow"/>
                <w:color w:val="333333"/>
                <w:sz w:val="20"/>
                <w:szCs w:val="20"/>
              </w:rPr>
            </w:pPr>
            <w:r w:rsidRPr="00C723B2">
              <w:rPr>
                <w:rFonts w:ascii="Arial Narrow" w:hAnsi="Arial Narrow"/>
                <w:b/>
                <w:bCs/>
                <w:color w:val="333333"/>
                <w:sz w:val="20"/>
                <w:szCs w:val="20"/>
              </w:rPr>
              <w:t>Indication:</w:t>
            </w:r>
            <w:r w:rsidRPr="00C723B2">
              <w:rPr>
                <w:rFonts w:ascii="Arial Narrow" w:hAnsi="Arial Narrow"/>
                <w:color w:val="333333"/>
                <w:sz w:val="20"/>
                <w:szCs w:val="20"/>
              </w:rPr>
              <w:t xml:space="preserve"> Pre-symptomatic Spinal Muscular Atrophy (SMA)</w:t>
            </w:r>
          </w:p>
        </w:tc>
      </w:tr>
      <w:tr w:rsidR="00A705BF" w:rsidRPr="009D04B0" w14:paraId="0029E989"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30EF49CE" w14:textId="77777777"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66EF29F7" w14:textId="77777777" w:rsidR="00A705BF" w:rsidRPr="00C723B2" w:rsidRDefault="00A705BF" w:rsidP="00D419D5">
            <w:pPr>
              <w:keepLines/>
              <w:rPr>
                <w:rFonts w:ascii="Arial Narrow" w:hAnsi="Arial Narrow"/>
                <w:b/>
                <w:bCs/>
                <w:color w:val="333333"/>
                <w:sz w:val="20"/>
                <w:szCs w:val="20"/>
              </w:rPr>
            </w:pPr>
          </w:p>
        </w:tc>
      </w:tr>
      <w:tr w:rsidR="00A705BF" w:rsidRPr="009D04B0" w14:paraId="60591046"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62F0E976" w14:textId="77777777"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4F3932A7"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bCs/>
                <w:color w:val="333333"/>
                <w:sz w:val="20"/>
                <w:szCs w:val="20"/>
              </w:rPr>
              <w:t>Treatment Phase:</w:t>
            </w:r>
            <w:r w:rsidRPr="00C723B2">
              <w:rPr>
                <w:rFonts w:ascii="Arial Narrow" w:hAnsi="Arial Narrow"/>
                <w:color w:val="FF0000"/>
                <w:sz w:val="20"/>
                <w:szCs w:val="20"/>
              </w:rPr>
              <w:t xml:space="preserve"> </w:t>
            </w:r>
            <w:r w:rsidRPr="00C723B2">
              <w:rPr>
                <w:rFonts w:ascii="Arial Narrow" w:hAnsi="Arial Narrow"/>
                <w:sz w:val="20"/>
                <w:szCs w:val="20"/>
              </w:rPr>
              <w:t xml:space="preserve">Continuing/maintenance treatment of pre-symptomatic spinal muscular atrophy (SMA) with 3 copies of the </w:t>
            </w:r>
            <w:r w:rsidRPr="001806AB">
              <w:rPr>
                <w:rFonts w:ascii="Arial Narrow" w:hAnsi="Arial Narrow"/>
                <w:i/>
                <w:iCs/>
                <w:sz w:val="20"/>
                <w:szCs w:val="20"/>
              </w:rPr>
              <w:t>SMN2</w:t>
            </w:r>
            <w:r w:rsidRPr="00C723B2">
              <w:rPr>
                <w:rFonts w:ascii="Arial Narrow" w:hAnsi="Arial Narrow"/>
                <w:sz w:val="20"/>
                <w:szCs w:val="20"/>
              </w:rPr>
              <w:t xml:space="preserve"> gene</w:t>
            </w:r>
          </w:p>
        </w:tc>
      </w:tr>
      <w:tr w:rsidR="00A171F7" w:rsidRPr="009D04B0" w14:paraId="61391DA8"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71B49843" w14:textId="77777777" w:rsidR="00A171F7" w:rsidRPr="00C723B2" w:rsidRDefault="00A171F7" w:rsidP="00D419D5">
            <w:pPr>
              <w:keepLines/>
              <w:jc w:val="center"/>
              <w:rPr>
                <w:rFonts w:ascii="Arial Narrow" w:hAnsi="Arial Narrow"/>
                <w:color w:val="333333"/>
                <w:sz w:val="20"/>
                <w:szCs w:val="20"/>
              </w:rPr>
            </w:pPr>
          </w:p>
        </w:tc>
        <w:tc>
          <w:tcPr>
            <w:tcW w:w="7654" w:type="dxa"/>
            <w:gridSpan w:val="6"/>
            <w:vAlign w:val="center"/>
          </w:tcPr>
          <w:p w14:paraId="3842440B" w14:textId="77777777" w:rsidR="00A171F7" w:rsidRPr="00C723B2" w:rsidRDefault="00A171F7" w:rsidP="00D419D5">
            <w:pPr>
              <w:keepLines/>
              <w:rPr>
                <w:rFonts w:ascii="Arial Narrow" w:hAnsi="Arial Narrow"/>
                <w:b/>
                <w:bCs/>
                <w:color w:val="333333"/>
                <w:sz w:val="20"/>
                <w:szCs w:val="20"/>
              </w:rPr>
            </w:pPr>
          </w:p>
        </w:tc>
      </w:tr>
      <w:tr w:rsidR="00A705BF" w:rsidRPr="009D04B0" w14:paraId="073A1FC2"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3D244F0" w14:textId="69702675"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44ABA086"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sz w:val="20"/>
                <w:szCs w:val="20"/>
              </w:rPr>
              <w:t>Treatment criteria:</w:t>
            </w:r>
          </w:p>
        </w:tc>
      </w:tr>
      <w:tr w:rsidR="00A705BF" w:rsidRPr="009D04B0" w14:paraId="7FD67AD5"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BE0F83E" w14:textId="0E8049AC"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60A04727" w14:textId="5E7E384A" w:rsidR="00A705BF" w:rsidRPr="00C723B2" w:rsidRDefault="00A705BF" w:rsidP="00D419D5">
            <w:pPr>
              <w:rPr>
                <w:rFonts w:ascii="Arial Narrow" w:hAnsi="Arial Narrow"/>
                <w:sz w:val="20"/>
                <w:szCs w:val="20"/>
              </w:rPr>
            </w:pPr>
            <w:r w:rsidRPr="00C723B2">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w:t>
            </w:r>
            <w:r w:rsidR="002B27D8">
              <w:rPr>
                <w:rFonts w:ascii="Arial Narrow" w:hAnsi="Arial Narrow"/>
                <w:sz w:val="20"/>
                <w:szCs w:val="20"/>
              </w:rPr>
              <w:t>.</w:t>
            </w:r>
            <w:r w:rsidRPr="00C723B2">
              <w:rPr>
                <w:rFonts w:ascii="Arial Narrow" w:hAnsi="Arial Narrow"/>
                <w:sz w:val="20"/>
                <w:szCs w:val="20"/>
              </w:rPr>
              <w:t xml:space="preserve"> </w:t>
            </w:r>
          </w:p>
        </w:tc>
      </w:tr>
      <w:tr w:rsidR="00A705BF" w:rsidRPr="009D04B0" w14:paraId="280B06A2"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62332B26" w14:textId="77777777" w:rsidR="00A705BF" w:rsidRPr="00C723B2" w:rsidRDefault="00A705BF" w:rsidP="00D419D5">
            <w:pPr>
              <w:keepLines/>
              <w:jc w:val="center"/>
              <w:rPr>
                <w:rFonts w:ascii="Arial Narrow" w:hAnsi="Arial Narrow"/>
                <w:sz w:val="20"/>
                <w:szCs w:val="20"/>
              </w:rPr>
            </w:pPr>
          </w:p>
        </w:tc>
        <w:tc>
          <w:tcPr>
            <w:tcW w:w="7654" w:type="dxa"/>
            <w:gridSpan w:val="6"/>
            <w:vAlign w:val="center"/>
          </w:tcPr>
          <w:p w14:paraId="600B2EB0" w14:textId="77777777" w:rsidR="00A705BF" w:rsidRPr="00C723B2" w:rsidRDefault="00A705BF" w:rsidP="00D419D5">
            <w:pPr>
              <w:rPr>
                <w:rFonts w:ascii="Arial Narrow" w:hAnsi="Arial Narrow"/>
                <w:b/>
                <w:bCs/>
                <w:sz w:val="20"/>
                <w:szCs w:val="20"/>
              </w:rPr>
            </w:pPr>
            <w:r w:rsidRPr="00C723B2">
              <w:rPr>
                <w:rFonts w:ascii="Arial Narrow" w:hAnsi="Arial Narrow"/>
                <w:b/>
                <w:bCs/>
                <w:sz w:val="20"/>
                <w:szCs w:val="20"/>
              </w:rPr>
              <w:t>AND</w:t>
            </w:r>
          </w:p>
        </w:tc>
      </w:tr>
      <w:tr w:rsidR="00A705BF" w:rsidRPr="00062E81" w14:paraId="0CA7F056"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A0A2F85" w14:textId="6A9705ED" w:rsidR="00A705BF" w:rsidRPr="00C723B2" w:rsidRDefault="00A705BF" w:rsidP="00D419D5">
            <w:pPr>
              <w:keepLines/>
              <w:jc w:val="center"/>
              <w:rPr>
                <w:rFonts w:ascii="Arial Narrow" w:hAnsi="Arial Narrow"/>
                <w:sz w:val="20"/>
                <w:szCs w:val="20"/>
              </w:rPr>
            </w:pPr>
          </w:p>
        </w:tc>
        <w:tc>
          <w:tcPr>
            <w:tcW w:w="7654" w:type="dxa"/>
            <w:gridSpan w:val="6"/>
            <w:vAlign w:val="center"/>
          </w:tcPr>
          <w:p w14:paraId="03CDE3C7" w14:textId="77777777" w:rsidR="00A705BF" w:rsidRPr="00C723B2" w:rsidRDefault="00A705BF" w:rsidP="00D419D5">
            <w:pPr>
              <w:rPr>
                <w:rFonts w:ascii="Arial Narrow" w:hAnsi="Arial Narrow"/>
                <w:b/>
                <w:bCs/>
                <w:sz w:val="20"/>
                <w:szCs w:val="20"/>
              </w:rPr>
            </w:pPr>
            <w:r w:rsidRPr="00C723B2">
              <w:rPr>
                <w:rFonts w:ascii="Arial Narrow" w:hAnsi="Arial Narrow"/>
                <w:b/>
                <w:bCs/>
                <w:sz w:val="20"/>
                <w:szCs w:val="20"/>
              </w:rPr>
              <w:t>Treatment criteria:</w:t>
            </w:r>
          </w:p>
        </w:tc>
      </w:tr>
      <w:tr w:rsidR="00A705BF" w:rsidRPr="009D04B0" w14:paraId="41D211CA"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21BBB8B5" w14:textId="3ECB4903" w:rsidR="00A705BF" w:rsidRPr="00C723B2" w:rsidRDefault="00A705BF" w:rsidP="00D419D5">
            <w:pPr>
              <w:keepLines/>
              <w:jc w:val="center"/>
              <w:rPr>
                <w:rFonts w:ascii="Arial Narrow" w:hAnsi="Arial Narrow"/>
                <w:sz w:val="20"/>
                <w:szCs w:val="20"/>
              </w:rPr>
            </w:pPr>
          </w:p>
        </w:tc>
        <w:tc>
          <w:tcPr>
            <w:tcW w:w="7654" w:type="dxa"/>
            <w:gridSpan w:val="6"/>
            <w:vAlign w:val="center"/>
          </w:tcPr>
          <w:p w14:paraId="39A9CAB3" w14:textId="77777777" w:rsidR="00A705BF" w:rsidRPr="00C723B2" w:rsidRDefault="00A705BF" w:rsidP="00D419D5">
            <w:pPr>
              <w:rPr>
                <w:rFonts w:ascii="Arial Narrow" w:hAnsi="Arial Narrow"/>
                <w:sz w:val="20"/>
                <w:szCs w:val="20"/>
              </w:rPr>
            </w:pPr>
            <w:r w:rsidRPr="00C723B2">
              <w:rPr>
                <w:rFonts w:ascii="Arial Narrow" w:hAnsi="Arial Narrow"/>
                <w:sz w:val="20"/>
                <w:szCs w:val="20"/>
              </w:rPr>
              <w:t>Patient must not be undergoing treatment through this 'Continuing treatment' listing where the most recent PBS authority approval for this PBS-indication has been for gene therapy.</w:t>
            </w:r>
          </w:p>
        </w:tc>
      </w:tr>
      <w:tr w:rsidR="00A171F7" w:rsidRPr="009D04B0" w14:paraId="202C1341"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17C44CF6" w14:textId="77777777" w:rsidR="00A171F7" w:rsidRPr="00C723B2" w:rsidRDefault="00A171F7" w:rsidP="00D419D5">
            <w:pPr>
              <w:keepLines/>
              <w:jc w:val="center"/>
              <w:rPr>
                <w:rFonts w:ascii="Arial Narrow" w:hAnsi="Arial Narrow"/>
                <w:sz w:val="20"/>
                <w:szCs w:val="20"/>
              </w:rPr>
            </w:pPr>
          </w:p>
        </w:tc>
        <w:tc>
          <w:tcPr>
            <w:tcW w:w="7654" w:type="dxa"/>
            <w:gridSpan w:val="6"/>
            <w:vAlign w:val="center"/>
          </w:tcPr>
          <w:p w14:paraId="60C928B8" w14:textId="77777777" w:rsidR="00A171F7" w:rsidRPr="00C723B2" w:rsidRDefault="00A171F7" w:rsidP="00D419D5">
            <w:pPr>
              <w:rPr>
                <w:rFonts w:ascii="Arial Narrow" w:hAnsi="Arial Narrow"/>
                <w:sz w:val="20"/>
                <w:szCs w:val="20"/>
              </w:rPr>
            </w:pPr>
          </w:p>
        </w:tc>
      </w:tr>
      <w:tr w:rsidR="00A705BF" w:rsidRPr="009D04B0" w14:paraId="647F2DD8"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33014747" w14:textId="77777777"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531840EA"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bCs/>
                <w:color w:val="333333"/>
                <w:sz w:val="20"/>
                <w:szCs w:val="20"/>
              </w:rPr>
              <w:t>Clinical criteria:</w:t>
            </w:r>
          </w:p>
        </w:tc>
      </w:tr>
      <w:tr w:rsidR="00A705BF" w:rsidRPr="009D04B0" w14:paraId="26EA2207"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7E0E9354" w14:textId="17BCD1DB" w:rsidR="00A705BF" w:rsidRPr="00C723B2" w:rsidRDefault="00A705BF" w:rsidP="00D419D5">
            <w:pPr>
              <w:keepLines/>
              <w:jc w:val="center"/>
              <w:rPr>
                <w:rFonts w:ascii="Arial Narrow" w:hAnsi="Arial Narrow"/>
                <w:sz w:val="20"/>
                <w:szCs w:val="20"/>
              </w:rPr>
            </w:pPr>
          </w:p>
        </w:tc>
        <w:tc>
          <w:tcPr>
            <w:tcW w:w="7654" w:type="dxa"/>
            <w:gridSpan w:val="6"/>
            <w:vAlign w:val="center"/>
          </w:tcPr>
          <w:p w14:paraId="1036F1E2" w14:textId="77777777" w:rsidR="00A705BF" w:rsidRPr="00C723B2" w:rsidRDefault="00A705BF" w:rsidP="00D419D5">
            <w:pPr>
              <w:rPr>
                <w:rFonts w:ascii="Arial Narrow" w:hAnsi="Arial Narrow"/>
                <w:sz w:val="20"/>
                <w:szCs w:val="20"/>
              </w:rPr>
            </w:pPr>
            <w:r w:rsidRPr="00C723B2">
              <w:rPr>
                <w:rFonts w:ascii="Arial Narrow" w:hAnsi="Arial Narrow"/>
                <w:sz w:val="20"/>
                <w:szCs w:val="20"/>
              </w:rPr>
              <w:t>Patient must have previously received PBS-subsidised treatment with this drug for this condition; OR</w:t>
            </w:r>
          </w:p>
        </w:tc>
      </w:tr>
      <w:tr w:rsidR="00A705BF" w:rsidRPr="009D04B0" w14:paraId="3C55DDE5"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7F281F7C" w14:textId="41CB8943" w:rsidR="00A705BF" w:rsidRPr="00C723B2" w:rsidRDefault="00A705BF" w:rsidP="00D419D5">
            <w:pPr>
              <w:keepLines/>
              <w:jc w:val="center"/>
              <w:rPr>
                <w:rFonts w:ascii="Arial Narrow" w:hAnsi="Arial Narrow"/>
                <w:sz w:val="20"/>
                <w:szCs w:val="20"/>
              </w:rPr>
            </w:pPr>
          </w:p>
        </w:tc>
        <w:tc>
          <w:tcPr>
            <w:tcW w:w="7654" w:type="dxa"/>
            <w:gridSpan w:val="6"/>
            <w:vAlign w:val="center"/>
          </w:tcPr>
          <w:p w14:paraId="414CDA0C" w14:textId="77777777" w:rsidR="00A705BF" w:rsidRPr="00C723B2" w:rsidRDefault="00A705BF" w:rsidP="00D419D5">
            <w:pPr>
              <w:rPr>
                <w:rFonts w:ascii="Arial Narrow" w:hAnsi="Arial Narrow"/>
                <w:sz w:val="20"/>
                <w:szCs w:val="20"/>
              </w:rPr>
            </w:pPr>
            <w:r w:rsidRPr="00C723B2">
              <w:rPr>
                <w:rFonts w:ascii="Arial Narrow" w:hAnsi="Arial Narrow"/>
                <w:sz w:val="20"/>
                <w:szCs w:val="20"/>
              </w:rPr>
              <w:t>Patient must be eligible for continuing PBS-subsidised treatment with nusinersen for this condition</w:t>
            </w:r>
          </w:p>
        </w:tc>
      </w:tr>
      <w:tr w:rsidR="00A705BF" w:rsidRPr="009D04B0" w14:paraId="25731C02"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52E645F" w14:textId="77777777" w:rsidR="00A705BF" w:rsidRPr="00C723B2" w:rsidRDefault="00A705BF" w:rsidP="00D419D5">
            <w:pPr>
              <w:jc w:val="center"/>
              <w:rPr>
                <w:rFonts w:ascii="Arial Narrow" w:hAnsi="Arial Narrow"/>
                <w:color w:val="333333"/>
                <w:sz w:val="20"/>
                <w:szCs w:val="20"/>
              </w:rPr>
            </w:pPr>
          </w:p>
        </w:tc>
        <w:tc>
          <w:tcPr>
            <w:tcW w:w="7654" w:type="dxa"/>
            <w:gridSpan w:val="6"/>
            <w:vAlign w:val="center"/>
          </w:tcPr>
          <w:p w14:paraId="1FCD639C"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bCs/>
                <w:color w:val="333333"/>
                <w:sz w:val="20"/>
                <w:szCs w:val="20"/>
              </w:rPr>
              <w:t>AND</w:t>
            </w:r>
          </w:p>
        </w:tc>
      </w:tr>
      <w:tr w:rsidR="00A171F7" w:rsidRPr="009D04B0" w14:paraId="02F8E094"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19736E3F" w14:textId="77777777" w:rsidR="00A171F7" w:rsidRPr="00C723B2" w:rsidRDefault="00A171F7" w:rsidP="00D419D5">
            <w:pPr>
              <w:jc w:val="center"/>
              <w:rPr>
                <w:rFonts w:ascii="Arial Narrow" w:hAnsi="Arial Narrow"/>
                <w:color w:val="333333"/>
                <w:sz w:val="20"/>
                <w:szCs w:val="20"/>
              </w:rPr>
            </w:pPr>
          </w:p>
        </w:tc>
        <w:tc>
          <w:tcPr>
            <w:tcW w:w="7654" w:type="dxa"/>
            <w:gridSpan w:val="6"/>
            <w:vAlign w:val="center"/>
          </w:tcPr>
          <w:p w14:paraId="7C59254C" w14:textId="7C7162FD" w:rsidR="00A171F7" w:rsidRPr="00C723B2" w:rsidRDefault="00A171F7" w:rsidP="00D419D5">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A705BF" w:rsidRPr="009D04B0" w14:paraId="5086A0F7"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C064561" w14:textId="385DACDA" w:rsidR="00A705BF" w:rsidRPr="00C723B2" w:rsidRDefault="00A705BF" w:rsidP="00D419D5">
            <w:pPr>
              <w:jc w:val="center"/>
              <w:rPr>
                <w:rFonts w:ascii="Arial Narrow" w:hAnsi="Arial Narrow"/>
                <w:sz w:val="20"/>
                <w:szCs w:val="20"/>
              </w:rPr>
            </w:pPr>
          </w:p>
        </w:tc>
        <w:tc>
          <w:tcPr>
            <w:tcW w:w="7654" w:type="dxa"/>
            <w:gridSpan w:val="6"/>
            <w:vAlign w:val="center"/>
          </w:tcPr>
          <w:p w14:paraId="27A06D1C" w14:textId="77777777" w:rsidR="00A705BF" w:rsidRPr="00C723B2" w:rsidRDefault="00A705BF" w:rsidP="00D419D5">
            <w:pPr>
              <w:keepLines/>
              <w:rPr>
                <w:rFonts w:ascii="Arial Narrow" w:hAnsi="Arial Narrow"/>
                <w:color w:val="333333"/>
                <w:sz w:val="20"/>
                <w:szCs w:val="20"/>
              </w:rPr>
            </w:pPr>
            <w:r w:rsidRPr="00C723B2">
              <w:rPr>
                <w:rFonts w:ascii="Arial Narrow" w:hAnsi="Arial Narrow"/>
                <w:color w:val="333333"/>
                <w:sz w:val="20"/>
                <w:szCs w:val="20"/>
              </w:rPr>
              <w:t>The treatment must not be in combination with PBS-subsidised treatment with nusinersen for this condition</w:t>
            </w:r>
          </w:p>
        </w:tc>
      </w:tr>
      <w:tr w:rsidR="00A705BF" w:rsidRPr="009D04B0" w14:paraId="0D18E1B6"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7D9FCBF" w14:textId="77777777" w:rsidR="00A705BF" w:rsidRPr="00C723B2" w:rsidRDefault="00A705BF" w:rsidP="00D419D5">
            <w:pPr>
              <w:jc w:val="center"/>
              <w:rPr>
                <w:rFonts w:ascii="Arial Narrow" w:hAnsi="Arial Narrow"/>
                <w:sz w:val="20"/>
                <w:szCs w:val="20"/>
              </w:rPr>
            </w:pPr>
          </w:p>
        </w:tc>
        <w:tc>
          <w:tcPr>
            <w:tcW w:w="7654" w:type="dxa"/>
            <w:gridSpan w:val="6"/>
            <w:vAlign w:val="center"/>
          </w:tcPr>
          <w:p w14:paraId="60C1FD22" w14:textId="77777777" w:rsidR="00A705BF" w:rsidRPr="00C723B2" w:rsidRDefault="00A705BF" w:rsidP="00D419D5">
            <w:pPr>
              <w:keepLines/>
              <w:rPr>
                <w:rFonts w:ascii="Arial Narrow" w:hAnsi="Arial Narrow"/>
                <w:b/>
                <w:bCs/>
                <w:color w:val="333333"/>
                <w:sz w:val="20"/>
                <w:szCs w:val="20"/>
              </w:rPr>
            </w:pPr>
            <w:r w:rsidRPr="00C723B2">
              <w:rPr>
                <w:rFonts w:ascii="Arial Narrow" w:hAnsi="Arial Narrow"/>
                <w:b/>
                <w:bCs/>
                <w:color w:val="333333"/>
                <w:sz w:val="20"/>
                <w:szCs w:val="20"/>
              </w:rPr>
              <w:t>AND</w:t>
            </w:r>
          </w:p>
        </w:tc>
      </w:tr>
      <w:tr w:rsidR="00A171F7" w:rsidRPr="009D04B0" w14:paraId="386B1024"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7963D529" w14:textId="7CBCF50B" w:rsidR="00A171F7" w:rsidRPr="00C723B2" w:rsidRDefault="00A171F7" w:rsidP="00D419D5">
            <w:pPr>
              <w:jc w:val="center"/>
              <w:rPr>
                <w:rFonts w:ascii="Arial Narrow" w:hAnsi="Arial Narrow"/>
                <w:sz w:val="20"/>
                <w:szCs w:val="20"/>
              </w:rPr>
            </w:pPr>
          </w:p>
        </w:tc>
        <w:tc>
          <w:tcPr>
            <w:tcW w:w="7654" w:type="dxa"/>
            <w:gridSpan w:val="6"/>
            <w:vAlign w:val="center"/>
          </w:tcPr>
          <w:p w14:paraId="05F58E91" w14:textId="32AB8A62" w:rsidR="00A171F7" w:rsidRPr="00C723B2" w:rsidRDefault="00A171F7" w:rsidP="00D419D5">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A705BF" w:rsidRPr="009D04B0" w14:paraId="173A0D33"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E97CD3A" w14:textId="78119CA1"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70A8CFD5" w14:textId="77777777" w:rsidR="00A705BF" w:rsidRPr="00C723B2" w:rsidRDefault="00A705BF" w:rsidP="00D419D5">
            <w:pPr>
              <w:rPr>
                <w:rFonts w:ascii="Arial Narrow" w:hAnsi="Arial Narrow"/>
                <w:sz w:val="20"/>
                <w:szCs w:val="20"/>
              </w:rPr>
            </w:pPr>
            <w:r w:rsidRPr="00C723B2">
              <w:rPr>
                <w:rFonts w:ascii="Arial Narrow" w:hAnsi="Arial Narrow"/>
                <w:sz w:val="20"/>
                <w:szCs w:val="20"/>
              </w:rPr>
              <w:t>The treatment must be given concomitantly with best supportive care for this condition</w:t>
            </w:r>
          </w:p>
        </w:tc>
      </w:tr>
      <w:tr w:rsidR="00A171F7" w:rsidRPr="009D04B0" w14:paraId="59E75CB0"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432FA50" w14:textId="77777777" w:rsidR="00A171F7" w:rsidRPr="00C723B2" w:rsidRDefault="00A171F7" w:rsidP="00D419D5">
            <w:pPr>
              <w:keepLines/>
              <w:jc w:val="center"/>
              <w:rPr>
                <w:rFonts w:ascii="Arial Narrow" w:hAnsi="Arial Narrow"/>
                <w:sz w:val="20"/>
                <w:szCs w:val="20"/>
              </w:rPr>
            </w:pPr>
          </w:p>
        </w:tc>
        <w:tc>
          <w:tcPr>
            <w:tcW w:w="7654" w:type="dxa"/>
            <w:gridSpan w:val="6"/>
            <w:vAlign w:val="center"/>
          </w:tcPr>
          <w:p w14:paraId="72B9B87C" w14:textId="3D07E5A6" w:rsidR="00A171F7" w:rsidRPr="00A171F7" w:rsidRDefault="00A171F7" w:rsidP="00D419D5">
            <w:pPr>
              <w:rPr>
                <w:rFonts w:ascii="Arial Narrow" w:hAnsi="Arial Narrow"/>
                <w:b/>
                <w:bCs/>
                <w:sz w:val="20"/>
                <w:szCs w:val="20"/>
              </w:rPr>
            </w:pPr>
            <w:r w:rsidRPr="00A171F7">
              <w:rPr>
                <w:rFonts w:ascii="Arial Narrow" w:hAnsi="Arial Narrow"/>
                <w:b/>
                <w:bCs/>
                <w:sz w:val="20"/>
                <w:szCs w:val="20"/>
              </w:rPr>
              <w:t>AND</w:t>
            </w:r>
          </w:p>
        </w:tc>
      </w:tr>
      <w:tr w:rsidR="00A923AC" w:rsidRPr="00F77994" w14:paraId="7C64D8AA"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734D9812" w14:textId="56B2D395" w:rsidR="00A923AC" w:rsidRPr="00F77994" w:rsidRDefault="00A923AC" w:rsidP="00163E11">
            <w:pPr>
              <w:keepLines/>
              <w:jc w:val="center"/>
              <w:rPr>
                <w:rFonts w:ascii="Arial Narrow" w:hAnsi="Arial Narrow"/>
                <w:sz w:val="20"/>
                <w:szCs w:val="20"/>
              </w:rPr>
            </w:pPr>
          </w:p>
        </w:tc>
        <w:tc>
          <w:tcPr>
            <w:tcW w:w="7654" w:type="dxa"/>
            <w:gridSpan w:val="6"/>
            <w:vAlign w:val="center"/>
          </w:tcPr>
          <w:p w14:paraId="02CFE3DA" w14:textId="77777777" w:rsidR="00A923AC" w:rsidRPr="00F77994" w:rsidRDefault="00A923AC" w:rsidP="00163E11">
            <w:pPr>
              <w:rPr>
                <w:rFonts w:ascii="Arial Narrow" w:hAnsi="Arial Narrow"/>
                <w:sz w:val="20"/>
                <w:szCs w:val="20"/>
              </w:rPr>
            </w:pPr>
            <w:r w:rsidRPr="00F77994">
              <w:rPr>
                <w:rFonts w:ascii="Arial Narrow" w:hAnsi="Arial Narrow"/>
                <w:b/>
                <w:bCs/>
                <w:color w:val="333333"/>
                <w:sz w:val="20"/>
                <w:szCs w:val="20"/>
              </w:rPr>
              <w:t>Clinical criteria:</w:t>
            </w:r>
          </w:p>
        </w:tc>
      </w:tr>
      <w:tr w:rsidR="00A923AC" w:rsidRPr="00F77994" w14:paraId="3F39A83D"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3D8F3FC" w14:textId="256BE827" w:rsidR="00A923AC" w:rsidRPr="00F77994" w:rsidRDefault="00A923AC" w:rsidP="00163E11">
            <w:pPr>
              <w:keepLines/>
              <w:jc w:val="center"/>
              <w:rPr>
                <w:rFonts w:ascii="Arial Narrow" w:hAnsi="Arial Narrow"/>
                <w:sz w:val="20"/>
                <w:szCs w:val="20"/>
              </w:rPr>
            </w:pPr>
          </w:p>
        </w:tc>
        <w:tc>
          <w:tcPr>
            <w:tcW w:w="7654" w:type="dxa"/>
            <w:gridSpan w:val="6"/>
            <w:vAlign w:val="center"/>
          </w:tcPr>
          <w:p w14:paraId="7514EF9F" w14:textId="77777777" w:rsidR="00A923AC" w:rsidRPr="00F77994" w:rsidRDefault="00A923AC" w:rsidP="00163E11">
            <w:pPr>
              <w:rPr>
                <w:rFonts w:ascii="Arial Narrow" w:hAnsi="Arial Narrow"/>
                <w:sz w:val="20"/>
                <w:szCs w:val="20"/>
              </w:rPr>
            </w:pPr>
            <w:r w:rsidRPr="00F77994">
              <w:rPr>
                <w:rFonts w:ascii="Arial Narrow" w:hAnsi="Arial Narrow"/>
                <w:sz w:val="20"/>
                <w:szCs w:val="20"/>
              </w:rPr>
              <w:t>The treatment must be ceased when invasive permanent assisted ventilation is required in the absence of a potentially reversible cause while being treated with this drug</w:t>
            </w:r>
          </w:p>
        </w:tc>
      </w:tr>
      <w:tr w:rsidR="00A171F7" w:rsidRPr="00F77994" w14:paraId="250485B8"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24120879" w14:textId="77777777" w:rsidR="00A171F7" w:rsidRPr="00F77994" w:rsidRDefault="00A171F7" w:rsidP="00163E11">
            <w:pPr>
              <w:keepLines/>
              <w:jc w:val="center"/>
              <w:rPr>
                <w:rFonts w:ascii="Arial Narrow" w:hAnsi="Arial Narrow"/>
                <w:sz w:val="20"/>
                <w:szCs w:val="20"/>
              </w:rPr>
            </w:pPr>
          </w:p>
        </w:tc>
        <w:tc>
          <w:tcPr>
            <w:tcW w:w="7654" w:type="dxa"/>
            <w:gridSpan w:val="6"/>
            <w:vAlign w:val="center"/>
          </w:tcPr>
          <w:p w14:paraId="62DBCAEB" w14:textId="77777777" w:rsidR="00A171F7" w:rsidRPr="00F77994" w:rsidRDefault="00A171F7" w:rsidP="00163E11">
            <w:pPr>
              <w:rPr>
                <w:rFonts w:ascii="Arial Narrow" w:hAnsi="Arial Narrow"/>
                <w:sz w:val="20"/>
                <w:szCs w:val="20"/>
              </w:rPr>
            </w:pPr>
          </w:p>
        </w:tc>
      </w:tr>
      <w:tr w:rsidR="00A923AC" w:rsidRPr="00F77994" w14:paraId="686D7C90"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729F7B2E" w14:textId="37B5DEA9" w:rsidR="00A923AC" w:rsidRPr="00F77994" w:rsidRDefault="00A923AC" w:rsidP="00163E11">
            <w:pPr>
              <w:keepLines/>
              <w:jc w:val="center"/>
              <w:rPr>
                <w:rFonts w:ascii="Arial Narrow" w:hAnsi="Arial Narrow"/>
                <w:sz w:val="20"/>
                <w:szCs w:val="20"/>
              </w:rPr>
            </w:pPr>
          </w:p>
        </w:tc>
        <w:tc>
          <w:tcPr>
            <w:tcW w:w="7653" w:type="dxa"/>
            <w:gridSpan w:val="6"/>
            <w:vAlign w:val="center"/>
          </w:tcPr>
          <w:p w14:paraId="6B459B8E" w14:textId="77777777" w:rsidR="00A923AC" w:rsidRPr="00F77994" w:rsidRDefault="00A923AC" w:rsidP="00163E11">
            <w:pPr>
              <w:rPr>
                <w:rFonts w:ascii="Arial Narrow" w:hAnsi="Arial Narrow"/>
                <w:b/>
                <w:bCs/>
                <w:sz w:val="20"/>
                <w:szCs w:val="20"/>
              </w:rPr>
            </w:pPr>
            <w:r w:rsidRPr="00F77994">
              <w:rPr>
                <w:rFonts w:ascii="Arial Narrow" w:hAnsi="Arial Narrow"/>
                <w:b/>
                <w:bCs/>
                <w:sz w:val="20"/>
                <w:szCs w:val="20"/>
              </w:rPr>
              <w:t>Population Criteria:</w:t>
            </w:r>
          </w:p>
        </w:tc>
      </w:tr>
      <w:tr w:rsidR="00A923AC" w:rsidRPr="00F77994" w14:paraId="2A8DC078"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B508265" w14:textId="572BBF9A" w:rsidR="00A923AC" w:rsidRPr="00F77994" w:rsidRDefault="00A923AC" w:rsidP="00163E11">
            <w:pPr>
              <w:keepLines/>
              <w:jc w:val="center"/>
              <w:rPr>
                <w:rFonts w:ascii="Arial Narrow" w:hAnsi="Arial Narrow"/>
                <w:sz w:val="20"/>
                <w:szCs w:val="20"/>
              </w:rPr>
            </w:pPr>
          </w:p>
        </w:tc>
        <w:tc>
          <w:tcPr>
            <w:tcW w:w="7653" w:type="dxa"/>
            <w:gridSpan w:val="6"/>
            <w:vAlign w:val="center"/>
          </w:tcPr>
          <w:p w14:paraId="6AA72D9D" w14:textId="77777777" w:rsidR="00A923AC" w:rsidRPr="00F77994" w:rsidRDefault="00A923AC" w:rsidP="00163E11">
            <w:pPr>
              <w:rPr>
                <w:rFonts w:ascii="Arial Narrow" w:hAnsi="Arial Narrow"/>
                <w:sz w:val="20"/>
                <w:szCs w:val="20"/>
              </w:rPr>
            </w:pPr>
            <w:r w:rsidRPr="00F77994">
              <w:rPr>
                <w:rFonts w:ascii="Arial Narrow" w:hAnsi="Arial Narrow"/>
                <w:sz w:val="20"/>
                <w:szCs w:val="20"/>
              </w:rPr>
              <w:t>Patient must have been 18 years of age or younger at the time of initial treatment with this drug</w:t>
            </w:r>
          </w:p>
        </w:tc>
      </w:tr>
      <w:tr w:rsidR="00A923AC" w:rsidRPr="009D04B0" w14:paraId="44D3576F"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54C11D0" w14:textId="77777777" w:rsidR="00A923AC" w:rsidRPr="00C723B2" w:rsidRDefault="00A923AC" w:rsidP="00D419D5">
            <w:pPr>
              <w:keepLines/>
              <w:jc w:val="center"/>
              <w:rPr>
                <w:rFonts w:ascii="Arial Narrow" w:hAnsi="Arial Narrow"/>
                <w:sz w:val="20"/>
                <w:szCs w:val="20"/>
              </w:rPr>
            </w:pPr>
          </w:p>
        </w:tc>
        <w:tc>
          <w:tcPr>
            <w:tcW w:w="7654" w:type="dxa"/>
            <w:gridSpan w:val="6"/>
            <w:vAlign w:val="center"/>
          </w:tcPr>
          <w:p w14:paraId="12543DCB" w14:textId="77777777" w:rsidR="00A923AC" w:rsidRPr="00C723B2" w:rsidRDefault="00A923AC" w:rsidP="00D419D5">
            <w:pPr>
              <w:rPr>
                <w:rFonts w:ascii="Arial Narrow" w:hAnsi="Arial Narrow"/>
                <w:sz w:val="20"/>
                <w:szCs w:val="20"/>
              </w:rPr>
            </w:pPr>
          </w:p>
        </w:tc>
      </w:tr>
      <w:tr w:rsidR="00A705BF" w:rsidRPr="009D04B0" w14:paraId="5420F75C"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291929E2" w14:textId="77777777" w:rsidR="00A705BF" w:rsidRPr="00C723B2" w:rsidRDefault="00A705BF" w:rsidP="00D419D5">
            <w:pPr>
              <w:keepLines/>
              <w:jc w:val="center"/>
              <w:rPr>
                <w:rFonts w:ascii="Arial Narrow" w:hAnsi="Arial Narrow"/>
                <w:sz w:val="20"/>
                <w:szCs w:val="20"/>
              </w:rPr>
            </w:pPr>
          </w:p>
        </w:tc>
        <w:tc>
          <w:tcPr>
            <w:tcW w:w="7654" w:type="dxa"/>
            <w:gridSpan w:val="6"/>
            <w:vAlign w:val="center"/>
          </w:tcPr>
          <w:p w14:paraId="45687A19" w14:textId="77777777" w:rsidR="00A705BF" w:rsidRPr="00C723B2" w:rsidRDefault="00A705BF" w:rsidP="00D419D5">
            <w:pPr>
              <w:rPr>
                <w:rFonts w:ascii="Arial Narrow" w:hAnsi="Arial Narrow"/>
                <w:sz w:val="20"/>
                <w:szCs w:val="20"/>
              </w:rPr>
            </w:pPr>
            <w:r w:rsidRPr="00C723B2">
              <w:rPr>
                <w:rFonts w:ascii="Arial Narrow" w:hAnsi="Arial Narrow"/>
                <w:b/>
                <w:bCs/>
                <w:sz w:val="20"/>
                <w:szCs w:val="20"/>
              </w:rPr>
              <w:t>Prescriber instructions</w:t>
            </w:r>
          </w:p>
        </w:tc>
      </w:tr>
      <w:tr w:rsidR="00A705BF" w:rsidRPr="009D04B0" w14:paraId="065A33DF"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FBE5BF1" w14:textId="4462585A"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14D9E606" w14:textId="77777777" w:rsidR="00A705BF" w:rsidRPr="00C723B2" w:rsidRDefault="00A705BF" w:rsidP="00D419D5">
            <w:pPr>
              <w:rPr>
                <w:rFonts w:ascii="Arial Narrow" w:hAnsi="Arial Narrow"/>
                <w:sz w:val="20"/>
                <w:szCs w:val="20"/>
              </w:rPr>
            </w:pPr>
            <w:r w:rsidRPr="00C723B2">
              <w:rPr>
                <w:rFonts w:ascii="Arial Narrow" w:hAnsi="Arial Narrow"/>
                <w:sz w:val="20"/>
                <w:szCs w:val="20"/>
              </w:rPr>
              <w:t>Invasive permanent assisted ventilation means ventilation via tracheostomy tube for greater than or equal to 16 hours per day.</w:t>
            </w:r>
          </w:p>
        </w:tc>
      </w:tr>
      <w:tr w:rsidR="00A705BF" w:rsidRPr="009D04B0" w14:paraId="0DFA52F0" w14:textId="77777777" w:rsidTr="00A923AC">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D84B49F" w14:textId="0BE453A2" w:rsidR="00A705BF" w:rsidRPr="00C723B2" w:rsidRDefault="00A705BF" w:rsidP="00D419D5">
            <w:pPr>
              <w:keepLines/>
              <w:jc w:val="center"/>
              <w:rPr>
                <w:rFonts w:ascii="Arial Narrow" w:hAnsi="Arial Narrow"/>
                <w:color w:val="333333"/>
                <w:sz w:val="20"/>
                <w:szCs w:val="20"/>
              </w:rPr>
            </w:pPr>
          </w:p>
        </w:tc>
        <w:tc>
          <w:tcPr>
            <w:tcW w:w="7654" w:type="dxa"/>
            <w:gridSpan w:val="6"/>
            <w:vAlign w:val="center"/>
          </w:tcPr>
          <w:p w14:paraId="771223F5" w14:textId="77777777" w:rsidR="00A705BF" w:rsidRPr="00C723B2" w:rsidRDefault="00A705BF" w:rsidP="00D419D5">
            <w:pPr>
              <w:rPr>
                <w:rFonts w:ascii="Arial Narrow" w:hAnsi="Arial Narrow"/>
                <w:sz w:val="20"/>
                <w:szCs w:val="20"/>
              </w:rPr>
            </w:pPr>
            <w:r w:rsidRPr="00C723B2">
              <w:rPr>
                <w:rFonts w:ascii="Arial Narrow" w:hAnsi="Arial Narrow"/>
                <w:sz w:val="20"/>
                <w:szCs w:val="20"/>
              </w:rPr>
              <w:t>In a patient who wishes to switch from PBS-subsidised nusinersen to PBS-subsidised risdiplam for this condition a wash out period may be required.</w:t>
            </w:r>
          </w:p>
        </w:tc>
      </w:tr>
    </w:tbl>
    <w:p w14:paraId="77C8D733" w14:textId="77777777" w:rsidR="00753B29" w:rsidRPr="00C61670" w:rsidRDefault="00753B29" w:rsidP="00753B29"/>
    <w:p w14:paraId="5DCB462F" w14:textId="77777777" w:rsidR="00A923AC" w:rsidRDefault="00A923AC" w:rsidP="00A923AC">
      <w:r>
        <w:t>Flow on to “switch” listing for Zolgensma® (</w:t>
      </w:r>
      <w:r w:rsidRPr="0020275E">
        <w:rPr>
          <w:rFonts w:asciiTheme="minorHAnsi" w:hAnsiTheme="minorHAnsi" w:cstheme="minorHAnsi"/>
          <w:color w:val="333333"/>
          <w:sz w:val="22"/>
          <w:szCs w:val="22"/>
        </w:rPr>
        <w:t>onasemnogene abeparvovec</w:t>
      </w:r>
      <w:r>
        <w:rPr>
          <w:rFonts w:asciiTheme="minorHAnsi" w:hAnsiTheme="minorHAnsi" w:cstheme="minorHAnsi"/>
          <w:color w:val="333333"/>
          <w:sz w:val="22"/>
          <w:szCs w:val="22"/>
        </w:rPr>
        <w:t>)</w:t>
      </w:r>
    </w:p>
    <w:p w14:paraId="5A505084" w14:textId="77777777" w:rsidR="00A923AC" w:rsidRDefault="00A923AC" w:rsidP="00A923AC"/>
    <w:p w14:paraId="31E52C1A" w14:textId="77777777" w:rsidR="00A923AC" w:rsidRDefault="00A923AC" w:rsidP="00A923AC">
      <w:pPr>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 xml:space="preserve">Amend the </w:t>
      </w:r>
      <w:r w:rsidRPr="005D4A4F">
        <w:rPr>
          <w:rFonts w:asciiTheme="minorHAnsi" w:hAnsiTheme="minorHAnsi" w:cstheme="minorHAnsi"/>
          <w:b/>
          <w:bCs/>
          <w:sz w:val="22"/>
          <w:szCs w:val="22"/>
          <w:bdr w:val="none" w:sz="0" w:space="0" w:color="auto" w:frame="1"/>
        </w:rPr>
        <w:t>Treatment Phase</w:t>
      </w:r>
      <w:r>
        <w:rPr>
          <w:rFonts w:asciiTheme="minorHAnsi" w:hAnsiTheme="minorHAnsi" w:cstheme="minorHAnsi"/>
          <w:b/>
          <w:bCs/>
          <w:sz w:val="22"/>
          <w:szCs w:val="22"/>
          <w:bdr w:val="none" w:sz="0" w:space="0" w:color="auto" w:frame="1"/>
        </w:rPr>
        <w:t xml:space="preserve"> (as per 1 August listing) to include risdiplam (currently only allows switch from nusinersen to zolgensma). </w:t>
      </w:r>
    </w:p>
    <w:p w14:paraId="3FD9A3AF" w14:textId="77777777" w:rsidR="00A923AC" w:rsidRDefault="00A923AC" w:rsidP="00A923AC">
      <w:pPr>
        <w:rPr>
          <w:rFonts w:asciiTheme="minorHAnsi" w:hAnsiTheme="minorHAnsi" w:cstheme="minorHAnsi"/>
          <w:b/>
          <w:bCs/>
          <w:sz w:val="22"/>
          <w:szCs w:val="22"/>
          <w:bdr w:val="none" w:sz="0" w:space="0" w:color="auto" w:frame="1"/>
        </w:rPr>
      </w:pPr>
    </w:p>
    <w:p w14:paraId="1B6939EE" w14:textId="28DD0598" w:rsidR="00A923AC" w:rsidRPr="00375AB1" w:rsidRDefault="00A923AC" w:rsidP="00A923AC">
      <w:pPr>
        <w:rPr>
          <w:rFonts w:asciiTheme="minorHAnsi" w:hAnsiTheme="minorHAnsi" w:cstheme="minorHAnsi"/>
          <w:b/>
          <w:bCs/>
          <w:sz w:val="22"/>
          <w:szCs w:val="22"/>
          <w:u w:val="single"/>
        </w:rPr>
      </w:pPr>
      <w:r>
        <w:rPr>
          <w:rFonts w:asciiTheme="minorHAnsi" w:hAnsiTheme="minorHAnsi" w:cstheme="minorHAnsi"/>
          <w:b/>
          <w:bCs/>
          <w:sz w:val="22"/>
          <w:szCs w:val="22"/>
          <w:bdr w:val="none" w:sz="0" w:space="0" w:color="auto" w:frame="1"/>
        </w:rPr>
        <w:t>Treatment phase:</w:t>
      </w:r>
      <w:r w:rsidRPr="005D4A4F">
        <w:rPr>
          <w:rFonts w:asciiTheme="minorHAnsi" w:hAnsiTheme="minorHAnsi" w:cstheme="minorHAnsi"/>
          <w:sz w:val="22"/>
          <w:szCs w:val="22"/>
        </w:rPr>
        <w:t xml:space="preserve"> </w:t>
      </w:r>
      <w:r w:rsidRPr="00375AB1">
        <w:rPr>
          <w:rFonts w:asciiTheme="minorHAnsi" w:hAnsiTheme="minorHAnsi" w:cstheme="minorHAnsi"/>
          <w:color w:val="333333"/>
          <w:sz w:val="22"/>
          <w:szCs w:val="22"/>
        </w:rPr>
        <w:t>Use occurring after treatment with at least one disease modifying therapy for this condition (i.e. switching from nusinersen</w:t>
      </w:r>
      <w:r>
        <w:rPr>
          <w:rFonts w:asciiTheme="minorHAnsi" w:hAnsiTheme="minorHAnsi" w:cstheme="minorHAnsi"/>
          <w:color w:val="333333"/>
          <w:sz w:val="22"/>
          <w:szCs w:val="22"/>
        </w:rPr>
        <w:t>/risdiplam</w:t>
      </w:r>
      <w:r w:rsidR="00F31C5E">
        <w:rPr>
          <w:rFonts w:asciiTheme="minorHAnsi" w:hAnsiTheme="minorHAnsi" w:cstheme="minorHAnsi"/>
          <w:color w:val="333333"/>
          <w:sz w:val="22"/>
          <w:szCs w:val="22"/>
        </w:rPr>
        <w:t xml:space="preserve"> </w:t>
      </w:r>
      <w:r w:rsidRPr="00375AB1">
        <w:rPr>
          <w:rFonts w:asciiTheme="minorHAnsi" w:hAnsiTheme="minorHAnsi" w:cstheme="minorHAnsi"/>
          <w:color w:val="333333"/>
          <w:sz w:val="22"/>
          <w:szCs w:val="22"/>
        </w:rPr>
        <w:t>to onasemnogene abeparvovec)</w:t>
      </w:r>
    </w:p>
    <w:p w14:paraId="2EE032A2" w14:textId="77777777" w:rsidR="00A923AC" w:rsidRPr="00DC5A45" w:rsidRDefault="00A923AC" w:rsidP="00A923AC">
      <w:pPr>
        <w:pStyle w:val="ListParagraph"/>
        <w:numPr>
          <w:ilvl w:val="0"/>
          <w:numId w:val="28"/>
        </w:numPr>
        <w:spacing w:after="0"/>
        <w:contextualSpacing/>
        <w:jc w:val="left"/>
        <w:rPr>
          <w:rFonts w:cstheme="minorHAnsi"/>
          <w:i/>
          <w:iCs/>
          <w:sz w:val="22"/>
          <w:szCs w:val="22"/>
        </w:rPr>
      </w:pPr>
      <w:r w:rsidRPr="00DC5A45">
        <w:rPr>
          <w:rFonts w:cstheme="minorHAnsi"/>
          <w:b/>
          <w:bCs/>
          <w:i/>
          <w:iCs/>
          <w:sz w:val="22"/>
          <w:szCs w:val="22"/>
        </w:rPr>
        <w:t>Th</w:t>
      </w:r>
      <w:r>
        <w:rPr>
          <w:rFonts w:cstheme="minorHAnsi"/>
          <w:b/>
          <w:bCs/>
          <w:i/>
          <w:iCs/>
          <w:sz w:val="22"/>
          <w:szCs w:val="22"/>
        </w:rPr>
        <w:t>e</w:t>
      </w:r>
      <w:r w:rsidRPr="00DC5A45">
        <w:rPr>
          <w:rFonts w:cstheme="minorHAnsi"/>
          <w:b/>
          <w:bCs/>
          <w:i/>
          <w:iCs/>
          <w:sz w:val="22"/>
          <w:szCs w:val="22"/>
        </w:rPr>
        <w:t xml:space="preserve"> </w:t>
      </w:r>
      <w:r>
        <w:rPr>
          <w:rFonts w:cstheme="minorHAnsi"/>
          <w:b/>
          <w:bCs/>
          <w:i/>
          <w:iCs/>
          <w:sz w:val="22"/>
          <w:szCs w:val="22"/>
        </w:rPr>
        <w:t>restriction</w:t>
      </w:r>
      <w:r w:rsidRPr="00DC5A45">
        <w:rPr>
          <w:rFonts w:cstheme="minorHAnsi"/>
          <w:b/>
          <w:bCs/>
          <w:i/>
          <w:iCs/>
          <w:sz w:val="22"/>
          <w:szCs w:val="22"/>
        </w:rPr>
        <w:t xml:space="preserve"> sit</w:t>
      </w:r>
      <w:r>
        <w:rPr>
          <w:rFonts w:cstheme="minorHAnsi"/>
          <w:b/>
          <w:bCs/>
          <w:i/>
          <w:iCs/>
          <w:sz w:val="22"/>
          <w:szCs w:val="22"/>
        </w:rPr>
        <w:t>s</w:t>
      </w:r>
      <w:r w:rsidRPr="00DC5A45">
        <w:rPr>
          <w:rFonts w:cstheme="minorHAnsi"/>
          <w:b/>
          <w:bCs/>
          <w:i/>
          <w:iCs/>
          <w:sz w:val="22"/>
          <w:szCs w:val="22"/>
        </w:rPr>
        <w:t xml:space="preserve"> under the PBS item codes for 3 copies of SMN2 gene as below: </w:t>
      </w:r>
    </w:p>
    <w:p w14:paraId="6A033C27" w14:textId="77777777" w:rsidR="00A923AC" w:rsidRPr="00DC5A45" w:rsidRDefault="00A923AC" w:rsidP="00FF3B53">
      <w:pPr>
        <w:pStyle w:val="ListParagraph"/>
        <w:numPr>
          <w:ilvl w:val="0"/>
          <w:numId w:val="0"/>
        </w:numPr>
        <w:ind w:left="1080"/>
        <w:rPr>
          <w:rFonts w:cstheme="minorHAnsi"/>
          <w:i/>
          <w:iCs/>
          <w:sz w:val="22"/>
          <w:szCs w:val="22"/>
        </w:rPr>
      </w:pPr>
      <w:r w:rsidRPr="00DC5A45">
        <w:rPr>
          <w:rFonts w:cstheme="minorHAnsi"/>
          <w:i/>
          <w:iCs/>
          <w:sz w:val="22"/>
          <w:szCs w:val="22"/>
        </w:rPr>
        <w:t>13674Q 13663D 13671M 13678X 13669K 13670L 13665F 13682D 13672N 13667H 13683E 13680B 13664E 13681C 13677W 13675R 13679Y 13662C 13673P 13668J 13666G 13676T</w:t>
      </w:r>
    </w:p>
    <w:p w14:paraId="156B7757" w14:textId="77777777" w:rsidR="00A923AC" w:rsidRDefault="00A923AC" w:rsidP="00FD3684">
      <w:pPr>
        <w:tabs>
          <w:tab w:val="left" w:pos="5501"/>
        </w:tabs>
        <w:rPr>
          <w:rFonts w:asciiTheme="minorHAnsi" w:hAnsiTheme="minorHAnsi"/>
          <w:b/>
          <w:i/>
          <w:szCs w:val="22"/>
        </w:rPr>
      </w:pPr>
    </w:p>
    <w:p w14:paraId="05A757E5" w14:textId="491A6A43" w:rsidR="00FD3684" w:rsidRDefault="00FD3684" w:rsidP="00FD3684">
      <w:pPr>
        <w:tabs>
          <w:tab w:val="left" w:pos="5501"/>
        </w:tabs>
        <w:rPr>
          <w:b/>
          <w:sz w:val="4"/>
          <w:szCs w:val="4"/>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p w14:paraId="0F9CE302" w14:textId="77777777" w:rsidR="006667BF" w:rsidRDefault="006667BF" w:rsidP="006667BF">
      <w:pPr>
        <w:tabs>
          <w:tab w:val="left" w:pos="1080"/>
        </w:tabs>
        <w:autoSpaceDE w:val="0"/>
        <w:autoSpaceDN w:val="0"/>
        <w:adjustRightInd w:val="0"/>
        <w:spacing w:after="120"/>
        <w:jc w:val="left"/>
        <w:rPr>
          <w:rFonts w:asciiTheme="minorHAnsi" w:hAnsiTheme="minorHAnsi" w:cstheme="minorHAnsi"/>
          <w:lang w:eastAsia="en-US"/>
        </w:rPr>
      </w:pPr>
    </w:p>
    <w:p w14:paraId="1DCC6821" w14:textId="77777777" w:rsidR="00DA0F51" w:rsidRPr="006E2A88" w:rsidRDefault="00DA0F51" w:rsidP="00DA0F51">
      <w:pPr>
        <w:keepNext/>
        <w:numPr>
          <w:ilvl w:val="0"/>
          <w:numId w:val="1"/>
        </w:numPr>
        <w:spacing w:before="240" w:after="120"/>
        <w:jc w:val="left"/>
        <w:outlineLvl w:val="0"/>
        <w:rPr>
          <w:rFonts w:asciiTheme="minorHAnsi" w:hAnsiTheme="minorHAnsi"/>
          <w:b/>
          <w:snapToGrid w:val="0"/>
          <w:sz w:val="32"/>
          <w:szCs w:val="32"/>
        </w:rPr>
      </w:pPr>
      <w:r w:rsidRPr="006E2A88">
        <w:rPr>
          <w:rFonts w:asciiTheme="minorHAnsi" w:hAnsiTheme="minorHAnsi"/>
          <w:b/>
          <w:snapToGrid w:val="0"/>
          <w:sz w:val="32"/>
          <w:szCs w:val="32"/>
        </w:rPr>
        <w:t>Context for Decision</w:t>
      </w:r>
    </w:p>
    <w:p w14:paraId="45C384D7" w14:textId="77777777" w:rsidR="00DA0F51" w:rsidRPr="006E2A88" w:rsidRDefault="00DA0F51" w:rsidP="00DA0F51">
      <w:pPr>
        <w:spacing w:after="120"/>
        <w:ind w:left="720"/>
        <w:rPr>
          <w:rFonts w:asciiTheme="minorHAnsi" w:hAnsiTheme="minorHAnsi"/>
          <w:bCs/>
          <w:lang w:val="en-GB"/>
        </w:rPr>
      </w:pPr>
      <w:r w:rsidRPr="006E2A88">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8CC178D" w14:textId="77777777" w:rsidR="00DA0F51" w:rsidRPr="006E2A88" w:rsidRDefault="00DA0F51" w:rsidP="00DA0F51">
      <w:pPr>
        <w:keepNext/>
        <w:numPr>
          <w:ilvl w:val="0"/>
          <w:numId w:val="1"/>
        </w:numPr>
        <w:spacing w:before="240" w:after="120"/>
        <w:jc w:val="left"/>
        <w:outlineLvl w:val="0"/>
        <w:rPr>
          <w:rFonts w:asciiTheme="minorHAnsi" w:hAnsiTheme="minorHAnsi"/>
          <w:b/>
          <w:snapToGrid w:val="0"/>
          <w:sz w:val="32"/>
          <w:szCs w:val="32"/>
        </w:rPr>
      </w:pPr>
      <w:r w:rsidRPr="006E2A88">
        <w:rPr>
          <w:rFonts w:asciiTheme="minorHAnsi" w:hAnsiTheme="minorHAnsi"/>
          <w:b/>
          <w:snapToGrid w:val="0"/>
          <w:sz w:val="32"/>
          <w:szCs w:val="32"/>
        </w:rPr>
        <w:t>Sponsor’s Comment</w:t>
      </w:r>
    </w:p>
    <w:p w14:paraId="329A1643" w14:textId="77777777" w:rsidR="00DA0F51" w:rsidRPr="006E2A88" w:rsidRDefault="00DA0F51" w:rsidP="00DA0F51">
      <w:pPr>
        <w:spacing w:after="120" w:line="276" w:lineRule="auto"/>
        <w:ind w:left="720"/>
        <w:rPr>
          <w:rFonts w:asciiTheme="minorHAnsi" w:eastAsiaTheme="minorHAnsi" w:hAnsiTheme="minorHAnsi"/>
          <w:bCs/>
          <w:szCs w:val="22"/>
          <w:lang w:eastAsia="en-US"/>
        </w:rPr>
      </w:pPr>
      <w:r w:rsidRPr="006E2A88">
        <w:rPr>
          <w:rFonts w:asciiTheme="minorHAnsi" w:eastAsiaTheme="minorHAnsi" w:hAnsiTheme="minorHAnsi"/>
          <w:bCs/>
          <w:szCs w:val="22"/>
          <w:lang w:eastAsia="en-US"/>
        </w:rPr>
        <w:t>The sponsor had no comment.</w:t>
      </w:r>
    </w:p>
    <w:p w14:paraId="46EF28A2" w14:textId="43B32988" w:rsidR="00753B29" w:rsidRPr="00C61670" w:rsidRDefault="00753B29">
      <w:pPr>
        <w:jc w:val="left"/>
        <w:rPr>
          <w:rFonts w:asciiTheme="minorHAnsi" w:hAnsiTheme="minorHAnsi"/>
          <w:b/>
          <w:snapToGrid w:val="0"/>
          <w:sz w:val="32"/>
          <w:szCs w:val="32"/>
        </w:rPr>
      </w:pPr>
    </w:p>
    <w:sectPr w:rsidR="00753B29" w:rsidRPr="00C61670" w:rsidSect="009E328D">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9C9EE" w14:textId="77777777" w:rsidR="00B66286" w:rsidRDefault="00B66286" w:rsidP="00124A51">
      <w:r>
        <w:separator/>
      </w:r>
    </w:p>
    <w:p w14:paraId="23647EBD" w14:textId="77777777" w:rsidR="00B66286" w:rsidRDefault="00B66286"/>
  </w:endnote>
  <w:endnote w:type="continuationSeparator" w:id="0">
    <w:p w14:paraId="0DCCE0C0" w14:textId="77777777" w:rsidR="00B66286" w:rsidRDefault="00B66286" w:rsidP="00124A51">
      <w:r>
        <w:continuationSeparator/>
      </w:r>
    </w:p>
    <w:p w14:paraId="07D6E585" w14:textId="77777777" w:rsidR="00B66286" w:rsidRDefault="00B6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3511" w14:textId="77777777" w:rsidR="00D843F2" w:rsidRDefault="00D843F2" w:rsidP="00753B29">
    <w:pPr>
      <w:pStyle w:val="Footer"/>
      <w:jc w:val="center"/>
    </w:pPr>
  </w:p>
  <w:p w14:paraId="37484CD3" w14:textId="17387009" w:rsidR="00D843F2" w:rsidRPr="007C1CD9" w:rsidRDefault="00A20CDB" w:rsidP="00753B29">
    <w:pPr>
      <w:pStyle w:val="Footer"/>
      <w:jc w:val="center"/>
    </w:pPr>
    <w:sdt>
      <w:sdtPr>
        <w:id w:val="1036156457"/>
        <w:docPartObj>
          <w:docPartGallery w:val="Page Numbers (Bottom of Page)"/>
          <w:docPartUnique/>
        </w:docPartObj>
      </w:sdtPr>
      <w:sdtEndPr>
        <w:rPr>
          <w:noProof/>
        </w:rPr>
      </w:sdtEndPr>
      <w:sdtContent>
        <w:r w:rsidR="00D843F2" w:rsidRPr="007366DD">
          <w:rPr>
            <w:b/>
            <w:bCs/>
          </w:rPr>
          <w:fldChar w:fldCharType="begin"/>
        </w:r>
        <w:r w:rsidR="00D843F2" w:rsidRPr="007366DD">
          <w:rPr>
            <w:b/>
            <w:bCs/>
          </w:rPr>
          <w:instrText xml:space="preserve"> PAGE   \* MERGEFORMAT </w:instrText>
        </w:r>
        <w:r w:rsidR="00D843F2" w:rsidRPr="007366DD">
          <w:rPr>
            <w:b/>
            <w:bCs/>
          </w:rPr>
          <w:fldChar w:fldCharType="separate"/>
        </w:r>
        <w:r w:rsidR="00D843F2" w:rsidRPr="007366DD">
          <w:rPr>
            <w:b/>
            <w:bCs/>
            <w:noProof/>
          </w:rPr>
          <w:t>2</w:t>
        </w:r>
        <w:r w:rsidR="00D843F2" w:rsidRPr="007366DD">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808ED" w14:textId="77777777" w:rsidR="00B66286" w:rsidRDefault="00B66286" w:rsidP="00124A51">
      <w:r>
        <w:separator/>
      </w:r>
    </w:p>
    <w:p w14:paraId="26AB7418" w14:textId="77777777" w:rsidR="00B66286" w:rsidRDefault="00B66286"/>
  </w:footnote>
  <w:footnote w:type="continuationSeparator" w:id="0">
    <w:p w14:paraId="5C7252D4" w14:textId="77777777" w:rsidR="00B66286" w:rsidRDefault="00B66286" w:rsidP="00124A51">
      <w:r>
        <w:continuationSeparator/>
      </w:r>
    </w:p>
    <w:p w14:paraId="28E08016" w14:textId="77777777" w:rsidR="00B66286" w:rsidRDefault="00B6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E204" w14:textId="37D7A6F3" w:rsidR="00D843F2" w:rsidRDefault="00CD2A6F" w:rsidP="00D822E2">
    <w:pPr>
      <w:pStyle w:val="Header"/>
      <w:rPr>
        <w:rFonts w:asciiTheme="minorHAnsi" w:hAnsiTheme="minorHAnsi"/>
        <w:i/>
      </w:rPr>
    </w:pPr>
    <w:bookmarkStart w:id="64" w:name="_Hlk175733429"/>
    <w:r w:rsidRPr="00CD2A6F">
      <w:rPr>
        <w:rFonts w:asciiTheme="minorHAnsi" w:hAnsiTheme="minorHAnsi"/>
        <w:i/>
      </w:rPr>
      <w:t>Public Summary Document</w:t>
    </w:r>
    <w:bookmarkEnd w:id="64"/>
    <w:r w:rsidRPr="00CD2A6F">
      <w:rPr>
        <w:rFonts w:asciiTheme="minorHAnsi" w:hAnsiTheme="minorHAnsi"/>
        <w:i/>
      </w:rPr>
      <w:t xml:space="preserve"> </w:t>
    </w:r>
    <w:r w:rsidR="007366DD" w:rsidRPr="00C6395C">
      <w:rPr>
        <w:rFonts w:asciiTheme="minorHAnsi" w:hAnsiTheme="minorHAnsi"/>
        <w:i/>
      </w:rPr>
      <w:t xml:space="preserve">– </w:t>
    </w:r>
    <w:r w:rsidR="0009780A" w:rsidRPr="00C6395C">
      <w:rPr>
        <w:rFonts w:asciiTheme="minorHAnsi" w:hAnsiTheme="minorHAnsi"/>
        <w:i/>
      </w:rPr>
      <w:t>July 2024</w:t>
    </w:r>
    <w:r w:rsidR="00D843F2" w:rsidRPr="00C6395C">
      <w:rPr>
        <w:rFonts w:asciiTheme="minorHAnsi" w:hAnsiTheme="minorHAnsi"/>
        <w:i/>
      </w:rPr>
      <w:t xml:space="preserve"> 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A04A4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6C0B17"/>
    <w:multiLevelType w:val="hybridMultilevel"/>
    <w:tmpl w:val="3BAA7586"/>
    <w:lvl w:ilvl="0" w:tplc="21F29A30">
      <w:start w:val="1"/>
      <w:numFmt w:val="bullet"/>
      <w:lvlText w:val=""/>
      <w:lvlJc w:val="left"/>
      <w:pPr>
        <w:ind w:left="720" w:hanging="360"/>
      </w:pPr>
      <w:rPr>
        <w:rFonts w:ascii="Symbol" w:hAnsi="Symbol"/>
      </w:rPr>
    </w:lvl>
    <w:lvl w:ilvl="1" w:tplc="8ECCA9AE">
      <w:start w:val="1"/>
      <w:numFmt w:val="bullet"/>
      <w:lvlText w:val=""/>
      <w:lvlJc w:val="left"/>
      <w:pPr>
        <w:ind w:left="720" w:hanging="360"/>
      </w:pPr>
      <w:rPr>
        <w:rFonts w:ascii="Symbol" w:hAnsi="Symbol"/>
      </w:rPr>
    </w:lvl>
    <w:lvl w:ilvl="2" w:tplc="1C043768">
      <w:start w:val="1"/>
      <w:numFmt w:val="bullet"/>
      <w:lvlText w:val=""/>
      <w:lvlJc w:val="left"/>
      <w:pPr>
        <w:ind w:left="720" w:hanging="360"/>
      </w:pPr>
      <w:rPr>
        <w:rFonts w:ascii="Symbol" w:hAnsi="Symbol"/>
      </w:rPr>
    </w:lvl>
    <w:lvl w:ilvl="3" w:tplc="241C88F8">
      <w:start w:val="1"/>
      <w:numFmt w:val="bullet"/>
      <w:lvlText w:val=""/>
      <w:lvlJc w:val="left"/>
      <w:pPr>
        <w:ind w:left="720" w:hanging="360"/>
      </w:pPr>
      <w:rPr>
        <w:rFonts w:ascii="Symbol" w:hAnsi="Symbol"/>
      </w:rPr>
    </w:lvl>
    <w:lvl w:ilvl="4" w:tplc="206E5C76">
      <w:start w:val="1"/>
      <w:numFmt w:val="bullet"/>
      <w:lvlText w:val=""/>
      <w:lvlJc w:val="left"/>
      <w:pPr>
        <w:ind w:left="720" w:hanging="360"/>
      </w:pPr>
      <w:rPr>
        <w:rFonts w:ascii="Symbol" w:hAnsi="Symbol"/>
      </w:rPr>
    </w:lvl>
    <w:lvl w:ilvl="5" w:tplc="9328DADA">
      <w:start w:val="1"/>
      <w:numFmt w:val="bullet"/>
      <w:lvlText w:val=""/>
      <w:lvlJc w:val="left"/>
      <w:pPr>
        <w:ind w:left="720" w:hanging="360"/>
      </w:pPr>
      <w:rPr>
        <w:rFonts w:ascii="Symbol" w:hAnsi="Symbol"/>
      </w:rPr>
    </w:lvl>
    <w:lvl w:ilvl="6" w:tplc="6E1456D4">
      <w:start w:val="1"/>
      <w:numFmt w:val="bullet"/>
      <w:lvlText w:val=""/>
      <w:lvlJc w:val="left"/>
      <w:pPr>
        <w:ind w:left="720" w:hanging="360"/>
      </w:pPr>
      <w:rPr>
        <w:rFonts w:ascii="Symbol" w:hAnsi="Symbol"/>
      </w:rPr>
    </w:lvl>
    <w:lvl w:ilvl="7" w:tplc="81947C00">
      <w:start w:val="1"/>
      <w:numFmt w:val="bullet"/>
      <w:lvlText w:val=""/>
      <w:lvlJc w:val="left"/>
      <w:pPr>
        <w:ind w:left="720" w:hanging="360"/>
      </w:pPr>
      <w:rPr>
        <w:rFonts w:ascii="Symbol" w:hAnsi="Symbol"/>
      </w:rPr>
    </w:lvl>
    <w:lvl w:ilvl="8" w:tplc="7F8CC10C">
      <w:start w:val="1"/>
      <w:numFmt w:val="bullet"/>
      <w:lvlText w:val=""/>
      <w:lvlJc w:val="left"/>
      <w:pPr>
        <w:ind w:left="720" w:hanging="360"/>
      </w:pPr>
      <w:rPr>
        <w:rFonts w:ascii="Symbol" w:hAnsi="Symbol"/>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006E1E"/>
    <w:multiLevelType w:val="hybridMultilevel"/>
    <w:tmpl w:val="ABF42266"/>
    <w:lvl w:ilvl="0" w:tplc="0F44EE5C">
      <w:start w:val="1"/>
      <w:numFmt w:val="bullet"/>
      <w:lvlText w:val=""/>
      <w:lvlJc w:val="left"/>
      <w:pPr>
        <w:ind w:left="720" w:hanging="360"/>
      </w:pPr>
      <w:rPr>
        <w:rFonts w:ascii="Symbol" w:hAnsi="Symbol"/>
      </w:rPr>
    </w:lvl>
    <w:lvl w:ilvl="1" w:tplc="C4AEC924">
      <w:start w:val="1"/>
      <w:numFmt w:val="bullet"/>
      <w:lvlText w:val=""/>
      <w:lvlJc w:val="left"/>
      <w:pPr>
        <w:ind w:left="720" w:hanging="360"/>
      </w:pPr>
      <w:rPr>
        <w:rFonts w:ascii="Symbol" w:hAnsi="Symbol"/>
      </w:rPr>
    </w:lvl>
    <w:lvl w:ilvl="2" w:tplc="ECB208B6">
      <w:start w:val="1"/>
      <w:numFmt w:val="bullet"/>
      <w:lvlText w:val=""/>
      <w:lvlJc w:val="left"/>
      <w:pPr>
        <w:ind w:left="720" w:hanging="360"/>
      </w:pPr>
      <w:rPr>
        <w:rFonts w:ascii="Symbol" w:hAnsi="Symbol"/>
      </w:rPr>
    </w:lvl>
    <w:lvl w:ilvl="3" w:tplc="873A59F8">
      <w:start w:val="1"/>
      <w:numFmt w:val="bullet"/>
      <w:lvlText w:val=""/>
      <w:lvlJc w:val="left"/>
      <w:pPr>
        <w:ind w:left="720" w:hanging="360"/>
      </w:pPr>
      <w:rPr>
        <w:rFonts w:ascii="Symbol" w:hAnsi="Symbol"/>
      </w:rPr>
    </w:lvl>
    <w:lvl w:ilvl="4" w:tplc="1C36A77C">
      <w:start w:val="1"/>
      <w:numFmt w:val="bullet"/>
      <w:lvlText w:val=""/>
      <w:lvlJc w:val="left"/>
      <w:pPr>
        <w:ind w:left="720" w:hanging="360"/>
      </w:pPr>
      <w:rPr>
        <w:rFonts w:ascii="Symbol" w:hAnsi="Symbol"/>
      </w:rPr>
    </w:lvl>
    <w:lvl w:ilvl="5" w:tplc="F1946A20">
      <w:start w:val="1"/>
      <w:numFmt w:val="bullet"/>
      <w:lvlText w:val=""/>
      <w:lvlJc w:val="left"/>
      <w:pPr>
        <w:ind w:left="720" w:hanging="360"/>
      </w:pPr>
      <w:rPr>
        <w:rFonts w:ascii="Symbol" w:hAnsi="Symbol"/>
      </w:rPr>
    </w:lvl>
    <w:lvl w:ilvl="6" w:tplc="B472E6A2">
      <w:start w:val="1"/>
      <w:numFmt w:val="bullet"/>
      <w:lvlText w:val=""/>
      <w:lvlJc w:val="left"/>
      <w:pPr>
        <w:ind w:left="720" w:hanging="360"/>
      </w:pPr>
      <w:rPr>
        <w:rFonts w:ascii="Symbol" w:hAnsi="Symbol"/>
      </w:rPr>
    </w:lvl>
    <w:lvl w:ilvl="7" w:tplc="8318BD22">
      <w:start w:val="1"/>
      <w:numFmt w:val="bullet"/>
      <w:lvlText w:val=""/>
      <w:lvlJc w:val="left"/>
      <w:pPr>
        <w:ind w:left="720" w:hanging="360"/>
      </w:pPr>
      <w:rPr>
        <w:rFonts w:ascii="Symbol" w:hAnsi="Symbol"/>
      </w:rPr>
    </w:lvl>
    <w:lvl w:ilvl="8" w:tplc="6DD2924C">
      <w:start w:val="1"/>
      <w:numFmt w:val="bullet"/>
      <w:lvlText w:val=""/>
      <w:lvlJc w:val="left"/>
      <w:pPr>
        <w:ind w:left="720" w:hanging="360"/>
      </w:pPr>
      <w:rPr>
        <w:rFonts w:ascii="Symbol" w:hAnsi="Symbol"/>
      </w:rPr>
    </w:lvl>
  </w:abstractNum>
  <w:abstractNum w:abstractNumId="5" w15:restartNumberingAfterBreak="0">
    <w:nsid w:val="182D35EB"/>
    <w:multiLevelType w:val="hybridMultilevel"/>
    <w:tmpl w:val="021C3198"/>
    <w:lvl w:ilvl="0" w:tplc="B16C2CE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B3FC6"/>
    <w:multiLevelType w:val="hybridMultilevel"/>
    <w:tmpl w:val="AAA86A42"/>
    <w:lvl w:ilvl="0" w:tplc="EC8C657C">
      <w:start w:val="1"/>
      <w:numFmt w:val="bullet"/>
      <w:pStyle w:val="BulletList"/>
      <w:lvlText w:val=""/>
      <w:lvlJc w:val="left"/>
      <w:pPr>
        <w:tabs>
          <w:tab w:val="num" w:pos="360"/>
        </w:tabs>
        <w:ind w:left="360" w:hanging="360"/>
      </w:pPr>
      <w:rPr>
        <w:rFonts w:ascii="Symbol" w:hAnsi="Symbol" w:hint="default"/>
      </w:rPr>
    </w:lvl>
    <w:lvl w:ilvl="1" w:tplc="5950AD9E">
      <w:numFmt w:val="bullet"/>
      <w:lvlText w:val="–"/>
      <w:lvlJc w:val="left"/>
      <w:pPr>
        <w:ind w:left="1440" w:hanging="360"/>
      </w:pPr>
      <w:rPr>
        <w:rFonts w:ascii="Arial" w:eastAsia="MS UI Gothic" w:hAnsi="Aria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0E49ED"/>
    <w:multiLevelType w:val="hybridMultilevel"/>
    <w:tmpl w:val="FE5E02E4"/>
    <w:lvl w:ilvl="0" w:tplc="23B40E06">
      <w:start w:val="1"/>
      <w:numFmt w:val="bullet"/>
      <w:lvlText w:val=""/>
      <w:lvlJc w:val="left"/>
      <w:pPr>
        <w:ind w:left="1146" w:hanging="360"/>
      </w:pPr>
      <w:rPr>
        <w:rFonts w:ascii="Symbol" w:hAnsi="Symbol"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4C497A"/>
    <w:multiLevelType w:val="hybridMultilevel"/>
    <w:tmpl w:val="329606B8"/>
    <w:lvl w:ilvl="0" w:tplc="00E84494">
      <w:start w:val="1"/>
      <w:numFmt w:val="decimal"/>
      <w:lvlText w:val="%1."/>
      <w:lvlJc w:val="left"/>
      <w:pPr>
        <w:ind w:left="720" w:hanging="360"/>
      </w:pPr>
    </w:lvl>
    <w:lvl w:ilvl="1" w:tplc="5ECE86D8">
      <w:start w:val="1"/>
      <w:numFmt w:val="decimal"/>
      <w:lvlText w:val="%2."/>
      <w:lvlJc w:val="left"/>
      <w:pPr>
        <w:ind w:left="720" w:hanging="360"/>
      </w:pPr>
    </w:lvl>
    <w:lvl w:ilvl="2" w:tplc="A55A11B4">
      <w:start w:val="1"/>
      <w:numFmt w:val="decimal"/>
      <w:lvlText w:val="%3."/>
      <w:lvlJc w:val="left"/>
      <w:pPr>
        <w:ind w:left="720" w:hanging="360"/>
      </w:pPr>
    </w:lvl>
    <w:lvl w:ilvl="3" w:tplc="9D28AF40">
      <w:start w:val="1"/>
      <w:numFmt w:val="decimal"/>
      <w:lvlText w:val="%4."/>
      <w:lvlJc w:val="left"/>
      <w:pPr>
        <w:ind w:left="720" w:hanging="360"/>
      </w:pPr>
    </w:lvl>
    <w:lvl w:ilvl="4" w:tplc="99668B6A">
      <w:start w:val="1"/>
      <w:numFmt w:val="decimal"/>
      <w:lvlText w:val="%5."/>
      <w:lvlJc w:val="left"/>
      <w:pPr>
        <w:ind w:left="720" w:hanging="360"/>
      </w:pPr>
    </w:lvl>
    <w:lvl w:ilvl="5" w:tplc="F49A53E0">
      <w:start w:val="1"/>
      <w:numFmt w:val="decimal"/>
      <w:lvlText w:val="%6."/>
      <w:lvlJc w:val="left"/>
      <w:pPr>
        <w:ind w:left="720" w:hanging="360"/>
      </w:pPr>
    </w:lvl>
    <w:lvl w:ilvl="6" w:tplc="3F040358">
      <w:start w:val="1"/>
      <w:numFmt w:val="decimal"/>
      <w:lvlText w:val="%7."/>
      <w:lvlJc w:val="left"/>
      <w:pPr>
        <w:ind w:left="720" w:hanging="360"/>
      </w:pPr>
    </w:lvl>
    <w:lvl w:ilvl="7" w:tplc="A42CA292">
      <w:start w:val="1"/>
      <w:numFmt w:val="decimal"/>
      <w:lvlText w:val="%8."/>
      <w:lvlJc w:val="left"/>
      <w:pPr>
        <w:ind w:left="720" w:hanging="360"/>
      </w:pPr>
    </w:lvl>
    <w:lvl w:ilvl="8" w:tplc="554EEAA8">
      <w:start w:val="1"/>
      <w:numFmt w:val="decimal"/>
      <w:lvlText w:val="%9."/>
      <w:lvlJc w:val="left"/>
      <w:pPr>
        <w:ind w:left="720" w:hanging="360"/>
      </w:pPr>
    </w:lvl>
  </w:abstractNum>
  <w:abstractNum w:abstractNumId="12" w15:restartNumberingAfterBreak="0">
    <w:nsid w:val="40733215"/>
    <w:multiLevelType w:val="hybridMultilevel"/>
    <w:tmpl w:val="044420DE"/>
    <w:lvl w:ilvl="0" w:tplc="60A04528">
      <w:start w:val="1"/>
      <w:numFmt w:val="decimal"/>
      <w:lvlText w:val="%1."/>
      <w:lvlJc w:val="left"/>
      <w:pPr>
        <w:ind w:left="720" w:hanging="360"/>
      </w:pPr>
    </w:lvl>
    <w:lvl w:ilvl="1" w:tplc="7C1802AC">
      <w:start w:val="1"/>
      <w:numFmt w:val="decimal"/>
      <w:lvlText w:val="%2."/>
      <w:lvlJc w:val="left"/>
      <w:pPr>
        <w:ind w:left="720" w:hanging="360"/>
      </w:pPr>
    </w:lvl>
    <w:lvl w:ilvl="2" w:tplc="C43CDB3E">
      <w:start w:val="1"/>
      <w:numFmt w:val="decimal"/>
      <w:lvlText w:val="%3."/>
      <w:lvlJc w:val="left"/>
      <w:pPr>
        <w:ind w:left="720" w:hanging="360"/>
      </w:pPr>
    </w:lvl>
    <w:lvl w:ilvl="3" w:tplc="9BF46E6C">
      <w:start w:val="1"/>
      <w:numFmt w:val="decimal"/>
      <w:lvlText w:val="%4."/>
      <w:lvlJc w:val="left"/>
      <w:pPr>
        <w:ind w:left="720" w:hanging="360"/>
      </w:pPr>
    </w:lvl>
    <w:lvl w:ilvl="4" w:tplc="AB241D82">
      <w:start w:val="1"/>
      <w:numFmt w:val="decimal"/>
      <w:lvlText w:val="%5."/>
      <w:lvlJc w:val="left"/>
      <w:pPr>
        <w:ind w:left="720" w:hanging="360"/>
      </w:pPr>
    </w:lvl>
    <w:lvl w:ilvl="5" w:tplc="4A88C1EA">
      <w:start w:val="1"/>
      <w:numFmt w:val="decimal"/>
      <w:lvlText w:val="%6."/>
      <w:lvlJc w:val="left"/>
      <w:pPr>
        <w:ind w:left="720" w:hanging="360"/>
      </w:pPr>
    </w:lvl>
    <w:lvl w:ilvl="6" w:tplc="A8BE1A6A">
      <w:start w:val="1"/>
      <w:numFmt w:val="decimal"/>
      <w:lvlText w:val="%7."/>
      <w:lvlJc w:val="left"/>
      <w:pPr>
        <w:ind w:left="720" w:hanging="360"/>
      </w:pPr>
    </w:lvl>
    <w:lvl w:ilvl="7" w:tplc="CE88B358">
      <w:start w:val="1"/>
      <w:numFmt w:val="decimal"/>
      <w:lvlText w:val="%8."/>
      <w:lvlJc w:val="left"/>
      <w:pPr>
        <w:ind w:left="720" w:hanging="360"/>
      </w:pPr>
    </w:lvl>
    <w:lvl w:ilvl="8" w:tplc="D5AC9DD8">
      <w:start w:val="1"/>
      <w:numFmt w:val="decimal"/>
      <w:lvlText w:val="%9."/>
      <w:lvlJc w:val="left"/>
      <w:pPr>
        <w:ind w:left="720" w:hanging="360"/>
      </w:p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B6B3A"/>
    <w:multiLevelType w:val="hybridMultilevel"/>
    <w:tmpl w:val="19A2DE16"/>
    <w:lvl w:ilvl="0" w:tplc="F4ACFE14">
      <w:start w:val="1"/>
      <w:numFmt w:val="bullet"/>
      <w:lvlText w:val=""/>
      <w:lvlJc w:val="left"/>
      <w:pPr>
        <w:ind w:left="1440" w:hanging="360"/>
      </w:pPr>
      <w:rPr>
        <w:rFonts w:ascii="Symbol" w:hAnsi="Symbol"/>
      </w:rPr>
    </w:lvl>
    <w:lvl w:ilvl="1" w:tplc="B5EEF9E6">
      <w:start w:val="1"/>
      <w:numFmt w:val="bullet"/>
      <w:lvlText w:val=""/>
      <w:lvlJc w:val="left"/>
      <w:pPr>
        <w:ind w:left="2160" w:hanging="360"/>
      </w:pPr>
      <w:rPr>
        <w:rFonts w:ascii="Symbol" w:hAnsi="Symbol"/>
      </w:rPr>
    </w:lvl>
    <w:lvl w:ilvl="2" w:tplc="8D2C4B56">
      <w:start w:val="1"/>
      <w:numFmt w:val="bullet"/>
      <w:lvlText w:val=""/>
      <w:lvlJc w:val="left"/>
      <w:pPr>
        <w:ind w:left="2880" w:hanging="360"/>
      </w:pPr>
      <w:rPr>
        <w:rFonts w:ascii="Symbol" w:hAnsi="Symbol"/>
      </w:rPr>
    </w:lvl>
    <w:lvl w:ilvl="3" w:tplc="7C2AC0B6">
      <w:start w:val="1"/>
      <w:numFmt w:val="bullet"/>
      <w:lvlText w:val=""/>
      <w:lvlJc w:val="left"/>
      <w:pPr>
        <w:ind w:left="1440" w:hanging="360"/>
      </w:pPr>
      <w:rPr>
        <w:rFonts w:ascii="Symbol" w:hAnsi="Symbol"/>
      </w:rPr>
    </w:lvl>
    <w:lvl w:ilvl="4" w:tplc="A7F87C18">
      <w:start w:val="1"/>
      <w:numFmt w:val="bullet"/>
      <w:lvlText w:val=""/>
      <w:lvlJc w:val="left"/>
      <w:pPr>
        <w:ind w:left="1440" w:hanging="360"/>
      </w:pPr>
      <w:rPr>
        <w:rFonts w:ascii="Symbol" w:hAnsi="Symbol"/>
      </w:rPr>
    </w:lvl>
    <w:lvl w:ilvl="5" w:tplc="29200C8C">
      <w:start w:val="1"/>
      <w:numFmt w:val="bullet"/>
      <w:lvlText w:val=""/>
      <w:lvlJc w:val="left"/>
      <w:pPr>
        <w:ind w:left="1440" w:hanging="360"/>
      </w:pPr>
      <w:rPr>
        <w:rFonts w:ascii="Symbol" w:hAnsi="Symbol"/>
      </w:rPr>
    </w:lvl>
    <w:lvl w:ilvl="6" w:tplc="C56A207C">
      <w:start w:val="1"/>
      <w:numFmt w:val="bullet"/>
      <w:lvlText w:val=""/>
      <w:lvlJc w:val="left"/>
      <w:pPr>
        <w:ind w:left="1440" w:hanging="360"/>
      </w:pPr>
      <w:rPr>
        <w:rFonts w:ascii="Symbol" w:hAnsi="Symbol"/>
      </w:rPr>
    </w:lvl>
    <w:lvl w:ilvl="7" w:tplc="7FFA14EE">
      <w:start w:val="1"/>
      <w:numFmt w:val="bullet"/>
      <w:lvlText w:val=""/>
      <w:lvlJc w:val="left"/>
      <w:pPr>
        <w:ind w:left="1440" w:hanging="360"/>
      </w:pPr>
      <w:rPr>
        <w:rFonts w:ascii="Symbol" w:hAnsi="Symbol"/>
      </w:rPr>
    </w:lvl>
    <w:lvl w:ilvl="8" w:tplc="58E009D8">
      <w:start w:val="1"/>
      <w:numFmt w:val="bullet"/>
      <w:lvlText w:val=""/>
      <w:lvlJc w:val="left"/>
      <w:pPr>
        <w:ind w:left="1440" w:hanging="360"/>
      </w:pPr>
      <w:rPr>
        <w:rFonts w:ascii="Symbol" w:hAnsi="Symbol"/>
      </w:rPr>
    </w:lvl>
  </w:abstractNum>
  <w:abstractNum w:abstractNumId="15" w15:restartNumberingAfterBreak="0">
    <w:nsid w:val="458D67A6"/>
    <w:multiLevelType w:val="hybridMultilevel"/>
    <w:tmpl w:val="51CA1480"/>
    <w:lvl w:ilvl="0" w:tplc="04090001">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4F0F85"/>
    <w:multiLevelType w:val="hybridMultilevel"/>
    <w:tmpl w:val="09426ECA"/>
    <w:lvl w:ilvl="0" w:tplc="B6DA6500">
      <w:start w:val="1"/>
      <w:numFmt w:val="decimal"/>
      <w:lvlText w:val="%1."/>
      <w:lvlJc w:val="left"/>
      <w:pPr>
        <w:ind w:left="720" w:hanging="360"/>
      </w:pPr>
    </w:lvl>
    <w:lvl w:ilvl="1" w:tplc="3A88E16E">
      <w:start w:val="1"/>
      <w:numFmt w:val="decimal"/>
      <w:lvlText w:val="%2."/>
      <w:lvlJc w:val="left"/>
      <w:pPr>
        <w:ind w:left="720" w:hanging="360"/>
      </w:pPr>
    </w:lvl>
    <w:lvl w:ilvl="2" w:tplc="C1985A20">
      <w:start w:val="1"/>
      <w:numFmt w:val="decimal"/>
      <w:lvlText w:val="%3."/>
      <w:lvlJc w:val="left"/>
      <w:pPr>
        <w:ind w:left="720" w:hanging="360"/>
      </w:pPr>
    </w:lvl>
    <w:lvl w:ilvl="3" w:tplc="0B0663CC">
      <w:start w:val="1"/>
      <w:numFmt w:val="decimal"/>
      <w:lvlText w:val="%4."/>
      <w:lvlJc w:val="left"/>
      <w:pPr>
        <w:ind w:left="720" w:hanging="360"/>
      </w:pPr>
    </w:lvl>
    <w:lvl w:ilvl="4" w:tplc="FF40F558">
      <w:start w:val="1"/>
      <w:numFmt w:val="decimal"/>
      <w:lvlText w:val="%5."/>
      <w:lvlJc w:val="left"/>
      <w:pPr>
        <w:ind w:left="720" w:hanging="360"/>
      </w:pPr>
    </w:lvl>
    <w:lvl w:ilvl="5" w:tplc="DB18C80E">
      <w:start w:val="1"/>
      <w:numFmt w:val="decimal"/>
      <w:lvlText w:val="%6."/>
      <w:lvlJc w:val="left"/>
      <w:pPr>
        <w:ind w:left="720" w:hanging="360"/>
      </w:pPr>
    </w:lvl>
    <w:lvl w:ilvl="6" w:tplc="415CDE84">
      <w:start w:val="1"/>
      <w:numFmt w:val="decimal"/>
      <w:lvlText w:val="%7."/>
      <w:lvlJc w:val="left"/>
      <w:pPr>
        <w:ind w:left="720" w:hanging="360"/>
      </w:pPr>
    </w:lvl>
    <w:lvl w:ilvl="7" w:tplc="F2F8BBBE">
      <w:start w:val="1"/>
      <w:numFmt w:val="decimal"/>
      <w:lvlText w:val="%8."/>
      <w:lvlJc w:val="left"/>
      <w:pPr>
        <w:ind w:left="720" w:hanging="360"/>
      </w:pPr>
    </w:lvl>
    <w:lvl w:ilvl="8" w:tplc="ED264B48">
      <w:start w:val="1"/>
      <w:numFmt w:val="decimal"/>
      <w:lvlText w:val="%9."/>
      <w:lvlJc w:val="left"/>
      <w:pPr>
        <w:ind w:left="720" w:hanging="360"/>
      </w:pPr>
    </w:lvl>
  </w:abstractNum>
  <w:abstractNum w:abstractNumId="17" w15:restartNumberingAfterBreak="0">
    <w:nsid w:val="4ADA42DE"/>
    <w:multiLevelType w:val="hybridMultilevel"/>
    <w:tmpl w:val="DEC26010"/>
    <w:lvl w:ilvl="0" w:tplc="C1CA0A46">
      <w:start w:val="1"/>
      <w:numFmt w:val="bullet"/>
      <w:lvlText w:val=""/>
      <w:lvlJc w:val="left"/>
      <w:pPr>
        <w:ind w:left="720" w:hanging="360"/>
      </w:pPr>
      <w:rPr>
        <w:rFonts w:ascii="Symbol" w:hAnsi="Symbol"/>
      </w:rPr>
    </w:lvl>
    <w:lvl w:ilvl="1" w:tplc="7BF60F4E">
      <w:start w:val="1"/>
      <w:numFmt w:val="bullet"/>
      <w:lvlText w:val=""/>
      <w:lvlJc w:val="left"/>
      <w:pPr>
        <w:ind w:left="720" w:hanging="360"/>
      </w:pPr>
      <w:rPr>
        <w:rFonts w:ascii="Symbol" w:hAnsi="Symbol"/>
      </w:rPr>
    </w:lvl>
    <w:lvl w:ilvl="2" w:tplc="69CE966E">
      <w:start w:val="1"/>
      <w:numFmt w:val="bullet"/>
      <w:lvlText w:val=""/>
      <w:lvlJc w:val="left"/>
      <w:pPr>
        <w:ind w:left="720" w:hanging="360"/>
      </w:pPr>
      <w:rPr>
        <w:rFonts w:ascii="Symbol" w:hAnsi="Symbol"/>
      </w:rPr>
    </w:lvl>
    <w:lvl w:ilvl="3" w:tplc="6F1E558C">
      <w:start w:val="1"/>
      <w:numFmt w:val="bullet"/>
      <w:lvlText w:val=""/>
      <w:lvlJc w:val="left"/>
      <w:pPr>
        <w:ind w:left="720" w:hanging="360"/>
      </w:pPr>
      <w:rPr>
        <w:rFonts w:ascii="Symbol" w:hAnsi="Symbol"/>
      </w:rPr>
    </w:lvl>
    <w:lvl w:ilvl="4" w:tplc="2D9873FC">
      <w:start w:val="1"/>
      <w:numFmt w:val="bullet"/>
      <w:lvlText w:val=""/>
      <w:lvlJc w:val="left"/>
      <w:pPr>
        <w:ind w:left="720" w:hanging="360"/>
      </w:pPr>
      <w:rPr>
        <w:rFonts w:ascii="Symbol" w:hAnsi="Symbol"/>
      </w:rPr>
    </w:lvl>
    <w:lvl w:ilvl="5" w:tplc="01DCD156">
      <w:start w:val="1"/>
      <w:numFmt w:val="bullet"/>
      <w:lvlText w:val=""/>
      <w:lvlJc w:val="left"/>
      <w:pPr>
        <w:ind w:left="720" w:hanging="360"/>
      </w:pPr>
      <w:rPr>
        <w:rFonts w:ascii="Symbol" w:hAnsi="Symbol"/>
      </w:rPr>
    </w:lvl>
    <w:lvl w:ilvl="6" w:tplc="84C86A8A">
      <w:start w:val="1"/>
      <w:numFmt w:val="bullet"/>
      <w:lvlText w:val=""/>
      <w:lvlJc w:val="left"/>
      <w:pPr>
        <w:ind w:left="720" w:hanging="360"/>
      </w:pPr>
      <w:rPr>
        <w:rFonts w:ascii="Symbol" w:hAnsi="Symbol"/>
      </w:rPr>
    </w:lvl>
    <w:lvl w:ilvl="7" w:tplc="A26CB74E">
      <w:start w:val="1"/>
      <w:numFmt w:val="bullet"/>
      <w:lvlText w:val=""/>
      <w:lvlJc w:val="left"/>
      <w:pPr>
        <w:ind w:left="720" w:hanging="360"/>
      </w:pPr>
      <w:rPr>
        <w:rFonts w:ascii="Symbol" w:hAnsi="Symbol"/>
      </w:rPr>
    </w:lvl>
    <w:lvl w:ilvl="8" w:tplc="BF1C47AA">
      <w:start w:val="1"/>
      <w:numFmt w:val="bullet"/>
      <w:lvlText w:val=""/>
      <w:lvlJc w:val="left"/>
      <w:pPr>
        <w:ind w:left="720" w:hanging="360"/>
      </w:pPr>
      <w:rPr>
        <w:rFonts w:ascii="Symbol" w:hAnsi="Symbol"/>
      </w:rPr>
    </w:lvl>
  </w:abstractNum>
  <w:abstractNum w:abstractNumId="18" w15:restartNumberingAfterBreak="0">
    <w:nsid w:val="4D8A614E"/>
    <w:multiLevelType w:val="hybridMultilevel"/>
    <w:tmpl w:val="80DE27BE"/>
    <w:lvl w:ilvl="0" w:tplc="31F4D740">
      <w:start w:val="1"/>
      <w:numFmt w:val="decimal"/>
      <w:lvlText w:val="%1."/>
      <w:lvlJc w:val="left"/>
      <w:pPr>
        <w:ind w:left="720" w:hanging="360"/>
      </w:pPr>
    </w:lvl>
    <w:lvl w:ilvl="1" w:tplc="4E5EEE60">
      <w:start w:val="1"/>
      <w:numFmt w:val="decimal"/>
      <w:lvlText w:val="%2."/>
      <w:lvlJc w:val="left"/>
      <w:pPr>
        <w:ind w:left="720" w:hanging="360"/>
      </w:pPr>
    </w:lvl>
    <w:lvl w:ilvl="2" w:tplc="8070EEF2">
      <w:start w:val="1"/>
      <w:numFmt w:val="decimal"/>
      <w:lvlText w:val="%3."/>
      <w:lvlJc w:val="left"/>
      <w:pPr>
        <w:ind w:left="720" w:hanging="360"/>
      </w:pPr>
    </w:lvl>
    <w:lvl w:ilvl="3" w:tplc="69A41420">
      <w:start w:val="1"/>
      <w:numFmt w:val="decimal"/>
      <w:lvlText w:val="%4."/>
      <w:lvlJc w:val="left"/>
      <w:pPr>
        <w:ind w:left="720" w:hanging="360"/>
      </w:pPr>
    </w:lvl>
    <w:lvl w:ilvl="4" w:tplc="4D788A0E">
      <w:start w:val="1"/>
      <w:numFmt w:val="decimal"/>
      <w:lvlText w:val="%5."/>
      <w:lvlJc w:val="left"/>
      <w:pPr>
        <w:ind w:left="720" w:hanging="360"/>
      </w:pPr>
    </w:lvl>
    <w:lvl w:ilvl="5" w:tplc="C7F81780">
      <w:start w:val="1"/>
      <w:numFmt w:val="decimal"/>
      <w:lvlText w:val="%6."/>
      <w:lvlJc w:val="left"/>
      <w:pPr>
        <w:ind w:left="720" w:hanging="360"/>
      </w:pPr>
    </w:lvl>
    <w:lvl w:ilvl="6" w:tplc="F4F2B2D2">
      <w:start w:val="1"/>
      <w:numFmt w:val="decimal"/>
      <w:lvlText w:val="%7."/>
      <w:lvlJc w:val="left"/>
      <w:pPr>
        <w:ind w:left="720" w:hanging="360"/>
      </w:pPr>
    </w:lvl>
    <w:lvl w:ilvl="7" w:tplc="9554373A">
      <w:start w:val="1"/>
      <w:numFmt w:val="decimal"/>
      <w:lvlText w:val="%8."/>
      <w:lvlJc w:val="left"/>
      <w:pPr>
        <w:ind w:left="720" w:hanging="360"/>
      </w:pPr>
    </w:lvl>
    <w:lvl w:ilvl="8" w:tplc="04324688">
      <w:start w:val="1"/>
      <w:numFmt w:val="decimal"/>
      <w:lvlText w:val="%9."/>
      <w:lvlJc w:val="left"/>
      <w:pPr>
        <w:ind w:left="720" w:hanging="360"/>
      </w:pPr>
    </w:lvl>
  </w:abstractNum>
  <w:abstractNum w:abstractNumId="19" w15:restartNumberingAfterBreak="0">
    <w:nsid w:val="520142E2"/>
    <w:multiLevelType w:val="hybridMultilevel"/>
    <w:tmpl w:val="C5AE4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AF22442"/>
    <w:multiLevelType w:val="hybridMultilevel"/>
    <w:tmpl w:val="F242539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1136B7C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2526744">
    <w:abstractNumId w:val="25"/>
  </w:num>
  <w:num w:numId="2" w16cid:durableId="1442722558">
    <w:abstractNumId w:val="13"/>
  </w:num>
  <w:num w:numId="3" w16cid:durableId="705326201">
    <w:abstractNumId w:val="15"/>
  </w:num>
  <w:num w:numId="4" w16cid:durableId="304628429">
    <w:abstractNumId w:val="0"/>
  </w:num>
  <w:num w:numId="5" w16cid:durableId="871959721">
    <w:abstractNumId w:val="25"/>
  </w:num>
  <w:num w:numId="6" w16cid:durableId="1657958399">
    <w:abstractNumId w:val="26"/>
  </w:num>
  <w:num w:numId="7" w16cid:durableId="1316447102">
    <w:abstractNumId w:val="22"/>
  </w:num>
  <w:num w:numId="8" w16cid:durableId="1087464892">
    <w:abstractNumId w:val="6"/>
  </w:num>
  <w:num w:numId="9" w16cid:durableId="1324772557">
    <w:abstractNumId w:val="9"/>
  </w:num>
  <w:num w:numId="10" w16cid:durableId="1005477294">
    <w:abstractNumId w:val="19"/>
  </w:num>
  <w:num w:numId="11" w16cid:durableId="878590260">
    <w:abstractNumId w:val="23"/>
  </w:num>
  <w:num w:numId="12" w16cid:durableId="1276333140">
    <w:abstractNumId w:val="20"/>
  </w:num>
  <w:num w:numId="13" w16cid:durableId="1932662606">
    <w:abstractNumId w:val="3"/>
  </w:num>
  <w:num w:numId="14" w16cid:durableId="1124347036">
    <w:abstractNumId w:val="1"/>
  </w:num>
  <w:num w:numId="15" w16cid:durableId="539241959">
    <w:abstractNumId w:val="8"/>
  </w:num>
  <w:num w:numId="16" w16cid:durableId="700205921">
    <w:abstractNumId w:val="10"/>
  </w:num>
  <w:num w:numId="17" w16cid:durableId="490829733">
    <w:abstractNumId w:val="7"/>
  </w:num>
  <w:num w:numId="18"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5267150">
    <w:abstractNumId w:val="24"/>
  </w:num>
  <w:num w:numId="20" w16cid:durableId="1854488163">
    <w:abstractNumId w:val="4"/>
  </w:num>
  <w:num w:numId="21" w16cid:durableId="959411461">
    <w:abstractNumId w:val="2"/>
  </w:num>
  <w:num w:numId="22" w16cid:durableId="1766457723">
    <w:abstractNumId w:val="12"/>
  </w:num>
  <w:num w:numId="23" w16cid:durableId="832836482">
    <w:abstractNumId w:val="18"/>
  </w:num>
  <w:num w:numId="24" w16cid:durableId="31737326">
    <w:abstractNumId w:val="14"/>
  </w:num>
  <w:num w:numId="25" w16cid:durableId="1011446606">
    <w:abstractNumId w:val="16"/>
  </w:num>
  <w:num w:numId="26" w16cid:durableId="1465854216">
    <w:abstractNumId w:val="11"/>
  </w:num>
  <w:num w:numId="27" w16cid:durableId="1838690537">
    <w:abstractNumId w:val="17"/>
  </w:num>
  <w:num w:numId="28" w16cid:durableId="1331350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0F"/>
    <w:rsid w:val="00000790"/>
    <w:rsid w:val="0000110B"/>
    <w:rsid w:val="0000142D"/>
    <w:rsid w:val="000029CF"/>
    <w:rsid w:val="00003499"/>
    <w:rsid w:val="000039B7"/>
    <w:rsid w:val="00003FFE"/>
    <w:rsid w:val="00004802"/>
    <w:rsid w:val="000056B9"/>
    <w:rsid w:val="0000639A"/>
    <w:rsid w:val="0000740E"/>
    <w:rsid w:val="00007D01"/>
    <w:rsid w:val="000101A2"/>
    <w:rsid w:val="00010B1D"/>
    <w:rsid w:val="00010C59"/>
    <w:rsid w:val="00010D06"/>
    <w:rsid w:val="00011274"/>
    <w:rsid w:val="00011D8F"/>
    <w:rsid w:val="000120F3"/>
    <w:rsid w:val="00012326"/>
    <w:rsid w:val="00013247"/>
    <w:rsid w:val="000142B9"/>
    <w:rsid w:val="0001438E"/>
    <w:rsid w:val="000143C5"/>
    <w:rsid w:val="00015886"/>
    <w:rsid w:val="000162EF"/>
    <w:rsid w:val="00017B3E"/>
    <w:rsid w:val="00017EDE"/>
    <w:rsid w:val="000207C9"/>
    <w:rsid w:val="000210E2"/>
    <w:rsid w:val="0002225F"/>
    <w:rsid w:val="00023763"/>
    <w:rsid w:val="00023F16"/>
    <w:rsid w:val="00024EB5"/>
    <w:rsid w:val="00025A8C"/>
    <w:rsid w:val="00026BAA"/>
    <w:rsid w:val="00026C45"/>
    <w:rsid w:val="000274B8"/>
    <w:rsid w:val="000278EC"/>
    <w:rsid w:val="000301F1"/>
    <w:rsid w:val="00032763"/>
    <w:rsid w:val="000329DA"/>
    <w:rsid w:val="00033863"/>
    <w:rsid w:val="00033EA8"/>
    <w:rsid w:val="00035DC0"/>
    <w:rsid w:val="00036829"/>
    <w:rsid w:val="00037046"/>
    <w:rsid w:val="00037104"/>
    <w:rsid w:val="00037855"/>
    <w:rsid w:val="00037BC4"/>
    <w:rsid w:val="00040895"/>
    <w:rsid w:val="000410A0"/>
    <w:rsid w:val="00041521"/>
    <w:rsid w:val="00042F1A"/>
    <w:rsid w:val="000435EE"/>
    <w:rsid w:val="00043C37"/>
    <w:rsid w:val="000447F7"/>
    <w:rsid w:val="00044911"/>
    <w:rsid w:val="00045017"/>
    <w:rsid w:val="000455AF"/>
    <w:rsid w:val="0004589B"/>
    <w:rsid w:val="00045A2B"/>
    <w:rsid w:val="0004698F"/>
    <w:rsid w:val="00046D64"/>
    <w:rsid w:val="0004722C"/>
    <w:rsid w:val="00047654"/>
    <w:rsid w:val="000504FE"/>
    <w:rsid w:val="000508C2"/>
    <w:rsid w:val="00050C2A"/>
    <w:rsid w:val="0005167A"/>
    <w:rsid w:val="00051B08"/>
    <w:rsid w:val="00051F9D"/>
    <w:rsid w:val="00053788"/>
    <w:rsid w:val="000539D0"/>
    <w:rsid w:val="00053DBA"/>
    <w:rsid w:val="00054621"/>
    <w:rsid w:val="000546D7"/>
    <w:rsid w:val="00054A8D"/>
    <w:rsid w:val="00056ECF"/>
    <w:rsid w:val="00056FEE"/>
    <w:rsid w:val="00057686"/>
    <w:rsid w:val="000604DF"/>
    <w:rsid w:val="00060A1A"/>
    <w:rsid w:val="00060EC7"/>
    <w:rsid w:val="00061830"/>
    <w:rsid w:val="000622C1"/>
    <w:rsid w:val="000628C1"/>
    <w:rsid w:val="00062905"/>
    <w:rsid w:val="000629D4"/>
    <w:rsid w:val="0006359C"/>
    <w:rsid w:val="00064078"/>
    <w:rsid w:val="000648B2"/>
    <w:rsid w:val="000653B5"/>
    <w:rsid w:val="00065ED4"/>
    <w:rsid w:val="00065EEE"/>
    <w:rsid w:val="000661E4"/>
    <w:rsid w:val="00066360"/>
    <w:rsid w:val="00066399"/>
    <w:rsid w:val="00066AF8"/>
    <w:rsid w:val="000676D7"/>
    <w:rsid w:val="0007089E"/>
    <w:rsid w:val="00071248"/>
    <w:rsid w:val="0007132E"/>
    <w:rsid w:val="000720B9"/>
    <w:rsid w:val="000737F7"/>
    <w:rsid w:val="00074A9A"/>
    <w:rsid w:val="00074DF8"/>
    <w:rsid w:val="00075230"/>
    <w:rsid w:val="000755FE"/>
    <w:rsid w:val="0007672F"/>
    <w:rsid w:val="00076B54"/>
    <w:rsid w:val="0007726D"/>
    <w:rsid w:val="000774F0"/>
    <w:rsid w:val="00080909"/>
    <w:rsid w:val="000812CA"/>
    <w:rsid w:val="00081E63"/>
    <w:rsid w:val="0008258D"/>
    <w:rsid w:val="00083E99"/>
    <w:rsid w:val="0008494C"/>
    <w:rsid w:val="00084D8E"/>
    <w:rsid w:val="00084FA8"/>
    <w:rsid w:val="00084FCE"/>
    <w:rsid w:val="00085545"/>
    <w:rsid w:val="000856C5"/>
    <w:rsid w:val="00085C31"/>
    <w:rsid w:val="00086BBD"/>
    <w:rsid w:val="00087587"/>
    <w:rsid w:val="000902D9"/>
    <w:rsid w:val="00090C7E"/>
    <w:rsid w:val="00091132"/>
    <w:rsid w:val="000911AC"/>
    <w:rsid w:val="00091470"/>
    <w:rsid w:val="00092600"/>
    <w:rsid w:val="0009262B"/>
    <w:rsid w:val="00093310"/>
    <w:rsid w:val="00093733"/>
    <w:rsid w:val="0009445C"/>
    <w:rsid w:val="00094F15"/>
    <w:rsid w:val="00095200"/>
    <w:rsid w:val="00095CA3"/>
    <w:rsid w:val="00095FE5"/>
    <w:rsid w:val="00096284"/>
    <w:rsid w:val="00096DF0"/>
    <w:rsid w:val="0009780A"/>
    <w:rsid w:val="000A1BC0"/>
    <w:rsid w:val="000A2F9E"/>
    <w:rsid w:val="000A3E47"/>
    <w:rsid w:val="000A4B54"/>
    <w:rsid w:val="000A50AC"/>
    <w:rsid w:val="000A522B"/>
    <w:rsid w:val="000A5AA0"/>
    <w:rsid w:val="000A5E26"/>
    <w:rsid w:val="000A6039"/>
    <w:rsid w:val="000A6EDB"/>
    <w:rsid w:val="000A7453"/>
    <w:rsid w:val="000A79D9"/>
    <w:rsid w:val="000A7D08"/>
    <w:rsid w:val="000B0121"/>
    <w:rsid w:val="000B0457"/>
    <w:rsid w:val="000B0670"/>
    <w:rsid w:val="000B0E75"/>
    <w:rsid w:val="000B10E3"/>
    <w:rsid w:val="000B175C"/>
    <w:rsid w:val="000B217F"/>
    <w:rsid w:val="000B2AD6"/>
    <w:rsid w:val="000B2B1A"/>
    <w:rsid w:val="000B2DCB"/>
    <w:rsid w:val="000B401F"/>
    <w:rsid w:val="000B4123"/>
    <w:rsid w:val="000B47C4"/>
    <w:rsid w:val="000B52BF"/>
    <w:rsid w:val="000B5CE0"/>
    <w:rsid w:val="000B6554"/>
    <w:rsid w:val="000B6CAC"/>
    <w:rsid w:val="000B7612"/>
    <w:rsid w:val="000B78AE"/>
    <w:rsid w:val="000C0E39"/>
    <w:rsid w:val="000C0FA1"/>
    <w:rsid w:val="000C3255"/>
    <w:rsid w:val="000C3C28"/>
    <w:rsid w:val="000C3DF9"/>
    <w:rsid w:val="000C420A"/>
    <w:rsid w:val="000C4924"/>
    <w:rsid w:val="000C4B4B"/>
    <w:rsid w:val="000C4CF2"/>
    <w:rsid w:val="000C6713"/>
    <w:rsid w:val="000D1BFC"/>
    <w:rsid w:val="000D1D5D"/>
    <w:rsid w:val="000D20AA"/>
    <w:rsid w:val="000D281A"/>
    <w:rsid w:val="000D2848"/>
    <w:rsid w:val="000D326A"/>
    <w:rsid w:val="000D4870"/>
    <w:rsid w:val="000D4A06"/>
    <w:rsid w:val="000D51FB"/>
    <w:rsid w:val="000D679A"/>
    <w:rsid w:val="000D716C"/>
    <w:rsid w:val="000D7578"/>
    <w:rsid w:val="000D7CBC"/>
    <w:rsid w:val="000E053C"/>
    <w:rsid w:val="000E0640"/>
    <w:rsid w:val="000E0768"/>
    <w:rsid w:val="000E083E"/>
    <w:rsid w:val="000E11CD"/>
    <w:rsid w:val="000E135D"/>
    <w:rsid w:val="000E1699"/>
    <w:rsid w:val="000E3360"/>
    <w:rsid w:val="000E4977"/>
    <w:rsid w:val="000E4DFC"/>
    <w:rsid w:val="000E5D55"/>
    <w:rsid w:val="000E6A13"/>
    <w:rsid w:val="000F00BA"/>
    <w:rsid w:val="000F1040"/>
    <w:rsid w:val="000F1945"/>
    <w:rsid w:val="000F1FCC"/>
    <w:rsid w:val="000F316A"/>
    <w:rsid w:val="000F3B14"/>
    <w:rsid w:val="000F3C74"/>
    <w:rsid w:val="000F3FA3"/>
    <w:rsid w:val="000F44A1"/>
    <w:rsid w:val="000F466A"/>
    <w:rsid w:val="000F47BC"/>
    <w:rsid w:val="000F4BB8"/>
    <w:rsid w:val="000F4FA9"/>
    <w:rsid w:val="000F505F"/>
    <w:rsid w:val="000F53FB"/>
    <w:rsid w:val="000F59BC"/>
    <w:rsid w:val="000F6755"/>
    <w:rsid w:val="000F69CF"/>
    <w:rsid w:val="000F6EA4"/>
    <w:rsid w:val="000F7127"/>
    <w:rsid w:val="000F74BA"/>
    <w:rsid w:val="000F7B54"/>
    <w:rsid w:val="001000B3"/>
    <w:rsid w:val="00100BAB"/>
    <w:rsid w:val="00100F8A"/>
    <w:rsid w:val="00102545"/>
    <w:rsid w:val="00102D22"/>
    <w:rsid w:val="001040E0"/>
    <w:rsid w:val="0010452E"/>
    <w:rsid w:val="00104E2A"/>
    <w:rsid w:val="0010501C"/>
    <w:rsid w:val="00105AE2"/>
    <w:rsid w:val="001060C6"/>
    <w:rsid w:val="001069BC"/>
    <w:rsid w:val="00106B80"/>
    <w:rsid w:val="00107717"/>
    <w:rsid w:val="0011032E"/>
    <w:rsid w:val="00110547"/>
    <w:rsid w:val="00111302"/>
    <w:rsid w:val="0011348B"/>
    <w:rsid w:val="00113569"/>
    <w:rsid w:val="00115930"/>
    <w:rsid w:val="00115982"/>
    <w:rsid w:val="00116C53"/>
    <w:rsid w:val="00116D14"/>
    <w:rsid w:val="00117CD2"/>
    <w:rsid w:val="00117FEB"/>
    <w:rsid w:val="001201C4"/>
    <w:rsid w:val="00121799"/>
    <w:rsid w:val="001222FC"/>
    <w:rsid w:val="0012340E"/>
    <w:rsid w:val="00123902"/>
    <w:rsid w:val="00124A51"/>
    <w:rsid w:val="00126621"/>
    <w:rsid w:val="00126B1D"/>
    <w:rsid w:val="0012728D"/>
    <w:rsid w:val="001301E9"/>
    <w:rsid w:val="00131D82"/>
    <w:rsid w:val="00132B22"/>
    <w:rsid w:val="00133D36"/>
    <w:rsid w:val="001367F2"/>
    <w:rsid w:val="00136985"/>
    <w:rsid w:val="00137645"/>
    <w:rsid w:val="0014015A"/>
    <w:rsid w:val="00140E99"/>
    <w:rsid w:val="00143F67"/>
    <w:rsid w:val="00144B7F"/>
    <w:rsid w:val="00145234"/>
    <w:rsid w:val="00145540"/>
    <w:rsid w:val="001456B0"/>
    <w:rsid w:val="00145E19"/>
    <w:rsid w:val="0014602C"/>
    <w:rsid w:val="0015071B"/>
    <w:rsid w:val="00150D25"/>
    <w:rsid w:val="00150E7D"/>
    <w:rsid w:val="001518D0"/>
    <w:rsid w:val="00151E69"/>
    <w:rsid w:val="001521F6"/>
    <w:rsid w:val="0015241B"/>
    <w:rsid w:val="001539DF"/>
    <w:rsid w:val="001540B0"/>
    <w:rsid w:val="001547AB"/>
    <w:rsid w:val="00156C7F"/>
    <w:rsid w:val="00156F8F"/>
    <w:rsid w:val="00157130"/>
    <w:rsid w:val="001576B1"/>
    <w:rsid w:val="00157DCD"/>
    <w:rsid w:val="0016047B"/>
    <w:rsid w:val="00160A4C"/>
    <w:rsid w:val="00161B61"/>
    <w:rsid w:val="00161C96"/>
    <w:rsid w:val="00162913"/>
    <w:rsid w:val="001630EB"/>
    <w:rsid w:val="001637BF"/>
    <w:rsid w:val="00163EFF"/>
    <w:rsid w:val="00163F66"/>
    <w:rsid w:val="0016478E"/>
    <w:rsid w:val="00164994"/>
    <w:rsid w:val="00164B1F"/>
    <w:rsid w:val="00164D68"/>
    <w:rsid w:val="00164EA3"/>
    <w:rsid w:val="00165EC4"/>
    <w:rsid w:val="001661FB"/>
    <w:rsid w:val="00166B0D"/>
    <w:rsid w:val="001671A0"/>
    <w:rsid w:val="0016767F"/>
    <w:rsid w:val="00171139"/>
    <w:rsid w:val="001718FB"/>
    <w:rsid w:val="00171EC5"/>
    <w:rsid w:val="001721FD"/>
    <w:rsid w:val="00173565"/>
    <w:rsid w:val="00173B07"/>
    <w:rsid w:val="001743D4"/>
    <w:rsid w:val="00174FE0"/>
    <w:rsid w:val="001751FA"/>
    <w:rsid w:val="0017549A"/>
    <w:rsid w:val="00176E31"/>
    <w:rsid w:val="001777D0"/>
    <w:rsid w:val="001806AB"/>
    <w:rsid w:val="00180928"/>
    <w:rsid w:val="00181C10"/>
    <w:rsid w:val="00181D9C"/>
    <w:rsid w:val="00181E01"/>
    <w:rsid w:val="00183405"/>
    <w:rsid w:val="001834C7"/>
    <w:rsid w:val="0018360E"/>
    <w:rsid w:val="001837FF"/>
    <w:rsid w:val="00184B0E"/>
    <w:rsid w:val="001864B8"/>
    <w:rsid w:val="00186831"/>
    <w:rsid w:val="0018752F"/>
    <w:rsid w:val="00187EC9"/>
    <w:rsid w:val="00190DBE"/>
    <w:rsid w:val="001912B1"/>
    <w:rsid w:val="0019143A"/>
    <w:rsid w:val="00193838"/>
    <w:rsid w:val="00194AD8"/>
    <w:rsid w:val="00195222"/>
    <w:rsid w:val="00195452"/>
    <w:rsid w:val="00195945"/>
    <w:rsid w:val="00196D78"/>
    <w:rsid w:val="001975D8"/>
    <w:rsid w:val="001978FC"/>
    <w:rsid w:val="00197C23"/>
    <w:rsid w:val="00197EBA"/>
    <w:rsid w:val="001A178E"/>
    <w:rsid w:val="001A2489"/>
    <w:rsid w:val="001A43C5"/>
    <w:rsid w:val="001A43FA"/>
    <w:rsid w:val="001A47C5"/>
    <w:rsid w:val="001A59FB"/>
    <w:rsid w:val="001A5E9E"/>
    <w:rsid w:val="001A6354"/>
    <w:rsid w:val="001A6366"/>
    <w:rsid w:val="001A7AE8"/>
    <w:rsid w:val="001B070E"/>
    <w:rsid w:val="001B0C0C"/>
    <w:rsid w:val="001B204E"/>
    <w:rsid w:val="001B2372"/>
    <w:rsid w:val="001B2CC1"/>
    <w:rsid w:val="001B30FC"/>
    <w:rsid w:val="001B3443"/>
    <w:rsid w:val="001B3BE7"/>
    <w:rsid w:val="001B4D20"/>
    <w:rsid w:val="001B5746"/>
    <w:rsid w:val="001B59A6"/>
    <w:rsid w:val="001B5CA9"/>
    <w:rsid w:val="001B661E"/>
    <w:rsid w:val="001B6D76"/>
    <w:rsid w:val="001B6F6C"/>
    <w:rsid w:val="001B7473"/>
    <w:rsid w:val="001B7F84"/>
    <w:rsid w:val="001C1B94"/>
    <w:rsid w:val="001C2A9B"/>
    <w:rsid w:val="001C3349"/>
    <w:rsid w:val="001C3AE8"/>
    <w:rsid w:val="001C3DD6"/>
    <w:rsid w:val="001C4299"/>
    <w:rsid w:val="001C4874"/>
    <w:rsid w:val="001C4CE1"/>
    <w:rsid w:val="001C5C36"/>
    <w:rsid w:val="001C5F94"/>
    <w:rsid w:val="001C6E66"/>
    <w:rsid w:val="001D1100"/>
    <w:rsid w:val="001D11DE"/>
    <w:rsid w:val="001D1391"/>
    <w:rsid w:val="001D1FD9"/>
    <w:rsid w:val="001D25D7"/>
    <w:rsid w:val="001D4FFF"/>
    <w:rsid w:val="001D50B2"/>
    <w:rsid w:val="001D591C"/>
    <w:rsid w:val="001D694F"/>
    <w:rsid w:val="001D71F4"/>
    <w:rsid w:val="001D75A4"/>
    <w:rsid w:val="001D7645"/>
    <w:rsid w:val="001D7DAC"/>
    <w:rsid w:val="001D7FE5"/>
    <w:rsid w:val="001E18A2"/>
    <w:rsid w:val="001E1CDC"/>
    <w:rsid w:val="001E1E86"/>
    <w:rsid w:val="001E238E"/>
    <w:rsid w:val="001E2483"/>
    <w:rsid w:val="001E2B1E"/>
    <w:rsid w:val="001E2CFF"/>
    <w:rsid w:val="001E2F24"/>
    <w:rsid w:val="001E30D4"/>
    <w:rsid w:val="001E32EC"/>
    <w:rsid w:val="001E34DF"/>
    <w:rsid w:val="001E4EEE"/>
    <w:rsid w:val="001E514B"/>
    <w:rsid w:val="001E51D9"/>
    <w:rsid w:val="001E52EB"/>
    <w:rsid w:val="001E61D2"/>
    <w:rsid w:val="001E6244"/>
    <w:rsid w:val="001E6623"/>
    <w:rsid w:val="001E6791"/>
    <w:rsid w:val="001E740C"/>
    <w:rsid w:val="001E7FCB"/>
    <w:rsid w:val="001F01A7"/>
    <w:rsid w:val="001F1235"/>
    <w:rsid w:val="001F14A1"/>
    <w:rsid w:val="001F1CB3"/>
    <w:rsid w:val="001F2B9F"/>
    <w:rsid w:val="001F38B5"/>
    <w:rsid w:val="001F3D2B"/>
    <w:rsid w:val="001F4081"/>
    <w:rsid w:val="001F444C"/>
    <w:rsid w:val="001F7361"/>
    <w:rsid w:val="001F7765"/>
    <w:rsid w:val="001F7838"/>
    <w:rsid w:val="002011B0"/>
    <w:rsid w:val="002027DB"/>
    <w:rsid w:val="00203181"/>
    <w:rsid w:val="00203783"/>
    <w:rsid w:val="0020383C"/>
    <w:rsid w:val="0020385F"/>
    <w:rsid w:val="002038A7"/>
    <w:rsid w:val="0020453C"/>
    <w:rsid w:val="00205438"/>
    <w:rsid w:val="00205595"/>
    <w:rsid w:val="0020667F"/>
    <w:rsid w:val="002068A0"/>
    <w:rsid w:val="00206B51"/>
    <w:rsid w:val="00207021"/>
    <w:rsid w:val="0020732F"/>
    <w:rsid w:val="00207D00"/>
    <w:rsid w:val="002102B7"/>
    <w:rsid w:val="002105C1"/>
    <w:rsid w:val="00210F71"/>
    <w:rsid w:val="00211590"/>
    <w:rsid w:val="002116FD"/>
    <w:rsid w:val="0021250D"/>
    <w:rsid w:val="002134E1"/>
    <w:rsid w:val="00213C98"/>
    <w:rsid w:val="00213EF5"/>
    <w:rsid w:val="0021425E"/>
    <w:rsid w:val="002149DA"/>
    <w:rsid w:val="00216BF5"/>
    <w:rsid w:val="0022060B"/>
    <w:rsid w:val="002232FD"/>
    <w:rsid w:val="00223B49"/>
    <w:rsid w:val="00223D5A"/>
    <w:rsid w:val="00224DD4"/>
    <w:rsid w:val="0022623A"/>
    <w:rsid w:val="002268F7"/>
    <w:rsid w:val="002278A0"/>
    <w:rsid w:val="002309CC"/>
    <w:rsid w:val="00231BA9"/>
    <w:rsid w:val="0023209F"/>
    <w:rsid w:val="002322FF"/>
    <w:rsid w:val="002327DD"/>
    <w:rsid w:val="002333BB"/>
    <w:rsid w:val="00233A69"/>
    <w:rsid w:val="00233C01"/>
    <w:rsid w:val="0023413C"/>
    <w:rsid w:val="002344DF"/>
    <w:rsid w:val="002346F0"/>
    <w:rsid w:val="00235882"/>
    <w:rsid w:val="00235A57"/>
    <w:rsid w:val="0023629D"/>
    <w:rsid w:val="00236F9F"/>
    <w:rsid w:val="00237255"/>
    <w:rsid w:val="002376D3"/>
    <w:rsid w:val="0024008E"/>
    <w:rsid w:val="002424AA"/>
    <w:rsid w:val="002424AF"/>
    <w:rsid w:val="0024288E"/>
    <w:rsid w:val="00242DDF"/>
    <w:rsid w:val="00243220"/>
    <w:rsid w:val="00243457"/>
    <w:rsid w:val="002439DC"/>
    <w:rsid w:val="00243F25"/>
    <w:rsid w:val="002441D2"/>
    <w:rsid w:val="00244558"/>
    <w:rsid w:val="00244DC8"/>
    <w:rsid w:val="002458BA"/>
    <w:rsid w:val="00245CE9"/>
    <w:rsid w:val="00245FBD"/>
    <w:rsid w:val="0024636C"/>
    <w:rsid w:val="002469C1"/>
    <w:rsid w:val="00247925"/>
    <w:rsid w:val="00251006"/>
    <w:rsid w:val="002524D5"/>
    <w:rsid w:val="00253217"/>
    <w:rsid w:val="0025387D"/>
    <w:rsid w:val="00253B1D"/>
    <w:rsid w:val="00253C7B"/>
    <w:rsid w:val="00253DF9"/>
    <w:rsid w:val="00254DCF"/>
    <w:rsid w:val="00254E26"/>
    <w:rsid w:val="0025534B"/>
    <w:rsid w:val="00255BB7"/>
    <w:rsid w:val="00256B92"/>
    <w:rsid w:val="00257541"/>
    <w:rsid w:val="00257A39"/>
    <w:rsid w:val="00257AC4"/>
    <w:rsid w:val="00257AC6"/>
    <w:rsid w:val="00257BBE"/>
    <w:rsid w:val="00260BC8"/>
    <w:rsid w:val="00261D64"/>
    <w:rsid w:val="00261EEF"/>
    <w:rsid w:val="00262A1A"/>
    <w:rsid w:val="00262A87"/>
    <w:rsid w:val="00262C8C"/>
    <w:rsid w:val="00263328"/>
    <w:rsid w:val="00264700"/>
    <w:rsid w:val="00264787"/>
    <w:rsid w:val="00264D26"/>
    <w:rsid w:val="00265D0B"/>
    <w:rsid w:val="0026658C"/>
    <w:rsid w:val="00266B9D"/>
    <w:rsid w:val="002673A3"/>
    <w:rsid w:val="00267642"/>
    <w:rsid w:val="00267AEA"/>
    <w:rsid w:val="002700E6"/>
    <w:rsid w:val="002706B8"/>
    <w:rsid w:val="0027226E"/>
    <w:rsid w:val="00272391"/>
    <w:rsid w:val="0027294B"/>
    <w:rsid w:val="00273EB4"/>
    <w:rsid w:val="0027407C"/>
    <w:rsid w:val="00274682"/>
    <w:rsid w:val="00275158"/>
    <w:rsid w:val="00275C5A"/>
    <w:rsid w:val="00281014"/>
    <w:rsid w:val="00281A77"/>
    <w:rsid w:val="00281ECD"/>
    <w:rsid w:val="0028205A"/>
    <w:rsid w:val="0028299A"/>
    <w:rsid w:val="0028303C"/>
    <w:rsid w:val="002841FC"/>
    <w:rsid w:val="00285194"/>
    <w:rsid w:val="00285629"/>
    <w:rsid w:val="00285869"/>
    <w:rsid w:val="00285BCE"/>
    <w:rsid w:val="00285C21"/>
    <w:rsid w:val="002861E4"/>
    <w:rsid w:val="0028665D"/>
    <w:rsid w:val="002879E3"/>
    <w:rsid w:val="002906A9"/>
    <w:rsid w:val="0029301E"/>
    <w:rsid w:val="0029372F"/>
    <w:rsid w:val="00295B06"/>
    <w:rsid w:val="00295E4F"/>
    <w:rsid w:val="00295FAE"/>
    <w:rsid w:val="00296661"/>
    <w:rsid w:val="00297D27"/>
    <w:rsid w:val="002A08DC"/>
    <w:rsid w:val="002A1375"/>
    <w:rsid w:val="002A14AB"/>
    <w:rsid w:val="002A2ADE"/>
    <w:rsid w:val="002A2D23"/>
    <w:rsid w:val="002A2F50"/>
    <w:rsid w:val="002A37F9"/>
    <w:rsid w:val="002A4D98"/>
    <w:rsid w:val="002A550E"/>
    <w:rsid w:val="002A5BFC"/>
    <w:rsid w:val="002A642C"/>
    <w:rsid w:val="002A7878"/>
    <w:rsid w:val="002A7943"/>
    <w:rsid w:val="002A7F96"/>
    <w:rsid w:val="002B02F8"/>
    <w:rsid w:val="002B05A1"/>
    <w:rsid w:val="002B09A4"/>
    <w:rsid w:val="002B1C1F"/>
    <w:rsid w:val="002B1D17"/>
    <w:rsid w:val="002B27D8"/>
    <w:rsid w:val="002B432F"/>
    <w:rsid w:val="002B4838"/>
    <w:rsid w:val="002B62B3"/>
    <w:rsid w:val="002B6754"/>
    <w:rsid w:val="002B69AE"/>
    <w:rsid w:val="002B6CCE"/>
    <w:rsid w:val="002B7BEE"/>
    <w:rsid w:val="002C0B14"/>
    <w:rsid w:val="002C11B9"/>
    <w:rsid w:val="002C1532"/>
    <w:rsid w:val="002C17A3"/>
    <w:rsid w:val="002C2510"/>
    <w:rsid w:val="002C2775"/>
    <w:rsid w:val="002C27C1"/>
    <w:rsid w:val="002C29DC"/>
    <w:rsid w:val="002C36E3"/>
    <w:rsid w:val="002C47DD"/>
    <w:rsid w:val="002C5099"/>
    <w:rsid w:val="002C5889"/>
    <w:rsid w:val="002C71CE"/>
    <w:rsid w:val="002D08F8"/>
    <w:rsid w:val="002D0BE1"/>
    <w:rsid w:val="002D1E30"/>
    <w:rsid w:val="002D21B8"/>
    <w:rsid w:val="002D2845"/>
    <w:rsid w:val="002D2EEA"/>
    <w:rsid w:val="002D34B7"/>
    <w:rsid w:val="002D520E"/>
    <w:rsid w:val="002D577C"/>
    <w:rsid w:val="002D749A"/>
    <w:rsid w:val="002D7832"/>
    <w:rsid w:val="002E0E81"/>
    <w:rsid w:val="002E1071"/>
    <w:rsid w:val="002E132E"/>
    <w:rsid w:val="002E15B9"/>
    <w:rsid w:val="002E186F"/>
    <w:rsid w:val="002E1949"/>
    <w:rsid w:val="002E2158"/>
    <w:rsid w:val="002E4530"/>
    <w:rsid w:val="002E46BE"/>
    <w:rsid w:val="002E4F02"/>
    <w:rsid w:val="002E5142"/>
    <w:rsid w:val="002E6AB8"/>
    <w:rsid w:val="002E73B5"/>
    <w:rsid w:val="002E7657"/>
    <w:rsid w:val="002E7722"/>
    <w:rsid w:val="002F0229"/>
    <w:rsid w:val="002F07BA"/>
    <w:rsid w:val="002F0DA9"/>
    <w:rsid w:val="002F1014"/>
    <w:rsid w:val="002F167D"/>
    <w:rsid w:val="002F1811"/>
    <w:rsid w:val="002F1E3B"/>
    <w:rsid w:val="002F297E"/>
    <w:rsid w:val="002F4CF3"/>
    <w:rsid w:val="002F5438"/>
    <w:rsid w:val="002F5AE0"/>
    <w:rsid w:val="002F643C"/>
    <w:rsid w:val="002F7052"/>
    <w:rsid w:val="002F71C0"/>
    <w:rsid w:val="002F74F1"/>
    <w:rsid w:val="002F7F46"/>
    <w:rsid w:val="00301017"/>
    <w:rsid w:val="0030155F"/>
    <w:rsid w:val="00301F50"/>
    <w:rsid w:val="003036D2"/>
    <w:rsid w:val="00303BB2"/>
    <w:rsid w:val="0030587B"/>
    <w:rsid w:val="00305DB5"/>
    <w:rsid w:val="00305EAF"/>
    <w:rsid w:val="00306158"/>
    <w:rsid w:val="00306632"/>
    <w:rsid w:val="00306867"/>
    <w:rsid w:val="00306D98"/>
    <w:rsid w:val="0030786C"/>
    <w:rsid w:val="0031031A"/>
    <w:rsid w:val="00310981"/>
    <w:rsid w:val="00311D9B"/>
    <w:rsid w:val="003124D9"/>
    <w:rsid w:val="00312594"/>
    <w:rsid w:val="00312C83"/>
    <w:rsid w:val="00312DE9"/>
    <w:rsid w:val="0031337A"/>
    <w:rsid w:val="00313AC5"/>
    <w:rsid w:val="00314D17"/>
    <w:rsid w:val="00315498"/>
    <w:rsid w:val="00315691"/>
    <w:rsid w:val="00316474"/>
    <w:rsid w:val="00316B52"/>
    <w:rsid w:val="003213D5"/>
    <w:rsid w:val="00322107"/>
    <w:rsid w:val="00322355"/>
    <w:rsid w:val="00322846"/>
    <w:rsid w:val="003233B8"/>
    <w:rsid w:val="00324E12"/>
    <w:rsid w:val="003255AA"/>
    <w:rsid w:val="00326DA7"/>
    <w:rsid w:val="003270E4"/>
    <w:rsid w:val="003276C5"/>
    <w:rsid w:val="00327804"/>
    <w:rsid w:val="00330DAA"/>
    <w:rsid w:val="00330F5C"/>
    <w:rsid w:val="00332553"/>
    <w:rsid w:val="003332DE"/>
    <w:rsid w:val="0033564F"/>
    <w:rsid w:val="00335DE5"/>
    <w:rsid w:val="00336007"/>
    <w:rsid w:val="003366C9"/>
    <w:rsid w:val="00336E38"/>
    <w:rsid w:val="003371B0"/>
    <w:rsid w:val="003376B8"/>
    <w:rsid w:val="00337E83"/>
    <w:rsid w:val="00337F32"/>
    <w:rsid w:val="00340C23"/>
    <w:rsid w:val="00340DF1"/>
    <w:rsid w:val="00341165"/>
    <w:rsid w:val="00342DA0"/>
    <w:rsid w:val="00343ED2"/>
    <w:rsid w:val="003441E7"/>
    <w:rsid w:val="0034484D"/>
    <w:rsid w:val="003473DF"/>
    <w:rsid w:val="003507F3"/>
    <w:rsid w:val="00350850"/>
    <w:rsid w:val="003517F9"/>
    <w:rsid w:val="00351BA9"/>
    <w:rsid w:val="003528E1"/>
    <w:rsid w:val="00353D9C"/>
    <w:rsid w:val="00354666"/>
    <w:rsid w:val="00354DC2"/>
    <w:rsid w:val="00354F64"/>
    <w:rsid w:val="0035620E"/>
    <w:rsid w:val="00356C89"/>
    <w:rsid w:val="00356E77"/>
    <w:rsid w:val="003575BE"/>
    <w:rsid w:val="00360345"/>
    <w:rsid w:val="003605FC"/>
    <w:rsid w:val="00361A05"/>
    <w:rsid w:val="0036218C"/>
    <w:rsid w:val="003621D5"/>
    <w:rsid w:val="003624C4"/>
    <w:rsid w:val="00363033"/>
    <w:rsid w:val="0036305D"/>
    <w:rsid w:val="003632F9"/>
    <w:rsid w:val="00363590"/>
    <w:rsid w:val="003639BB"/>
    <w:rsid w:val="00363B00"/>
    <w:rsid w:val="0036507B"/>
    <w:rsid w:val="003654AC"/>
    <w:rsid w:val="00367F75"/>
    <w:rsid w:val="003704C4"/>
    <w:rsid w:val="003708C8"/>
    <w:rsid w:val="003710CF"/>
    <w:rsid w:val="00371C21"/>
    <w:rsid w:val="003720AA"/>
    <w:rsid w:val="0037302B"/>
    <w:rsid w:val="003730C8"/>
    <w:rsid w:val="0037358A"/>
    <w:rsid w:val="003750F6"/>
    <w:rsid w:val="00375224"/>
    <w:rsid w:val="003760CD"/>
    <w:rsid w:val="003760FC"/>
    <w:rsid w:val="0037612C"/>
    <w:rsid w:val="00380C0E"/>
    <w:rsid w:val="00381810"/>
    <w:rsid w:val="0038365C"/>
    <w:rsid w:val="0038369B"/>
    <w:rsid w:val="00383B78"/>
    <w:rsid w:val="003846B8"/>
    <w:rsid w:val="00384842"/>
    <w:rsid w:val="00385A9D"/>
    <w:rsid w:val="00386591"/>
    <w:rsid w:val="00387121"/>
    <w:rsid w:val="00390039"/>
    <w:rsid w:val="003902B1"/>
    <w:rsid w:val="00390A46"/>
    <w:rsid w:val="0039179C"/>
    <w:rsid w:val="00392A82"/>
    <w:rsid w:val="00393C86"/>
    <w:rsid w:val="00394803"/>
    <w:rsid w:val="0039570D"/>
    <w:rsid w:val="00395AAF"/>
    <w:rsid w:val="00395AB5"/>
    <w:rsid w:val="00396026"/>
    <w:rsid w:val="00396896"/>
    <w:rsid w:val="00396FD0"/>
    <w:rsid w:val="003971DD"/>
    <w:rsid w:val="003A0D4E"/>
    <w:rsid w:val="003A12B7"/>
    <w:rsid w:val="003A143C"/>
    <w:rsid w:val="003A1A7A"/>
    <w:rsid w:val="003A2133"/>
    <w:rsid w:val="003A2392"/>
    <w:rsid w:val="003A2831"/>
    <w:rsid w:val="003A2867"/>
    <w:rsid w:val="003A3605"/>
    <w:rsid w:val="003A372D"/>
    <w:rsid w:val="003A3CB6"/>
    <w:rsid w:val="003A3ED1"/>
    <w:rsid w:val="003A44DB"/>
    <w:rsid w:val="003A4775"/>
    <w:rsid w:val="003A4B30"/>
    <w:rsid w:val="003A4C14"/>
    <w:rsid w:val="003A5C31"/>
    <w:rsid w:val="003A617C"/>
    <w:rsid w:val="003A7384"/>
    <w:rsid w:val="003B1FDB"/>
    <w:rsid w:val="003B21A3"/>
    <w:rsid w:val="003B3971"/>
    <w:rsid w:val="003B3A1B"/>
    <w:rsid w:val="003B3BAD"/>
    <w:rsid w:val="003B3FBD"/>
    <w:rsid w:val="003B5135"/>
    <w:rsid w:val="003B55D1"/>
    <w:rsid w:val="003B5B61"/>
    <w:rsid w:val="003B7497"/>
    <w:rsid w:val="003C0FEE"/>
    <w:rsid w:val="003C1113"/>
    <w:rsid w:val="003C1654"/>
    <w:rsid w:val="003C18EA"/>
    <w:rsid w:val="003C22C9"/>
    <w:rsid w:val="003C2463"/>
    <w:rsid w:val="003C5542"/>
    <w:rsid w:val="003C5CF6"/>
    <w:rsid w:val="003C6685"/>
    <w:rsid w:val="003C6CD5"/>
    <w:rsid w:val="003C7C15"/>
    <w:rsid w:val="003C7D19"/>
    <w:rsid w:val="003C7D2F"/>
    <w:rsid w:val="003D0C5A"/>
    <w:rsid w:val="003D10AB"/>
    <w:rsid w:val="003D1828"/>
    <w:rsid w:val="003D18B7"/>
    <w:rsid w:val="003D1DE4"/>
    <w:rsid w:val="003D1E9A"/>
    <w:rsid w:val="003D2422"/>
    <w:rsid w:val="003D39A1"/>
    <w:rsid w:val="003D3FBF"/>
    <w:rsid w:val="003D4A30"/>
    <w:rsid w:val="003D6FAD"/>
    <w:rsid w:val="003D7452"/>
    <w:rsid w:val="003D7848"/>
    <w:rsid w:val="003D79BB"/>
    <w:rsid w:val="003D7C98"/>
    <w:rsid w:val="003D7D9D"/>
    <w:rsid w:val="003D7F39"/>
    <w:rsid w:val="003E0543"/>
    <w:rsid w:val="003E3FD6"/>
    <w:rsid w:val="003E5603"/>
    <w:rsid w:val="003E61D7"/>
    <w:rsid w:val="003E749E"/>
    <w:rsid w:val="003F0F2E"/>
    <w:rsid w:val="003F1D07"/>
    <w:rsid w:val="003F249F"/>
    <w:rsid w:val="003F2B8D"/>
    <w:rsid w:val="003F3E64"/>
    <w:rsid w:val="003F4156"/>
    <w:rsid w:val="003F41D9"/>
    <w:rsid w:val="003F49E1"/>
    <w:rsid w:val="003F52E5"/>
    <w:rsid w:val="003F5ADF"/>
    <w:rsid w:val="003F5DF7"/>
    <w:rsid w:val="003F63F8"/>
    <w:rsid w:val="003F73C0"/>
    <w:rsid w:val="00400B29"/>
    <w:rsid w:val="00400D9D"/>
    <w:rsid w:val="00401408"/>
    <w:rsid w:val="00401AA0"/>
    <w:rsid w:val="00402812"/>
    <w:rsid w:val="0040504B"/>
    <w:rsid w:val="0040522D"/>
    <w:rsid w:val="004059F4"/>
    <w:rsid w:val="00406792"/>
    <w:rsid w:val="00407FE5"/>
    <w:rsid w:val="004100C5"/>
    <w:rsid w:val="004101B0"/>
    <w:rsid w:val="00410326"/>
    <w:rsid w:val="00410708"/>
    <w:rsid w:val="00410EC7"/>
    <w:rsid w:val="00411B39"/>
    <w:rsid w:val="004127A7"/>
    <w:rsid w:val="00413A1E"/>
    <w:rsid w:val="00413AE9"/>
    <w:rsid w:val="004140C9"/>
    <w:rsid w:val="00414476"/>
    <w:rsid w:val="00414707"/>
    <w:rsid w:val="0041488C"/>
    <w:rsid w:val="00414C2E"/>
    <w:rsid w:val="004151CF"/>
    <w:rsid w:val="00415554"/>
    <w:rsid w:val="00415C0F"/>
    <w:rsid w:val="00416364"/>
    <w:rsid w:val="00417E16"/>
    <w:rsid w:val="00417F80"/>
    <w:rsid w:val="0042047F"/>
    <w:rsid w:val="00420AA6"/>
    <w:rsid w:val="00420B9F"/>
    <w:rsid w:val="004216A6"/>
    <w:rsid w:val="0042192C"/>
    <w:rsid w:val="00422260"/>
    <w:rsid w:val="00423055"/>
    <w:rsid w:val="00423E72"/>
    <w:rsid w:val="0042413F"/>
    <w:rsid w:val="00424CF3"/>
    <w:rsid w:val="00425B64"/>
    <w:rsid w:val="00427B1B"/>
    <w:rsid w:val="00427B77"/>
    <w:rsid w:val="00427F6B"/>
    <w:rsid w:val="004300CA"/>
    <w:rsid w:val="00431436"/>
    <w:rsid w:val="004319F8"/>
    <w:rsid w:val="00431E55"/>
    <w:rsid w:val="004321F6"/>
    <w:rsid w:val="004329CB"/>
    <w:rsid w:val="00432B5F"/>
    <w:rsid w:val="00433044"/>
    <w:rsid w:val="00434088"/>
    <w:rsid w:val="0043563E"/>
    <w:rsid w:val="00435707"/>
    <w:rsid w:val="00435BC9"/>
    <w:rsid w:val="004375B9"/>
    <w:rsid w:val="00437C05"/>
    <w:rsid w:val="004405C5"/>
    <w:rsid w:val="004428D0"/>
    <w:rsid w:val="00442BBD"/>
    <w:rsid w:val="00442E7D"/>
    <w:rsid w:val="00443F15"/>
    <w:rsid w:val="00444185"/>
    <w:rsid w:val="004442D1"/>
    <w:rsid w:val="004443A7"/>
    <w:rsid w:val="0044442C"/>
    <w:rsid w:val="004452E8"/>
    <w:rsid w:val="004453A6"/>
    <w:rsid w:val="00445941"/>
    <w:rsid w:val="00445CC9"/>
    <w:rsid w:val="004464EB"/>
    <w:rsid w:val="004467D1"/>
    <w:rsid w:val="00447971"/>
    <w:rsid w:val="00447D26"/>
    <w:rsid w:val="00447DFC"/>
    <w:rsid w:val="004514BD"/>
    <w:rsid w:val="004556DF"/>
    <w:rsid w:val="004556F6"/>
    <w:rsid w:val="00455D45"/>
    <w:rsid w:val="004560B1"/>
    <w:rsid w:val="0045660F"/>
    <w:rsid w:val="00456EF5"/>
    <w:rsid w:val="00457055"/>
    <w:rsid w:val="00457097"/>
    <w:rsid w:val="0045741B"/>
    <w:rsid w:val="0045744D"/>
    <w:rsid w:val="00457720"/>
    <w:rsid w:val="0046021C"/>
    <w:rsid w:val="004603B7"/>
    <w:rsid w:val="00461EA4"/>
    <w:rsid w:val="004637D0"/>
    <w:rsid w:val="00463B4D"/>
    <w:rsid w:val="00464595"/>
    <w:rsid w:val="00464A6A"/>
    <w:rsid w:val="0046567E"/>
    <w:rsid w:val="004658B5"/>
    <w:rsid w:val="0047055F"/>
    <w:rsid w:val="00471EA5"/>
    <w:rsid w:val="00472A79"/>
    <w:rsid w:val="0047332A"/>
    <w:rsid w:val="00473F19"/>
    <w:rsid w:val="00475230"/>
    <w:rsid w:val="00475B9B"/>
    <w:rsid w:val="00475BC2"/>
    <w:rsid w:val="00475E22"/>
    <w:rsid w:val="004764DF"/>
    <w:rsid w:val="00476B8E"/>
    <w:rsid w:val="00477002"/>
    <w:rsid w:val="00477BAB"/>
    <w:rsid w:val="0048088E"/>
    <w:rsid w:val="00480F2B"/>
    <w:rsid w:val="00482720"/>
    <w:rsid w:val="004835E7"/>
    <w:rsid w:val="004859E1"/>
    <w:rsid w:val="00486432"/>
    <w:rsid w:val="0048651A"/>
    <w:rsid w:val="004867E2"/>
    <w:rsid w:val="00487246"/>
    <w:rsid w:val="00487416"/>
    <w:rsid w:val="00490B17"/>
    <w:rsid w:val="00491520"/>
    <w:rsid w:val="00491A73"/>
    <w:rsid w:val="00491B3A"/>
    <w:rsid w:val="004920AF"/>
    <w:rsid w:val="00492CFD"/>
    <w:rsid w:val="00494207"/>
    <w:rsid w:val="00494DD5"/>
    <w:rsid w:val="004962D2"/>
    <w:rsid w:val="00496F19"/>
    <w:rsid w:val="004A0C5E"/>
    <w:rsid w:val="004A0DA1"/>
    <w:rsid w:val="004A13D6"/>
    <w:rsid w:val="004A26E1"/>
    <w:rsid w:val="004A4B43"/>
    <w:rsid w:val="004A52E9"/>
    <w:rsid w:val="004A5E44"/>
    <w:rsid w:val="004A5F23"/>
    <w:rsid w:val="004A6040"/>
    <w:rsid w:val="004A61FC"/>
    <w:rsid w:val="004A6597"/>
    <w:rsid w:val="004A74AA"/>
    <w:rsid w:val="004A7848"/>
    <w:rsid w:val="004A793B"/>
    <w:rsid w:val="004B1C61"/>
    <w:rsid w:val="004B1CB4"/>
    <w:rsid w:val="004B25A7"/>
    <w:rsid w:val="004B2F18"/>
    <w:rsid w:val="004B3998"/>
    <w:rsid w:val="004B3DDB"/>
    <w:rsid w:val="004B44FD"/>
    <w:rsid w:val="004B45B9"/>
    <w:rsid w:val="004B4C56"/>
    <w:rsid w:val="004B5CFC"/>
    <w:rsid w:val="004B6F32"/>
    <w:rsid w:val="004B6F79"/>
    <w:rsid w:val="004B774D"/>
    <w:rsid w:val="004C0F30"/>
    <w:rsid w:val="004C1820"/>
    <w:rsid w:val="004C1DD6"/>
    <w:rsid w:val="004C2AC2"/>
    <w:rsid w:val="004C34F5"/>
    <w:rsid w:val="004C4121"/>
    <w:rsid w:val="004C4147"/>
    <w:rsid w:val="004C4540"/>
    <w:rsid w:val="004C4AED"/>
    <w:rsid w:val="004D0829"/>
    <w:rsid w:val="004D1240"/>
    <w:rsid w:val="004D2C2D"/>
    <w:rsid w:val="004D3714"/>
    <w:rsid w:val="004D3BD8"/>
    <w:rsid w:val="004D4D30"/>
    <w:rsid w:val="004D65BF"/>
    <w:rsid w:val="004D69B5"/>
    <w:rsid w:val="004D7227"/>
    <w:rsid w:val="004D7B5E"/>
    <w:rsid w:val="004E00EE"/>
    <w:rsid w:val="004E0146"/>
    <w:rsid w:val="004E0E7F"/>
    <w:rsid w:val="004E0EB8"/>
    <w:rsid w:val="004E18E9"/>
    <w:rsid w:val="004E2491"/>
    <w:rsid w:val="004E26A5"/>
    <w:rsid w:val="004E2ADC"/>
    <w:rsid w:val="004E43B2"/>
    <w:rsid w:val="004E6069"/>
    <w:rsid w:val="004F02BD"/>
    <w:rsid w:val="004F02F3"/>
    <w:rsid w:val="004F1891"/>
    <w:rsid w:val="004F1D02"/>
    <w:rsid w:val="004F2384"/>
    <w:rsid w:val="004F2679"/>
    <w:rsid w:val="004F2F21"/>
    <w:rsid w:val="004F3DE5"/>
    <w:rsid w:val="004F6913"/>
    <w:rsid w:val="004F7029"/>
    <w:rsid w:val="004F7748"/>
    <w:rsid w:val="004F7845"/>
    <w:rsid w:val="004F7865"/>
    <w:rsid w:val="004F7B04"/>
    <w:rsid w:val="00500208"/>
    <w:rsid w:val="005009E8"/>
    <w:rsid w:val="005015DB"/>
    <w:rsid w:val="0050174E"/>
    <w:rsid w:val="0050181B"/>
    <w:rsid w:val="00501854"/>
    <w:rsid w:val="0050219B"/>
    <w:rsid w:val="00502C3D"/>
    <w:rsid w:val="00503F17"/>
    <w:rsid w:val="00503F3A"/>
    <w:rsid w:val="00504F67"/>
    <w:rsid w:val="00505CA9"/>
    <w:rsid w:val="00506019"/>
    <w:rsid w:val="00506928"/>
    <w:rsid w:val="00506CA5"/>
    <w:rsid w:val="005077EF"/>
    <w:rsid w:val="00507C88"/>
    <w:rsid w:val="0051028B"/>
    <w:rsid w:val="00510F00"/>
    <w:rsid w:val="00511577"/>
    <w:rsid w:val="005118D9"/>
    <w:rsid w:val="00511AD5"/>
    <w:rsid w:val="00511DC7"/>
    <w:rsid w:val="00513A7A"/>
    <w:rsid w:val="005142C5"/>
    <w:rsid w:val="0051501B"/>
    <w:rsid w:val="005152B5"/>
    <w:rsid w:val="00515886"/>
    <w:rsid w:val="00516B44"/>
    <w:rsid w:val="005175F6"/>
    <w:rsid w:val="0052123C"/>
    <w:rsid w:val="00521319"/>
    <w:rsid w:val="00521F2B"/>
    <w:rsid w:val="00522815"/>
    <w:rsid w:val="00522BC8"/>
    <w:rsid w:val="00523C28"/>
    <w:rsid w:val="005244F9"/>
    <w:rsid w:val="00524D45"/>
    <w:rsid w:val="0053176B"/>
    <w:rsid w:val="005318C7"/>
    <w:rsid w:val="00531EEA"/>
    <w:rsid w:val="00533F70"/>
    <w:rsid w:val="005341B3"/>
    <w:rsid w:val="005352A2"/>
    <w:rsid w:val="00536743"/>
    <w:rsid w:val="00536F42"/>
    <w:rsid w:val="00537182"/>
    <w:rsid w:val="005376F3"/>
    <w:rsid w:val="00537971"/>
    <w:rsid w:val="005410C6"/>
    <w:rsid w:val="00541EDD"/>
    <w:rsid w:val="00542743"/>
    <w:rsid w:val="00542C2D"/>
    <w:rsid w:val="00544212"/>
    <w:rsid w:val="00544877"/>
    <w:rsid w:val="00544F0E"/>
    <w:rsid w:val="005461DB"/>
    <w:rsid w:val="005478BD"/>
    <w:rsid w:val="005479E3"/>
    <w:rsid w:val="0055023F"/>
    <w:rsid w:val="0055154D"/>
    <w:rsid w:val="00551985"/>
    <w:rsid w:val="00552BD3"/>
    <w:rsid w:val="005532A0"/>
    <w:rsid w:val="0055350A"/>
    <w:rsid w:val="00553F1E"/>
    <w:rsid w:val="00553F71"/>
    <w:rsid w:val="0055443B"/>
    <w:rsid w:val="00554F4C"/>
    <w:rsid w:val="00555109"/>
    <w:rsid w:val="0055687D"/>
    <w:rsid w:val="00556B35"/>
    <w:rsid w:val="0055741A"/>
    <w:rsid w:val="005608ED"/>
    <w:rsid w:val="00560F5C"/>
    <w:rsid w:val="0056116E"/>
    <w:rsid w:val="005611B7"/>
    <w:rsid w:val="005618D4"/>
    <w:rsid w:val="00563280"/>
    <w:rsid w:val="00564867"/>
    <w:rsid w:val="00565C79"/>
    <w:rsid w:val="00565DB4"/>
    <w:rsid w:val="00565DF0"/>
    <w:rsid w:val="0056696F"/>
    <w:rsid w:val="0056717E"/>
    <w:rsid w:val="005675AF"/>
    <w:rsid w:val="00572269"/>
    <w:rsid w:val="0057244A"/>
    <w:rsid w:val="00572F26"/>
    <w:rsid w:val="00572FC1"/>
    <w:rsid w:val="0057374B"/>
    <w:rsid w:val="0057403D"/>
    <w:rsid w:val="00574E08"/>
    <w:rsid w:val="00574FE0"/>
    <w:rsid w:val="005750C5"/>
    <w:rsid w:val="00575295"/>
    <w:rsid w:val="005752DE"/>
    <w:rsid w:val="005756E2"/>
    <w:rsid w:val="0057573B"/>
    <w:rsid w:val="00575D4C"/>
    <w:rsid w:val="00575D60"/>
    <w:rsid w:val="00575D8D"/>
    <w:rsid w:val="00576972"/>
    <w:rsid w:val="00577248"/>
    <w:rsid w:val="0057733F"/>
    <w:rsid w:val="00577486"/>
    <w:rsid w:val="00577DBF"/>
    <w:rsid w:val="00583699"/>
    <w:rsid w:val="005839DE"/>
    <w:rsid w:val="00583E06"/>
    <w:rsid w:val="005856AD"/>
    <w:rsid w:val="00585858"/>
    <w:rsid w:val="005858B7"/>
    <w:rsid w:val="00585AE6"/>
    <w:rsid w:val="00585CDD"/>
    <w:rsid w:val="00586DCB"/>
    <w:rsid w:val="00587058"/>
    <w:rsid w:val="00590D90"/>
    <w:rsid w:val="00591957"/>
    <w:rsid w:val="0059237A"/>
    <w:rsid w:val="005942FE"/>
    <w:rsid w:val="0059751B"/>
    <w:rsid w:val="00597BF9"/>
    <w:rsid w:val="005A0C11"/>
    <w:rsid w:val="005A1E69"/>
    <w:rsid w:val="005A309A"/>
    <w:rsid w:val="005A3164"/>
    <w:rsid w:val="005A373D"/>
    <w:rsid w:val="005A6259"/>
    <w:rsid w:val="005A76DF"/>
    <w:rsid w:val="005B046E"/>
    <w:rsid w:val="005B0B58"/>
    <w:rsid w:val="005B10EB"/>
    <w:rsid w:val="005B1BE8"/>
    <w:rsid w:val="005B20A3"/>
    <w:rsid w:val="005B236F"/>
    <w:rsid w:val="005B237A"/>
    <w:rsid w:val="005B2A19"/>
    <w:rsid w:val="005B2AA6"/>
    <w:rsid w:val="005B38D4"/>
    <w:rsid w:val="005B4E53"/>
    <w:rsid w:val="005B4F78"/>
    <w:rsid w:val="005B5857"/>
    <w:rsid w:val="005B689C"/>
    <w:rsid w:val="005B784D"/>
    <w:rsid w:val="005C0580"/>
    <w:rsid w:val="005C0D3F"/>
    <w:rsid w:val="005C19C4"/>
    <w:rsid w:val="005C1B83"/>
    <w:rsid w:val="005C25FF"/>
    <w:rsid w:val="005C2B0A"/>
    <w:rsid w:val="005C2D55"/>
    <w:rsid w:val="005C346B"/>
    <w:rsid w:val="005C36EE"/>
    <w:rsid w:val="005C4F0B"/>
    <w:rsid w:val="005C546B"/>
    <w:rsid w:val="005C57C1"/>
    <w:rsid w:val="005C5ABC"/>
    <w:rsid w:val="005C69BF"/>
    <w:rsid w:val="005C6D4E"/>
    <w:rsid w:val="005C7435"/>
    <w:rsid w:val="005D0264"/>
    <w:rsid w:val="005D032D"/>
    <w:rsid w:val="005D044D"/>
    <w:rsid w:val="005D08FF"/>
    <w:rsid w:val="005D0ABD"/>
    <w:rsid w:val="005D0DA7"/>
    <w:rsid w:val="005D18AD"/>
    <w:rsid w:val="005D18DB"/>
    <w:rsid w:val="005D257B"/>
    <w:rsid w:val="005D26B4"/>
    <w:rsid w:val="005D2D65"/>
    <w:rsid w:val="005D2F3B"/>
    <w:rsid w:val="005D4AF2"/>
    <w:rsid w:val="005D5EB6"/>
    <w:rsid w:val="005E1366"/>
    <w:rsid w:val="005E1995"/>
    <w:rsid w:val="005E1E88"/>
    <w:rsid w:val="005E230E"/>
    <w:rsid w:val="005E26C8"/>
    <w:rsid w:val="005E3472"/>
    <w:rsid w:val="005E62F5"/>
    <w:rsid w:val="005E6992"/>
    <w:rsid w:val="005E6CBC"/>
    <w:rsid w:val="005E72FF"/>
    <w:rsid w:val="005E73C0"/>
    <w:rsid w:val="005F07ED"/>
    <w:rsid w:val="005F120E"/>
    <w:rsid w:val="005F1AA0"/>
    <w:rsid w:val="005F1EE4"/>
    <w:rsid w:val="005F2706"/>
    <w:rsid w:val="005F27D5"/>
    <w:rsid w:val="005F38B8"/>
    <w:rsid w:val="005F3F57"/>
    <w:rsid w:val="005F4583"/>
    <w:rsid w:val="005F5BB2"/>
    <w:rsid w:val="005F62BD"/>
    <w:rsid w:val="005F6A8F"/>
    <w:rsid w:val="005F6BB7"/>
    <w:rsid w:val="005F7588"/>
    <w:rsid w:val="005F76B1"/>
    <w:rsid w:val="005F7962"/>
    <w:rsid w:val="00600430"/>
    <w:rsid w:val="00601709"/>
    <w:rsid w:val="00602D7D"/>
    <w:rsid w:val="006035D5"/>
    <w:rsid w:val="00603AE1"/>
    <w:rsid w:val="00603DB9"/>
    <w:rsid w:val="00606FBA"/>
    <w:rsid w:val="00607669"/>
    <w:rsid w:val="006076F4"/>
    <w:rsid w:val="00607AFD"/>
    <w:rsid w:val="00610261"/>
    <w:rsid w:val="00610835"/>
    <w:rsid w:val="00611B12"/>
    <w:rsid w:val="00611EA4"/>
    <w:rsid w:val="00611ECA"/>
    <w:rsid w:val="00612F97"/>
    <w:rsid w:val="0061345D"/>
    <w:rsid w:val="0061549B"/>
    <w:rsid w:val="00616802"/>
    <w:rsid w:val="00616FC0"/>
    <w:rsid w:val="00617E12"/>
    <w:rsid w:val="00620C25"/>
    <w:rsid w:val="00621194"/>
    <w:rsid w:val="006211A9"/>
    <w:rsid w:val="00621283"/>
    <w:rsid w:val="00621477"/>
    <w:rsid w:val="006219F5"/>
    <w:rsid w:val="00621ADA"/>
    <w:rsid w:val="006235BC"/>
    <w:rsid w:val="00623F7B"/>
    <w:rsid w:val="006245AB"/>
    <w:rsid w:val="00624BD4"/>
    <w:rsid w:val="00624DC6"/>
    <w:rsid w:val="00626A2D"/>
    <w:rsid w:val="00627839"/>
    <w:rsid w:val="00630A42"/>
    <w:rsid w:val="0063158F"/>
    <w:rsid w:val="00631D6B"/>
    <w:rsid w:val="00632183"/>
    <w:rsid w:val="006330A1"/>
    <w:rsid w:val="0063462E"/>
    <w:rsid w:val="0063479F"/>
    <w:rsid w:val="006353F0"/>
    <w:rsid w:val="00635422"/>
    <w:rsid w:val="006357B5"/>
    <w:rsid w:val="00635ED8"/>
    <w:rsid w:val="006364A1"/>
    <w:rsid w:val="0063678E"/>
    <w:rsid w:val="00637885"/>
    <w:rsid w:val="00637BFD"/>
    <w:rsid w:val="00637C5C"/>
    <w:rsid w:val="00637F07"/>
    <w:rsid w:val="006403E8"/>
    <w:rsid w:val="0064087A"/>
    <w:rsid w:val="0064143B"/>
    <w:rsid w:val="006419F5"/>
    <w:rsid w:val="00641C4E"/>
    <w:rsid w:val="00641FB3"/>
    <w:rsid w:val="00642043"/>
    <w:rsid w:val="00642BE9"/>
    <w:rsid w:val="00642ECC"/>
    <w:rsid w:val="0064328B"/>
    <w:rsid w:val="0064434C"/>
    <w:rsid w:val="006444C3"/>
    <w:rsid w:val="00644CAD"/>
    <w:rsid w:val="00645755"/>
    <w:rsid w:val="00645D67"/>
    <w:rsid w:val="00646298"/>
    <w:rsid w:val="00646759"/>
    <w:rsid w:val="006471CC"/>
    <w:rsid w:val="006472FE"/>
    <w:rsid w:val="00647A29"/>
    <w:rsid w:val="00650585"/>
    <w:rsid w:val="0065079F"/>
    <w:rsid w:val="00652633"/>
    <w:rsid w:val="00652A28"/>
    <w:rsid w:val="006536E3"/>
    <w:rsid w:val="0065379F"/>
    <w:rsid w:val="00653F28"/>
    <w:rsid w:val="00656188"/>
    <w:rsid w:val="0065715A"/>
    <w:rsid w:val="00657749"/>
    <w:rsid w:val="00660170"/>
    <w:rsid w:val="0066107B"/>
    <w:rsid w:val="006610F1"/>
    <w:rsid w:val="00661C5C"/>
    <w:rsid w:val="00661C6B"/>
    <w:rsid w:val="00662999"/>
    <w:rsid w:val="00662D3E"/>
    <w:rsid w:val="006647EE"/>
    <w:rsid w:val="00665922"/>
    <w:rsid w:val="00665B8E"/>
    <w:rsid w:val="006664A6"/>
    <w:rsid w:val="006667BF"/>
    <w:rsid w:val="00666EF3"/>
    <w:rsid w:val="00667BE3"/>
    <w:rsid w:val="00670B39"/>
    <w:rsid w:val="00671004"/>
    <w:rsid w:val="00671100"/>
    <w:rsid w:val="0067193B"/>
    <w:rsid w:val="00672646"/>
    <w:rsid w:val="0067326F"/>
    <w:rsid w:val="00673434"/>
    <w:rsid w:val="006749A2"/>
    <w:rsid w:val="00674E42"/>
    <w:rsid w:val="00676563"/>
    <w:rsid w:val="00676AE1"/>
    <w:rsid w:val="00676DC3"/>
    <w:rsid w:val="006776DC"/>
    <w:rsid w:val="006813F8"/>
    <w:rsid w:val="006815AA"/>
    <w:rsid w:val="00682112"/>
    <w:rsid w:val="00682416"/>
    <w:rsid w:val="006824C4"/>
    <w:rsid w:val="00682BA6"/>
    <w:rsid w:val="00682FD7"/>
    <w:rsid w:val="006842E8"/>
    <w:rsid w:val="00685DBA"/>
    <w:rsid w:val="00686957"/>
    <w:rsid w:val="00686C0E"/>
    <w:rsid w:val="006872BA"/>
    <w:rsid w:val="006876A8"/>
    <w:rsid w:val="006877E7"/>
    <w:rsid w:val="00690795"/>
    <w:rsid w:val="00690970"/>
    <w:rsid w:val="0069129D"/>
    <w:rsid w:val="00691648"/>
    <w:rsid w:val="006917D7"/>
    <w:rsid w:val="00691AA5"/>
    <w:rsid w:val="006925B4"/>
    <w:rsid w:val="0069381E"/>
    <w:rsid w:val="0069434C"/>
    <w:rsid w:val="00694F44"/>
    <w:rsid w:val="00696EF9"/>
    <w:rsid w:val="00696F51"/>
    <w:rsid w:val="006976B9"/>
    <w:rsid w:val="006979A5"/>
    <w:rsid w:val="006A016F"/>
    <w:rsid w:val="006A0963"/>
    <w:rsid w:val="006A0DF7"/>
    <w:rsid w:val="006A10FD"/>
    <w:rsid w:val="006A2768"/>
    <w:rsid w:val="006A293F"/>
    <w:rsid w:val="006A33F3"/>
    <w:rsid w:val="006A4321"/>
    <w:rsid w:val="006A43D9"/>
    <w:rsid w:val="006A4630"/>
    <w:rsid w:val="006A5B1C"/>
    <w:rsid w:val="006A5D68"/>
    <w:rsid w:val="006A682F"/>
    <w:rsid w:val="006A6B99"/>
    <w:rsid w:val="006A75DD"/>
    <w:rsid w:val="006A7E33"/>
    <w:rsid w:val="006A7E5F"/>
    <w:rsid w:val="006B0065"/>
    <w:rsid w:val="006B0244"/>
    <w:rsid w:val="006B261B"/>
    <w:rsid w:val="006B2C90"/>
    <w:rsid w:val="006B3372"/>
    <w:rsid w:val="006B35E6"/>
    <w:rsid w:val="006B4599"/>
    <w:rsid w:val="006B465A"/>
    <w:rsid w:val="006B59CB"/>
    <w:rsid w:val="006B640F"/>
    <w:rsid w:val="006B6548"/>
    <w:rsid w:val="006B6DD0"/>
    <w:rsid w:val="006B716B"/>
    <w:rsid w:val="006B7902"/>
    <w:rsid w:val="006B7B55"/>
    <w:rsid w:val="006B7DFA"/>
    <w:rsid w:val="006C0399"/>
    <w:rsid w:val="006C1A38"/>
    <w:rsid w:val="006C2A8E"/>
    <w:rsid w:val="006C3255"/>
    <w:rsid w:val="006C3F26"/>
    <w:rsid w:val="006C59DB"/>
    <w:rsid w:val="006C76CE"/>
    <w:rsid w:val="006D0D17"/>
    <w:rsid w:val="006D1DB2"/>
    <w:rsid w:val="006D2D9A"/>
    <w:rsid w:val="006D2DD0"/>
    <w:rsid w:val="006D3964"/>
    <w:rsid w:val="006D3C7D"/>
    <w:rsid w:val="006D40E0"/>
    <w:rsid w:val="006D4659"/>
    <w:rsid w:val="006D5B74"/>
    <w:rsid w:val="006D5D5F"/>
    <w:rsid w:val="006D6227"/>
    <w:rsid w:val="006D66F5"/>
    <w:rsid w:val="006D68FB"/>
    <w:rsid w:val="006D6D9D"/>
    <w:rsid w:val="006E1D0E"/>
    <w:rsid w:val="006E2868"/>
    <w:rsid w:val="006E348C"/>
    <w:rsid w:val="006E37EC"/>
    <w:rsid w:val="006E7CC7"/>
    <w:rsid w:val="006F0545"/>
    <w:rsid w:val="006F0E1F"/>
    <w:rsid w:val="006F1277"/>
    <w:rsid w:val="006F1671"/>
    <w:rsid w:val="006F306C"/>
    <w:rsid w:val="006F3342"/>
    <w:rsid w:val="006F63A5"/>
    <w:rsid w:val="00700088"/>
    <w:rsid w:val="007013C9"/>
    <w:rsid w:val="0070142B"/>
    <w:rsid w:val="0070276E"/>
    <w:rsid w:val="00702F5C"/>
    <w:rsid w:val="00702F8F"/>
    <w:rsid w:val="00703ED7"/>
    <w:rsid w:val="00704E18"/>
    <w:rsid w:val="00705CC0"/>
    <w:rsid w:val="007079FC"/>
    <w:rsid w:val="007102AF"/>
    <w:rsid w:val="00711156"/>
    <w:rsid w:val="00711635"/>
    <w:rsid w:val="007116D5"/>
    <w:rsid w:val="00711774"/>
    <w:rsid w:val="007118E4"/>
    <w:rsid w:val="00711A36"/>
    <w:rsid w:val="0071216D"/>
    <w:rsid w:val="0071245B"/>
    <w:rsid w:val="007125D3"/>
    <w:rsid w:val="00713D90"/>
    <w:rsid w:val="00714939"/>
    <w:rsid w:val="00714C26"/>
    <w:rsid w:val="0071529C"/>
    <w:rsid w:val="007161C6"/>
    <w:rsid w:val="0071623F"/>
    <w:rsid w:val="0071658A"/>
    <w:rsid w:val="007170DA"/>
    <w:rsid w:val="007172AD"/>
    <w:rsid w:val="007172B3"/>
    <w:rsid w:val="00717546"/>
    <w:rsid w:val="00717C0D"/>
    <w:rsid w:val="007200ED"/>
    <w:rsid w:val="00720801"/>
    <w:rsid w:val="00720FBC"/>
    <w:rsid w:val="00721F65"/>
    <w:rsid w:val="00722786"/>
    <w:rsid w:val="00722B1B"/>
    <w:rsid w:val="00722D54"/>
    <w:rsid w:val="00724024"/>
    <w:rsid w:val="0072416F"/>
    <w:rsid w:val="00724197"/>
    <w:rsid w:val="007249FA"/>
    <w:rsid w:val="00725EA6"/>
    <w:rsid w:val="007271E7"/>
    <w:rsid w:val="00727C94"/>
    <w:rsid w:val="00731289"/>
    <w:rsid w:val="0073149E"/>
    <w:rsid w:val="00731698"/>
    <w:rsid w:val="00731B0A"/>
    <w:rsid w:val="00731EAE"/>
    <w:rsid w:val="00733073"/>
    <w:rsid w:val="00733189"/>
    <w:rsid w:val="00733B55"/>
    <w:rsid w:val="00733CBF"/>
    <w:rsid w:val="00735033"/>
    <w:rsid w:val="0073518A"/>
    <w:rsid w:val="00735328"/>
    <w:rsid w:val="00736062"/>
    <w:rsid w:val="007366DD"/>
    <w:rsid w:val="0073685B"/>
    <w:rsid w:val="007414BA"/>
    <w:rsid w:val="007417F5"/>
    <w:rsid w:val="007438B3"/>
    <w:rsid w:val="007449BF"/>
    <w:rsid w:val="00745849"/>
    <w:rsid w:val="007458BB"/>
    <w:rsid w:val="007458F9"/>
    <w:rsid w:val="007463FE"/>
    <w:rsid w:val="00746BC0"/>
    <w:rsid w:val="00747A29"/>
    <w:rsid w:val="00747C80"/>
    <w:rsid w:val="007505C3"/>
    <w:rsid w:val="007510B4"/>
    <w:rsid w:val="0075175C"/>
    <w:rsid w:val="00752142"/>
    <w:rsid w:val="007523F9"/>
    <w:rsid w:val="007525A7"/>
    <w:rsid w:val="00752AAE"/>
    <w:rsid w:val="007532C8"/>
    <w:rsid w:val="0075357E"/>
    <w:rsid w:val="00753683"/>
    <w:rsid w:val="00753B29"/>
    <w:rsid w:val="00755058"/>
    <w:rsid w:val="0075554F"/>
    <w:rsid w:val="00756E01"/>
    <w:rsid w:val="00756EA7"/>
    <w:rsid w:val="00757249"/>
    <w:rsid w:val="007573E8"/>
    <w:rsid w:val="00760C4E"/>
    <w:rsid w:val="00760F9E"/>
    <w:rsid w:val="007616E6"/>
    <w:rsid w:val="00761BEB"/>
    <w:rsid w:val="007627BE"/>
    <w:rsid w:val="007628DA"/>
    <w:rsid w:val="00762F34"/>
    <w:rsid w:val="007630E3"/>
    <w:rsid w:val="00763597"/>
    <w:rsid w:val="00764F03"/>
    <w:rsid w:val="007656C2"/>
    <w:rsid w:val="00765A74"/>
    <w:rsid w:val="00765B1A"/>
    <w:rsid w:val="00765DC1"/>
    <w:rsid w:val="00765EDB"/>
    <w:rsid w:val="00766F28"/>
    <w:rsid w:val="00767B44"/>
    <w:rsid w:val="007703E4"/>
    <w:rsid w:val="00770B17"/>
    <w:rsid w:val="00771E04"/>
    <w:rsid w:val="00772D6E"/>
    <w:rsid w:val="00772F57"/>
    <w:rsid w:val="007747CE"/>
    <w:rsid w:val="00777335"/>
    <w:rsid w:val="00777780"/>
    <w:rsid w:val="007802B9"/>
    <w:rsid w:val="00780975"/>
    <w:rsid w:val="00780A6F"/>
    <w:rsid w:val="00780B94"/>
    <w:rsid w:val="007829C4"/>
    <w:rsid w:val="00782DC5"/>
    <w:rsid w:val="00783294"/>
    <w:rsid w:val="007839AA"/>
    <w:rsid w:val="007843F2"/>
    <w:rsid w:val="007846FA"/>
    <w:rsid w:val="0078589C"/>
    <w:rsid w:val="00785918"/>
    <w:rsid w:val="00785A9F"/>
    <w:rsid w:val="00786123"/>
    <w:rsid w:val="0078662B"/>
    <w:rsid w:val="0078693F"/>
    <w:rsid w:val="007869C8"/>
    <w:rsid w:val="00787B92"/>
    <w:rsid w:val="00790CD4"/>
    <w:rsid w:val="00790CF8"/>
    <w:rsid w:val="007925DF"/>
    <w:rsid w:val="00792A8D"/>
    <w:rsid w:val="00792F99"/>
    <w:rsid w:val="007939F9"/>
    <w:rsid w:val="00794022"/>
    <w:rsid w:val="007948D9"/>
    <w:rsid w:val="00797204"/>
    <w:rsid w:val="00797A6F"/>
    <w:rsid w:val="007A0848"/>
    <w:rsid w:val="007A08AA"/>
    <w:rsid w:val="007A0A12"/>
    <w:rsid w:val="007A132D"/>
    <w:rsid w:val="007A1345"/>
    <w:rsid w:val="007A2B42"/>
    <w:rsid w:val="007A2DDB"/>
    <w:rsid w:val="007A2ED1"/>
    <w:rsid w:val="007A3A8E"/>
    <w:rsid w:val="007A3BC0"/>
    <w:rsid w:val="007A4A79"/>
    <w:rsid w:val="007A4C2F"/>
    <w:rsid w:val="007A4E33"/>
    <w:rsid w:val="007A4E5B"/>
    <w:rsid w:val="007A5BE0"/>
    <w:rsid w:val="007A5C2A"/>
    <w:rsid w:val="007A631F"/>
    <w:rsid w:val="007A678E"/>
    <w:rsid w:val="007A70BA"/>
    <w:rsid w:val="007A73B2"/>
    <w:rsid w:val="007A7B6E"/>
    <w:rsid w:val="007A7CC5"/>
    <w:rsid w:val="007B0D68"/>
    <w:rsid w:val="007B0F6E"/>
    <w:rsid w:val="007B1AE5"/>
    <w:rsid w:val="007B217E"/>
    <w:rsid w:val="007B251D"/>
    <w:rsid w:val="007B3533"/>
    <w:rsid w:val="007B4F58"/>
    <w:rsid w:val="007B528D"/>
    <w:rsid w:val="007B63CA"/>
    <w:rsid w:val="007B67E5"/>
    <w:rsid w:val="007B77D1"/>
    <w:rsid w:val="007C06D8"/>
    <w:rsid w:val="007C07C7"/>
    <w:rsid w:val="007C0A0C"/>
    <w:rsid w:val="007C1705"/>
    <w:rsid w:val="007C1A44"/>
    <w:rsid w:val="007C1CD9"/>
    <w:rsid w:val="007C209D"/>
    <w:rsid w:val="007C32EF"/>
    <w:rsid w:val="007C361D"/>
    <w:rsid w:val="007C4B84"/>
    <w:rsid w:val="007C5224"/>
    <w:rsid w:val="007C6373"/>
    <w:rsid w:val="007C661E"/>
    <w:rsid w:val="007C70FF"/>
    <w:rsid w:val="007C7B7E"/>
    <w:rsid w:val="007C7C25"/>
    <w:rsid w:val="007C7DA8"/>
    <w:rsid w:val="007C7F3F"/>
    <w:rsid w:val="007D004F"/>
    <w:rsid w:val="007D035F"/>
    <w:rsid w:val="007D04D2"/>
    <w:rsid w:val="007D06B2"/>
    <w:rsid w:val="007D0B38"/>
    <w:rsid w:val="007D10A8"/>
    <w:rsid w:val="007D390A"/>
    <w:rsid w:val="007D4671"/>
    <w:rsid w:val="007D46B0"/>
    <w:rsid w:val="007D4E87"/>
    <w:rsid w:val="007D5440"/>
    <w:rsid w:val="007D5F75"/>
    <w:rsid w:val="007D646E"/>
    <w:rsid w:val="007D69EB"/>
    <w:rsid w:val="007D71AE"/>
    <w:rsid w:val="007E128F"/>
    <w:rsid w:val="007E1F66"/>
    <w:rsid w:val="007E2AB7"/>
    <w:rsid w:val="007E31EA"/>
    <w:rsid w:val="007E481B"/>
    <w:rsid w:val="007E7836"/>
    <w:rsid w:val="007F1017"/>
    <w:rsid w:val="007F1919"/>
    <w:rsid w:val="007F1B06"/>
    <w:rsid w:val="007F1C13"/>
    <w:rsid w:val="007F2071"/>
    <w:rsid w:val="007F3167"/>
    <w:rsid w:val="007F3352"/>
    <w:rsid w:val="007F36F3"/>
    <w:rsid w:val="007F3A41"/>
    <w:rsid w:val="007F3A4F"/>
    <w:rsid w:val="007F3DCD"/>
    <w:rsid w:val="007F4A3F"/>
    <w:rsid w:val="007F4A61"/>
    <w:rsid w:val="007F5255"/>
    <w:rsid w:val="007F56CC"/>
    <w:rsid w:val="007F61C2"/>
    <w:rsid w:val="0080177F"/>
    <w:rsid w:val="008019D7"/>
    <w:rsid w:val="00802B84"/>
    <w:rsid w:val="00803859"/>
    <w:rsid w:val="00804505"/>
    <w:rsid w:val="00805142"/>
    <w:rsid w:val="00805FCE"/>
    <w:rsid w:val="008079B2"/>
    <w:rsid w:val="00807A8B"/>
    <w:rsid w:val="0081032F"/>
    <w:rsid w:val="008109BC"/>
    <w:rsid w:val="00811383"/>
    <w:rsid w:val="00812149"/>
    <w:rsid w:val="008128F1"/>
    <w:rsid w:val="00812CAC"/>
    <w:rsid w:val="008131BC"/>
    <w:rsid w:val="008159C7"/>
    <w:rsid w:val="00816361"/>
    <w:rsid w:val="008166EF"/>
    <w:rsid w:val="00816FEF"/>
    <w:rsid w:val="008170F2"/>
    <w:rsid w:val="00817B0B"/>
    <w:rsid w:val="008204E5"/>
    <w:rsid w:val="00820775"/>
    <w:rsid w:val="00820912"/>
    <w:rsid w:val="00820A8C"/>
    <w:rsid w:val="00820AF2"/>
    <w:rsid w:val="00820CA4"/>
    <w:rsid w:val="008210DD"/>
    <w:rsid w:val="008215FB"/>
    <w:rsid w:val="008220CC"/>
    <w:rsid w:val="00823174"/>
    <w:rsid w:val="008235D3"/>
    <w:rsid w:val="00823FBD"/>
    <w:rsid w:val="00824412"/>
    <w:rsid w:val="00825448"/>
    <w:rsid w:val="00825751"/>
    <w:rsid w:val="008264EB"/>
    <w:rsid w:val="008268CE"/>
    <w:rsid w:val="00827339"/>
    <w:rsid w:val="00827C23"/>
    <w:rsid w:val="00830E51"/>
    <w:rsid w:val="00832523"/>
    <w:rsid w:val="00832A99"/>
    <w:rsid w:val="00833014"/>
    <w:rsid w:val="00833B05"/>
    <w:rsid w:val="0083473A"/>
    <w:rsid w:val="008357EF"/>
    <w:rsid w:val="00835E12"/>
    <w:rsid w:val="008362B4"/>
    <w:rsid w:val="0083653C"/>
    <w:rsid w:val="0083667B"/>
    <w:rsid w:val="008373A6"/>
    <w:rsid w:val="008407FD"/>
    <w:rsid w:val="00840A1F"/>
    <w:rsid w:val="00840CA2"/>
    <w:rsid w:val="008410A8"/>
    <w:rsid w:val="00842FC5"/>
    <w:rsid w:val="00843433"/>
    <w:rsid w:val="0084374F"/>
    <w:rsid w:val="00843AE5"/>
    <w:rsid w:val="0084421E"/>
    <w:rsid w:val="00844A22"/>
    <w:rsid w:val="00844E80"/>
    <w:rsid w:val="0084632B"/>
    <w:rsid w:val="00846E2A"/>
    <w:rsid w:val="00847703"/>
    <w:rsid w:val="00847C16"/>
    <w:rsid w:val="00847DF5"/>
    <w:rsid w:val="00851606"/>
    <w:rsid w:val="0085309D"/>
    <w:rsid w:val="00853615"/>
    <w:rsid w:val="00853689"/>
    <w:rsid w:val="00853BE4"/>
    <w:rsid w:val="00854577"/>
    <w:rsid w:val="00854B66"/>
    <w:rsid w:val="00855F26"/>
    <w:rsid w:val="00856897"/>
    <w:rsid w:val="00856E9A"/>
    <w:rsid w:val="00856EC4"/>
    <w:rsid w:val="00857A3D"/>
    <w:rsid w:val="0086075D"/>
    <w:rsid w:val="00862464"/>
    <w:rsid w:val="00862502"/>
    <w:rsid w:val="00862CC1"/>
    <w:rsid w:val="00863471"/>
    <w:rsid w:val="008642A7"/>
    <w:rsid w:val="008651A3"/>
    <w:rsid w:val="008660D4"/>
    <w:rsid w:val="00871D92"/>
    <w:rsid w:val="00871FA9"/>
    <w:rsid w:val="008721D5"/>
    <w:rsid w:val="008728E9"/>
    <w:rsid w:val="00873670"/>
    <w:rsid w:val="0087387B"/>
    <w:rsid w:val="00875C10"/>
    <w:rsid w:val="00876318"/>
    <w:rsid w:val="00876887"/>
    <w:rsid w:val="0088187E"/>
    <w:rsid w:val="0088253F"/>
    <w:rsid w:val="00882874"/>
    <w:rsid w:val="00882CB5"/>
    <w:rsid w:val="00882E3C"/>
    <w:rsid w:val="0088308A"/>
    <w:rsid w:val="00883752"/>
    <w:rsid w:val="00883787"/>
    <w:rsid w:val="00884C4F"/>
    <w:rsid w:val="008855E4"/>
    <w:rsid w:val="00886CD2"/>
    <w:rsid w:val="008914C5"/>
    <w:rsid w:val="00891DBD"/>
    <w:rsid w:val="00891E6F"/>
    <w:rsid w:val="0089275D"/>
    <w:rsid w:val="00892876"/>
    <w:rsid w:val="00892A36"/>
    <w:rsid w:val="00893239"/>
    <w:rsid w:val="008934CC"/>
    <w:rsid w:val="00894489"/>
    <w:rsid w:val="00894CD6"/>
    <w:rsid w:val="00895694"/>
    <w:rsid w:val="00895B1B"/>
    <w:rsid w:val="008963A5"/>
    <w:rsid w:val="0089664E"/>
    <w:rsid w:val="00896D5D"/>
    <w:rsid w:val="008A0551"/>
    <w:rsid w:val="008A05DD"/>
    <w:rsid w:val="008A1390"/>
    <w:rsid w:val="008A185C"/>
    <w:rsid w:val="008A22D5"/>
    <w:rsid w:val="008A2777"/>
    <w:rsid w:val="008A3158"/>
    <w:rsid w:val="008A3363"/>
    <w:rsid w:val="008A3371"/>
    <w:rsid w:val="008A34A7"/>
    <w:rsid w:val="008A3C3E"/>
    <w:rsid w:val="008A5C1F"/>
    <w:rsid w:val="008A6BBF"/>
    <w:rsid w:val="008A6FC6"/>
    <w:rsid w:val="008A79DE"/>
    <w:rsid w:val="008B126F"/>
    <w:rsid w:val="008B1523"/>
    <w:rsid w:val="008B1757"/>
    <w:rsid w:val="008B1C33"/>
    <w:rsid w:val="008B4B6F"/>
    <w:rsid w:val="008B60CD"/>
    <w:rsid w:val="008B6E82"/>
    <w:rsid w:val="008B7992"/>
    <w:rsid w:val="008B7D7E"/>
    <w:rsid w:val="008C0544"/>
    <w:rsid w:val="008C069C"/>
    <w:rsid w:val="008C0860"/>
    <w:rsid w:val="008C0D06"/>
    <w:rsid w:val="008C11F9"/>
    <w:rsid w:val="008C2EAF"/>
    <w:rsid w:val="008C33C6"/>
    <w:rsid w:val="008C3D0C"/>
    <w:rsid w:val="008C533C"/>
    <w:rsid w:val="008C5610"/>
    <w:rsid w:val="008C5739"/>
    <w:rsid w:val="008C6E96"/>
    <w:rsid w:val="008C7282"/>
    <w:rsid w:val="008C7ECB"/>
    <w:rsid w:val="008D0485"/>
    <w:rsid w:val="008D054B"/>
    <w:rsid w:val="008D238A"/>
    <w:rsid w:val="008D3ABF"/>
    <w:rsid w:val="008D3B86"/>
    <w:rsid w:val="008D43FD"/>
    <w:rsid w:val="008D4755"/>
    <w:rsid w:val="008D487B"/>
    <w:rsid w:val="008D4C3D"/>
    <w:rsid w:val="008D5940"/>
    <w:rsid w:val="008D743C"/>
    <w:rsid w:val="008D7454"/>
    <w:rsid w:val="008E0C5A"/>
    <w:rsid w:val="008E0D3C"/>
    <w:rsid w:val="008E1B9E"/>
    <w:rsid w:val="008E1C12"/>
    <w:rsid w:val="008E55AB"/>
    <w:rsid w:val="008E55C6"/>
    <w:rsid w:val="008E5A15"/>
    <w:rsid w:val="008E6DEE"/>
    <w:rsid w:val="008E727E"/>
    <w:rsid w:val="008F024D"/>
    <w:rsid w:val="008F0F3C"/>
    <w:rsid w:val="008F120A"/>
    <w:rsid w:val="008F19A4"/>
    <w:rsid w:val="008F27E0"/>
    <w:rsid w:val="008F48EB"/>
    <w:rsid w:val="008F4F0B"/>
    <w:rsid w:val="008F5798"/>
    <w:rsid w:val="008F638B"/>
    <w:rsid w:val="008F69BA"/>
    <w:rsid w:val="008F7033"/>
    <w:rsid w:val="008F7473"/>
    <w:rsid w:val="008F787B"/>
    <w:rsid w:val="009031B3"/>
    <w:rsid w:val="009040C6"/>
    <w:rsid w:val="009046C4"/>
    <w:rsid w:val="009047C2"/>
    <w:rsid w:val="00904A10"/>
    <w:rsid w:val="00905460"/>
    <w:rsid w:val="009062A5"/>
    <w:rsid w:val="00907699"/>
    <w:rsid w:val="00910FA7"/>
    <w:rsid w:val="00911272"/>
    <w:rsid w:val="00911339"/>
    <w:rsid w:val="00912833"/>
    <w:rsid w:val="00913390"/>
    <w:rsid w:val="009135D6"/>
    <w:rsid w:val="009148BC"/>
    <w:rsid w:val="00914C77"/>
    <w:rsid w:val="009166E3"/>
    <w:rsid w:val="009169AD"/>
    <w:rsid w:val="00916A28"/>
    <w:rsid w:val="00916ED7"/>
    <w:rsid w:val="0091702C"/>
    <w:rsid w:val="00917136"/>
    <w:rsid w:val="00917E5F"/>
    <w:rsid w:val="00920272"/>
    <w:rsid w:val="00920BBA"/>
    <w:rsid w:val="00921ACB"/>
    <w:rsid w:val="00921AD6"/>
    <w:rsid w:val="00921BAE"/>
    <w:rsid w:val="0092369B"/>
    <w:rsid w:val="009249F9"/>
    <w:rsid w:val="00925CEB"/>
    <w:rsid w:val="00925E22"/>
    <w:rsid w:val="00927071"/>
    <w:rsid w:val="009316F8"/>
    <w:rsid w:val="0093196C"/>
    <w:rsid w:val="00931FA5"/>
    <w:rsid w:val="00931FAD"/>
    <w:rsid w:val="00932408"/>
    <w:rsid w:val="00933174"/>
    <w:rsid w:val="00933685"/>
    <w:rsid w:val="009340E7"/>
    <w:rsid w:val="009348C3"/>
    <w:rsid w:val="00934988"/>
    <w:rsid w:val="00934C9A"/>
    <w:rsid w:val="00934CCB"/>
    <w:rsid w:val="00935310"/>
    <w:rsid w:val="00935DBF"/>
    <w:rsid w:val="00937089"/>
    <w:rsid w:val="00937ACA"/>
    <w:rsid w:val="0094011C"/>
    <w:rsid w:val="00941004"/>
    <w:rsid w:val="00941270"/>
    <w:rsid w:val="0094207F"/>
    <w:rsid w:val="009420A5"/>
    <w:rsid w:val="00942A4D"/>
    <w:rsid w:val="0094386E"/>
    <w:rsid w:val="009442EB"/>
    <w:rsid w:val="00944562"/>
    <w:rsid w:val="00944F8A"/>
    <w:rsid w:val="009465D9"/>
    <w:rsid w:val="00947EAF"/>
    <w:rsid w:val="009510A2"/>
    <w:rsid w:val="00952AD6"/>
    <w:rsid w:val="00953257"/>
    <w:rsid w:val="0095329B"/>
    <w:rsid w:val="009536C1"/>
    <w:rsid w:val="0095474C"/>
    <w:rsid w:val="00956B83"/>
    <w:rsid w:val="00957100"/>
    <w:rsid w:val="0095711F"/>
    <w:rsid w:val="009573A4"/>
    <w:rsid w:val="00957D92"/>
    <w:rsid w:val="00960406"/>
    <w:rsid w:val="00960F88"/>
    <w:rsid w:val="00962CB9"/>
    <w:rsid w:val="00964155"/>
    <w:rsid w:val="00964312"/>
    <w:rsid w:val="00965B8A"/>
    <w:rsid w:val="00965D82"/>
    <w:rsid w:val="00967241"/>
    <w:rsid w:val="00967F69"/>
    <w:rsid w:val="00967FBB"/>
    <w:rsid w:val="00970214"/>
    <w:rsid w:val="0097071F"/>
    <w:rsid w:val="009717AC"/>
    <w:rsid w:val="00972A1B"/>
    <w:rsid w:val="00973436"/>
    <w:rsid w:val="00973B88"/>
    <w:rsid w:val="0097421C"/>
    <w:rsid w:val="009751C1"/>
    <w:rsid w:val="009752F2"/>
    <w:rsid w:val="00976652"/>
    <w:rsid w:val="009811F1"/>
    <w:rsid w:val="00981AAD"/>
    <w:rsid w:val="0098222F"/>
    <w:rsid w:val="009833D1"/>
    <w:rsid w:val="0098354F"/>
    <w:rsid w:val="00983E57"/>
    <w:rsid w:val="00985DE2"/>
    <w:rsid w:val="0098675D"/>
    <w:rsid w:val="00986F6B"/>
    <w:rsid w:val="0098745E"/>
    <w:rsid w:val="00987BA4"/>
    <w:rsid w:val="00987F22"/>
    <w:rsid w:val="009910CC"/>
    <w:rsid w:val="009913F4"/>
    <w:rsid w:val="00991CB7"/>
    <w:rsid w:val="009920E4"/>
    <w:rsid w:val="009926E0"/>
    <w:rsid w:val="00993473"/>
    <w:rsid w:val="00993530"/>
    <w:rsid w:val="009936CF"/>
    <w:rsid w:val="00994106"/>
    <w:rsid w:val="0099451E"/>
    <w:rsid w:val="009950E2"/>
    <w:rsid w:val="00996B1A"/>
    <w:rsid w:val="009A0CA6"/>
    <w:rsid w:val="009A0D90"/>
    <w:rsid w:val="009A1666"/>
    <w:rsid w:val="009A17B4"/>
    <w:rsid w:val="009A18F6"/>
    <w:rsid w:val="009A2DCC"/>
    <w:rsid w:val="009A3E05"/>
    <w:rsid w:val="009A531B"/>
    <w:rsid w:val="009A5540"/>
    <w:rsid w:val="009A5ABC"/>
    <w:rsid w:val="009A60DF"/>
    <w:rsid w:val="009A7229"/>
    <w:rsid w:val="009A723B"/>
    <w:rsid w:val="009A7F10"/>
    <w:rsid w:val="009B04D9"/>
    <w:rsid w:val="009B0593"/>
    <w:rsid w:val="009B0A57"/>
    <w:rsid w:val="009B0FE0"/>
    <w:rsid w:val="009B3072"/>
    <w:rsid w:val="009B3E26"/>
    <w:rsid w:val="009B550E"/>
    <w:rsid w:val="009B615C"/>
    <w:rsid w:val="009B6850"/>
    <w:rsid w:val="009B737F"/>
    <w:rsid w:val="009C0426"/>
    <w:rsid w:val="009C1271"/>
    <w:rsid w:val="009C199C"/>
    <w:rsid w:val="009C1A67"/>
    <w:rsid w:val="009C2AB7"/>
    <w:rsid w:val="009C3706"/>
    <w:rsid w:val="009C3A3A"/>
    <w:rsid w:val="009C5A41"/>
    <w:rsid w:val="009C6603"/>
    <w:rsid w:val="009C6CEA"/>
    <w:rsid w:val="009C7936"/>
    <w:rsid w:val="009C7B85"/>
    <w:rsid w:val="009D0254"/>
    <w:rsid w:val="009D0ACC"/>
    <w:rsid w:val="009D0C90"/>
    <w:rsid w:val="009D1010"/>
    <w:rsid w:val="009D1A64"/>
    <w:rsid w:val="009D444C"/>
    <w:rsid w:val="009D584C"/>
    <w:rsid w:val="009D5B91"/>
    <w:rsid w:val="009D7083"/>
    <w:rsid w:val="009D792E"/>
    <w:rsid w:val="009D7FA9"/>
    <w:rsid w:val="009D7FB3"/>
    <w:rsid w:val="009E00FE"/>
    <w:rsid w:val="009E0AC7"/>
    <w:rsid w:val="009E0DFE"/>
    <w:rsid w:val="009E183B"/>
    <w:rsid w:val="009E19C9"/>
    <w:rsid w:val="009E29FB"/>
    <w:rsid w:val="009E3101"/>
    <w:rsid w:val="009E31F6"/>
    <w:rsid w:val="009E328D"/>
    <w:rsid w:val="009E4C07"/>
    <w:rsid w:val="009E5593"/>
    <w:rsid w:val="009E5639"/>
    <w:rsid w:val="009E777F"/>
    <w:rsid w:val="009E7EA9"/>
    <w:rsid w:val="009F041B"/>
    <w:rsid w:val="009F0AA5"/>
    <w:rsid w:val="009F1534"/>
    <w:rsid w:val="009F19EF"/>
    <w:rsid w:val="009F1A8B"/>
    <w:rsid w:val="009F1B58"/>
    <w:rsid w:val="009F2560"/>
    <w:rsid w:val="009F27DB"/>
    <w:rsid w:val="009F2E02"/>
    <w:rsid w:val="009F36CB"/>
    <w:rsid w:val="009F4E1D"/>
    <w:rsid w:val="009F53AD"/>
    <w:rsid w:val="009F6120"/>
    <w:rsid w:val="00A000D1"/>
    <w:rsid w:val="00A00384"/>
    <w:rsid w:val="00A003D0"/>
    <w:rsid w:val="00A00D76"/>
    <w:rsid w:val="00A01184"/>
    <w:rsid w:val="00A01449"/>
    <w:rsid w:val="00A014F6"/>
    <w:rsid w:val="00A0270F"/>
    <w:rsid w:val="00A0282C"/>
    <w:rsid w:val="00A034B2"/>
    <w:rsid w:val="00A037C2"/>
    <w:rsid w:val="00A037EF"/>
    <w:rsid w:val="00A03D43"/>
    <w:rsid w:val="00A04380"/>
    <w:rsid w:val="00A04786"/>
    <w:rsid w:val="00A04EFA"/>
    <w:rsid w:val="00A05472"/>
    <w:rsid w:val="00A058D6"/>
    <w:rsid w:val="00A05C32"/>
    <w:rsid w:val="00A05FCE"/>
    <w:rsid w:val="00A0653F"/>
    <w:rsid w:val="00A1132F"/>
    <w:rsid w:val="00A11AED"/>
    <w:rsid w:val="00A11AEF"/>
    <w:rsid w:val="00A11CD0"/>
    <w:rsid w:val="00A12AD8"/>
    <w:rsid w:val="00A13948"/>
    <w:rsid w:val="00A1555B"/>
    <w:rsid w:val="00A155C5"/>
    <w:rsid w:val="00A1574B"/>
    <w:rsid w:val="00A160E7"/>
    <w:rsid w:val="00A16AD8"/>
    <w:rsid w:val="00A171F7"/>
    <w:rsid w:val="00A2021E"/>
    <w:rsid w:val="00A207AD"/>
    <w:rsid w:val="00A208EC"/>
    <w:rsid w:val="00A20C59"/>
    <w:rsid w:val="00A20CDB"/>
    <w:rsid w:val="00A21019"/>
    <w:rsid w:val="00A21C95"/>
    <w:rsid w:val="00A21CF3"/>
    <w:rsid w:val="00A223AE"/>
    <w:rsid w:val="00A228A5"/>
    <w:rsid w:val="00A228B2"/>
    <w:rsid w:val="00A23A50"/>
    <w:rsid w:val="00A23A92"/>
    <w:rsid w:val="00A23C62"/>
    <w:rsid w:val="00A23DC3"/>
    <w:rsid w:val="00A241D4"/>
    <w:rsid w:val="00A24813"/>
    <w:rsid w:val="00A2544F"/>
    <w:rsid w:val="00A25861"/>
    <w:rsid w:val="00A268A5"/>
    <w:rsid w:val="00A26980"/>
    <w:rsid w:val="00A27759"/>
    <w:rsid w:val="00A27AEC"/>
    <w:rsid w:val="00A27E13"/>
    <w:rsid w:val="00A30382"/>
    <w:rsid w:val="00A30428"/>
    <w:rsid w:val="00A320DB"/>
    <w:rsid w:val="00A32421"/>
    <w:rsid w:val="00A32671"/>
    <w:rsid w:val="00A35D16"/>
    <w:rsid w:val="00A36528"/>
    <w:rsid w:val="00A36A73"/>
    <w:rsid w:val="00A36F3D"/>
    <w:rsid w:val="00A37BCD"/>
    <w:rsid w:val="00A408EA"/>
    <w:rsid w:val="00A40BC9"/>
    <w:rsid w:val="00A412E7"/>
    <w:rsid w:val="00A41689"/>
    <w:rsid w:val="00A42592"/>
    <w:rsid w:val="00A43C59"/>
    <w:rsid w:val="00A44C6B"/>
    <w:rsid w:val="00A4558E"/>
    <w:rsid w:val="00A4567C"/>
    <w:rsid w:val="00A45DED"/>
    <w:rsid w:val="00A45ED7"/>
    <w:rsid w:val="00A46722"/>
    <w:rsid w:val="00A50ECD"/>
    <w:rsid w:val="00A50ED5"/>
    <w:rsid w:val="00A518F3"/>
    <w:rsid w:val="00A51BE9"/>
    <w:rsid w:val="00A52729"/>
    <w:rsid w:val="00A52762"/>
    <w:rsid w:val="00A53291"/>
    <w:rsid w:val="00A53675"/>
    <w:rsid w:val="00A5382B"/>
    <w:rsid w:val="00A53851"/>
    <w:rsid w:val="00A558BE"/>
    <w:rsid w:val="00A55A21"/>
    <w:rsid w:val="00A564D7"/>
    <w:rsid w:val="00A56B6A"/>
    <w:rsid w:val="00A578DC"/>
    <w:rsid w:val="00A57FFC"/>
    <w:rsid w:val="00A635A5"/>
    <w:rsid w:val="00A63970"/>
    <w:rsid w:val="00A640E2"/>
    <w:rsid w:val="00A64D65"/>
    <w:rsid w:val="00A6507F"/>
    <w:rsid w:val="00A650B5"/>
    <w:rsid w:val="00A652F4"/>
    <w:rsid w:val="00A6725B"/>
    <w:rsid w:val="00A67527"/>
    <w:rsid w:val="00A675D7"/>
    <w:rsid w:val="00A67621"/>
    <w:rsid w:val="00A67B22"/>
    <w:rsid w:val="00A705BF"/>
    <w:rsid w:val="00A70605"/>
    <w:rsid w:val="00A70971"/>
    <w:rsid w:val="00A73134"/>
    <w:rsid w:val="00A73217"/>
    <w:rsid w:val="00A7365A"/>
    <w:rsid w:val="00A73B04"/>
    <w:rsid w:val="00A74D18"/>
    <w:rsid w:val="00A75461"/>
    <w:rsid w:val="00A754CF"/>
    <w:rsid w:val="00A75904"/>
    <w:rsid w:val="00A76001"/>
    <w:rsid w:val="00A77015"/>
    <w:rsid w:val="00A77541"/>
    <w:rsid w:val="00A777B2"/>
    <w:rsid w:val="00A804FF"/>
    <w:rsid w:val="00A80506"/>
    <w:rsid w:val="00A80B55"/>
    <w:rsid w:val="00A811F6"/>
    <w:rsid w:val="00A8130E"/>
    <w:rsid w:val="00A81526"/>
    <w:rsid w:val="00A81CB3"/>
    <w:rsid w:val="00A825D4"/>
    <w:rsid w:val="00A828F6"/>
    <w:rsid w:val="00A82B73"/>
    <w:rsid w:val="00A836C2"/>
    <w:rsid w:val="00A84BBD"/>
    <w:rsid w:val="00A8534F"/>
    <w:rsid w:val="00A85E3C"/>
    <w:rsid w:val="00A86E8B"/>
    <w:rsid w:val="00A87164"/>
    <w:rsid w:val="00A92336"/>
    <w:rsid w:val="00A923AC"/>
    <w:rsid w:val="00A93072"/>
    <w:rsid w:val="00A93187"/>
    <w:rsid w:val="00A938BD"/>
    <w:rsid w:val="00A93953"/>
    <w:rsid w:val="00A93F95"/>
    <w:rsid w:val="00A95324"/>
    <w:rsid w:val="00A959D8"/>
    <w:rsid w:val="00A96474"/>
    <w:rsid w:val="00A97172"/>
    <w:rsid w:val="00AA0690"/>
    <w:rsid w:val="00AA113D"/>
    <w:rsid w:val="00AA25E7"/>
    <w:rsid w:val="00AA2B02"/>
    <w:rsid w:val="00AA4000"/>
    <w:rsid w:val="00AA4FC1"/>
    <w:rsid w:val="00AA507C"/>
    <w:rsid w:val="00AA599A"/>
    <w:rsid w:val="00AA6BD5"/>
    <w:rsid w:val="00AA6BD8"/>
    <w:rsid w:val="00AA6C7D"/>
    <w:rsid w:val="00AA6F97"/>
    <w:rsid w:val="00AA7383"/>
    <w:rsid w:val="00AA738F"/>
    <w:rsid w:val="00AA7FD6"/>
    <w:rsid w:val="00AB02AE"/>
    <w:rsid w:val="00AB042A"/>
    <w:rsid w:val="00AB06D8"/>
    <w:rsid w:val="00AB0DBC"/>
    <w:rsid w:val="00AB11AD"/>
    <w:rsid w:val="00AB19EF"/>
    <w:rsid w:val="00AB2495"/>
    <w:rsid w:val="00AB2D34"/>
    <w:rsid w:val="00AB3430"/>
    <w:rsid w:val="00AB37B9"/>
    <w:rsid w:val="00AB4AD1"/>
    <w:rsid w:val="00AB4E98"/>
    <w:rsid w:val="00AB4E9B"/>
    <w:rsid w:val="00AB56A3"/>
    <w:rsid w:val="00AB5E07"/>
    <w:rsid w:val="00AB780C"/>
    <w:rsid w:val="00AB7CFA"/>
    <w:rsid w:val="00AC19F0"/>
    <w:rsid w:val="00AC1C00"/>
    <w:rsid w:val="00AC24B6"/>
    <w:rsid w:val="00AC36F6"/>
    <w:rsid w:val="00AC4B5F"/>
    <w:rsid w:val="00AC5B42"/>
    <w:rsid w:val="00AC5B48"/>
    <w:rsid w:val="00AC5C1A"/>
    <w:rsid w:val="00AC6934"/>
    <w:rsid w:val="00AC6D91"/>
    <w:rsid w:val="00AD023E"/>
    <w:rsid w:val="00AD1450"/>
    <w:rsid w:val="00AD15E8"/>
    <w:rsid w:val="00AD1C33"/>
    <w:rsid w:val="00AD356D"/>
    <w:rsid w:val="00AD3B2D"/>
    <w:rsid w:val="00AD43CB"/>
    <w:rsid w:val="00AD6147"/>
    <w:rsid w:val="00AD6502"/>
    <w:rsid w:val="00AD69D1"/>
    <w:rsid w:val="00AD6B46"/>
    <w:rsid w:val="00AE0695"/>
    <w:rsid w:val="00AE1654"/>
    <w:rsid w:val="00AE19A0"/>
    <w:rsid w:val="00AE1F09"/>
    <w:rsid w:val="00AE3E7E"/>
    <w:rsid w:val="00AE4176"/>
    <w:rsid w:val="00AE5587"/>
    <w:rsid w:val="00AE5A43"/>
    <w:rsid w:val="00AE5CD4"/>
    <w:rsid w:val="00AE60D1"/>
    <w:rsid w:val="00AE718C"/>
    <w:rsid w:val="00AE7E53"/>
    <w:rsid w:val="00AF1315"/>
    <w:rsid w:val="00AF19BF"/>
    <w:rsid w:val="00AF1A2B"/>
    <w:rsid w:val="00AF2DC3"/>
    <w:rsid w:val="00AF3CFB"/>
    <w:rsid w:val="00AF3F05"/>
    <w:rsid w:val="00AF65C3"/>
    <w:rsid w:val="00AF6C7C"/>
    <w:rsid w:val="00B02416"/>
    <w:rsid w:val="00B028A7"/>
    <w:rsid w:val="00B033E5"/>
    <w:rsid w:val="00B03A63"/>
    <w:rsid w:val="00B051C6"/>
    <w:rsid w:val="00B057A5"/>
    <w:rsid w:val="00B06A71"/>
    <w:rsid w:val="00B07E41"/>
    <w:rsid w:val="00B10830"/>
    <w:rsid w:val="00B11C99"/>
    <w:rsid w:val="00B129A4"/>
    <w:rsid w:val="00B12A43"/>
    <w:rsid w:val="00B14EA7"/>
    <w:rsid w:val="00B1560B"/>
    <w:rsid w:val="00B166BA"/>
    <w:rsid w:val="00B17009"/>
    <w:rsid w:val="00B17EAC"/>
    <w:rsid w:val="00B201A4"/>
    <w:rsid w:val="00B201D1"/>
    <w:rsid w:val="00B204F3"/>
    <w:rsid w:val="00B213A6"/>
    <w:rsid w:val="00B22255"/>
    <w:rsid w:val="00B22C54"/>
    <w:rsid w:val="00B235B0"/>
    <w:rsid w:val="00B24DF6"/>
    <w:rsid w:val="00B25D4C"/>
    <w:rsid w:val="00B26011"/>
    <w:rsid w:val="00B267ED"/>
    <w:rsid w:val="00B26C58"/>
    <w:rsid w:val="00B27A61"/>
    <w:rsid w:val="00B27C1A"/>
    <w:rsid w:val="00B3034B"/>
    <w:rsid w:val="00B310F9"/>
    <w:rsid w:val="00B34FE2"/>
    <w:rsid w:val="00B35166"/>
    <w:rsid w:val="00B357D8"/>
    <w:rsid w:val="00B360F4"/>
    <w:rsid w:val="00B36A00"/>
    <w:rsid w:val="00B37477"/>
    <w:rsid w:val="00B37523"/>
    <w:rsid w:val="00B3792B"/>
    <w:rsid w:val="00B37BFC"/>
    <w:rsid w:val="00B40358"/>
    <w:rsid w:val="00B404F5"/>
    <w:rsid w:val="00B41614"/>
    <w:rsid w:val="00B41636"/>
    <w:rsid w:val="00B420BF"/>
    <w:rsid w:val="00B42208"/>
    <w:rsid w:val="00B42851"/>
    <w:rsid w:val="00B42CC9"/>
    <w:rsid w:val="00B42F80"/>
    <w:rsid w:val="00B433C9"/>
    <w:rsid w:val="00B4341E"/>
    <w:rsid w:val="00B435CB"/>
    <w:rsid w:val="00B458F8"/>
    <w:rsid w:val="00B46051"/>
    <w:rsid w:val="00B465EC"/>
    <w:rsid w:val="00B46DDE"/>
    <w:rsid w:val="00B46FAA"/>
    <w:rsid w:val="00B505C8"/>
    <w:rsid w:val="00B50DB8"/>
    <w:rsid w:val="00B5231B"/>
    <w:rsid w:val="00B52974"/>
    <w:rsid w:val="00B53654"/>
    <w:rsid w:val="00B53905"/>
    <w:rsid w:val="00B546DB"/>
    <w:rsid w:val="00B54AA2"/>
    <w:rsid w:val="00B54B5B"/>
    <w:rsid w:val="00B54F6E"/>
    <w:rsid w:val="00B552CC"/>
    <w:rsid w:val="00B5562E"/>
    <w:rsid w:val="00B55862"/>
    <w:rsid w:val="00B558AF"/>
    <w:rsid w:val="00B55D65"/>
    <w:rsid w:val="00B56305"/>
    <w:rsid w:val="00B5657D"/>
    <w:rsid w:val="00B56A2E"/>
    <w:rsid w:val="00B57000"/>
    <w:rsid w:val="00B571E6"/>
    <w:rsid w:val="00B5747E"/>
    <w:rsid w:val="00B57E56"/>
    <w:rsid w:val="00B60939"/>
    <w:rsid w:val="00B60AFD"/>
    <w:rsid w:val="00B60E10"/>
    <w:rsid w:val="00B60EB1"/>
    <w:rsid w:val="00B62715"/>
    <w:rsid w:val="00B63500"/>
    <w:rsid w:val="00B636BE"/>
    <w:rsid w:val="00B63C3D"/>
    <w:rsid w:val="00B63DFC"/>
    <w:rsid w:val="00B64DD8"/>
    <w:rsid w:val="00B65611"/>
    <w:rsid w:val="00B66286"/>
    <w:rsid w:val="00B70521"/>
    <w:rsid w:val="00B7077A"/>
    <w:rsid w:val="00B70E8E"/>
    <w:rsid w:val="00B7174F"/>
    <w:rsid w:val="00B71A4B"/>
    <w:rsid w:val="00B71BFC"/>
    <w:rsid w:val="00B724F1"/>
    <w:rsid w:val="00B735D7"/>
    <w:rsid w:val="00B75CAF"/>
    <w:rsid w:val="00B76254"/>
    <w:rsid w:val="00B766A3"/>
    <w:rsid w:val="00B76C92"/>
    <w:rsid w:val="00B770BF"/>
    <w:rsid w:val="00B80037"/>
    <w:rsid w:val="00B80367"/>
    <w:rsid w:val="00B8037A"/>
    <w:rsid w:val="00B804E2"/>
    <w:rsid w:val="00B80809"/>
    <w:rsid w:val="00B80E51"/>
    <w:rsid w:val="00B80EFD"/>
    <w:rsid w:val="00B818A4"/>
    <w:rsid w:val="00B83579"/>
    <w:rsid w:val="00B836B9"/>
    <w:rsid w:val="00B83739"/>
    <w:rsid w:val="00B84117"/>
    <w:rsid w:val="00B84A70"/>
    <w:rsid w:val="00B858F0"/>
    <w:rsid w:val="00B85AA2"/>
    <w:rsid w:val="00B86401"/>
    <w:rsid w:val="00B8649C"/>
    <w:rsid w:val="00B8695D"/>
    <w:rsid w:val="00B871C4"/>
    <w:rsid w:val="00B87C84"/>
    <w:rsid w:val="00B87F0A"/>
    <w:rsid w:val="00B909E9"/>
    <w:rsid w:val="00B92B13"/>
    <w:rsid w:val="00B92D0B"/>
    <w:rsid w:val="00B93DAD"/>
    <w:rsid w:val="00B944BA"/>
    <w:rsid w:val="00B94945"/>
    <w:rsid w:val="00B94DD6"/>
    <w:rsid w:val="00B963E9"/>
    <w:rsid w:val="00B97023"/>
    <w:rsid w:val="00B971AE"/>
    <w:rsid w:val="00B97455"/>
    <w:rsid w:val="00BA2EFA"/>
    <w:rsid w:val="00BA3030"/>
    <w:rsid w:val="00BA322D"/>
    <w:rsid w:val="00BA352C"/>
    <w:rsid w:val="00BA456A"/>
    <w:rsid w:val="00BA4AB7"/>
    <w:rsid w:val="00BA63FA"/>
    <w:rsid w:val="00BA6D96"/>
    <w:rsid w:val="00BA7678"/>
    <w:rsid w:val="00BA7E8C"/>
    <w:rsid w:val="00BB00B3"/>
    <w:rsid w:val="00BB062A"/>
    <w:rsid w:val="00BB07B6"/>
    <w:rsid w:val="00BB0A83"/>
    <w:rsid w:val="00BB0AA9"/>
    <w:rsid w:val="00BB0BDD"/>
    <w:rsid w:val="00BB161E"/>
    <w:rsid w:val="00BB176C"/>
    <w:rsid w:val="00BB2A73"/>
    <w:rsid w:val="00BB2FFF"/>
    <w:rsid w:val="00BB3A45"/>
    <w:rsid w:val="00BB4ACC"/>
    <w:rsid w:val="00BB4E0C"/>
    <w:rsid w:val="00BB703E"/>
    <w:rsid w:val="00BB732D"/>
    <w:rsid w:val="00BB7405"/>
    <w:rsid w:val="00BB7A70"/>
    <w:rsid w:val="00BC095C"/>
    <w:rsid w:val="00BC0AE8"/>
    <w:rsid w:val="00BC1E23"/>
    <w:rsid w:val="00BC1EEA"/>
    <w:rsid w:val="00BC3631"/>
    <w:rsid w:val="00BC53F1"/>
    <w:rsid w:val="00BC591F"/>
    <w:rsid w:val="00BC5BA7"/>
    <w:rsid w:val="00BC7687"/>
    <w:rsid w:val="00BC7ADB"/>
    <w:rsid w:val="00BC7D6D"/>
    <w:rsid w:val="00BD1A41"/>
    <w:rsid w:val="00BD1B66"/>
    <w:rsid w:val="00BD2108"/>
    <w:rsid w:val="00BD2501"/>
    <w:rsid w:val="00BD27B2"/>
    <w:rsid w:val="00BD30BC"/>
    <w:rsid w:val="00BD4474"/>
    <w:rsid w:val="00BD5677"/>
    <w:rsid w:val="00BD5A2B"/>
    <w:rsid w:val="00BD65AA"/>
    <w:rsid w:val="00BD677E"/>
    <w:rsid w:val="00BD68A3"/>
    <w:rsid w:val="00BD6938"/>
    <w:rsid w:val="00BD6CF3"/>
    <w:rsid w:val="00BD7F72"/>
    <w:rsid w:val="00BE04B7"/>
    <w:rsid w:val="00BE0A28"/>
    <w:rsid w:val="00BE0ECA"/>
    <w:rsid w:val="00BE201F"/>
    <w:rsid w:val="00BE2180"/>
    <w:rsid w:val="00BE21F2"/>
    <w:rsid w:val="00BE302F"/>
    <w:rsid w:val="00BE371A"/>
    <w:rsid w:val="00BE4275"/>
    <w:rsid w:val="00BE5630"/>
    <w:rsid w:val="00BE64D9"/>
    <w:rsid w:val="00BE6CDC"/>
    <w:rsid w:val="00BE6E6B"/>
    <w:rsid w:val="00BE6F33"/>
    <w:rsid w:val="00BE772D"/>
    <w:rsid w:val="00BF06AE"/>
    <w:rsid w:val="00BF0F95"/>
    <w:rsid w:val="00BF1895"/>
    <w:rsid w:val="00BF2433"/>
    <w:rsid w:val="00BF2D9C"/>
    <w:rsid w:val="00BF2E6E"/>
    <w:rsid w:val="00BF3342"/>
    <w:rsid w:val="00BF3466"/>
    <w:rsid w:val="00BF3D7C"/>
    <w:rsid w:val="00BF47BA"/>
    <w:rsid w:val="00BF48AC"/>
    <w:rsid w:val="00BF53F1"/>
    <w:rsid w:val="00BF6017"/>
    <w:rsid w:val="00BF61C9"/>
    <w:rsid w:val="00BF6449"/>
    <w:rsid w:val="00BF6ADF"/>
    <w:rsid w:val="00BF6BAF"/>
    <w:rsid w:val="00BF6C94"/>
    <w:rsid w:val="00BF78A8"/>
    <w:rsid w:val="00BF7B85"/>
    <w:rsid w:val="00BF7DDC"/>
    <w:rsid w:val="00C00424"/>
    <w:rsid w:val="00C00BB0"/>
    <w:rsid w:val="00C03A2E"/>
    <w:rsid w:val="00C0408A"/>
    <w:rsid w:val="00C07120"/>
    <w:rsid w:val="00C077A6"/>
    <w:rsid w:val="00C07926"/>
    <w:rsid w:val="00C07A93"/>
    <w:rsid w:val="00C07C8B"/>
    <w:rsid w:val="00C100BD"/>
    <w:rsid w:val="00C1179F"/>
    <w:rsid w:val="00C119C6"/>
    <w:rsid w:val="00C120DF"/>
    <w:rsid w:val="00C127B9"/>
    <w:rsid w:val="00C128AA"/>
    <w:rsid w:val="00C128FA"/>
    <w:rsid w:val="00C12C14"/>
    <w:rsid w:val="00C12E81"/>
    <w:rsid w:val="00C12EDF"/>
    <w:rsid w:val="00C15F04"/>
    <w:rsid w:val="00C179B3"/>
    <w:rsid w:val="00C17E3F"/>
    <w:rsid w:val="00C200AA"/>
    <w:rsid w:val="00C202CF"/>
    <w:rsid w:val="00C210EA"/>
    <w:rsid w:val="00C223E9"/>
    <w:rsid w:val="00C229D9"/>
    <w:rsid w:val="00C2356E"/>
    <w:rsid w:val="00C237ED"/>
    <w:rsid w:val="00C242A5"/>
    <w:rsid w:val="00C24632"/>
    <w:rsid w:val="00C24AD6"/>
    <w:rsid w:val="00C24CBD"/>
    <w:rsid w:val="00C25028"/>
    <w:rsid w:val="00C25134"/>
    <w:rsid w:val="00C25418"/>
    <w:rsid w:val="00C25D9C"/>
    <w:rsid w:val="00C260ED"/>
    <w:rsid w:val="00C2778B"/>
    <w:rsid w:val="00C27FF9"/>
    <w:rsid w:val="00C30CA7"/>
    <w:rsid w:val="00C3117B"/>
    <w:rsid w:val="00C31649"/>
    <w:rsid w:val="00C322F0"/>
    <w:rsid w:val="00C33782"/>
    <w:rsid w:val="00C33A91"/>
    <w:rsid w:val="00C3412E"/>
    <w:rsid w:val="00C3434C"/>
    <w:rsid w:val="00C3437E"/>
    <w:rsid w:val="00C34A17"/>
    <w:rsid w:val="00C34B1B"/>
    <w:rsid w:val="00C34B37"/>
    <w:rsid w:val="00C34D13"/>
    <w:rsid w:val="00C35240"/>
    <w:rsid w:val="00C35ACD"/>
    <w:rsid w:val="00C364CE"/>
    <w:rsid w:val="00C367F7"/>
    <w:rsid w:val="00C37108"/>
    <w:rsid w:val="00C37343"/>
    <w:rsid w:val="00C40385"/>
    <w:rsid w:val="00C404BB"/>
    <w:rsid w:val="00C41768"/>
    <w:rsid w:val="00C419B1"/>
    <w:rsid w:val="00C4271D"/>
    <w:rsid w:val="00C4297E"/>
    <w:rsid w:val="00C43FFD"/>
    <w:rsid w:val="00C44CDF"/>
    <w:rsid w:val="00C46C16"/>
    <w:rsid w:val="00C475AA"/>
    <w:rsid w:val="00C51083"/>
    <w:rsid w:val="00C526C9"/>
    <w:rsid w:val="00C527C7"/>
    <w:rsid w:val="00C527CD"/>
    <w:rsid w:val="00C52903"/>
    <w:rsid w:val="00C532D1"/>
    <w:rsid w:val="00C5339B"/>
    <w:rsid w:val="00C53C98"/>
    <w:rsid w:val="00C54BB3"/>
    <w:rsid w:val="00C54EFF"/>
    <w:rsid w:val="00C55DB4"/>
    <w:rsid w:val="00C56440"/>
    <w:rsid w:val="00C566C3"/>
    <w:rsid w:val="00C56D01"/>
    <w:rsid w:val="00C56FCF"/>
    <w:rsid w:val="00C5736D"/>
    <w:rsid w:val="00C57B6C"/>
    <w:rsid w:val="00C61670"/>
    <w:rsid w:val="00C61892"/>
    <w:rsid w:val="00C61A59"/>
    <w:rsid w:val="00C61DD1"/>
    <w:rsid w:val="00C61F6E"/>
    <w:rsid w:val="00C62265"/>
    <w:rsid w:val="00C628A6"/>
    <w:rsid w:val="00C62D5D"/>
    <w:rsid w:val="00C63694"/>
    <w:rsid w:val="00C6395C"/>
    <w:rsid w:val="00C63D77"/>
    <w:rsid w:val="00C64344"/>
    <w:rsid w:val="00C65108"/>
    <w:rsid w:val="00C65450"/>
    <w:rsid w:val="00C65576"/>
    <w:rsid w:val="00C65767"/>
    <w:rsid w:val="00C66165"/>
    <w:rsid w:val="00C66DEC"/>
    <w:rsid w:val="00C6713C"/>
    <w:rsid w:val="00C67E10"/>
    <w:rsid w:val="00C70205"/>
    <w:rsid w:val="00C7060A"/>
    <w:rsid w:val="00C7151A"/>
    <w:rsid w:val="00C717E3"/>
    <w:rsid w:val="00C71CF8"/>
    <w:rsid w:val="00C71F60"/>
    <w:rsid w:val="00C72235"/>
    <w:rsid w:val="00C72241"/>
    <w:rsid w:val="00C723B2"/>
    <w:rsid w:val="00C74062"/>
    <w:rsid w:val="00C74F58"/>
    <w:rsid w:val="00C750C8"/>
    <w:rsid w:val="00C7560F"/>
    <w:rsid w:val="00C768CE"/>
    <w:rsid w:val="00C772F4"/>
    <w:rsid w:val="00C77C39"/>
    <w:rsid w:val="00C77E9A"/>
    <w:rsid w:val="00C8001F"/>
    <w:rsid w:val="00C80A0E"/>
    <w:rsid w:val="00C810AE"/>
    <w:rsid w:val="00C8213F"/>
    <w:rsid w:val="00C82CA5"/>
    <w:rsid w:val="00C8303F"/>
    <w:rsid w:val="00C8401A"/>
    <w:rsid w:val="00C85154"/>
    <w:rsid w:val="00C856B0"/>
    <w:rsid w:val="00C85A70"/>
    <w:rsid w:val="00C8750C"/>
    <w:rsid w:val="00C87667"/>
    <w:rsid w:val="00C8797A"/>
    <w:rsid w:val="00C87988"/>
    <w:rsid w:val="00C900B8"/>
    <w:rsid w:val="00C90197"/>
    <w:rsid w:val="00C9021E"/>
    <w:rsid w:val="00C90C71"/>
    <w:rsid w:val="00C917E8"/>
    <w:rsid w:val="00C91A15"/>
    <w:rsid w:val="00C91C75"/>
    <w:rsid w:val="00C91E49"/>
    <w:rsid w:val="00C91FD1"/>
    <w:rsid w:val="00C92B2B"/>
    <w:rsid w:val="00C931CF"/>
    <w:rsid w:val="00C938CF"/>
    <w:rsid w:val="00C93949"/>
    <w:rsid w:val="00C93C77"/>
    <w:rsid w:val="00C94053"/>
    <w:rsid w:val="00C94A93"/>
    <w:rsid w:val="00C95869"/>
    <w:rsid w:val="00C95ED4"/>
    <w:rsid w:val="00C95ED6"/>
    <w:rsid w:val="00C9624D"/>
    <w:rsid w:val="00C96373"/>
    <w:rsid w:val="00C9676E"/>
    <w:rsid w:val="00C969DA"/>
    <w:rsid w:val="00C97582"/>
    <w:rsid w:val="00C97C74"/>
    <w:rsid w:val="00CA18DE"/>
    <w:rsid w:val="00CA2165"/>
    <w:rsid w:val="00CA2174"/>
    <w:rsid w:val="00CA21F4"/>
    <w:rsid w:val="00CA2C77"/>
    <w:rsid w:val="00CA389E"/>
    <w:rsid w:val="00CA444F"/>
    <w:rsid w:val="00CA5245"/>
    <w:rsid w:val="00CA71F4"/>
    <w:rsid w:val="00CA7B09"/>
    <w:rsid w:val="00CB0699"/>
    <w:rsid w:val="00CB12A5"/>
    <w:rsid w:val="00CB1CAC"/>
    <w:rsid w:val="00CB2F2A"/>
    <w:rsid w:val="00CB3403"/>
    <w:rsid w:val="00CB516A"/>
    <w:rsid w:val="00CB5543"/>
    <w:rsid w:val="00CB5B1A"/>
    <w:rsid w:val="00CB6B22"/>
    <w:rsid w:val="00CB73D6"/>
    <w:rsid w:val="00CB7F5F"/>
    <w:rsid w:val="00CC0C26"/>
    <w:rsid w:val="00CC1B39"/>
    <w:rsid w:val="00CC1BFA"/>
    <w:rsid w:val="00CC2E9F"/>
    <w:rsid w:val="00CC2F2D"/>
    <w:rsid w:val="00CC35EA"/>
    <w:rsid w:val="00CC3848"/>
    <w:rsid w:val="00CC387E"/>
    <w:rsid w:val="00CC531B"/>
    <w:rsid w:val="00CC62AD"/>
    <w:rsid w:val="00CC6D5E"/>
    <w:rsid w:val="00CD0200"/>
    <w:rsid w:val="00CD0872"/>
    <w:rsid w:val="00CD0E85"/>
    <w:rsid w:val="00CD20C0"/>
    <w:rsid w:val="00CD2A6F"/>
    <w:rsid w:val="00CD2D91"/>
    <w:rsid w:val="00CD3F77"/>
    <w:rsid w:val="00CD4310"/>
    <w:rsid w:val="00CD5372"/>
    <w:rsid w:val="00CD56AB"/>
    <w:rsid w:val="00CD57A4"/>
    <w:rsid w:val="00CD6062"/>
    <w:rsid w:val="00CD6ADC"/>
    <w:rsid w:val="00CD6E38"/>
    <w:rsid w:val="00CD7193"/>
    <w:rsid w:val="00CE0E7C"/>
    <w:rsid w:val="00CE1D81"/>
    <w:rsid w:val="00CE1E39"/>
    <w:rsid w:val="00CE3263"/>
    <w:rsid w:val="00CE329B"/>
    <w:rsid w:val="00CE38C8"/>
    <w:rsid w:val="00CE524F"/>
    <w:rsid w:val="00CE58CC"/>
    <w:rsid w:val="00CE6274"/>
    <w:rsid w:val="00CE65DB"/>
    <w:rsid w:val="00CE77AC"/>
    <w:rsid w:val="00CE77B6"/>
    <w:rsid w:val="00CF0509"/>
    <w:rsid w:val="00CF286C"/>
    <w:rsid w:val="00CF2B8D"/>
    <w:rsid w:val="00CF3A1B"/>
    <w:rsid w:val="00CF4248"/>
    <w:rsid w:val="00CF456B"/>
    <w:rsid w:val="00CF4FAF"/>
    <w:rsid w:val="00CF5A22"/>
    <w:rsid w:val="00D013DE"/>
    <w:rsid w:val="00D0262E"/>
    <w:rsid w:val="00D02B31"/>
    <w:rsid w:val="00D034DB"/>
    <w:rsid w:val="00D03679"/>
    <w:rsid w:val="00D05E3D"/>
    <w:rsid w:val="00D06139"/>
    <w:rsid w:val="00D07A98"/>
    <w:rsid w:val="00D10176"/>
    <w:rsid w:val="00D101A1"/>
    <w:rsid w:val="00D10619"/>
    <w:rsid w:val="00D110BD"/>
    <w:rsid w:val="00D13675"/>
    <w:rsid w:val="00D141E1"/>
    <w:rsid w:val="00D14A0F"/>
    <w:rsid w:val="00D14AB2"/>
    <w:rsid w:val="00D14F06"/>
    <w:rsid w:val="00D15314"/>
    <w:rsid w:val="00D15B48"/>
    <w:rsid w:val="00D17D6C"/>
    <w:rsid w:val="00D20A7F"/>
    <w:rsid w:val="00D2155B"/>
    <w:rsid w:val="00D23360"/>
    <w:rsid w:val="00D23D11"/>
    <w:rsid w:val="00D2435A"/>
    <w:rsid w:val="00D244B6"/>
    <w:rsid w:val="00D24855"/>
    <w:rsid w:val="00D25C4F"/>
    <w:rsid w:val="00D25DDB"/>
    <w:rsid w:val="00D26EC7"/>
    <w:rsid w:val="00D2754D"/>
    <w:rsid w:val="00D27B27"/>
    <w:rsid w:val="00D27C3B"/>
    <w:rsid w:val="00D3004E"/>
    <w:rsid w:val="00D30415"/>
    <w:rsid w:val="00D3079F"/>
    <w:rsid w:val="00D30D5B"/>
    <w:rsid w:val="00D30F88"/>
    <w:rsid w:val="00D3292C"/>
    <w:rsid w:val="00D33506"/>
    <w:rsid w:val="00D3387A"/>
    <w:rsid w:val="00D33963"/>
    <w:rsid w:val="00D33A0B"/>
    <w:rsid w:val="00D33BE9"/>
    <w:rsid w:val="00D33F93"/>
    <w:rsid w:val="00D344D3"/>
    <w:rsid w:val="00D356CF"/>
    <w:rsid w:val="00D357FF"/>
    <w:rsid w:val="00D35C77"/>
    <w:rsid w:val="00D3610A"/>
    <w:rsid w:val="00D3678A"/>
    <w:rsid w:val="00D376BF"/>
    <w:rsid w:val="00D37707"/>
    <w:rsid w:val="00D4057E"/>
    <w:rsid w:val="00D416D3"/>
    <w:rsid w:val="00D424C7"/>
    <w:rsid w:val="00D43B2A"/>
    <w:rsid w:val="00D43CF1"/>
    <w:rsid w:val="00D43D83"/>
    <w:rsid w:val="00D44472"/>
    <w:rsid w:val="00D44665"/>
    <w:rsid w:val="00D45096"/>
    <w:rsid w:val="00D46308"/>
    <w:rsid w:val="00D47575"/>
    <w:rsid w:val="00D50FE7"/>
    <w:rsid w:val="00D51FAA"/>
    <w:rsid w:val="00D52304"/>
    <w:rsid w:val="00D5243B"/>
    <w:rsid w:val="00D533EC"/>
    <w:rsid w:val="00D53F7F"/>
    <w:rsid w:val="00D54CAE"/>
    <w:rsid w:val="00D54E10"/>
    <w:rsid w:val="00D56A95"/>
    <w:rsid w:val="00D6076E"/>
    <w:rsid w:val="00D625C6"/>
    <w:rsid w:val="00D6274A"/>
    <w:rsid w:val="00D637C2"/>
    <w:rsid w:val="00D63A72"/>
    <w:rsid w:val="00D654A1"/>
    <w:rsid w:val="00D66156"/>
    <w:rsid w:val="00D6628E"/>
    <w:rsid w:val="00D664BB"/>
    <w:rsid w:val="00D708EA"/>
    <w:rsid w:val="00D70AFD"/>
    <w:rsid w:val="00D70F16"/>
    <w:rsid w:val="00D723E4"/>
    <w:rsid w:val="00D725BE"/>
    <w:rsid w:val="00D72617"/>
    <w:rsid w:val="00D72F57"/>
    <w:rsid w:val="00D7443B"/>
    <w:rsid w:val="00D744B0"/>
    <w:rsid w:val="00D745E4"/>
    <w:rsid w:val="00D74641"/>
    <w:rsid w:val="00D76A44"/>
    <w:rsid w:val="00D77019"/>
    <w:rsid w:val="00D7705E"/>
    <w:rsid w:val="00D815EF"/>
    <w:rsid w:val="00D81949"/>
    <w:rsid w:val="00D81F26"/>
    <w:rsid w:val="00D81F56"/>
    <w:rsid w:val="00D822E2"/>
    <w:rsid w:val="00D82A50"/>
    <w:rsid w:val="00D8341F"/>
    <w:rsid w:val="00D8413B"/>
    <w:rsid w:val="00D843F2"/>
    <w:rsid w:val="00D84C51"/>
    <w:rsid w:val="00D85BAD"/>
    <w:rsid w:val="00D86231"/>
    <w:rsid w:val="00D8630A"/>
    <w:rsid w:val="00D8662E"/>
    <w:rsid w:val="00D8718C"/>
    <w:rsid w:val="00D87302"/>
    <w:rsid w:val="00D879D1"/>
    <w:rsid w:val="00D87F01"/>
    <w:rsid w:val="00D912AB"/>
    <w:rsid w:val="00D91923"/>
    <w:rsid w:val="00D92E36"/>
    <w:rsid w:val="00D92F18"/>
    <w:rsid w:val="00D93753"/>
    <w:rsid w:val="00D93878"/>
    <w:rsid w:val="00D943EB"/>
    <w:rsid w:val="00D9528F"/>
    <w:rsid w:val="00D9588E"/>
    <w:rsid w:val="00D95A26"/>
    <w:rsid w:val="00D95B59"/>
    <w:rsid w:val="00D979C0"/>
    <w:rsid w:val="00DA09F2"/>
    <w:rsid w:val="00DA0F51"/>
    <w:rsid w:val="00DA1EAA"/>
    <w:rsid w:val="00DA21A5"/>
    <w:rsid w:val="00DA25B0"/>
    <w:rsid w:val="00DA2AE3"/>
    <w:rsid w:val="00DA2EB7"/>
    <w:rsid w:val="00DA3167"/>
    <w:rsid w:val="00DA3C49"/>
    <w:rsid w:val="00DA4DC3"/>
    <w:rsid w:val="00DA50FF"/>
    <w:rsid w:val="00DA5896"/>
    <w:rsid w:val="00DA618E"/>
    <w:rsid w:val="00DA6A2C"/>
    <w:rsid w:val="00DA75FA"/>
    <w:rsid w:val="00DA77A5"/>
    <w:rsid w:val="00DB035B"/>
    <w:rsid w:val="00DB0E36"/>
    <w:rsid w:val="00DB0FD0"/>
    <w:rsid w:val="00DB1A02"/>
    <w:rsid w:val="00DB21C9"/>
    <w:rsid w:val="00DB26E9"/>
    <w:rsid w:val="00DB3DBF"/>
    <w:rsid w:val="00DB4029"/>
    <w:rsid w:val="00DB484F"/>
    <w:rsid w:val="00DB4F78"/>
    <w:rsid w:val="00DB5A24"/>
    <w:rsid w:val="00DB64AA"/>
    <w:rsid w:val="00DB701B"/>
    <w:rsid w:val="00DC04F6"/>
    <w:rsid w:val="00DC0690"/>
    <w:rsid w:val="00DC0BAA"/>
    <w:rsid w:val="00DC0FE8"/>
    <w:rsid w:val="00DC1D65"/>
    <w:rsid w:val="00DC2B18"/>
    <w:rsid w:val="00DC3457"/>
    <w:rsid w:val="00DC3C57"/>
    <w:rsid w:val="00DC3DA4"/>
    <w:rsid w:val="00DC3F56"/>
    <w:rsid w:val="00DC4C6E"/>
    <w:rsid w:val="00DC4EA8"/>
    <w:rsid w:val="00DC5501"/>
    <w:rsid w:val="00DC599C"/>
    <w:rsid w:val="00DC5DE4"/>
    <w:rsid w:val="00DC6277"/>
    <w:rsid w:val="00DC7154"/>
    <w:rsid w:val="00DC7E8A"/>
    <w:rsid w:val="00DD0343"/>
    <w:rsid w:val="00DD0F78"/>
    <w:rsid w:val="00DD2202"/>
    <w:rsid w:val="00DD273C"/>
    <w:rsid w:val="00DD3F0F"/>
    <w:rsid w:val="00DD3F28"/>
    <w:rsid w:val="00DD4085"/>
    <w:rsid w:val="00DD4446"/>
    <w:rsid w:val="00DD4537"/>
    <w:rsid w:val="00DD4E15"/>
    <w:rsid w:val="00DD565D"/>
    <w:rsid w:val="00DD6359"/>
    <w:rsid w:val="00DD652C"/>
    <w:rsid w:val="00DD6C56"/>
    <w:rsid w:val="00DE2304"/>
    <w:rsid w:val="00DE3138"/>
    <w:rsid w:val="00DE3535"/>
    <w:rsid w:val="00DE37F8"/>
    <w:rsid w:val="00DE3D49"/>
    <w:rsid w:val="00DE4273"/>
    <w:rsid w:val="00DE4467"/>
    <w:rsid w:val="00DE4FCB"/>
    <w:rsid w:val="00DE54FE"/>
    <w:rsid w:val="00DE56AC"/>
    <w:rsid w:val="00DE579D"/>
    <w:rsid w:val="00DE5D07"/>
    <w:rsid w:val="00DE6787"/>
    <w:rsid w:val="00DE6B0C"/>
    <w:rsid w:val="00DE6EAD"/>
    <w:rsid w:val="00DE70AF"/>
    <w:rsid w:val="00DE72A7"/>
    <w:rsid w:val="00DE7832"/>
    <w:rsid w:val="00DF0023"/>
    <w:rsid w:val="00DF0090"/>
    <w:rsid w:val="00DF0161"/>
    <w:rsid w:val="00DF0878"/>
    <w:rsid w:val="00DF1262"/>
    <w:rsid w:val="00DF188B"/>
    <w:rsid w:val="00DF18FC"/>
    <w:rsid w:val="00DF3DC9"/>
    <w:rsid w:val="00DF3E30"/>
    <w:rsid w:val="00DF3F4C"/>
    <w:rsid w:val="00DF4069"/>
    <w:rsid w:val="00DF46C4"/>
    <w:rsid w:val="00DF5394"/>
    <w:rsid w:val="00DF5D2B"/>
    <w:rsid w:val="00DF5E51"/>
    <w:rsid w:val="00DF6341"/>
    <w:rsid w:val="00E00E8E"/>
    <w:rsid w:val="00E02251"/>
    <w:rsid w:val="00E02C4A"/>
    <w:rsid w:val="00E03351"/>
    <w:rsid w:val="00E04585"/>
    <w:rsid w:val="00E0541C"/>
    <w:rsid w:val="00E05630"/>
    <w:rsid w:val="00E06DBB"/>
    <w:rsid w:val="00E070DC"/>
    <w:rsid w:val="00E10149"/>
    <w:rsid w:val="00E10872"/>
    <w:rsid w:val="00E11340"/>
    <w:rsid w:val="00E1166B"/>
    <w:rsid w:val="00E122A1"/>
    <w:rsid w:val="00E14D35"/>
    <w:rsid w:val="00E15C37"/>
    <w:rsid w:val="00E16372"/>
    <w:rsid w:val="00E16AD8"/>
    <w:rsid w:val="00E1717B"/>
    <w:rsid w:val="00E177C8"/>
    <w:rsid w:val="00E178D4"/>
    <w:rsid w:val="00E17E54"/>
    <w:rsid w:val="00E17FFA"/>
    <w:rsid w:val="00E201DF"/>
    <w:rsid w:val="00E20BD5"/>
    <w:rsid w:val="00E20E4D"/>
    <w:rsid w:val="00E20ED6"/>
    <w:rsid w:val="00E21358"/>
    <w:rsid w:val="00E21399"/>
    <w:rsid w:val="00E2249B"/>
    <w:rsid w:val="00E22A0D"/>
    <w:rsid w:val="00E22F32"/>
    <w:rsid w:val="00E23BC3"/>
    <w:rsid w:val="00E244F6"/>
    <w:rsid w:val="00E25784"/>
    <w:rsid w:val="00E258DB"/>
    <w:rsid w:val="00E26450"/>
    <w:rsid w:val="00E26C4F"/>
    <w:rsid w:val="00E2771E"/>
    <w:rsid w:val="00E311EF"/>
    <w:rsid w:val="00E3126D"/>
    <w:rsid w:val="00E32180"/>
    <w:rsid w:val="00E32397"/>
    <w:rsid w:val="00E329A0"/>
    <w:rsid w:val="00E343D7"/>
    <w:rsid w:val="00E3453A"/>
    <w:rsid w:val="00E34948"/>
    <w:rsid w:val="00E34DFE"/>
    <w:rsid w:val="00E35C6C"/>
    <w:rsid w:val="00E36358"/>
    <w:rsid w:val="00E3667F"/>
    <w:rsid w:val="00E37569"/>
    <w:rsid w:val="00E401B2"/>
    <w:rsid w:val="00E41748"/>
    <w:rsid w:val="00E417A4"/>
    <w:rsid w:val="00E41E30"/>
    <w:rsid w:val="00E42F73"/>
    <w:rsid w:val="00E43D70"/>
    <w:rsid w:val="00E43FFB"/>
    <w:rsid w:val="00E45203"/>
    <w:rsid w:val="00E465D4"/>
    <w:rsid w:val="00E466F3"/>
    <w:rsid w:val="00E4738A"/>
    <w:rsid w:val="00E47B2C"/>
    <w:rsid w:val="00E50FE6"/>
    <w:rsid w:val="00E51560"/>
    <w:rsid w:val="00E51821"/>
    <w:rsid w:val="00E51D68"/>
    <w:rsid w:val="00E520D1"/>
    <w:rsid w:val="00E52392"/>
    <w:rsid w:val="00E536B1"/>
    <w:rsid w:val="00E536B8"/>
    <w:rsid w:val="00E53FC8"/>
    <w:rsid w:val="00E54347"/>
    <w:rsid w:val="00E55424"/>
    <w:rsid w:val="00E554D5"/>
    <w:rsid w:val="00E55915"/>
    <w:rsid w:val="00E55BB5"/>
    <w:rsid w:val="00E55C59"/>
    <w:rsid w:val="00E5625C"/>
    <w:rsid w:val="00E57A5F"/>
    <w:rsid w:val="00E57A69"/>
    <w:rsid w:val="00E611DF"/>
    <w:rsid w:val="00E61F8D"/>
    <w:rsid w:val="00E62608"/>
    <w:rsid w:val="00E62914"/>
    <w:rsid w:val="00E651D7"/>
    <w:rsid w:val="00E65E79"/>
    <w:rsid w:val="00E660AD"/>
    <w:rsid w:val="00E66BA2"/>
    <w:rsid w:val="00E67078"/>
    <w:rsid w:val="00E67380"/>
    <w:rsid w:val="00E67416"/>
    <w:rsid w:val="00E7088A"/>
    <w:rsid w:val="00E710F5"/>
    <w:rsid w:val="00E716A9"/>
    <w:rsid w:val="00E718B6"/>
    <w:rsid w:val="00E719AE"/>
    <w:rsid w:val="00E723AF"/>
    <w:rsid w:val="00E723BA"/>
    <w:rsid w:val="00E72D92"/>
    <w:rsid w:val="00E7346A"/>
    <w:rsid w:val="00E73581"/>
    <w:rsid w:val="00E7425D"/>
    <w:rsid w:val="00E7724D"/>
    <w:rsid w:val="00E7728E"/>
    <w:rsid w:val="00E77BF8"/>
    <w:rsid w:val="00E80732"/>
    <w:rsid w:val="00E808CA"/>
    <w:rsid w:val="00E80AD6"/>
    <w:rsid w:val="00E81248"/>
    <w:rsid w:val="00E833F7"/>
    <w:rsid w:val="00E83BDF"/>
    <w:rsid w:val="00E83F46"/>
    <w:rsid w:val="00E842F0"/>
    <w:rsid w:val="00E86797"/>
    <w:rsid w:val="00E86F76"/>
    <w:rsid w:val="00E86FCC"/>
    <w:rsid w:val="00E8759C"/>
    <w:rsid w:val="00E87A1D"/>
    <w:rsid w:val="00E9094A"/>
    <w:rsid w:val="00E90EF7"/>
    <w:rsid w:val="00E91B67"/>
    <w:rsid w:val="00E91D35"/>
    <w:rsid w:val="00E92189"/>
    <w:rsid w:val="00E926A5"/>
    <w:rsid w:val="00E94327"/>
    <w:rsid w:val="00E94743"/>
    <w:rsid w:val="00E947CD"/>
    <w:rsid w:val="00E94FCD"/>
    <w:rsid w:val="00E94FF4"/>
    <w:rsid w:val="00E95227"/>
    <w:rsid w:val="00E95FFD"/>
    <w:rsid w:val="00E962CC"/>
    <w:rsid w:val="00E97591"/>
    <w:rsid w:val="00EA001D"/>
    <w:rsid w:val="00EA028F"/>
    <w:rsid w:val="00EA0587"/>
    <w:rsid w:val="00EA0A72"/>
    <w:rsid w:val="00EA0D66"/>
    <w:rsid w:val="00EA17C3"/>
    <w:rsid w:val="00EA2CAA"/>
    <w:rsid w:val="00EA3237"/>
    <w:rsid w:val="00EA3864"/>
    <w:rsid w:val="00EA40D1"/>
    <w:rsid w:val="00EA44A6"/>
    <w:rsid w:val="00EA5404"/>
    <w:rsid w:val="00EA60AD"/>
    <w:rsid w:val="00EA7F1C"/>
    <w:rsid w:val="00EB03D9"/>
    <w:rsid w:val="00EB082B"/>
    <w:rsid w:val="00EB15B6"/>
    <w:rsid w:val="00EB17E2"/>
    <w:rsid w:val="00EB1DFC"/>
    <w:rsid w:val="00EB25A6"/>
    <w:rsid w:val="00EB2991"/>
    <w:rsid w:val="00EB386F"/>
    <w:rsid w:val="00EB3D06"/>
    <w:rsid w:val="00EB3EFB"/>
    <w:rsid w:val="00EB462C"/>
    <w:rsid w:val="00EB4916"/>
    <w:rsid w:val="00EB4D9E"/>
    <w:rsid w:val="00EB6D66"/>
    <w:rsid w:val="00EB6DFB"/>
    <w:rsid w:val="00EB7048"/>
    <w:rsid w:val="00EB70A1"/>
    <w:rsid w:val="00EB7E0C"/>
    <w:rsid w:val="00EC00C9"/>
    <w:rsid w:val="00EC0DD9"/>
    <w:rsid w:val="00EC1499"/>
    <w:rsid w:val="00EC1A8C"/>
    <w:rsid w:val="00EC2649"/>
    <w:rsid w:val="00EC31ED"/>
    <w:rsid w:val="00EC5391"/>
    <w:rsid w:val="00EC54D4"/>
    <w:rsid w:val="00EC5836"/>
    <w:rsid w:val="00EC5A13"/>
    <w:rsid w:val="00EC5C65"/>
    <w:rsid w:val="00EC688C"/>
    <w:rsid w:val="00EC6F28"/>
    <w:rsid w:val="00EC7B79"/>
    <w:rsid w:val="00ED022E"/>
    <w:rsid w:val="00ED0403"/>
    <w:rsid w:val="00ED0C5F"/>
    <w:rsid w:val="00ED12E3"/>
    <w:rsid w:val="00ED1394"/>
    <w:rsid w:val="00ED21B5"/>
    <w:rsid w:val="00ED30DB"/>
    <w:rsid w:val="00ED4780"/>
    <w:rsid w:val="00ED47E6"/>
    <w:rsid w:val="00ED4B04"/>
    <w:rsid w:val="00ED57EA"/>
    <w:rsid w:val="00ED5BD4"/>
    <w:rsid w:val="00ED5FE4"/>
    <w:rsid w:val="00ED7720"/>
    <w:rsid w:val="00ED7A89"/>
    <w:rsid w:val="00EE07D3"/>
    <w:rsid w:val="00EE085B"/>
    <w:rsid w:val="00EE1545"/>
    <w:rsid w:val="00EE1895"/>
    <w:rsid w:val="00EE1996"/>
    <w:rsid w:val="00EE1C01"/>
    <w:rsid w:val="00EE1DDE"/>
    <w:rsid w:val="00EE22AF"/>
    <w:rsid w:val="00EE34AD"/>
    <w:rsid w:val="00EE646B"/>
    <w:rsid w:val="00EE7C9B"/>
    <w:rsid w:val="00EF0171"/>
    <w:rsid w:val="00EF0513"/>
    <w:rsid w:val="00EF0B51"/>
    <w:rsid w:val="00EF0E62"/>
    <w:rsid w:val="00EF1B25"/>
    <w:rsid w:val="00EF1DA0"/>
    <w:rsid w:val="00EF210A"/>
    <w:rsid w:val="00EF2529"/>
    <w:rsid w:val="00EF387B"/>
    <w:rsid w:val="00EF3B50"/>
    <w:rsid w:val="00EF4747"/>
    <w:rsid w:val="00EF48C3"/>
    <w:rsid w:val="00EF4A8A"/>
    <w:rsid w:val="00EF4AF6"/>
    <w:rsid w:val="00EF4BF8"/>
    <w:rsid w:val="00EF564B"/>
    <w:rsid w:val="00EF6F18"/>
    <w:rsid w:val="00EF733D"/>
    <w:rsid w:val="00EF7693"/>
    <w:rsid w:val="00EF7E88"/>
    <w:rsid w:val="00F01382"/>
    <w:rsid w:val="00F0149F"/>
    <w:rsid w:val="00F01DE0"/>
    <w:rsid w:val="00F02253"/>
    <w:rsid w:val="00F03171"/>
    <w:rsid w:val="00F03C2E"/>
    <w:rsid w:val="00F03CA8"/>
    <w:rsid w:val="00F04017"/>
    <w:rsid w:val="00F04A66"/>
    <w:rsid w:val="00F04B4B"/>
    <w:rsid w:val="00F0516C"/>
    <w:rsid w:val="00F05724"/>
    <w:rsid w:val="00F062C2"/>
    <w:rsid w:val="00F067A2"/>
    <w:rsid w:val="00F075BC"/>
    <w:rsid w:val="00F0790B"/>
    <w:rsid w:val="00F0795D"/>
    <w:rsid w:val="00F07B9E"/>
    <w:rsid w:val="00F1116F"/>
    <w:rsid w:val="00F112F2"/>
    <w:rsid w:val="00F12369"/>
    <w:rsid w:val="00F1263A"/>
    <w:rsid w:val="00F139C5"/>
    <w:rsid w:val="00F13AD1"/>
    <w:rsid w:val="00F13BD3"/>
    <w:rsid w:val="00F14975"/>
    <w:rsid w:val="00F15B77"/>
    <w:rsid w:val="00F163BE"/>
    <w:rsid w:val="00F1689C"/>
    <w:rsid w:val="00F16FDE"/>
    <w:rsid w:val="00F20022"/>
    <w:rsid w:val="00F20AFF"/>
    <w:rsid w:val="00F21236"/>
    <w:rsid w:val="00F22711"/>
    <w:rsid w:val="00F23449"/>
    <w:rsid w:val="00F24837"/>
    <w:rsid w:val="00F2575F"/>
    <w:rsid w:val="00F25E01"/>
    <w:rsid w:val="00F25ED6"/>
    <w:rsid w:val="00F262D9"/>
    <w:rsid w:val="00F27565"/>
    <w:rsid w:val="00F30600"/>
    <w:rsid w:val="00F310D4"/>
    <w:rsid w:val="00F31C5E"/>
    <w:rsid w:val="00F31D5A"/>
    <w:rsid w:val="00F31EFA"/>
    <w:rsid w:val="00F32AE5"/>
    <w:rsid w:val="00F33975"/>
    <w:rsid w:val="00F33CEE"/>
    <w:rsid w:val="00F33DE9"/>
    <w:rsid w:val="00F33F25"/>
    <w:rsid w:val="00F34F33"/>
    <w:rsid w:val="00F35E6D"/>
    <w:rsid w:val="00F3619A"/>
    <w:rsid w:val="00F40AAA"/>
    <w:rsid w:val="00F40BA7"/>
    <w:rsid w:val="00F40F9D"/>
    <w:rsid w:val="00F411A4"/>
    <w:rsid w:val="00F41969"/>
    <w:rsid w:val="00F41ACD"/>
    <w:rsid w:val="00F432A1"/>
    <w:rsid w:val="00F44353"/>
    <w:rsid w:val="00F446C0"/>
    <w:rsid w:val="00F457B4"/>
    <w:rsid w:val="00F46CB6"/>
    <w:rsid w:val="00F472D9"/>
    <w:rsid w:val="00F4756D"/>
    <w:rsid w:val="00F47DE8"/>
    <w:rsid w:val="00F50E72"/>
    <w:rsid w:val="00F515FD"/>
    <w:rsid w:val="00F522C5"/>
    <w:rsid w:val="00F5241E"/>
    <w:rsid w:val="00F5354B"/>
    <w:rsid w:val="00F53A27"/>
    <w:rsid w:val="00F53AB1"/>
    <w:rsid w:val="00F54241"/>
    <w:rsid w:val="00F542C1"/>
    <w:rsid w:val="00F543FB"/>
    <w:rsid w:val="00F550E3"/>
    <w:rsid w:val="00F55E73"/>
    <w:rsid w:val="00F55EDA"/>
    <w:rsid w:val="00F55F1A"/>
    <w:rsid w:val="00F56C80"/>
    <w:rsid w:val="00F60092"/>
    <w:rsid w:val="00F60C5A"/>
    <w:rsid w:val="00F61734"/>
    <w:rsid w:val="00F61C18"/>
    <w:rsid w:val="00F621DB"/>
    <w:rsid w:val="00F62637"/>
    <w:rsid w:val="00F62F2C"/>
    <w:rsid w:val="00F63518"/>
    <w:rsid w:val="00F6353D"/>
    <w:rsid w:val="00F643E3"/>
    <w:rsid w:val="00F64770"/>
    <w:rsid w:val="00F64E3A"/>
    <w:rsid w:val="00F6551D"/>
    <w:rsid w:val="00F65F3B"/>
    <w:rsid w:val="00F65F4B"/>
    <w:rsid w:val="00F6679D"/>
    <w:rsid w:val="00F66889"/>
    <w:rsid w:val="00F67239"/>
    <w:rsid w:val="00F67316"/>
    <w:rsid w:val="00F67595"/>
    <w:rsid w:val="00F67A69"/>
    <w:rsid w:val="00F70144"/>
    <w:rsid w:val="00F70BFF"/>
    <w:rsid w:val="00F70C9D"/>
    <w:rsid w:val="00F7197D"/>
    <w:rsid w:val="00F727E0"/>
    <w:rsid w:val="00F738A7"/>
    <w:rsid w:val="00F73995"/>
    <w:rsid w:val="00F73CE5"/>
    <w:rsid w:val="00F73E08"/>
    <w:rsid w:val="00F74CD9"/>
    <w:rsid w:val="00F76464"/>
    <w:rsid w:val="00F76F71"/>
    <w:rsid w:val="00F77803"/>
    <w:rsid w:val="00F77896"/>
    <w:rsid w:val="00F77994"/>
    <w:rsid w:val="00F80A7B"/>
    <w:rsid w:val="00F80E5D"/>
    <w:rsid w:val="00F81E78"/>
    <w:rsid w:val="00F83500"/>
    <w:rsid w:val="00F838A1"/>
    <w:rsid w:val="00F83916"/>
    <w:rsid w:val="00F83F8A"/>
    <w:rsid w:val="00F846CC"/>
    <w:rsid w:val="00F851CE"/>
    <w:rsid w:val="00F87AE6"/>
    <w:rsid w:val="00F91219"/>
    <w:rsid w:val="00F92444"/>
    <w:rsid w:val="00F92E0E"/>
    <w:rsid w:val="00F9393E"/>
    <w:rsid w:val="00F93A04"/>
    <w:rsid w:val="00F9404E"/>
    <w:rsid w:val="00F9422F"/>
    <w:rsid w:val="00F950EF"/>
    <w:rsid w:val="00F96FD0"/>
    <w:rsid w:val="00F979BF"/>
    <w:rsid w:val="00F97A78"/>
    <w:rsid w:val="00FA064D"/>
    <w:rsid w:val="00FA0B20"/>
    <w:rsid w:val="00FA1595"/>
    <w:rsid w:val="00FA2074"/>
    <w:rsid w:val="00FA24E7"/>
    <w:rsid w:val="00FA305E"/>
    <w:rsid w:val="00FA3230"/>
    <w:rsid w:val="00FA3954"/>
    <w:rsid w:val="00FA5EE6"/>
    <w:rsid w:val="00FA7956"/>
    <w:rsid w:val="00FA7F1F"/>
    <w:rsid w:val="00FB066F"/>
    <w:rsid w:val="00FB07C7"/>
    <w:rsid w:val="00FB0824"/>
    <w:rsid w:val="00FB08E8"/>
    <w:rsid w:val="00FB0AE6"/>
    <w:rsid w:val="00FB0FEB"/>
    <w:rsid w:val="00FB1978"/>
    <w:rsid w:val="00FB1B72"/>
    <w:rsid w:val="00FB1E56"/>
    <w:rsid w:val="00FB21C3"/>
    <w:rsid w:val="00FB2FCB"/>
    <w:rsid w:val="00FB356E"/>
    <w:rsid w:val="00FB4C9C"/>
    <w:rsid w:val="00FB4D36"/>
    <w:rsid w:val="00FB5705"/>
    <w:rsid w:val="00FB662F"/>
    <w:rsid w:val="00FB663F"/>
    <w:rsid w:val="00FB7466"/>
    <w:rsid w:val="00FB7C55"/>
    <w:rsid w:val="00FC016C"/>
    <w:rsid w:val="00FC0C39"/>
    <w:rsid w:val="00FC0F54"/>
    <w:rsid w:val="00FC1074"/>
    <w:rsid w:val="00FC145C"/>
    <w:rsid w:val="00FC1884"/>
    <w:rsid w:val="00FC2109"/>
    <w:rsid w:val="00FC361A"/>
    <w:rsid w:val="00FC371D"/>
    <w:rsid w:val="00FC4962"/>
    <w:rsid w:val="00FC5F0B"/>
    <w:rsid w:val="00FC64B9"/>
    <w:rsid w:val="00FC737B"/>
    <w:rsid w:val="00FD0B12"/>
    <w:rsid w:val="00FD117C"/>
    <w:rsid w:val="00FD1F02"/>
    <w:rsid w:val="00FD2100"/>
    <w:rsid w:val="00FD2AEC"/>
    <w:rsid w:val="00FD3684"/>
    <w:rsid w:val="00FD419C"/>
    <w:rsid w:val="00FD436C"/>
    <w:rsid w:val="00FD4423"/>
    <w:rsid w:val="00FD446D"/>
    <w:rsid w:val="00FD4F2C"/>
    <w:rsid w:val="00FD575C"/>
    <w:rsid w:val="00FD6394"/>
    <w:rsid w:val="00FD6664"/>
    <w:rsid w:val="00FD7BB2"/>
    <w:rsid w:val="00FE00CE"/>
    <w:rsid w:val="00FE0160"/>
    <w:rsid w:val="00FE0E6C"/>
    <w:rsid w:val="00FE1507"/>
    <w:rsid w:val="00FE1CDC"/>
    <w:rsid w:val="00FE1E42"/>
    <w:rsid w:val="00FE2163"/>
    <w:rsid w:val="00FE241F"/>
    <w:rsid w:val="00FE2954"/>
    <w:rsid w:val="00FE2DE3"/>
    <w:rsid w:val="00FE3153"/>
    <w:rsid w:val="00FE345C"/>
    <w:rsid w:val="00FE3640"/>
    <w:rsid w:val="00FE38B5"/>
    <w:rsid w:val="00FE6642"/>
    <w:rsid w:val="00FE68D8"/>
    <w:rsid w:val="00FE70C3"/>
    <w:rsid w:val="00FF1A8B"/>
    <w:rsid w:val="00FF211A"/>
    <w:rsid w:val="00FF26EB"/>
    <w:rsid w:val="00FF2AD9"/>
    <w:rsid w:val="00FF359F"/>
    <w:rsid w:val="00FF3B53"/>
    <w:rsid w:val="00FF3DCF"/>
    <w:rsid w:val="00FF492C"/>
    <w:rsid w:val="00FF4A21"/>
    <w:rsid w:val="00FF4BF6"/>
    <w:rsid w:val="00FF55C2"/>
    <w:rsid w:val="00FF56F1"/>
    <w:rsid w:val="00FF572E"/>
    <w:rsid w:val="00FF5AA3"/>
    <w:rsid w:val="00FF5AD8"/>
    <w:rsid w:val="00FF64A5"/>
    <w:rsid w:val="00FF74DE"/>
    <w:rsid w:val="00FF7CBE"/>
    <w:rsid w:val="00FF7F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H"/>
    <w:basedOn w:val="Normal"/>
    <w:next w:val="Normal"/>
    <w:link w:val="CaptionChar"/>
    <w:uiPriority w:val="1"/>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H Char"/>
    <w:link w:val="Caption"/>
    <w:uiPriority w:val="2"/>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Header Table,NICE instructions,Source table_,HealthConsult,Dossier table,new style,MSD Table Grid,RTI AMCP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Verwijzing opmerking"/>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44911"/>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1D591C"/>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77E9A"/>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qFormat/>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paragraph" w:customStyle="1" w:styleId="TableText1">
    <w:name w:val="TableText"/>
    <w:basedOn w:val="Normal"/>
    <w:link w:val="TableTextChar1"/>
    <w:uiPriority w:val="3"/>
    <w:qFormat/>
    <w:rsid w:val="00FF7F21"/>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FF7F21"/>
    <w:rPr>
      <w:rFonts w:ascii="Calibri" w:hAnsi="Calibri" w:cs="Calibri"/>
      <w:bCs/>
      <w:lang w:eastAsia="zh-CN"/>
    </w:rPr>
  </w:style>
  <w:style w:type="paragraph" w:customStyle="1" w:styleId="SourceNotes">
    <w:name w:val="SourceNotes"/>
    <w:basedOn w:val="Normal"/>
    <w:next w:val="Normal"/>
    <w:link w:val="SourceNotesChar"/>
    <w:uiPriority w:val="2"/>
    <w:qFormat/>
    <w:rsid w:val="00A1132F"/>
    <w:pPr>
      <w:tabs>
        <w:tab w:val="left" w:pos="1100"/>
      </w:tabs>
      <w:ind w:left="1100" w:hanging="1100"/>
      <w:jc w:val="left"/>
    </w:pPr>
    <w:rPr>
      <w:rFonts w:eastAsiaTheme="minorEastAsia" w:cstheme="minorBidi"/>
      <w:sz w:val="18"/>
      <w:szCs w:val="18"/>
      <w:lang w:eastAsia="en-US"/>
    </w:rPr>
  </w:style>
  <w:style w:type="character" w:customStyle="1" w:styleId="SourceNotesChar">
    <w:name w:val="SourceNotes Char"/>
    <w:basedOn w:val="DefaultParagraphFont"/>
    <w:link w:val="SourceNotes"/>
    <w:uiPriority w:val="2"/>
    <w:rsid w:val="00A1132F"/>
    <w:rPr>
      <w:rFonts w:ascii="Calibri" w:eastAsiaTheme="minorEastAsia" w:hAnsi="Calibri" w:cstheme="minorBidi"/>
      <w:sz w:val="18"/>
      <w:szCs w:val="18"/>
      <w:lang w:eastAsia="en-US"/>
    </w:rPr>
  </w:style>
  <w:style w:type="table" w:customStyle="1" w:styleId="HTAtableplain1">
    <w:name w:val="HTAtableplain1"/>
    <w:basedOn w:val="TableNormal"/>
    <w:next w:val="TableGrid"/>
    <w:uiPriority w:val="59"/>
    <w:rsid w:val="00A1132F"/>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032763"/>
    <w:rPr>
      <w:sz w:val="20"/>
      <w:szCs w:val="20"/>
    </w:rPr>
  </w:style>
  <w:style w:type="character" w:customStyle="1" w:styleId="FootnoteTextChar">
    <w:name w:val="Footnote Text Char"/>
    <w:basedOn w:val="DefaultParagraphFont"/>
    <w:link w:val="FootnoteText"/>
    <w:semiHidden/>
    <w:rsid w:val="00032763"/>
    <w:rPr>
      <w:rFonts w:ascii="Calibri" w:hAnsi="Calibri" w:cs="Arial"/>
    </w:rPr>
  </w:style>
  <w:style w:type="character" w:styleId="FootnoteReference">
    <w:name w:val="footnote reference"/>
    <w:basedOn w:val="DefaultParagraphFont"/>
    <w:semiHidden/>
    <w:unhideWhenUsed/>
    <w:rsid w:val="00032763"/>
    <w:rPr>
      <w:vertAlign w:val="superscript"/>
    </w:rPr>
  </w:style>
  <w:style w:type="paragraph" w:customStyle="1" w:styleId="Paragraphnonumbers">
    <w:name w:val="Paragraph no numbers"/>
    <w:basedOn w:val="Normal"/>
    <w:uiPriority w:val="99"/>
    <w:qFormat/>
    <w:rsid w:val="00F34F33"/>
    <w:pPr>
      <w:spacing w:after="240" w:line="276" w:lineRule="auto"/>
      <w:jc w:val="left"/>
    </w:pPr>
    <w:rPr>
      <w:rFonts w:ascii="Arial" w:eastAsia="PMingLiU" w:hAnsi="Arial" w:cs="Times New Roman"/>
      <w:lang w:val="en-GB" w:eastAsia="en-GB"/>
    </w:rPr>
  </w:style>
  <w:style w:type="paragraph" w:customStyle="1" w:styleId="ESNormal">
    <w:name w:val="ESNormal"/>
    <w:basedOn w:val="Normal"/>
    <w:link w:val="ESNormalChar"/>
    <w:qFormat/>
    <w:rsid w:val="00464A6A"/>
    <w:pPr>
      <w:spacing w:after="120" w:line="264" w:lineRule="auto"/>
    </w:pPr>
    <w:rPr>
      <w:rFonts w:eastAsiaTheme="minorEastAsia" w:cstheme="minorBidi"/>
      <w:sz w:val="22"/>
      <w:szCs w:val="22"/>
      <w:lang w:eastAsia="zh-CN"/>
    </w:rPr>
  </w:style>
  <w:style w:type="character" w:customStyle="1" w:styleId="ESNormalChar">
    <w:name w:val="ESNormal Char"/>
    <w:basedOn w:val="DefaultParagraphFont"/>
    <w:link w:val="ESNormal"/>
    <w:rsid w:val="00464A6A"/>
    <w:rPr>
      <w:rFonts w:ascii="Calibri" w:eastAsiaTheme="minorEastAsia" w:hAnsi="Calibri" w:cstheme="minorBidi"/>
      <w:sz w:val="22"/>
      <w:szCs w:val="22"/>
      <w:lang w:eastAsia="zh-CN"/>
    </w:rPr>
  </w:style>
  <w:style w:type="paragraph" w:styleId="TableofFigures">
    <w:name w:val="table of figures"/>
    <w:next w:val="Normal"/>
    <w:uiPriority w:val="99"/>
    <w:rsid w:val="004F7845"/>
    <w:pPr>
      <w:tabs>
        <w:tab w:val="left" w:pos="1134"/>
        <w:tab w:val="right" w:leader="dot" w:pos="9923"/>
      </w:tabs>
      <w:spacing w:after="40"/>
      <w:ind w:left="1134" w:right="-2" w:hanging="1134"/>
    </w:pPr>
    <w:rPr>
      <w:rFonts w:asciiTheme="minorHAnsi" w:eastAsiaTheme="minorEastAsia" w:hAnsiTheme="minorHAnsi" w:cstheme="minorBidi"/>
      <w:noProof/>
      <w:sz w:val="22"/>
      <w:szCs w:val="22"/>
      <w:lang w:eastAsia="zh-CN"/>
    </w:rPr>
  </w:style>
  <w:style w:type="paragraph" w:customStyle="1" w:styleId="TableNotes-shorter">
    <w:name w:val="TableNotes-shorter"/>
    <w:basedOn w:val="Normal"/>
    <w:next w:val="Normal"/>
    <w:uiPriority w:val="3"/>
    <w:qFormat/>
    <w:rsid w:val="00060A1A"/>
    <w:pPr>
      <w:tabs>
        <w:tab w:val="left" w:pos="709"/>
      </w:tabs>
      <w:ind w:left="709" w:hanging="709"/>
      <w:jc w:val="left"/>
    </w:pPr>
    <w:rPr>
      <w:rFonts w:eastAsiaTheme="minorEastAsia" w:cstheme="minorBidi"/>
      <w:sz w:val="18"/>
      <w:szCs w:val="18"/>
      <w:lang w:eastAsia="en-US"/>
    </w:rPr>
  </w:style>
  <w:style w:type="table" w:customStyle="1" w:styleId="MSDAustralia">
    <w:name w:val="MSD Australia"/>
    <w:basedOn w:val="TableGrid"/>
    <w:uiPriority w:val="99"/>
    <w:rsid w:val="008A185C"/>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HeadingRow">
    <w:name w:val="TableHeadingRow"/>
    <w:basedOn w:val="TableText1"/>
    <w:uiPriority w:val="3"/>
    <w:qFormat/>
    <w:rsid w:val="00381810"/>
    <w:pPr>
      <w:keepNext/>
      <w:spacing w:before="40" w:after="40"/>
      <w:jc w:val="center"/>
    </w:pPr>
    <w:rPr>
      <w:b/>
      <w:bCs w:val="0"/>
    </w:rPr>
  </w:style>
  <w:style w:type="paragraph" w:customStyle="1" w:styleId="TableNotes">
    <w:name w:val="TableNotes"/>
    <w:basedOn w:val="Normal"/>
    <w:next w:val="Normal"/>
    <w:link w:val="TableNotesChar"/>
    <w:uiPriority w:val="3"/>
    <w:qFormat/>
    <w:rsid w:val="00F87AE6"/>
    <w:pPr>
      <w:tabs>
        <w:tab w:val="left" w:pos="1134"/>
      </w:tabs>
      <w:ind w:left="1134" w:hanging="1134"/>
    </w:pPr>
    <w:rPr>
      <w:rFonts w:eastAsiaTheme="minorEastAsia" w:cstheme="minorBidi"/>
      <w:sz w:val="18"/>
      <w:szCs w:val="18"/>
      <w:lang w:eastAsia="zh-CN"/>
    </w:rPr>
  </w:style>
  <w:style w:type="character" w:customStyle="1" w:styleId="TableNotesChar">
    <w:name w:val="TableNotes Char"/>
    <w:basedOn w:val="DefaultParagraphFont"/>
    <w:link w:val="TableNotes"/>
    <w:uiPriority w:val="3"/>
    <w:rsid w:val="00F87AE6"/>
    <w:rPr>
      <w:rFonts w:ascii="Calibri" w:eastAsiaTheme="minorEastAsia" w:hAnsi="Calibri" w:cstheme="minorBidi"/>
      <w:sz w:val="18"/>
      <w:szCs w:val="18"/>
      <w:lang w:eastAsia="zh-CN"/>
    </w:rPr>
  </w:style>
  <w:style w:type="character" w:customStyle="1" w:styleId="TableFigureFooterChar">
    <w:name w:val="Table/Figure Footer Char"/>
    <w:link w:val="TableFigureFooter"/>
    <w:locked/>
    <w:rsid w:val="00B93DAD"/>
    <w:rPr>
      <w:rFonts w:ascii="Arial Narrow" w:hAnsi="Arial Narrow" w:cs="Arial"/>
      <w:sz w:val="18"/>
      <w:szCs w:val="22"/>
    </w:rPr>
  </w:style>
  <w:style w:type="paragraph" w:customStyle="1" w:styleId="TableFigureFooter">
    <w:name w:val="Table/Figure Footer"/>
    <w:basedOn w:val="Normal"/>
    <w:link w:val="TableFigureFooterChar"/>
    <w:qFormat/>
    <w:rsid w:val="00B93DAD"/>
    <w:pPr>
      <w:snapToGrid w:val="0"/>
      <w:spacing w:after="120"/>
      <w:contextualSpacing/>
    </w:pPr>
    <w:rPr>
      <w:rFonts w:ascii="Arial Narrow" w:hAnsi="Arial Narrow"/>
      <w:sz w:val="18"/>
      <w:szCs w:val="22"/>
    </w:rPr>
  </w:style>
  <w:style w:type="paragraph" w:customStyle="1" w:styleId="BulletList">
    <w:name w:val="Bullet List"/>
    <w:basedOn w:val="Normal"/>
    <w:link w:val="BulletListChar"/>
    <w:uiPriority w:val="2"/>
    <w:qFormat/>
    <w:rsid w:val="00EF0E62"/>
    <w:pPr>
      <w:numPr>
        <w:numId w:val="8"/>
      </w:numPr>
      <w:tabs>
        <w:tab w:val="clear" w:pos="360"/>
        <w:tab w:val="left" w:pos="426"/>
      </w:tabs>
      <w:spacing w:after="200" w:line="264" w:lineRule="auto"/>
      <w:ind w:left="425" w:hanging="425"/>
      <w:contextualSpacing/>
    </w:pPr>
    <w:rPr>
      <w:rFonts w:eastAsiaTheme="minorEastAsia" w:cstheme="minorBidi"/>
      <w:sz w:val="22"/>
      <w:szCs w:val="22"/>
      <w:lang w:val="en-US" w:eastAsia="zh-CN"/>
    </w:rPr>
  </w:style>
  <w:style w:type="character" w:customStyle="1" w:styleId="BulletListChar">
    <w:name w:val="Bullet List Char"/>
    <w:aliases w:val="List Bullet Char"/>
    <w:basedOn w:val="DefaultParagraphFont"/>
    <w:link w:val="BulletList"/>
    <w:uiPriority w:val="2"/>
    <w:rsid w:val="00EF0E62"/>
    <w:rPr>
      <w:rFonts w:ascii="Calibri" w:eastAsiaTheme="minorEastAsia" w:hAnsi="Calibri" w:cstheme="minorBidi"/>
      <w:sz w:val="22"/>
      <w:szCs w:val="22"/>
      <w:lang w:val="en-US" w:eastAsia="zh-CN"/>
    </w:rPr>
  </w:style>
  <w:style w:type="character" w:customStyle="1" w:styleId="cf01">
    <w:name w:val="cf01"/>
    <w:basedOn w:val="DefaultParagraphFont"/>
    <w:rsid w:val="00DE56AC"/>
    <w:rPr>
      <w:rFonts w:ascii="Segoe UI" w:hAnsi="Segoe UI" w:cs="Segoe UI" w:hint="default"/>
      <w:sz w:val="18"/>
      <w:szCs w:val="18"/>
    </w:rPr>
  </w:style>
  <w:style w:type="paragraph" w:customStyle="1" w:styleId="pf0">
    <w:name w:val="pf0"/>
    <w:basedOn w:val="Normal"/>
    <w:rsid w:val="00A26980"/>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CF4FA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F4FAF"/>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5320">
      <w:bodyDiv w:val="1"/>
      <w:marLeft w:val="0"/>
      <w:marRight w:val="0"/>
      <w:marTop w:val="0"/>
      <w:marBottom w:val="0"/>
      <w:divBdr>
        <w:top w:val="none" w:sz="0" w:space="0" w:color="auto"/>
        <w:left w:val="none" w:sz="0" w:space="0" w:color="auto"/>
        <w:bottom w:val="none" w:sz="0" w:space="0" w:color="auto"/>
        <w:right w:val="none" w:sz="0" w:space="0" w:color="auto"/>
      </w:divBdr>
    </w:div>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06174">
      <w:bodyDiv w:val="1"/>
      <w:marLeft w:val="0"/>
      <w:marRight w:val="0"/>
      <w:marTop w:val="0"/>
      <w:marBottom w:val="0"/>
      <w:divBdr>
        <w:top w:val="none" w:sz="0" w:space="0" w:color="auto"/>
        <w:left w:val="none" w:sz="0" w:space="0" w:color="auto"/>
        <w:bottom w:val="none" w:sz="0" w:space="0" w:color="auto"/>
        <w:right w:val="none" w:sz="0" w:space="0" w:color="auto"/>
      </w:divBdr>
    </w:div>
    <w:div w:id="158816113">
      <w:bodyDiv w:val="1"/>
      <w:marLeft w:val="0"/>
      <w:marRight w:val="0"/>
      <w:marTop w:val="0"/>
      <w:marBottom w:val="0"/>
      <w:divBdr>
        <w:top w:val="none" w:sz="0" w:space="0" w:color="auto"/>
        <w:left w:val="none" w:sz="0" w:space="0" w:color="auto"/>
        <w:bottom w:val="none" w:sz="0" w:space="0" w:color="auto"/>
        <w:right w:val="none" w:sz="0" w:space="0" w:color="auto"/>
      </w:divBdr>
    </w:div>
    <w:div w:id="1844409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5277635">
      <w:bodyDiv w:val="1"/>
      <w:marLeft w:val="0"/>
      <w:marRight w:val="0"/>
      <w:marTop w:val="0"/>
      <w:marBottom w:val="0"/>
      <w:divBdr>
        <w:top w:val="none" w:sz="0" w:space="0" w:color="auto"/>
        <w:left w:val="none" w:sz="0" w:space="0" w:color="auto"/>
        <w:bottom w:val="none" w:sz="0" w:space="0" w:color="auto"/>
        <w:right w:val="none" w:sz="0" w:space="0" w:color="auto"/>
      </w:divBdr>
    </w:div>
    <w:div w:id="366370446">
      <w:bodyDiv w:val="1"/>
      <w:marLeft w:val="0"/>
      <w:marRight w:val="0"/>
      <w:marTop w:val="0"/>
      <w:marBottom w:val="0"/>
      <w:divBdr>
        <w:top w:val="none" w:sz="0" w:space="0" w:color="auto"/>
        <w:left w:val="none" w:sz="0" w:space="0" w:color="auto"/>
        <w:bottom w:val="none" w:sz="0" w:space="0" w:color="auto"/>
        <w:right w:val="none" w:sz="0" w:space="0" w:color="auto"/>
      </w:divBdr>
    </w:div>
    <w:div w:id="367337502">
      <w:bodyDiv w:val="1"/>
      <w:marLeft w:val="0"/>
      <w:marRight w:val="0"/>
      <w:marTop w:val="0"/>
      <w:marBottom w:val="0"/>
      <w:divBdr>
        <w:top w:val="none" w:sz="0" w:space="0" w:color="auto"/>
        <w:left w:val="none" w:sz="0" w:space="0" w:color="auto"/>
        <w:bottom w:val="none" w:sz="0" w:space="0" w:color="auto"/>
        <w:right w:val="none" w:sz="0" w:space="0" w:color="auto"/>
      </w:divBdr>
    </w:div>
    <w:div w:id="371151841">
      <w:bodyDiv w:val="1"/>
      <w:marLeft w:val="0"/>
      <w:marRight w:val="0"/>
      <w:marTop w:val="0"/>
      <w:marBottom w:val="0"/>
      <w:divBdr>
        <w:top w:val="none" w:sz="0" w:space="0" w:color="auto"/>
        <w:left w:val="none" w:sz="0" w:space="0" w:color="auto"/>
        <w:bottom w:val="none" w:sz="0" w:space="0" w:color="auto"/>
        <w:right w:val="none" w:sz="0" w:space="0" w:color="auto"/>
      </w:divBdr>
    </w:div>
    <w:div w:id="423841028">
      <w:bodyDiv w:val="1"/>
      <w:marLeft w:val="0"/>
      <w:marRight w:val="0"/>
      <w:marTop w:val="0"/>
      <w:marBottom w:val="0"/>
      <w:divBdr>
        <w:top w:val="none" w:sz="0" w:space="0" w:color="auto"/>
        <w:left w:val="none" w:sz="0" w:space="0" w:color="auto"/>
        <w:bottom w:val="none" w:sz="0" w:space="0" w:color="auto"/>
        <w:right w:val="none" w:sz="0" w:space="0" w:color="auto"/>
      </w:divBdr>
    </w:div>
    <w:div w:id="470904484">
      <w:bodyDiv w:val="1"/>
      <w:marLeft w:val="0"/>
      <w:marRight w:val="0"/>
      <w:marTop w:val="0"/>
      <w:marBottom w:val="0"/>
      <w:divBdr>
        <w:top w:val="none" w:sz="0" w:space="0" w:color="auto"/>
        <w:left w:val="none" w:sz="0" w:space="0" w:color="auto"/>
        <w:bottom w:val="none" w:sz="0" w:space="0" w:color="auto"/>
        <w:right w:val="none" w:sz="0" w:space="0" w:color="auto"/>
      </w:divBdr>
    </w:div>
    <w:div w:id="628901810">
      <w:bodyDiv w:val="1"/>
      <w:marLeft w:val="0"/>
      <w:marRight w:val="0"/>
      <w:marTop w:val="0"/>
      <w:marBottom w:val="0"/>
      <w:divBdr>
        <w:top w:val="none" w:sz="0" w:space="0" w:color="auto"/>
        <w:left w:val="none" w:sz="0" w:space="0" w:color="auto"/>
        <w:bottom w:val="none" w:sz="0" w:space="0" w:color="auto"/>
        <w:right w:val="none" w:sz="0" w:space="0" w:color="auto"/>
      </w:divBdr>
    </w:div>
    <w:div w:id="792557113">
      <w:bodyDiv w:val="1"/>
      <w:marLeft w:val="0"/>
      <w:marRight w:val="0"/>
      <w:marTop w:val="0"/>
      <w:marBottom w:val="0"/>
      <w:divBdr>
        <w:top w:val="none" w:sz="0" w:space="0" w:color="auto"/>
        <w:left w:val="none" w:sz="0" w:space="0" w:color="auto"/>
        <w:bottom w:val="none" w:sz="0" w:space="0" w:color="auto"/>
        <w:right w:val="none" w:sz="0" w:space="0" w:color="auto"/>
      </w:divBdr>
    </w:div>
    <w:div w:id="802383431">
      <w:bodyDiv w:val="1"/>
      <w:marLeft w:val="0"/>
      <w:marRight w:val="0"/>
      <w:marTop w:val="0"/>
      <w:marBottom w:val="0"/>
      <w:divBdr>
        <w:top w:val="none" w:sz="0" w:space="0" w:color="auto"/>
        <w:left w:val="none" w:sz="0" w:space="0" w:color="auto"/>
        <w:bottom w:val="none" w:sz="0" w:space="0" w:color="auto"/>
        <w:right w:val="none" w:sz="0" w:space="0" w:color="auto"/>
      </w:divBdr>
    </w:div>
    <w:div w:id="82582739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4581529">
      <w:bodyDiv w:val="1"/>
      <w:marLeft w:val="0"/>
      <w:marRight w:val="0"/>
      <w:marTop w:val="0"/>
      <w:marBottom w:val="0"/>
      <w:divBdr>
        <w:top w:val="none" w:sz="0" w:space="0" w:color="auto"/>
        <w:left w:val="none" w:sz="0" w:space="0" w:color="auto"/>
        <w:bottom w:val="none" w:sz="0" w:space="0" w:color="auto"/>
        <w:right w:val="none" w:sz="0" w:space="0" w:color="auto"/>
      </w:divBdr>
    </w:div>
    <w:div w:id="1056007886">
      <w:bodyDiv w:val="1"/>
      <w:marLeft w:val="0"/>
      <w:marRight w:val="0"/>
      <w:marTop w:val="0"/>
      <w:marBottom w:val="0"/>
      <w:divBdr>
        <w:top w:val="none" w:sz="0" w:space="0" w:color="auto"/>
        <w:left w:val="none" w:sz="0" w:space="0" w:color="auto"/>
        <w:bottom w:val="none" w:sz="0" w:space="0" w:color="auto"/>
        <w:right w:val="none" w:sz="0" w:space="0" w:color="auto"/>
      </w:divBdr>
    </w:div>
    <w:div w:id="116839755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2185">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3141858">
      <w:bodyDiv w:val="1"/>
      <w:marLeft w:val="0"/>
      <w:marRight w:val="0"/>
      <w:marTop w:val="0"/>
      <w:marBottom w:val="0"/>
      <w:divBdr>
        <w:top w:val="none" w:sz="0" w:space="0" w:color="auto"/>
        <w:left w:val="none" w:sz="0" w:space="0" w:color="auto"/>
        <w:bottom w:val="none" w:sz="0" w:space="0" w:color="auto"/>
        <w:right w:val="none" w:sz="0" w:space="0" w:color="auto"/>
      </w:divBdr>
    </w:div>
    <w:div w:id="1450320614">
      <w:bodyDiv w:val="1"/>
      <w:marLeft w:val="0"/>
      <w:marRight w:val="0"/>
      <w:marTop w:val="0"/>
      <w:marBottom w:val="0"/>
      <w:divBdr>
        <w:top w:val="none" w:sz="0" w:space="0" w:color="auto"/>
        <w:left w:val="none" w:sz="0" w:space="0" w:color="auto"/>
        <w:bottom w:val="none" w:sz="0" w:space="0" w:color="auto"/>
        <w:right w:val="none" w:sz="0" w:space="0" w:color="auto"/>
      </w:divBdr>
    </w:div>
    <w:div w:id="1560480195">
      <w:bodyDiv w:val="1"/>
      <w:marLeft w:val="0"/>
      <w:marRight w:val="0"/>
      <w:marTop w:val="0"/>
      <w:marBottom w:val="0"/>
      <w:divBdr>
        <w:top w:val="none" w:sz="0" w:space="0" w:color="auto"/>
        <w:left w:val="none" w:sz="0" w:space="0" w:color="auto"/>
        <w:bottom w:val="none" w:sz="0" w:space="0" w:color="auto"/>
        <w:right w:val="none" w:sz="0" w:space="0" w:color="auto"/>
      </w:divBdr>
    </w:div>
    <w:div w:id="1646742009">
      <w:bodyDiv w:val="1"/>
      <w:marLeft w:val="0"/>
      <w:marRight w:val="0"/>
      <w:marTop w:val="0"/>
      <w:marBottom w:val="0"/>
      <w:divBdr>
        <w:top w:val="none" w:sz="0" w:space="0" w:color="auto"/>
        <w:left w:val="none" w:sz="0" w:space="0" w:color="auto"/>
        <w:bottom w:val="none" w:sz="0" w:space="0" w:color="auto"/>
        <w:right w:val="none" w:sz="0" w:space="0" w:color="auto"/>
      </w:divBdr>
    </w:div>
    <w:div w:id="1710372396">
      <w:bodyDiv w:val="1"/>
      <w:marLeft w:val="0"/>
      <w:marRight w:val="0"/>
      <w:marTop w:val="0"/>
      <w:marBottom w:val="0"/>
      <w:divBdr>
        <w:top w:val="none" w:sz="0" w:space="0" w:color="auto"/>
        <w:left w:val="none" w:sz="0" w:space="0" w:color="auto"/>
        <w:bottom w:val="none" w:sz="0" w:space="0" w:color="auto"/>
        <w:right w:val="none" w:sz="0" w:space="0" w:color="auto"/>
      </w:divBdr>
    </w:div>
    <w:div w:id="1716813238">
      <w:bodyDiv w:val="1"/>
      <w:marLeft w:val="0"/>
      <w:marRight w:val="0"/>
      <w:marTop w:val="0"/>
      <w:marBottom w:val="0"/>
      <w:divBdr>
        <w:top w:val="none" w:sz="0" w:space="0" w:color="auto"/>
        <w:left w:val="none" w:sz="0" w:space="0" w:color="auto"/>
        <w:bottom w:val="none" w:sz="0" w:space="0" w:color="auto"/>
        <w:right w:val="none" w:sz="0" w:space="0" w:color="auto"/>
      </w:divBdr>
    </w:div>
    <w:div w:id="1719893067">
      <w:bodyDiv w:val="1"/>
      <w:marLeft w:val="0"/>
      <w:marRight w:val="0"/>
      <w:marTop w:val="0"/>
      <w:marBottom w:val="0"/>
      <w:divBdr>
        <w:top w:val="none" w:sz="0" w:space="0" w:color="auto"/>
        <w:left w:val="none" w:sz="0" w:space="0" w:color="auto"/>
        <w:bottom w:val="none" w:sz="0" w:space="0" w:color="auto"/>
        <w:right w:val="none" w:sz="0" w:space="0" w:color="auto"/>
      </w:divBdr>
    </w:div>
    <w:div w:id="1776056707">
      <w:bodyDiv w:val="1"/>
      <w:marLeft w:val="0"/>
      <w:marRight w:val="0"/>
      <w:marTop w:val="0"/>
      <w:marBottom w:val="0"/>
      <w:divBdr>
        <w:top w:val="none" w:sz="0" w:space="0" w:color="auto"/>
        <w:left w:val="none" w:sz="0" w:space="0" w:color="auto"/>
        <w:bottom w:val="none" w:sz="0" w:space="0" w:color="auto"/>
        <w:right w:val="none" w:sz="0" w:space="0" w:color="auto"/>
      </w:divBdr>
    </w:div>
    <w:div w:id="186288790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02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clinicaltrials.gov/show/%20NCT037793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assic.clinicaltrials.gov/show/%20NCT02386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14564</Words>
  <Characters>79154</Characters>
  <Application>Microsoft Office Word</Application>
  <DocSecurity>0</DocSecurity>
  <Lines>659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2024-10-25T04:59:00Z</dcterms:created>
  <dcterms:modified xsi:type="dcterms:W3CDTF">2024-10-25T05:00:00Z</dcterms:modified>
</cp:coreProperties>
</file>