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1756" w14:textId="7EA3CCB6" w:rsidR="00A1135A" w:rsidRPr="005464FA" w:rsidRDefault="00917C0B" w:rsidP="00A1135A">
      <w:pPr>
        <w:pStyle w:val="1-MainHeading"/>
      </w:pPr>
      <w:bookmarkStart w:id="0" w:name="_Toc167278266"/>
      <w:bookmarkStart w:id="1" w:name="_Toc341702043"/>
      <w:bookmarkStart w:id="2" w:name="_Toc380742621"/>
      <w:bookmarkStart w:id="3" w:name="_Toc380746188"/>
      <w:bookmarkStart w:id="4" w:name="_Toc380746314"/>
      <w:bookmarkStart w:id="5" w:name="_Toc380746595"/>
      <w:r w:rsidRPr="005464FA">
        <w:t>6</w:t>
      </w:r>
      <w:r w:rsidR="00A1135A" w:rsidRPr="005464FA">
        <w:t>.</w:t>
      </w:r>
      <w:r w:rsidRPr="005464FA">
        <w:t>03</w:t>
      </w:r>
      <w:r w:rsidR="00A1135A" w:rsidRPr="005464FA">
        <w:tab/>
        <w:t>OLAPARIB,</w:t>
      </w:r>
      <w:r w:rsidR="00A1135A" w:rsidRPr="005464FA">
        <w:br/>
        <w:t>Tablet 100</w:t>
      </w:r>
      <w:r w:rsidR="002B3D84" w:rsidRPr="005464FA">
        <w:t> </w:t>
      </w:r>
      <w:r w:rsidR="00A1135A" w:rsidRPr="005464FA">
        <w:t>mg,</w:t>
      </w:r>
      <w:r w:rsidR="00A1135A" w:rsidRPr="005464FA">
        <w:br/>
        <w:t>Tablet 150</w:t>
      </w:r>
      <w:r w:rsidR="002B3D84" w:rsidRPr="005464FA">
        <w:t> </w:t>
      </w:r>
      <w:r w:rsidR="00A1135A" w:rsidRPr="005464FA">
        <w:t>mg</w:t>
      </w:r>
      <w:r w:rsidR="00F55BB2" w:rsidRPr="005464FA">
        <w:t>,</w:t>
      </w:r>
      <w:r w:rsidR="00A1135A" w:rsidRPr="005464FA">
        <w:br/>
        <w:t>Lynparza</w:t>
      </w:r>
      <w:r w:rsidR="00A1135A" w:rsidRPr="005464FA">
        <w:rPr>
          <w:vertAlign w:val="superscript"/>
        </w:rPr>
        <w:t>®</w:t>
      </w:r>
      <w:r w:rsidR="00A1135A" w:rsidRPr="005464FA">
        <w:t>,</w:t>
      </w:r>
      <w:r w:rsidR="00A1135A" w:rsidRPr="005464FA">
        <w:br/>
        <w:t xml:space="preserve">ASTRAZENECA PTY </w:t>
      </w:r>
      <w:r w:rsidR="002B3D84" w:rsidRPr="005464FA">
        <w:t>LTD</w:t>
      </w:r>
      <w:bookmarkEnd w:id="0"/>
    </w:p>
    <w:p w14:paraId="71CFF13A" w14:textId="77777777" w:rsidR="00A1135A" w:rsidRPr="005464FA" w:rsidRDefault="00A1135A" w:rsidP="00A1135A">
      <w:pPr>
        <w:pStyle w:val="2-SectionHeading"/>
      </w:pPr>
      <w:bookmarkStart w:id="6" w:name="_Toc167278268"/>
      <w:r w:rsidRPr="005464FA">
        <w:t>Purpose of submission</w:t>
      </w:r>
      <w:bookmarkEnd w:id="6"/>
    </w:p>
    <w:p w14:paraId="16649A92" w14:textId="6DC8BAFC" w:rsidR="00492857" w:rsidRPr="005464FA" w:rsidRDefault="00A1135A" w:rsidP="003A0777">
      <w:pPr>
        <w:pStyle w:val="3-BodyText"/>
      </w:pPr>
      <w:r w:rsidRPr="005464FA">
        <w:t xml:space="preserve">The Category 2 </w:t>
      </w:r>
      <w:r w:rsidR="00BE1B12" w:rsidRPr="005464FA">
        <w:t xml:space="preserve">streamlined codependent PBAC/MSAC </w:t>
      </w:r>
      <w:r w:rsidRPr="005464FA">
        <w:t xml:space="preserve">submission requested a General Schedule Authority Required (Telephone/Online) listing </w:t>
      </w:r>
      <w:r w:rsidR="00BE1B12" w:rsidRPr="005464FA">
        <w:t xml:space="preserve">of olaparib </w:t>
      </w:r>
      <w:r w:rsidRPr="005464FA">
        <w:t xml:space="preserve">for the treatment of </w:t>
      </w:r>
      <w:r w:rsidR="00CF2882" w:rsidRPr="005464FA">
        <w:t xml:space="preserve">human epidermal growth factor 2 negative </w:t>
      </w:r>
      <w:r w:rsidR="00BE1B12" w:rsidRPr="005464FA">
        <w:t>(</w:t>
      </w:r>
      <w:r w:rsidRPr="005464FA">
        <w:t>HER2-negative</w:t>
      </w:r>
      <w:r w:rsidR="00BE1B12" w:rsidRPr="005464FA">
        <w:t>)</w:t>
      </w:r>
      <w:r w:rsidRPr="005464FA">
        <w:t xml:space="preserve"> metastatic breast cancer for patients with a confirmed </w:t>
      </w:r>
      <w:r w:rsidRPr="005464FA">
        <w:rPr>
          <w:i/>
          <w:iCs/>
        </w:rPr>
        <w:t>BRCA1</w:t>
      </w:r>
      <w:r w:rsidRPr="005464FA">
        <w:t xml:space="preserve"> or </w:t>
      </w:r>
      <w:r w:rsidRPr="005464FA">
        <w:rPr>
          <w:i/>
          <w:iCs/>
        </w:rPr>
        <w:t>BRCA2</w:t>
      </w:r>
      <w:r w:rsidRPr="005464FA">
        <w:t xml:space="preserve"> mutation.</w:t>
      </w:r>
      <w:r w:rsidR="00BE1B12" w:rsidRPr="005464FA">
        <w:t xml:space="preserve"> </w:t>
      </w:r>
      <w:r w:rsidRPr="005464FA">
        <w:t xml:space="preserve">The </w:t>
      </w:r>
      <w:r w:rsidR="00BE1B12" w:rsidRPr="005464FA">
        <w:t xml:space="preserve">proposed medical service </w:t>
      </w:r>
      <w:r w:rsidR="008B4E18" w:rsidRPr="005464FA">
        <w:t>would provide</w:t>
      </w:r>
      <w:r w:rsidR="00BE1B12" w:rsidRPr="005464FA">
        <w:t xml:space="preserve"> </w:t>
      </w:r>
      <w:r w:rsidRPr="005464FA">
        <w:t xml:space="preserve">germline </w:t>
      </w:r>
      <w:r w:rsidRPr="005464FA">
        <w:rPr>
          <w:i/>
          <w:iCs/>
        </w:rPr>
        <w:t>BRCAm</w:t>
      </w:r>
      <w:r w:rsidRPr="005464FA">
        <w:t xml:space="preserve"> testing to detect </w:t>
      </w:r>
      <w:r w:rsidRPr="005464FA">
        <w:rPr>
          <w:i/>
          <w:iCs/>
        </w:rPr>
        <w:t>BRCA1</w:t>
      </w:r>
      <w:r w:rsidRPr="005464FA">
        <w:t xml:space="preserve"> or </w:t>
      </w:r>
      <w:r w:rsidRPr="005464FA">
        <w:rPr>
          <w:i/>
          <w:iCs/>
        </w:rPr>
        <w:t>BRCA2</w:t>
      </w:r>
      <w:r w:rsidRPr="005464FA">
        <w:t xml:space="preserve"> pathogenic or likely pathogenic gene variants in patients with HER2-negative metastatic breast cancer to determine eligibility for olaparib treatment.</w:t>
      </w:r>
    </w:p>
    <w:p w14:paraId="12A56491" w14:textId="66B739E2" w:rsidR="00492857" w:rsidRPr="005464FA" w:rsidRDefault="00434385" w:rsidP="003A0777">
      <w:pPr>
        <w:pStyle w:val="3-BodyText"/>
      </w:pPr>
      <w:r w:rsidRPr="005464FA">
        <w:t xml:space="preserve">The submission </w:t>
      </w:r>
      <w:r w:rsidR="002A57D1" w:rsidRPr="005464FA">
        <w:t xml:space="preserve">requested modification of </w:t>
      </w:r>
      <w:r w:rsidR="00492857" w:rsidRPr="005464FA">
        <w:t>the</w:t>
      </w:r>
      <w:r w:rsidR="002A57D1" w:rsidRPr="005464FA">
        <w:t xml:space="preserve"> existing MBS item </w:t>
      </w:r>
      <w:r w:rsidR="00027DBB" w:rsidRPr="005464FA">
        <w:t xml:space="preserve">which currently applies for certain patients with ovarian, fallopian tube or primary peritoneal cancer </w:t>
      </w:r>
      <w:r w:rsidR="002A57D1" w:rsidRPr="005464FA">
        <w:t>(</w:t>
      </w:r>
      <w:r w:rsidR="00027DBB" w:rsidRPr="005464FA">
        <w:t xml:space="preserve">Item </w:t>
      </w:r>
      <w:r w:rsidR="002A57D1" w:rsidRPr="005464FA">
        <w:t>73295) to expand the test</w:t>
      </w:r>
      <w:r w:rsidR="00AF64DC" w:rsidRPr="005464FA">
        <w:t>ing</w:t>
      </w:r>
      <w:r w:rsidR="002A57D1" w:rsidRPr="005464FA">
        <w:t xml:space="preserve"> population to include patients with HER2</w:t>
      </w:r>
      <w:r w:rsidR="00E503C0" w:rsidRPr="005464FA">
        <w:noBreakHyphen/>
      </w:r>
      <w:r w:rsidR="002A57D1" w:rsidRPr="005464FA">
        <w:t>negative disease with mBC who have received prior (neo)adjuvant chemotherapy.</w:t>
      </w:r>
      <w:r w:rsidR="00492857" w:rsidRPr="005464FA">
        <w:t xml:space="preserve"> </w:t>
      </w:r>
    </w:p>
    <w:p w14:paraId="40B4A0A3" w14:textId="42B621A6" w:rsidR="00A1135A" w:rsidRPr="005464FA" w:rsidRDefault="00A1135A" w:rsidP="002D1F13">
      <w:pPr>
        <w:pStyle w:val="3-BodyText"/>
      </w:pPr>
      <w:r w:rsidRPr="005464FA">
        <w:t xml:space="preserve">Listing was requested </w:t>
      </w:r>
      <w:proofErr w:type="gramStart"/>
      <w:r w:rsidRPr="005464FA">
        <w:t>on the basis of</w:t>
      </w:r>
      <w:proofErr w:type="gramEnd"/>
      <w:r w:rsidRPr="005464FA">
        <w:t xml:space="preserve"> a cost</w:t>
      </w:r>
      <w:r w:rsidR="00FC795C" w:rsidRPr="005464FA">
        <w:t>-</w:t>
      </w:r>
      <w:r w:rsidRPr="005464FA">
        <w:t>utility analysis versus chemotherapy.</w:t>
      </w:r>
      <w:r w:rsidR="009D0862" w:rsidRPr="005464FA">
        <w:t xml:space="preserve"> The </w:t>
      </w:r>
      <w:r w:rsidR="009D0862" w:rsidRPr="005464FA">
        <w:rPr>
          <w:color w:val="000000" w:themeColor="text1"/>
        </w:rPr>
        <w:t xml:space="preserve">key components of the clinical issue addressed by the submission are presented in </w:t>
      </w:r>
      <w:r w:rsidRPr="005464FA">
        <w:rPr>
          <w:color w:val="000000" w:themeColor="text1"/>
        </w:rPr>
        <w:fldChar w:fldCharType="begin" w:fldLock="1"/>
      </w:r>
      <w:r w:rsidRPr="005464FA">
        <w:rPr>
          <w:color w:val="000000" w:themeColor="text1"/>
        </w:rPr>
        <w:instrText xml:space="preserve"> REF _Ref164422075 \h </w:instrText>
      </w:r>
      <w:r w:rsidRPr="005464FA">
        <w:rPr>
          <w:color w:val="000000" w:themeColor="text1"/>
        </w:rPr>
      </w:r>
      <w:r w:rsidRPr="005464FA">
        <w:rPr>
          <w:color w:val="000000" w:themeColor="text1"/>
        </w:rPr>
        <w:fldChar w:fldCharType="separate"/>
      </w:r>
      <w:r w:rsidR="00122E11" w:rsidRPr="005464FA">
        <w:t>Table 1</w:t>
      </w:r>
      <w:r w:rsidRPr="005464FA">
        <w:rPr>
          <w:color w:val="000000" w:themeColor="text1"/>
        </w:rPr>
        <w:fldChar w:fldCharType="end"/>
      </w:r>
      <w:r w:rsidR="009D0862" w:rsidRPr="005464FA">
        <w:rPr>
          <w:color w:val="000000" w:themeColor="text1"/>
        </w:rPr>
        <w:t>.</w:t>
      </w:r>
      <w:r w:rsidRPr="005464FA">
        <w:rPr>
          <w:color w:val="000000" w:themeColor="text1"/>
        </w:rPr>
        <w:t xml:space="preserve"> </w:t>
      </w:r>
    </w:p>
    <w:p w14:paraId="39D6C915" w14:textId="4882A678" w:rsidR="00A1135A" w:rsidRPr="005464FA" w:rsidRDefault="00A1135A" w:rsidP="00A1135A">
      <w:pPr>
        <w:pStyle w:val="TableFigureHeading"/>
      </w:pPr>
      <w:bookmarkStart w:id="7" w:name="_Ref164422075"/>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1</w:t>
      </w:r>
      <w:r w:rsidR="00935AC4" w:rsidRPr="005464FA">
        <w:fldChar w:fldCharType="end"/>
      </w:r>
      <w:bookmarkEnd w:id="7"/>
      <w:r w:rsidRPr="005464FA">
        <w:t>:</w:t>
      </w:r>
      <w:r w:rsidRPr="005464FA">
        <w:rPr>
          <w:rStyle w:val="CommentReference"/>
          <w:b/>
          <w:szCs w:val="24"/>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555"/>
        <w:gridCol w:w="7462"/>
      </w:tblGrid>
      <w:tr w:rsidR="00A1135A" w:rsidRPr="005464FA" w14:paraId="6BD70361" w14:textId="77777777" w:rsidTr="009D0862">
        <w:tc>
          <w:tcPr>
            <w:tcW w:w="862" w:type="pct"/>
          </w:tcPr>
          <w:p w14:paraId="7FED0AE8" w14:textId="77777777" w:rsidR="00A1135A" w:rsidRPr="005464FA" w:rsidRDefault="00A1135A" w:rsidP="009D0862">
            <w:pPr>
              <w:pStyle w:val="In-tableHeading"/>
              <w:rPr>
                <w:lang w:val="en-AU"/>
              </w:rPr>
            </w:pPr>
            <w:r w:rsidRPr="005464FA">
              <w:rPr>
                <w:lang w:val="en-AU"/>
              </w:rPr>
              <w:t>Component</w:t>
            </w:r>
          </w:p>
        </w:tc>
        <w:tc>
          <w:tcPr>
            <w:tcW w:w="4138" w:type="pct"/>
          </w:tcPr>
          <w:p w14:paraId="43C87625" w14:textId="77777777" w:rsidR="00A1135A" w:rsidRPr="005464FA" w:rsidRDefault="00A1135A" w:rsidP="009D0862">
            <w:pPr>
              <w:pStyle w:val="In-tableHeading"/>
              <w:rPr>
                <w:lang w:val="en-AU"/>
              </w:rPr>
            </w:pPr>
            <w:r w:rsidRPr="005464FA">
              <w:rPr>
                <w:lang w:val="en-AU"/>
              </w:rPr>
              <w:t>Description</w:t>
            </w:r>
          </w:p>
        </w:tc>
      </w:tr>
      <w:tr w:rsidR="00A1135A" w:rsidRPr="005464FA" w14:paraId="581FA1F1" w14:textId="77777777" w:rsidTr="009D0862">
        <w:tc>
          <w:tcPr>
            <w:tcW w:w="862" w:type="pct"/>
          </w:tcPr>
          <w:p w14:paraId="32A99667" w14:textId="77777777" w:rsidR="00A1135A" w:rsidRPr="005464FA" w:rsidRDefault="00A1135A" w:rsidP="009D0862">
            <w:pPr>
              <w:pStyle w:val="TableText0"/>
            </w:pPr>
            <w:r w:rsidRPr="005464FA">
              <w:t>Test population</w:t>
            </w:r>
          </w:p>
        </w:tc>
        <w:tc>
          <w:tcPr>
            <w:tcW w:w="4138" w:type="pct"/>
          </w:tcPr>
          <w:p w14:paraId="2EFBB221" w14:textId="4D9FBEF1" w:rsidR="00A1135A" w:rsidRPr="005464FA" w:rsidRDefault="00A1135A" w:rsidP="009D0862">
            <w:pPr>
              <w:pStyle w:val="TableText0"/>
            </w:pPr>
            <w:r w:rsidRPr="005464FA">
              <w:rPr>
                <w:lang w:bidi="en-US"/>
              </w:rPr>
              <w:t xml:space="preserve">Patients with </w:t>
            </w:r>
            <w:r w:rsidR="002B7761" w:rsidRPr="005464FA">
              <w:rPr>
                <w:lang w:bidi="en-US"/>
              </w:rPr>
              <w:t xml:space="preserve">HER2-negative </w:t>
            </w:r>
            <w:r w:rsidRPr="005464FA">
              <w:rPr>
                <w:lang w:bidi="en-US"/>
              </w:rPr>
              <w:t xml:space="preserve">disease with mBC </w:t>
            </w:r>
            <w:r w:rsidRPr="005464FA">
              <w:rPr>
                <w:lang w:eastAsia="ja-JP"/>
              </w:rPr>
              <w:t>who have received prior (neo)adjuvant chemotherapy</w:t>
            </w:r>
          </w:p>
        </w:tc>
      </w:tr>
      <w:tr w:rsidR="00A1135A" w:rsidRPr="005464FA" w14:paraId="15E11185" w14:textId="77777777" w:rsidTr="009D0862">
        <w:tc>
          <w:tcPr>
            <w:tcW w:w="862" w:type="pct"/>
          </w:tcPr>
          <w:p w14:paraId="509491E9" w14:textId="77777777" w:rsidR="00A1135A" w:rsidRPr="005464FA" w:rsidRDefault="00A1135A" w:rsidP="009D0862">
            <w:pPr>
              <w:pStyle w:val="TableText0"/>
            </w:pPr>
            <w:r w:rsidRPr="005464FA">
              <w:t>Population</w:t>
            </w:r>
          </w:p>
        </w:tc>
        <w:tc>
          <w:tcPr>
            <w:tcW w:w="4138" w:type="pct"/>
          </w:tcPr>
          <w:p w14:paraId="6EAE7F0B" w14:textId="48BA5620" w:rsidR="00A1135A" w:rsidRPr="005464FA" w:rsidRDefault="00A1135A" w:rsidP="009D0862">
            <w:pPr>
              <w:pStyle w:val="TableText0"/>
            </w:pPr>
            <w:r w:rsidRPr="005464FA">
              <w:t xml:space="preserve">Adult patients with HER2-negative metastatic breast cancer with a confirmed germline </w:t>
            </w:r>
            <w:r w:rsidRPr="005464FA">
              <w:rPr>
                <w:i/>
                <w:iCs/>
              </w:rPr>
              <w:t>BRCA</w:t>
            </w:r>
            <w:r w:rsidRPr="005464FA">
              <w:t xml:space="preserve"> mutation who have not received chemotherapy in the metastatic setting (includes patients with HER2-negative de novo metastatic disease)</w:t>
            </w:r>
            <w:r w:rsidR="00884467" w:rsidRPr="005464FA">
              <w:t xml:space="preserve">. </w:t>
            </w:r>
            <w:r w:rsidR="00220FA9" w:rsidRPr="005464FA">
              <w:t>C</w:t>
            </w:r>
            <w:r w:rsidR="00884467" w:rsidRPr="005464FA">
              <w:t>larifi</w:t>
            </w:r>
            <w:r w:rsidR="00220FA9" w:rsidRPr="005464FA">
              <w:t>cation</w:t>
            </w:r>
            <w:r w:rsidR="00884467" w:rsidRPr="005464FA">
              <w:t xml:space="preserve"> </w:t>
            </w:r>
            <w:r w:rsidR="00220FA9" w:rsidRPr="005464FA">
              <w:t xml:space="preserve">was provided by the sponsor </w:t>
            </w:r>
            <w:r w:rsidR="00884467" w:rsidRPr="005464FA">
              <w:t xml:space="preserve">during the evaluation, see paragraph </w:t>
            </w:r>
            <w:r w:rsidR="00884467" w:rsidRPr="005464FA">
              <w:fldChar w:fldCharType="begin" w:fldLock="1"/>
            </w:r>
            <w:r w:rsidR="00884467" w:rsidRPr="005464FA">
              <w:instrText xml:space="preserve"> REF _Ref164714560 \r \h  \* MERGEFORMAT </w:instrText>
            </w:r>
            <w:r w:rsidR="00884467" w:rsidRPr="005464FA">
              <w:fldChar w:fldCharType="separate"/>
            </w:r>
            <w:r w:rsidR="00122E11" w:rsidRPr="005464FA">
              <w:t>1.4</w:t>
            </w:r>
            <w:r w:rsidR="00884467" w:rsidRPr="005464FA">
              <w:fldChar w:fldCharType="end"/>
            </w:r>
            <w:r w:rsidR="00884467" w:rsidRPr="005464FA">
              <w:t>.</w:t>
            </w:r>
          </w:p>
        </w:tc>
      </w:tr>
      <w:tr w:rsidR="00A1135A" w:rsidRPr="005464FA" w14:paraId="69AC4D2C" w14:textId="77777777" w:rsidTr="009D0862">
        <w:tc>
          <w:tcPr>
            <w:tcW w:w="862" w:type="pct"/>
          </w:tcPr>
          <w:p w14:paraId="7669E797" w14:textId="77777777" w:rsidR="00A1135A" w:rsidRPr="005464FA" w:rsidRDefault="00A1135A" w:rsidP="009D0862">
            <w:pPr>
              <w:pStyle w:val="TableText0"/>
            </w:pPr>
            <w:r w:rsidRPr="005464FA">
              <w:t>Intervention</w:t>
            </w:r>
          </w:p>
        </w:tc>
        <w:tc>
          <w:tcPr>
            <w:tcW w:w="4138" w:type="pct"/>
          </w:tcPr>
          <w:p w14:paraId="57E6889C" w14:textId="77777777" w:rsidR="00A1135A" w:rsidRPr="005464FA" w:rsidRDefault="00A1135A" w:rsidP="009D0862">
            <w:pPr>
              <w:pStyle w:val="Tabletext"/>
              <w:rPr>
                <w:lang w:bidi="en-US"/>
              </w:rPr>
            </w:pPr>
            <w:r w:rsidRPr="005464FA">
              <w:rPr>
                <w:lang w:bidi="en-US"/>
              </w:rPr>
              <w:t xml:space="preserve">Germline </w:t>
            </w:r>
            <w:r w:rsidRPr="005464FA">
              <w:rPr>
                <w:i/>
                <w:iCs/>
                <w:lang w:bidi="en-US"/>
              </w:rPr>
              <w:t>BRCA</w:t>
            </w:r>
            <w:r w:rsidRPr="005464FA">
              <w:rPr>
                <w:lang w:bidi="en-US"/>
              </w:rPr>
              <w:t xml:space="preserve"> mutation test</w:t>
            </w:r>
          </w:p>
          <w:p w14:paraId="4213B325" w14:textId="77777777" w:rsidR="00A1135A" w:rsidRPr="005464FA" w:rsidRDefault="00A1135A" w:rsidP="009D0862">
            <w:pPr>
              <w:pStyle w:val="TableText0"/>
            </w:pPr>
            <w:r w:rsidRPr="005464FA">
              <w:rPr>
                <w:lang w:bidi="en-US"/>
              </w:rPr>
              <w:t>Olaparib (300 mg, twice daily, orally, until progression)</w:t>
            </w:r>
          </w:p>
        </w:tc>
      </w:tr>
      <w:tr w:rsidR="00A1135A" w:rsidRPr="005464FA" w14:paraId="0A9FA7CE" w14:textId="77777777" w:rsidTr="009D0862">
        <w:trPr>
          <w:trHeight w:val="170"/>
        </w:trPr>
        <w:tc>
          <w:tcPr>
            <w:tcW w:w="862" w:type="pct"/>
          </w:tcPr>
          <w:p w14:paraId="12197491" w14:textId="77777777" w:rsidR="00A1135A" w:rsidRPr="005464FA" w:rsidRDefault="00A1135A" w:rsidP="009D0862">
            <w:pPr>
              <w:pStyle w:val="TableText0"/>
            </w:pPr>
            <w:r w:rsidRPr="005464FA">
              <w:t>Comparator</w:t>
            </w:r>
          </w:p>
        </w:tc>
        <w:tc>
          <w:tcPr>
            <w:tcW w:w="4138" w:type="pct"/>
          </w:tcPr>
          <w:p w14:paraId="7599A182" w14:textId="3E371243" w:rsidR="00A1135A" w:rsidRPr="005464FA" w:rsidRDefault="00A1135A" w:rsidP="009D0862">
            <w:pPr>
              <w:pStyle w:val="TableText0"/>
            </w:pPr>
            <w:r w:rsidRPr="005464FA">
              <w:rPr>
                <w:lang w:bidi="en-US"/>
              </w:rPr>
              <w:t>No testing and SoC</w:t>
            </w:r>
            <w:r w:rsidR="0023055B" w:rsidRPr="005464FA">
              <w:rPr>
                <w:lang w:bidi="en-US"/>
              </w:rPr>
              <w:t xml:space="preserve"> (chemotherapy)</w:t>
            </w:r>
          </w:p>
        </w:tc>
      </w:tr>
      <w:tr w:rsidR="00A1135A" w:rsidRPr="005464FA" w14:paraId="7E48B219" w14:textId="77777777" w:rsidTr="009D0862">
        <w:trPr>
          <w:trHeight w:val="170"/>
        </w:trPr>
        <w:tc>
          <w:tcPr>
            <w:tcW w:w="862" w:type="pct"/>
          </w:tcPr>
          <w:p w14:paraId="29F53213" w14:textId="77777777" w:rsidR="00A1135A" w:rsidRPr="005464FA" w:rsidRDefault="00A1135A" w:rsidP="009D0862">
            <w:pPr>
              <w:pStyle w:val="TableText0"/>
            </w:pPr>
            <w:r w:rsidRPr="005464FA">
              <w:t>Outcomes</w:t>
            </w:r>
          </w:p>
        </w:tc>
        <w:tc>
          <w:tcPr>
            <w:tcW w:w="4138" w:type="pct"/>
          </w:tcPr>
          <w:p w14:paraId="3E8ECB22" w14:textId="77777777" w:rsidR="00A1135A" w:rsidRPr="005464FA" w:rsidRDefault="00A1135A" w:rsidP="009D0862">
            <w:pPr>
              <w:pStyle w:val="TableText0"/>
              <w:rPr>
                <w:lang w:bidi="en-US"/>
              </w:rPr>
            </w:pPr>
            <w:r w:rsidRPr="005464FA">
              <w:rPr>
                <w:lang w:bidi="en-US"/>
              </w:rPr>
              <w:t>Progression Free Survival, Overall Survival, Health-Related Quality of Life (HRQoL)</w:t>
            </w:r>
          </w:p>
        </w:tc>
      </w:tr>
      <w:tr w:rsidR="00A1135A" w:rsidRPr="005464FA" w14:paraId="6BDA4F89" w14:textId="77777777" w:rsidTr="009D0862">
        <w:tc>
          <w:tcPr>
            <w:tcW w:w="862" w:type="pct"/>
          </w:tcPr>
          <w:p w14:paraId="45E556A1" w14:textId="77777777" w:rsidR="00A1135A" w:rsidRPr="005464FA" w:rsidRDefault="00A1135A" w:rsidP="009D0862">
            <w:pPr>
              <w:pStyle w:val="TableText0"/>
            </w:pPr>
            <w:r w:rsidRPr="005464FA">
              <w:t>Clinical claim</w:t>
            </w:r>
          </w:p>
        </w:tc>
        <w:tc>
          <w:tcPr>
            <w:tcW w:w="4138" w:type="pct"/>
          </w:tcPr>
          <w:p w14:paraId="0A392766" w14:textId="77777777" w:rsidR="00A1135A" w:rsidRPr="005464FA" w:rsidRDefault="00A1135A" w:rsidP="009D0862">
            <w:pPr>
              <w:pStyle w:val="TableText0"/>
            </w:pPr>
            <w:r w:rsidRPr="005464FA">
              <w:t xml:space="preserve">Olaparib demonstrates superior efficacy and non-inferior safety when compared to chemotherapy in HER2-negative mBC patients with a </w:t>
            </w:r>
            <w:r w:rsidRPr="005464FA">
              <w:rPr>
                <w:i/>
                <w:iCs/>
              </w:rPr>
              <w:t>BRCA1</w:t>
            </w:r>
            <w:r w:rsidRPr="005464FA">
              <w:t xml:space="preserve"> or </w:t>
            </w:r>
            <w:r w:rsidRPr="005464FA">
              <w:rPr>
                <w:i/>
                <w:iCs/>
              </w:rPr>
              <w:t>BRCA2</w:t>
            </w:r>
            <w:r w:rsidRPr="005464FA">
              <w:t xml:space="preserve"> mutation</w:t>
            </w:r>
          </w:p>
        </w:tc>
      </w:tr>
    </w:tbl>
    <w:p w14:paraId="312A276B" w14:textId="77777777" w:rsidR="00A1135A" w:rsidRPr="005464FA" w:rsidRDefault="00A1135A" w:rsidP="00A1135A">
      <w:pPr>
        <w:pStyle w:val="FooterTableFigure"/>
      </w:pPr>
      <w:r w:rsidRPr="005464FA">
        <w:t>Source: Table 1.1, p21 of the submission.</w:t>
      </w:r>
    </w:p>
    <w:p w14:paraId="6ADA454B" w14:textId="3A557470" w:rsidR="00A1135A" w:rsidRPr="005464FA" w:rsidRDefault="00A1135A" w:rsidP="00A1135A">
      <w:pPr>
        <w:pStyle w:val="FooterTableFigure"/>
      </w:pPr>
      <w:r w:rsidRPr="005464FA">
        <w:rPr>
          <w:i/>
          <w:iCs/>
        </w:rPr>
        <w:t>BRCA</w:t>
      </w:r>
      <w:r w:rsidRPr="005464FA">
        <w:t xml:space="preserve"> = Breast Cancer susceptibility gene; HER2 = human-epidermal growth factor receptor 2; HRQoL = health related quality of life; mg</w:t>
      </w:r>
      <w:r w:rsidR="00E73AB2" w:rsidRPr="005464FA">
        <w:t> </w:t>
      </w:r>
      <w:r w:rsidRPr="005464FA">
        <w:t>=</w:t>
      </w:r>
      <w:r w:rsidR="00E73AB2" w:rsidRPr="005464FA">
        <w:t> </w:t>
      </w:r>
      <w:r w:rsidRPr="005464FA">
        <w:t>milligram; mBC = metastatic breast cancer; SoC = standard of care</w:t>
      </w:r>
    </w:p>
    <w:p w14:paraId="5E957250" w14:textId="34D03CC6" w:rsidR="00C45D9A" w:rsidRPr="005464FA" w:rsidRDefault="000135B5" w:rsidP="00C45D9A">
      <w:pPr>
        <w:pStyle w:val="3-BodyText"/>
      </w:pPr>
      <w:bookmarkStart w:id="8" w:name="_Ref164714560"/>
      <w:r w:rsidRPr="005464FA">
        <w:t>T</w:t>
      </w:r>
      <w:r w:rsidR="00C45D9A" w:rsidRPr="005464FA">
        <w:t xml:space="preserve">he sponsor </w:t>
      </w:r>
      <w:r w:rsidRPr="005464FA">
        <w:t xml:space="preserve">clarified the proposed population </w:t>
      </w:r>
      <w:r w:rsidR="00C45D9A" w:rsidRPr="005464FA">
        <w:t xml:space="preserve">during the evaluation </w:t>
      </w:r>
      <w:r w:rsidRPr="005464FA">
        <w:t xml:space="preserve">to include the following </w:t>
      </w:r>
      <w:r w:rsidR="00C45D9A" w:rsidRPr="005464FA">
        <w:t>two populations:</w:t>
      </w:r>
      <w:bookmarkEnd w:id="8"/>
    </w:p>
    <w:p w14:paraId="264F53C9" w14:textId="4F5EAA10" w:rsidR="00C45D9A" w:rsidRPr="005464FA" w:rsidRDefault="00C45D9A" w:rsidP="003849D3">
      <w:pPr>
        <w:pStyle w:val="3-BodyText"/>
        <w:numPr>
          <w:ilvl w:val="0"/>
          <w:numId w:val="12"/>
        </w:numPr>
        <w:ind w:left="1134" w:hanging="425"/>
      </w:pPr>
      <w:r w:rsidRPr="005464FA">
        <w:rPr>
          <w:u w:val="single"/>
        </w:rPr>
        <w:lastRenderedPageBreak/>
        <w:t>Population 1</w:t>
      </w:r>
      <w:r w:rsidRPr="005464FA">
        <w:t xml:space="preserve"> (no prior chemotherapy for mBC) </w:t>
      </w:r>
      <w:r w:rsidR="00666B2B" w:rsidRPr="005464FA">
        <w:t xml:space="preserve">includes </w:t>
      </w:r>
      <w:r w:rsidRPr="005464FA">
        <w:t xml:space="preserve">patients who receive chemotherapy (anthracycline/taxane) in an early disease setting (neoadjuvant or adjuvant) prior to progressing to </w:t>
      </w:r>
      <w:r w:rsidR="00666B2B" w:rsidRPr="005464FA">
        <w:t xml:space="preserve">the </w:t>
      </w:r>
      <w:r w:rsidRPr="005464FA">
        <w:t>metastatic disease setting; and</w:t>
      </w:r>
    </w:p>
    <w:p w14:paraId="4C4E0F00" w14:textId="792A763E" w:rsidR="00C45D9A" w:rsidRPr="005464FA" w:rsidRDefault="00C45D9A" w:rsidP="003849D3">
      <w:pPr>
        <w:pStyle w:val="3-BodyText"/>
        <w:numPr>
          <w:ilvl w:val="0"/>
          <w:numId w:val="12"/>
        </w:numPr>
        <w:ind w:left="1134" w:hanging="425"/>
      </w:pPr>
      <w:r w:rsidRPr="005464FA">
        <w:rPr>
          <w:u w:val="single"/>
        </w:rPr>
        <w:t>Population 2</w:t>
      </w:r>
      <w:r w:rsidRPr="005464FA">
        <w:t xml:space="preserve"> (de novo mBC) </w:t>
      </w:r>
      <w:r w:rsidR="00666B2B" w:rsidRPr="005464FA">
        <w:t xml:space="preserve">includes </w:t>
      </w:r>
      <w:r w:rsidRPr="005464FA">
        <w:t xml:space="preserve">patients who have metastatic disease at time of first diagnosis. This population still require some form of chemotherapy (anthracycline/taxane) prior to receiving olaparib treatment </w:t>
      </w:r>
      <w:proofErr w:type="gramStart"/>
      <w:r w:rsidRPr="005464FA">
        <w:t>in order to</w:t>
      </w:r>
      <w:proofErr w:type="gramEnd"/>
      <w:r w:rsidRPr="005464FA">
        <w:t xml:space="preserve"> remain in line with the TGA </w:t>
      </w:r>
      <w:r w:rsidR="006B317B" w:rsidRPr="005464FA">
        <w:t>indication</w:t>
      </w:r>
      <w:r w:rsidRPr="005464FA">
        <w:t xml:space="preserve">. </w:t>
      </w:r>
      <w:r w:rsidR="008A56AB" w:rsidRPr="005464FA">
        <w:t>T</w:t>
      </w:r>
      <w:r w:rsidR="00666B2B" w:rsidRPr="005464FA">
        <w:t xml:space="preserve">he submission </w:t>
      </w:r>
      <w:r w:rsidR="008A56AB" w:rsidRPr="005464FA">
        <w:t xml:space="preserve">suggested </w:t>
      </w:r>
      <w:r w:rsidR="00666B2B" w:rsidRPr="005464FA">
        <w:t>that clinicians would appreciate the flexibility to initiate treatment with olaparib in de novo patients without the need to first prescribe chemotherapy (see paragraph</w:t>
      </w:r>
      <w:r w:rsidR="002F6710" w:rsidRPr="005464FA">
        <w:t xml:space="preserve"> </w:t>
      </w:r>
      <w:r w:rsidR="002F6710" w:rsidRPr="005464FA">
        <w:fldChar w:fldCharType="begin" w:fldLock="1"/>
      </w:r>
      <w:r w:rsidR="002F6710" w:rsidRPr="005464FA">
        <w:instrText xml:space="preserve"> REF _Ref165928427 \r \h </w:instrText>
      </w:r>
      <w:r w:rsidR="00F74D05" w:rsidRPr="005464FA">
        <w:instrText xml:space="preserve"> \* MERGEFORMAT </w:instrText>
      </w:r>
      <w:r w:rsidR="002F6710" w:rsidRPr="005464FA">
        <w:fldChar w:fldCharType="separate"/>
      </w:r>
      <w:r w:rsidR="00122E11" w:rsidRPr="005464FA">
        <w:t>3.6</w:t>
      </w:r>
      <w:r w:rsidR="002F6710" w:rsidRPr="005464FA">
        <w:fldChar w:fldCharType="end"/>
      </w:r>
      <w:r w:rsidR="00666B2B" w:rsidRPr="005464FA">
        <w:t>).</w:t>
      </w:r>
      <w:r w:rsidR="00BC47BD" w:rsidRPr="005464FA">
        <w:t xml:space="preserve"> The ESC considered that this would not be appropriate as the evidence </w:t>
      </w:r>
      <w:r w:rsidR="00442251" w:rsidRPr="005464FA">
        <w:t xml:space="preserve">did </w:t>
      </w:r>
      <w:r w:rsidR="00BC47BD" w:rsidRPr="005464FA">
        <w:t>not support use of olaparib in patients who have not received chemotherapy in any setting</w:t>
      </w:r>
      <w:r w:rsidR="007E1926" w:rsidRPr="005464FA">
        <w:t>.</w:t>
      </w:r>
    </w:p>
    <w:p w14:paraId="332D58F3" w14:textId="4AAE984D" w:rsidR="00A1135A" w:rsidRPr="005464FA" w:rsidRDefault="00A1135A" w:rsidP="00A1135A">
      <w:pPr>
        <w:pStyle w:val="2-SectionHeading"/>
      </w:pPr>
      <w:bookmarkStart w:id="9" w:name="_Toc167278269"/>
      <w:r w:rsidRPr="005464FA">
        <w:t>Background</w:t>
      </w:r>
      <w:bookmarkEnd w:id="9"/>
    </w:p>
    <w:p w14:paraId="6DBA41F5" w14:textId="77777777" w:rsidR="00A1135A" w:rsidRPr="005464FA" w:rsidRDefault="00A1135A" w:rsidP="00A1135A">
      <w:pPr>
        <w:pStyle w:val="4-SubsectionHeading"/>
      </w:pPr>
      <w:bookmarkStart w:id="10" w:name="_Toc22897638"/>
      <w:bookmarkStart w:id="11" w:name="_Toc167278270"/>
      <w:r w:rsidRPr="005464FA">
        <w:t>Registration status</w:t>
      </w:r>
      <w:bookmarkEnd w:id="10"/>
      <w:bookmarkEnd w:id="11"/>
    </w:p>
    <w:p w14:paraId="5877C778" w14:textId="7992268A" w:rsidR="007A1C21" w:rsidRPr="005464FA" w:rsidRDefault="00A75C16" w:rsidP="003A0777">
      <w:pPr>
        <w:pStyle w:val="3-BodyText"/>
      </w:pPr>
      <w:r w:rsidRPr="005464FA">
        <w:t>T</w:t>
      </w:r>
      <w:r w:rsidR="00FF3894" w:rsidRPr="005464FA">
        <w:t>he current TGA-approved product information</w:t>
      </w:r>
      <w:r w:rsidRPr="005464FA">
        <w:t xml:space="preserve"> </w:t>
      </w:r>
      <w:r w:rsidR="007A1C21" w:rsidRPr="005464FA">
        <w:t xml:space="preserve">for olaparib </w:t>
      </w:r>
      <w:r w:rsidRPr="005464FA">
        <w:t xml:space="preserve">includes the indication </w:t>
      </w:r>
      <w:r w:rsidR="009E4564" w:rsidRPr="005464FA">
        <w:t xml:space="preserve">in metastatic breast cancer </w:t>
      </w:r>
      <w:r w:rsidRPr="005464FA">
        <w:t>as follows</w:t>
      </w:r>
      <w:r w:rsidR="007A1C21" w:rsidRPr="005464FA">
        <w:t>:</w:t>
      </w:r>
    </w:p>
    <w:p w14:paraId="51B6BBA0" w14:textId="5F1AEA90" w:rsidR="00FF3894" w:rsidRPr="005464FA" w:rsidRDefault="007A1C21" w:rsidP="009E4564">
      <w:pPr>
        <w:pStyle w:val="ListParagraph"/>
        <w:ind w:left="1080"/>
        <w:rPr>
          <w:rFonts w:eastAsia="Calibri"/>
        </w:rPr>
      </w:pPr>
      <w:r w:rsidRPr="005464FA">
        <w:rPr>
          <w:rFonts w:eastAsia="Calibri"/>
        </w:rPr>
        <w:t>A</w:t>
      </w:r>
      <w:r w:rsidR="00FF3894" w:rsidRPr="005464FA">
        <w:rPr>
          <w:rFonts w:eastAsia="Calibri"/>
        </w:rPr>
        <w:t xml:space="preserve">s monotherapy for the treatment of adult patients who have HER2-negative metastatic breast cancer with a deleterious or suspected deleterious germline </w:t>
      </w:r>
      <w:r w:rsidR="00FF3894" w:rsidRPr="005464FA">
        <w:rPr>
          <w:rFonts w:eastAsia="Calibri"/>
          <w:i/>
          <w:iCs/>
        </w:rPr>
        <w:t>BRCA</w:t>
      </w:r>
      <w:r w:rsidR="00FF3894" w:rsidRPr="005464FA">
        <w:rPr>
          <w:rFonts w:eastAsia="Calibri"/>
        </w:rPr>
        <w:t xml:space="preserve"> mutation (g</w:t>
      </w:r>
      <w:r w:rsidR="00FF3894" w:rsidRPr="005464FA">
        <w:rPr>
          <w:rFonts w:eastAsia="Calibri"/>
          <w:i/>
          <w:iCs/>
        </w:rPr>
        <w:t>BRCA</w:t>
      </w:r>
      <w:r w:rsidR="00FF3894" w:rsidRPr="005464FA">
        <w:rPr>
          <w:rFonts w:eastAsia="Calibri"/>
        </w:rPr>
        <w:t>m), for which they have previously been treated with chemotherapy in the neoadjuvant, adjuvant or metastatic setting.</w:t>
      </w:r>
    </w:p>
    <w:p w14:paraId="0B5113FA" w14:textId="77777777" w:rsidR="00A1135A" w:rsidRPr="005464FA" w:rsidRDefault="00A1135A" w:rsidP="00A1135A">
      <w:pPr>
        <w:pStyle w:val="4-SubsectionHeading"/>
        <w:rPr>
          <w:i w:val="0"/>
          <w:iCs/>
        </w:rPr>
      </w:pPr>
      <w:bookmarkStart w:id="12" w:name="_Toc22897639"/>
      <w:bookmarkStart w:id="13" w:name="_Toc167278271"/>
      <w:r w:rsidRPr="005464FA">
        <w:rPr>
          <w:i w:val="0"/>
          <w:iCs/>
        </w:rPr>
        <w:t>Previous PBAC consideration</w:t>
      </w:r>
      <w:bookmarkEnd w:id="12"/>
      <w:bookmarkEnd w:id="13"/>
    </w:p>
    <w:p w14:paraId="4078078E" w14:textId="413AD221" w:rsidR="00A1135A" w:rsidRPr="005464FA" w:rsidRDefault="00A1135A" w:rsidP="00A1135A">
      <w:pPr>
        <w:pStyle w:val="3-BodyText"/>
      </w:pPr>
      <w:r w:rsidRPr="005464FA">
        <w:rPr>
          <w:iCs/>
          <w:color w:val="000000" w:themeColor="text1"/>
        </w:rPr>
        <w:t xml:space="preserve">This </w:t>
      </w:r>
      <w:r w:rsidR="00867BA4" w:rsidRPr="005464FA">
        <w:rPr>
          <w:iCs/>
          <w:color w:val="000000" w:themeColor="text1"/>
        </w:rPr>
        <w:t xml:space="preserve">was the first </w:t>
      </w:r>
      <w:r w:rsidRPr="005464FA">
        <w:rPr>
          <w:iCs/>
          <w:color w:val="000000" w:themeColor="text1"/>
        </w:rPr>
        <w:t>submission for olaparib</w:t>
      </w:r>
      <w:r w:rsidRPr="005464FA">
        <w:rPr>
          <w:i/>
          <w:iCs/>
          <w:color w:val="000000" w:themeColor="text1"/>
        </w:rPr>
        <w:t xml:space="preserve"> </w:t>
      </w:r>
      <w:r w:rsidRPr="005464FA">
        <w:rPr>
          <w:color w:val="000000" w:themeColor="text1"/>
        </w:rPr>
        <w:t>in</w:t>
      </w:r>
      <w:r w:rsidRPr="005464FA">
        <w:rPr>
          <w:i/>
          <w:iCs/>
          <w:color w:val="000000" w:themeColor="text1"/>
        </w:rPr>
        <w:t xml:space="preserve"> </w:t>
      </w:r>
      <w:r w:rsidRPr="005464FA">
        <w:t xml:space="preserve">HER2-negative metastatic breast cancer for patients with a confirmed </w:t>
      </w:r>
      <w:r w:rsidRPr="005464FA">
        <w:rPr>
          <w:i/>
          <w:iCs/>
        </w:rPr>
        <w:t>BRCA1</w:t>
      </w:r>
      <w:r w:rsidRPr="005464FA">
        <w:t xml:space="preserve"> or </w:t>
      </w:r>
      <w:r w:rsidRPr="005464FA">
        <w:rPr>
          <w:i/>
          <w:iCs/>
        </w:rPr>
        <w:t>BRCA2</w:t>
      </w:r>
      <w:r w:rsidRPr="005464FA">
        <w:t xml:space="preserve"> mutation</w:t>
      </w:r>
      <w:r w:rsidRPr="005464FA">
        <w:rPr>
          <w:i/>
          <w:iCs/>
          <w:color w:val="000000" w:themeColor="text1"/>
        </w:rPr>
        <w:t>.</w:t>
      </w:r>
      <w:r w:rsidRPr="005464FA">
        <w:rPr>
          <w:color w:val="0066FF"/>
        </w:rPr>
        <w:t xml:space="preserve"> </w:t>
      </w:r>
      <w:r w:rsidRPr="005464FA">
        <w:rPr>
          <w:color w:val="000000" w:themeColor="text1"/>
        </w:rPr>
        <w:t xml:space="preserve">However, olaparib was considered by the PBAC in March and November 2023 for the </w:t>
      </w:r>
      <w:r w:rsidR="00AD2447" w:rsidRPr="005464FA">
        <w:rPr>
          <w:color w:val="000000" w:themeColor="text1"/>
        </w:rPr>
        <w:t xml:space="preserve">high risk </w:t>
      </w:r>
      <w:r w:rsidRPr="005464FA">
        <w:rPr>
          <w:color w:val="000000" w:themeColor="text1"/>
        </w:rPr>
        <w:t xml:space="preserve">early breast cancer </w:t>
      </w:r>
      <w:r w:rsidR="00D93A30" w:rsidRPr="005464FA">
        <w:rPr>
          <w:color w:val="000000" w:themeColor="text1"/>
        </w:rPr>
        <w:t xml:space="preserve">(eBC) </w:t>
      </w:r>
      <w:r w:rsidRPr="005464FA">
        <w:rPr>
          <w:color w:val="000000" w:themeColor="text1"/>
        </w:rPr>
        <w:t>setting and was recommended</w:t>
      </w:r>
      <w:r w:rsidR="007A1C21" w:rsidRPr="005464FA">
        <w:rPr>
          <w:color w:val="000000" w:themeColor="text1"/>
        </w:rPr>
        <w:t xml:space="preserve"> for this indication</w:t>
      </w:r>
      <w:r w:rsidRPr="005464FA">
        <w:rPr>
          <w:color w:val="000000" w:themeColor="text1"/>
        </w:rPr>
        <w:t xml:space="preserve"> </w:t>
      </w:r>
      <w:r w:rsidR="007A1C21" w:rsidRPr="005464FA">
        <w:rPr>
          <w:color w:val="000000" w:themeColor="text1"/>
        </w:rPr>
        <w:t xml:space="preserve">in </w:t>
      </w:r>
      <w:r w:rsidRPr="005464FA">
        <w:t xml:space="preserve">November 2023. </w:t>
      </w:r>
    </w:p>
    <w:p w14:paraId="036614CC" w14:textId="3218C54B" w:rsidR="009E4564" w:rsidRPr="00F46FC9" w:rsidRDefault="00A1135A" w:rsidP="00F46FC9">
      <w:pPr>
        <w:pStyle w:val="3-BodyText"/>
      </w:pPr>
      <w:r w:rsidRPr="00F46FC9">
        <w:t xml:space="preserve">The submission recalled that in March 2023, the PBAC had noted that patients with de novo metastatic disease would not be able to access olaparib under the proposed listing, that cost-effectiveness </w:t>
      </w:r>
      <w:r w:rsidR="007A1C21" w:rsidRPr="00F46FC9">
        <w:t xml:space="preserve">had </w:t>
      </w:r>
      <w:r w:rsidRPr="00F46FC9">
        <w:t>not been assessed in this population and that the sponsor would need to lodge a PBAC submission to request listing of olaparib in the metastatic breast cancer setting to support appropriate consideration of this request (</w:t>
      </w:r>
      <w:r w:rsidR="00D53C3D" w:rsidRPr="00F46FC9">
        <w:t>paragraph 7.18</w:t>
      </w:r>
      <w:r w:rsidR="00D53C3D">
        <w:t xml:space="preserve">, </w:t>
      </w:r>
      <w:r w:rsidRPr="00F46FC9">
        <w:t xml:space="preserve">Olaparib </w:t>
      </w:r>
      <w:r w:rsidR="00D53C3D">
        <w:t>Public Summary Document [</w:t>
      </w:r>
      <w:r w:rsidRPr="00F46FC9">
        <w:t>PSD</w:t>
      </w:r>
      <w:r w:rsidR="00D53C3D">
        <w:t>]</w:t>
      </w:r>
      <w:r w:rsidRPr="00F46FC9">
        <w:t xml:space="preserve">, </w:t>
      </w:r>
      <w:r w:rsidR="00D53C3D" w:rsidRPr="00F46FC9">
        <w:t>March</w:t>
      </w:r>
      <w:r w:rsidR="00D53C3D">
        <w:t> </w:t>
      </w:r>
      <w:r w:rsidR="00D53C3D" w:rsidRPr="00F46FC9">
        <w:t xml:space="preserve">2023PBAC </w:t>
      </w:r>
      <w:r w:rsidR="00D53C3D">
        <w:t>Meeting</w:t>
      </w:r>
      <w:bookmarkStart w:id="14" w:name="_Toc167278273"/>
    </w:p>
    <w:p w14:paraId="646A2B75" w14:textId="5712B2E6" w:rsidR="00D71D5F" w:rsidRPr="005464FA" w:rsidRDefault="00D71D5F" w:rsidP="009E4564">
      <w:pPr>
        <w:pStyle w:val="4-SubsectionHeading"/>
        <w:rPr>
          <w:iCs/>
          <w:color w:val="000000" w:themeColor="text1"/>
        </w:rPr>
      </w:pPr>
      <w:r w:rsidRPr="005464FA">
        <w:rPr>
          <w:i w:val="0"/>
          <w:iCs/>
          <w:color w:val="000000" w:themeColor="text1"/>
        </w:rPr>
        <w:t>Previous MSAC consideration</w:t>
      </w:r>
      <w:bookmarkEnd w:id="14"/>
      <w:r w:rsidR="00215BD5" w:rsidRPr="005464FA">
        <w:rPr>
          <w:i w:val="0"/>
          <w:iCs/>
          <w:color w:val="000000" w:themeColor="text1"/>
        </w:rPr>
        <w:t xml:space="preserve"> </w:t>
      </w:r>
    </w:p>
    <w:p w14:paraId="15F28EAF" w14:textId="63107C25" w:rsidR="00646FDF" w:rsidRPr="005464FA" w:rsidRDefault="00646FDF" w:rsidP="0089303C">
      <w:pPr>
        <w:pStyle w:val="3-BodyText"/>
      </w:pPr>
      <w:r w:rsidRPr="005464FA">
        <w:t xml:space="preserve">The MSAC PICO Advisory Sub-Committee (PASC) first considered the proposed medical service (MSAC 1507) at its November 2017 meeting. However, the application did not progress beyond PASC stage. </w:t>
      </w:r>
    </w:p>
    <w:p w14:paraId="2C7742C7" w14:textId="77777777" w:rsidR="00162D7C" w:rsidRPr="005464FA" w:rsidRDefault="00162D7C" w:rsidP="00162D7C">
      <w:pPr>
        <w:ind w:firstLine="720"/>
        <w:rPr>
          <w:i/>
          <w:iCs/>
        </w:rPr>
      </w:pPr>
      <w:bookmarkStart w:id="15" w:name="_Hlk76375324"/>
      <w:r w:rsidRPr="005464FA">
        <w:rPr>
          <w:i/>
          <w:iCs/>
        </w:rPr>
        <w:t>For more detail on PBAC’s view, see section 7 PBAC outcome.</w:t>
      </w:r>
    </w:p>
    <w:p w14:paraId="521BBC92" w14:textId="77777777" w:rsidR="00A1135A" w:rsidRPr="005464FA" w:rsidRDefault="00A1135A" w:rsidP="00A1135A">
      <w:pPr>
        <w:pStyle w:val="2-SectionHeading"/>
      </w:pPr>
      <w:bookmarkStart w:id="16" w:name="_Toc107902078"/>
      <w:bookmarkStart w:id="17" w:name="_Toc167278274"/>
      <w:bookmarkEnd w:id="15"/>
      <w:bookmarkEnd w:id="16"/>
      <w:r w:rsidRPr="005464FA">
        <w:lastRenderedPageBreak/>
        <w:t>Requested listing</w:t>
      </w:r>
      <w:bookmarkEnd w:id="17"/>
    </w:p>
    <w:p w14:paraId="777D395C" w14:textId="5291973C" w:rsidR="00F74D05" w:rsidRPr="005464FA" w:rsidRDefault="002470DD" w:rsidP="00F74D05">
      <w:pPr>
        <w:pStyle w:val="ListParagraph"/>
        <w:numPr>
          <w:ilvl w:val="1"/>
          <w:numId w:val="1"/>
        </w:numPr>
        <w:rPr>
          <w:rFonts w:cs="Calibri"/>
          <w:bCs/>
          <w:iCs/>
        </w:rPr>
      </w:pPr>
      <w:r w:rsidRPr="005464FA">
        <w:rPr>
          <w:rFonts w:cs="Calibri"/>
          <w:bCs/>
          <w:iCs/>
        </w:rPr>
        <w:t>The submission’s proposed</w:t>
      </w:r>
      <w:r w:rsidR="00F74D05" w:rsidRPr="005464FA">
        <w:rPr>
          <w:rFonts w:cs="Calibri"/>
          <w:bCs/>
          <w:iCs/>
        </w:rPr>
        <w:t xml:space="preserve"> wording for the restriction</w:t>
      </w:r>
      <w:r w:rsidRPr="005464FA">
        <w:rPr>
          <w:rFonts w:cs="Calibri"/>
          <w:bCs/>
          <w:iCs/>
        </w:rPr>
        <w:t xml:space="preserve"> is shown below</w:t>
      </w:r>
      <w:r w:rsidR="00F74D05" w:rsidRPr="005464FA">
        <w:rPr>
          <w:rFonts w:cs="Calibri"/>
          <w:bCs/>
          <w:iCs/>
        </w:rPr>
        <w:t xml:space="preserve">. </w:t>
      </w:r>
    </w:p>
    <w:p w14:paraId="4A7528FB" w14:textId="77777777" w:rsidR="00A1135A" w:rsidRPr="005464FA" w:rsidRDefault="00A1135A" w:rsidP="00A1135A">
      <w:pPr>
        <w:pStyle w:val="TableFigureHeading"/>
      </w:pPr>
      <w:bookmarkStart w:id="18" w:name="_Hlk104809082"/>
      <w:r w:rsidRPr="005464FA">
        <w:t>Essential elements of the requested listing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000" w:firstRow="0" w:lastRow="0" w:firstColumn="0" w:lastColumn="0" w:noHBand="0" w:noVBand="0"/>
      </w:tblPr>
      <w:tblGrid>
        <w:gridCol w:w="2268"/>
        <w:gridCol w:w="2835"/>
        <w:gridCol w:w="851"/>
        <w:gridCol w:w="850"/>
        <w:gridCol w:w="709"/>
        <w:gridCol w:w="1504"/>
      </w:tblGrid>
      <w:tr w:rsidR="00A1135A" w:rsidRPr="005464FA" w14:paraId="43C1BCF9" w14:textId="77777777" w:rsidTr="003E5223">
        <w:trPr>
          <w:cantSplit/>
          <w:trHeight w:val="20"/>
        </w:trPr>
        <w:tc>
          <w:tcPr>
            <w:tcW w:w="2268" w:type="dxa"/>
            <w:vAlign w:val="center"/>
          </w:tcPr>
          <w:p w14:paraId="0BB2149B" w14:textId="77777777" w:rsidR="00A1135A" w:rsidRPr="005464FA" w:rsidRDefault="00A1135A" w:rsidP="003A0777">
            <w:pPr>
              <w:keepNext/>
              <w:keepLines/>
              <w:rPr>
                <w:rFonts w:ascii="Arial Narrow" w:hAnsi="Arial Narrow"/>
                <w:b/>
                <w:bCs/>
                <w:sz w:val="20"/>
                <w:szCs w:val="20"/>
              </w:rPr>
            </w:pPr>
            <w:r w:rsidRPr="005464FA">
              <w:rPr>
                <w:rFonts w:ascii="Arial Narrow" w:hAnsi="Arial Narrow"/>
                <w:b/>
                <w:bCs/>
                <w:sz w:val="20"/>
                <w:szCs w:val="20"/>
              </w:rPr>
              <w:t>MEDICINAL PRODUCT</w:t>
            </w:r>
          </w:p>
          <w:p w14:paraId="49CD359B" w14:textId="77777777" w:rsidR="00A1135A" w:rsidRPr="005464FA" w:rsidRDefault="00A1135A" w:rsidP="003A0777">
            <w:pPr>
              <w:keepNext/>
              <w:keepLines/>
              <w:rPr>
                <w:rFonts w:ascii="Arial Narrow" w:hAnsi="Arial Narrow"/>
                <w:b/>
                <w:sz w:val="20"/>
                <w:szCs w:val="20"/>
              </w:rPr>
            </w:pPr>
            <w:r w:rsidRPr="005464FA">
              <w:rPr>
                <w:rFonts w:ascii="Arial Narrow" w:hAnsi="Arial Narrow"/>
                <w:b/>
                <w:bCs/>
                <w:sz w:val="20"/>
                <w:szCs w:val="20"/>
              </w:rPr>
              <w:t>medicinal product pack</w:t>
            </w:r>
          </w:p>
        </w:tc>
        <w:tc>
          <w:tcPr>
            <w:tcW w:w="2835" w:type="dxa"/>
            <w:vAlign w:val="center"/>
          </w:tcPr>
          <w:p w14:paraId="608E5718" w14:textId="77777777" w:rsidR="00A1135A" w:rsidRPr="005464FA" w:rsidRDefault="00A1135A" w:rsidP="003A0777">
            <w:pPr>
              <w:pStyle w:val="TableText0"/>
              <w:keepLines/>
              <w:rPr>
                <w:b/>
                <w:bCs w:val="0"/>
                <w:szCs w:val="20"/>
              </w:rPr>
            </w:pPr>
            <w:r w:rsidRPr="005464FA">
              <w:rPr>
                <w:b/>
                <w:bCs w:val="0"/>
                <w:snapToGrid w:val="0"/>
              </w:rPr>
              <w:t xml:space="preserve">Dispensed Price for Max. Qty </w:t>
            </w:r>
          </w:p>
        </w:tc>
        <w:tc>
          <w:tcPr>
            <w:tcW w:w="851" w:type="dxa"/>
            <w:vAlign w:val="center"/>
          </w:tcPr>
          <w:p w14:paraId="4FB0211D" w14:textId="77777777" w:rsidR="00A1135A" w:rsidRPr="005464FA" w:rsidRDefault="00A1135A" w:rsidP="003A0777">
            <w:pPr>
              <w:keepNext/>
              <w:keepLines/>
              <w:jc w:val="center"/>
              <w:rPr>
                <w:rFonts w:ascii="Arial Narrow" w:hAnsi="Arial Narrow"/>
                <w:b/>
                <w:sz w:val="20"/>
                <w:szCs w:val="20"/>
              </w:rPr>
            </w:pPr>
            <w:r w:rsidRPr="005464FA">
              <w:rPr>
                <w:rFonts w:ascii="Arial Narrow" w:hAnsi="Arial Narrow"/>
                <w:b/>
                <w:sz w:val="20"/>
                <w:szCs w:val="20"/>
              </w:rPr>
              <w:t>Max. qty packs</w:t>
            </w:r>
          </w:p>
        </w:tc>
        <w:tc>
          <w:tcPr>
            <w:tcW w:w="850" w:type="dxa"/>
            <w:vAlign w:val="center"/>
          </w:tcPr>
          <w:p w14:paraId="32F336DE" w14:textId="77777777" w:rsidR="00A1135A" w:rsidRPr="005464FA" w:rsidRDefault="00A1135A" w:rsidP="003A0777">
            <w:pPr>
              <w:keepNext/>
              <w:keepLines/>
              <w:jc w:val="center"/>
              <w:rPr>
                <w:rFonts w:ascii="Arial Narrow" w:hAnsi="Arial Narrow"/>
                <w:b/>
                <w:sz w:val="20"/>
                <w:szCs w:val="20"/>
              </w:rPr>
            </w:pPr>
            <w:r w:rsidRPr="005464FA">
              <w:rPr>
                <w:rFonts w:ascii="Arial Narrow" w:hAnsi="Arial Narrow"/>
                <w:b/>
                <w:sz w:val="20"/>
                <w:szCs w:val="20"/>
              </w:rPr>
              <w:t>Max. qty units</w:t>
            </w:r>
          </w:p>
        </w:tc>
        <w:tc>
          <w:tcPr>
            <w:tcW w:w="709" w:type="dxa"/>
            <w:vAlign w:val="center"/>
          </w:tcPr>
          <w:p w14:paraId="378CBA9D" w14:textId="77777777" w:rsidR="00A1135A" w:rsidRPr="005464FA" w:rsidRDefault="00A1135A" w:rsidP="003A0777">
            <w:pPr>
              <w:keepNext/>
              <w:keepLines/>
              <w:jc w:val="center"/>
              <w:rPr>
                <w:rFonts w:ascii="Arial Narrow" w:hAnsi="Arial Narrow"/>
                <w:b/>
                <w:sz w:val="20"/>
                <w:szCs w:val="20"/>
              </w:rPr>
            </w:pPr>
            <w:r w:rsidRPr="005464FA">
              <w:rPr>
                <w:rFonts w:ascii="Arial Narrow" w:hAnsi="Arial Narrow"/>
                <w:b/>
                <w:sz w:val="20"/>
                <w:szCs w:val="20"/>
              </w:rPr>
              <w:t>№.of</w:t>
            </w:r>
          </w:p>
          <w:p w14:paraId="2CDFFC51" w14:textId="77777777" w:rsidR="00A1135A" w:rsidRPr="005464FA" w:rsidRDefault="00A1135A" w:rsidP="003A0777">
            <w:pPr>
              <w:keepNext/>
              <w:keepLines/>
              <w:jc w:val="center"/>
              <w:rPr>
                <w:rFonts w:ascii="Arial Narrow" w:hAnsi="Arial Narrow"/>
                <w:b/>
                <w:sz w:val="20"/>
                <w:szCs w:val="20"/>
              </w:rPr>
            </w:pPr>
            <w:r w:rsidRPr="005464FA">
              <w:rPr>
                <w:rFonts w:ascii="Arial Narrow" w:hAnsi="Arial Narrow"/>
                <w:b/>
                <w:sz w:val="20"/>
                <w:szCs w:val="20"/>
              </w:rPr>
              <w:t>Rpts</w:t>
            </w:r>
          </w:p>
        </w:tc>
        <w:tc>
          <w:tcPr>
            <w:tcW w:w="1504" w:type="dxa"/>
            <w:vAlign w:val="center"/>
          </w:tcPr>
          <w:p w14:paraId="27DF7CC1" w14:textId="77777777" w:rsidR="00A1135A" w:rsidRPr="005464FA" w:rsidRDefault="00A1135A" w:rsidP="003A0777">
            <w:pPr>
              <w:keepNext/>
              <w:keepLines/>
              <w:rPr>
                <w:rFonts w:ascii="Arial Narrow" w:hAnsi="Arial Narrow"/>
                <w:b/>
                <w:sz w:val="20"/>
                <w:szCs w:val="20"/>
              </w:rPr>
            </w:pPr>
            <w:r w:rsidRPr="005464FA">
              <w:rPr>
                <w:rFonts w:ascii="Arial Narrow" w:hAnsi="Arial Narrow"/>
                <w:b/>
                <w:sz w:val="20"/>
                <w:szCs w:val="20"/>
              </w:rPr>
              <w:t>Available brands</w:t>
            </w:r>
          </w:p>
        </w:tc>
      </w:tr>
      <w:tr w:rsidR="00A1135A" w:rsidRPr="005464FA" w14:paraId="6D0BB810" w14:textId="77777777" w:rsidTr="003E5223">
        <w:trPr>
          <w:cantSplit/>
          <w:trHeight w:val="20"/>
        </w:trPr>
        <w:tc>
          <w:tcPr>
            <w:tcW w:w="9017" w:type="dxa"/>
            <w:gridSpan w:val="6"/>
            <w:vAlign w:val="center"/>
          </w:tcPr>
          <w:p w14:paraId="7A7B7385" w14:textId="77777777" w:rsidR="00A1135A" w:rsidRPr="005464FA" w:rsidRDefault="00A1135A" w:rsidP="003A0777">
            <w:pPr>
              <w:pStyle w:val="TableText0"/>
              <w:keepLines/>
              <w:rPr>
                <w:rFonts w:cs="Arial"/>
                <w:szCs w:val="20"/>
              </w:rPr>
            </w:pPr>
            <w:r w:rsidRPr="005464FA">
              <w:t xml:space="preserve">Olaparib </w:t>
            </w:r>
            <w:r w:rsidRPr="005464FA">
              <w:rPr>
                <w:rFonts w:cs="Arial"/>
                <w:color w:val="0066FF"/>
                <w:szCs w:val="20"/>
              </w:rPr>
              <w:t xml:space="preserve"> </w:t>
            </w:r>
          </w:p>
        </w:tc>
      </w:tr>
      <w:tr w:rsidR="00A1135A" w:rsidRPr="005464FA" w14:paraId="64AE5A2D" w14:textId="77777777" w:rsidTr="003E5223">
        <w:trPr>
          <w:cantSplit/>
          <w:trHeight w:val="20"/>
        </w:trPr>
        <w:tc>
          <w:tcPr>
            <w:tcW w:w="2268" w:type="dxa"/>
            <w:vAlign w:val="center"/>
          </w:tcPr>
          <w:p w14:paraId="75A13CAA" w14:textId="44C9BEBF" w:rsidR="00A1135A" w:rsidRPr="005464FA" w:rsidRDefault="00A1135A" w:rsidP="009E4564">
            <w:pPr>
              <w:pStyle w:val="TableText0"/>
              <w:keepLines/>
            </w:pPr>
            <w:r w:rsidRPr="005464FA">
              <w:t>Initial: Olaparib 150mg, 100mg Tablets, 56</w:t>
            </w:r>
          </w:p>
        </w:tc>
        <w:tc>
          <w:tcPr>
            <w:tcW w:w="2835" w:type="dxa"/>
          </w:tcPr>
          <w:p w14:paraId="45A13387" w14:textId="25259060" w:rsidR="00A1135A" w:rsidRPr="005464FA" w:rsidRDefault="003117C5" w:rsidP="009E4564">
            <w:pPr>
              <w:pStyle w:val="TableText0"/>
              <w:keepLines/>
            </w:pPr>
            <w:r w:rsidRPr="005464FA">
              <w:t xml:space="preserve">Published: </w:t>
            </w:r>
            <w:r w:rsidR="00A1135A" w:rsidRPr="005464FA">
              <w:t xml:space="preserve">$6,631.63 </w:t>
            </w:r>
          </w:p>
          <w:p w14:paraId="54429FED" w14:textId="7802F6F7" w:rsidR="003117C5" w:rsidRPr="005464FA" w:rsidRDefault="003117C5" w:rsidP="009E4564">
            <w:pPr>
              <w:pStyle w:val="TableText0"/>
              <w:keepLines/>
              <w:rPr>
                <w:szCs w:val="20"/>
              </w:rPr>
            </w:pPr>
            <w:r w:rsidRPr="005464FA">
              <w:t xml:space="preserve">Effective: </w:t>
            </w:r>
            <w:r w:rsidR="00A1135A" w:rsidRPr="005464FA">
              <w:t>$</w:t>
            </w:r>
            <w:r w:rsidR="005F522F" w:rsidRPr="006D344E">
              <w:rPr>
                <w:color w:val="000000"/>
                <w:spacing w:val="53"/>
                <w:shd w:val="solid" w:color="000000" w:fill="000000"/>
                <w:fitText w:val="330" w:id="-893197056"/>
                <w14:textFill>
                  <w14:solidFill>
                    <w14:srgbClr w14:val="000000">
                      <w14:alpha w14:val="100000"/>
                    </w14:srgbClr>
                  </w14:solidFill>
                </w14:textFill>
              </w:rPr>
              <w:t>|||</w:t>
            </w:r>
            <w:r w:rsidR="005F522F" w:rsidRPr="006D344E">
              <w:rPr>
                <w:color w:val="000000"/>
                <w:spacing w:val="1"/>
                <w:shd w:val="solid" w:color="000000" w:fill="000000"/>
                <w:fitText w:val="330" w:id="-893197056"/>
                <w14:textFill>
                  <w14:solidFill>
                    <w14:srgbClr w14:val="000000">
                      <w14:alpha w14:val="100000"/>
                    </w14:srgbClr>
                  </w14:solidFill>
                </w14:textFill>
              </w:rPr>
              <w:t>|</w:t>
            </w:r>
            <w:r w:rsidR="00A1135A" w:rsidRPr="005464FA">
              <w:t xml:space="preserve"> </w:t>
            </w:r>
            <w:r w:rsidRPr="005464FA">
              <w:t xml:space="preserve">(submission); </w:t>
            </w:r>
            <w:r w:rsidRPr="005464FA">
              <w:rPr>
                <w:szCs w:val="20"/>
              </w:rPr>
              <w:t>$</w:t>
            </w:r>
            <w:r w:rsidR="005F522F" w:rsidRPr="006D344E">
              <w:rPr>
                <w:color w:val="000000"/>
                <w:spacing w:val="53"/>
                <w:szCs w:val="20"/>
                <w:shd w:val="solid" w:color="000000" w:fill="000000"/>
                <w:fitText w:val="330" w:id="-893197055"/>
                <w14:textFill>
                  <w14:solidFill>
                    <w14:srgbClr w14:val="000000">
                      <w14:alpha w14:val="100000"/>
                    </w14:srgbClr>
                  </w14:solidFill>
                </w14:textFill>
              </w:rPr>
              <w:t>|||</w:t>
            </w:r>
            <w:r w:rsidR="005F522F" w:rsidRPr="006D344E">
              <w:rPr>
                <w:color w:val="000000"/>
                <w:spacing w:val="1"/>
                <w:szCs w:val="20"/>
                <w:shd w:val="solid" w:color="000000" w:fill="000000"/>
                <w:fitText w:val="330" w:id="-893197055"/>
                <w14:textFill>
                  <w14:solidFill>
                    <w14:srgbClr w14:val="000000">
                      <w14:alpha w14:val="100000"/>
                    </w14:srgbClr>
                  </w14:solidFill>
                </w14:textFill>
              </w:rPr>
              <w:t>|</w:t>
            </w:r>
            <w:r w:rsidRPr="005464FA">
              <w:rPr>
                <w:szCs w:val="20"/>
              </w:rPr>
              <w:t xml:space="preserve"> (pre-PBAC response)</w:t>
            </w:r>
          </w:p>
        </w:tc>
        <w:tc>
          <w:tcPr>
            <w:tcW w:w="851" w:type="dxa"/>
            <w:vAlign w:val="center"/>
          </w:tcPr>
          <w:p w14:paraId="1AFE37CB" w14:textId="77777777" w:rsidR="00A1135A" w:rsidRPr="005464FA" w:rsidRDefault="00A1135A" w:rsidP="003A0777">
            <w:pPr>
              <w:keepNext/>
              <w:keepLines/>
              <w:jc w:val="center"/>
              <w:rPr>
                <w:rFonts w:ascii="Arial Narrow" w:hAnsi="Arial Narrow"/>
                <w:sz w:val="20"/>
                <w:szCs w:val="20"/>
              </w:rPr>
            </w:pPr>
            <w:r w:rsidRPr="005464FA">
              <w:rPr>
                <w:rFonts w:ascii="Arial Narrow" w:hAnsi="Arial Narrow"/>
                <w:sz w:val="20"/>
              </w:rPr>
              <w:t>2</w:t>
            </w:r>
          </w:p>
        </w:tc>
        <w:tc>
          <w:tcPr>
            <w:tcW w:w="850" w:type="dxa"/>
            <w:vAlign w:val="center"/>
          </w:tcPr>
          <w:p w14:paraId="25AF216B" w14:textId="5C12044F" w:rsidR="00A1135A" w:rsidRPr="005464FA" w:rsidRDefault="003117C5" w:rsidP="003A0777">
            <w:pPr>
              <w:keepNext/>
              <w:keepLines/>
              <w:jc w:val="center"/>
              <w:rPr>
                <w:rFonts w:ascii="Arial Narrow" w:hAnsi="Arial Narrow"/>
                <w:sz w:val="20"/>
                <w:szCs w:val="20"/>
              </w:rPr>
            </w:pPr>
            <w:r w:rsidRPr="005464FA">
              <w:rPr>
                <w:rFonts w:ascii="Arial Narrow" w:hAnsi="Arial Narrow"/>
                <w:sz w:val="20"/>
              </w:rPr>
              <w:t>112</w:t>
            </w:r>
          </w:p>
        </w:tc>
        <w:tc>
          <w:tcPr>
            <w:tcW w:w="709" w:type="dxa"/>
            <w:vAlign w:val="center"/>
          </w:tcPr>
          <w:p w14:paraId="4AA1C1F7" w14:textId="77777777" w:rsidR="00A1135A" w:rsidRPr="005464FA" w:rsidRDefault="00A1135A" w:rsidP="003A0777">
            <w:pPr>
              <w:keepNext/>
              <w:keepLines/>
              <w:jc w:val="center"/>
              <w:rPr>
                <w:rFonts w:ascii="Arial Narrow" w:hAnsi="Arial Narrow"/>
                <w:sz w:val="20"/>
                <w:szCs w:val="20"/>
              </w:rPr>
            </w:pPr>
            <w:r w:rsidRPr="005464FA">
              <w:rPr>
                <w:rFonts w:ascii="Arial Narrow" w:hAnsi="Arial Narrow"/>
                <w:sz w:val="20"/>
              </w:rPr>
              <w:t>5</w:t>
            </w:r>
          </w:p>
        </w:tc>
        <w:tc>
          <w:tcPr>
            <w:tcW w:w="1504" w:type="dxa"/>
            <w:vAlign w:val="center"/>
          </w:tcPr>
          <w:p w14:paraId="3A9AEE22" w14:textId="77777777" w:rsidR="00A1135A" w:rsidRPr="005464FA" w:rsidRDefault="00A1135A" w:rsidP="003A0777">
            <w:pPr>
              <w:keepNext/>
              <w:keepLines/>
              <w:rPr>
                <w:rFonts w:ascii="Arial Narrow" w:hAnsi="Arial Narrow"/>
                <w:color w:val="000000" w:themeColor="text1"/>
                <w:sz w:val="20"/>
                <w:szCs w:val="20"/>
              </w:rPr>
            </w:pPr>
            <w:r w:rsidRPr="005464FA">
              <w:rPr>
                <w:rFonts w:ascii="Arial Narrow" w:hAnsi="Arial Narrow"/>
                <w:color w:val="000000" w:themeColor="text1"/>
                <w:sz w:val="20"/>
                <w:szCs w:val="20"/>
              </w:rPr>
              <w:t>LYNPARZA</w:t>
            </w:r>
          </w:p>
        </w:tc>
      </w:tr>
      <w:tr w:rsidR="00A1135A" w:rsidRPr="005464FA" w14:paraId="43D0C71F" w14:textId="77777777" w:rsidTr="003E5223">
        <w:trPr>
          <w:cantSplit/>
          <w:trHeight w:val="20"/>
        </w:trPr>
        <w:tc>
          <w:tcPr>
            <w:tcW w:w="2268" w:type="dxa"/>
            <w:vAlign w:val="center"/>
          </w:tcPr>
          <w:p w14:paraId="0FC669A9" w14:textId="0AA78EE4" w:rsidR="00A1135A" w:rsidRPr="005464FA" w:rsidRDefault="00A1135A" w:rsidP="009E4564">
            <w:pPr>
              <w:keepNext/>
              <w:keepLines/>
              <w:jc w:val="left"/>
              <w:rPr>
                <w:rFonts w:ascii="Arial Narrow" w:hAnsi="Arial Narrow"/>
                <w:color w:val="0066FF"/>
                <w:sz w:val="20"/>
                <w:szCs w:val="20"/>
              </w:rPr>
            </w:pPr>
            <w:r w:rsidRPr="005464FA">
              <w:rPr>
                <w:rFonts w:ascii="Arial Narrow" w:hAnsi="Arial Narrow"/>
                <w:color w:val="000000" w:themeColor="text1"/>
                <w:sz w:val="20"/>
                <w:szCs w:val="20"/>
              </w:rPr>
              <w:t>Continuing: Olaparib 150mg, 100mg Tablets, 56</w:t>
            </w:r>
          </w:p>
        </w:tc>
        <w:tc>
          <w:tcPr>
            <w:tcW w:w="2835" w:type="dxa"/>
          </w:tcPr>
          <w:p w14:paraId="49D02ECB" w14:textId="29551662" w:rsidR="00A1135A" w:rsidRPr="005464FA" w:rsidRDefault="003117C5" w:rsidP="009E4564">
            <w:pPr>
              <w:pStyle w:val="TableText0"/>
              <w:keepLines/>
            </w:pPr>
            <w:r w:rsidRPr="005464FA">
              <w:t xml:space="preserve">Published: </w:t>
            </w:r>
            <w:r w:rsidR="00A1135A" w:rsidRPr="005464FA">
              <w:t xml:space="preserve">$6,631.63 </w:t>
            </w:r>
          </w:p>
          <w:p w14:paraId="529FF6A4" w14:textId="0B3281DC" w:rsidR="00A1135A" w:rsidRPr="005464FA" w:rsidRDefault="003117C5" w:rsidP="009E4564">
            <w:pPr>
              <w:pStyle w:val="TableText0"/>
              <w:keepLines/>
              <w:rPr>
                <w:szCs w:val="20"/>
              </w:rPr>
            </w:pPr>
            <w:r w:rsidRPr="005464FA">
              <w:t xml:space="preserve">Effective: </w:t>
            </w:r>
            <w:r w:rsidR="00A1135A" w:rsidRPr="005464FA">
              <w:t>$</w:t>
            </w:r>
            <w:r w:rsidR="005F522F" w:rsidRPr="006D344E">
              <w:rPr>
                <w:color w:val="000000"/>
                <w:spacing w:val="52"/>
                <w:shd w:val="solid" w:color="000000" w:fill="000000"/>
                <w:fitText w:val="330" w:id="-893197054"/>
                <w14:textFill>
                  <w14:solidFill>
                    <w14:srgbClr w14:val="000000">
                      <w14:alpha w14:val="100000"/>
                    </w14:srgbClr>
                  </w14:solidFill>
                </w14:textFill>
              </w:rPr>
              <w:t>|||</w:t>
            </w:r>
            <w:r w:rsidR="005F522F" w:rsidRPr="006D344E">
              <w:rPr>
                <w:color w:val="000000"/>
                <w:spacing w:val="2"/>
                <w:shd w:val="solid" w:color="000000" w:fill="000000"/>
                <w:fitText w:val="330" w:id="-893197054"/>
                <w14:textFill>
                  <w14:solidFill>
                    <w14:srgbClr w14:val="000000">
                      <w14:alpha w14:val="100000"/>
                    </w14:srgbClr>
                  </w14:solidFill>
                </w14:textFill>
              </w:rPr>
              <w:t>|</w:t>
            </w:r>
            <w:r w:rsidR="00A1135A" w:rsidRPr="005464FA">
              <w:t xml:space="preserve"> </w:t>
            </w:r>
            <w:r w:rsidRPr="005464FA">
              <w:t xml:space="preserve">(submission); </w:t>
            </w:r>
            <w:r w:rsidRPr="005464FA">
              <w:rPr>
                <w:szCs w:val="20"/>
              </w:rPr>
              <w:t>$</w:t>
            </w:r>
            <w:r w:rsidR="005F522F" w:rsidRPr="006D344E">
              <w:rPr>
                <w:color w:val="000000"/>
                <w:spacing w:val="52"/>
                <w:szCs w:val="20"/>
                <w:shd w:val="solid" w:color="000000" w:fill="000000"/>
                <w:fitText w:val="330" w:id="-893197053"/>
                <w14:textFill>
                  <w14:solidFill>
                    <w14:srgbClr w14:val="000000">
                      <w14:alpha w14:val="100000"/>
                    </w14:srgbClr>
                  </w14:solidFill>
                </w14:textFill>
              </w:rPr>
              <w:t>|||</w:t>
            </w:r>
            <w:r w:rsidR="005F522F" w:rsidRPr="006D344E">
              <w:rPr>
                <w:color w:val="000000"/>
                <w:spacing w:val="2"/>
                <w:szCs w:val="20"/>
                <w:shd w:val="solid" w:color="000000" w:fill="000000"/>
                <w:fitText w:val="330" w:id="-893197053"/>
                <w14:textFill>
                  <w14:solidFill>
                    <w14:srgbClr w14:val="000000">
                      <w14:alpha w14:val="100000"/>
                    </w14:srgbClr>
                  </w14:solidFill>
                </w14:textFill>
              </w:rPr>
              <w:t>|</w:t>
            </w:r>
            <w:r w:rsidRPr="005464FA">
              <w:rPr>
                <w:szCs w:val="20"/>
              </w:rPr>
              <w:t xml:space="preserve"> (pre-PBAC response)</w:t>
            </w:r>
          </w:p>
        </w:tc>
        <w:tc>
          <w:tcPr>
            <w:tcW w:w="851" w:type="dxa"/>
            <w:vAlign w:val="center"/>
          </w:tcPr>
          <w:p w14:paraId="5DC5C3B3" w14:textId="77777777" w:rsidR="00A1135A" w:rsidRPr="005464FA" w:rsidRDefault="00A1135A" w:rsidP="003A0777">
            <w:pPr>
              <w:keepNext/>
              <w:keepLines/>
              <w:jc w:val="center"/>
              <w:rPr>
                <w:rFonts w:ascii="Arial Narrow" w:hAnsi="Arial Narrow"/>
                <w:sz w:val="20"/>
                <w:szCs w:val="20"/>
              </w:rPr>
            </w:pPr>
            <w:r w:rsidRPr="005464FA">
              <w:rPr>
                <w:rFonts w:ascii="Arial Narrow" w:hAnsi="Arial Narrow"/>
                <w:sz w:val="20"/>
              </w:rPr>
              <w:t>2</w:t>
            </w:r>
          </w:p>
        </w:tc>
        <w:tc>
          <w:tcPr>
            <w:tcW w:w="850" w:type="dxa"/>
            <w:vAlign w:val="center"/>
          </w:tcPr>
          <w:p w14:paraId="06F186DE" w14:textId="28533ED7" w:rsidR="00A1135A" w:rsidRPr="005464FA" w:rsidRDefault="003117C5" w:rsidP="003A0777">
            <w:pPr>
              <w:keepNext/>
              <w:keepLines/>
              <w:jc w:val="center"/>
              <w:rPr>
                <w:rFonts w:ascii="Arial Narrow" w:hAnsi="Arial Narrow"/>
                <w:sz w:val="20"/>
                <w:szCs w:val="20"/>
              </w:rPr>
            </w:pPr>
            <w:r w:rsidRPr="005464FA">
              <w:rPr>
                <w:rFonts w:ascii="Arial Narrow" w:hAnsi="Arial Narrow"/>
                <w:sz w:val="20"/>
              </w:rPr>
              <w:t>112</w:t>
            </w:r>
          </w:p>
        </w:tc>
        <w:tc>
          <w:tcPr>
            <w:tcW w:w="709" w:type="dxa"/>
            <w:vAlign w:val="center"/>
          </w:tcPr>
          <w:p w14:paraId="7ACFA825" w14:textId="77777777" w:rsidR="00A1135A" w:rsidRPr="005464FA" w:rsidRDefault="00A1135A" w:rsidP="003A0777">
            <w:pPr>
              <w:keepNext/>
              <w:keepLines/>
              <w:jc w:val="center"/>
              <w:rPr>
                <w:rFonts w:ascii="Arial Narrow" w:hAnsi="Arial Narrow"/>
                <w:sz w:val="20"/>
                <w:szCs w:val="20"/>
              </w:rPr>
            </w:pPr>
            <w:r w:rsidRPr="005464FA">
              <w:rPr>
                <w:rFonts w:ascii="Arial Narrow" w:hAnsi="Arial Narrow"/>
                <w:sz w:val="20"/>
              </w:rPr>
              <w:t>6</w:t>
            </w:r>
          </w:p>
        </w:tc>
        <w:tc>
          <w:tcPr>
            <w:tcW w:w="1504" w:type="dxa"/>
            <w:vAlign w:val="center"/>
          </w:tcPr>
          <w:p w14:paraId="0B7287CF" w14:textId="77777777" w:rsidR="00A1135A" w:rsidRPr="005464FA" w:rsidRDefault="00A1135A" w:rsidP="003A0777">
            <w:pPr>
              <w:keepNext/>
              <w:keepLines/>
              <w:rPr>
                <w:rFonts w:ascii="Arial Narrow" w:hAnsi="Arial Narrow"/>
                <w:color w:val="000000" w:themeColor="text1"/>
                <w:sz w:val="20"/>
                <w:szCs w:val="20"/>
              </w:rPr>
            </w:pPr>
            <w:r w:rsidRPr="005464FA">
              <w:rPr>
                <w:rFonts w:ascii="Arial Narrow" w:hAnsi="Arial Narrow"/>
                <w:color w:val="000000" w:themeColor="text1"/>
                <w:sz w:val="20"/>
                <w:szCs w:val="20"/>
              </w:rPr>
              <w:t>LYNPARZA</w:t>
            </w:r>
          </w:p>
        </w:tc>
      </w:tr>
    </w:tbl>
    <w:p w14:paraId="69E79B2B" w14:textId="25964578" w:rsidR="00755CCC" w:rsidRPr="005464FA" w:rsidRDefault="00A1135A" w:rsidP="005F522F">
      <w:pPr>
        <w:pStyle w:val="TableFooter"/>
        <w:keepLines/>
        <w:spacing w:after="120"/>
      </w:pPr>
      <w:r w:rsidRPr="00CB6CE9">
        <w:t>Source: Table 1.6, p33 of the submission.</w:t>
      </w:r>
      <w:r w:rsidRPr="005464FA">
        <w:t xml:space="preserve"> </w:t>
      </w:r>
    </w:p>
    <w:p w14:paraId="19985D05" w14:textId="77777777" w:rsidR="00A1135A" w:rsidRPr="005464FA" w:rsidRDefault="00A1135A" w:rsidP="00A1135A">
      <w:pPr>
        <w:pStyle w:val="TableFigureHeading"/>
        <w:rPr>
          <w:rStyle w:val="CommentReference"/>
          <w:b/>
          <w:szCs w:val="24"/>
        </w:rPr>
      </w:pPr>
      <w:r w:rsidRPr="005464FA">
        <w:rPr>
          <w:rStyle w:val="CommentReference"/>
          <w:b/>
          <w:szCs w:val="24"/>
        </w:rPr>
        <w:t>Requested restriction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BC47BD" w:rsidRPr="005464FA" w14:paraId="66E3B494" w14:textId="77777777" w:rsidTr="00F74D05">
        <w:trPr>
          <w:cantSplit/>
          <w:trHeight w:val="20"/>
        </w:trPr>
        <w:tc>
          <w:tcPr>
            <w:tcW w:w="5000" w:type="pct"/>
          </w:tcPr>
          <w:p w14:paraId="05353FF8" w14:textId="77777777" w:rsidR="00A1135A" w:rsidRPr="005464FA" w:rsidRDefault="00A1135A" w:rsidP="003A0777">
            <w:pPr>
              <w:pStyle w:val="TableText0"/>
              <w:keepNext w:val="0"/>
            </w:pPr>
            <w:r w:rsidRPr="005464FA">
              <w:rPr>
                <w:b/>
              </w:rPr>
              <w:t xml:space="preserve">Category / Program: </w:t>
            </w:r>
            <w:r w:rsidRPr="005464FA">
              <w:t>General Schedule</w:t>
            </w:r>
          </w:p>
        </w:tc>
      </w:tr>
      <w:tr w:rsidR="00BC47BD" w:rsidRPr="005464FA" w14:paraId="5EBE5B00" w14:textId="77777777" w:rsidTr="00F74D05">
        <w:trPr>
          <w:cantSplit/>
          <w:trHeight w:val="20"/>
        </w:trPr>
        <w:tc>
          <w:tcPr>
            <w:tcW w:w="5000" w:type="pct"/>
          </w:tcPr>
          <w:p w14:paraId="48938767" w14:textId="77777777" w:rsidR="00A1135A" w:rsidRPr="005464FA" w:rsidRDefault="00A1135A" w:rsidP="003A0777">
            <w:pPr>
              <w:pStyle w:val="TableText0"/>
              <w:keepNext w:val="0"/>
              <w:rPr>
                <w:b/>
              </w:rPr>
            </w:pPr>
            <w:r w:rsidRPr="005464FA">
              <w:rPr>
                <w:b/>
              </w:rPr>
              <w:t xml:space="preserve">Prescriber type: </w:t>
            </w:r>
            <w:r w:rsidRPr="005464FA">
              <w:fldChar w:fldCharType="begin" w:fldLock="1">
                <w:ffData>
                  <w:name w:val=""/>
                  <w:enabled/>
                  <w:calcOnExit w:val="0"/>
                  <w:checkBox>
                    <w:sizeAuto/>
                    <w:default w:val="1"/>
                  </w:checkBox>
                </w:ffData>
              </w:fldChar>
            </w:r>
            <w:r w:rsidRPr="005464FA">
              <w:instrText xml:space="preserve"> FORMCHECKBOX </w:instrText>
            </w:r>
            <w:r w:rsidR="006A43A5">
              <w:fldChar w:fldCharType="separate"/>
            </w:r>
            <w:r w:rsidRPr="005464FA">
              <w:fldChar w:fldCharType="end"/>
            </w:r>
            <w:r w:rsidRPr="005464FA">
              <w:t xml:space="preserve">Medical Practitioners </w:t>
            </w:r>
          </w:p>
        </w:tc>
      </w:tr>
      <w:tr w:rsidR="00BC47BD" w:rsidRPr="005464FA" w14:paraId="2978A8DB" w14:textId="77777777" w:rsidTr="00F74D05">
        <w:trPr>
          <w:cantSplit/>
          <w:trHeight w:val="20"/>
        </w:trPr>
        <w:tc>
          <w:tcPr>
            <w:tcW w:w="5000" w:type="pct"/>
          </w:tcPr>
          <w:p w14:paraId="47B5EE02" w14:textId="77777777" w:rsidR="00A1135A" w:rsidRPr="005464FA" w:rsidRDefault="00A1135A" w:rsidP="003A0777">
            <w:pPr>
              <w:pStyle w:val="TableText0"/>
              <w:keepNext w:val="0"/>
              <w:rPr>
                <w:rFonts w:eastAsia="Times New Roman"/>
              </w:rPr>
            </w:pPr>
            <w:r w:rsidRPr="005464FA">
              <w:rPr>
                <w:b/>
              </w:rPr>
              <w:t xml:space="preserve">Restriction type: </w:t>
            </w:r>
            <w:r w:rsidRPr="005464FA">
              <w:rPr>
                <w:rFonts w:eastAsia="Times New Roman"/>
              </w:rPr>
              <w:fldChar w:fldCharType="begin" w:fldLock="1">
                <w:ffData>
                  <w:name w:val="Check3"/>
                  <w:enabled/>
                  <w:calcOnExit w:val="0"/>
                  <w:checkBox>
                    <w:sizeAuto/>
                    <w:default w:val="1"/>
                  </w:checkBox>
                </w:ffData>
              </w:fldChar>
            </w:r>
            <w:r w:rsidRPr="005464FA">
              <w:rPr>
                <w:rFonts w:eastAsia="Times New Roman"/>
              </w:rPr>
              <w:instrText xml:space="preserve"> FORMCHECKBOX </w:instrText>
            </w:r>
            <w:r w:rsidR="006A43A5">
              <w:rPr>
                <w:rFonts w:eastAsia="Times New Roman"/>
              </w:rPr>
            </w:r>
            <w:r w:rsidR="006A43A5">
              <w:rPr>
                <w:rFonts w:eastAsia="Times New Roman"/>
              </w:rPr>
              <w:fldChar w:fldCharType="separate"/>
            </w:r>
            <w:r w:rsidRPr="005464FA">
              <w:rPr>
                <w:rFonts w:eastAsia="Times New Roman"/>
              </w:rPr>
              <w:fldChar w:fldCharType="end"/>
            </w:r>
            <w:r w:rsidRPr="005464FA">
              <w:rPr>
                <w:rFonts w:eastAsia="Times New Roman"/>
              </w:rPr>
              <w:t xml:space="preserve">Authority Required (telephone/online PBS Authorities system) </w:t>
            </w:r>
          </w:p>
        </w:tc>
      </w:tr>
      <w:tr w:rsidR="00BC47BD" w:rsidRPr="005464FA" w14:paraId="3B695DCA" w14:textId="77777777" w:rsidTr="00F74D05">
        <w:trPr>
          <w:cantSplit/>
          <w:trHeight w:val="20"/>
        </w:trPr>
        <w:tc>
          <w:tcPr>
            <w:tcW w:w="5000" w:type="pct"/>
            <w:vAlign w:val="center"/>
          </w:tcPr>
          <w:p w14:paraId="14F2A324" w14:textId="77777777" w:rsidR="00A1135A" w:rsidRPr="005464FA" w:rsidRDefault="00A1135A" w:rsidP="003A0777">
            <w:pPr>
              <w:pStyle w:val="TableText0"/>
              <w:keepNext w:val="0"/>
            </w:pPr>
            <w:r w:rsidRPr="005464FA">
              <w:rPr>
                <w:b/>
              </w:rPr>
              <w:t>Episodicity:</w:t>
            </w:r>
            <w:r w:rsidRPr="005464FA">
              <w:rPr>
                <w:bCs w:val="0"/>
              </w:rPr>
              <w:t xml:space="preserve"> Not applicable</w:t>
            </w:r>
          </w:p>
        </w:tc>
      </w:tr>
      <w:tr w:rsidR="00BC47BD" w:rsidRPr="005464FA" w14:paraId="34747098" w14:textId="77777777" w:rsidTr="00F74D05">
        <w:trPr>
          <w:cantSplit/>
          <w:trHeight w:val="20"/>
        </w:trPr>
        <w:tc>
          <w:tcPr>
            <w:tcW w:w="5000" w:type="pct"/>
            <w:vAlign w:val="center"/>
          </w:tcPr>
          <w:p w14:paraId="543FF3AF" w14:textId="77777777" w:rsidR="00A1135A" w:rsidRPr="005464FA" w:rsidRDefault="00A1135A" w:rsidP="003A0777">
            <w:pPr>
              <w:pStyle w:val="TableText0"/>
              <w:keepNext w:val="0"/>
              <w:rPr>
                <w:b/>
              </w:rPr>
            </w:pPr>
            <w:r w:rsidRPr="005464FA">
              <w:rPr>
                <w:b/>
              </w:rPr>
              <w:t xml:space="preserve">Severity: </w:t>
            </w:r>
            <w:r w:rsidRPr="005464FA">
              <w:rPr>
                <w:bCs w:val="0"/>
              </w:rPr>
              <w:t>Metastatic</w:t>
            </w:r>
          </w:p>
        </w:tc>
      </w:tr>
      <w:tr w:rsidR="00BC47BD" w:rsidRPr="005464FA" w14:paraId="74703BBC" w14:textId="77777777" w:rsidTr="00F74D05">
        <w:trPr>
          <w:cantSplit/>
          <w:trHeight w:val="20"/>
        </w:trPr>
        <w:tc>
          <w:tcPr>
            <w:tcW w:w="5000" w:type="pct"/>
            <w:vAlign w:val="center"/>
          </w:tcPr>
          <w:p w14:paraId="72103FE5" w14:textId="46884584" w:rsidR="00A1135A" w:rsidRPr="005464FA" w:rsidRDefault="00A1135A" w:rsidP="003A0777">
            <w:pPr>
              <w:pStyle w:val="TableText0"/>
              <w:keepNext w:val="0"/>
              <w:rPr>
                <w:b/>
              </w:rPr>
            </w:pPr>
            <w:r w:rsidRPr="005464FA">
              <w:rPr>
                <w:b/>
              </w:rPr>
              <w:t xml:space="preserve">Condition: </w:t>
            </w:r>
            <w:r w:rsidRPr="005464FA">
              <w:rPr>
                <w:bCs w:val="0"/>
              </w:rPr>
              <w:t>HER2-</w:t>
            </w:r>
            <w:r w:rsidR="002F6710" w:rsidRPr="005464FA">
              <w:rPr>
                <w:bCs w:val="0"/>
              </w:rPr>
              <w:t>negative</w:t>
            </w:r>
            <w:r w:rsidRPr="005464FA">
              <w:rPr>
                <w:bCs w:val="0"/>
              </w:rPr>
              <w:t xml:space="preserve"> </w:t>
            </w:r>
            <w:r w:rsidRPr="005464FA">
              <w:rPr>
                <w:bCs w:val="0"/>
                <w:i/>
                <w:iCs/>
              </w:rPr>
              <w:t>BRCA</w:t>
            </w:r>
            <w:r w:rsidRPr="005464FA">
              <w:rPr>
                <w:bCs w:val="0"/>
              </w:rPr>
              <w:t>m breast cancer</w:t>
            </w:r>
            <w:r w:rsidRPr="005464FA">
              <w:t xml:space="preserve"> </w:t>
            </w:r>
          </w:p>
        </w:tc>
      </w:tr>
      <w:tr w:rsidR="00BC47BD" w:rsidRPr="005464FA" w14:paraId="5FEEAA67" w14:textId="77777777" w:rsidTr="00F74D05">
        <w:trPr>
          <w:cantSplit/>
          <w:trHeight w:val="20"/>
        </w:trPr>
        <w:tc>
          <w:tcPr>
            <w:tcW w:w="5000" w:type="pct"/>
            <w:vAlign w:val="center"/>
            <w:hideMark/>
          </w:tcPr>
          <w:p w14:paraId="10B08BC4" w14:textId="10C1E81B" w:rsidR="00A1135A" w:rsidRPr="005464FA" w:rsidRDefault="00A1135A" w:rsidP="003A0777">
            <w:pPr>
              <w:pStyle w:val="TableText0"/>
              <w:keepNext w:val="0"/>
            </w:pPr>
            <w:r w:rsidRPr="005464FA">
              <w:rPr>
                <w:b/>
              </w:rPr>
              <w:t>Indication:</w:t>
            </w:r>
            <w:r w:rsidRPr="005464FA">
              <w:t xml:space="preserve"> HER2-</w:t>
            </w:r>
            <w:r w:rsidR="002F6710" w:rsidRPr="005464FA">
              <w:t>negative</w:t>
            </w:r>
            <w:r w:rsidRPr="005464FA">
              <w:t xml:space="preserve"> </w:t>
            </w:r>
            <w:r w:rsidRPr="005464FA">
              <w:rPr>
                <w:i/>
                <w:iCs/>
              </w:rPr>
              <w:t>BRCA</w:t>
            </w:r>
            <w:r w:rsidRPr="005464FA">
              <w:t>m breast cancer</w:t>
            </w:r>
          </w:p>
        </w:tc>
      </w:tr>
      <w:tr w:rsidR="00BC47BD" w:rsidRPr="005464FA" w14:paraId="0748E46A" w14:textId="77777777" w:rsidTr="00F74D05">
        <w:trPr>
          <w:cantSplit/>
          <w:trHeight w:val="20"/>
        </w:trPr>
        <w:tc>
          <w:tcPr>
            <w:tcW w:w="5000" w:type="pct"/>
            <w:vAlign w:val="center"/>
            <w:hideMark/>
          </w:tcPr>
          <w:p w14:paraId="620C2734" w14:textId="77777777" w:rsidR="00A1135A" w:rsidRPr="005464FA" w:rsidRDefault="00A1135A" w:rsidP="003A0777">
            <w:pPr>
              <w:pStyle w:val="TableText0"/>
              <w:keepNext w:val="0"/>
            </w:pPr>
            <w:r w:rsidRPr="005464FA">
              <w:rPr>
                <w:b/>
              </w:rPr>
              <w:t>Treatment Phase:</w:t>
            </w:r>
            <w:r w:rsidRPr="005464FA">
              <w:t xml:space="preserve"> Initial treatment </w:t>
            </w:r>
          </w:p>
        </w:tc>
      </w:tr>
      <w:tr w:rsidR="00BC47BD" w:rsidRPr="005464FA" w14:paraId="56CBDF85" w14:textId="77777777" w:rsidTr="00F74D05">
        <w:trPr>
          <w:cantSplit/>
          <w:trHeight w:val="20"/>
        </w:trPr>
        <w:tc>
          <w:tcPr>
            <w:tcW w:w="5000" w:type="pct"/>
            <w:vAlign w:val="center"/>
            <w:hideMark/>
          </w:tcPr>
          <w:p w14:paraId="126F66EA" w14:textId="77777777" w:rsidR="00A1135A" w:rsidRPr="005464FA" w:rsidRDefault="00A1135A" w:rsidP="003A0777">
            <w:pPr>
              <w:pStyle w:val="TableText0"/>
              <w:keepNext w:val="0"/>
            </w:pPr>
            <w:r w:rsidRPr="005464FA">
              <w:rPr>
                <w:b/>
              </w:rPr>
              <w:t>Clinical criteria:</w:t>
            </w:r>
          </w:p>
        </w:tc>
      </w:tr>
      <w:tr w:rsidR="00BC47BD" w:rsidRPr="005464FA" w14:paraId="60A25535" w14:textId="77777777" w:rsidTr="00F74D05">
        <w:trPr>
          <w:cantSplit/>
          <w:trHeight w:val="20"/>
        </w:trPr>
        <w:tc>
          <w:tcPr>
            <w:tcW w:w="5000" w:type="pct"/>
            <w:vAlign w:val="center"/>
            <w:hideMark/>
          </w:tcPr>
          <w:p w14:paraId="664ADA37" w14:textId="37899EF3" w:rsidR="00A1135A" w:rsidRPr="005464FA" w:rsidRDefault="00A1135A" w:rsidP="003A0777">
            <w:pPr>
              <w:pStyle w:val="TableText0"/>
              <w:keepNext w:val="0"/>
            </w:pPr>
            <w:r w:rsidRPr="005464FA">
              <w:t>The condition must be each of: (i) negative for human epidermal growth factor receptor 2 (HER2) overexpression, (ii)</w:t>
            </w:r>
            <w:r w:rsidR="00101A56" w:rsidRPr="005464FA">
              <w:t> </w:t>
            </w:r>
            <w:r w:rsidRPr="005464FA">
              <w:t>metastatic disease</w:t>
            </w:r>
          </w:p>
        </w:tc>
      </w:tr>
      <w:tr w:rsidR="00BC47BD" w:rsidRPr="005464FA" w14:paraId="2D3D6C24" w14:textId="77777777" w:rsidTr="00F74D05">
        <w:trPr>
          <w:cantSplit/>
          <w:trHeight w:val="20"/>
        </w:trPr>
        <w:tc>
          <w:tcPr>
            <w:tcW w:w="5000" w:type="pct"/>
            <w:vAlign w:val="center"/>
            <w:hideMark/>
          </w:tcPr>
          <w:p w14:paraId="4EABBB4E" w14:textId="77777777" w:rsidR="00A1135A" w:rsidRPr="005464FA" w:rsidRDefault="00A1135A" w:rsidP="003A0777">
            <w:pPr>
              <w:pStyle w:val="TableText0"/>
              <w:keepNext w:val="0"/>
            </w:pPr>
            <w:r w:rsidRPr="005464FA">
              <w:rPr>
                <w:b/>
              </w:rPr>
              <w:t>AND</w:t>
            </w:r>
          </w:p>
        </w:tc>
      </w:tr>
      <w:tr w:rsidR="00BC47BD" w:rsidRPr="005464FA" w14:paraId="1345F13C" w14:textId="77777777" w:rsidTr="00F74D05">
        <w:trPr>
          <w:cantSplit/>
          <w:trHeight w:val="20"/>
        </w:trPr>
        <w:tc>
          <w:tcPr>
            <w:tcW w:w="5000" w:type="pct"/>
            <w:vAlign w:val="center"/>
            <w:hideMark/>
          </w:tcPr>
          <w:p w14:paraId="286A5B86" w14:textId="77777777" w:rsidR="00A1135A" w:rsidRPr="005464FA" w:rsidRDefault="00A1135A" w:rsidP="003A0777">
            <w:pPr>
              <w:pStyle w:val="TableText0"/>
              <w:keepNext w:val="0"/>
            </w:pPr>
            <w:r w:rsidRPr="005464FA">
              <w:rPr>
                <w:b/>
              </w:rPr>
              <w:t>Clinical criteria:</w:t>
            </w:r>
          </w:p>
        </w:tc>
      </w:tr>
      <w:tr w:rsidR="00BC47BD" w:rsidRPr="005464FA" w14:paraId="3E12F53B" w14:textId="77777777" w:rsidTr="00F74D05">
        <w:trPr>
          <w:cantSplit/>
          <w:trHeight w:val="20"/>
        </w:trPr>
        <w:tc>
          <w:tcPr>
            <w:tcW w:w="5000" w:type="pct"/>
            <w:vAlign w:val="center"/>
            <w:hideMark/>
          </w:tcPr>
          <w:p w14:paraId="7D443E32" w14:textId="77777777" w:rsidR="00A1135A" w:rsidRPr="005464FA" w:rsidRDefault="00A1135A" w:rsidP="003A0777">
            <w:pPr>
              <w:pStyle w:val="TableText0"/>
              <w:keepNext w:val="0"/>
            </w:pPr>
            <w:r w:rsidRPr="005464FA">
              <w:t>Patient must have a WHO status of 0, 1 or 2</w:t>
            </w:r>
          </w:p>
        </w:tc>
      </w:tr>
      <w:tr w:rsidR="00BC47BD" w:rsidRPr="005464FA" w14:paraId="3191B2A3" w14:textId="77777777" w:rsidTr="00F74D05">
        <w:trPr>
          <w:cantSplit/>
          <w:trHeight w:val="20"/>
        </w:trPr>
        <w:tc>
          <w:tcPr>
            <w:tcW w:w="5000" w:type="pct"/>
            <w:vAlign w:val="center"/>
          </w:tcPr>
          <w:p w14:paraId="7856B604" w14:textId="77777777" w:rsidR="00A1135A" w:rsidRPr="005464FA" w:rsidRDefault="00A1135A" w:rsidP="003A0777">
            <w:pPr>
              <w:pStyle w:val="TableText0"/>
              <w:keepNext w:val="0"/>
              <w:rPr>
                <w:b/>
                <w:bCs w:val="0"/>
              </w:rPr>
            </w:pPr>
            <w:r w:rsidRPr="005464FA">
              <w:rPr>
                <w:b/>
                <w:bCs w:val="0"/>
              </w:rPr>
              <w:t>AND</w:t>
            </w:r>
          </w:p>
        </w:tc>
      </w:tr>
      <w:tr w:rsidR="00BC47BD" w:rsidRPr="005464FA" w14:paraId="47BF111B" w14:textId="77777777" w:rsidTr="00F74D05">
        <w:trPr>
          <w:cantSplit/>
          <w:trHeight w:val="20"/>
        </w:trPr>
        <w:tc>
          <w:tcPr>
            <w:tcW w:w="5000" w:type="pct"/>
            <w:vAlign w:val="center"/>
          </w:tcPr>
          <w:p w14:paraId="3D7EE25E" w14:textId="77777777" w:rsidR="00A1135A" w:rsidRPr="005464FA" w:rsidRDefault="00A1135A" w:rsidP="003A0777">
            <w:pPr>
              <w:pStyle w:val="TableText0"/>
              <w:keepNext w:val="0"/>
            </w:pPr>
            <w:r w:rsidRPr="005464FA">
              <w:t xml:space="preserve">The condition must be associated with a class 4 or 5 </w:t>
            </w:r>
            <w:r w:rsidRPr="005464FA">
              <w:rPr>
                <w:i/>
                <w:iCs/>
              </w:rPr>
              <w:t>BRCA1</w:t>
            </w:r>
            <w:r w:rsidRPr="005464FA">
              <w:t xml:space="preserve"> or</w:t>
            </w:r>
            <w:r w:rsidRPr="005464FA">
              <w:rPr>
                <w:i/>
                <w:iCs/>
              </w:rPr>
              <w:t xml:space="preserve"> BRCA2</w:t>
            </w:r>
            <w:r w:rsidRPr="005464FA">
              <w:t xml:space="preserve"> gene mutation</w:t>
            </w:r>
          </w:p>
        </w:tc>
      </w:tr>
      <w:tr w:rsidR="00BC47BD" w:rsidRPr="005464FA" w14:paraId="06177923" w14:textId="77777777" w:rsidTr="00F74D05">
        <w:trPr>
          <w:cantSplit/>
          <w:trHeight w:val="20"/>
        </w:trPr>
        <w:tc>
          <w:tcPr>
            <w:tcW w:w="5000" w:type="pct"/>
            <w:vAlign w:val="center"/>
          </w:tcPr>
          <w:p w14:paraId="0800144D" w14:textId="77777777" w:rsidR="00A1135A" w:rsidRPr="005464FA" w:rsidRDefault="00A1135A" w:rsidP="003A0777">
            <w:pPr>
              <w:pStyle w:val="TableText0"/>
              <w:keepNext w:val="0"/>
              <w:rPr>
                <w:b/>
                <w:bCs w:val="0"/>
              </w:rPr>
            </w:pPr>
            <w:r w:rsidRPr="005464FA">
              <w:rPr>
                <w:b/>
                <w:bCs w:val="0"/>
              </w:rPr>
              <w:t>AND</w:t>
            </w:r>
          </w:p>
        </w:tc>
      </w:tr>
      <w:tr w:rsidR="00BC47BD" w:rsidRPr="005464FA" w14:paraId="7C202D4D" w14:textId="77777777" w:rsidTr="00F74D05">
        <w:trPr>
          <w:cantSplit/>
          <w:trHeight w:val="20"/>
        </w:trPr>
        <w:tc>
          <w:tcPr>
            <w:tcW w:w="5000" w:type="pct"/>
            <w:vAlign w:val="center"/>
            <w:hideMark/>
          </w:tcPr>
          <w:p w14:paraId="4D8ED8CE" w14:textId="77777777" w:rsidR="00A1135A" w:rsidRPr="005464FA" w:rsidRDefault="00A1135A" w:rsidP="003A0777">
            <w:pPr>
              <w:pStyle w:val="TableText0"/>
              <w:keepNext w:val="0"/>
            </w:pPr>
            <w:r w:rsidRPr="005464FA">
              <w:rPr>
                <w:b/>
              </w:rPr>
              <w:t>Clinical criteria:</w:t>
            </w:r>
          </w:p>
        </w:tc>
      </w:tr>
      <w:tr w:rsidR="00BC47BD" w:rsidRPr="005464FA" w14:paraId="5EBCE0B3" w14:textId="77777777" w:rsidTr="00F74D05">
        <w:trPr>
          <w:cantSplit/>
          <w:trHeight w:val="20"/>
        </w:trPr>
        <w:tc>
          <w:tcPr>
            <w:tcW w:w="5000" w:type="pct"/>
            <w:vAlign w:val="center"/>
          </w:tcPr>
          <w:p w14:paraId="7976D456" w14:textId="77777777" w:rsidR="00A1135A" w:rsidRPr="005464FA" w:rsidRDefault="00A1135A" w:rsidP="003A0777">
            <w:pPr>
              <w:pStyle w:val="TableText0"/>
              <w:keepNext w:val="0"/>
            </w:pPr>
            <w:r w:rsidRPr="005464FA">
              <w:t>Patient must have received chemotherapy in the neoadjuvant or adjuvant setting</w:t>
            </w:r>
          </w:p>
        </w:tc>
      </w:tr>
      <w:tr w:rsidR="00BC47BD" w:rsidRPr="005464FA" w14:paraId="52551518" w14:textId="77777777" w:rsidTr="00F74D05">
        <w:trPr>
          <w:cantSplit/>
          <w:trHeight w:val="20"/>
        </w:trPr>
        <w:tc>
          <w:tcPr>
            <w:tcW w:w="5000" w:type="pct"/>
            <w:vAlign w:val="center"/>
            <w:hideMark/>
          </w:tcPr>
          <w:p w14:paraId="0F051DCE" w14:textId="77777777" w:rsidR="00A1135A" w:rsidRPr="005464FA" w:rsidRDefault="00A1135A" w:rsidP="003A0777">
            <w:pPr>
              <w:pStyle w:val="TableText0"/>
              <w:keepNext w:val="0"/>
            </w:pPr>
            <w:r w:rsidRPr="005464FA">
              <w:rPr>
                <w:b/>
              </w:rPr>
              <w:t>OR</w:t>
            </w:r>
          </w:p>
        </w:tc>
      </w:tr>
      <w:tr w:rsidR="00BC47BD" w:rsidRPr="005464FA" w14:paraId="7FACB9C2" w14:textId="77777777" w:rsidTr="00F74D05">
        <w:trPr>
          <w:cantSplit/>
          <w:trHeight w:val="20"/>
        </w:trPr>
        <w:tc>
          <w:tcPr>
            <w:tcW w:w="5000" w:type="pct"/>
            <w:vAlign w:val="center"/>
          </w:tcPr>
          <w:p w14:paraId="25170878" w14:textId="77777777" w:rsidR="00A1135A" w:rsidRPr="005464FA" w:rsidRDefault="00A1135A" w:rsidP="003A0777">
            <w:pPr>
              <w:pStyle w:val="TableText0"/>
              <w:keepNext w:val="0"/>
            </w:pPr>
            <w:r w:rsidRPr="005464FA">
              <w:t>Patient must have been diagnosed with de novo metastatic disease and received chemotherapy in the metastatic setting</w:t>
            </w:r>
          </w:p>
        </w:tc>
      </w:tr>
      <w:tr w:rsidR="00BC47BD" w:rsidRPr="005464FA" w14:paraId="01A6F776" w14:textId="77777777" w:rsidTr="00F74D05">
        <w:trPr>
          <w:cantSplit/>
          <w:trHeight w:val="20"/>
        </w:trPr>
        <w:tc>
          <w:tcPr>
            <w:tcW w:w="5000" w:type="pct"/>
            <w:vAlign w:val="center"/>
          </w:tcPr>
          <w:p w14:paraId="205F4356" w14:textId="77777777" w:rsidR="00A1135A" w:rsidRPr="005464FA" w:rsidRDefault="00A1135A" w:rsidP="003A0777">
            <w:pPr>
              <w:pStyle w:val="TableText0"/>
              <w:keepNext w:val="0"/>
              <w:rPr>
                <w:b/>
                <w:bCs w:val="0"/>
              </w:rPr>
            </w:pPr>
            <w:r w:rsidRPr="005464FA">
              <w:rPr>
                <w:b/>
                <w:bCs w:val="0"/>
              </w:rPr>
              <w:t>AND</w:t>
            </w:r>
          </w:p>
        </w:tc>
      </w:tr>
      <w:tr w:rsidR="00BC47BD" w:rsidRPr="005464FA" w14:paraId="536FD021" w14:textId="77777777" w:rsidTr="00F74D05">
        <w:trPr>
          <w:cantSplit/>
          <w:trHeight w:val="20"/>
        </w:trPr>
        <w:tc>
          <w:tcPr>
            <w:tcW w:w="5000" w:type="pct"/>
            <w:vAlign w:val="center"/>
          </w:tcPr>
          <w:p w14:paraId="7D702CB3" w14:textId="77777777" w:rsidR="00A1135A" w:rsidRPr="005464FA" w:rsidRDefault="00A1135A" w:rsidP="003A0777">
            <w:pPr>
              <w:pStyle w:val="TableText0"/>
              <w:keepNext w:val="0"/>
            </w:pPr>
            <w:r w:rsidRPr="005464FA">
              <w:t>The treatment must be the sole PBS subsidised systemic anti-cancer therapy for this indication</w:t>
            </w:r>
          </w:p>
        </w:tc>
      </w:tr>
      <w:tr w:rsidR="00BC47BD" w:rsidRPr="005464FA" w14:paraId="55A69419" w14:textId="77777777" w:rsidTr="00F74D05">
        <w:trPr>
          <w:cantSplit/>
          <w:trHeight w:val="20"/>
        </w:trPr>
        <w:tc>
          <w:tcPr>
            <w:tcW w:w="5000" w:type="pct"/>
            <w:vAlign w:val="center"/>
          </w:tcPr>
          <w:p w14:paraId="03906606" w14:textId="77777777" w:rsidR="00A1135A" w:rsidRPr="005464FA" w:rsidRDefault="00A1135A" w:rsidP="003A0777">
            <w:pPr>
              <w:pStyle w:val="TableText0"/>
              <w:keepNext w:val="0"/>
              <w:rPr>
                <w:b/>
                <w:bCs w:val="0"/>
              </w:rPr>
            </w:pPr>
            <w:r w:rsidRPr="005464FA">
              <w:rPr>
                <w:b/>
                <w:bCs w:val="0"/>
              </w:rPr>
              <w:t>AND</w:t>
            </w:r>
          </w:p>
        </w:tc>
      </w:tr>
      <w:tr w:rsidR="00BC47BD" w:rsidRPr="005464FA" w14:paraId="10034252" w14:textId="77777777" w:rsidTr="00F74D05">
        <w:trPr>
          <w:cantSplit/>
          <w:trHeight w:val="20"/>
        </w:trPr>
        <w:tc>
          <w:tcPr>
            <w:tcW w:w="5000" w:type="pct"/>
            <w:vAlign w:val="center"/>
          </w:tcPr>
          <w:p w14:paraId="728C6B74" w14:textId="77777777" w:rsidR="00A1135A" w:rsidRPr="005464FA" w:rsidRDefault="00A1135A" w:rsidP="003A0777">
            <w:pPr>
              <w:pStyle w:val="TableText0"/>
              <w:keepNext w:val="0"/>
            </w:pPr>
            <w:r w:rsidRPr="005464FA">
              <w:t xml:space="preserve">Patients with hormone-receptor positive breast cancer must have received at least one line of endocrine therapy (either in the adjuvant or the metastatic setting) and had disease progression during therapy, unless they had disease for which endocrine therapy </w:t>
            </w:r>
            <w:proofErr w:type="gramStart"/>
            <w:r w:rsidRPr="005464FA">
              <w:t>was considered to be</w:t>
            </w:r>
            <w:proofErr w:type="gramEnd"/>
            <w:r w:rsidRPr="005464FA">
              <w:t xml:space="preserve"> inappropriate</w:t>
            </w:r>
          </w:p>
        </w:tc>
      </w:tr>
      <w:tr w:rsidR="00BC47BD" w:rsidRPr="005464FA" w14:paraId="61DC338B" w14:textId="77777777" w:rsidTr="00F74D05">
        <w:trPr>
          <w:cantSplit/>
          <w:trHeight w:val="20"/>
        </w:trPr>
        <w:tc>
          <w:tcPr>
            <w:tcW w:w="5000" w:type="pct"/>
            <w:vAlign w:val="center"/>
            <w:hideMark/>
          </w:tcPr>
          <w:p w14:paraId="6813FCF5" w14:textId="77777777" w:rsidR="00A1135A" w:rsidRPr="005464FA" w:rsidRDefault="00A1135A" w:rsidP="003A0777">
            <w:pPr>
              <w:pStyle w:val="TableText0"/>
              <w:keepNext w:val="0"/>
            </w:pPr>
            <w:r w:rsidRPr="005464FA">
              <w:rPr>
                <w:b/>
              </w:rPr>
              <w:t xml:space="preserve">Prescribing Instructions: </w:t>
            </w:r>
            <w:r w:rsidRPr="005464FA">
              <w:rPr>
                <w:bCs w:val="0"/>
              </w:rPr>
              <w:t>Retain all pathology imaging and investigative test results in the patient’s medical records. Do not submit copies of these as part of the authority application</w:t>
            </w:r>
          </w:p>
        </w:tc>
      </w:tr>
      <w:tr w:rsidR="00BC47BD" w:rsidRPr="005464FA" w14:paraId="6F71FF56" w14:textId="77777777" w:rsidTr="00F74D05">
        <w:trPr>
          <w:cantSplit/>
          <w:trHeight w:val="20"/>
        </w:trPr>
        <w:tc>
          <w:tcPr>
            <w:tcW w:w="5000" w:type="pct"/>
            <w:vAlign w:val="center"/>
          </w:tcPr>
          <w:p w14:paraId="57B254F4" w14:textId="77777777" w:rsidR="00A1135A" w:rsidRPr="005464FA" w:rsidRDefault="00A1135A" w:rsidP="003A0777">
            <w:pPr>
              <w:pStyle w:val="TableText0"/>
              <w:keepNext w:val="0"/>
              <w:rPr>
                <w:b/>
              </w:rPr>
            </w:pPr>
            <w:r w:rsidRPr="005464FA">
              <w:rPr>
                <w:b/>
              </w:rPr>
              <w:t xml:space="preserve">Restriction type: </w:t>
            </w:r>
            <w:r w:rsidRPr="005464FA">
              <w:rPr>
                <w:rFonts w:eastAsia="Times New Roman"/>
              </w:rPr>
              <w:fldChar w:fldCharType="begin" w:fldLock="1">
                <w:ffData>
                  <w:name w:val="Check3"/>
                  <w:enabled/>
                  <w:calcOnExit w:val="0"/>
                  <w:checkBox>
                    <w:sizeAuto/>
                    <w:default w:val="1"/>
                  </w:checkBox>
                </w:ffData>
              </w:fldChar>
            </w:r>
            <w:r w:rsidRPr="005464FA">
              <w:rPr>
                <w:rFonts w:eastAsia="Times New Roman"/>
              </w:rPr>
              <w:instrText xml:space="preserve"> FORMCHECKBOX </w:instrText>
            </w:r>
            <w:r w:rsidR="006A43A5">
              <w:rPr>
                <w:rFonts w:eastAsia="Times New Roman"/>
              </w:rPr>
            </w:r>
            <w:r w:rsidR="006A43A5">
              <w:rPr>
                <w:rFonts w:eastAsia="Times New Roman"/>
              </w:rPr>
              <w:fldChar w:fldCharType="separate"/>
            </w:r>
            <w:r w:rsidRPr="005464FA">
              <w:rPr>
                <w:rFonts w:eastAsia="Times New Roman"/>
              </w:rPr>
              <w:fldChar w:fldCharType="end"/>
            </w:r>
            <w:r w:rsidRPr="005464FA">
              <w:rPr>
                <w:rFonts w:eastAsia="Times New Roman"/>
              </w:rPr>
              <w:t>Authority Required (Streamlined)</w:t>
            </w:r>
          </w:p>
        </w:tc>
      </w:tr>
      <w:tr w:rsidR="00BC47BD" w:rsidRPr="005464FA" w14:paraId="3401ABEC" w14:textId="77777777" w:rsidTr="00F74D05">
        <w:trPr>
          <w:cantSplit/>
          <w:trHeight w:val="20"/>
        </w:trPr>
        <w:tc>
          <w:tcPr>
            <w:tcW w:w="5000" w:type="pct"/>
            <w:vAlign w:val="center"/>
          </w:tcPr>
          <w:p w14:paraId="035D7943" w14:textId="77777777" w:rsidR="00A1135A" w:rsidRPr="005464FA" w:rsidRDefault="00A1135A" w:rsidP="003A0777">
            <w:pPr>
              <w:pStyle w:val="TableText0"/>
              <w:keepNext w:val="0"/>
              <w:rPr>
                <w:b/>
              </w:rPr>
            </w:pPr>
            <w:r w:rsidRPr="005464FA">
              <w:rPr>
                <w:b/>
              </w:rPr>
              <w:t>Treatment Phase:</w:t>
            </w:r>
            <w:r w:rsidRPr="005464FA">
              <w:t xml:space="preserve"> Continuing treatment </w:t>
            </w:r>
          </w:p>
        </w:tc>
      </w:tr>
      <w:tr w:rsidR="00BC47BD" w:rsidRPr="005464FA" w14:paraId="49CF3208" w14:textId="77777777" w:rsidTr="00F74D05">
        <w:trPr>
          <w:cantSplit/>
          <w:trHeight w:val="20"/>
        </w:trPr>
        <w:tc>
          <w:tcPr>
            <w:tcW w:w="5000" w:type="pct"/>
            <w:vAlign w:val="center"/>
          </w:tcPr>
          <w:p w14:paraId="3F2D597F" w14:textId="77777777" w:rsidR="00A1135A" w:rsidRPr="005464FA" w:rsidRDefault="00A1135A" w:rsidP="003A0777">
            <w:pPr>
              <w:pStyle w:val="TableText0"/>
              <w:keepNext w:val="0"/>
              <w:rPr>
                <w:b/>
              </w:rPr>
            </w:pPr>
            <w:r w:rsidRPr="005464FA">
              <w:rPr>
                <w:b/>
              </w:rPr>
              <w:t>Clinical criteria:</w:t>
            </w:r>
          </w:p>
        </w:tc>
      </w:tr>
      <w:tr w:rsidR="00BC47BD" w:rsidRPr="005464FA" w14:paraId="3D7BFC61" w14:textId="77777777" w:rsidTr="00F74D05">
        <w:trPr>
          <w:cantSplit/>
          <w:trHeight w:val="20"/>
        </w:trPr>
        <w:tc>
          <w:tcPr>
            <w:tcW w:w="5000" w:type="pct"/>
            <w:vAlign w:val="center"/>
          </w:tcPr>
          <w:p w14:paraId="2CBF2F07" w14:textId="77777777" w:rsidR="00A1135A" w:rsidRPr="005464FA" w:rsidRDefault="00A1135A" w:rsidP="003A0777">
            <w:pPr>
              <w:pStyle w:val="TableText0"/>
              <w:keepNext w:val="0"/>
              <w:rPr>
                <w:b/>
              </w:rPr>
            </w:pPr>
            <w:r w:rsidRPr="005464FA">
              <w:t>Patient must have received previous PBS-subsidised treatment with this drug in the metastatic setting</w:t>
            </w:r>
          </w:p>
        </w:tc>
      </w:tr>
      <w:tr w:rsidR="00BC47BD" w:rsidRPr="005464FA" w14:paraId="58674072" w14:textId="77777777" w:rsidTr="00F74D05">
        <w:trPr>
          <w:cantSplit/>
          <w:trHeight w:val="20"/>
        </w:trPr>
        <w:tc>
          <w:tcPr>
            <w:tcW w:w="5000" w:type="pct"/>
            <w:vAlign w:val="center"/>
          </w:tcPr>
          <w:p w14:paraId="588DF119" w14:textId="77777777" w:rsidR="00A1135A" w:rsidRPr="005464FA" w:rsidRDefault="00A1135A" w:rsidP="003A0777">
            <w:pPr>
              <w:pStyle w:val="TableText0"/>
              <w:keepNext w:val="0"/>
              <w:rPr>
                <w:b/>
              </w:rPr>
            </w:pPr>
            <w:r w:rsidRPr="005464FA">
              <w:rPr>
                <w:b/>
              </w:rPr>
              <w:lastRenderedPageBreak/>
              <w:t>AND</w:t>
            </w:r>
          </w:p>
        </w:tc>
      </w:tr>
      <w:tr w:rsidR="00BC47BD" w:rsidRPr="005464FA" w14:paraId="4A42FC77" w14:textId="77777777" w:rsidTr="00F74D05">
        <w:trPr>
          <w:cantSplit/>
          <w:trHeight w:val="20"/>
        </w:trPr>
        <w:tc>
          <w:tcPr>
            <w:tcW w:w="5000" w:type="pct"/>
            <w:vAlign w:val="center"/>
          </w:tcPr>
          <w:p w14:paraId="0C2032A1" w14:textId="77777777" w:rsidR="00A1135A" w:rsidRPr="005464FA" w:rsidRDefault="00A1135A" w:rsidP="003A0777">
            <w:pPr>
              <w:pStyle w:val="TableText0"/>
              <w:keepNext w:val="0"/>
              <w:rPr>
                <w:b/>
              </w:rPr>
            </w:pPr>
            <w:r w:rsidRPr="005464FA">
              <w:rPr>
                <w:b/>
              </w:rPr>
              <w:t>Clinical criteria:</w:t>
            </w:r>
          </w:p>
        </w:tc>
      </w:tr>
      <w:tr w:rsidR="00BC47BD" w:rsidRPr="005464FA" w14:paraId="4AB608FE" w14:textId="77777777" w:rsidTr="00F74D05">
        <w:trPr>
          <w:cantSplit/>
          <w:trHeight w:val="20"/>
        </w:trPr>
        <w:tc>
          <w:tcPr>
            <w:tcW w:w="5000" w:type="pct"/>
            <w:vAlign w:val="center"/>
          </w:tcPr>
          <w:p w14:paraId="06DC40FE" w14:textId="77777777" w:rsidR="00A1135A" w:rsidRPr="005464FA" w:rsidRDefault="00A1135A" w:rsidP="003A0777">
            <w:pPr>
              <w:pStyle w:val="TableText0"/>
              <w:keepNext w:val="0"/>
              <w:rPr>
                <w:b/>
              </w:rPr>
            </w:pPr>
            <w:r w:rsidRPr="005464FA">
              <w:t>Patient must not have developed disease progression while receiving treatment with this drug for this condition</w:t>
            </w:r>
          </w:p>
        </w:tc>
      </w:tr>
      <w:tr w:rsidR="00BC47BD" w:rsidRPr="005464FA" w14:paraId="130332F9" w14:textId="77777777" w:rsidTr="00F74D05">
        <w:trPr>
          <w:cantSplit/>
          <w:trHeight w:val="20"/>
        </w:trPr>
        <w:tc>
          <w:tcPr>
            <w:tcW w:w="5000" w:type="pct"/>
            <w:vAlign w:val="center"/>
          </w:tcPr>
          <w:p w14:paraId="4483E55E" w14:textId="77777777" w:rsidR="00A1135A" w:rsidRPr="005464FA" w:rsidRDefault="00A1135A" w:rsidP="003A0777">
            <w:pPr>
              <w:pStyle w:val="TableText0"/>
              <w:keepNext w:val="0"/>
              <w:rPr>
                <w:b/>
              </w:rPr>
            </w:pPr>
            <w:r w:rsidRPr="005464FA">
              <w:rPr>
                <w:b/>
              </w:rPr>
              <w:t xml:space="preserve">Prescribing Instructions: </w:t>
            </w:r>
            <w:r w:rsidRPr="005464FA">
              <w:rPr>
                <w:bCs w:val="0"/>
              </w:rPr>
              <w:t>Retain all pathology imaging and investigative test results in the patient’s medical records. Do not submit copies of these as part of the authority application</w:t>
            </w:r>
          </w:p>
        </w:tc>
      </w:tr>
      <w:tr w:rsidR="00BC47BD" w:rsidRPr="005464FA" w14:paraId="026A8248" w14:textId="77777777" w:rsidTr="00F74D05">
        <w:trPr>
          <w:cantSplit/>
          <w:trHeight w:val="20"/>
        </w:trPr>
        <w:tc>
          <w:tcPr>
            <w:tcW w:w="5000" w:type="pct"/>
            <w:vAlign w:val="center"/>
          </w:tcPr>
          <w:p w14:paraId="7CC73C8A" w14:textId="77777777" w:rsidR="00A1135A" w:rsidRPr="005464FA" w:rsidRDefault="00A1135A" w:rsidP="003A0777">
            <w:pPr>
              <w:pStyle w:val="TableText0"/>
              <w:keepNext w:val="0"/>
              <w:rPr>
                <w:b/>
              </w:rPr>
            </w:pPr>
            <w:r w:rsidRPr="005464FA">
              <w:rPr>
                <w:b/>
              </w:rPr>
              <w:t xml:space="preserve">Restriction type: </w:t>
            </w:r>
            <w:r w:rsidRPr="005464FA">
              <w:rPr>
                <w:rFonts w:eastAsia="Times New Roman"/>
              </w:rPr>
              <w:fldChar w:fldCharType="begin" w:fldLock="1">
                <w:ffData>
                  <w:name w:val="Check3"/>
                  <w:enabled/>
                  <w:calcOnExit w:val="0"/>
                  <w:checkBox>
                    <w:sizeAuto/>
                    <w:default w:val="1"/>
                  </w:checkBox>
                </w:ffData>
              </w:fldChar>
            </w:r>
            <w:r w:rsidRPr="005464FA">
              <w:rPr>
                <w:rFonts w:eastAsia="Times New Roman"/>
              </w:rPr>
              <w:instrText xml:space="preserve"> FORMCHECKBOX </w:instrText>
            </w:r>
            <w:r w:rsidR="006A43A5">
              <w:rPr>
                <w:rFonts w:eastAsia="Times New Roman"/>
              </w:rPr>
            </w:r>
            <w:r w:rsidR="006A43A5">
              <w:rPr>
                <w:rFonts w:eastAsia="Times New Roman"/>
              </w:rPr>
              <w:fldChar w:fldCharType="separate"/>
            </w:r>
            <w:r w:rsidRPr="005464FA">
              <w:rPr>
                <w:rFonts w:eastAsia="Times New Roman"/>
              </w:rPr>
              <w:fldChar w:fldCharType="end"/>
            </w:r>
            <w:r w:rsidRPr="005464FA">
              <w:rPr>
                <w:rFonts w:eastAsia="Times New Roman"/>
              </w:rPr>
              <w:t>Authority Required (Streamlined)</w:t>
            </w:r>
          </w:p>
        </w:tc>
      </w:tr>
      <w:tr w:rsidR="00BC47BD" w:rsidRPr="005464FA" w14:paraId="7514D0AD" w14:textId="77777777" w:rsidTr="00F74D05">
        <w:trPr>
          <w:cantSplit/>
          <w:trHeight w:val="20"/>
        </w:trPr>
        <w:tc>
          <w:tcPr>
            <w:tcW w:w="5000" w:type="pct"/>
            <w:vAlign w:val="center"/>
          </w:tcPr>
          <w:p w14:paraId="4B14B948" w14:textId="77777777" w:rsidR="00A1135A" w:rsidRPr="005464FA" w:rsidRDefault="00A1135A" w:rsidP="003A0777">
            <w:pPr>
              <w:pStyle w:val="TableText0"/>
              <w:keepNext w:val="0"/>
              <w:rPr>
                <w:b/>
              </w:rPr>
            </w:pPr>
            <w:r w:rsidRPr="005464FA">
              <w:rPr>
                <w:b/>
              </w:rPr>
              <w:t xml:space="preserve">Treatment Phase: </w:t>
            </w:r>
            <w:r w:rsidRPr="005464FA">
              <w:rPr>
                <w:bCs w:val="0"/>
              </w:rPr>
              <w:t>Grandfathering treatment</w:t>
            </w:r>
          </w:p>
        </w:tc>
      </w:tr>
      <w:tr w:rsidR="00BC47BD" w:rsidRPr="005464FA" w14:paraId="3B92BE86" w14:textId="77777777" w:rsidTr="00F74D05">
        <w:trPr>
          <w:cantSplit/>
          <w:trHeight w:val="20"/>
        </w:trPr>
        <w:tc>
          <w:tcPr>
            <w:tcW w:w="5000" w:type="pct"/>
            <w:vAlign w:val="center"/>
          </w:tcPr>
          <w:p w14:paraId="3A9685AB" w14:textId="77777777" w:rsidR="00A1135A" w:rsidRPr="005464FA" w:rsidRDefault="00A1135A" w:rsidP="003A0777">
            <w:pPr>
              <w:pStyle w:val="TableText0"/>
              <w:keepNext w:val="0"/>
              <w:rPr>
                <w:b/>
              </w:rPr>
            </w:pPr>
            <w:r w:rsidRPr="005464FA">
              <w:rPr>
                <w:b/>
              </w:rPr>
              <w:t>Clinical criteria:</w:t>
            </w:r>
          </w:p>
        </w:tc>
      </w:tr>
      <w:tr w:rsidR="00BC47BD" w:rsidRPr="005464FA" w14:paraId="35CEDC2C" w14:textId="77777777" w:rsidTr="00F74D05">
        <w:trPr>
          <w:cantSplit/>
          <w:trHeight w:val="20"/>
        </w:trPr>
        <w:tc>
          <w:tcPr>
            <w:tcW w:w="5000" w:type="pct"/>
            <w:vAlign w:val="center"/>
          </w:tcPr>
          <w:p w14:paraId="07A3E683" w14:textId="77777777" w:rsidR="00A1135A" w:rsidRPr="005464FA" w:rsidRDefault="00A1135A" w:rsidP="003A0777">
            <w:pPr>
              <w:pStyle w:val="TableText0"/>
              <w:keepNext w:val="0"/>
              <w:rPr>
                <w:bCs w:val="0"/>
              </w:rPr>
            </w:pPr>
            <w:r w:rsidRPr="005464FA">
              <w:rPr>
                <w:bCs w:val="0"/>
              </w:rPr>
              <w:t>Patient must have received previous non -PBS-subsidised treatment with this drug in the metastatic setting</w:t>
            </w:r>
          </w:p>
        </w:tc>
      </w:tr>
      <w:tr w:rsidR="00BC47BD" w:rsidRPr="005464FA" w14:paraId="70495447" w14:textId="77777777" w:rsidTr="00F74D05">
        <w:trPr>
          <w:cantSplit/>
          <w:trHeight w:val="20"/>
        </w:trPr>
        <w:tc>
          <w:tcPr>
            <w:tcW w:w="5000" w:type="pct"/>
            <w:vAlign w:val="center"/>
          </w:tcPr>
          <w:p w14:paraId="5BE160BF" w14:textId="77777777" w:rsidR="00A1135A" w:rsidRPr="005464FA" w:rsidRDefault="00A1135A" w:rsidP="003A0777">
            <w:pPr>
              <w:pStyle w:val="TableText0"/>
              <w:keepNext w:val="0"/>
              <w:rPr>
                <w:b/>
              </w:rPr>
            </w:pPr>
            <w:r w:rsidRPr="005464FA">
              <w:rPr>
                <w:b/>
              </w:rPr>
              <w:t>AND</w:t>
            </w:r>
          </w:p>
        </w:tc>
      </w:tr>
      <w:tr w:rsidR="00BC47BD" w:rsidRPr="005464FA" w14:paraId="6C6A20A0" w14:textId="77777777" w:rsidTr="00F74D05">
        <w:trPr>
          <w:cantSplit/>
          <w:trHeight w:val="20"/>
        </w:trPr>
        <w:tc>
          <w:tcPr>
            <w:tcW w:w="5000" w:type="pct"/>
            <w:vAlign w:val="center"/>
          </w:tcPr>
          <w:p w14:paraId="48332047" w14:textId="77777777" w:rsidR="00A1135A" w:rsidRPr="005464FA" w:rsidRDefault="00A1135A" w:rsidP="003A0777">
            <w:pPr>
              <w:pStyle w:val="TableText0"/>
              <w:keepNext w:val="0"/>
              <w:rPr>
                <w:b/>
              </w:rPr>
            </w:pPr>
            <w:r w:rsidRPr="005464FA">
              <w:rPr>
                <w:b/>
              </w:rPr>
              <w:t>Clinical criteria:</w:t>
            </w:r>
          </w:p>
        </w:tc>
      </w:tr>
      <w:tr w:rsidR="00BC47BD" w:rsidRPr="005464FA" w14:paraId="4DE4F6B2" w14:textId="77777777" w:rsidTr="00F74D05">
        <w:trPr>
          <w:cantSplit/>
          <w:trHeight w:val="20"/>
        </w:trPr>
        <w:tc>
          <w:tcPr>
            <w:tcW w:w="5000" w:type="pct"/>
            <w:vAlign w:val="center"/>
          </w:tcPr>
          <w:p w14:paraId="3E729C5A" w14:textId="77777777" w:rsidR="00A1135A" w:rsidRPr="005464FA" w:rsidRDefault="00A1135A" w:rsidP="003A0777">
            <w:pPr>
              <w:pStyle w:val="TableText0"/>
              <w:keepNext w:val="0"/>
              <w:rPr>
                <w:bCs w:val="0"/>
              </w:rPr>
            </w:pPr>
            <w:r w:rsidRPr="005464FA">
              <w:rPr>
                <w:bCs w:val="0"/>
              </w:rPr>
              <w:t>Patient must not have developed disease progression while receiving treatment with this drug for this condition</w:t>
            </w:r>
          </w:p>
        </w:tc>
      </w:tr>
      <w:tr w:rsidR="00BC47BD" w:rsidRPr="005464FA" w14:paraId="134454B8" w14:textId="77777777" w:rsidTr="00F74D05">
        <w:trPr>
          <w:cantSplit/>
          <w:trHeight w:val="20"/>
        </w:trPr>
        <w:tc>
          <w:tcPr>
            <w:tcW w:w="5000" w:type="pct"/>
            <w:vAlign w:val="center"/>
          </w:tcPr>
          <w:p w14:paraId="63D8E7DF" w14:textId="77777777" w:rsidR="00A1135A" w:rsidRPr="005464FA" w:rsidRDefault="00A1135A" w:rsidP="003A0777">
            <w:pPr>
              <w:pStyle w:val="TableText0"/>
              <w:keepNext w:val="0"/>
              <w:rPr>
                <w:b/>
              </w:rPr>
            </w:pPr>
            <w:r w:rsidRPr="005464FA">
              <w:rPr>
                <w:b/>
              </w:rPr>
              <w:t xml:space="preserve">Prescribing Instructions: </w:t>
            </w:r>
            <w:r w:rsidRPr="005464FA">
              <w:rPr>
                <w:bCs w:val="0"/>
              </w:rPr>
              <w:t>Retain all pathology imaging and investigative test results in the patient’s medical records. Do not submit copies of these as part of the authority application</w:t>
            </w:r>
          </w:p>
        </w:tc>
      </w:tr>
    </w:tbl>
    <w:p w14:paraId="3F72D03D" w14:textId="77777777" w:rsidR="00A1135A" w:rsidRPr="005464FA" w:rsidRDefault="00A1135A" w:rsidP="00A1135A">
      <w:pPr>
        <w:pStyle w:val="FooterTableFigure"/>
      </w:pPr>
      <w:r w:rsidRPr="005464FA">
        <w:t>Source: Tables 1.8, 1.9, 1.10, pp35-36 of the submission.</w:t>
      </w:r>
    </w:p>
    <w:bookmarkEnd w:id="18"/>
    <w:p w14:paraId="15B0A7C7" w14:textId="6347E93E" w:rsidR="00A1135A" w:rsidRPr="005464FA" w:rsidRDefault="00A1135A" w:rsidP="00BC2B0E">
      <w:pPr>
        <w:pStyle w:val="3-BodyText"/>
      </w:pPr>
      <w:r w:rsidRPr="005464FA">
        <w:t xml:space="preserve">The submission </w:t>
      </w:r>
      <w:r w:rsidR="007A1C21" w:rsidRPr="005464FA">
        <w:t>proposed an</w:t>
      </w:r>
      <w:r w:rsidR="00D93A30" w:rsidRPr="005464FA">
        <w:t xml:space="preserve"> </w:t>
      </w:r>
      <w:r w:rsidRPr="005464FA">
        <w:t xml:space="preserve">effective price </w:t>
      </w:r>
      <w:r w:rsidR="007A1C21" w:rsidRPr="005464FA">
        <w:t xml:space="preserve">of </w:t>
      </w:r>
      <w:r w:rsidRPr="005464FA">
        <w:t>$</w:t>
      </w:r>
      <w:r w:rsidR="005F522F" w:rsidRPr="00773D3C">
        <w:rPr>
          <w:color w:val="000000"/>
          <w:w w:val="60"/>
          <w:shd w:val="solid" w:color="000000" w:fill="000000"/>
          <w:fitText w:val="470" w:id="-893197052"/>
          <w14:textFill>
            <w14:solidFill>
              <w14:srgbClr w14:val="000000">
                <w14:alpha w14:val="100000"/>
              </w14:srgbClr>
            </w14:solidFill>
          </w14:textFill>
        </w:rPr>
        <w:t>|||  |||</w:t>
      </w:r>
      <w:r w:rsidRPr="005464FA">
        <w:t xml:space="preserve"> (AEMP) for one pack of 56</w:t>
      </w:r>
      <w:r w:rsidR="001D0C91">
        <w:t> </w:t>
      </w:r>
      <w:r w:rsidRPr="005464FA">
        <w:t>tablets.</w:t>
      </w:r>
      <w:r w:rsidR="00C05835" w:rsidRPr="005464FA">
        <w:t xml:space="preserve"> </w:t>
      </w:r>
      <w:r w:rsidR="004672B8" w:rsidRPr="005464FA">
        <w:t>In November 2023, the PBAC recommended the PBS listing of olaparib for</w:t>
      </w:r>
      <w:r w:rsidR="003029D1" w:rsidRPr="005464FA">
        <w:t xml:space="preserve"> certain patients with</w:t>
      </w:r>
      <w:r w:rsidR="004672B8" w:rsidRPr="005464FA">
        <w:t xml:space="preserve"> HER2-negative eBC</w:t>
      </w:r>
      <w:r w:rsidR="00083607" w:rsidRPr="005464FA">
        <w:t xml:space="preserve">. </w:t>
      </w:r>
      <w:r w:rsidR="002470DD" w:rsidRPr="005464FA">
        <w:t>The pre-PBAC response proposed a revised AEMP of $</w:t>
      </w:r>
      <w:r w:rsidR="005F522F" w:rsidRPr="006A43A5">
        <w:rPr>
          <w:color w:val="000000"/>
          <w:w w:val="15"/>
          <w:shd w:val="solid" w:color="000000" w:fill="000000"/>
          <w:fitText w:val="-20" w:id="-893197051"/>
          <w14:textFill>
            <w14:solidFill>
              <w14:srgbClr w14:val="000000">
                <w14:alpha w14:val="100000"/>
              </w14:srgbClr>
            </w14:solidFill>
          </w14:textFill>
        </w:rPr>
        <w:t xml:space="preserve">|  </w:t>
      </w:r>
      <w:r w:rsidR="005F522F" w:rsidRPr="006A43A5">
        <w:rPr>
          <w:color w:val="000000"/>
          <w:spacing w:val="-69"/>
          <w:w w:val="15"/>
          <w:shd w:val="solid" w:color="000000" w:fill="000000"/>
          <w:fitText w:val="-20" w:id="-893197051"/>
          <w14:textFill>
            <w14:solidFill>
              <w14:srgbClr w14:val="000000">
                <w14:alpha w14:val="100000"/>
              </w14:srgbClr>
            </w14:solidFill>
          </w14:textFill>
        </w:rPr>
        <w:t>|</w:t>
      </w:r>
      <w:r w:rsidR="002470DD" w:rsidRPr="005464FA">
        <w:t>, which was higher than the price in the HER2-negative eBC setting</w:t>
      </w:r>
      <w:r w:rsidR="003117C5" w:rsidRPr="005464FA">
        <w:t xml:space="preserve"> ($</w:t>
      </w:r>
      <w:r w:rsidR="005F522F" w:rsidRPr="006A43A5">
        <w:rPr>
          <w:color w:val="000000"/>
          <w:w w:val="15"/>
          <w:shd w:val="solid" w:color="000000" w:fill="000000"/>
          <w:fitText w:val="-20" w:id="-893197050"/>
          <w14:textFill>
            <w14:solidFill>
              <w14:srgbClr w14:val="000000">
                <w14:alpha w14:val="100000"/>
              </w14:srgbClr>
            </w14:solidFill>
          </w14:textFill>
        </w:rPr>
        <w:t xml:space="preserve">|  </w:t>
      </w:r>
      <w:r w:rsidR="005F522F" w:rsidRPr="006A43A5">
        <w:rPr>
          <w:color w:val="000000"/>
          <w:spacing w:val="-69"/>
          <w:w w:val="15"/>
          <w:shd w:val="solid" w:color="000000" w:fill="000000"/>
          <w:fitText w:val="-20" w:id="-893197050"/>
          <w14:textFill>
            <w14:solidFill>
              <w14:srgbClr w14:val="000000">
                <w14:alpha w14:val="100000"/>
              </w14:srgbClr>
            </w14:solidFill>
          </w14:textFill>
        </w:rPr>
        <w:t>|</w:t>
      </w:r>
      <w:r w:rsidR="003117C5" w:rsidRPr="005464FA">
        <w:t>)</w:t>
      </w:r>
      <w:r w:rsidR="002470DD" w:rsidRPr="005464FA">
        <w:t xml:space="preserve">. </w:t>
      </w:r>
    </w:p>
    <w:p w14:paraId="7FF1352C" w14:textId="14F515ED" w:rsidR="00D71D5F" w:rsidRPr="005464FA" w:rsidRDefault="00A1135A" w:rsidP="00755CCC">
      <w:pPr>
        <w:pStyle w:val="3-BodyText"/>
      </w:pPr>
      <w:r w:rsidRPr="005464FA">
        <w:t>Olaparib is intended to be used as monotherapy</w:t>
      </w:r>
      <w:r w:rsidR="006B317B" w:rsidRPr="005464FA">
        <w:t xml:space="preserve"> in this indication</w:t>
      </w:r>
      <w:r w:rsidRPr="005464FA">
        <w:t xml:space="preserve">. The recommended dose of olaparib is 300 mg (two 150 mg tablets) taken orally twice daily, </w:t>
      </w:r>
      <w:r w:rsidR="00D62BBC" w:rsidRPr="005464FA">
        <w:t xml:space="preserve">for </w:t>
      </w:r>
      <w:r w:rsidRPr="005464FA">
        <w:t xml:space="preserve">a total daily dose of 600 mg. </w:t>
      </w:r>
      <w:r w:rsidR="00D71D5F" w:rsidRPr="005464FA">
        <w:t xml:space="preserve">A </w:t>
      </w:r>
      <w:r w:rsidR="00D62BBC" w:rsidRPr="005464FA">
        <w:t>100 </w:t>
      </w:r>
      <w:r w:rsidR="00D71D5F" w:rsidRPr="005464FA">
        <w:t xml:space="preserve">mg tablet is also available should dose reductions be required. </w:t>
      </w:r>
    </w:p>
    <w:p w14:paraId="6FB4F141" w14:textId="0F224FA1" w:rsidR="00146195" w:rsidRPr="005464FA" w:rsidRDefault="00146195" w:rsidP="00146195">
      <w:pPr>
        <w:pStyle w:val="3-BodyText"/>
      </w:pPr>
      <w:r w:rsidRPr="005464FA">
        <w:t>The proposed PBS listing for initial treatment includes a maximum quantity of two 56</w:t>
      </w:r>
      <w:r w:rsidR="00266E31">
        <w:t> </w:t>
      </w:r>
      <w:r w:rsidRPr="005464FA">
        <w:t>tablet blister packs (</w:t>
      </w:r>
      <w:r w:rsidR="002470DD" w:rsidRPr="005464FA">
        <w:t xml:space="preserve">112 tablets, </w:t>
      </w:r>
      <w:r w:rsidRPr="005464FA">
        <w:t xml:space="preserve">sufficient for 28 days of treatment) and five repeats, equivalent of 24 weeks of treatment. </w:t>
      </w:r>
      <w:r w:rsidR="008339F6" w:rsidRPr="005464FA">
        <w:t>The submission proposed s</w:t>
      </w:r>
      <w:r w:rsidR="00D71D5F" w:rsidRPr="005464FA">
        <w:t>ix repeats for c</w:t>
      </w:r>
      <w:r w:rsidRPr="005464FA">
        <w:t>ontinuing treatment</w:t>
      </w:r>
      <w:r w:rsidR="00D71D5F" w:rsidRPr="005464FA">
        <w:t xml:space="preserve">, corresponding to </w:t>
      </w:r>
      <w:r w:rsidRPr="005464FA">
        <w:t xml:space="preserve">28 weeks of treatment. </w:t>
      </w:r>
      <w:r w:rsidR="002470DD" w:rsidRPr="005464FA">
        <w:t xml:space="preserve">The PBAC </w:t>
      </w:r>
      <w:r w:rsidR="008339F6" w:rsidRPr="005464FA">
        <w:t xml:space="preserve">noted that this was consistent with the continuing listing for olaparib in eBC, where treatment is limited to 52 weeks, however the PBAC </w:t>
      </w:r>
      <w:r w:rsidR="002470DD" w:rsidRPr="005464FA">
        <w:t xml:space="preserve">considered </w:t>
      </w:r>
      <w:r w:rsidR="008339F6" w:rsidRPr="005464FA">
        <w:t xml:space="preserve">five repeats for continuing treatment would be appropriate in the mBC setting, as treatment would be continued until disease progression. </w:t>
      </w:r>
    </w:p>
    <w:p w14:paraId="5F9F648C" w14:textId="1BFB42DA" w:rsidR="00A8087F" w:rsidRPr="005464FA" w:rsidRDefault="00A8087F" w:rsidP="00A8087F">
      <w:pPr>
        <w:pStyle w:val="3-BodyText"/>
      </w:pPr>
      <w:r w:rsidRPr="005464FA">
        <w:t xml:space="preserve">The submission requested an Authority Required (telephone/online PBS Authorities system) listing for the Initial treatment phase, which is consistent with the recommended listing for eBC and other current olaparib listings. However, an Authority Required (STREAMLINED) listing was requested for the Continuing treatment phase, which is not consistent with the recommended listing for eBC or </w:t>
      </w:r>
      <w:proofErr w:type="gramStart"/>
      <w:r w:rsidRPr="005464FA">
        <w:t>the majority of</w:t>
      </w:r>
      <w:proofErr w:type="gramEnd"/>
      <w:r w:rsidRPr="005464FA">
        <w:t xml:space="preserve"> Continuing treatment phase listing</w:t>
      </w:r>
      <w:r w:rsidR="00D62BBC" w:rsidRPr="005464FA">
        <w:t>s</w:t>
      </w:r>
      <w:r w:rsidRPr="005464FA">
        <w:t xml:space="preserve"> for olaparib. The PBAC considered an Authority Required (telephone/online PBS Authorities system) would be appropriate for the Continuing treatment phase.</w:t>
      </w:r>
    </w:p>
    <w:p w14:paraId="664E9731" w14:textId="6BD2F8F8" w:rsidR="00F6713E" w:rsidRPr="005464FA" w:rsidRDefault="00F6713E" w:rsidP="00F6713E">
      <w:pPr>
        <w:pStyle w:val="3-BodyText"/>
      </w:pPr>
      <w:bookmarkStart w:id="19" w:name="_Ref165928427"/>
      <w:r w:rsidRPr="005464FA">
        <w:t xml:space="preserve">For patients with de novo </w:t>
      </w:r>
      <w:r w:rsidR="006B317B" w:rsidRPr="005464FA">
        <w:t xml:space="preserve">metastatic </w:t>
      </w:r>
      <w:r w:rsidRPr="005464FA">
        <w:t xml:space="preserve">disease, the submission asked the PBAC to consider whether the proposed eligibility criterion requiring patients to have received prior chemotherapy in the metastatic setting (based on the TGA approved indication) was necessary. The submission </w:t>
      </w:r>
      <w:r w:rsidR="00291B81" w:rsidRPr="005464FA">
        <w:t xml:space="preserve">suggested </w:t>
      </w:r>
      <w:r w:rsidRPr="005464FA">
        <w:t xml:space="preserve">that clinicians would prefer flexibility to be </w:t>
      </w:r>
      <w:r w:rsidRPr="005464FA">
        <w:lastRenderedPageBreak/>
        <w:t xml:space="preserve">able to initiate treatment with olaparib in de novo </w:t>
      </w:r>
      <w:r w:rsidR="006B317B" w:rsidRPr="005464FA">
        <w:t>m</w:t>
      </w:r>
      <w:r w:rsidR="00AD2447" w:rsidRPr="005464FA">
        <w:t>BC</w:t>
      </w:r>
      <w:r w:rsidR="006B317B" w:rsidRPr="005464FA">
        <w:t xml:space="preserve"> </w:t>
      </w:r>
      <w:r w:rsidRPr="005464FA">
        <w:t>patients without the need to first prescribe chemotherapy.</w:t>
      </w:r>
      <w:r w:rsidRPr="005464FA">
        <w:rPr>
          <w:i/>
          <w:iCs/>
        </w:rPr>
        <w:t xml:space="preserve"> </w:t>
      </w:r>
      <w:r w:rsidR="00BF4EC2" w:rsidRPr="005464FA">
        <w:t xml:space="preserve">The </w:t>
      </w:r>
      <w:r w:rsidR="003C766E">
        <w:t>Pre Sub-Committee Response (</w:t>
      </w:r>
      <w:r w:rsidR="00BF4EC2" w:rsidRPr="005464FA">
        <w:t>PSCR</w:t>
      </w:r>
      <w:r w:rsidR="003C766E">
        <w:t>)</w:t>
      </w:r>
      <w:r w:rsidR="00BF4EC2" w:rsidRPr="005464FA">
        <w:t xml:space="preserve"> argued that these patients are likely to achieve similar efficacy to patients in the ‘no prior chemotherapy’ (for mBC) group. </w:t>
      </w:r>
      <w:bookmarkEnd w:id="19"/>
      <w:r w:rsidR="00AD2447" w:rsidRPr="005464FA">
        <w:t>The ESC</w:t>
      </w:r>
      <w:r w:rsidR="00683EF9" w:rsidRPr="005464FA">
        <w:t xml:space="preserve"> noted that no evidence was presented for treatment </w:t>
      </w:r>
      <w:r w:rsidR="00291B81" w:rsidRPr="005464FA">
        <w:t xml:space="preserve">with </w:t>
      </w:r>
      <w:r w:rsidR="00683EF9" w:rsidRPr="005464FA">
        <w:t>olaparib in de novo mBC patients who had not received prior chemotherapy. The ESC</w:t>
      </w:r>
      <w:r w:rsidR="00AD2447" w:rsidRPr="005464FA">
        <w:t xml:space="preserve"> considered that, consistent with the trial population and TGA indication, the restrictions should require patients to have received chemotherapy, either in the adjuvant/neoadjuvant setting, or in the metastatic setting, including patients with de novo mBC.</w:t>
      </w:r>
      <w:r w:rsidR="008339F6" w:rsidRPr="005464FA">
        <w:t xml:space="preserve"> The PBAC agreed with the ESC that the restrictions should require patients </w:t>
      </w:r>
      <w:r w:rsidR="008270F0" w:rsidRPr="005464FA">
        <w:t xml:space="preserve">to </w:t>
      </w:r>
      <w:r w:rsidR="008339F6" w:rsidRPr="005464FA">
        <w:t xml:space="preserve">have received </w:t>
      </w:r>
      <w:r w:rsidR="008270F0" w:rsidRPr="005464FA">
        <w:t>prior chemotherapy (in any setting).</w:t>
      </w:r>
    </w:p>
    <w:p w14:paraId="22C8F041" w14:textId="20C5CCE3" w:rsidR="000A7D1F" w:rsidRPr="005464FA" w:rsidRDefault="00F6713E" w:rsidP="002D1F13">
      <w:pPr>
        <w:pStyle w:val="3-BodyText"/>
      </w:pPr>
      <w:bookmarkStart w:id="20" w:name="_Ref166080098"/>
      <w:r w:rsidRPr="005464FA">
        <w:rPr>
          <w:color w:val="000000" w:themeColor="text1"/>
        </w:rPr>
        <w:t xml:space="preserve">The proposed restriction did not prevent use of olaparib following pembrolizumab plus </w:t>
      </w:r>
      <w:r w:rsidRPr="005464FA">
        <w:t xml:space="preserve">chemotherapy in patients with triple negative breast cancer (TNBC) and combined positive score (CPS) </w:t>
      </w:r>
      <w:r w:rsidRPr="005464FA">
        <w:rPr>
          <w:rFonts w:cs="Calibri"/>
        </w:rPr>
        <w:t>≥</w:t>
      </w:r>
      <w:r w:rsidR="0091596E">
        <w:rPr>
          <w:rFonts w:cs="Calibri"/>
        </w:rPr>
        <w:t> </w:t>
      </w:r>
      <w:r w:rsidRPr="005464FA">
        <w:t xml:space="preserve">10 and </w:t>
      </w:r>
      <w:r w:rsidRPr="005464FA">
        <w:rPr>
          <w:i/>
          <w:iCs/>
        </w:rPr>
        <w:t>BRCA</w:t>
      </w:r>
      <w:r w:rsidRPr="005464FA">
        <w:t>m</w:t>
      </w:r>
      <w:r w:rsidR="000A7D1F" w:rsidRPr="005464FA">
        <w:t>.</w:t>
      </w:r>
      <w:r w:rsidRPr="005464FA">
        <w:t xml:space="preserve"> No evidence for use of olaparib in </w:t>
      </w:r>
      <w:r w:rsidR="000A7D1F" w:rsidRPr="005464FA">
        <w:t>this population</w:t>
      </w:r>
      <w:r w:rsidRPr="005464FA">
        <w:t xml:space="preserve"> was provided in the submission. </w:t>
      </w:r>
      <w:r w:rsidR="008270F0" w:rsidRPr="005464FA">
        <w:t>The PBAC considered this was reasonable</w:t>
      </w:r>
      <w:r w:rsidR="00D62BBC" w:rsidRPr="005464FA">
        <w:t xml:space="preserve"> as prior treatment with pembrolizumab is unlikely to impact on treatment outcomes for olaparib</w:t>
      </w:r>
      <w:r w:rsidR="008270F0" w:rsidRPr="005464FA">
        <w:t>.</w:t>
      </w:r>
    </w:p>
    <w:p w14:paraId="4B2AC4E9" w14:textId="09C30C59" w:rsidR="00F6713E" w:rsidRPr="005464FA" w:rsidRDefault="000A7D1F" w:rsidP="002D1F13">
      <w:pPr>
        <w:pStyle w:val="3-BodyText"/>
      </w:pPr>
      <w:r w:rsidRPr="005464FA">
        <w:t xml:space="preserve">The proposed restriction for initial treatment did not prevent use of olaparib in patients treated with olaparib in the eBC setting, though the proposed restriction for continuing treatment excludes patients who have developed disease progression while receiving treatment with olaparib for </w:t>
      </w:r>
      <w:r w:rsidR="00683EF9" w:rsidRPr="005464FA">
        <w:t xml:space="preserve">HER2-negative </w:t>
      </w:r>
      <w:r w:rsidR="00683EF9" w:rsidRPr="005464FA">
        <w:rPr>
          <w:i/>
          <w:iCs/>
        </w:rPr>
        <w:t>BRCA</w:t>
      </w:r>
      <w:r w:rsidR="00683EF9" w:rsidRPr="005464FA">
        <w:t>m breast cancer</w:t>
      </w:r>
      <w:r w:rsidRPr="005464FA">
        <w:t xml:space="preserve">. </w:t>
      </w:r>
      <w:r w:rsidR="00F6713E" w:rsidRPr="005464FA">
        <w:t xml:space="preserve">The TGA product information for olaparib states there are no data to support rechallenge with olaparib after relapse or progression on olaparib treatment, in any setting. </w:t>
      </w:r>
      <w:bookmarkEnd w:id="20"/>
      <w:r w:rsidR="008270F0" w:rsidRPr="005464FA">
        <w:t xml:space="preserve">The PBAC considered it would not be appropriate for patients to receive retreatment after use of olaparib in the eBC setting </w:t>
      </w:r>
      <w:r w:rsidR="00291334" w:rsidRPr="005464FA">
        <w:t xml:space="preserve">in the absence of supportive evidence, </w:t>
      </w:r>
      <w:r w:rsidR="008270F0" w:rsidRPr="005464FA">
        <w:t>and that the initial restriction should not allow re-treatment.</w:t>
      </w:r>
      <w:r w:rsidRPr="005464FA">
        <w:t xml:space="preserve"> </w:t>
      </w:r>
    </w:p>
    <w:p w14:paraId="236ED7D3" w14:textId="377D9F0B" w:rsidR="00335CEF" w:rsidRPr="005464FA" w:rsidRDefault="00335CEF" w:rsidP="002D1F13">
      <w:pPr>
        <w:pStyle w:val="3-BodyText"/>
      </w:pPr>
      <w:r w:rsidRPr="005464FA">
        <w:t xml:space="preserve">The proposed restriction did not specify that a germline </w:t>
      </w:r>
      <w:r w:rsidR="005464FA" w:rsidRPr="005464FA">
        <w:rPr>
          <w:i/>
        </w:rPr>
        <w:t>BRCA</w:t>
      </w:r>
      <w:r w:rsidRPr="005464FA">
        <w:t xml:space="preserve"> mutation was required for eligibility to olaparib, which was not consistent with the TGA</w:t>
      </w:r>
      <w:r w:rsidRPr="005464FA">
        <w:noBreakHyphen/>
        <w:t>approved product information</w:t>
      </w:r>
      <w:r w:rsidR="005E554D" w:rsidRPr="005464FA">
        <w:t>,</w:t>
      </w:r>
      <w:r w:rsidRPr="005464FA">
        <w:t xml:space="preserve"> which refers to HER2-negative mBC with a deleterious or suspected deleterious g</w:t>
      </w:r>
      <w:r w:rsidRPr="005464FA">
        <w:rPr>
          <w:i/>
          <w:iCs/>
        </w:rPr>
        <w:t>BRCA</w:t>
      </w:r>
      <w:r w:rsidRPr="005464FA">
        <w:t xml:space="preserve">m. </w:t>
      </w:r>
      <w:r w:rsidR="00465790" w:rsidRPr="005464FA">
        <w:t xml:space="preserve">The ESC </w:t>
      </w:r>
      <w:r w:rsidR="007675CC" w:rsidRPr="005464FA">
        <w:t>noted</w:t>
      </w:r>
      <w:r w:rsidR="00465790" w:rsidRPr="005464FA">
        <w:t xml:space="preserve"> that the </w:t>
      </w:r>
      <w:r w:rsidR="004E5C3E" w:rsidRPr="005464FA">
        <w:t>OlympiAD</w:t>
      </w:r>
      <w:r w:rsidR="00465790" w:rsidRPr="005464FA">
        <w:t xml:space="preserve"> study only included patients with germline </w:t>
      </w:r>
      <w:r w:rsidR="00465790" w:rsidRPr="005464FA">
        <w:rPr>
          <w:i/>
          <w:iCs/>
        </w:rPr>
        <w:t>BRCA</w:t>
      </w:r>
      <w:r w:rsidR="00465790" w:rsidRPr="005464FA">
        <w:t xml:space="preserve">m and considered it would be appropriate for the restriction to specify </w:t>
      </w:r>
      <w:r w:rsidR="00770801" w:rsidRPr="005464FA">
        <w:t xml:space="preserve">confirmation of a class 4 or 5 </w:t>
      </w:r>
      <w:r w:rsidR="00465790" w:rsidRPr="005464FA">
        <w:t xml:space="preserve">germline </w:t>
      </w:r>
      <w:r w:rsidR="005464FA" w:rsidRPr="005464FA">
        <w:rPr>
          <w:i/>
        </w:rPr>
        <w:t>BRCA</w:t>
      </w:r>
      <w:r w:rsidR="00770801" w:rsidRPr="005464FA">
        <w:t xml:space="preserve"> variant. </w:t>
      </w:r>
      <w:r w:rsidR="005E554D" w:rsidRPr="005464FA">
        <w:t>The PBAC noted that the listing in eBC d</w:t>
      </w:r>
      <w:r w:rsidR="00DC4A7A" w:rsidRPr="005464FA">
        <w:t>oes</w:t>
      </w:r>
      <w:r w:rsidR="005E554D" w:rsidRPr="005464FA">
        <w:t xml:space="preserve"> not specify the </w:t>
      </w:r>
      <w:r w:rsidR="005464FA" w:rsidRPr="005464FA">
        <w:rPr>
          <w:i/>
        </w:rPr>
        <w:t>BRCA</w:t>
      </w:r>
      <w:r w:rsidR="005E554D" w:rsidRPr="005464FA">
        <w:t xml:space="preserve"> mutation is </w:t>
      </w:r>
      <w:r w:rsidR="005514F2" w:rsidRPr="005464FA">
        <w:t xml:space="preserve">germline </w:t>
      </w:r>
      <w:r w:rsidR="005E554D" w:rsidRPr="005464FA">
        <w:t xml:space="preserve">and considered it was reasonable for the mBC listing to be consistent with the eBC listing </w:t>
      </w:r>
      <w:r w:rsidR="005514F2" w:rsidRPr="005464FA">
        <w:t xml:space="preserve">with respect to </w:t>
      </w:r>
      <w:r w:rsidR="005464FA" w:rsidRPr="005464FA">
        <w:rPr>
          <w:i/>
        </w:rPr>
        <w:t>BRCA</w:t>
      </w:r>
      <w:r w:rsidR="005514F2" w:rsidRPr="005464FA">
        <w:t xml:space="preserve"> testing</w:t>
      </w:r>
      <w:r w:rsidR="005E554D" w:rsidRPr="005464FA">
        <w:t xml:space="preserve">. The PBAC noted advice from the Secretariat that “variant” is the preferred terminology and considered it would be appropriate the criterion to include </w:t>
      </w:r>
      <w:r w:rsidR="005514F2" w:rsidRPr="005464FA">
        <w:t>‘variant’ in place of ‘mutation’</w:t>
      </w:r>
      <w:r w:rsidR="005E554D" w:rsidRPr="005464FA">
        <w:t>.</w:t>
      </w:r>
    </w:p>
    <w:p w14:paraId="2B7B4274" w14:textId="297E37B3" w:rsidR="00D26C4E" w:rsidRPr="005464FA" w:rsidRDefault="00D26C4E" w:rsidP="002D1F13">
      <w:pPr>
        <w:pStyle w:val="3-BodyText"/>
        <w:rPr>
          <w:i/>
          <w:iCs/>
        </w:rPr>
      </w:pPr>
      <w:bookmarkStart w:id="21" w:name="_Ref166081175"/>
      <w:r w:rsidRPr="005464FA">
        <w:t>The submission proposed listing of olaparib for patients with g</w:t>
      </w:r>
      <w:r w:rsidRPr="005464FA">
        <w:rPr>
          <w:i/>
          <w:iCs/>
        </w:rPr>
        <w:t>BRCA</w:t>
      </w:r>
      <w:r w:rsidRPr="005464FA">
        <w:t>m including</w:t>
      </w:r>
      <w:r w:rsidR="005514F2" w:rsidRPr="005464FA">
        <w:t xml:space="preserve"> both</w:t>
      </w:r>
      <w:r w:rsidRPr="005464FA">
        <w:t xml:space="preserve"> de novo and recurrent mBC. The submission claimed there was a clinical need for olaparib in both patient groups, noting that the recommended olaparib listing in eBC is limited to patients classified as high risk and thus excludes patients not classified as such in the eBC setting. </w:t>
      </w:r>
      <w:bookmarkEnd w:id="21"/>
      <w:r w:rsidR="005514F2" w:rsidRPr="005464FA">
        <w:t>The PBAC considered this was reasonable.</w:t>
      </w:r>
    </w:p>
    <w:p w14:paraId="5875E706" w14:textId="62440282" w:rsidR="00A8087F" w:rsidRPr="005464FA" w:rsidRDefault="00A8087F" w:rsidP="00A8087F">
      <w:pPr>
        <w:pStyle w:val="3-BodyText"/>
      </w:pPr>
      <w:bookmarkStart w:id="22" w:name="_Ref166083928"/>
      <w:r w:rsidRPr="005464FA">
        <w:lastRenderedPageBreak/>
        <w:t xml:space="preserve">The submission noted that there is currently an access program for olaparib in the metastatic setting, and it is anticipated that </w:t>
      </w:r>
      <w:r w:rsidR="00937CAF">
        <w:t>&lt;500</w:t>
      </w:r>
      <w:r w:rsidRPr="005464FA">
        <w:t xml:space="preserve"> patients will remain on the program at the time of listing. The PBAC noted that a grandfather restriction is not needed as patients currently accessing non-PBS treatment should be eligible to meet all criteria defined in the initial restrictions.</w:t>
      </w:r>
    </w:p>
    <w:p w14:paraId="704D3312" w14:textId="6BD2C190" w:rsidR="00551724" w:rsidRPr="005464FA" w:rsidRDefault="006C3602" w:rsidP="00A1135A">
      <w:pPr>
        <w:pStyle w:val="3-BodyText"/>
      </w:pPr>
      <w:bookmarkStart w:id="23" w:name="_Ref172295602"/>
      <w:r w:rsidRPr="005464FA">
        <w:t>As a streamlined codependent submission, t</w:t>
      </w:r>
      <w:r w:rsidR="003928EC" w:rsidRPr="005464FA">
        <w:t xml:space="preserve">he submission </w:t>
      </w:r>
      <w:r w:rsidRPr="005464FA">
        <w:t xml:space="preserve">also </w:t>
      </w:r>
      <w:r w:rsidR="003928EC" w:rsidRPr="005464FA">
        <w:t>proposed a revision to MBS item 73295</w:t>
      </w:r>
      <w:r w:rsidR="004C79FE" w:rsidRPr="005464FA">
        <w:t xml:space="preserve"> (see underlined text of </w:t>
      </w:r>
      <w:r w:rsidR="004C79FE" w:rsidRPr="005464FA">
        <w:fldChar w:fldCharType="begin" w:fldLock="1"/>
      </w:r>
      <w:r w:rsidR="004C79FE" w:rsidRPr="005464FA">
        <w:instrText xml:space="preserve"> REF _Ref164709702 \h </w:instrText>
      </w:r>
      <w:r w:rsidR="004C79FE" w:rsidRPr="005464FA">
        <w:fldChar w:fldCharType="separate"/>
      </w:r>
      <w:r w:rsidR="00122E11" w:rsidRPr="005464FA">
        <w:t>Table 2</w:t>
      </w:r>
      <w:r w:rsidR="004C79FE" w:rsidRPr="005464FA">
        <w:fldChar w:fldCharType="end"/>
      </w:r>
      <w:r w:rsidR="004C79FE" w:rsidRPr="005464FA">
        <w:t>)</w:t>
      </w:r>
      <w:r w:rsidR="003928EC" w:rsidRPr="005464FA">
        <w:t xml:space="preserve"> for the medical service </w:t>
      </w:r>
      <w:r w:rsidR="00837049" w:rsidRPr="005464FA">
        <w:t xml:space="preserve">of </w:t>
      </w:r>
      <w:r w:rsidR="003928EC" w:rsidRPr="005464FA">
        <w:t xml:space="preserve">germline </w:t>
      </w:r>
      <w:r w:rsidR="003928EC" w:rsidRPr="005464FA">
        <w:rPr>
          <w:i/>
          <w:iCs/>
        </w:rPr>
        <w:t>BRCA</w:t>
      </w:r>
      <w:r w:rsidR="003928EC" w:rsidRPr="005464FA">
        <w:t xml:space="preserve">m testing to determine the presence of </w:t>
      </w:r>
      <w:r w:rsidR="003928EC" w:rsidRPr="005464FA">
        <w:rPr>
          <w:i/>
          <w:iCs/>
        </w:rPr>
        <w:t>BRCA1</w:t>
      </w:r>
      <w:r w:rsidR="003928EC" w:rsidRPr="005464FA">
        <w:t xml:space="preserve"> or </w:t>
      </w:r>
      <w:r w:rsidR="003928EC" w:rsidRPr="005464FA">
        <w:rPr>
          <w:i/>
          <w:iCs/>
        </w:rPr>
        <w:t>BRCA2</w:t>
      </w:r>
      <w:r w:rsidR="003928EC" w:rsidRPr="005464FA">
        <w:t xml:space="preserve"> pathogenic gene variant</w:t>
      </w:r>
      <w:r w:rsidR="00837049" w:rsidRPr="005464FA">
        <w:t>s</w:t>
      </w:r>
      <w:r w:rsidR="003928EC" w:rsidRPr="005464FA">
        <w:t xml:space="preserve"> in a patient with metastatic breast cancer who </w:t>
      </w:r>
      <w:r w:rsidR="00837049" w:rsidRPr="005464FA">
        <w:t>has</w:t>
      </w:r>
      <w:r w:rsidR="00A574B6" w:rsidRPr="005464FA">
        <w:t xml:space="preserve"> </w:t>
      </w:r>
      <w:r w:rsidR="003928EC" w:rsidRPr="005464FA">
        <w:t>received prior (neo)adjuvant chemotherapy</w:t>
      </w:r>
      <w:r w:rsidR="00837049" w:rsidRPr="005464FA">
        <w:t>,</w:t>
      </w:r>
      <w:r w:rsidR="003928EC" w:rsidRPr="005464FA">
        <w:t xml:space="preserve"> requested by a specialist or consultant physician, to determine eligibility for olaparib under the PB</w:t>
      </w:r>
      <w:r w:rsidR="004C79FE" w:rsidRPr="005464FA">
        <w:t>S</w:t>
      </w:r>
      <w:r w:rsidRPr="005464FA">
        <w:t xml:space="preserve">. </w:t>
      </w:r>
      <w:r w:rsidR="003A7008" w:rsidRPr="005464FA">
        <w:t xml:space="preserve">The application (MSAC 1507.1) </w:t>
      </w:r>
      <w:r w:rsidR="00683EF9" w:rsidRPr="005464FA">
        <w:t>is</w:t>
      </w:r>
      <w:r w:rsidR="003A7008" w:rsidRPr="005464FA">
        <w:t xml:space="preserve"> scheduled for MSAC consideration in August 2024. </w:t>
      </w:r>
      <w:r w:rsidR="006B317B" w:rsidRPr="005464FA">
        <w:t>Under t</w:t>
      </w:r>
      <w:r w:rsidR="003A7008" w:rsidRPr="005464FA">
        <w:t xml:space="preserve">he proposed MBS item descriptor only patients with HER2-negative metastatic breast cancer </w:t>
      </w:r>
      <w:r w:rsidR="006B317B" w:rsidRPr="005464FA">
        <w:t xml:space="preserve">who </w:t>
      </w:r>
      <w:r w:rsidR="003A7008" w:rsidRPr="005464FA">
        <w:t>have received prior (neo)adjuvant chemotherapy would be eligible for the MBS item.</w:t>
      </w:r>
      <w:bookmarkEnd w:id="22"/>
      <w:r w:rsidR="00C20E7F" w:rsidRPr="005464FA">
        <w:t xml:space="preserve"> </w:t>
      </w:r>
      <w:bookmarkStart w:id="24" w:name="_Hlk171689990"/>
      <w:r w:rsidR="0089303C" w:rsidRPr="005464FA">
        <w:t xml:space="preserve">The </w:t>
      </w:r>
      <w:r w:rsidR="005514F2" w:rsidRPr="005464FA">
        <w:t xml:space="preserve">PBAC noted that revision of the </w:t>
      </w:r>
      <w:r w:rsidR="0089303C" w:rsidRPr="005464FA">
        <w:t>MBS item remain</w:t>
      </w:r>
      <w:r w:rsidR="0034006B" w:rsidRPr="005464FA">
        <w:t>ed</w:t>
      </w:r>
      <w:r w:rsidR="0089303C" w:rsidRPr="005464FA">
        <w:t xml:space="preserve"> for MSAC consideration</w:t>
      </w:r>
      <w:r w:rsidR="005514F2" w:rsidRPr="005464FA">
        <w:t>, but considered that it should align with the PBS restriction population to include patients with de novo mBC as well as those who have progressed to metastatic disease following diagnosis with eBC</w:t>
      </w:r>
      <w:r w:rsidR="0089303C" w:rsidRPr="005464FA">
        <w:t>.</w:t>
      </w:r>
      <w:bookmarkEnd w:id="23"/>
      <w:bookmarkEnd w:id="24"/>
    </w:p>
    <w:p w14:paraId="5EC74A02" w14:textId="3DF42535" w:rsidR="006C3602" w:rsidRPr="005464FA" w:rsidRDefault="006C3602" w:rsidP="00A10406">
      <w:pPr>
        <w:pStyle w:val="Caption"/>
        <w:rPr>
          <w:i/>
        </w:rPr>
      </w:pPr>
      <w:bookmarkStart w:id="25" w:name="_Ref164709702"/>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2</w:t>
      </w:r>
      <w:r w:rsidR="00935AC4" w:rsidRPr="005464FA">
        <w:fldChar w:fldCharType="end"/>
      </w:r>
      <w:bookmarkEnd w:id="25"/>
      <w:r w:rsidRPr="005464FA">
        <w:t>: Requested MBS item descriptors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2: Requested MBS item descriptors"/>
      </w:tblPr>
      <w:tblGrid>
        <w:gridCol w:w="4508"/>
        <w:gridCol w:w="4509"/>
      </w:tblGrid>
      <w:tr w:rsidR="006C3602" w:rsidRPr="005464FA" w14:paraId="28D2E45F" w14:textId="77777777" w:rsidTr="00C608E6">
        <w:trPr>
          <w:trHeight w:val="283"/>
          <w:tblHeader/>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F245E" w14:textId="77777777" w:rsidR="006C3602" w:rsidRPr="005464FA" w:rsidRDefault="006C3602" w:rsidP="005F522F">
            <w:pPr>
              <w:pStyle w:val="Tabletext"/>
              <w:keepNext/>
              <w:keepLines/>
              <w:rPr>
                <w:b/>
                <w:bCs/>
              </w:rPr>
            </w:pPr>
            <w:r w:rsidRPr="005464FA">
              <w:rPr>
                <w:b/>
                <w:bCs/>
              </w:rPr>
              <w:t>Category 6 – Pathology Services</w:t>
            </w:r>
          </w:p>
        </w:tc>
      </w:tr>
      <w:tr w:rsidR="006C3602" w:rsidRPr="005464FA" w14:paraId="3324C1FA" w14:textId="77777777" w:rsidTr="003E5223">
        <w:trPr>
          <w:trHeight w:val="227"/>
          <w:tblHeader/>
        </w:trPr>
        <w:tc>
          <w:tcPr>
            <w:tcW w:w="2500" w:type="pct"/>
            <w:tcBorders>
              <w:top w:val="single" w:sz="4" w:space="0" w:color="000000" w:themeColor="text1"/>
              <w:left w:val="single" w:sz="4" w:space="0" w:color="000000" w:themeColor="text1"/>
              <w:bottom w:val="single" w:sz="4" w:space="0" w:color="000000" w:themeColor="text1"/>
              <w:right w:val="nil"/>
            </w:tcBorders>
          </w:tcPr>
          <w:p w14:paraId="3D8FC928" w14:textId="77777777" w:rsidR="006C3602" w:rsidRPr="005464FA" w:rsidRDefault="006C3602" w:rsidP="005F522F">
            <w:pPr>
              <w:pStyle w:val="Tabletext"/>
              <w:keepNext/>
              <w:keepLines/>
              <w:rPr>
                <w:b/>
                <w:bCs/>
              </w:rPr>
            </w:pPr>
            <w:r w:rsidRPr="005464FA">
              <w:rPr>
                <w:b/>
                <w:bCs/>
              </w:rPr>
              <w:t>MBS item 73295</w:t>
            </w:r>
          </w:p>
        </w:tc>
        <w:tc>
          <w:tcPr>
            <w:tcW w:w="2500" w:type="pct"/>
            <w:tcBorders>
              <w:top w:val="single" w:sz="4" w:space="0" w:color="000000" w:themeColor="text1"/>
              <w:left w:val="nil"/>
              <w:bottom w:val="single" w:sz="4" w:space="0" w:color="000000" w:themeColor="text1"/>
              <w:right w:val="single" w:sz="4" w:space="0" w:color="000000" w:themeColor="text1"/>
            </w:tcBorders>
          </w:tcPr>
          <w:p w14:paraId="5024E9A8" w14:textId="77777777" w:rsidR="006C3602" w:rsidRPr="005464FA" w:rsidRDefault="006C3602" w:rsidP="005F522F">
            <w:pPr>
              <w:pStyle w:val="Tabletext"/>
              <w:keepNext/>
              <w:keepLines/>
              <w:jc w:val="right"/>
              <w:rPr>
                <w:b/>
                <w:bCs/>
              </w:rPr>
            </w:pPr>
            <w:r w:rsidRPr="005464FA">
              <w:rPr>
                <w:b/>
                <w:bCs/>
              </w:rPr>
              <w:t>Group P7 – Genetics</w:t>
            </w:r>
          </w:p>
        </w:tc>
      </w:tr>
      <w:tr w:rsidR="006C3602" w:rsidRPr="005464FA" w14:paraId="005BE987" w14:textId="77777777" w:rsidTr="003A0777">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25589" w14:textId="77777777" w:rsidR="006C3602" w:rsidRPr="005464FA" w:rsidRDefault="006C3602" w:rsidP="005F522F">
            <w:pPr>
              <w:pStyle w:val="Tabletext"/>
              <w:keepNext/>
              <w:keepLines/>
            </w:pPr>
            <w:r w:rsidRPr="005464FA">
              <w:t xml:space="preserve">Detection of germline </w:t>
            </w:r>
            <w:r w:rsidRPr="005464FA">
              <w:rPr>
                <w:i/>
                <w:iCs/>
              </w:rPr>
              <w:t>BRCA1</w:t>
            </w:r>
            <w:r w:rsidRPr="005464FA">
              <w:t xml:space="preserve"> or </w:t>
            </w:r>
            <w:r w:rsidRPr="005464FA">
              <w:rPr>
                <w:i/>
                <w:iCs/>
              </w:rPr>
              <w:t>BRCA2</w:t>
            </w:r>
            <w:r w:rsidRPr="005464FA">
              <w:t xml:space="preserve"> pathogenic or likely pathogenic gene variants, in a patient with:</w:t>
            </w:r>
          </w:p>
          <w:p w14:paraId="3A0827B6" w14:textId="77777777" w:rsidR="006C3602" w:rsidRPr="005464FA" w:rsidRDefault="006C3602" w:rsidP="005F522F">
            <w:pPr>
              <w:pStyle w:val="Tabletext"/>
              <w:keepNext/>
              <w:keepLines/>
              <w:numPr>
                <w:ilvl w:val="0"/>
                <w:numId w:val="3"/>
              </w:numPr>
            </w:pPr>
            <w:r w:rsidRPr="005464FA">
              <w:t>advanced (FIGO III-IV) high-grade serous or high-grade epithelial ovarian, fallopian tube or primary peritoneal cancer for whom testing of tumour tissue is not feasible; or</w:t>
            </w:r>
          </w:p>
          <w:p w14:paraId="65E83AC5" w14:textId="0258A0C0" w:rsidR="006C3602" w:rsidRPr="005464FA" w:rsidRDefault="006C3602" w:rsidP="005F522F">
            <w:pPr>
              <w:pStyle w:val="Tabletext"/>
              <w:keepNext/>
              <w:keepLines/>
              <w:numPr>
                <w:ilvl w:val="0"/>
                <w:numId w:val="3"/>
              </w:numPr>
              <w:rPr>
                <w:u w:val="single"/>
              </w:rPr>
            </w:pPr>
            <w:r w:rsidRPr="005464FA">
              <w:rPr>
                <w:u w:val="single"/>
              </w:rPr>
              <w:t xml:space="preserve">HER2-negative metastatic breast cancer who </w:t>
            </w:r>
            <w:r w:rsidR="00837049" w:rsidRPr="005464FA">
              <w:rPr>
                <w:i/>
                <w:iCs/>
                <w:u w:val="single"/>
              </w:rPr>
              <w:t xml:space="preserve">has </w:t>
            </w:r>
            <w:r w:rsidRPr="005464FA">
              <w:rPr>
                <w:strike/>
                <w:u w:val="single"/>
              </w:rPr>
              <w:t>have</w:t>
            </w:r>
            <w:r w:rsidRPr="005464FA">
              <w:rPr>
                <w:u w:val="single"/>
              </w:rPr>
              <w:t xml:space="preserve"> received prior (neo)adjuvant chemotherapy</w:t>
            </w:r>
          </w:p>
          <w:p w14:paraId="1923869D" w14:textId="77777777" w:rsidR="006C3602" w:rsidRPr="005464FA" w:rsidRDefault="006C3602" w:rsidP="005F522F">
            <w:pPr>
              <w:pStyle w:val="Tabletext"/>
              <w:keepNext/>
              <w:keepLines/>
              <w:numPr>
                <w:ilvl w:val="0"/>
                <w:numId w:val="3"/>
              </w:numPr>
            </w:pPr>
            <w:r w:rsidRPr="005464FA">
              <w:t>triple negative early breast cancer; or</w:t>
            </w:r>
          </w:p>
          <w:p w14:paraId="02EFEFDC" w14:textId="77777777" w:rsidR="006C3602" w:rsidRPr="005464FA" w:rsidRDefault="006C3602" w:rsidP="005F522F">
            <w:pPr>
              <w:pStyle w:val="Tabletext"/>
              <w:keepNext/>
              <w:keepLines/>
              <w:numPr>
                <w:ilvl w:val="0"/>
                <w:numId w:val="3"/>
              </w:numPr>
            </w:pPr>
            <w:r w:rsidRPr="005464FA">
              <w:t>hormone receptor positive, HER2-negative, early breast cancer with at least one of the following high-risk characteristics:</w:t>
            </w:r>
          </w:p>
          <w:p w14:paraId="49D16E96" w14:textId="77777777" w:rsidR="006C3602" w:rsidRPr="005464FA" w:rsidRDefault="006C3602" w:rsidP="005F522F">
            <w:pPr>
              <w:pStyle w:val="Tabletext"/>
              <w:keepNext/>
              <w:keepLines/>
              <w:numPr>
                <w:ilvl w:val="1"/>
                <w:numId w:val="3"/>
              </w:numPr>
            </w:pPr>
            <w:r w:rsidRPr="005464FA">
              <w:t>tumour histological grading of at least 3; or</w:t>
            </w:r>
          </w:p>
          <w:p w14:paraId="028C5C05" w14:textId="77777777" w:rsidR="006C3602" w:rsidRPr="005464FA" w:rsidRDefault="006C3602" w:rsidP="005F522F">
            <w:pPr>
              <w:pStyle w:val="Tabletext"/>
              <w:keepNext/>
              <w:keepLines/>
              <w:numPr>
                <w:ilvl w:val="1"/>
                <w:numId w:val="3"/>
              </w:numPr>
            </w:pPr>
            <w:r w:rsidRPr="005464FA">
              <w:t>tumour size of greater than 2 cm; or</w:t>
            </w:r>
          </w:p>
          <w:p w14:paraId="5DB2E908" w14:textId="77777777" w:rsidR="006C3602" w:rsidRPr="005464FA" w:rsidRDefault="006C3602" w:rsidP="005F522F">
            <w:pPr>
              <w:pStyle w:val="Tabletext"/>
              <w:keepNext/>
              <w:keepLines/>
              <w:numPr>
                <w:ilvl w:val="1"/>
                <w:numId w:val="3"/>
              </w:numPr>
            </w:pPr>
            <w:r w:rsidRPr="005464FA">
              <w:t>one or more axillary lymph node metastases</w:t>
            </w:r>
          </w:p>
          <w:p w14:paraId="33A2C11C" w14:textId="77777777" w:rsidR="006C3602" w:rsidRPr="005464FA" w:rsidRDefault="006C3602" w:rsidP="005F522F">
            <w:pPr>
              <w:pStyle w:val="Tabletext"/>
              <w:keepNext/>
              <w:keepLines/>
            </w:pPr>
          </w:p>
          <w:p w14:paraId="05D71A8E" w14:textId="77777777" w:rsidR="006C3602" w:rsidRPr="005464FA" w:rsidRDefault="006C3602" w:rsidP="005F522F">
            <w:pPr>
              <w:pStyle w:val="Tabletext"/>
              <w:keepNext/>
              <w:keepLines/>
            </w:pPr>
            <w:r w:rsidRPr="005464FA">
              <w:t>requested by a specialist or consultant physician, to determine eligibility for treatment with a poly (adenosine diphosphate [ADP]-ribose) polymerase (PARP) inhibitor under the Pharmaceutical Benefits Scheme (PBS)</w:t>
            </w:r>
          </w:p>
          <w:p w14:paraId="282262B9" w14:textId="77777777" w:rsidR="006C3602" w:rsidRPr="005464FA" w:rsidRDefault="006C3602" w:rsidP="005F522F">
            <w:pPr>
              <w:pStyle w:val="Tabletext"/>
              <w:keepNext/>
              <w:keepLines/>
            </w:pPr>
          </w:p>
          <w:p w14:paraId="4A322255" w14:textId="77777777" w:rsidR="006C3602" w:rsidRPr="005464FA" w:rsidRDefault="006C3602" w:rsidP="005F522F">
            <w:pPr>
              <w:pStyle w:val="Tabletext"/>
              <w:keepNext/>
              <w:keepLines/>
            </w:pPr>
            <w:r w:rsidRPr="005464FA">
              <w:t>Maximum of one test per patient’s lifetime.</w:t>
            </w:r>
          </w:p>
        </w:tc>
      </w:tr>
      <w:tr w:rsidR="006C3602" w:rsidRPr="005464FA" w14:paraId="559CAFD7" w14:textId="77777777" w:rsidTr="003A0777">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AA0EE" w14:textId="77777777" w:rsidR="006C3602" w:rsidRPr="005464FA" w:rsidRDefault="006C3602" w:rsidP="005F522F">
            <w:pPr>
              <w:pStyle w:val="Tabletext"/>
              <w:keepNext/>
              <w:keepLines/>
            </w:pPr>
            <w:r w:rsidRPr="005464FA">
              <w:t>Fee: $1,200.00</w:t>
            </w:r>
            <w:r w:rsidRPr="005464FA">
              <w:tab/>
              <w:t>Benefit: 75% = $900.00</w:t>
            </w:r>
            <w:r w:rsidRPr="005464FA">
              <w:tab/>
              <w:t>85% = $1,106.80*</w:t>
            </w:r>
          </w:p>
        </w:tc>
      </w:tr>
      <w:tr w:rsidR="006C3602" w:rsidRPr="005464FA" w14:paraId="1AC7436A" w14:textId="77777777" w:rsidTr="003A0777">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2AA1D" w14:textId="77777777" w:rsidR="006C3602" w:rsidRPr="005464FA" w:rsidRDefault="006C3602" w:rsidP="005F522F">
            <w:pPr>
              <w:pStyle w:val="Tabletext"/>
              <w:keepNext/>
              <w:keepLines/>
            </w:pPr>
            <w:r w:rsidRPr="005464FA">
              <w:t>Explanatory note PN.0.27</w:t>
            </w:r>
          </w:p>
          <w:p w14:paraId="221500AA" w14:textId="77777777" w:rsidR="006C3602" w:rsidRPr="005464FA" w:rsidRDefault="006C3602" w:rsidP="005F522F">
            <w:pPr>
              <w:pStyle w:val="Tabletext"/>
              <w:keepNext/>
              <w:keepLines/>
            </w:pPr>
            <w:r w:rsidRPr="005464FA">
              <w:t>Patients who are found to have any form of affected allele should be referred for post-test genetic counselling as there may be implications for other family members. Appropriate genetic counselling should be provided to the patient either by the specialist treating practitioner, a genetic counselling service or a clinical geneticist.</w:t>
            </w:r>
          </w:p>
        </w:tc>
      </w:tr>
    </w:tbl>
    <w:p w14:paraId="69720230" w14:textId="77777777" w:rsidR="006C3602" w:rsidRPr="005464FA" w:rsidRDefault="006C3602" w:rsidP="005F522F">
      <w:pPr>
        <w:pStyle w:val="FooterTableFigure"/>
        <w:keepNext/>
        <w:keepLines/>
      </w:pPr>
      <w:r w:rsidRPr="005464FA">
        <w:t>Source: Table 1.7, p34 of the submission.</w:t>
      </w:r>
    </w:p>
    <w:p w14:paraId="55CACC9E" w14:textId="7943FCF7" w:rsidR="006C3602" w:rsidRPr="005464FA" w:rsidRDefault="006C3602" w:rsidP="005F522F">
      <w:pPr>
        <w:pStyle w:val="FooterTableFigure"/>
        <w:keepNext/>
        <w:keepLines/>
      </w:pPr>
      <w:r w:rsidRPr="005464FA">
        <w:t xml:space="preserve">MBS = </w:t>
      </w:r>
      <w:r w:rsidR="001734F5" w:rsidRPr="005464FA">
        <w:t>M</w:t>
      </w:r>
      <w:r w:rsidRPr="005464FA">
        <w:t xml:space="preserve">edicare </w:t>
      </w:r>
      <w:r w:rsidR="001734F5" w:rsidRPr="005464FA">
        <w:t>B</w:t>
      </w:r>
      <w:r w:rsidRPr="005464FA">
        <w:t>enefits Scheme</w:t>
      </w:r>
    </w:p>
    <w:p w14:paraId="6018B9CA" w14:textId="77777777" w:rsidR="006C3602" w:rsidRPr="005464FA" w:rsidRDefault="006C3602" w:rsidP="005F522F">
      <w:pPr>
        <w:pStyle w:val="FooterTableFigure"/>
        <w:keepNext/>
        <w:keepLines/>
      </w:pPr>
      <w:r w:rsidRPr="005464FA">
        <w:t>* 85% benefit reflects the 1 November 2022 Greatest Permissible Gap (GPG) of $93.20. All out-of-hospital Medicare services that have an MBS fee of $621.50 or more will attract a benefit that is greater than 85% of the MBS fee – being the schedule fee less the GPG amount. The GPG amount is indexed annually on 1 November in line with the Consumer Price Index (CPI) (June quarter).</w:t>
      </w:r>
    </w:p>
    <w:p w14:paraId="2F9C65E8" w14:textId="77777777" w:rsidR="006C3602" w:rsidRPr="005464FA" w:rsidRDefault="006C3602" w:rsidP="005F522F">
      <w:pPr>
        <w:pStyle w:val="FooterTableFigure"/>
        <w:keepNext/>
        <w:keepLines/>
      </w:pPr>
      <w:r w:rsidRPr="005464FA">
        <w:t xml:space="preserve">Underlined text indicates proposed amendment </w:t>
      </w:r>
    </w:p>
    <w:p w14:paraId="248F3C32" w14:textId="1D23B61F" w:rsidR="00162D7C" w:rsidRPr="005464FA" w:rsidRDefault="006C3602" w:rsidP="006C3602">
      <w:pPr>
        <w:pStyle w:val="FooterTableFigure"/>
      </w:pPr>
      <w:r w:rsidRPr="005464FA">
        <w:t xml:space="preserve">Source: </w:t>
      </w:r>
      <w:r w:rsidR="00F430A0" w:rsidRPr="005464FA">
        <w:t>Table 1.7, p34 of the submission</w:t>
      </w:r>
    </w:p>
    <w:p w14:paraId="7ECD10D1" w14:textId="77777777" w:rsidR="005F089F" w:rsidRPr="005464FA" w:rsidRDefault="005F089F" w:rsidP="005F089F">
      <w:pPr>
        <w:ind w:firstLine="720"/>
        <w:rPr>
          <w:i/>
          <w:iCs/>
        </w:rPr>
      </w:pPr>
      <w:r w:rsidRPr="005464FA">
        <w:rPr>
          <w:i/>
          <w:iCs/>
        </w:rPr>
        <w:lastRenderedPageBreak/>
        <w:t>For more detail on PBAC’s view, see section 7 PBAC outcome.</w:t>
      </w:r>
    </w:p>
    <w:p w14:paraId="3C6B10D7" w14:textId="77777777" w:rsidR="00A1135A" w:rsidRPr="005464FA" w:rsidDel="00195452" w:rsidRDefault="00A1135A" w:rsidP="00A1135A">
      <w:pPr>
        <w:pStyle w:val="2-SectionHeading"/>
      </w:pPr>
      <w:bookmarkStart w:id="26" w:name="_Toc167278275"/>
      <w:r w:rsidRPr="005464FA" w:rsidDel="00195452">
        <w:t>Population and disease</w:t>
      </w:r>
      <w:bookmarkEnd w:id="26"/>
    </w:p>
    <w:p w14:paraId="4D24B7FC" w14:textId="4EA2C84A" w:rsidR="00A1135A" w:rsidRPr="005464FA" w:rsidRDefault="00A1135A" w:rsidP="00A1135A">
      <w:pPr>
        <w:pStyle w:val="3-BodyText"/>
      </w:pPr>
      <w:r w:rsidRPr="005464FA">
        <w:t xml:space="preserve">Breast cancer is the most common cancer affecting Australian women. Breast cancer has traditionally been divided into three subtypes. These subtypes can be HR+, HER2+ or TNBC. Breast cancers that do not have oestrogen receptors (ER), progesterone receptors (PgR) or HER2 are called TNBC. TNBC tumours are typically more aggressive, difficult to treat and more common among younger women diagnosed with breast cancer (National Breast Cancer Foundation 2022). </w:t>
      </w:r>
      <w:proofErr w:type="gramStart"/>
      <w:r w:rsidRPr="005464FA">
        <w:t>The majority of</w:t>
      </w:r>
      <w:proofErr w:type="gramEnd"/>
      <w:r w:rsidRPr="005464FA">
        <w:t xml:space="preserve"> breast cancers are HER2-negative (80%-85%), based on histological subtypes (Morey 2016), and approximately 15% are also HR negative i.e., triple negative (Chan 2019, Wen 2020). Approximately 60% of breast cancers are HER2 negative and HR positive and respond to endocrine therapy. However, after progression on endocrine therapy, options for therapy are limited.</w:t>
      </w:r>
    </w:p>
    <w:p w14:paraId="65207364" w14:textId="5EDECEA6" w:rsidR="00925AEC" w:rsidRPr="005464FA" w:rsidRDefault="000C5D8D" w:rsidP="00925AEC">
      <w:pPr>
        <w:pStyle w:val="3-BodyText"/>
      </w:pPr>
      <w:r w:rsidRPr="005464FA">
        <w:t>Olaparib is an oral inhibitor of human poly (ADP-ribose) polymerase enzymes (PARP</w:t>
      </w:r>
      <w:r w:rsidR="00501B39" w:rsidRPr="005464FA">
        <w:noBreakHyphen/>
      </w:r>
      <w:r w:rsidRPr="005464FA">
        <w:t>1, PARP-2, and PARP-3)</w:t>
      </w:r>
      <w:r w:rsidR="006B317B" w:rsidRPr="005464FA">
        <w:t>.</w:t>
      </w:r>
      <w:r w:rsidRPr="005464FA">
        <w:t xml:space="preserve"> The submission stated that olaparib binds to the active site of DNA-associated PARP and prevents the dissociation of PARP and traps it on the DNA, thus blocking repair. In normal cells, homologous recombination repair (HRR) pathway is effective at repairing these DNA double-strand breaks. In cancers that lack functional components of HRR, such as </w:t>
      </w:r>
      <w:r w:rsidRPr="005464FA">
        <w:rPr>
          <w:i/>
          <w:iCs/>
        </w:rPr>
        <w:t>BRCA1</w:t>
      </w:r>
      <w:r w:rsidRPr="005464FA">
        <w:t xml:space="preserve"> or </w:t>
      </w:r>
      <w:r w:rsidRPr="005464FA">
        <w:rPr>
          <w:i/>
          <w:iCs/>
        </w:rPr>
        <w:t>BRCA2</w:t>
      </w:r>
      <w:r w:rsidRPr="005464FA">
        <w:t xml:space="preserve">, DNA double-strand breaks cannot be repaired accurately or effectively. Instead, </w:t>
      </w:r>
      <w:proofErr w:type="gramStart"/>
      <w:r w:rsidRPr="005464FA">
        <w:t>alternative</w:t>
      </w:r>
      <w:proofErr w:type="gramEnd"/>
      <w:r w:rsidRPr="005464FA">
        <w:t xml:space="preserve"> and error-prone pathways are activated, such as the non-homologous end joining pathway, leading to increased genomic instability. After </w:t>
      </w:r>
      <w:proofErr w:type="gramStart"/>
      <w:r w:rsidRPr="005464FA">
        <w:t>a number of</w:t>
      </w:r>
      <w:proofErr w:type="gramEnd"/>
      <w:r w:rsidRPr="005464FA">
        <w:t xml:space="preserve"> rounds of replication, genomic instability can reach insupportable levels and result in cancer cell death, as cancer cells already have a high DNA damage load relative to normal cells.</w:t>
      </w:r>
    </w:p>
    <w:p w14:paraId="20E5C8BB" w14:textId="2747226B" w:rsidR="00B753C4" w:rsidRPr="005464FA" w:rsidRDefault="00B753C4" w:rsidP="002D1F13">
      <w:pPr>
        <w:pStyle w:val="3-BodyText"/>
      </w:pPr>
      <w:r w:rsidRPr="005464FA">
        <w:t xml:space="preserve">The submission proposed a revision to MBS item 73295 for the medical service of germline </w:t>
      </w:r>
      <w:r w:rsidRPr="005464FA">
        <w:rPr>
          <w:i/>
          <w:iCs/>
        </w:rPr>
        <w:t>BRCA</w:t>
      </w:r>
      <w:r w:rsidRPr="005464FA">
        <w:t xml:space="preserve">m testing to determine the presence of </w:t>
      </w:r>
      <w:r w:rsidRPr="005464FA">
        <w:rPr>
          <w:i/>
          <w:iCs/>
        </w:rPr>
        <w:t>BRCA1</w:t>
      </w:r>
      <w:r w:rsidRPr="005464FA">
        <w:t xml:space="preserve"> or </w:t>
      </w:r>
      <w:r w:rsidRPr="005464FA">
        <w:rPr>
          <w:i/>
          <w:iCs/>
        </w:rPr>
        <w:t>BRCA2</w:t>
      </w:r>
      <w:r w:rsidRPr="005464FA">
        <w:t xml:space="preserve"> pathogenic gene variants to determine eligibility for olaparib </w:t>
      </w:r>
      <w:r w:rsidR="0034006B" w:rsidRPr="005464FA">
        <w:t xml:space="preserve">for mBC </w:t>
      </w:r>
      <w:r w:rsidRPr="005464FA">
        <w:t xml:space="preserve">under the PBS (see paragraph </w:t>
      </w:r>
      <w:r w:rsidRPr="005464FA">
        <w:fldChar w:fldCharType="begin" w:fldLock="1"/>
      </w:r>
      <w:r w:rsidRPr="005464FA">
        <w:instrText xml:space="preserve"> REF _Ref172295602 \r \h </w:instrText>
      </w:r>
      <w:r w:rsidRPr="005464FA">
        <w:fldChar w:fldCharType="separate"/>
      </w:r>
      <w:r w:rsidR="00122E11" w:rsidRPr="005464FA">
        <w:t>3.12</w:t>
      </w:r>
      <w:r w:rsidRPr="005464FA">
        <w:fldChar w:fldCharType="end"/>
      </w:r>
      <w:r w:rsidRPr="005464FA">
        <w:t xml:space="preserve">). </w:t>
      </w:r>
    </w:p>
    <w:p w14:paraId="0362EFC2" w14:textId="1DAA59F0" w:rsidR="00270243" w:rsidRPr="005464FA" w:rsidRDefault="00321A25" w:rsidP="002D1F13">
      <w:pPr>
        <w:pStyle w:val="3-BodyText"/>
      </w:pPr>
      <w:r w:rsidRPr="005464FA">
        <w:t>The positioning of olaparib as a treatment for mBC</w:t>
      </w:r>
      <w:r w:rsidR="005275F9" w:rsidRPr="005464FA">
        <w:t xml:space="preserve"> </w:t>
      </w:r>
      <w:r w:rsidR="006E066C" w:rsidRPr="005464FA">
        <w:t xml:space="preserve">as stated </w:t>
      </w:r>
      <w:r w:rsidR="009543E4" w:rsidRPr="005464FA">
        <w:t>by</w:t>
      </w:r>
      <w:r w:rsidR="005275F9" w:rsidRPr="005464FA">
        <w:t xml:space="preserve"> the submission was</w:t>
      </w:r>
      <w:r w:rsidRPr="005464FA">
        <w:t xml:space="preserve"> immediately after CDK4/6i and endocrine therapy for HER2</w:t>
      </w:r>
      <w:r w:rsidRPr="005464FA">
        <w:noBreakHyphen/>
        <w:t xml:space="preserve">negative/HR+ patients; and in the first line for TNBC patients. </w:t>
      </w:r>
      <w:r w:rsidR="008C5BBA" w:rsidRPr="005464FA">
        <w:t>This was</w:t>
      </w:r>
      <w:r w:rsidRPr="005464FA">
        <w:t xml:space="preserve"> based on the results of a subgroup analysis from the OlympiAD trial which suggested that patients who had not received chemotherapy in the metastatic setting prior to treatment with olaparib received the most benefit in terms of PFS and OS.</w:t>
      </w:r>
      <w:r w:rsidR="00BF4EC2" w:rsidRPr="005464FA">
        <w:t xml:space="preserve"> </w:t>
      </w:r>
      <w:r w:rsidR="006E066C" w:rsidRPr="005464FA">
        <w:t xml:space="preserve">The ESC considered the positioning of olaparib throughout the submission was inconsistent </w:t>
      </w:r>
      <w:proofErr w:type="gramStart"/>
      <w:r w:rsidR="006E066C" w:rsidRPr="005464FA">
        <w:t>with regard to</w:t>
      </w:r>
      <w:proofErr w:type="gramEnd"/>
      <w:r w:rsidR="006E066C" w:rsidRPr="005464FA">
        <w:t xml:space="preserve"> requirements for previous chemotherapy. The requested restriction was not consistent with the requested population as described in the submission, nor the populations modelled in the economic evaluation. The ESC noted that no evidence </w:t>
      </w:r>
      <w:r w:rsidR="002558E3" w:rsidRPr="005464FA">
        <w:t>w</w:t>
      </w:r>
      <w:r w:rsidR="001218FD" w:rsidRPr="005464FA">
        <w:t>ere</w:t>
      </w:r>
      <w:r w:rsidR="002558E3" w:rsidRPr="005464FA">
        <w:t xml:space="preserve"> </w:t>
      </w:r>
      <w:r w:rsidR="006E066C" w:rsidRPr="005464FA">
        <w:t>available to support use of olaparib in chemotherapy</w:t>
      </w:r>
      <w:r w:rsidR="006E066C" w:rsidRPr="005464FA">
        <w:noBreakHyphen/>
        <w:t xml:space="preserve">naïve patients and considered that, consistent with the trial population and TGA indication, the restrictions should require patients to have </w:t>
      </w:r>
      <w:r w:rsidR="006E066C" w:rsidRPr="005464FA">
        <w:lastRenderedPageBreak/>
        <w:t xml:space="preserve">received chemotherapy, either in the adjuvant/neoadjuvant setting, or in the metastatic setting, including patients with de novo mBC. </w:t>
      </w:r>
    </w:p>
    <w:p w14:paraId="3FF5C3FC" w14:textId="5BE23794" w:rsidR="004E13D2" w:rsidRPr="005464FA" w:rsidRDefault="006E066C" w:rsidP="004E13D2">
      <w:pPr>
        <w:pStyle w:val="3-BodyText"/>
      </w:pPr>
      <w:bookmarkStart w:id="27" w:name="_Ref172620036"/>
      <w:r w:rsidRPr="005464FA">
        <w:t xml:space="preserve">The ESC considered that it was not reasonable for the submission’s clinical evidence base and economic model to exclude patients who had been treated with chemotherapy in the metastatic setting as these patients were included in the OlympiAD trial and were not excluded from treatment under the proposed restrictions. </w:t>
      </w:r>
      <w:r w:rsidR="00270243" w:rsidRPr="005464FA">
        <w:t xml:space="preserve">The pre-PBAC response stated that whilst the ‘no prior chemotherapy’ subgroup is the patient population which derives the greatest treatment benefit in terms of OS from olaparib, the sponsor recognised the unmet need for treatment options for all </w:t>
      </w:r>
      <w:r w:rsidR="005464FA" w:rsidRPr="005464FA">
        <w:rPr>
          <w:i/>
        </w:rPr>
        <w:t>BRCA</w:t>
      </w:r>
      <w:r w:rsidR="00270243" w:rsidRPr="005464FA">
        <w:t xml:space="preserve"> patients. </w:t>
      </w:r>
      <w:r w:rsidR="008C5BBA" w:rsidRPr="005464FA">
        <w:t xml:space="preserve">The PBAC agreed with ESC that it was appropriate for the clinical place for olaparib to be in mBC patients who have received prior chemotherapy (in either </w:t>
      </w:r>
      <w:r w:rsidR="0034006B" w:rsidRPr="005464FA">
        <w:t xml:space="preserve">the </w:t>
      </w:r>
      <w:r w:rsidR="00156823" w:rsidRPr="005464FA">
        <w:t xml:space="preserve">early or metastatic </w:t>
      </w:r>
      <w:r w:rsidR="008C5BBA" w:rsidRPr="005464FA">
        <w:t>setting). The PBAC welcomed the sponsor’s proposal in the pre-PBAC response to revise the positioning of olaparib to reflect the pivotal clinical data, and for the ITT population</w:t>
      </w:r>
      <w:r w:rsidR="00270243" w:rsidRPr="005464FA">
        <w:t xml:space="preserve"> of OlympiAD</w:t>
      </w:r>
      <w:r w:rsidR="008C5BBA" w:rsidRPr="005464FA">
        <w:t xml:space="preserve"> to inform the economic model. The PBAC also considered it was appropriate for </w:t>
      </w:r>
      <w:r w:rsidR="00270243" w:rsidRPr="005464FA">
        <w:t>the broader patient population</w:t>
      </w:r>
      <w:r w:rsidR="008C5BBA" w:rsidRPr="005464FA">
        <w:t xml:space="preserve"> to be reflected in the financial estimates.</w:t>
      </w:r>
      <w:bookmarkEnd w:id="27"/>
    </w:p>
    <w:p w14:paraId="192B2FE6" w14:textId="77777777" w:rsidR="00162D7C" w:rsidRPr="005464FA" w:rsidRDefault="00162D7C" w:rsidP="00162D7C">
      <w:pPr>
        <w:ind w:firstLine="720"/>
        <w:rPr>
          <w:i/>
          <w:iCs/>
        </w:rPr>
      </w:pPr>
      <w:bookmarkStart w:id="28" w:name="_Hlk171063884"/>
      <w:r w:rsidRPr="005464FA">
        <w:rPr>
          <w:i/>
          <w:iCs/>
        </w:rPr>
        <w:t>For more detail on PBAC’s view, see section 7 PBAC outcome.</w:t>
      </w:r>
    </w:p>
    <w:p w14:paraId="07BA0C43" w14:textId="77777777" w:rsidR="00A1135A" w:rsidRPr="005464FA" w:rsidRDefault="00A1135A" w:rsidP="00A1135A">
      <w:pPr>
        <w:pStyle w:val="2-SectionHeading"/>
      </w:pPr>
      <w:bookmarkStart w:id="29" w:name="_Toc167278276"/>
      <w:bookmarkEnd w:id="28"/>
      <w:r w:rsidRPr="005464FA">
        <w:t>Comparator</w:t>
      </w:r>
      <w:bookmarkEnd w:id="29"/>
    </w:p>
    <w:p w14:paraId="166426D4" w14:textId="5F9EB715" w:rsidR="00A1135A" w:rsidRPr="005464FA" w:rsidRDefault="00A1135A" w:rsidP="00A1135A">
      <w:pPr>
        <w:pStyle w:val="3-BodyText"/>
        <w:rPr>
          <w:snapToGrid/>
        </w:rPr>
      </w:pPr>
      <w:r w:rsidRPr="005464FA">
        <w:t>The nominated test comparator is no test. Th</w:t>
      </w:r>
      <w:r w:rsidR="00156823" w:rsidRPr="005464FA">
        <w:t>e ESC considered th</w:t>
      </w:r>
      <w:r w:rsidRPr="005464FA">
        <w:t>is was reasonable.</w:t>
      </w:r>
      <w:r w:rsidRPr="005464FA">
        <w:rPr>
          <w:i/>
          <w:iCs/>
        </w:rPr>
        <w:t xml:space="preserve"> </w:t>
      </w:r>
    </w:p>
    <w:p w14:paraId="2DBA1179" w14:textId="77777777" w:rsidR="00FC2D3B" w:rsidRPr="005464FA" w:rsidRDefault="00FC2D3B" w:rsidP="00FC2D3B">
      <w:pPr>
        <w:pStyle w:val="3-BodyText"/>
      </w:pPr>
      <w:r w:rsidRPr="005464FA">
        <w:t>The pre-PBAC response proposed the place in therapy for olaparib as follows:</w:t>
      </w:r>
    </w:p>
    <w:p w14:paraId="563D2952" w14:textId="77777777" w:rsidR="00FC2D3B" w:rsidRPr="005464FA" w:rsidRDefault="00FC2D3B" w:rsidP="005F522F">
      <w:pPr>
        <w:pStyle w:val="3-BodyText"/>
        <w:numPr>
          <w:ilvl w:val="0"/>
          <w:numId w:val="13"/>
        </w:numPr>
        <w:ind w:left="1134"/>
      </w:pPr>
      <w:r w:rsidRPr="005464FA">
        <w:t>In patients who have received chemotherapy (anthracycline/taxane) in an early disease setting (neoadjuvant or adjuvant) prior to progressing to metastatic disease setting, olaparib will be used as first line (1L) prior to treatment with chemotherapy; and</w:t>
      </w:r>
    </w:p>
    <w:p w14:paraId="03670AE1" w14:textId="77777777" w:rsidR="00FC2D3B" w:rsidRPr="005464FA" w:rsidRDefault="00FC2D3B" w:rsidP="005F522F">
      <w:pPr>
        <w:pStyle w:val="3-BodyText"/>
        <w:numPr>
          <w:ilvl w:val="0"/>
          <w:numId w:val="13"/>
        </w:numPr>
        <w:ind w:left="1134"/>
      </w:pPr>
      <w:r w:rsidRPr="005464FA">
        <w:t>In de novo mBC (metastatic disease at time of first diagnosis) patients are required to receive chemotherapy (anthracycline/taxane) as 1L treatment for mBC and subsequently should receive (second line) 2L olaparib treatment.</w:t>
      </w:r>
    </w:p>
    <w:p w14:paraId="7D0F5C82" w14:textId="5DC03C35" w:rsidR="00B4048B" w:rsidRPr="005464FA" w:rsidRDefault="00B4048B" w:rsidP="003A0777">
      <w:pPr>
        <w:pStyle w:val="3-BodyText"/>
        <w:rPr>
          <w:snapToGrid/>
        </w:rPr>
      </w:pPr>
      <w:r w:rsidRPr="005464FA">
        <w:rPr>
          <w:snapToGrid/>
        </w:rPr>
        <w:t xml:space="preserve">The submission’s nominated drug comparator was standard of care, which the submission claimed was chemotherapy. </w:t>
      </w:r>
      <w:r w:rsidR="00B90831" w:rsidRPr="005464FA">
        <w:t xml:space="preserve">The pivotal OlympiAD trial enrolled patients between 2014-2015 and was first published in 2017. At the time of PASC consideration in December 2017, it was noted that capecitabine, vinorelbine and eribulin were commonly used agents, and corresponded to the chemotherapies permitted in the control arm of the pivotal clinical trial (OlympiAD). </w:t>
      </w:r>
      <w:r w:rsidR="00156823" w:rsidRPr="005464FA">
        <w:t xml:space="preserve">The ESC considered </w:t>
      </w:r>
      <w:r w:rsidR="00156823" w:rsidRPr="005464FA">
        <w:rPr>
          <w:snapToGrid/>
        </w:rPr>
        <w:t>s</w:t>
      </w:r>
      <w:r w:rsidRPr="005464FA">
        <w:rPr>
          <w:snapToGrid/>
        </w:rPr>
        <w:t xml:space="preserve">tandard of care was a reasonable comparator, but chemotherapy </w:t>
      </w:r>
      <w:r w:rsidR="00AA31CF" w:rsidRPr="005464FA">
        <w:rPr>
          <w:snapToGrid/>
        </w:rPr>
        <w:t>may</w:t>
      </w:r>
      <w:r w:rsidRPr="005464FA">
        <w:rPr>
          <w:snapToGrid/>
        </w:rPr>
        <w:t xml:space="preserve"> not </w:t>
      </w:r>
      <w:r w:rsidR="00AA31CF" w:rsidRPr="005464FA">
        <w:rPr>
          <w:snapToGrid/>
        </w:rPr>
        <w:t xml:space="preserve">be </w:t>
      </w:r>
      <w:r w:rsidRPr="005464FA">
        <w:rPr>
          <w:snapToGrid/>
        </w:rPr>
        <w:t>the most representative treatment for standard of care in the proposed populations.</w:t>
      </w:r>
      <w:r w:rsidR="00B90831" w:rsidRPr="005464FA">
        <w:rPr>
          <w:snapToGrid/>
        </w:rPr>
        <w:t xml:space="preserve"> Newer treatment options </w:t>
      </w:r>
      <w:r w:rsidR="002F6710" w:rsidRPr="005464FA">
        <w:rPr>
          <w:snapToGrid/>
        </w:rPr>
        <w:t>have become</w:t>
      </w:r>
      <w:r w:rsidR="00B90831" w:rsidRPr="005464FA">
        <w:rPr>
          <w:snapToGrid/>
        </w:rPr>
        <w:t xml:space="preserve"> standard of care for certain subgroups of mBC patients, as discussed below. </w:t>
      </w:r>
    </w:p>
    <w:p w14:paraId="3F2EDEA3" w14:textId="6ECC094A" w:rsidR="00EE01C4" w:rsidRPr="005464FA" w:rsidRDefault="00BF171C" w:rsidP="002D1F13">
      <w:pPr>
        <w:pStyle w:val="3-BodyText"/>
      </w:pPr>
      <w:bookmarkStart w:id="30" w:name="_Ref164713494"/>
      <w:r w:rsidRPr="005464FA">
        <w:t xml:space="preserve">The submission claimed that currently in the HR+ population, treatment with CDK 4/6 inhibitors </w:t>
      </w:r>
      <w:r w:rsidR="00583F76" w:rsidRPr="005464FA">
        <w:t xml:space="preserve">(e.g. abemaciclib, palbociclib, ribociclib) </w:t>
      </w:r>
      <w:r w:rsidRPr="005464FA">
        <w:t xml:space="preserve">in combination with endocrine </w:t>
      </w:r>
      <w:r w:rsidRPr="005464FA">
        <w:lastRenderedPageBreak/>
        <w:t>therapy is the standard of care. Upon progression</w:t>
      </w:r>
      <w:r w:rsidR="001C6AFE" w:rsidRPr="005464FA">
        <w:t>,</w:t>
      </w:r>
      <w:r w:rsidRPr="005464FA">
        <w:t xml:space="preserve"> treatment moves to chemotherapy, or, less commonly in Australia, to everolimus </w:t>
      </w:r>
      <w:r w:rsidR="001C6AFE" w:rsidRPr="005464FA">
        <w:t xml:space="preserve">with </w:t>
      </w:r>
      <w:r w:rsidRPr="005464FA">
        <w:t>exemestane, or fulvestrant in the second line</w:t>
      </w:r>
      <w:r w:rsidR="00140895" w:rsidRPr="005464FA">
        <w:t>, and olaparib would be an option in this line of therapy</w:t>
      </w:r>
      <w:r w:rsidRPr="005464FA">
        <w:t xml:space="preserve">. This was not consistent with the </w:t>
      </w:r>
      <w:r w:rsidR="00712AC4" w:rsidRPr="005464FA">
        <w:t>European Society of Medical Oncologists (</w:t>
      </w:r>
      <w:r w:rsidRPr="005464FA">
        <w:t>ESMO</w:t>
      </w:r>
      <w:r w:rsidR="00712AC4" w:rsidRPr="005464FA">
        <w:t>)</w:t>
      </w:r>
      <w:r w:rsidRPr="005464FA">
        <w:t xml:space="preserve"> guidelines (Curgliano 2023</w:t>
      </w:r>
      <w:r w:rsidR="00583F76" w:rsidRPr="005464FA">
        <w:rPr>
          <w:rStyle w:val="FootnoteReference"/>
        </w:rPr>
        <w:footnoteReference w:id="2"/>
      </w:r>
      <w:r w:rsidRPr="005464FA">
        <w:t xml:space="preserve">, p1481) which </w:t>
      </w:r>
      <w:r w:rsidR="000E78AA" w:rsidRPr="005464FA">
        <w:t>recommend</w:t>
      </w:r>
      <w:r w:rsidRPr="005464FA">
        <w:t xml:space="preserve"> </w:t>
      </w:r>
      <w:r w:rsidR="000E78AA" w:rsidRPr="005464FA">
        <w:t xml:space="preserve">at least </w:t>
      </w:r>
      <w:r w:rsidRPr="005464FA">
        <w:t xml:space="preserve">two lines of endocrine therapy before initiating chemotherapy, and </w:t>
      </w:r>
      <w:r w:rsidR="00712AC4" w:rsidRPr="005464FA">
        <w:t xml:space="preserve">do </w:t>
      </w:r>
      <w:r w:rsidRPr="005464FA">
        <w:t xml:space="preserve">not recommend chemotherapy directly after first line CDK 4/6 inhibitors for patients not at risk of imminent organ failure. The American Society of Clinical Oncologists (ASCO) guideline recommendations (Al Sukhun 2024) </w:t>
      </w:r>
      <w:r w:rsidR="00712AC4" w:rsidRPr="005464FA">
        <w:t xml:space="preserve">are </w:t>
      </w:r>
      <w:r w:rsidRPr="005464FA">
        <w:t xml:space="preserve">generally consistent with those from ESMO. </w:t>
      </w:r>
      <w:r w:rsidR="00CC5ED9" w:rsidRPr="005464FA">
        <w:t xml:space="preserve">The PSCR stated that treatment would include one or two lines of endocrine therapy depending on whether the clinician has deemed the patient refractory to endocrine therapy. </w:t>
      </w:r>
      <w:r w:rsidR="00BC59B9" w:rsidRPr="005464FA">
        <w:t>The ESC agreed with the commentary that</w:t>
      </w:r>
      <w:r w:rsidR="006D67BE" w:rsidRPr="005464FA">
        <w:t xml:space="preserve"> </w:t>
      </w:r>
      <w:r w:rsidR="00DB1770" w:rsidRPr="005464FA">
        <w:t xml:space="preserve">chemotherapy </w:t>
      </w:r>
      <w:r w:rsidR="00BC59B9" w:rsidRPr="005464FA">
        <w:t xml:space="preserve">is </w:t>
      </w:r>
      <w:r w:rsidR="00DB1770" w:rsidRPr="005464FA">
        <w:t xml:space="preserve">not the standard of care after progression with first line CDK 4/6 inhibitors unless </w:t>
      </w:r>
      <w:r w:rsidR="00E0581C" w:rsidRPr="005464FA">
        <w:t xml:space="preserve">the patient </w:t>
      </w:r>
      <w:r w:rsidR="00BC59B9" w:rsidRPr="005464FA">
        <w:t xml:space="preserve">is </w:t>
      </w:r>
      <w:r w:rsidR="00E0581C" w:rsidRPr="005464FA">
        <w:t>at risk of imminent organ failure</w:t>
      </w:r>
      <w:r w:rsidR="00BC59B9" w:rsidRPr="005464FA">
        <w:t xml:space="preserve"> (visceral crisis)</w:t>
      </w:r>
      <w:r w:rsidR="00E0581C" w:rsidRPr="005464FA">
        <w:t>.</w:t>
      </w:r>
      <w:r w:rsidR="00365509" w:rsidRPr="005464FA">
        <w:t xml:space="preserve"> Instead, a second line of endocrine therapy </w:t>
      </w:r>
      <w:r w:rsidR="00BC59B9" w:rsidRPr="005464FA">
        <w:t xml:space="preserve">is </w:t>
      </w:r>
      <w:r w:rsidR="00365509" w:rsidRPr="005464FA">
        <w:t>the standard of care and would be the comparator for olaparib in these patients.</w:t>
      </w:r>
      <w:bookmarkEnd w:id="30"/>
      <w:r w:rsidR="00BC59B9" w:rsidRPr="005464FA">
        <w:t xml:space="preserve"> </w:t>
      </w:r>
      <w:r w:rsidR="00EE01C4" w:rsidRPr="005464FA">
        <w:t xml:space="preserve">The submission also noted that a small contingent of </w:t>
      </w:r>
      <w:r w:rsidR="00DA021D" w:rsidRPr="005464FA">
        <w:t xml:space="preserve">HR+ </w:t>
      </w:r>
      <w:r w:rsidR="00EE01C4" w:rsidRPr="005464FA">
        <w:t>patients may receive first line chemotherapy</w:t>
      </w:r>
      <w:r w:rsidR="000E78AA" w:rsidRPr="005464FA">
        <w:t>,</w:t>
      </w:r>
      <w:r w:rsidR="00EE01C4" w:rsidRPr="005464FA">
        <w:t xml:space="preserve"> if they are in visceral crisis</w:t>
      </w:r>
      <w:r w:rsidR="00A76D10" w:rsidRPr="005464FA">
        <w:t>.</w:t>
      </w:r>
    </w:p>
    <w:p w14:paraId="55BCD426" w14:textId="3BFAAF77" w:rsidR="009C23A5" w:rsidRPr="005464FA" w:rsidRDefault="00BF171C" w:rsidP="001E440C">
      <w:pPr>
        <w:pStyle w:val="3-BodyText"/>
      </w:pPr>
      <w:r w:rsidRPr="005464FA">
        <w:t xml:space="preserve">For patients with TNBC, pembrolizumab </w:t>
      </w:r>
      <w:r w:rsidR="00125E4F" w:rsidRPr="005464FA">
        <w:t>plus</w:t>
      </w:r>
      <w:r w:rsidRPr="005464FA">
        <w:t xml:space="preserve"> chemotherapy is used in patients with a CPS score (a marker of PD-L1 status) of 10 or above</w:t>
      </w:r>
      <w:r w:rsidR="00A5382E" w:rsidRPr="005464FA">
        <w:rPr>
          <w:rStyle w:val="FootnoteReference"/>
        </w:rPr>
        <w:footnoteReference w:id="3"/>
      </w:r>
      <w:r w:rsidRPr="005464FA">
        <w:t xml:space="preserve">, otherwise single agent chemotherapy is given in the first line. </w:t>
      </w:r>
      <w:r w:rsidR="00D328A1" w:rsidRPr="005464FA">
        <w:t>The submission propose</w:t>
      </w:r>
      <w:r w:rsidR="006F152F" w:rsidRPr="005464FA">
        <w:t>d</w:t>
      </w:r>
      <w:r w:rsidR="00D328A1" w:rsidRPr="005464FA">
        <w:t xml:space="preserve"> that olaparib may be an option in this line of therapy.</w:t>
      </w:r>
      <w:r w:rsidR="00396953" w:rsidRPr="005464FA">
        <w:t xml:space="preserve"> The PSCR noted that only a small proportion of patients have CPS </w:t>
      </w:r>
      <w:r w:rsidR="00396953" w:rsidRPr="005464FA">
        <w:rPr>
          <w:rFonts w:cstheme="minorHAnsi"/>
        </w:rPr>
        <w:t>≥</w:t>
      </w:r>
      <w:r w:rsidR="0019603B">
        <w:t> </w:t>
      </w:r>
      <w:r w:rsidR="00396953" w:rsidRPr="005464FA">
        <w:t xml:space="preserve">10, and many would receive pembrolizumab for TNBC in the early disease setting. </w:t>
      </w:r>
      <w:r w:rsidR="001E440C" w:rsidRPr="005464FA">
        <w:t xml:space="preserve">The ESC noted that, for patients with TNBC and CPS </w:t>
      </w:r>
      <w:r w:rsidR="001E440C" w:rsidRPr="005464FA">
        <w:rPr>
          <w:rFonts w:cstheme="minorHAnsi"/>
        </w:rPr>
        <w:t>≥</w:t>
      </w:r>
      <w:r w:rsidR="0019603B">
        <w:rPr>
          <w:rFonts w:cstheme="minorHAnsi"/>
        </w:rPr>
        <w:t> </w:t>
      </w:r>
      <w:r w:rsidR="001E440C" w:rsidRPr="005464FA">
        <w:t xml:space="preserve">10, NCCN guidelines recommend pembrolizumab as the preferred </w:t>
      </w:r>
      <w:r w:rsidR="00396953" w:rsidRPr="005464FA">
        <w:t>1L</w:t>
      </w:r>
      <w:r w:rsidR="001E440C" w:rsidRPr="005464FA">
        <w:t xml:space="preserve"> treatment, and olaparib would be used </w:t>
      </w:r>
      <w:r w:rsidR="00396953" w:rsidRPr="005464FA">
        <w:t>subsequently, as</w:t>
      </w:r>
      <w:r w:rsidR="00C05333" w:rsidRPr="005464FA">
        <w:t xml:space="preserve"> </w:t>
      </w:r>
      <w:r w:rsidR="001E440C" w:rsidRPr="005464FA">
        <w:t xml:space="preserve">2L </w:t>
      </w:r>
      <w:r w:rsidR="00C05333" w:rsidRPr="005464FA">
        <w:t>for</w:t>
      </w:r>
      <w:r w:rsidR="001E440C" w:rsidRPr="005464FA">
        <w:t xml:space="preserve"> this subset of TNBC patients.</w:t>
      </w:r>
      <w:r w:rsidR="00396953" w:rsidRPr="005464FA">
        <w:t xml:space="preserve"> As such pembrolizumab is unlikely to be a relevant comparator for olaparib.</w:t>
      </w:r>
    </w:p>
    <w:p w14:paraId="7A5ED283" w14:textId="483B2DCE" w:rsidR="00A82D1B" w:rsidRPr="005464FA" w:rsidRDefault="00A82D1B" w:rsidP="003A0777">
      <w:pPr>
        <w:pStyle w:val="3-BodyText"/>
      </w:pPr>
      <w:bookmarkStart w:id="31" w:name="_Ref164720740"/>
      <w:r w:rsidRPr="005464FA">
        <w:t xml:space="preserve">In TNBC, the submission considered that the first line of therapy currently reimbursed is chemotherapy </w:t>
      </w:r>
      <w:r w:rsidR="00701CD3" w:rsidRPr="005464FA">
        <w:t xml:space="preserve">(alone) </w:t>
      </w:r>
      <w:r w:rsidRPr="005464FA">
        <w:t xml:space="preserve">for </w:t>
      </w:r>
      <w:proofErr w:type="gramStart"/>
      <w:r w:rsidRPr="005464FA">
        <w:t>the majority of</w:t>
      </w:r>
      <w:proofErr w:type="gramEnd"/>
      <w:r w:rsidRPr="005464FA">
        <w:t xml:space="preserve"> patients where the current chemotherapy regimens are usually a taxane (e.g., paclitaxel or nab-paclitaxel or docetaxel) or carboplatin or doxorubicin as monotherapy or combinations of carboplatin + gemcitabine, doxorubicin + cyclophosphamide, or epirubicin + cyclophosphamide. </w:t>
      </w:r>
      <w:r w:rsidR="00B97A3B" w:rsidRPr="005464FA">
        <w:t>The</w:t>
      </w:r>
      <w:r w:rsidR="00701CD3" w:rsidRPr="005464FA">
        <w:t xml:space="preserve"> 2L </w:t>
      </w:r>
      <w:r w:rsidR="00B97A3B" w:rsidRPr="005464FA">
        <w:t xml:space="preserve">chemotherapies used </w:t>
      </w:r>
      <w:r w:rsidR="007661CE" w:rsidRPr="005464FA">
        <w:t xml:space="preserve">as the comparator </w:t>
      </w:r>
      <w:r w:rsidR="00B97A3B" w:rsidRPr="005464FA">
        <w:t xml:space="preserve">in the pivotal OlympiAD trial (capecitabine, vinorelbine and </w:t>
      </w:r>
      <w:r w:rsidR="005030D8" w:rsidRPr="005464FA">
        <w:t>eribulin</w:t>
      </w:r>
      <w:r w:rsidR="00B97A3B" w:rsidRPr="005464FA">
        <w:t>)</w:t>
      </w:r>
      <w:r w:rsidR="00701CD3" w:rsidRPr="005464FA">
        <w:t xml:space="preserve"> may not represent those used in current Australian practice</w:t>
      </w:r>
      <w:r w:rsidR="0031024E" w:rsidRPr="005464FA">
        <w:t>.</w:t>
      </w:r>
      <w:bookmarkEnd w:id="31"/>
      <w:r w:rsidR="0031024E" w:rsidRPr="005464FA">
        <w:t xml:space="preserve"> </w:t>
      </w:r>
    </w:p>
    <w:p w14:paraId="1D52D384" w14:textId="1B2A3FAD" w:rsidR="00CB5FAF" w:rsidRPr="005464FA" w:rsidRDefault="00BC74C2" w:rsidP="00BF171C">
      <w:pPr>
        <w:pStyle w:val="3-BodyText"/>
      </w:pPr>
      <w:r w:rsidRPr="005464FA">
        <w:lastRenderedPageBreak/>
        <w:t xml:space="preserve">In patients with de novo mBC, at least one line of chemotherapy must be used before patients can be eligible for olaparib </w:t>
      </w:r>
      <w:r w:rsidR="00E22223" w:rsidRPr="005464FA">
        <w:t xml:space="preserve">based on the requested restriction and TGA approved indication. In this case, olaparib will become a 2L therapy. </w:t>
      </w:r>
      <w:r w:rsidR="001E440C" w:rsidRPr="005464FA">
        <w:t>The commentary stated that</w:t>
      </w:r>
      <w:r w:rsidR="003A2F27" w:rsidRPr="005464FA">
        <w:t xml:space="preserve"> in patients with de novo TNBC</w:t>
      </w:r>
      <w:r w:rsidR="006F0BA4" w:rsidRPr="005464FA">
        <w:t xml:space="preserve"> </w:t>
      </w:r>
      <w:r w:rsidR="005702FD" w:rsidRPr="005464FA">
        <w:t>who have failed 1L chemotherapy (with or without pembrolizumab</w:t>
      </w:r>
      <w:r w:rsidR="00F00FC9" w:rsidRPr="005464FA">
        <w:t>, depending on CPS</w:t>
      </w:r>
      <w:r w:rsidR="005702FD" w:rsidRPr="005464FA">
        <w:t>)</w:t>
      </w:r>
      <w:r w:rsidR="006F0BA4" w:rsidRPr="005464FA">
        <w:t xml:space="preserve">, sacituzumab </w:t>
      </w:r>
      <w:r w:rsidR="001218FD" w:rsidRPr="005464FA">
        <w:t>govitecan</w:t>
      </w:r>
      <w:r w:rsidR="006F0BA4" w:rsidRPr="005464FA">
        <w:t xml:space="preserve"> may be used</w:t>
      </w:r>
      <w:r w:rsidR="00A5382E" w:rsidRPr="005464FA">
        <w:rPr>
          <w:rStyle w:val="FootnoteReference"/>
        </w:rPr>
        <w:footnoteReference w:id="4"/>
      </w:r>
      <w:r w:rsidR="005702FD" w:rsidRPr="005464FA">
        <w:t xml:space="preserve">. </w:t>
      </w:r>
      <w:r w:rsidR="001E440C" w:rsidRPr="005464FA">
        <w:t>The PSCR noted that e</w:t>
      </w:r>
      <w:r w:rsidR="00BF171C" w:rsidRPr="005464FA">
        <w:t xml:space="preserve">ligibility for sacituzumab </w:t>
      </w:r>
      <w:r w:rsidR="001218FD" w:rsidRPr="005464FA">
        <w:t>govitecan</w:t>
      </w:r>
      <w:r w:rsidR="00BF171C" w:rsidRPr="005464FA">
        <w:t xml:space="preserve"> requires at least </w:t>
      </w:r>
      <w:r w:rsidR="001E440C" w:rsidRPr="005464FA">
        <w:t xml:space="preserve">two lines of prior systemic therapy. Therefore, for de novo </w:t>
      </w:r>
      <w:r w:rsidR="00396953" w:rsidRPr="005464FA">
        <w:t xml:space="preserve">metastatic </w:t>
      </w:r>
      <w:r w:rsidR="00C05333" w:rsidRPr="005464FA">
        <w:t>TNBC</w:t>
      </w:r>
      <w:r w:rsidR="001E440C" w:rsidRPr="005464FA">
        <w:t xml:space="preserve">, olaparib could be used in the 2L setting, where chemotherapy is </w:t>
      </w:r>
      <w:r w:rsidR="00C05333" w:rsidRPr="005464FA">
        <w:t>the</w:t>
      </w:r>
      <w:r w:rsidR="001E440C" w:rsidRPr="005464FA">
        <w:t xml:space="preserve"> relevant comparator, or the 3L</w:t>
      </w:r>
      <w:r w:rsidR="00BF171C" w:rsidRPr="005464FA">
        <w:t xml:space="preserve"> setting</w:t>
      </w:r>
      <w:r w:rsidR="001E440C" w:rsidRPr="005464FA">
        <w:t xml:space="preserve">, where sacituzumab </w:t>
      </w:r>
      <w:r w:rsidR="001218FD" w:rsidRPr="005464FA">
        <w:t>govitecan</w:t>
      </w:r>
      <w:r w:rsidR="00C05333" w:rsidRPr="005464FA">
        <w:t xml:space="preserve"> </w:t>
      </w:r>
      <w:r w:rsidR="001E440C" w:rsidRPr="005464FA">
        <w:t xml:space="preserve">would be a </w:t>
      </w:r>
      <w:r w:rsidR="00FD0EF0" w:rsidRPr="005464FA">
        <w:t>valid comparator</w:t>
      </w:r>
      <w:r w:rsidR="001E440C" w:rsidRPr="005464FA">
        <w:t>.</w:t>
      </w:r>
      <w:r w:rsidR="00C05333" w:rsidRPr="005464FA">
        <w:t xml:space="preserve"> For patients with recurrent TNBC and CPS &lt;</w:t>
      </w:r>
      <w:r w:rsidR="0019603B">
        <w:t> </w:t>
      </w:r>
      <w:r w:rsidR="00C05333" w:rsidRPr="005464FA">
        <w:t xml:space="preserve">10 olaparib would be used as 2L treatment in the metastatic setting, where sacituzumab </w:t>
      </w:r>
      <w:r w:rsidR="001218FD" w:rsidRPr="005464FA">
        <w:t>govitecan</w:t>
      </w:r>
      <w:r w:rsidR="00C05333" w:rsidRPr="005464FA">
        <w:t xml:space="preserve"> would be a relevant comparator for patients who have received at least one line of systemic therapy in the eB</w:t>
      </w:r>
      <w:r w:rsidR="00396953" w:rsidRPr="005464FA">
        <w:t>C</w:t>
      </w:r>
      <w:r w:rsidR="00C05333" w:rsidRPr="005464FA">
        <w:t xml:space="preserve"> setting.</w:t>
      </w:r>
    </w:p>
    <w:p w14:paraId="17540A09" w14:textId="6803C564" w:rsidR="00BF171C" w:rsidRPr="005464FA" w:rsidRDefault="00BF171C" w:rsidP="00BF171C">
      <w:pPr>
        <w:pStyle w:val="3-BodyText"/>
      </w:pPr>
      <w:r w:rsidRPr="005464FA">
        <w:t xml:space="preserve">Following treatment with </w:t>
      </w:r>
      <w:r w:rsidR="005030D8" w:rsidRPr="005464FA">
        <w:t>sacituzumab</w:t>
      </w:r>
      <w:r w:rsidRPr="005464FA">
        <w:t xml:space="preserve"> </w:t>
      </w:r>
      <w:r w:rsidR="001218FD" w:rsidRPr="005464FA">
        <w:t>govitecan</w:t>
      </w:r>
      <w:r w:rsidRPr="005464FA">
        <w:t>, chemotherapy remains the mainstay of treatment for triple negative patients.</w:t>
      </w:r>
      <w:r w:rsidR="00CB5FAF" w:rsidRPr="005464FA">
        <w:t xml:space="preserve"> While not explicitly stated by the submission, it is plausible that olaparib may be used in this line of therapy (i</w:t>
      </w:r>
      <w:r w:rsidR="00443B8A" w:rsidRPr="005464FA">
        <w:t xml:space="preserve">.e. after pembrolizumab plus chemotherapy and sacituzumab </w:t>
      </w:r>
      <w:r w:rsidR="001218FD" w:rsidRPr="005464FA">
        <w:t>govitecan</w:t>
      </w:r>
      <w:r w:rsidR="00443B8A" w:rsidRPr="005464FA">
        <w:t>, as third line therapy)</w:t>
      </w:r>
      <w:r w:rsidR="00FD0EF0" w:rsidRPr="005464FA">
        <w:t xml:space="preserve"> in which case, chemotherapy may be the relevant comparator</w:t>
      </w:r>
      <w:r w:rsidR="00443B8A" w:rsidRPr="005464FA">
        <w:t>.</w:t>
      </w:r>
    </w:p>
    <w:p w14:paraId="2D55E9C5" w14:textId="4D32D964" w:rsidR="0096589B" w:rsidRPr="005464FA" w:rsidRDefault="00C05333" w:rsidP="00D444F8">
      <w:pPr>
        <w:pStyle w:val="3-BodyText"/>
      </w:pPr>
      <w:bookmarkStart w:id="32" w:name="_Ref164724568"/>
      <w:r w:rsidRPr="005464FA">
        <w:rPr>
          <w:snapToGrid/>
        </w:rPr>
        <w:t xml:space="preserve">The </w:t>
      </w:r>
      <w:r w:rsidR="00291F1E" w:rsidRPr="005464FA">
        <w:rPr>
          <w:snapToGrid/>
        </w:rPr>
        <w:t xml:space="preserve">PBAC agreed with the </w:t>
      </w:r>
      <w:r w:rsidRPr="005464FA">
        <w:rPr>
          <w:snapToGrid/>
        </w:rPr>
        <w:t>ESC that</w:t>
      </w:r>
      <w:r w:rsidRPr="005464FA">
        <w:rPr>
          <w:i/>
          <w:iCs/>
          <w:snapToGrid/>
        </w:rPr>
        <w:t xml:space="preserve"> </w:t>
      </w:r>
      <w:r w:rsidRPr="005464FA">
        <w:rPr>
          <w:snapToGrid/>
        </w:rPr>
        <w:t>o</w:t>
      </w:r>
      <w:r w:rsidR="00BF171C" w:rsidRPr="005464FA">
        <w:rPr>
          <w:snapToGrid/>
        </w:rPr>
        <w:t xml:space="preserve">verall, given the evolution of treatment options </w:t>
      </w:r>
      <w:r w:rsidR="00F10B6D" w:rsidRPr="005464FA">
        <w:rPr>
          <w:snapToGrid/>
        </w:rPr>
        <w:t>in recent years</w:t>
      </w:r>
      <w:r w:rsidR="00BF171C" w:rsidRPr="005464FA">
        <w:rPr>
          <w:snapToGrid/>
        </w:rPr>
        <w:t xml:space="preserve">, </w:t>
      </w:r>
      <w:r w:rsidR="00FD0EF0" w:rsidRPr="005464FA">
        <w:rPr>
          <w:snapToGrid/>
        </w:rPr>
        <w:t>the propos</w:t>
      </w:r>
      <w:r w:rsidR="00536E64" w:rsidRPr="005464FA">
        <w:rPr>
          <w:snapToGrid/>
        </w:rPr>
        <w:t xml:space="preserve">al to use chemotherapy as the proxy for standard of care </w:t>
      </w:r>
      <w:r w:rsidR="00F10B6D" w:rsidRPr="005464FA">
        <w:rPr>
          <w:snapToGrid/>
        </w:rPr>
        <w:t xml:space="preserve">for all patients eligible for olaparib under the proposed PBS listing </w:t>
      </w:r>
      <w:r w:rsidR="00536E64" w:rsidRPr="005464FA">
        <w:rPr>
          <w:snapToGrid/>
        </w:rPr>
        <w:t>was likely unreasonable</w:t>
      </w:r>
      <w:r w:rsidR="00BF171C" w:rsidRPr="005464FA">
        <w:rPr>
          <w:snapToGrid/>
        </w:rPr>
        <w:t>.</w:t>
      </w:r>
      <w:r w:rsidR="0096589B" w:rsidRPr="005464FA">
        <w:rPr>
          <w:snapToGrid/>
        </w:rPr>
        <w:t xml:space="preserve"> </w:t>
      </w:r>
      <w:r w:rsidR="00D444F8" w:rsidRPr="005464FA">
        <w:rPr>
          <w:snapToGrid/>
        </w:rPr>
        <w:t>The ESC considered that f</w:t>
      </w:r>
      <w:r w:rsidR="0096589B" w:rsidRPr="005464FA">
        <w:rPr>
          <w:snapToGrid/>
        </w:rPr>
        <w:t>or a proportion of patients</w:t>
      </w:r>
      <w:r w:rsidR="00D444F8" w:rsidRPr="005464FA">
        <w:rPr>
          <w:snapToGrid/>
        </w:rPr>
        <w:t xml:space="preserve"> relevant comparators would include:</w:t>
      </w:r>
      <w:r w:rsidR="0096589B" w:rsidRPr="005464FA">
        <w:rPr>
          <w:snapToGrid/>
        </w:rPr>
        <w:t xml:space="preserve"> </w:t>
      </w:r>
      <w:r w:rsidR="00D444F8" w:rsidRPr="005464FA">
        <w:rPr>
          <w:snapToGrid/>
        </w:rPr>
        <w:t>2L</w:t>
      </w:r>
      <w:r w:rsidR="004C75FF" w:rsidRPr="005464FA">
        <w:rPr>
          <w:snapToGrid/>
        </w:rPr>
        <w:t xml:space="preserve"> endocrine therapy (after CDK 4/6 inhibitors and endocrine therapy)</w:t>
      </w:r>
      <w:r w:rsidR="00D444F8" w:rsidRPr="005464FA">
        <w:rPr>
          <w:snapToGrid/>
        </w:rPr>
        <w:t xml:space="preserve"> and s</w:t>
      </w:r>
      <w:r w:rsidR="0096589B" w:rsidRPr="005464FA">
        <w:rPr>
          <w:snapToGrid/>
        </w:rPr>
        <w:t xml:space="preserve">acituzumab </w:t>
      </w:r>
      <w:r w:rsidR="001218FD" w:rsidRPr="005464FA">
        <w:rPr>
          <w:snapToGrid/>
        </w:rPr>
        <w:t>govitecan</w:t>
      </w:r>
      <w:r w:rsidR="0096589B" w:rsidRPr="005464FA">
        <w:rPr>
          <w:snapToGrid/>
        </w:rPr>
        <w:t xml:space="preserve"> (as </w:t>
      </w:r>
      <w:r w:rsidR="00D444F8" w:rsidRPr="005464FA">
        <w:rPr>
          <w:snapToGrid/>
        </w:rPr>
        <w:t>3L</w:t>
      </w:r>
      <w:r w:rsidR="0096589B" w:rsidRPr="005464FA">
        <w:rPr>
          <w:snapToGrid/>
        </w:rPr>
        <w:t xml:space="preserve"> therapy in de novo TNBC</w:t>
      </w:r>
      <w:r w:rsidR="00D444F8" w:rsidRPr="005464FA">
        <w:rPr>
          <w:snapToGrid/>
        </w:rPr>
        <w:t xml:space="preserve"> or 2L in recurrent TNBC</w:t>
      </w:r>
      <w:r w:rsidR="0096589B" w:rsidRPr="005464FA">
        <w:rPr>
          <w:snapToGrid/>
        </w:rPr>
        <w:t>)</w:t>
      </w:r>
      <w:r w:rsidR="00D444F8" w:rsidRPr="005464FA">
        <w:rPr>
          <w:snapToGrid/>
        </w:rPr>
        <w:t xml:space="preserve">. In addition, the ESC considered that the chemotherapies included as the comparator in the clinical evidence did not necessarily represent the best choice of regimen for patients with </w:t>
      </w:r>
      <w:r w:rsidR="005464FA" w:rsidRPr="005464FA">
        <w:rPr>
          <w:i/>
          <w:snapToGrid/>
        </w:rPr>
        <w:t>BRCA</w:t>
      </w:r>
      <w:r w:rsidR="00D444F8" w:rsidRPr="005464FA">
        <w:rPr>
          <w:snapToGrid/>
        </w:rPr>
        <w:t>m</w:t>
      </w:r>
      <w:r w:rsidR="00D444F8" w:rsidRPr="005464FA">
        <w:t xml:space="preserve"> mBC</w:t>
      </w:r>
      <w:r w:rsidR="007C69D8" w:rsidRPr="005464FA">
        <w:t>, which would include a platinum-based chemotherapy</w:t>
      </w:r>
      <w:r w:rsidR="00D444F8" w:rsidRPr="005464FA">
        <w:t xml:space="preserve">. </w:t>
      </w:r>
      <w:bookmarkEnd w:id="32"/>
    </w:p>
    <w:p w14:paraId="5F267B6A" w14:textId="77777777" w:rsidR="00162D7C" w:rsidRPr="005464FA" w:rsidRDefault="00162D7C" w:rsidP="00162D7C">
      <w:pPr>
        <w:ind w:firstLine="720"/>
        <w:rPr>
          <w:i/>
          <w:iCs/>
        </w:rPr>
      </w:pPr>
      <w:r w:rsidRPr="005464FA">
        <w:rPr>
          <w:i/>
          <w:iCs/>
        </w:rPr>
        <w:t>For more detail on PBAC’s view, see section 7 PBAC outcome.</w:t>
      </w:r>
    </w:p>
    <w:p w14:paraId="1FE264A5" w14:textId="77777777" w:rsidR="00A1135A" w:rsidRPr="005464FA" w:rsidRDefault="00A1135A" w:rsidP="00A1135A">
      <w:pPr>
        <w:pStyle w:val="2-SectionHeading"/>
      </w:pPr>
      <w:bookmarkStart w:id="33" w:name="_Toc167278277"/>
      <w:bookmarkStart w:id="34" w:name="_Toc22897640"/>
      <w:r w:rsidRPr="005464FA">
        <w:t>Consideration of the evidence</w:t>
      </w:r>
      <w:bookmarkEnd w:id="33"/>
    </w:p>
    <w:p w14:paraId="2C458EB2" w14:textId="77777777" w:rsidR="00162D7C" w:rsidRPr="005464FA" w:rsidRDefault="00162D7C" w:rsidP="00EB66B8">
      <w:pPr>
        <w:pStyle w:val="4-SubsectionHeading"/>
      </w:pPr>
      <w:bookmarkStart w:id="35" w:name="_Hlk76375935"/>
      <w:bookmarkStart w:id="36" w:name="_Toc167278278"/>
      <w:r w:rsidRPr="005464FA">
        <w:t>Sponsor hearing</w:t>
      </w:r>
    </w:p>
    <w:p w14:paraId="03801038" w14:textId="2510035A" w:rsidR="00162D7C" w:rsidRPr="005464FA" w:rsidRDefault="00162D7C" w:rsidP="00162D7C">
      <w:pPr>
        <w:widowControl w:val="0"/>
        <w:numPr>
          <w:ilvl w:val="1"/>
          <w:numId w:val="1"/>
        </w:numPr>
        <w:spacing w:after="120"/>
        <w:rPr>
          <w:rFonts w:asciiTheme="minorHAnsi" w:hAnsiTheme="minorHAnsi"/>
          <w:bCs/>
          <w:snapToGrid w:val="0"/>
        </w:rPr>
      </w:pPr>
      <w:bookmarkStart w:id="37" w:name="_Hlk76382586"/>
      <w:r w:rsidRPr="005464FA">
        <w:rPr>
          <w:rFonts w:asciiTheme="minorHAnsi" w:hAnsiTheme="minorHAnsi"/>
          <w:bCs/>
          <w:snapToGrid w:val="0"/>
        </w:rPr>
        <w:t xml:space="preserve">The sponsor requested a hearing for this item. </w:t>
      </w:r>
      <w:r w:rsidR="00EB66B8" w:rsidRPr="005464FA">
        <w:rPr>
          <w:rFonts w:asciiTheme="minorHAnsi" w:hAnsiTheme="minorHAnsi"/>
          <w:bCs/>
          <w:snapToGrid w:val="0"/>
        </w:rPr>
        <w:t xml:space="preserve">The clinician discussed the patient preference for targeted therapies and the advantage to patients of using an oral drug rather than IV chemotherapy. The clinician noted that adverse events can be managed in clinical practice as clinicians are well-experienced in using olaparib in other </w:t>
      </w:r>
      <w:r w:rsidR="00EB66B8" w:rsidRPr="005464FA">
        <w:rPr>
          <w:rFonts w:asciiTheme="minorHAnsi" w:hAnsiTheme="minorHAnsi"/>
          <w:bCs/>
          <w:snapToGrid w:val="0"/>
        </w:rPr>
        <w:lastRenderedPageBreak/>
        <w:t xml:space="preserve">indications. </w:t>
      </w:r>
      <w:r w:rsidR="00357635" w:rsidRPr="005464FA">
        <w:rPr>
          <w:rFonts w:asciiTheme="minorHAnsi" w:hAnsiTheme="minorHAnsi"/>
          <w:bCs/>
          <w:snapToGrid w:val="0"/>
        </w:rPr>
        <w:t xml:space="preserve">The clinician noted that there was a patient group who are likely to benefit from treatment with olaparib, but who are not currently eligible for PBS-funded treatment and many are self-funding olaparib, at substantial cost. </w:t>
      </w:r>
      <w:r w:rsidR="00EB66B8" w:rsidRPr="005464FA">
        <w:rPr>
          <w:rFonts w:asciiTheme="minorHAnsi" w:hAnsiTheme="minorHAnsi"/>
          <w:bCs/>
          <w:snapToGrid w:val="0"/>
        </w:rPr>
        <w:t xml:space="preserve">The clinician described </w:t>
      </w:r>
      <w:r w:rsidR="00357635" w:rsidRPr="005464FA">
        <w:rPr>
          <w:rFonts w:asciiTheme="minorHAnsi" w:hAnsiTheme="minorHAnsi"/>
          <w:bCs/>
          <w:snapToGrid w:val="0"/>
        </w:rPr>
        <w:t xml:space="preserve">a </w:t>
      </w:r>
      <w:r w:rsidR="00EB66B8" w:rsidRPr="005464FA">
        <w:rPr>
          <w:rFonts w:asciiTheme="minorHAnsi" w:hAnsiTheme="minorHAnsi"/>
          <w:bCs/>
          <w:snapToGrid w:val="0"/>
        </w:rPr>
        <w:t xml:space="preserve">patient </w:t>
      </w:r>
      <w:r w:rsidR="00357635" w:rsidRPr="005464FA">
        <w:rPr>
          <w:rFonts w:asciiTheme="minorHAnsi" w:hAnsiTheme="minorHAnsi"/>
          <w:bCs/>
          <w:snapToGrid w:val="0"/>
        </w:rPr>
        <w:t>who had a good ongoing</w:t>
      </w:r>
      <w:r w:rsidR="00EB66B8" w:rsidRPr="005464FA">
        <w:rPr>
          <w:rFonts w:asciiTheme="minorHAnsi" w:hAnsiTheme="minorHAnsi"/>
          <w:bCs/>
          <w:snapToGrid w:val="0"/>
        </w:rPr>
        <w:t xml:space="preserve"> response to olaparib and </w:t>
      </w:r>
      <w:r w:rsidR="00357635" w:rsidRPr="005464FA">
        <w:rPr>
          <w:rFonts w:asciiTheme="minorHAnsi" w:hAnsiTheme="minorHAnsi"/>
          <w:bCs/>
          <w:snapToGrid w:val="0"/>
        </w:rPr>
        <w:t>was</w:t>
      </w:r>
      <w:r w:rsidR="00EB66B8" w:rsidRPr="005464FA">
        <w:rPr>
          <w:rFonts w:asciiTheme="minorHAnsi" w:hAnsiTheme="minorHAnsi"/>
          <w:bCs/>
          <w:snapToGrid w:val="0"/>
        </w:rPr>
        <w:t xml:space="preserve"> able to stay on treatment for an extended period</w:t>
      </w:r>
      <w:r w:rsidR="00357635" w:rsidRPr="005464FA">
        <w:rPr>
          <w:rFonts w:asciiTheme="minorHAnsi" w:hAnsiTheme="minorHAnsi"/>
          <w:bCs/>
          <w:snapToGrid w:val="0"/>
        </w:rPr>
        <w:t xml:space="preserve"> of 4 years, giving her additional progression-free time. The clinician noted the OlympiAD trial was initiated 10 years ago, meaning that there are now other treatments available as comparators, but that it is the best available evidence and is the basis of consensus guidelines. The clinician noted that although a statistically significant OS was not demonstrated, the </w:t>
      </w:r>
      <w:r w:rsidR="006562C3" w:rsidRPr="005464FA">
        <w:rPr>
          <w:rFonts w:asciiTheme="minorHAnsi" w:hAnsiTheme="minorHAnsi"/>
          <w:bCs/>
          <w:snapToGrid w:val="0"/>
        </w:rPr>
        <w:t>t</w:t>
      </w:r>
      <w:r w:rsidR="00357635" w:rsidRPr="005464FA">
        <w:rPr>
          <w:rFonts w:asciiTheme="minorHAnsi" w:hAnsiTheme="minorHAnsi"/>
          <w:bCs/>
          <w:snapToGrid w:val="0"/>
        </w:rPr>
        <w:t xml:space="preserve">rial was not powered to demonstrate OS and the availability of other treatments, including cross-over to PARP inhibitors makes it difficult to assess the OS benefit. The clinician considered that the results of the subgroup </w:t>
      </w:r>
      <w:r w:rsidR="006562C3" w:rsidRPr="005464FA">
        <w:rPr>
          <w:rFonts w:asciiTheme="minorHAnsi" w:hAnsiTheme="minorHAnsi"/>
          <w:bCs/>
          <w:snapToGrid w:val="0"/>
        </w:rPr>
        <w:t xml:space="preserve">of patients without prior chemotherapy in the metastatic setting </w:t>
      </w:r>
      <w:r w:rsidR="00357635" w:rsidRPr="005464FA">
        <w:rPr>
          <w:rFonts w:asciiTheme="minorHAnsi" w:hAnsiTheme="minorHAnsi"/>
          <w:bCs/>
          <w:snapToGrid w:val="0"/>
        </w:rPr>
        <w:t xml:space="preserve">were </w:t>
      </w:r>
      <w:r w:rsidR="006562C3" w:rsidRPr="005464FA">
        <w:rPr>
          <w:rFonts w:asciiTheme="minorHAnsi" w:hAnsiTheme="minorHAnsi"/>
          <w:bCs/>
          <w:snapToGrid w:val="0"/>
        </w:rPr>
        <w:t>meaningful in considering treatment choices for patients and there is a preference for treating with olaparib as early as possible to maximise benefit.</w:t>
      </w:r>
    </w:p>
    <w:bookmarkEnd w:id="37"/>
    <w:p w14:paraId="6B6230DD" w14:textId="77777777" w:rsidR="00162D7C" w:rsidRPr="005464FA" w:rsidRDefault="00162D7C" w:rsidP="00EB66B8">
      <w:pPr>
        <w:pStyle w:val="4-SubsectionHeading"/>
      </w:pPr>
      <w:r w:rsidRPr="005464FA">
        <w:t>Consumer comments</w:t>
      </w:r>
    </w:p>
    <w:p w14:paraId="30F98280" w14:textId="48F3247C" w:rsidR="00162D7C" w:rsidRPr="005464FA" w:rsidRDefault="00162D7C" w:rsidP="00162D7C">
      <w:pPr>
        <w:widowControl w:val="0"/>
        <w:numPr>
          <w:ilvl w:val="1"/>
          <w:numId w:val="1"/>
        </w:numPr>
        <w:spacing w:after="120"/>
        <w:rPr>
          <w:rFonts w:asciiTheme="minorHAnsi" w:hAnsiTheme="minorHAnsi"/>
          <w:bCs/>
          <w:snapToGrid w:val="0"/>
        </w:rPr>
      </w:pPr>
      <w:bookmarkStart w:id="38" w:name="_Hlk76382618"/>
      <w:r w:rsidRPr="005464FA">
        <w:rPr>
          <w:rFonts w:asciiTheme="minorHAnsi" w:hAnsiTheme="minorHAnsi"/>
          <w:bCs/>
          <w:snapToGrid w:val="0"/>
        </w:rPr>
        <w:t>The PBAC noted and welcomed the input from health care professionals (1) and organisations (</w:t>
      </w:r>
      <w:r w:rsidR="005F1D36" w:rsidRPr="005464FA">
        <w:rPr>
          <w:rFonts w:asciiTheme="minorHAnsi" w:hAnsiTheme="minorHAnsi"/>
          <w:bCs/>
          <w:snapToGrid w:val="0"/>
        </w:rPr>
        <w:t>4</w:t>
      </w:r>
      <w:r w:rsidRPr="005464FA">
        <w:rPr>
          <w:rFonts w:asciiTheme="minorHAnsi" w:hAnsiTheme="minorHAnsi"/>
          <w:bCs/>
          <w:snapToGrid w:val="0"/>
        </w:rPr>
        <w:t xml:space="preserve">) via the Consumer Comments facility on the PBS website. The comments described </w:t>
      </w:r>
      <w:r w:rsidR="005F1D36" w:rsidRPr="005464FA">
        <w:rPr>
          <w:rFonts w:asciiTheme="minorHAnsi" w:hAnsiTheme="minorHAnsi"/>
          <w:bCs/>
          <w:snapToGrid w:val="0"/>
        </w:rPr>
        <w:t>the</w:t>
      </w:r>
      <w:r w:rsidRPr="005464FA">
        <w:rPr>
          <w:rFonts w:asciiTheme="minorHAnsi" w:hAnsiTheme="minorHAnsi"/>
          <w:bCs/>
          <w:snapToGrid w:val="0"/>
        </w:rPr>
        <w:t xml:space="preserve"> benefits of treatment with </w:t>
      </w:r>
      <w:r w:rsidR="005F1D36" w:rsidRPr="005464FA">
        <w:rPr>
          <w:rFonts w:asciiTheme="minorHAnsi" w:hAnsiTheme="minorHAnsi"/>
          <w:bCs/>
          <w:snapToGrid w:val="0"/>
        </w:rPr>
        <w:t>olaparib as superior to chemotherapy in terms of efficacy and tolerability and noted the benefit of an oral treatment in allowing patients to travel, without need to return to hospital for chemotherapy infusion. The comments also noted the equity concern for patients with metastatic disease, who are currently not eligible for PBS subsidised access to olaparib.</w:t>
      </w:r>
    </w:p>
    <w:p w14:paraId="6F1037D9" w14:textId="7B73B609" w:rsidR="00162D7C" w:rsidRPr="005464FA" w:rsidRDefault="00162D7C" w:rsidP="00162D7C">
      <w:pPr>
        <w:widowControl w:val="0"/>
        <w:numPr>
          <w:ilvl w:val="1"/>
          <w:numId w:val="1"/>
        </w:numPr>
        <w:spacing w:after="120"/>
        <w:rPr>
          <w:rFonts w:asciiTheme="minorHAnsi" w:hAnsiTheme="minorHAnsi"/>
          <w:bCs/>
          <w:snapToGrid w:val="0"/>
        </w:rPr>
      </w:pPr>
      <w:r w:rsidRPr="005464FA">
        <w:rPr>
          <w:rFonts w:asciiTheme="minorHAnsi" w:hAnsiTheme="minorHAnsi"/>
          <w:bCs/>
          <w:snapToGrid w:val="0"/>
        </w:rPr>
        <w:t xml:space="preserve">The PBAC noted the advice received from </w:t>
      </w:r>
      <w:r w:rsidR="0089254C" w:rsidRPr="005464FA">
        <w:rPr>
          <w:rFonts w:asciiTheme="minorHAnsi" w:hAnsiTheme="minorHAnsi"/>
          <w:bCs/>
          <w:snapToGrid w:val="0"/>
        </w:rPr>
        <w:t xml:space="preserve">So Brave in support of the submission, highlighting the need for advancements in treatments and access for patients to targeted treatments that can provide hope of prolonged survival and quality of life. </w:t>
      </w:r>
      <w:r w:rsidR="000E2ED8" w:rsidRPr="005464FA">
        <w:rPr>
          <w:rFonts w:asciiTheme="minorHAnsi" w:hAnsiTheme="minorHAnsi"/>
          <w:bCs/>
          <w:snapToGrid w:val="0"/>
        </w:rPr>
        <w:t xml:space="preserve">Similarly, advice from Pink Hope supported the olaparib submission. </w:t>
      </w:r>
      <w:r w:rsidR="0089254C" w:rsidRPr="005464FA">
        <w:rPr>
          <w:rFonts w:asciiTheme="minorHAnsi" w:hAnsiTheme="minorHAnsi"/>
          <w:bCs/>
          <w:snapToGrid w:val="0"/>
        </w:rPr>
        <w:t xml:space="preserve">The PBAC noted the advice from Pink Hope regarding the high need in patients with </w:t>
      </w:r>
      <w:r w:rsidR="005464FA" w:rsidRPr="005464FA">
        <w:rPr>
          <w:rFonts w:asciiTheme="minorHAnsi" w:hAnsiTheme="minorHAnsi"/>
          <w:bCs/>
          <w:i/>
          <w:snapToGrid w:val="0"/>
        </w:rPr>
        <w:t>BRCA</w:t>
      </w:r>
      <w:r w:rsidR="0089254C" w:rsidRPr="005464FA">
        <w:rPr>
          <w:rFonts w:asciiTheme="minorHAnsi" w:hAnsiTheme="minorHAnsi"/>
          <w:bCs/>
          <w:snapToGrid w:val="0"/>
        </w:rPr>
        <w:t xml:space="preserve"> pathogenic variants, who often experience poorer health outcomes due to generations of cancer and cancer risk in the same family</w:t>
      </w:r>
      <w:r w:rsidR="001C3961" w:rsidRPr="005464FA">
        <w:rPr>
          <w:rFonts w:asciiTheme="minorHAnsi" w:hAnsiTheme="minorHAnsi"/>
          <w:bCs/>
          <w:snapToGrid w:val="0"/>
        </w:rPr>
        <w:t>, creating additional financial and emotional burdens. Advice also focussed on the particular</w:t>
      </w:r>
      <w:r w:rsidR="000E2ED8" w:rsidRPr="005464FA">
        <w:rPr>
          <w:rFonts w:asciiTheme="minorHAnsi" w:hAnsiTheme="minorHAnsi"/>
          <w:bCs/>
          <w:snapToGrid w:val="0"/>
        </w:rPr>
        <w:t>ly high</w:t>
      </w:r>
      <w:r w:rsidR="001C3961" w:rsidRPr="005464FA">
        <w:rPr>
          <w:rFonts w:asciiTheme="minorHAnsi" w:hAnsiTheme="minorHAnsi"/>
          <w:bCs/>
          <w:snapToGrid w:val="0"/>
        </w:rPr>
        <w:t xml:space="preserve"> need for patients with metastatic breast cancer to have timely access to effective targeted treatments, noting that patients with early breast cancer are now able to access olaparib on the PBS.</w:t>
      </w:r>
      <w:r w:rsidR="000E2ED8" w:rsidRPr="005464FA">
        <w:rPr>
          <w:rFonts w:asciiTheme="minorHAnsi" w:hAnsiTheme="minorHAnsi"/>
          <w:bCs/>
          <w:snapToGrid w:val="0"/>
        </w:rPr>
        <w:t xml:space="preserve"> Advice from Breast Cancer Network Australia (BCNA) also supported the olaparib submission, noting that the OlympiAD trial showed an improvement in outcomes for patients treated with olaparib compared with chemotherapy. BCNA also noted equity concerns regarding affordable access to olaparib for patients with metastatic breast cancer. Both BCNA and So Brave also noted the importance of funded access to </w:t>
      </w:r>
      <w:r w:rsidR="005464FA" w:rsidRPr="005464FA">
        <w:rPr>
          <w:rFonts w:asciiTheme="minorHAnsi" w:hAnsiTheme="minorHAnsi"/>
          <w:bCs/>
          <w:i/>
          <w:snapToGrid w:val="0"/>
        </w:rPr>
        <w:t>BRCA</w:t>
      </w:r>
      <w:r w:rsidR="000E2ED8" w:rsidRPr="005464FA">
        <w:rPr>
          <w:rFonts w:asciiTheme="minorHAnsi" w:hAnsiTheme="minorHAnsi"/>
          <w:bCs/>
          <w:snapToGrid w:val="0"/>
        </w:rPr>
        <w:t xml:space="preserve"> testing for patients with breast cancer.</w:t>
      </w:r>
    </w:p>
    <w:bookmarkEnd w:id="35"/>
    <w:bookmarkEnd w:id="38"/>
    <w:p w14:paraId="1FF89FA4" w14:textId="47E8396A" w:rsidR="00162D7C" w:rsidRPr="005464FA" w:rsidRDefault="00162D7C" w:rsidP="00CA1BA8">
      <w:pPr>
        <w:widowControl w:val="0"/>
        <w:numPr>
          <w:ilvl w:val="1"/>
          <w:numId w:val="1"/>
        </w:numPr>
        <w:spacing w:after="120"/>
        <w:rPr>
          <w:rFonts w:asciiTheme="minorHAnsi" w:hAnsiTheme="minorHAnsi"/>
          <w:bCs/>
          <w:snapToGrid w:val="0"/>
        </w:rPr>
      </w:pPr>
      <w:r w:rsidRPr="005464FA">
        <w:rPr>
          <w:rFonts w:asciiTheme="minorHAnsi" w:hAnsiTheme="minorHAnsi"/>
          <w:bCs/>
          <w:snapToGrid w:val="0"/>
        </w:rPr>
        <w:t xml:space="preserve">The Medical Oncology Group of Australia (MOGA) also expressed its strong support for the </w:t>
      </w:r>
      <w:r w:rsidR="00CA1BA8" w:rsidRPr="005464FA">
        <w:rPr>
          <w:rFonts w:asciiTheme="minorHAnsi" w:hAnsiTheme="minorHAnsi"/>
          <w:bCs/>
          <w:snapToGrid w:val="0"/>
        </w:rPr>
        <w:t>olaparib</w:t>
      </w:r>
      <w:r w:rsidRPr="005464FA">
        <w:rPr>
          <w:rFonts w:asciiTheme="minorHAnsi" w:hAnsiTheme="minorHAnsi"/>
          <w:bCs/>
          <w:snapToGrid w:val="0"/>
        </w:rPr>
        <w:t xml:space="preserve"> submission, categorising it as one of the therapies of “high priority for </w:t>
      </w:r>
      <w:r w:rsidRPr="005464FA">
        <w:rPr>
          <w:rFonts w:asciiTheme="minorHAnsi" w:hAnsiTheme="minorHAnsi"/>
          <w:bCs/>
          <w:snapToGrid w:val="0"/>
        </w:rPr>
        <w:lastRenderedPageBreak/>
        <w:t xml:space="preserve">PBS listing” </w:t>
      </w:r>
      <w:proofErr w:type="gramStart"/>
      <w:r w:rsidRPr="005464FA">
        <w:rPr>
          <w:rFonts w:asciiTheme="minorHAnsi" w:hAnsiTheme="minorHAnsi"/>
          <w:bCs/>
          <w:snapToGrid w:val="0"/>
        </w:rPr>
        <w:t>on the basis of</w:t>
      </w:r>
      <w:proofErr w:type="gramEnd"/>
      <w:r w:rsidRPr="005464FA">
        <w:rPr>
          <w:rFonts w:asciiTheme="minorHAnsi" w:hAnsiTheme="minorHAnsi"/>
          <w:bCs/>
          <w:snapToGrid w:val="0"/>
        </w:rPr>
        <w:t xml:space="preserve"> the </w:t>
      </w:r>
      <w:r w:rsidR="00CA1BA8" w:rsidRPr="005464FA">
        <w:rPr>
          <w:rFonts w:asciiTheme="minorHAnsi" w:hAnsiTheme="minorHAnsi"/>
          <w:bCs/>
          <w:snapToGrid w:val="0"/>
        </w:rPr>
        <w:t>OlympiAD</w:t>
      </w:r>
      <w:r w:rsidRPr="005464FA">
        <w:rPr>
          <w:rFonts w:asciiTheme="minorHAnsi" w:hAnsiTheme="minorHAnsi"/>
          <w:bCs/>
          <w:snapToGrid w:val="0"/>
        </w:rPr>
        <w:t xml:space="preserve"> trial. The PBAC noted that the MOGA presented a European Society for Medical Oncology Magnitude of Clinical Benefit Scale (ESMO-MCBS) for </w:t>
      </w:r>
      <w:r w:rsidR="00CA1BA8" w:rsidRPr="005464FA">
        <w:rPr>
          <w:rFonts w:asciiTheme="minorHAnsi" w:hAnsiTheme="minorHAnsi"/>
          <w:bCs/>
          <w:snapToGrid w:val="0"/>
        </w:rPr>
        <w:t>olaparib</w:t>
      </w:r>
      <w:r w:rsidRPr="005464FA">
        <w:rPr>
          <w:rFonts w:asciiTheme="minorHAnsi" w:hAnsiTheme="minorHAnsi"/>
          <w:bCs/>
          <w:snapToGrid w:val="0"/>
        </w:rPr>
        <w:t xml:space="preserve">, which was limited to </w:t>
      </w:r>
      <w:r w:rsidR="00CA1BA8" w:rsidRPr="005464FA">
        <w:rPr>
          <w:rFonts w:asciiTheme="minorHAnsi" w:hAnsiTheme="minorHAnsi"/>
          <w:bCs/>
          <w:snapToGrid w:val="0"/>
        </w:rPr>
        <w:t>4</w:t>
      </w:r>
      <w:r w:rsidRPr="005464FA">
        <w:rPr>
          <w:rFonts w:asciiTheme="minorHAnsi" w:hAnsiTheme="minorHAnsi"/>
          <w:bCs/>
          <w:snapToGrid w:val="0"/>
        </w:rPr>
        <w:t xml:space="preserve"> (out of a maximum of 5, where 5 and 4 represent the grades with substantial improvement)</w:t>
      </w:r>
      <w:r w:rsidR="00CA1BA8" w:rsidRPr="005464FA">
        <w:rPr>
          <w:rStyle w:val="FootnoteReference"/>
          <w:rFonts w:asciiTheme="minorHAnsi" w:hAnsiTheme="minorHAnsi"/>
          <w:bCs/>
          <w:snapToGrid w:val="0"/>
        </w:rPr>
        <w:footnoteReference w:id="5"/>
      </w:r>
      <w:r w:rsidRPr="005464FA">
        <w:rPr>
          <w:rFonts w:asciiTheme="minorHAnsi" w:hAnsiTheme="minorHAnsi"/>
          <w:bCs/>
          <w:snapToGrid w:val="0"/>
        </w:rPr>
        <w:t xml:space="preserve">, based on a comparison with </w:t>
      </w:r>
      <w:r w:rsidR="00CA1BA8" w:rsidRPr="005464FA">
        <w:rPr>
          <w:rFonts w:asciiTheme="minorHAnsi" w:hAnsiTheme="minorHAnsi"/>
          <w:bCs/>
          <w:snapToGrid w:val="0"/>
        </w:rPr>
        <w:t>chemotherapy</w:t>
      </w:r>
      <w:r w:rsidRPr="005464FA">
        <w:rPr>
          <w:rFonts w:asciiTheme="minorHAnsi" w:hAnsiTheme="minorHAnsi"/>
          <w:bCs/>
          <w:snapToGrid w:val="0"/>
        </w:rPr>
        <w:t xml:space="preserve">. </w:t>
      </w:r>
    </w:p>
    <w:p w14:paraId="4B3BC64A" w14:textId="40EE0C68" w:rsidR="00A1135A" w:rsidRPr="005464FA" w:rsidRDefault="00A1135A" w:rsidP="00A1135A">
      <w:pPr>
        <w:pStyle w:val="4-SubsectionHeading"/>
      </w:pPr>
      <w:r w:rsidRPr="005464FA">
        <w:t xml:space="preserve">Clinical </w:t>
      </w:r>
      <w:bookmarkEnd w:id="34"/>
      <w:r w:rsidR="00B071F0" w:rsidRPr="005464FA">
        <w:t>trial</w:t>
      </w:r>
      <w:bookmarkEnd w:id="36"/>
    </w:p>
    <w:p w14:paraId="03211695" w14:textId="6F1F7C80" w:rsidR="00B071F0" w:rsidRPr="005464FA" w:rsidRDefault="00A1135A" w:rsidP="006E185D">
      <w:pPr>
        <w:pStyle w:val="3-BodyText"/>
      </w:pPr>
      <w:r w:rsidRPr="005464FA">
        <w:rPr>
          <w:snapToGrid/>
        </w:rPr>
        <w:t xml:space="preserve">The submission was based on </w:t>
      </w:r>
      <w:r w:rsidR="00B071F0" w:rsidRPr="005464FA">
        <w:t xml:space="preserve">one trial, OlympiAD, an open label </w:t>
      </w:r>
      <w:r w:rsidR="000D5E52" w:rsidRPr="005464FA">
        <w:t>randomised controlled trial</w:t>
      </w:r>
      <w:r w:rsidR="00B071F0" w:rsidRPr="005464FA">
        <w:t xml:space="preserve"> which compared olaparib (n=205) to chemotherapy (n=97)</w:t>
      </w:r>
      <w:r w:rsidR="00EF37CC" w:rsidRPr="005464FA">
        <w:t xml:space="preserve"> in p</w:t>
      </w:r>
      <w:r w:rsidR="00454D19" w:rsidRPr="005464FA">
        <w:t xml:space="preserve">atients </w:t>
      </w:r>
      <w:r w:rsidR="000E1C3C" w:rsidRPr="005464FA">
        <w:t xml:space="preserve">with </w:t>
      </w:r>
      <w:r w:rsidR="00B071F0" w:rsidRPr="005464FA">
        <w:t xml:space="preserve">a </w:t>
      </w:r>
      <w:r w:rsidR="00454D19" w:rsidRPr="005464FA">
        <w:t xml:space="preserve">confirmed deleterious or suspected deleterious </w:t>
      </w:r>
      <w:r w:rsidR="00B071F0" w:rsidRPr="005464FA">
        <w:t xml:space="preserve">germline </w:t>
      </w:r>
      <w:r w:rsidR="00B071F0" w:rsidRPr="005464FA">
        <w:rPr>
          <w:i/>
          <w:iCs/>
        </w:rPr>
        <w:t>BRCA</w:t>
      </w:r>
      <w:r w:rsidR="00B071F0" w:rsidRPr="005464FA">
        <w:t xml:space="preserve"> mutation and HER2–negative </w:t>
      </w:r>
      <w:r w:rsidR="00F81D9F" w:rsidRPr="005464FA">
        <w:t>mBC</w:t>
      </w:r>
      <w:r w:rsidR="00454D19" w:rsidRPr="005464FA">
        <w:t>, and</w:t>
      </w:r>
      <w:r w:rsidR="00B071F0" w:rsidRPr="005464FA">
        <w:t xml:space="preserve"> </w:t>
      </w:r>
      <w:r w:rsidR="000E1C3C" w:rsidRPr="005464FA">
        <w:t xml:space="preserve">who </w:t>
      </w:r>
      <w:r w:rsidR="00B071F0" w:rsidRPr="005464FA">
        <w:t>had received no more than two previous chemotherapy regimens for metastatic disease.</w:t>
      </w:r>
      <w:r w:rsidR="00EF2CC1" w:rsidRPr="005464FA">
        <w:t xml:space="preserve"> Patients had been previously treated with chemotherapy (including anthracycline (unless it was contraindicated) and a taxane) in the neoadjuvant, adjuvant or metastatic setting.</w:t>
      </w:r>
      <w:r w:rsidR="00454D19" w:rsidRPr="005464FA">
        <w:t xml:space="preserve"> </w:t>
      </w:r>
      <w:r w:rsidR="006E185D" w:rsidRPr="005464FA">
        <w:t xml:space="preserve">Patients with hormone-receptor–positive breast cancer had received at least one endocrine therapy (adjuvant therapy or therapy for metastatic disease) and had had disease progression during </w:t>
      </w:r>
      <w:proofErr w:type="gramStart"/>
      <w:r w:rsidR="006E185D" w:rsidRPr="005464FA">
        <w:t>therapy, unless</w:t>
      </w:r>
      <w:proofErr w:type="gramEnd"/>
      <w:r w:rsidR="006E185D" w:rsidRPr="005464FA">
        <w:t xml:space="preserve"> they had disease for which endocrine therapy was considered to be inappropriate.</w:t>
      </w:r>
      <w:r w:rsidR="00557015" w:rsidRPr="005464FA">
        <w:rPr>
          <w:i/>
          <w:iCs/>
        </w:rPr>
        <w:t xml:space="preserve"> </w:t>
      </w:r>
    </w:p>
    <w:p w14:paraId="5CFD8634" w14:textId="44EA8F77" w:rsidR="000D5E52" w:rsidRPr="005464FA" w:rsidRDefault="000D5E52" w:rsidP="003A0777">
      <w:pPr>
        <w:pStyle w:val="3-BodyText"/>
      </w:pPr>
      <w:r w:rsidRPr="005464FA">
        <w:t>Results from three data cut</w:t>
      </w:r>
      <w:r w:rsidRPr="005464FA">
        <w:rPr>
          <w:color w:val="000000" w:themeColor="text1"/>
        </w:rPr>
        <w:t xml:space="preserve">-offs (DCO) </w:t>
      </w:r>
      <w:r w:rsidR="00E14097" w:rsidRPr="005464FA">
        <w:rPr>
          <w:color w:val="000000" w:themeColor="text1"/>
        </w:rPr>
        <w:t xml:space="preserve">were </w:t>
      </w:r>
      <w:r w:rsidRPr="005464FA">
        <w:rPr>
          <w:color w:val="000000" w:themeColor="text1"/>
        </w:rPr>
        <w:t>reported: the Primary PFS DCO</w:t>
      </w:r>
      <w:r w:rsidR="00A03309" w:rsidRPr="005464FA">
        <w:rPr>
          <w:color w:val="000000" w:themeColor="text1"/>
        </w:rPr>
        <w:t xml:space="preserve"> on 9</w:t>
      </w:r>
      <w:r w:rsidR="00F43BD3">
        <w:rPr>
          <w:color w:val="000000" w:themeColor="text1"/>
        </w:rPr>
        <w:t> </w:t>
      </w:r>
      <w:r w:rsidR="00A03309" w:rsidRPr="005464FA">
        <w:rPr>
          <w:color w:val="000000" w:themeColor="text1"/>
        </w:rPr>
        <w:t>December 2016</w:t>
      </w:r>
      <w:r w:rsidR="00C65B34" w:rsidRPr="005464FA">
        <w:rPr>
          <w:color w:val="000000" w:themeColor="text1"/>
        </w:rPr>
        <w:t xml:space="preserve"> (at around 230 PFS events</w:t>
      </w:r>
      <w:r w:rsidR="00625AC9" w:rsidRPr="005464FA">
        <w:rPr>
          <w:color w:val="000000" w:themeColor="text1"/>
        </w:rPr>
        <w:t>, median follow-up 14.1-14.5 months</w:t>
      </w:r>
      <w:r w:rsidR="00C65B34" w:rsidRPr="005464FA">
        <w:rPr>
          <w:color w:val="000000" w:themeColor="text1"/>
        </w:rPr>
        <w:t>)</w:t>
      </w:r>
      <w:r w:rsidRPr="005464FA">
        <w:rPr>
          <w:color w:val="000000" w:themeColor="text1"/>
        </w:rPr>
        <w:t xml:space="preserve">, the </w:t>
      </w:r>
      <w:r w:rsidR="00867391" w:rsidRPr="005464FA">
        <w:rPr>
          <w:color w:val="000000" w:themeColor="text1"/>
        </w:rPr>
        <w:t>f</w:t>
      </w:r>
      <w:r w:rsidRPr="005464FA">
        <w:rPr>
          <w:color w:val="000000" w:themeColor="text1"/>
        </w:rPr>
        <w:t xml:space="preserve">inal </w:t>
      </w:r>
      <w:r w:rsidR="008F6D48" w:rsidRPr="005464FA">
        <w:rPr>
          <w:color w:val="000000" w:themeColor="text1"/>
        </w:rPr>
        <w:t>overall survival (</w:t>
      </w:r>
      <w:r w:rsidRPr="005464FA">
        <w:rPr>
          <w:color w:val="000000" w:themeColor="text1"/>
        </w:rPr>
        <w:t>OS</w:t>
      </w:r>
      <w:r w:rsidR="008F6D48" w:rsidRPr="005464FA">
        <w:rPr>
          <w:color w:val="000000" w:themeColor="text1"/>
        </w:rPr>
        <w:t>)</w:t>
      </w:r>
      <w:r w:rsidRPr="005464FA">
        <w:rPr>
          <w:color w:val="000000" w:themeColor="text1"/>
        </w:rPr>
        <w:t xml:space="preserve"> DCO</w:t>
      </w:r>
      <w:r w:rsidR="00A03309" w:rsidRPr="005464FA">
        <w:rPr>
          <w:color w:val="000000" w:themeColor="text1"/>
        </w:rPr>
        <w:t xml:space="preserve"> on 25 September 2017</w:t>
      </w:r>
      <w:r w:rsidRPr="005464FA">
        <w:rPr>
          <w:color w:val="000000" w:themeColor="text1"/>
        </w:rPr>
        <w:t xml:space="preserve"> </w:t>
      </w:r>
      <w:r w:rsidR="00C65B34" w:rsidRPr="005464FA">
        <w:rPr>
          <w:color w:val="000000" w:themeColor="text1"/>
        </w:rPr>
        <w:t>(at around 190 OS events</w:t>
      </w:r>
      <w:r w:rsidR="00625AC9" w:rsidRPr="005464FA">
        <w:rPr>
          <w:color w:val="000000" w:themeColor="text1"/>
        </w:rPr>
        <w:t>, median follow-up 15.5-18.9 months</w:t>
      </w:r>
      <w:r w:rsidR="00C65B34" w:rsidRPr="005464FA">
        <w:rPr>
          <w:color w:val="000000" w:themeColor="text1"/>
        </w:rPr>
        <w:t xml:space="preserve">) </w:t>
      </w:r>
      <w:r w:rsidRPr="005464FA">
        <w:rPr>
          <w:color w:val="000000" w:themeColor="text1"/>
        </w:rPr>
        <w:t>and the Extended OS DCO</w:t>
      </w:r>
      <w:r w:rsidR="00625AC9" w:rsidRPr="005464FA">
        <w:rPr>
          <w:color w:val="000000" w:themeColor="text1"/>
        </w:rPr>
        <w:t xml:space="preserve"> </w:t>
      </w:r>
      <w:r w:rsidR="00A03309" w:rsidRPr="005464FA">
        <w:rPr>
          <w:color w:val="000000" w:themeColor="text1"/>
        </w:rPr>
        <w:t>on 17</w:t>
      </w:r>
      <w:r w:rsidR="00F43BD3">
        <w:rPr>
          <w:color w:val="000000" w:themeColor="text1"/>
        </w:rPr>
        <w:t> </w:t>
      </w:r>
      <w:r w:rsidR="00A03309" w:rsidRPr="005464FA">
        <w:rPr>
          <w:color w:val="000000" w:themeColor="text1"/>
        </w:rPr>
        <w:t>November</w:t>
      </w:r>
      <w:r w:rsidR="00F43BD3">
        <w:rPr>
          <w:color w:val="000000" w:themeColor="text1"/>
        </w:rPr>
        <w:t> </w:t>
      </w:r>
      <w:r w:rsidR="00A03309" w:rsidRPr="005464FA">
        <w:rPr>
          <w:color w:val="000000" w:themeColor="text1"/>
        </w:rPr>
        <w:t xml:space="preserve">2019 </w:t>
      </w:r>
      <w:r w:rsidR="00625AC9" w:rsidRPr="005464FA">
        <w:rPr>
          <w:color w:val="000000" w:themeColor="text1"/>
        </w:rPr>
        <w:t>(included longer follow</w:t>
      </w:r>
      <w:r w:rsidR="00A03309" w:rsidRPr="005464FA">
        <w:rPr>
          <w:color w:val="000000" w:themeColor="text1"/>
        </w:rPr>
        <w:noBreakHyphen/>
      </w:r>
      <w:r w:rsidR="00625AC9" w:rsidRPr="005464FA">
        <w:rPr>
          <w:color w:val="000000" w:themeColor="text1"/>
        </w:rPr>
        <w:t xml:space="preserve">up of patients previously censored at </w:t>
      </w:r>
      <w:r w:rsidR="00867391" w:rsidRPr="005464FA">
        <w:rPr>
          <w:color w:val="000000" w:themeColor="text1"/>
        </w:rPr>
        <w:t>f</w:t>
      </w:r>
      <w:r w:rsidR="00625AC9" w:rsidRPr="005464FA">
        <w:rPr>
          <w:color w:val="000000" w:themeColor="text1"/>
        </w:rPr>
        <w:t>inal OS DCO</w:t>
      </w:r>
      <w:r w:rsidR="00F9117A" w:rsidRPr="005464FA">
        <w:rPr>
          <w:color w:val="000000" w:themeColor="text1"/>
        </w:rPr>
        <w:t xml:space="preserve">, </w:t>
      </w:r>
      <w:r w:rsidR="00A03309" w:rsidRPr="005464FA">
        <w:rPr>
          <w:color w:val="000000" w:themeColor="text1"/>
        </w:rPr>
        <w:t>although median follow-up was unchanged at 15.5-18.9 months)</w:t>
      </w:r>
      <w:r w:rsidRPr="005464FA">
        <w:t xml:space="preserve">. </w:t>
      </w:r>
    </w:p>
    <w:p w14:paraId="11E9121A" w14:textId="070648B8" w:rsidR="00347DE5" w:rsidRPr="005464FA" w:rsidRDefault="00347DE5" w:rsidP="003A0777">
      <w:pPr>
        <w:pStyle w:val="3-BodyText"/>
      </w:pPr>
      <w:r w:rsidRPr="005464FA">
        <w:t xml:space="preserve">Results were presented for the full analysis set (FAS) (N=302) which included all patients who were randomised into the study, regardless of treatment </w:t>
      </w:r>
      <w:proofErr w:type="gramStart"/>
      <w:r w:rsidRPr="005464FA">
        <w:t>actually received</w:t>
      </w:r>
      <w:proofErr w:type="gramEnd"/>
      <w:r w:rsidRPr="005464FA">
        <w:t xml:space="preserve">. </w:t>
      </w:r>
      <w:r w:rsidR="00531D7B" w:rsidRPr="005464FA">
        <w:t>The s</w:t>
      </w:r>
      <w:r w:rsidRPr="005464FA">
        <w:t xml:space="preserve">afety </w:t>
      </w:r>
      <w:r w:rsidR="00531D7B" w:rsidRPr="005464FA">
        <w:t xml:space="preserve">analysis set </w:t>
      </w:r>
      <w:r w:rsidRPr="005464FA">
        <w:t xml:space="preserve">(N=296) </w:t>
      </w:r>
      <w:r w:rsidR="00531D7B" w:rsidRPr="005464FA">
        <w:t>i</w:t>
      </w:r>
      <w:r w:rsidRPr="005464FA">
        <w:t xml:space="preserve">ncluded all patients who received at least </w:t>
      </w:r>
      <w:r w:rsidR="00531D7B" w:rsidRPr="005464FA">
        <w:t>one</w:t>
      </w:r>
      <w:r w:rsidRPr="005464FA">
        <w:t xml:space="preserve"> dose of randomised study drug.</w:t>
      </w:r>
    </w:p>
    <w:p w14:paraId="6B414BC7" w14:textId="080B3AD0" w:rsidR="00A1135A" w:rsidRPr="005464FA" w:rsidRDefault="00A1135A" w:rsidP="00A1135A">
      <w:pPr>
        <w:pStyle w:val="3-BodyText"/>
      </w:pPr>
      <w:r w:rsidRPr="005464FA">
        <w:rPr>
          <w:snapToGrid/>
        </w:rPr>
        <w:t xml:space="preserve">Details of </w:t>
      </w:r>
      <w:r w:rsidR="0064015C" w:rsidRPr="005464FA">
        <w:rPr>
          <w:snapToGrid/>
        </w:rPr>
        <w:t>the key p</w:t>
      </w:r>
      <w:r w:rsidR="00E17194" w:rsidRPr="005464FA">
        <w:rPr>
          <w:snapToGrid/>
        </w:rPr>
        <w:t>u</w:t>
      </w:r>
      <w:r w:rsidR="0064015C" w:rsidRPr="005464FA">
        <w:rPr>
          <w:snapToGrid/>
        </w:rPr>
        <w:t xml:space="preserve">blications of </w:t>
      </w:r>
      <w:r w:rsidR="00B071F0" w:rsidRPr="005464FA">
        <w:rPr>
          <w:snapToGrid/>
        </w:rPr>
        <w:t xml:space="preserve">OlympiAD </w:t>
      </w:r>
      <w:r w:rsidRPr="005464FA">
        <w:rPr>
          <w:snapToGrid/>
        </w:rPr>
        <w:t xml:space="preserve">presented in the submission are provided in </w:t>
      </w:r>
      <w:r w:rsidRPr="005464FA">
        <w:rPr>
          <w:snapToGrid/>
        </w:rPr>
        <w:fldChar w:fldCharType="begin" w:fldLock="1"/>
      </w:r>
      <w:r w:rsidRPr="005464FA">
        <w:rPr>
          <w:snapToGrid/>
        </w:rPr>
        <w:instrText xml:space="preserve"> REF _Ref104803956 \h </w:instrText>
      </w:r>
      <w:r w:rsidRPr="005464FA">
        <w:rPr>
          <w:snapToGrid/>
        </w:rPr>
      </w:r>
      <w:r w:rsidRPr="005464FA">
        <w:rPr>
          <w:snapToGrid/>
        </w:rPr>
        <w:fldChar w:fldCharType="separate"/>
      </w:r>
      <w:r w:rsidR="00122E11" w:rsidRPr="005464FA">
        <w:t>Table 3</w:t>
      </w:r>
      <w:r w:rsidRPr="005464FA">
        <w:rPr>
          <w:snapToGrid/>
        </w:rPr>
        <w:fldChar w:fldCharType="end"/>
      </w:r>
      <w:r w:rsidRPr="005464FA">
        <w:rPr>
          <w:snapToGrid/>
        </w:rPr>
        <w:t xml:space="preserve">. </w:t>
      </w:r>
    </w:p>
    <w:p w14:paraId="5A371A93" w14:textId="74E87E95" w:rsidR="00B071F0" w:rsidRPr="005464FA" w:rsidRDefault="00A1135A" w:rsidP="005F522F">
      <w:pPr>
        <w:pStyle w:val="TableFigureHeading"/>
        <w:keepLines/>
      </w:pPr>
      <w:bookmarkStart w:id="39" w:name="_Ref104803956"/>
      <w:r w:rsidRPr="005464FA">
        <w:lastRenderedPageBreak/>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3</w:t>
      </w:r>
      <w:r w:rsidR="00935AC4" w:rsidRPr="005464FA">
        <w:fldChar w:fldCharType="end"/>
      </w:r>
      <w:bookmarkEnd w:id="39"/>
      <w:r w:rsidRPr="005464FA">
        <w:t>:</w:t>
      </w:r>
      <w:r w:rsidRPr="005464FA">
        <w:rPr>
          <w:rStyle w:val="CommentReference"/>
          <w:b/>
          <w:szCs w:val="24"/>
        </w:rPr>
        <w:t xml:space="preserve"> </w:t>
      </w:r>
      <w:r w:rsidR="00B071F0" w:rsidRPr="005464FA">
        <w:rPr>
          <w:rStyle w:val="CommentReference"/>
          <w:b/>
          <w:szCs w:val="24"/>
        </w:rPr>
        <w:t>Trials and associated reports presented in the submission</w:t>
      </w:r>
    </w:p>
    <w:tbl>
      <w:tblPr>
        <w:tblW w:w="506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845"/>
        <w:gridCol w:w="6635"/>
        <w:gridCol w:w="1651"/>
      </w:tblGrid>
      <w:tr w:rsidR="007B6DE7" w:rsidRPr="005464FA" w14:paraId="2F232A9D" w14:textId="77777777" w:rsidTr="003E5223">
        <w:trPr>
          <w:tblHeader/>
        </w:trPr>
        <w:tc>
          <w:tcPr>
            <w:tcW w:w="463" w:type="pct"/>
            <w:tcBorders>
              <w:bottom w:val="single" w:sz="4" w:space="0" w:color="auto"/>
            </w:tcBorders>
            <w:vAlign w:val="center"/>
          </w:tcPr>
          <w:p w14:paraId="0F0358B7" w14:textId="77777777" w:rsidR="00B071F0" w:rsidRPr="005464FA" w:rsidRDefault="00B071F0" w:rsidP="005F522F">
            <w:pPr>
              <w:pStyle w:val="In-tableHeading"/>
              <w:keepLines/>
              <w:rPr>
                <w:lang w:val="en-AU"/>
              </w:rPr>
            </w:pPr>
            <w:r w:rsidRPr="005464FA">
              <w:rPr>
                <w:lang w:val="en-AU"/>
              </w:rPr>
              <w:t>Trial ID</w:t>
            </w:r>
          </w:p>
        </w:tc>
        <w:tc>
          <w:tcPr>
            <w:tcW w:w="3633" w:type="pct"/>
            <w:tcBorders>
              <w:bottom w:val="single" w:sz="4" w:space="0" w:color="auto"/>
            </w:tcBorders>
            <w:vAlign w:val="center"/>
          </w:tcPr>
          <w:p w14:paraId="0E6F19C2" w14:textId="77777777" w:rsidR="00B071F0" w:rsidRPr="005464FA" w:rsidRDefault="00B071F0" w:rsidP="005F522F">
            <w:pPr>
              <w:pStyle w:val="In-tableHeading"/>
              <w:keepLines/>
              <w:rPr>
                <w:lang w:val="en-AU"/>
              </w:rPr>
            </w:pPr>
            <w:r w:rsidRPr="005464FA">
              <w:rPr>
                <w:lang w:val="en-AU"/>
              </w:rPr>
              <w:t>Protocol title/ Publication title</w:t>
            </w:r>
          </w:p>
        </w:tc>
        <w:tc>
          <w:tcPr>
            <w:tcW w:w="904" w:type="pct"/>
            <w:tcBorders>
              <w:bottom w:val="single" w:sz="4" w:space="0" w:color="auto"/>
            </w:tcBorders>
            <w:vAlign w:val="center"/>
          </w:tcPr>
          <w:p w14:paraId="573BE092" w14:textId="77777777" w:rsidR="00B071F0" w:rsidRPr="005464FA" w:rsidRDefault="00B071F0" w:rsidP="005F522F">
            <w:pPr>
              <w:pStyle w:val="In-tableHeading"/>
              <w:keepLines/>
              <w:rPr>
                <w:lang w:val="en-AU"/>
              </w:rPr>
            </w:pPr>
            <w:r w:rsidRPr="005464FA">
              <w:rPr>
                <w:lang w:val="en-AU"/>
              </w:rPr>
              <w:t>Publication citation</w:t>
            </w:r>
          </w:p>
        </w:tc>
      </w:tr>
      <w:tr w:rsidR="007B6DE7" w:rsidRPr="005464FA" w14:paraId="106152C1" w14:textId="77777777" w:rsidTr="003E5223">
        <w:tc>
          <w:tcPr>
            <w:tcW w:w="463" w:type="pct"/>
            <w:tcBorders>
              <w:bottom w:val="nil"/>
            </w:tcBorders>
            <w:vAlign w:val="center"/>
          </w:tcPr>
          <w:p w14:paraId="7326A040" w14:textId="22DFDEC6" w:rsidR="00B071F0" w:rsidRPr="005464FA" w:rsidRDefault="00B071F0" w:rsidP="005F522F">
            <w:pPr>
              <w:pStyle w:val="TableText0"/>
              <w:keepLines/>
            </w:pPr>
          </w:p>
        </w:tc>
        <w:tc>
          <w:tcPr>
            <w:tcW w:w="3633" w:type="pct"/>
            <w:tcBorders>
              <w:bottom w:val="nil"/>
            </w:tcBorders>
            <w:vAlign w:val="center"/>
          </w:tcPr>
          <w:p w14:paraId="2BDEA193" w14:textId="77777777" w:rsidR="00B071F0" w:rsidRPr="005464FA" w:rsidRDefault="00B071F0" w:rsidP="005F522F">
            <w:pPr>
              <w:pStyle w:val="TableText0"/>
              <w:keepLines/>
              <w:rPr>
                <w:szCs w:val="18"/>
              </w:rPr>
            </w:pPr>
            <w:r w:rsidRPr="005464FA">
              <w:rPr>
                <w:szCs w:val="18"/>
              </w:rPr>
              <w:t xml:space="preserve">Clinical Study Report: A Phase III, Open Label, Randomised, Controlled, Multi-centre Study to Assess the Efficacy and Safety of Olaparib Monotherapy Versus Physician’s Choice Chemotherapy in the Treatment of Metastatic Breast Cancer Patients with Germline </w:t>
            </w:r>
            <w:r w:rsidRPr="005464FA">
              <w:rPr>
                <w:i/>
                <w:iCs/>
                <w:szCs w:val="18"/>
              </w:rPr>
              <w:t>BRCA1/2</w:t>
            </w:r>
            <w:r w:rsidRPr="005464FA">
              <w:rPr>
                <w:szCs w:val="18"/>
              </w:rPr>
              <w:t xml:space="preserve"> Mutations. </w:t>
            </w:r>
          </w:p>
        </w:tc>
        <w:tc>
          <w:tcPr>
            <w:tcW w:w="904" w:type="pct"/>
            <w:tcBorders>
              <w:bottom w:val="nil"/>
            </w:tcBorders>
            <w:vAlign w:val="center"/>
          </w:tcPr>
          <w:p w14:paraId="16E954A7" w14:textId="77777777" w:rsidR="00B071F0" w:rsidRPr="005464FA" w:rsidRDefault="00B071F0" w:rsidP="005F522F">
            <w:pPr>
              <w:pStyle w:val="TableText0"/>
              <w:keepLines/>
            </w:pPr>
            <w:r w:rsidRPr="005464FA">
              <w:rPr>
                <w:szCs w:val="18"/>
              </w:rPr>
              <w:t>7 June 2017</w:t>
            </w:r>
          </w:p>
        </w:tc>
      </w:tr>
      <w:tr w:rsidR="007B6DE7" w:rsidRPr="005464FA" w14:paraId="0DA053E2" w14:textId="77777777" w:rsidTr="003E5223">
        <w:tc>
          <w:tcPr>
            <w:tcW w:w="463" w:type="pct"/>
            <w:tcBorders>
              <w:top w:val="nil"/>
              <w:bottom w:val="nil"/>
            </w:tcBorders>
            <w:vAlign w:val="center"/>
          </w:tcPr>
          <w:p w14:paraId="00B05F8E" w14:textId="20F8114C" w:rsidR="00B071F0" w:rsidRPr="005464FA" w:rsidRDefault="00B071F0" w:rsidP="005F522F">
            <w:pPr>
              <w:pStyle w:val="TableText0"/>
              <w:keepLines/>
            </w:pPr>
          </w:p>
        </w:tc>
        <w:tc>
          <w:tcPr>
            <w:tcW w:w="3633" w:type="pct"/>
            <w:tcBorders>
              <w:top w:val="nil"/>
              <w:bottom w:val="nil"/>
            </w:tcBorders>
            <w:vAlign w:val="center"/>
          </w:tcPr>
          <w:p w14:paraId="094E68DC" w14:textId="77777777" w:rsidR="00B071F0" w:rsidRPr="005464FA" w:rsidRDefault="00B071F0" w:rsidP="005F522F">
            <w:pPr>
              <w:pStyle w:val="TableText0"/>
              <w:keepLines/>
              <w:rPr>
                <w:szCs w:val="18"/>
              </w:rPr>
            </w:pPr>
            <w:r w:rsidRPr="005464FA">
              <w:rPr>
                <w:szCs w:val="18"/>
              </w:rPr>
              <w:t xml:space="preserve">Clinical Study Report Addendum 1: A Phase III, Open Label, Randomised, Controlled, Multi-centre Study to Assess the Efficacy and Safety of Olaparib Monotherapy Versus Physician’s Choice Chemotherapy in the Treatment of Metastatic Breast Cancer Patients with Germline </w:t>
            </w:r>
            <w:r w:rsidRPr="005464FA">
              <w:rPr>
                <w:i/>
                <w:iCs/>
                <w:szCs w:val="18"/>
              </w:rPr>
              <w:t xml:space="preserve">BRCA1/2 </w:t>
            </w:r>
            <w:r w:rsidRPr="005464FA">
              <w:rPr>
                <w:szCs w:val="18"/>
              </w:rPr>
              <w:t xml:space="preserve">Mutations – Final Analysis of Overall Survival and Safety Update. </w:t>
            </w:r>
          </w:p>
        </w:tc>
        <w:tc>
          <w:tcPr>
            <w:tcW w:w="904" w:type="pct"/>
            <w:tcBorders>
              <w:top w:val="nil"/>
              <w:bottom w:val="nil"/>
            </w:tcBorders>
            <w:vAlign w:val="center"/>
          </w:tcPr>
          <w:p w14:paraId="20198216" w14:textId="77777777" w:rsidR="00B071F0" w:rsidRPr="005464FA" w:rsidRDefault="00B071F0" w:rsidP="005F522F">
            <w:pPr>
              <w:pStyle w:val="TableText0"/>
              <w:keepLines/>
              <w:rPr>
                <w:szCs w:val="18"/>
              </w:rPr>
            </w:pPr>
            <w:r w:rsidRPr="005464FA">
              <w:rPr>
                <w:szCs w:val="18"/>
              </w:rPr>
              <w:t>6 February 2018</w:t>
            </w:r>
          </w:p>
        </w:tc>
      </w:tr>
      <w:tr w:rsidR="007B6DE7" w:rsidRPr="005464FA" w14:paraId="02BC7F2D" w14:textId="77777777" w:rsidTr="003E5223">
        <w:tc>
          <w:tcPr>
            <w:tcW w:w="463" w:type="pct"/>
            <w:tcBorders>
              <w:top w:val="nil"/>
              <w:bottom w:val="nil"/>
            </w:tcBorders>
            <w:vAlign w:val="center"/>
          </w:tcPr>
          <w:p w14:paraId="5ABEC4AD" w14:textId="3F30DA34" w:rsidR="00B071F0" w:rsidRPr="005464FA" w:rsidRDefault="00B071F0" w:rsidP="005F522F">
            <w:pPr>
              <w:pStyle w:val="TableText0"/>
              <w:keepLines/>
            </w:pPr>
          </w:p>
        </w:tc>
        <w:tc>
          <w:tcPr>
            <w:tcW w:w="3633" w:type="pct"/>
            <w:tcBorders>
              <w:top w:val="nil"/>
              <w:bottom w:val="nil"/>
            </w:tcBorders>
            <w:vAlign w:val="center"/>
          </w:tcPr>
          <w:p w14:paraId="638C128D" w14:textId="77777777" w:rsidR="00B071F0" w:rsidRPr="005464FA" w:rsidRDefault="00B071F0" w:rsidP="005F522F">
            <w:pPr>
              <w:pStyle w:val="TableText0"/>
              <w:keepLines/>
              <w:rPr>
                <w:szCs w:val="18"/>
              </w:rPr>
            </w:pPr>
            <w:r w:rsidRPr="005464FA">
              <w:rPr>
                <w:szCs w:val="18"/>
              </w:rPr>
              <w:t xml:space="preserve">•Clinical Study Report Addendum 2: A Phase III, Open Label, Randomised, Controlled, Multi-centre Study to Assess the Efficacy and Safety of Olaparib Monotherapy Versus Physician’s Choice Chemotherapy in the Treatment of Metastatic Breast Cancer Patients with Germline </w:t>
            </w:r>
            <w:r w:rsidRPr="005464FA">
              <w:rPr>
                <w:i/>
                <w:iCs/>
                <w:szCs w:val="18"/>
              </w:rPr>
              <w:t>BRCA1/2</w:t>
            </w:r>
            <w:r w:rsidRPr="005464FA">
              <w:rPr>
                <w:szCs w:val="18"/>
              </w:rPr>
              <w:t xml:space="preserve"> Mutations – Extended Overall Survival Analysis. </w:t>
            </w:r>
          </w:p>
        </w:tc>
        <w:tc>
          <w:tcPr>
            <w:tcW w:w="904" w:type="pct"/>
            <w:tcBorders>
              <w:top w:val="nil"/>
              <w:bottom w:val="nil"/>
            </w:tcBorders>
            <w:vAlign w:val="center"/>
          </w:tcPr>
          <w:p w14:paraId="0FB08A76" w14:textId="77777777" w:rsidR="00B071F0" w:rsidRPr="005464FA" w:rsidRDefault="00B071F0" w:rsidP="005F522F">
            <w:pPr>
              <w:pStyle w:val="TableText0"/>
              <w:keepLines/>
              <w:rPr>
                <w:szCs w:val="18"/>
              </w:rPr>
            </w:pPr>
            <w:r w:rsidRPr="005464FA">
              <w:rPr>
                <w:szCs w:val="18"/>
              </w:rPr>
              <w:t>1 June 2020</w:t>
            </w:r>
          </w:p>
        </w:tc>
      </w:tr>
      <w:tr w:rsidR="007B6DE7" w:rsidRPr="005464FA" w14:paraId="66942E60" w14:textId="77777777" w:rsidTr="003E5223">
        <w:tc>
          <w:tcPr>
            <w:tcW w:w="463" w:type="pct"/>
            <w:tcBorders>
              <w:top w:val="nil"/>
              <w:bottom w:val="nil"/>
            </w:tcBorders>
            <w:vAlign w:val="center"/>
          </w:tcPr>
          <w:p w14:paraId="14679E91" w14:textId="77777777" w:rsidR="00B071F0" w:rsidRPr="005464FA" w:rsidRDefault="00B071F0" w:rsidP="005F522F">
            <w:pPr>
              <w:pStyle w:val="TableText0"/>
              <w:keepLines/>
            </w:pPr>
          </w:p>
        </w:tc>
        <w:tc>
          <w:tcPr>
            <w:tcW w:w="3633" w:type="pct"/>
            <w:tcBorders>
              <w:top w:val="nil"/>
              <w:bottom w:val="nil"/>
            </w:tcBorders>
            <w:vAlign w:val="center"/>
          </w:tcPr>
          <w:p w14:paraId="663AE383" w14:textId="77777777" w:rsidR="00B071F0" w:rsidRPr="005464FA" w:rsidRDefault="00B071F0" w:rsidP="005F522F">
            <w:pPr>
              <w:pStyle w:val="TableText0"/>
              <w:keepLines/>
              <w:rPr>
                <w:szCs w:val="18"/>
              </w:rPr>
            </w:pPr>
            <w:r w:rsidRPr="005F522F">
              <w:rPr>
                <w:szCs w:val="18"/>
                <w:lang w:val="de-DE"/>
              </w:rPr>
              <w:t xml:space="preserve">Robson, M., Im S.-A.; Senkus E., et al. </w:t>
            </w:r>
            <w:r w:rsidRPr="005464FA">
              <w:rPr>
                <w:szCs w:val="18"/>
              </w:rPr>
              <w:t xml:space="preserve">Olaparib for metastatic breast cancer in patients with a germline </w:t>
            </w:r>
            <w:r w:rsidRPr="005464FA">
              <w:rPr>
                <w:i/>
                <w:iCs/>
                <w:szCs w:val="18"/>
              </w:rPr>
              <w:t>BRCA</w:t>
            </w:r>
            <w:r w:rsidRPr="005464FA">
              <w:rPr>
                <w:szCs w:val="18"/>
              </w:rPr>
              <w:t xml:space="preserve"> mutation. </w:t>
            </w:r>
          </w:p>
        </w:tc>
        <w:tc>
          <w:tcPr>
            <w:tcW w:w="904" w:type="pct"/>
            <w:tcBorders>
              <w:top w:val="nil"/>
              <w:bottom w:val="nil"/>
            </w:tcBorders>
            <w:vAlign w:val="center"/>
          </w:tcPr>
          <w:p w14:paraId="7C370A54" w14:textId="77777777" w:rsidR="00B071F0" w:rsidRPr="005464FA" w:rsidRDefault="00B071F0" w:rsidP="005F522F">
            <w:pPr>
              <w:pStyle w:val="TableText0"/>
              <w:keepLines/>
              <w:rPr>
                <w:i/>
                <w:szCs w:val="18"/>
              </w:rPr>
            </w:pPr>
            <w:r w:rsidRPr="005464FA">
              <w:rPr>
                <w:szCs w:val="18"/>
              </w:rPr>
              <w:t>N</w:t>
            </w:r>
            <w:r w:rsidRPr="005464FA">
              <w:rPr>
                <w:i/>
                <w:iCs/>
                <w:szCs w:val="18"/>
              </w:rPr>
              <w:t>EJM</w:t>
            </w:r>
            <w:r w:rsidRPr="005464FA">
              <w:rPr>
                <w:szCs w:val="18"/>
              </w:rPr>
              <w:t xml:space="preserve"> 2017; 377(6): 523-533.</w:t>
            </w:r>
          </w:p>
        </w:tc>
      </w:tr>
      <w:tr w:rsidR="007B6DE7" w:rsidRPr="005464FA" w14:paraId="25C0DC33" w14:textId="77777777" w:rsidTr="003E5223">
        <w:tc>
          <w:tcPr>
            <w:tcW w:w="463" w:type="pct"/>
            <w:tcBorders>
              <w:top w:val="nil"/>
              <w:bottom w:val="nil"/>
            </w:tcBorders>
            <w:vAlign w:val="center"/>
          </w:tcPr>
          <w:p w14:paraId="5DC40E70" w14:textId="77777777" w:rsidR="00B071F0" w:rsidRPr="005464FA" w:rsidRDefault="00B071F0" w:rsidP="005F522F">
            <w:pPr>
              <w:pStyle w:val="TableText0"/>
              <w:keepLines/>
            </w:pPr>
          </w:p>
        </w:tc>
        <w:tc>
          <w:tcPr>
            <w:tcW w:w="3633" w:type="pct"/>
            <w:tcBorders>
              <w:top w:val="nil"/>
              <w:bottom w:val="nil"/>
            </w:tcBorders>
            <w:vAlign w:val="center"/>
          </w:tcPr>
          <w:p w14:paraId="456AB84D" w14:textId="77777777" w:rsidR="00B071F0" w:rsidRPr="005464FA" w:rsidRDefault="00B071F0" w:rsidP="005F522F">
            <w:pPr>
              <w:pStyle w:val="TableText0"/>
              <w:keepLines/>
            </w:pPr>
            <w:r w:rsidRPr="005F522F">
              <w:rPr>
                <w:lang w:val="de-DE"/>
              </w:rPr>
              <w:t xml:space="preserve">Robson M.E., Im S.-A., Senkus E., et al. </w:t>
            </w:r>
            <w:r w:rsidRPr="005464FA">
              <w:t xml:space="preserve">OlympiAD: Phase III trial of olaparib monotherapy versus chemotherapy for patients (pts) with HER2-negative metastatic breast cancer (mBC) and a germline </w:t>
            </w:r>
            <w:r w:rsidRPr="005464FA">
              <w:rPr>
                <w:i/>
                <w:iCs/>
              </w:rPr>
              <w:t>BRCA</w:t>
            </w:r>
            <w:r w:rsidRPr="005464FA">
              <w:t xml:space="preserve"> mutation (g</w:t>
            </w:r>
            <w:r w:rsidRPr="005464FA">
              <w:rPr>
                <w:i/>
                <w:iCs/>
              </w:rPr>
              <w:t>BRCA</w:t>
            </w:r>
            <w:r w:rsidRPr="005464FA">
              <w:t xml:space="preserve">m). </w:t>
            </w:r>
          </w:p>
        </w:tc>
        <w:tc>
          <w:tcPr>
            <w:tcW w:w="904" w:type="pct"/>
            <w:tcBorders>
              <w:top w:val="nil"/>
              <w:bottom w:val="nil"/>
            </w:tcBorders>
            <w:vAlign w:val="center"/>
          </w:tcPr>
          <w:p w14:paraId="2A2D451B" w14:textId="77777777" w:rsidR="00B071F0" w:rsidRPr="005464FA" w:rsidRDefault="00B071F0" w:rsidP="005F522F">
            <w:pPr>
              <w:pStyle w:val="TableText0"/>
              <w:keepLines/>
            </w:pPr>
            <w:r w:rsidRPr="005464FA">
              <w:rPr>
                <w:i/>
                <w:iCs/>
              </w:rPr>
              <w:t>Journal of Clinical Oncology</w:t>
            </w:r>
            <w:r w:rsidRPr="005464FA">
              <w:t xml:space="preserve"> 2017; 35(15 Supplement 1).</w:t>
            </w:r>
          </w:p>
        </w:tc>
      </w:tr>
      <w:tr w:rsidR="007B6DE7" w:rsidRPr="005464FA" w14:paraId="2A117CF8" w14:textId="77777777" w:rsidTr="003E5223">
        <w:tc>
          <w:tcPr>
            <w:tcW w:w="463" w:type="pct"/>
            <w:tcBorders>
              <w:top w:val="nil"/>
              <w:bottom w:val="nil"/>
            </w:tcBorders>
            <w:vAlign w:val="center"/>
          </w:tcPr>
          <w:p w14:paraId="72CC5DA0" w14:textId="502FDF6C" w:rsidR="00B071F0" w:rsidRPr="005464FA" w:rsidRDefault="007B6DE7" w:rsidP="005F522F">
            <w:pPr>
              <w:pStyle w:val="TableText0"/>
              <w:keepLines/>
            </w:pPr>
            <w:r w:rsidRPr="005464FA">
              <w:t>OlympiAD</w:t>
            </w:r>
          </w:p>
        </w:tc>
        <w:tc>
          <w:tcPr>
            <w:tcW w:w="3633" w:type="pct"/>
            <w:tcBorders>
              <w:top w:val="nil"/>
              <w:bottom w:val="single" w:sz="4" w:space="0" w:color="auto"/>
            </w:tcBorders>
            <w:vAlign w:val="center"/>
          </w:tcPr>
          <w:p w14:paraId="2530BFCF" w14:textId="77777777" w:rsidR="00B071F0" w:rsidRPr="005464FA" w:rsidRDefault="00B071F0" w:rsidP="005F522F">
            <w:pPr>
              <w:pStyle w:val="TableText0"/>
              <w:keepLines/>
              <w:rPr>
                <w:szCs w:val="18"/>
              </w:rPr>
            </w:pPr>
            <w:r w:rsidRPr="005464FA">
              <w:rPr>
                <w:szCs w:val="18"/>
              </w:rPr>
              <w:t xml:space="preserve">Robson M., Ruddy K.J., Im S-A, et al. OlympiAD: Health-related quality of life (HRQoL) in patients with HER2-negative metastatic breast cancer (mBC) and a germline </w:t>
            </w:r>
            <w:r w:rsidRPr="005464FA">
              <w:rPr>
                <w:i/>
                <w:iCs/>
                <w:szCs w:val="18"/>
              </w:rPr>
              <w:t xml:space="preserve">BRCA </w:t>
            </w:r>
            <w:r w:rsidRPr="005464FA">
              <w:rPr>
                <w:szCs w:val="18"/>
              </w:rPr>
              <w:t>mutation (g</w:t>
            </w:r>
            <w:r w:rsidRPr="005464FA">
              <w:rPr>
                <w:i/>
                <w:iCs/>
                <w:szCs w:val="18"/>
              </w:rPr>
              <w:t>BRCA</w:t>
            </w:r>
            <w:r w:rsidRPr="005464FA">
              <w:rPr>
                <w:szCs w:val="18"/>
              </w:rPr>
              <w:t xml:space="preserve">m) receiving olaparib monotherapy vs standard single-agent chemotherapy treatment of physician's choice (TPC). </w:t>
            </w:r>
          </w:p>
        </w:tc>
        <w:tc>
          <w:tcPr>
            <w:tcW w:w="904" w:type="pct"/>
            <w:tcBorders>
              <w:top w:val="nil"/>
              <w:bottom w:val="single" w:sz="4" w:space="0" w:color="auto"/>
            </w:tcBorders>
            <w:vAlign w:val="center"/>
          </w:tcPr>
          <w:p w14:paraId="5A3B2544" w14:textId="77777777" w:rsidR="00B071F0" w:rsidRPr="005464FA" w:rsidRDefault="00B071F0" w:rsidP="005F522F">
            <w:pPr>
              <w:pStyle w:val="TableText0"/>
              <w:keepLines/>
              <w:rPr>
                <w:i/>
              </w:rPr>
            </w:pPr>
            <w:r w:rsidRPr="005464FA">
              <w:rPr>
                <w:i/>
                <w:iCs/>
                <w:szCs w:val="18"/>
              </w:rPr>
              <w:t>Annals of Oncology</w:t>
            </w:r>
            <w:r w:rsidRPr="005464FA">
              <w:rPr>
                <w:szCs w:val="18"/>
              </w:rPr>
              <w:t xml:space="preserve"> 2017; 28(Supplement 5):v96.</w:t>
            </w:r>
          </w:p>
        </w:tc>
      </w:tr>
      <w:tr w:rsidR="009E2E3E" w:rsidRPr="005464FA" w14:paraId="35534E1F" w14:textId="77777777" w:rsidTr="003E5223">
        <w:tc>
          <w:tcPr>
            <w:tcW w:w="463" w:type="pct"/>
            <w:tcBorders>
              <w:top w:val="nil"/>
              <w:bottom w:val="nil"/>
            </w:tcBorders>
            <w:vAlign w:val="center"/>
          </w:tcPr>
          <w:p w14:paraId="38540173" w14:textId="77777777" w:rsidR="007B6DE7" w:rsidRPr="005464FA" w:rsidRDefault="007B6DE7" w:rsidP="005F522F">
            <w:pPr>
              <w:pStyle w:val="TableText0"/>
              <w:keepLines/>
            </w:pPr>
          </w:p>
        </w:tc>
        <w:tc>
          <w:tcPr>
            <w:tcW w:w="3633" w:type="pct"/>
            <w:tcBorders>
              <w:top w:val="nil"/>
              <w:bottom w:val="single" w:sz="4" w:space="0" w:color="auto"/>
            </w:tcBorders>
            <w:vAlign w:val="center"/>
          </w:tcPr>
          <w:p w14:paraId="09C86ECC" w14:textId="55F445EC" w:rsidR="007B6DE7" w:rsidRPr="005464FA" w:rsidRDefault="007B6DE7" w:rsidP="005F522F">
            <w:pPr>
              <w:pStyle w:val="TableText0"/>
              <w:keepLines/>
              <w:rPr>
                <w:szCs w:val="18"/>
              </w:rPr>
            </w:pPr>
            <w:r w:rsidRPr="005464FA">
              <w:rPr>
                <w:szCs w:val="18"/>
              </w:rPr>
              <w:t xml:space="preserve">Delaloge S., Conte P.F., Im S.-A., et al. OlympiAD: Further efficacy outcomes in patients with HER2-negative metastatic breast cancer and a germline </w:t>
            </w:r>
            <w:r w:rsidR="009F5B43" w:rsidRPr="005464FA">
              <w:rPr>
                <w:i/>
                <w:iCs/>
                <w:szCs w:val="18"/>
              </w:rPr>
              <w:t>BRCA</w:t>
            </w:r>
            <w:r w:rsidRPr="005464FA">
              <w:rPr>
                <w:szCs w:val="18"/>
              </w:rPr>
              <w:t xml:space="preserve"> mutation receiving olaparib monotherapy vs standard single-agent chemotherapy treatment of physician's choice. </w:t>
            </w:r>
          </w:p>
        </w:tc>
        <w:tc>
          <w:tcPr>
            <w:tcW w:w="904" w:type="pct"/>
            <w:tcBorders>
              <w:top w:val="nil"/>
              <w:bottom w:val="single" w:sz="4" w:space="0" w:color="auto"/>
            </w:tcBorders>
            <w:vAlign w:val="center"/>
          </w:tcPr>
          <w:p w14:paraId="694F4FAA" w14:textId="7C5009CF" w:rsidR="007B6DE7" w:rsidRPr="005464FA" w:rsidRDefault="007B6DE7" w:rsidP="005F522F">
            <w:pPr>
              <w:pStyle w:val="TableText0"/>
              <w:keepLines/>
              <w:rPr>
                <w:i/>
                <w:iCs/>
                <w:szCs w:val="18"/>
              </w:rPr>
            </w:pPr>
            <w:r w:rsidRPr="005464FA">
              <w:rPr>
                <w:i/>
                <w:iCs/>
                <w:szCs w:val="18"/>
              </w:rPr>
              <w:t>Annals of Oncology 2017; 28(Supplement 5):v77</w:t>
            </w:r>
          </w:p>
        </w:tc>
      </w:tr>
      <w:tr w:rsidR="009E2E3E" w:rsidRPr="005464FA" w14:paraId="1A9E420D" w14:textId="77777777" w:rsidTr="003E5223">
        <w:tc>
          <w:tcPr>
            <w:tcW w:w="463" w:type="pct"/>
            <w:tcBorders>
              <w:top w:val="nil"/>
              <w:bottom w:val="nil"/>
            </w:tcBorders>
            <w:vAlign w:val="center"/>
          </w:tcPr>
          <w:p w14:paraId="58A8EE58" w14:textId="77777777" w:rsidR="007B6DE7" w:rsidRPr="005464FA" w:rsidRDefault="007B6DE7" w:rsidP="005F522F">
            <w:pPr>
              <w:pStyle w:val="TableText0"/>
              <w:keepLines/>
            </w:pPr>
          </w:p>
        </w:tc>
        <w:tc>
          <w:tcPr>
            <w:tcW w:w="3633" w:type="pct"/>
            <w:tcBorders>
              <w:top w:val="nil"/>
              <w:bottom w:val="single" w:sz="4" w:space="0" w:color="auto"/>
            </w:tcBorders>
            <w:vAlign w:val="center"/>
          </w:tcPr>
          <w:p w14:paraId="63CC8BDF" w14:textId="0639A132" w:rsidR="007B6DE7" w:rsidRPr="005464FA" w:rsidRDefault="007B6DE7" w:rsidP="005F522F">
            <w:pPr>
              <w:pStyle w:val="TableText0"/>
              <w:keepLines/>
              <w:rPr>
                <w:szCs w:val="18"/>
              </w:rPr>
            </w:pPr>
            <w:r w:rsidRPr="005F522F">
              <w:rPr>
                <w:szCs w:val="18"/>
                <w:lang w:val="de-DE"/>
              </w:rPr>
              <w:t xml:space="preserve">Robson M., Ruddy K.J., IM S.-A., et al. </w:t>
            </w:r>
            <w:r w:rsidRPr="005464FA">
              <w:rPr>
                <w:szCs w:val="18"/>
              </w:rPr>
              <w:t xml:space="preserve">Patient-reported outcomes in patients with a germline </w:t>
            </w:r>
            <w:r w:rsidR="009F5B43" w:rsidRPr="005464FA">
              <w:rPr>
                <w:i/>
                <w:iCs/>
                <w:szCs w:val="18"/>
              </w:rPr>
              <w:t>BRCA</w:t>
            </w:r>
            <w:r w:rsidRPr="005464FA">
              <w:rPr>
                <w:szCs w:val="18"/>
              </w:rPr>
              <w:t xml:space="preserve"> mutation and HER2-negative metastatic breast cancer receiving olaparib versus chemotherapy in the OlympiAD trial. </w:t>
            </w:r>
          </w:p>
        </w:tc>
        <w:tc>
          <w:tcPr>
            <w:tcW w:w="904" w:type="pct"/>
            <w:tcBorders>
              <w:top w:val="nil"/>
              <w:bottom w:val="single" w:sz="4" w:space="0" w:color="auto"/>
            </w:tcBorders>
            <w:vAlign w:val="center"/>
          </w:tcPr>
          <w:p w14:paraId="391EC50D" w14:textId="68464657" w:rsidR="007B6DE7" w:rsidRPr="005464FA" w:rsidRDefault="007B6DE7" w:rsidP="005F522F">
            <w:pPr>
              <w:pStyle w:val="TableText0"/>
              <w:keepLines/>
              <w:rPr>
                <w:i/>
                <w:iCs/>
                <w:szCs w:val="18"/>
              </w:rPr>
            </w:pPr>
            <w:r w:rsidRPr="005464FA">
              <w:rPr>
                <w:i/>
                <w:iCs/>
                <w:szCs w:val="18"/>
              </w:rPr>
              <w:t>European Journal of Cancer 2019; 120:20-30.</w:t>
            </w:r>
          </w:p>
        </w:tc>
      </w:tr>
      <w:tr w:rsidR="009E2E3E" w:rsidRPr="005464FA" w14:paraId="110B2FC5" w14:textId="77777777" w:rsidTr="003E5223">
        <w:tc>
          <w:tcPr>
            <w:tcW w:w="463" w:type="pct"/>
            <w:tcBorders>
              <w:top w:val="nil"/>
              <w:bottom w:val="nil"/>
            </w:tcBorders>
            <w:vAlign w:val="center"/>
          </w:tcPr>
          <w:p w14:paraId="2BA0E34A" w14:textId="77777777" w:rsidR="007B6DE7" w:rsidRPr="005464FA" w:rsidRDefault="007B6DE7" w:rsidP="005F522F">
            <w:pPr>
              <w:pStyle w:val="TableText0"/>
              <w:keepLines/>
            </w:pPr>
          </w:p>
        </w:tc>
        <w:tc>
          <w:tcPr>
            <w:tcW w:w="3633" w:type="pct"/>
            <w:tcBorders>
              <w:top w:val="nil"/>
              <w:bottom w:val="single" w:sz="4" w:space="0" w:color="auto"/>
            </w:tcBorders>
            <w:vAlign w:val="center"/>
          </w:tcPr>
          <w:p w14:paraId="563C622D" w14:textId="4E244C26" w:rsidR="007B6DE7" w:rsidRPr="005464FA" w:rsidRDefault="007B6DE7" w:rsidP="005F522F">
            <w:pPr>
              <w:pStyle w:val="TableText0"/>
              <w:keepLines/>
              <w:rPr>
                <w:szCs w:val="18"/>
              </w:rPr>
            </w:pPr>
            <w:r w:rsidRPr="005464FA">
              <w:rPr>
                <w:szCs w:val="18"/>
              </w:rPr>
              <w:t xml:space="preserve">Robson M.E., Tung N., Conte P., et al. OlympiAD final overall survival and tolerability results: Olaparib versus chemotherapy treatment of physician's choice in patients with a germline </w:t>
            </w:r>
            <w:r w:rsidR="009F5B43" w:rsidRPr="005464FA">
              <w:rPr>
                <w:i/>
                <w:iCs/>
                <w:szCs w:val="18"/>
              </w:rPr>
              <w:t>BRCA</w:t>
            </w:r>
            <w:r w:rsidRPr="005464FA">
              <w:rPr>
                <w:szCs w:val="18"/>
              </w:rPr>
              <w:t xml:space="preserve"> mutation and HER2-negative metastatic breast cancer. </w:t>
            </w:r>
          </w:p>
        </w:tc>
        <w:tc>
          <w:tcPr>
            <w:tcW w:w="904" w:type="pct"/>
            <w:tcBorders>
              <w:top w:val="nil"/>
              <w:bottom w:val="single" w:sz="4" w:space="0" w:color="auto"/>
            </w:tcBorders>
            <w:vAlign w:val="center"/>
          </w:tcPr>
          <w:p w14:paraId="658F3F72" w14:textId="484E5A5A" w:rsidR="007B6DE7" w:rsidRPr="005464FA" w:rsidRDefault="007B6DE7" w:rsidP="005F522F">
            <w:pPr>
              <w:pStyle w:val="TableText0"/>
              <w:keepLines/>
              <w:rPr>
                <w:i/>
                <w:iCs/>
                <w:szCs w:val="18"/>
              </w:rPr>
            </w:pPr>
            <w:r w:rsidRPr="005464FA">
              <w:rPr>
                <w:i/>
                <w:iCs/>
                <w:szCs w:val="18"/>
              </w:rPr>
              <w:t>Annals of Oncology 2019; 30(4):558-566.</w:t>
            </w:r>
          </w:p>
        </w:tc>
      </w:tr>
      <w:tr w:rsidR="009E2E3E" w:rsidRPr="005464FA" w14:paraId="5D59925C" w14:textId="77777777" w:rsidTr="003E5223">
        <w:tc>
          <w:tcPr>
            <w:tcW w:w="463" w:type="pct"/>
            <w:tcBorders>
              <w:top w:val="nil"/>
              <w:bottom w:val="single" w:sz="4" w:space="0" w:color="auto"/>
            </w:tcBorders>
            <w:vAlign w:val="center"/>
          </w:tcPr>
          <w:p w14:paraId="6BCF9B35" w14:textId="77777777" w:rsidR="007B6DE7" w:rsidRPr="005464FA" w:rsidRDefault="007B6DE7" w:rsidP="005F522F">
            <w:pPr>
              <w:pStyle w:val="TableText0"/>
              <w:keepLines/>
            </w:pPr>
          </w:p>
        </w:tc>
        <w:tc>
          <w:tcPr>
            <w:tcW w:w="3633" w:type="pct"/>
            <w:tcBorders>
              <w:top w:val="nil"/>
              <w:bottom w:val="single" w:sz="4" w:space="0" w:color="auto"/>
            </w:tcBorders>
            <w:vAlign w:val="center"/>
          </w:tcPr>
          <w:p w14:paraId="16822A6E" w14:textId="5CBF822D" w:rsidR="007B6DE7" w:rsidRPr="005464FA" w:rsidRDefault="007B6DE7" w:rsidP="005F522F">
            <w:pPr>
              <w:pStyle w:val="TableText0"/>
              <w:keepLines/>
              <w:rPr>
                <w:szCs w:val="18"/>
              </w:rPr>
            </w:pPr>
            <w:r w:rsidRPr="005F522F">
              <w:rPr>
                <w:szCs w:val="18"/>
                <w:lang w:val="de-DE"/>
              </w:rPr>
              <w:t xml:space="preserve">Im S.-A., Xu B., Li W., et al. </w:t>
            </w:r>
            <w:r w:rsidRPr="005464FA">
              <w:rPr>
                <w:szCs w:val="18"/>
              </w:rPr>
              <w:t xml:space="preserve">Olaparib monotherapy for Asian patients with a germline </w:t>
            </w:r>
            <w:r w:rsidR="009F5B43" w:rsidRPr="005464FA">
              <w:rPr>
                <w:i/>
                <w:iCs/>
                <w:szCs w:val="18"/>
              </w:rPr>
              <w:t>BRCA</w:t>
            </w:r>
            <w:r w:rsidRPr="005464FA">
              <w:rPr>
                <w:szCs w:val="18"/>
              </w:rPr>
              <w:t xml:space="preserve"> mutation and HER2-negative metastatic breast cancer: OlympiAD randomized trial subgroup analysis. </w:t>
            </w:r>
          </w:p>
        </w:tc>
        <w:tc>
          <w:tcPr>
            <w:tcW w:w="904" w:type="pct"/>
            <w:tcBorders>
              <w:top w:val="nil"/>
              <w:bottom w:val="single" w:sz="4" w:space="0" w:color="auto"/>
            </w:tcBorders>
            <w:vAlign w:val="center"/>
          </w:tcPr>
          <w:p w14:paraId="1AA28046" w14:textId="1E341B0D" w:rsidR="007B6DE7" w:rsidRPr="005464FA" w:rsidRDefault="007B6DE7" w:rsidP="005F522F">
            <w:pPr>
              <w:pStyle w:val="TableText0"/>
              <w:keepLines/>
              <w:rPr>
                <w:i/>
                <w:iCs/>
                <w:szCs w:val="18"/>
              </w:rPr>
            </w:pPr>
            <w:r w:rsidRPr="005464FA">
              <w:rPr>
                <w:i/>
                <w:iCs/>
                <w:szCs w:val="18"/>
              </w:rPr>
              <w:t>Scientific reports 2020; 10(1):8753.</w:t>
            </w:r>
          </w:p>
        </w:tc>
      </w:tr>
      <w:tr w:rsidR="009E2E3E" w:rsidRPr="005464FA" w14:paraId="423B7B9B" w14:textId="77777777" w:rsidTr="003E5223">
        <w:tc>
          <w:tcPr>
            <w:tcW w:w="463" w:type="pct"/>
            <w:tcBorders>
              <w:top w:val="single" w:sz="4" w:space="0" w:color="auto"/>
              <w:bottom w:val="nil"/>
            </w:tcBorders>
            <w:vAlign w:val="center"/>
          </w:tcPr>
          <w:p w14:paraId="4A25342A" w14:textId="77777777" w:rsidR="007B6DE7" w:rsidRPr="005464FA" w:rsidRDefault="007B6DE7" w:rsidP="005F522F">
            <w:pPr>
              <w:pStyle w:val="TableText0"/>
              <w:keepLines/>
            </w:pPr>
          </w:p>
        </w:tc>
        <w:tc>
          <w:tcPr>
            <w:tcW w:w="3633" w:type="pct"/>
            <w:tcBorders>
              <w:top w:val="nil"/>
              <w:bottom w:val="single" w:sz="4" w:space="0" w:color="auto"/>
            </w:tcBorders>
            <w:vAlign w:val="center"/>
          </w:tcPr>
          <w:p w14:paraId="104EFAF0" w14:textId="220E3CAD" w:rsidR="007B6DE7" w:rsidRPr="005464FA" w:rsidRDefault="007B6DE7" w:rsidP="005F522F">
            <w:pPr>
              <w:pStyle w:val="TableText0"/>
              <w:keepLines/>
              <w:rPr>
                <w:szCs w:val="18"/>
              </w:rPr>
            </w:pPr>
            <w:r w:rsidRPr="005F522F">
              <w:rPr>
                <w:szCs w:val="18"/>
                <w:lang w:val="de-DE"/>
              </w:rPr>
              <w:t xml:space="preserve">Robson M.E., Im S.-A., Senkus E., et al. </w:t>
            </w:r>
            <w:r w:rsidRPr="005464FA">
              <w:rPr>
                <w:szCs w:val="18"/>
              </w:rPr>
              <w:t xml:space="preserve">OlympiAD extended follow-up for overall survival and safety: Olaparib versus chemotherapy treatment of physician's choice in patients with a germline </w:t>
            </w:r>
            <w:r w:rsidR="009F5B43" w:rsidRPr="005464FA">
              <w:rPr>
                <w:i/>
                <w:iCs/>
                <w:szCs w:val="18"/>
              </w:rPr>
              <w:t>BRCA</w:t>
            </w:r>
            <w:r w:rsidRPr="005464FA">
              <w:rPr>
                <w:szCs w:val="18"/>
              </w:rPr>
              <w:t xml:space="preserve"> mutation and HER2-negative metastatic breast cancer.</w:t>
            </w:r>
          </w:p>
        </w:tc>
        <w:tc>
          <w:tcPr>
            <w:tcW w:w="904" w:type="pct"/>
            <w:tcBorders>
              <w:top w:val="nil"/>
              <w:bottom w:val="single" w:sz="4" w:space="0" w:color="auto"/>
            </w:tcBorders>
            <w:vAlign w:val="center"/>
          </w:tcPr>
          <w:p w14:paraId="40FD8E32" w14:textId="715E71A1" w:rsidR="007B6DE7" w:rsidRPr="005464FA" w:rsidRDefault="007B6DE7" w:rsidP="005F522F">
            <w:pPr>
              <w:pStyle w:val="TableText0"/>
              <w:keepLines/>
              <w:rPr>
                <w:i/>
                <w:iCs/>
                <w:szCs w:val="18"/>
              </w:rPr>
            </w:pPr>
            <w:r w:rsidRPr="005464FA">
              <w:rPr>
                <w:i/>
                <w:iCs/>
                <w:szCs w:val="18"/>
              </w:rPr>
              <w:t>European Journal of Cancer 2023; 184:39-47.</w:t>
            </w:r>
          </w:p>
        </w:tc>
      </w:tr>
      <w:tr w:rsidR="009E2E3E" w:rsidRPr="005464FA" w14:paraId="1216378D" w14:textId="77777777" w:rsidTr="003E5223">
        <w:tc>
          <w:tcPr>
            <w:tcW w:w="463" w:type="pct"/>
            <w:tcBorders>
              <w:top w:val="nil"/>
              <w:bottom w:val="single" w:sz="4" w:space="0" w:color="auto"/>
            </w:tcBorders>
            <w:vAlign w:val="center"/>
          </w:tcPr>
          <w:p w14:paraId="2317BAC5" w14:textId="77777777" w:rsidR="007B6DE7" w:rsidRPr="005464FA" w:rsidRDefault="007B6DE7" w:rsidP="005F522F">
            <w:pPr>
              <w:pStyle w:val="TableText0"/>
              <w:keepLines/>
            </w:pPr>
          </w:p>
        </w:tc>
        <w:tc>
          <w:tcPr>
            <w:tcW w:w="3633" w:type="pct"/>
            <w:tcBorders>
              <w:top w:val="nil"/>
              <w:bottom w:val="single" w:sz="4" w:space="0" w:color="auto"/>
            </w:tcBorders>
            <w:vAlign w:val="center"/>
          </w:tcPr>
          <w:p w14:paraId="6064CA5E" w14:textId="2DFB6586" w:rsidR="007B6DE7" w:rsidRPr="005464FA" w:rsidRDefault="007B6DE7" w:rsidP="005F522F">
            <w:pPr>
              <w:pStyle w:val="TableText0"/>
              <w:keepLines/>
              <w:rPr>
                <w:szCs w:val="18"/>
              </w:rPr>
            </w:pPr>
            <w:r w:rsidRPr="005F522F">
              <w:rPr>
                <w:szCs w:val="18"/>
                <w:lang w:val="de-DE"/>
              </w:rPr>
              <w:t xml:space="preserve">Senkus E.; Delaloge S.; Domchek S.M., et al. </w:t>
            </w:r>
            <w:r w:rsidRPr="005464FA">
              <w:rPr>
                <w:szCs w:val="18"/>
              </w:rPr>
              <w:t xml:space="preserve">Olaparib efficacy in patients with germline </w:t>
            </w:r>
            <w:r w:rsidR="009F5B43" w:rsidRPr="005464FA">
              <w:rPr>
                <w:i/>
                <w:iCs/>
                <w:szCs w:val="18"/>
              </w:rPr>
              <w:t>BRCA</w:t>
            </w:r>
            <w:r w:rsidRPr="005464FA">
              <w:rPr>
                <w:szCs w:val="18"/>
              </w:rPr>
              <w:t xml:space="preserve">-mutated, HER2-negative metastatic breast cancer: Subgroup analyses from the phase III OlympiAD trial. </w:t>
            </w:r>
          </w:p>
        </w:tc>
        <w:tc>
          <w:tcPr>
            <w:tcW w:w="904" w:type="pct"/>
            <w:tcBorders>
              <w:top w:val="nil"/>
              <w:bottom w:val="single" w:sz="4" w:space="0" w:color="auto"/>
            </w:tcBorders>
            <w:vAlign w:val="center"/>
          </w:tcPr>
          <w:p w14:paraId="15B457D6" w14:textId="014EC6A6" w:rsidR="007B6DE7" w:rsidRPr="005464FA" w:rsidRDefault="007B6DE7" w:rsidP="005F522F">
            <w:pPr>
              <w:pStyle w:val="TableText0"/>
              <w:keepLines/>
              <w:rPr>
                <w:i/>
                <w:iCs/>
                <w:szCs w:val="18"/>
              </w:rPr>
            </w:pPr>
            <w:r w:rsidRPr="005464FA">
              <w:rPr>
                <w:i/>
                <w:iCs/>
                <w:szCs w:val="18"/>
              </w:rPr>
              <w:t>International Journal of Cancer 2023; 153(4):803-814.</w:t>
            </w:r>
          </w:p>
        </w:tc>
      </w:tr>
    </w:tbl>
    <w:p w14:paraId="375DFE4C" w14:textId="1B325D9F" w:rsidR="00A1135A" w:rsidRPr="005464FA" w:rsidRDefault="00B071F0" w:rsidP="005F522F">
      <w:pPr>
        <w:pStyle w:val="FooterTableFigure"/>
      </w:pPr>
      <w:r w:rsidRPr="005464FA">
        <w:t xml:space="preserve">Source: Table 2.3, p42 of the submission. </w:t>
      </w:r>
    </w:p>
    <w:p w14:paraId="49E24BEE" w14:textId="555C6F2B" w:rsidR="00B071F0" w:rsidRPr="005464FA" w:rsidRDefault="00A1135A" w:rsidP="00B071F0">
      <w:pPr>
        <w:pStyle w:val="3-BodyText"/>
        <w:rPr>
          <w:color w:val="0066FF"/>
        </w:rPr>
      </w:pPr>
      <w:r w:rsidRPr="005464FA">
        <w:t xml:space="preserve">The key features of the included evidence are summarised in </w:t>
      </w:r>
      <w:r w:rsidRPr="005464FA">
        <w:fldChar w:fldCharType="begin" w:fldLock="1"/>
      </w:r>
      <w:r w:rsidRPr="005464FA">
        <w:instrText xml:space="preserve"> REF _Ref104804098 \h  \* MERGEFORMAT </w:instrText>
      </w:r>
      <w:r w:rsidRPr="005464FA">
        <w:fldChar w:fldCharType="separate"/>
      </w:r>
      <w:r w:rsidR="00122E11" w:rsidRPr="005464FA">
        <w:t>Table 4</w:t>
      </w:r>
      <w:r w:rsidRPr="005464FA">
        <w:fldChar w:fldCharType="end"/>
      </w:r>
      <w:r w:rsidRPr="005464FA">
        <w:t xml:space="preserve">. </w:t>
      </w:r>
    </w:p>
    <w:p w14:paraId="0E1D8431" w14:textId="383E0363" w:rsidR="00B071F0" w:rsidRPr="005464FA" w:rsidRDefault="00A1135A" w:rsidP="000D3C37">
      <w:pPr>
        <w:pStyle w:val="Caption"/>
        <w:rPr>
          <w:rStyle w:val="CommentReference"/>
          <w:rFonts w:eastAsiaTheme="majorEastAsia" w:cstheme="majorBidi"/>
          <w:b/>
          <w:szCs w:val="24"/>
        </w:rPr>
      </w:pPr>
      <w:bookmarkStart w:id="40" w:name="_Ref104804098"/>
      <w:r w:rsidRPr="005464FA">
        <w:rPr>
          <w:rStyle w:val="CommentReference"/>
          <w:rFonts w:eastAsiaTheme="majorEastAsia" w:cstheme="majorBidi"/>
          <w:b/>
          <w:szCs w:val="24"/>
        </w:rPr>
        <w:lastRenderedPageBreak/>
        <w:t xml:space="preserve">Table </w:t>
      </w:r>
      <w:r w:rsidRPr="005464FA">
        <w:rPr>
          <w:rStyle w:val="CommentReference"/>
          <w:rFonts w:eastAsiaTheme="majorEastAsia" w:cstheme="majorBidi"/>
          <w:b/>
          <w:szCs w:val="24"/>
        </w:rPr>
        <w:fldChar w:fldCharType="begin" w:fldLock="1"/>
      </w:r>
      <w:r w:rsidRPr="005464FA">
        <w:rPr>
          <w:rStyle w:val="CommentReference"/>
          <w:rFonts w:eastAsiaTheme="majorEastAsia" w:cstheme="majorBidi"/>
          <w:b/>
          <w:szCs w:val="24"/>
        </w:rPr>
        <w:instrText xml:space="preserve"> SEQ Table \* ARABIC </w:instrText>
      </w:r>
      <w:r w:rsidRPr="005464FA">
        <w:rPr>
          <w:rStyle w:val="CommentReference"/>
          <w:rFonts w:eastAsiaTheme="majorEastAsia" w:cstheme="majorBidi"/>
          <w:b/>
          <w:szCs w:val="24"/>
        </w:rPr>
        <w:fldChar w:fldCharType="separate"/>
      </w:r>
      <w:r w:rsidR="00122E11" w:rsidRPr="005464FA">
        <w:rPr>
          <w:rStyle w:val="CommentReference"/>
          <w:rFonts w:eastAsiaTheme="majorEastAsia" w:cstheme="majorBidi"/>
          <w:b/>
          <w:szCs w:val="24"/>
        </w:rPr>
        <w:t>4</w:t>
      </w:r>
      <w:r w:rsidRPr="005464FA">
        <w:rPr>
          <w:rStyle w:val="CommentReference"/>
          <w:rFonts w:eastAsiaTheme="majorEastAsia" w:cstheme="majorBidi"/>
          <w:b/>
          <w:szCs w:val="24"/>
        </w:rPr>
        <w:fldChar w:fldCharType="end"/>
      </w:r>
      <w:bookmarkEnd w:id="40"/>
      <w:r w:rsidRPr="005464FA">
        <w:rPr>
          <w:rStyle w:val="CommentReference"/>
          <w:rFonts w:eastAsiaTheme="majorEastAsia" w:cstheme="majorBidi"/>
          <w:b/>
          <w:szCs w:val="24"/>
        </w:rPr>
        <w:t xml:space="preserve">: </w:t>
      </w:r>
      <w:r w:rsidR="00B071F0" w:rsidRPr="005464FA">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w:tblPr>
      <w:tblGrid>
        <w:gridCol w:w="1554"/>
        <w:gridCol w:w="426"/>
        <w:gridCol w:w="851"/>
        <w:gridCol w:w="849"/>
        <w:gridCol w:w="3214"/>
        <w:gridCol w:w="985"/>
        <w:gridCol w:w="1138"/>
      </w:tblGrid>
      <w:tr w:rsidR="00B071F0" w:rsidRPr="005464FA" w14:paraId="068ACE9F" w14:textId="77777777" w:rsidTr="003A0777">
        <w:trPr>
          <w:cantSplit/>
          <w:tblHeader/>
        </w:trPr>
        <w:tc>
          <w:tcPr>
            <w:tcW w:w="862" w:type="pct"/>
            <w:shd w:val="clear" w:color="auto" w:fill="auto"/>
            <w:vAlign w:val="center"/>
          </w:tcPr>
          <w:p w14:paraId="1D650B91" w14:textId="77777777" w:rsidR="00B071F0" w:rsidRPr="005464FA" w:rsidRDefault="00B071F0" w:rsidP="005F522F">
            <w:pPr>
              <w:pStyle w:val="In-tableHeading"/>
              <w:keepLines/>
              <w:rPr>
                <w:lang w:val="en-AU"/>
              </w:rPr>
            </w:pPr>
            <w:r w:rsidRPr="005464FA">
              <w:rPr>
                <w:lang w:val="en-AU"/>
              </w:rPr>
              <w:t>Trial</w:t>
            </w:r>
          </w:p>
        </w:tc>
        <w:tc>
          <w:tcPr>
            <w:tcW w:w="236" w:type="pct"/>
            <w:shd w:val="clear" w:color="auto" w:fill="auto"/>
            <w:vAlign w:val="center"/>
          </w:tcPr>
          <w:p w14:paraId="48798341" w14:textId="77777777" w:rsidR="00B071F0" w:rsidRPr="005464FA" w:rsidRDefault="00B071F0" w:rsidP="005F522F">
            <w:pPr>
              <w:pStyle w:val="In-tableHeading"/>
              <w:keepLines/>
              <w:jc w:val="center"/>
              <w:rPr>
                <w:lang w:val="en-AU"/>
              </w:rPr>
            </w:pPr>
            <w:r w:rsidRPr="005464FA">
              <w:rPr>
                <w:lang w:val="en-AU"/>
              </w:rPr>
              <w:t>N</w:t>
            </w:r>
          </w:p>
        </w:tc>
        <w:tc>
          <w:tcPr>
            <w:tcW w:w="472" w:type="pct"/>
            <w:shd w:val="clear" w:color="auto" w:fill="auto"/>
            <w:vAlign w:val="center"/>
          </w:tcPr>
          <w:p w14:paraId="78AD3CAF" w14:textId="77777777" w:rsidR="00B071F0" w:rsidRPr="005464FA" w:rsidRDefault="00B071F0" w:rsidP="005F522F">
            <w:pPr>
              <w:pStyle w:val="In-tableHeading"/>
              <w:keepLines/>
              <w:jc w:val="center"/>
              <w:rPr>
                <w:lang w:val="en-AU"/>
              </w:rPr>
            </w:pPr>
            <w:r w:rsidRPr="005464FA">
              <w:rPr>
                <w:lang w:val="en-AU"/>
              </w:rPr>
              <w:t>Design/ duration</w:t>
            </w:r>
          </w:p>
        </w:tc>
        <w:tc>
          <w:tcPr>
            <w:tcW w:w="471" w:type="pct"/>
            <w:shd w:val="clear" w:color="auto" w:fill="auto"/>
            <w:vAlign w:val="center"/>
          </w:tcPr>
          <w:p w14:paraId="28FE113E" w14:textId="77777777" w:rsidR="00B071F0" w:rsidRPr="005464FA" w:rsidRDefault="00B071F0" w:rsidP="005F522F">
            <w:pPr>
              <w:pStyle w:val="In-tableHeading"/>
              <w:keepLines/>
              <w:jc w:val="center"/>
              <w:rPr>
                <w:lang w:val="en-AU"/>
              </w:rPr>
            </w:pPr>
            <w:r w:rsidRPr="005464FA">
              <w:rPr>
                <w:lang w:val="en-AU"/>
              </w:rPr>
              <w:t>Risk of bias</w:t>
            </w:r>
          </w:p>
        </w:tc>
        <w:tc>
          <w:tcPr>
            <w:tcW w:w="1782" w:type="pct"/>
            <w:shd w:val="clear" w:color="auto" w:fill="auto"/>
            <w:vAlign w:val="center"/>
          </w:tcPr>
          <w:p w14:paraId="35E8412E" w14:textId="77777777" w:rsidR="00B071F0" w:rsidRPr="005464FA" w:rsidRDefault="00B071F0" w:rsidP="005F522F">
            <w:pPr>
              <w:pStyle w:val="In-tableHeading"/>
              <w:keepLines/>
              <w:jc w:val="center"/>
              <w:rPr>
                <w:lang w:val="en-AU"/>
              </w:rPr>
            </w:pPr>
            <w:r w:rsidRPr="005464FA">
              <w:rPr>
                <w:lang w:val="en-AU"/>
              </w:rPr>
              <w:t>Patient population</w:t>
            </w:r>
          </w:p>
        </w:tc>
        <w:tc>
          <w:tcPr>
            <w:tcW w:w="546" w:type="pct"/>
            <w:shd w:val="clear" w:color="auto" w:fill="auto"/>
            <w:vAlign w:val="center"/>
          </w:tcPr>
          <w:p w14:paraId="2A194A65" w14:textId="77777777" w:rsidR="00B071F0" w:rsidRPr="005464FA" w:rsidRDefault="00B071F0" w:rsidP="005F522F">
            <w:pPr>
              <w:pStyle w:val="In-tableHeading"/>
              <w:keepLines/>
              <w:jc w:val="center"/>
              <w:rPr>
                <w:lang w:val="en-AU"/>
              </w:rPr>
            </w:pPr>
            <w:r w:rsidRPr="005464FA">
              <w:rPr>
                <w:lang w:val="en-AU"/>
              </w:rPr>
              <w:t>Outcome(s)</w:t>
            </w:r>
          </w:p>
        </w:tc>
        <w:tc>
          <w:tcPr>
            <w:tcW w:w="631" w:type="pct"/>
            <w:shd w:val="clear" w:color="auto" w:fill="auto"/>
            <w:vAlign w:val="center"/>
          </w:tcPr>
          <w:p w14:paraId="2747BF83" w14:textId="77777777" w:rsidR="00B071F0" w:rsidRPr="005464FA" w:rsidRDefault="00B071F0" w:rsidP="005F522F">
            <w:pPr>
              <w:pStyle w:val="In-tableHeading"/>
              <w:keepLines/>
              <w:jc w:val="center"/>
              <w:rPr>
                <w:lang w:val="en-AU"/>
              </w:rPr>
            </w:pPr>
            <w:r w:rsidRPr="005464FA">
              <w:rPr>
                <w:lang w:val="en-AU"/>
              </w:rPr>
              <w:t>Use in modelled evaluation</w:t>
            </w:r>
          </w:p>
        </w:tc>
      </w:tr>
      <w:tr w:rsidR="00B071F0" w:rsidRPr="005464FA" w14:paraId="351D2050" w14:textId="77777777" w:rsidTr="003A0777">
        <w:trPr>
          <w:cantSplit/>
        </w:trPr>
        <w:tc>
          <w:tcPr>
            <w:tcW w:w="5000" w:type="pct"/>
            <w:gridSpan w:val="7"/>
            <w:shd w:val="clear" w:color="auto" w:fill="auto"/>
            <w:vAlign w:val="center"/>
          </w:tcPr>
          <w:p w14:paraId="16256EEC" w14:textId="77777777" w:rsidR="00B071F0" w:rsidRPr="005464FA" w:rsidRDefault="00B071F0" w:rsidP="005F522F">
            <w:pPr>
              <w:pStyle w:val="In-tableHeading"/>
              <w:keepLines/>
              <w:rPr>
                <w:lang w:val="en-AU"/>
              </w:rPr>
            </w:pPr>
            <w:r w:rsidRPr="005464FA">
              <w:rPr>
                <w:lang w:val="en-AU"/>
              </w:rPr>
              <w:t>Olaparib versus SoC</w:t>
            </w:r>
          </w:p>
        </w:tc>
      </w:tr>
      <w:tr w:rsidR="00B071F0" w:rsidRPr="005464FA" w14:paraId="40B893A8" w14:textId="77777777" w:rsidTr="003A0777">
        <w:trPr>
          <w:cantSplit/>
        </w:trPr>
        <w:tc>
          <w:tcPr>
            <w:tcW w:w="862" w:type="pct"/>
            <w:shd w:val="clear" w:color="auto" w:fill="auto"/>
            <w:vAlign w:val="center"/>
          </w:tcPr>
          <w:p w14:paraId="396D68F7" w14:textId="77777777" w:rsidR="00B071F0" w:rsidRPr="005464FA" w:rsidRDefault="00B071F0" w:rsidP="005F522F">
            <w:pPr>
              <w:pStyle w:val="TableText0"/>
              <w:keepLines/>
            </w:pPr>
            <w:r w:rsidRPr="005464FA">
              <w:t>OlympiAD (ITT)</w:t>
            </w:r>
          </w:p>
        </w:tc>
        <w:tc>
          <w:tcPr>
            <w:tcW w:w="236" w:type="pct"/>
            <w:shd w:val="clear" w:color="auto" w:fill="auto"/>
            <w:vAlign w:val="center"/>
          </w:tcPr>
          <w:p w14:paraId="3560A5A5" w14:textId="77777777" w:rsidR="00B071F0" w:rsidRPr="005464FA" w:rsidRDefault="00B071F0" w:rsidP="005F522F">
            <w:pPr>
              <w:pStyle w:val="TableText0"/>
              <w:keepLines/>
              <w:jc w:val="center"/>
            </w:pPr>
            <w:r w:rsidRPr="005464FA">
              <w:t>302</w:t>
            </w:r>
          </w:p>
        </w:tc>
        <w:tc>
          <w:tcPr>
            <w:tcW w:w="472" w:type="pct"/>
            <w:shd w:val="clear" w:color="auto" w:fill="auto"/>
            <w:vAlign w:val="center"/>
          </w:tcPr>
          <w:p w14:paraId="57BF8395" w14:textId="1790C408" w:rsidR="00B071F0" w:rsidRPr="005464FA" w:rsidRDefault="00B071F0" w:rsidP="005F522F">
            <w:pPr>
              <w:pStyle w:val="TableText0"/>
              <w:keepLines/>
              <w:jc w:val="center"/>
            </w:pPr>
            <w:r w:rsidRPr="005464FA">
              <w:t>R, OL, 14-19 months</w:t>
            </w:r>
            <w:r w:rsidR="00241BE9" w:rsidRPr="005464FA">
              <w:rPr>
                <w:vertAlign w:val="superscript"/>
              </w:rPr>
              <w:t>c</w:t>
            </w:r>
          </w:p>
        </w:tc>
        <w:tc>
          <w:tcPr>
            <w:tcW w:w="471" w:type="pct"/>
            <w:shd w:val="clear" w:color="auto" w:fill="auto"/>
            <w:vAlign w:val="center"/>
          </w:tcPr>
          <w:p w14:paraId="6927C065" w14:textId="77777777" w:rsidR="00B071F0" w:rsidRPr="005464FA" w:rsidRDefault="00B071F0" w:rsidP="005F522F">
            <w:pPr>
              <w:pStyle w:val="TableText0"/>
              <w:keepLines/>
              <w:jc w:val="center"/>
              <w:rPr>
                <w:iCs/>
                <w:vertAlign w:val="superscript"/>
              </w:rPr>
            </w:pPr>
            <w:r w:rsidRPr="005464FA">
              <w:rPr>
                <w:iCs/>
              </w:rPr>
              <w:t xml:space="preserve">Low </w:t>
            </w:r>
            <w:r w:rsidRPr="005464FA">
              <w:rPr>
                <w:iCs/>
                <w:vertAlign w:val="superscript"/>
              </w:rPr>
              <w:t>a</w:t>
            </w:r>
          </w:p>
        </w:tc>
        <w:tc>
          <w:tcPr>
            <w:tcW w:w="1782" w:type="pct"/>
            <w:shd w:val="clear" w:color="auto" w:fill="auto"/>
            <w:vAlign w:val="center"/>
          </w:tcPr>
          <w:p w14:paraId="350CD7A8" w14:textId="77777777" w:rsidR="00B071F0" w:rsidRPr="005464FA" w:rsidRDefault="00B071F0" w:rsidP="005F522F">
            <w:pPr>
              <w:pStyle w:val="TableText0"/>
              <w:keepLines/>
              <w:jc w:val="center"/>
            </w:pPr>
            <w:r w:rsidRPr="005464FA">
              <w:rPr>
                <w:i/>
                <w:iCs/>
              </w:rPr>
              <w:t>BRCA</w:t>
            </w:r>
            <w:r w:rsidRPr="005464FA">
              <w:t xml:space="preserve"> mutation HER 2-, who received no more than two previous chemo regimens for metastatic disease</w:t>
            </w:r>
          </w:p>
        </w:tc>
        <w:tc>
          <w:tcPr>
            <w:tcW w:w="546" w:type="pct"/>
            <w:shd w:val="clear" w:color="auto" w:fill="auto"/>
            <w:vAlign w:val="center"/>
          </w:tcPr>
          <w:p w14:paraId="48BA1043" w14:textId="77777777" w:rsidR="00B071F0" w:rsidRPr="005464FA" w:rsidRDefault="00B071F0" w:rsidP="005F522F">
            <w:pPr>
              <w:pStyle w:val="TableText0"/>
              <w:keepLines/>
              <w:jc w:val="center"/>
            </w:pPr>
            <w:r w:rsidRPr="005464FA">
              <w:t>OS, PFS</w:t>
            </w:r>
          </w:p>
        </w:tc>
        <w:tc>
          <w:tcPr>
            <w:tcW w:w="631" w:type="pct"/>
            <w:shd w:val="clear" w:color="auto" w:fill="auto"/>
            <w:vAlign w:val="center"/>
          </w:tcPr>
          <w:p w14:paraId="250EB814" w14:textId="77777777" w:rsidR="00B071F0" w:rsidRPr="005464FA" w:rsidRDefault="00B071F0" w:rsidP="005F522F">
            <w:pPr>
              <w:pStyle w:val="TableText0"/>
              <w:keepLines/>
              <w:jc w:val="center"/>
            </w:pPr>
            <w:r w:rsidRPr="005464FA">
              <w:t>OS, PFS1, PFS2</w:t>
            </w:r>
          </w:p>
        </w:tc>
      </w:tr>
      <w:tr w:rsidR="00B071F0" w:rsidRPr="005464FA" w14:paraId="6867335C" w14:textId="77777777" w:rsidTr="003A0777">
        <w:trPr>
          <w:cantSplit/>
        </w:trPr>
        <w:tc>
          <w:tcPr>
            <w:tcW w:w="862" w:type="pct"/>
            <w:shd w:val="clear" w:color="auto" w:fill="auto"/>
            <w:vAlign w:val="center"/>
          </w:tcPr>
          <w:p w14:paraId="04057D4F" w14:textId="77777777" w:rsidR="00B071F0" w:rsidRPr="005464FA" w:rsidRDefault="00B071F0" w:rsidP="005F522F">
            <w:pPr>
              <w:pStyle w:val="TableText0"/>
              <w:keepLines/>
            </w:pPr>
            <w:r w:rsidRPr="005464FA">
              <w:t>OlympiAD (no prior chemo subgroup)</w:t>
            </w:r>
          </w:p>
        </w:tc>
        <w:tc>
          <w:tcPr>
            <w:tcW w:w="236" w:type="pct"/>
            <w:shd w:val="clear" w:color="auto" w:fill="auto"/>
            <w:vAlign w:val="center"/>
          </w:tcPr>
          <w:p w14:paraId="61A4FB0A" w14:textId="6A6FD24F" w:rsidR="00B071F0" w:rsidRPr="005464FA" w:rsidRDefault="003A3BF0" w:rsidP="005F522F">
            <w:pPr>
              <w:pStyle w:val="TableText0"/>
              <w:keepLines/>
              <w:jc w:val="center"/>
            </w:pPr>
            <w:r w:rsidRPr="005464FA">
              <w:t>87</w:t>
            </w:r>
          </w:p>
        </w:tc>
        <w:tc>
          <w:tcPr>
            <w:tcW w:w="472" w:type="pct"/>
            <w:shd w:val="clear" w:color="auto" w:fill="auto"/>
            <w:vAlign w:val="center"/>
          </w:tcPr>
          <w:p w14:paraId="113FA972" w14:textId="77777777" w:rsidR="00B071F0" w:rsidRPr="005464FA" w:rsidRDefault="00B071F0" w:rsidP="005F522F">
            <w:pPr>
              <w:pStyle w:val="TableText0"/>
              <w:keepLines/>
              <w:jc w:val="center"/>
            </w:pPr>
            <w:r w:rsidRPr="005464FA">
              <w:t>R, OL</w:t>
            </w:r>
          </w:p>
        </w:tc>
        <w:tc>
          <w:tcPr>
            <w:tcW w:w="471" w:type="pct"/>
            <w:shd w:val="clear" w:color="auto" w:fill="auto"/>
            <w:vAlign w:val="center"/>
          </w:tcPr>
          <w:p w14:paraId="525422BA" w14:textId="77777777" w:rsidR="00B071F0" w:rsidRPr="005464FA" w:rsidRDefault="00B071F0" w:rsidP="005F522F">
            <w:pPr>
              <w:pStyle w:val="TableText0"/>
              <w:keepLines/>
              <w:jc w:val="center"/>
              <w:rPr>
                <w:iCs/>
                <w:vertAlign w:val="superscript"/>
              </w:rPr>
            </w:pPr>
            <w:r w:rsidRPr="005464FA">
              <w:rPr>
                <w:iCs/>
              </w:rPr>
              <w:t xml:space="preserve">High </w:t>
            </w:r>
            <w:r w:rsidRPr="005464FA">
              <w:rPr>
                <w:iCs/>
                <w:vertAlign w:val="superscript"/>
              </w:rPr>
              <w:t>b</w:t>
            </w:r>
          </w:p>
        </w:tc>
        <w:tc>
          <w:tcPr>
            <w:tcW w:w="1782" w:type="pct"/>
            <w:shd w:val="clear" w:color="auto" w:fill="auto"/>
            <w:vAlign w:val="center"/>
          </w:tcPr>
          <w:p w14:paraId="00C508C6" w14:textId="77777777" w:rsidR="00B071F0" w:rsidRPr="005464FA" w:rsidRDefault="00B071F0" w:rsidP="005F522F">
            <w:pPr>
              <w:pStyle w:val="TableText0"/>
              <w:keepLines/>
              <w:jc w:val="center"/>
            </w:pPr>
            <w:r w:rsidRPr="005464FA">
              <w:rPr>
                <w:i/>
                <w:iCs/>
              </w:rPr>
              <w:t>BRCA</w:t>
            </w:r>
            <w:r w:rsidRPr="005464FA">
              <w:t xml:space="preserve"> mutation HER 2-, who received no prior chemo regimens for metastatic disease </w:t>
            </w:r>
          </w:p>
        </w:tc>
        <w:tc>
          <w:tcPr>
            <w:tcW w:w="546" w:type="pct"/>
            <w:shd w:val="clear" w:color="auto" w:fill="auto"/>
            <w:vAlign w:val="center"/>
          </w:tcPr>
          <w:p w14:paraId="21EE472F" w14:textId="77777777" w:rsidR="00B071F0" w:rsidRPr="005464FA" w:rsidRDefault="00B071F0" w:rsidP="005F522F">
            <w:pPr>
              <w:pStyle w:val="TableText0"/>
              <w:keepLines/>
              <w:jc w:val="center"/>
            </w:pPr>
            <w:r w:rsidRPr="005464FA">
              <w:t>OS, PFS</w:t>
            </w:r>
          </w:p>
        </w:tc>
        <w:tc>
          <w:tcPr>
            <w:tcW w:w="631" w:type="pct"/>
            <w:shd w:val="clear" w:color="auto" w:fill="auto"/>
            <w:vAlign w:val="center"/>
          </w:tcPr>
          <w:p w14:paraId="4D2D92D7" w14:textId="77777777" w:rsidR="00B071F0" w:rsidRPr="005464FA" w:rsidRDefault="00B071F0" w:rsidP="005F522F">
            <w:pPr>
              <w:pStyle w:val="TableText0"/>
              <w:keepLines/>
              <w:jc w:val="center"/>
            </w:pPr>
            <w:r w:rsidRPr="005464FA">
              <w:t>OS, PFS1, PFS2</w:t>
            </w:r>
          </w:p>
        </w:tc>
      </w:tr>
    </w:tbl>
    <w:p w14:paraId="5A2A2C35" w14:textId="77777777" w:rsidR="00B071F0" w:rsidRPr="005464FA" w:rsidRDefault="00B071F0" w:rsidP="005F522F">
      <w:pPr>
        <w:pStyle w:val="FooterTableFigure"/>
        <w:keepNext/>
        <w:keepLines/>
      </w:pPr>
      <w:r w:rsidRPr="005464FA">
        <w:t xml:space="preserve">Source: pp44-50 of the submission. </w:t>
      </w:r>
    </w:p>
    <w:p w14:paraId="1EEEDAA7" w14:textId="758E9195" w:rsidR="00B071F0" w:rsidRPr="005464FA" w:rsidRDefault="00B071F0" w:rsidP="005F522F">
      <w:pPr>
        <w:pStyle w:val="FooterTableFigure"/>
        <w:keepNext/>
        <w:keepLines/>
      </w:pPr>
      <w:r w:rsidRPr="005464FA">
        <w:t>HER2 – human epidermal growth factor receptor type 2; ITT = intention to treat; OL = open label; OS = overall survival; PFS</w:t>
      </w:r>
      <w:r w:rsidR="000705E5" w:rsidRPr="005464FA">
        <w:t>1</w:t>
      </w:r>
      <w:r w:rsidRPr="005464FA">
        <w:t xml:space="preserve"> = progression-free survival; </w:t>
      </w:r>
      <w:r w:rsidR="000705E5" w:rsidRPr="005464FA">
        <w:t xml:space="preserve">PFS2 = time to second progression or death; </w:t>
      </w:r>
      <w:r w:rsidRPr="005464FA">
        <w:t>R = randomised</w:t>
      </w:r>
      <w:r w:rsidR="00326147" w:rsidRPr="005464FA">
        <w:t>; SoC = standard of care</w:t>
      </w:r>
      <w:r w:rsidRPr="005464FA">
        <w:t>.</w:t>
      </w:r>
    </w:p>
    <w:p w14:paraId="4C46F3A3" w14:textId="1EE178FC" w:rsidR="00B071F0" w:rsidRPr="005464FA" w:rsidRDefault="00B071F0" w:rsidP="005F522F">
      <w:pPr>
        <w:pStyle w:val="FooterTableFigure"/>
        <w:keepNext/>
        <w:keepLines/>
      </w:pPr>
      <w:r w:rsidRPr="005464FA">
        <w:t xml:space="preserve">a primary outcome of PFS was based on blinded review and </w:t>
      </w:r>
      <w:r w:rsidR="00911244" w:rsidRPr="005464FA">
        <w:t xml:space="preserve">secondary outcome of </w:t>
      </w:r>
      <w:r w:rsidRPr="005464FA">
        <w:t>OS unlikely to be affected by open label status</w:t>
      </w:r>
    </w:p>
    <w:p w14:paraId="0493DA66" w14:textId="2AC406B2" w:rsidR="00241BE9" w:rsidRPr="005464FA" w:rsidRDefault="00B071F0" w:rsidP="005F522F">
      <w:pPr>
        <w:pStyle w:val="FooterTableFigure"/>
        <w:keepNext/>
        <w:keepLines/>
      </w:pPr>
      <w:r w:rsidRPr="005464FA">
        <w:t xml:space="preserve">b high risk of bias due to imbalances between baseline characteristics, small sample size and lack of statistical adjustment for subgroup analysis </w:t>
      </w:r>
    </w:p>
    <w:p w14:paraId="11F7A3FE" w14:textId="7973FAA9" w:rsidR="00B071F0" w:rsidRPr="005464FA" w:rsidRDefault="00241BE9" w:rsidP="00B071F0">
      <w:pPr>
        <w:pStyle w:val="FooterTableFigure"/>
        <w:rPr>
          <w:sz w:val="20"/>
        </w:rPr>
      </w:pPr>
      <w:r w:rsidRPr="005464FA">
        <w:t>c</w:t>
      </w:r>
      <w:r w:rsidR="00B071F0" w:rsidRPr="005464FA">
        <w:t xml:space="preserve"> duration of follow-up for the no prior chemotherapy subgroup</w:t>
      </w:r>
      <w:r w:rsidRPr="005464FA">
        <w:t xml:space="preserve"> (Final OS analysis) was 22.1 months in the olaparib arm and 14.1 months in the chemotherapy arm</w:t>
      </w:r>
    </w:p>
    <w:p w14:paraId="18A3D66C" w14:textId="7865336E" w:rsidR="00A356BA" w:rsidRPr="005464FA" w:rsidRDefault="00A356BA" w:rsidP="002D1F13">
      <w:pPr>
        <w:pStyle w:val="3-BodyText"/>
      </w:pPr>
      <w:r w:rsidRPr="005464FA">
        <w:rPr>
          <w:rFonts w:ascii="Calibri" w:eastAsia="Calibri" w:hAnsi="Calibri" w:cs="Calibri"/>
        </w:rPr>
        <w:t xml:space="preserve">The ESC considered that the age and performance status of patients in OlymipiAD is not expected to be substantially different from the Australian population for the </w:t>
      </w:r>
      <w:r w:rsidR="00636E31" w:rsidRPr="005464FA">
        <w:rPr>
          <w:rFonts w:ascii="Calibri" w:eastAsia="Calibri" w:hAnsi="Calibri" w:cs="Calibri"/>
        </w:rPr>
        <w:t xml:space="preserve">proposed </w:t>
      </w:r>
      <w:r w:rsidRPr="005464FA">
        <w:rPr>
          <w:rFonts w:ascii="Calibri" w:eastAsia="Calibri" w:hAnsi="Calibri" w:cs="Calibri"/>
        </w:rPr>
        <w:t>listing.</w:t>
      </w:r>
      <w:r w:rsidRPr="005464FA" w:rsidDel="003471ED">
        <w:t xml:space="preserve"> </w:t>
      </w:r>
      <w:r w:rsidR="00636E31" w:rsidRPr="005464FA">
        <w:t>However, t</w:t>
      </w:r>
      <w:r w:rsidRPr="005464FA">
        <w:t xml:space="preserve">he ESC noted that the chemotherapies used in the BSC arm of OlympiAD (physician’s choice of capecitabine, eribulin or vinorelbine) may not be reflective of the chemotherapy regimens used in Australia, particularly for 1L TNBC (see paragraph </w:t>
      </w:r>
      <w:r w:rsidRPr="005464FA">
        <w:fldChar w:fldCharType="begin" w:fldLock="1"/>
      </w:r>
      <w:r w:rsidRPr="005464FA">
        <w:instrText xml:space="preserve"> REF _Ref164720740 \r \h  \* MERGEFORMAT </w:instrText>
      </w:r>
      <w:r w:rsidRPr="005464FA">
        <w:fldChar w:fldCharType="separate"/>
      </w:r>
      <w:r w:rsidR="00122E11" w:rsidRPr="005464FA">
        <w:t>5.6</w:t>
      </w:r>
      <w:r w:rsidRPr="005464FA">
        <w:fldChar w:fldCharType="end"/>
      </w:r>
      <w:r w:rsidRPr="005464FA">
        <w:t>) and d</w:t>
      </w:r>
      <w:r w:rsidRPr="005464FA">
        <w:rPr>
          <w:snapToGrid/>
        </w:rPr>
        <w:t xml:space="preserve">id not represent the best choice of regimen for patients with </w:t>
      </w:r>
      <w:r w:rsidRPr="005464FA">
        <w:rPr>
          <w:i/>
          <w:iCs/>
          <w:snapToGrid/>
        </w:rPr>
        <w:t>BRCA</w:t>
      </w:r>
      <w:r w:rsidRPr="005464FA">
        <w:rPr>
          <w:snapToGrid/>
        </w:rPr>
        <w:t>m</w:t>
      </w:r>
      <w:r w:rsidRPr="005464FA">
        <w:t xml:space="preserve"> mBC. For patients who had progressed following treatment including an anthracycline and a taxane (as in OlympiAD), the most appropriate regimen would include a platinum-based chemotherapy. The </w:t>
      </w:r>
      <w:r w:rsidR="00636E31" w:rsidRPr="005464FA">
        <w:t xml:space="preserve">PBAC agreed with the ESC </w:t>
      </w:r>
      <w:r w:rsidRPr="005464FA">
        <w:t xml:space="preserve">that this applicability issue is likely to have </w:t>
      </w:r>
      <w:r w:rsidR="00636E31" w:rsidRPr="005464FA">
        <w:t xml:space="preserve">resulted in an </w:t>
      </w:r>
      <w:r w:rsidRPr="005464FA">
        <w:t>overestimate</w:t>
      </w:r>
      <w:r w:rsidR="00636E31" w:rsidRPr="005464FA">
        <w:t xml:space="preserve"> of the </w:t>
      </w:r>
      <w:r w:rsidRPr="005464FA">
        <w:t>clinical benefit for olaparib in clinical practice.</w:t>
      </w:r>
    </w:p>
    <w:p w14:paraId="2F7EF441" w14:textId="71641735" w:rsidR="00CC5A86" w:rsidRPr="005464FA" w:rsidRDefault="00AE3254" w:rsidP="002D1F13">
      <w:pPr>
        <w:pStyle w:val="3-BodyText"/>
      </w:pPr>
      <w:r w:rsidRPr="005464FA">
        <w:t xml:space="preserve">In the OlympiAD trial, </w:t>
      </w:r>
      <w:r w:rsidR="00AB0174" w:rsidRPr="005464FA">
        <w:t xml:space="preserve">38 of 302 patients in the whole trial population </w:t>
      </w:r>
      <w:r w:rsidRPr="005464FA">
        <w:t>had de novo mBC</w:t>
      </w:r>
      <w:r w:rsidR="00AB0174" w:rsidRPr="005464FA">
        <w:t xml:space="preserve"> </w:t>
      </w:r>
      <w:r w:rsidR="004E17C3" w:rsidRPr="005464FA">
        <w:t>(12.6%)</w:t>
      </w:r>
      <w:r w:rsidRPr="005464FA">
        <w:t>.</w:t>
      </w:r>
      <w:r w:rsidR="004E17C3" w:rsidRPr="005464FA">
        <w:t xml:space="preserve"> </w:t>
      </w:r>
      <w:r w:rsidR="00865F4A" w:rsidRPr="005464FA">
        <w:t>This included both HR+ and TNBC patients.</w:t>
      </w:r>
      <w:r w:rsidR="00865F4A" w:rsidRPr="005464FA">
        <w:rPr>
          <w:i/>
          <w:iCs/>
        </w:rPr>
        <w:t xml:space="preserve"> </w:t>
      </w:r>
      <w:bookmarkStart w:id="41" w:name="_Ref165473151"/>
      <w:r w:rsidR="00CC5A86" w:rsidRPr="005464FA">
        <w:t>There were inconsistencies between the OlympiAD trial and available local registry information in the estimates of the proportion of patients diagnosed with de novo metastatic disease, which may affect applicability as well as have implications for the utilisation and financial estimates. While th</w:t>
      </w:r>
      <w:r w:rsidR="00636E31" w:rsidRPr="005464FA">
        <w:t>e proportion of de novo patients in OlympiAD</w:t>
      </w:r>
      <w:r w:rsidR="00CC5A86" w:rsidRPr="005464FA">
        <w:t xml:space="preserve"> was consistent with the March 2023 olaparib for eBC submission</w:t>
      </w:r>
      <w:r w:rsidR="00EC59D7" w:rsidRPr="005464FA">
        <w:t>,</w:t>
      </w:r>
      <w:r w:rsidR="00CC5A86" w:rsidRPr="005464FA">
        <w:t xml:space="preserve"> which claimed that patients with de novo metastatic disease was roughly 5% to 15% of </w:t>
      </w:r>
      <w:r w:rsidR="00CC5A86" w:rsidRPr="005464FA">
        <w:rPr>
          <w:i/>
          <w:iCs/>
        </w:rPr>
        <w:t>BRCA</w:t>
      </w:r>
      <w:r w:rsidR="00CC5A86" w:rsidRPr="005464FA">
        <w:t>-positive patients in Australia (paragraph 2.7, olaparib PSD, March 2023</w:t>
      </w:r>
      <w:r w:rsidR="00124D6F">
        <w:t xml:space="preserve"> PBAC </w:t>
      </w:r>
      <w:r w:rsidR="006067E7">
        <w:t>m</w:t>
      </w:r>
      <w:r w:rsidR="00124D6F">
        <w:t>eeting</w:t>
      </w:r>
      <w:r w:rsidR="00CC5A86" w:rsidRPr="005464FA">
        <w:t>); this proportion differed to the registry data relied upon by the submission for the financial estimates, which used the average of:</w:t>
      </w:r>
    </w:p>
    <w:p w14:paraId="346D3981" w14:textId="77777777" w:rsidR="00CC5A86" w:rsidRPr="005464FA" w:rsidRDefault="00CC5A86" w:rsidP="009F391A">
      <w:pPr>
        <w:pStyle w:val="3-BodyText"/>
        <w:numPr>
          <w:ilvl w:val="0"/>
          <w:numId w:val="15"/>
        </w:numPr>
        <w:ind w:left="1134"/>
      </w:pPr>
      <w:r w:rsidRPr="005464FA">
        <w:t xml:space="preserve">The Kisqali Access Registry for Metastatic Breast Cancer in Australia (KARMA) registry, which included patients who received first-line treatment with ribociclib and aromatase inhibitor for hormone receptor positive, HER2 negative metastatic breast cancer. The KARMA registry included 26% (42/160) de novo patients; and </w:t>
      </w:r>
    </w:p>
    <w:p w14:paraId="5D43E62C" w14:textId="7564D4DE" w:rsidR="00CC5A86" w:rsidRPr="005464FA" w:rsidRDefault="00CC5A86" w:rsidP="005F522F">
      <w:pPr>
        <w:pStyle w:val="3-BodyText"/>
        <w:numPr>
          <w:ilvl w:val="0"/>
          <w:numId w:val="15"/>
        </w:numPr>
        <w:ind w:left="1134"/>
        <w:rPr>
          <w:sz w:val="23"/>
          <w:szCs w:val="23"/>
        </w:rPr>
      </w:pPr>
      <w:r w:rsidRPr="005464FA">
        <w:lastRenderedPageBreak/>
        <w:t xml:space="preserve">The Advanced Hormone Receptor Positive Breast Cancer (ARORA) registry analysis included: patients </w:t>
      </w:r>
      <w:r w:rsidRPr="005464FA">
        <w:rPr>
          <w:sz w:val="23"/>
          <w:szCs w:val="23"/>
        </w:rPr>
        <w:t xml:space="preserve">diagnosed with metastatic, or inoperable histologically confirmed HR+, HER2- breast cancer (either de novo metastatic or relapsed), after 1st January 2020. The ARORA registry estimated 41% (173/424) of included patients to be de novo. </w:t>
      </w:r>
    </w:p>
    <w:p w14:paraId="3542D6AF" w14:textId="22927BF1" w:rsidR="00763A98" w:rsidRPr="005464FA" w:rsidRDefault="00763A98" w:rsidP="00763A98">
      <w:pPr>
        <w:pStyle w:val="3-BodyText"/>
      </w:pPr>
      <w:r w:rsidRPr="005464FA">
        <w:t xml:space="preserve">The submission focused on the subgroup of patients who had not received prior chemotherapy for mBC (n=87, of whom 59 were randomised to olaparib and 28 to chemotherapy). </w:t>
      </w:r>
      <w:r w:rsidR="00CC5A86" w:rsidRPr="005464FA">
        <w:t xml:space="preserve">The PSCR argued that de novo metastatic patients and those who had not received treatment in the metastatic setting were the least pre-treated and most likely to benefit from olaparib and were best aligned to the subgroup. </w:t>
      </w:r>
      <w:r w:rsidR="006802A3" w:rsidRPr="005464FA">
        <w:t>The PSCR also stated that the results in the subgroup provide a rationale for using olaparib early in the metastatic treatment pathway.</w:t>
      </w:r>
      <w:r w:rsidR="006802A3" w:rsidRPr="005464FA">
        <w:rPr>
          <w:i/>
          <w:iCs/>
        </w:rPr>
        <w:t xml:space="preserve"> </w:t>
      </w:r>
    </w:p>
    <w:p w14:paraId="631FA6CA" w14:textId="4EC8C2DB" w:rsidR="00EC59D7" w:rsidRPr="005464FA" w:rsidRDefault="00EC59D7" w:rsidP="00EC59D7">
      <w:pPr>
        <w:pStyle w:val="3-BodyText"/>
      </w:pPr>
      <w:r w:rsidRPr="005464FA">
        <w:t xml:space="preserve">The ESC recalled its previous advice that the pre-planned subgroup analysis of OS for patients who had not received chemotherapy for metastatic disease </w:t>
      </w:r>
      <w:r w:rsidR="00DB4D31" w:rsidRPr="005464FA">
        <w:t xml:space="preserve">may have been </w:t>
      </w:r>
      <w:r w:rsidRPr="005464FA">
        <w:t>affected by potential confounding, small sample size and lack of statistically significant OS advantage in the overall population</w:t>
      </w:r>
      <w:r w:rsidR="001542C6" w:rsidRPr="005464FA" w:rsidDel="001542C6">
        <w:t xml:space="preserve"> </w:t>
      </w:r>
      <w:r w:rsidRPr="005464FA">
        <w:t>(paragraph 2.8, olaparib PSD, March</w:t>
      </w:r>
      <w:r w:rsidR="009F391A">
        <w:t> </w:t>
      </w:r>
      <w:r w:rsidRPr="005464FA">
        <w:t>2023 PBAC meeting).</w:t>
      </w:r>
    </w:p>
    <w:p w14:paraId="3D137FC3" w14:textId="6E2AE3E5" w:rsidR="006802A3" w:rsidRPr="005464FA" w:rsidRDefault="00EC59D7" w:rsidP="00B071F0">
      <w:pPr>
        <w:pStyle w:val="3-BodyText"/>
      </w:pPr>
      <w:r w:rsidRPr="005464FA">
        <w:t>In addition, g</w:t>
      </w:r>
      <w:r w:rsidR="005B503D" w:rsidRPr="005464FA">
        <w:t xml:space="preserve">iven </w:t>
      </w:r>
      <w:r w:rsidR="005974FD" w:rsidRPr="005464FA">
        <w:t xml:space="preserve">de novo patients and recurrent patients who have had no prior chemotherapies </w:t>
      </w:r>
      <w:r w:rsidRPr="005464FA">
        <w:t xml:space="preserve">in the mBC setting </w:t>
      </w:r>
      <w:r w:rsidR="00B071F0" w:rsidRPr="005464FA">
        <w:t xml:space="preserve">have different disease </w:t>
      </w:r>
      <w:r w:rsidR="00861CDE" w:rsidRPr="005464FA">
        <w:t>trajectories</w:t>
      </w:r>
      <w:r w:rsidR="005B503D" w:rsidRPr="005464FA">
        <w:t>,</w:t>
      </w:r>
      <w:r w:rsidR="00B071F0" w:rsidRPr="005464FA">
        <w:t xml:space="preserve"> it was </w:t>
      </w:r>
      <w:r w:rsidR="005B503D" w:rsidRPr="005464FA">
        <w:t xml:space="preserve">unclear </w:t>
      </w:r>
      <w:r w:rsidR="00B071F0" w:rsidRPr="005464FA">
        <w:t xml:space="preserve">that both populations being the ‘least pre-treated’ was sufficient grounds to use the no prior chemotherapy subgroup as a proxy for the de novo population. Additionally, based on the proposed </w:t>
      </w:r>
      <w:r w:rsidR="005B503D" w:rsidRPr="005464FA">
        <w:t xml:space="preserve">restriction </w:t>
      </w:r>
      <w:r w:rsidR="00B071F0" w:rsidRPr="005464FA">
        <w:t xml:space="preserve">and TGA indication, de novo patients must first be treated with chemotherapy in the metastatic setting to be eligible for olaparib treatment. Consequently, the </w:t>
      </w:r>
      <w:r w:rsidR="00A356BA" w:rsidRPr="005464FA">
        <w:t xml:space="preserve">ESC considered the </w:t>
      </w:r>
      <w:r w:rsidR="00B071F0" w:rsidRPr="005464FA">
        <w:t xml:space="preserve">no prior chemotherapy subgroup in OlympiAD was </w:t>
      </w:r>
      <w:r w:rsidR="00A356BA" w:rsidRPr="005464FA">
        <w:t xml:space="preserve">not </w:t>
      </w:r>
      <w:r w:rsidR="00B071F0" w:rsidRPr="005464FA">
        <w:t xml:space="preserve">a </w:t>
      </w:r>
      <w:r w:rsidR="00A356BA" w:rsidRPr="005464FA">
        <w:t xml:space="preserve">reasonable </w:t>
      </w:r>
      <w:r w:rsidR="00B071F0" w:rsidRPr="005464FA">
        <w:t>proxy for de novo patients.</w:t>
      </w:r>
      <w:bookmarkEnd w:id="41"/>
      <w:r w:rsidR="00B071F0" w:rsidRPr="005464FA">
        <w:t xml:space="preserve"> </w:t>
      </w:r>
      <w:r w:rsidR="00CD3371" w:rsidRPr="005464FA">
        <w:t xml:space="preserve">The ESC considered that it was not reasonable for the submission’s clinical evidence base for the clinical claim and economic model to exclude patients who had been treated with chemotherapy in the metastatic setting, as these patients comprised </w:t>
      </w:r>
      <w:proofErr w:type="gramStart"/>
      <w:r w:rsidR="00CD3371" w:rsidRPr="005464FA">
        <w:t>the majority of</w:t>
      </w:r>
      <w:proofErr w:type="gramEnd"/>
      <w:r w:rsidR="00CD3371" w:rsidRPr="005464FA">
        <w:t xml:space="preserve"> patients in the OlympiAD trial (71%) and were not excluded from treatment under the proposed restrictions. The ESC </w:t>
      </w:r>
      <w:r w:rsidRPr="005464FA">
        <w:t>considered</w:t>
      </w:r>
      <w:r w:rsidR="00CD3371" w:rsidRPr="005464FA">
        <w:t xml:space="preserve"> it would be more appropriate to apply the treatment effect from the whole trial population (up to two lines of prior chemotherapy in metastatic setting). The PBAC noted that the pre-PBAC </w:t>
      </w:r>
      <w:r w:rsidRPr="005464FA">
        <w:t xml:space="preserve">response </w:t>
      </w:r>
      <w:r w:rsidR="00CD3371" w:rsidRPr="005464FA">
        <w:t>proposed a revised clinical place for olaparib</w:t>
      </w:r>
      <w:r w:rsidRPr="005464FA">
        <w:t xml:space="preserve"> (see paragraph </w:t>
      </w:r>
      <w:r w:rsidRPr="005464FA">
        <w:fldChar w:fldCharType="begin" w:fldLock="1"/>
      </w:r>
      <w:r w:rsidRPr="005464FA">
        <w:instrText xml:space="preserve"> REF _Ref172620036 \r \h </w:instrText>
      </w:r>
      <w:r w:rsidRPr="005464FA">
        <w:fldChar w:fldCharType="separate"/>
      </w:r>
      <w:r w:rsidR="00122E11" w:rsidRPr="005464FA">
        <w:t>4.5</w:t>
      </w:r>
      <w:r w:rsidRPr="005464FA">
        <w:fldChar w:fldCharType="end"/>
      </w:r>
      <w:r w:rsidRPr="005464FA">
        <w:t>)</w:t>
      </w:r>
      <w:r w:rsidR="00CD3371" w:rsidRPr="005464FA">
        <w:t xml:space="preserve"> and accepted that the whole trial population (ITT) was the most relevant for the revised population</w:t>
      </w:r>
      <w:r w:rsidRPr="005464FA">
        <w:t xml:space="preserve"> and considered this was appropriate.</w:t>
      </w:r>
    </w:p>
    <w:p w14:paraId="3DFAF178" w14:textId="77777777" w:rsidR="00A1135A" w:rsidRPr="005464FA" w:rsidRDefault="00A1135A" w:rsidP="00A1135A">
      <w:pPr>
        <w:pStyle w:val="4-SubsectionHeading"/>
      </w:pPr>
      <w:bookmarkStart w:id="42" w:name="_Toc22897641"/>
      <w:bookmarkStart w:id="43" w:name="_Toc167278279"/>
      <w:r w:rsidRPr="005464FA">
        <w:t>Comparative effectiveness</w:t>
      </w:r>
      <w:bookmarkEnd w:id="42"/>
      <w:bookmarkEnd w:id="43"/>
    </w:p>
    <w:p w14:paraId="4B0CBEA3" w14:textId="1594B428" w:rsidR="003E1ECA" w:rsidRPr="005464FA" w:rsidRDefault="000705E5" w:rsidP="003E1ECA">
      <w:pPr>
        <w:pStyle w:val="5-SubsectionSubheading"/>
      </w:pPr>
      <w:bookmarkStart w:id="44" w:name="_Toc167278280"/>
      <w:r w:rsidRPr="005464FA">
        <w:t>Progression free survival</w:t>
      </w:r>
      <w:bookmarkEnd w:id="44"/>
    </w:p>
    <w:p w14:paraId="7C9415D2" w14:textId="13FA274A" w:rsidR="00C40EC5" w:rsidRPr="005464FA" w:rsidRDefault="00B071F0" w:rsidP="00C40EC5">
      <w:pPr>
        <w:pStyle w:val="3-BodyText"/>
      </w:pPr>
      <w:r w:rsidRPr="005464FA">
        <w:t>At the time of the primary PFS analysis (9 December 2016), median PFS</w:t>
      </w:r>
      <w:r w:rsidR="00C40EC5" w:rsidRPr="005464FA">
        <w:t xml:space="preserve"> in the whole trial population </w:t>
      </w:r>
      <w:r w:rsidRPr="005464FA">
        <w:t xml:space="preserve">was </w:t>
      </w:r>
      <w:r w:rsidR="003F1B6E" w:rsidRPr="005464FA">
        <w:t xml:space="preserve">2.8 months </w:t>
      </w:r>
      <w:r w:rsidRPr="005464FA">
        <w:t xml:space="preserve">longer in the olaparib group than in the chemotherapy group and treatment with olaparib resulted in a 42% reduction in the </w:t>
      </w:r>
      <w:r w:rsidR="00DD5663" w:rsidRPr="005464FA">
        <w:t xml:space="preserve">relative </w:t>
      </w:r>
      <w:r w:rsidRPr="005464FA">
        <w:t xml:space="preserve">risk </w:t>
      </w:r>
      <w:r w:rsidR="00DD5663" w:rsidRPr="005464FA">
        <w:t xml:space="preserve">and 13% reduction in the absolute risk at 12 months </w:t>
      </w:r>
      <w:r w:rsidRPr="005464FA">
        <w:t xml:space="preserve">of disease progression or death </w:t>
      </w:r>
      <w:r w:rsidRPr="005464FA">
        <w:lastRenderedPageBreak/>
        <w:t xml:space="preserve">compared to chemotherapy in the whole trial population (median PFS 7.0 months vs 4.2 months; </w:t>
      </w:r>
      <w:r w:rsidR="00BE630B" w:rsidRPr="005464FA">
        <w:t xml:space="preserve">12-month PFS 25.9% vs 15%, </w:t>
      </w:r>
      <w:r w:rsidRPr="005464FA">
        <w:t>hazard ratio [HR] for disease progression or death 0.58; 95% confidence interval [CI] 0.43 to 0.80; p&lt;0.001). The submission considered that this improvement in PFS was both statistically significant and clinically relevant.</w:t>
      </w:r>
    </w:p>
    <w:p w14:paraId="0DF199EE" w14:textId="7EC1F488" w:rsidR="00C40EC5" w:rsidRPr="005464FA" w:rsidRDefault="00C40EC5" w:rsidP="00C40EC5">
      <w:pPr>
        <w:pStyle w:val="3-BodyText"/>
      </w:pPr>
      <w:r w:rsidRPr="005464FA">
        <w:t xml:space="preserve">The submission noted that in patients who received no prior chemotherapy for mBC, olaparib significantly extended PFS by 3.8 months and reduced the </w:t>
      </w:r>
      <w:r w:rsidR="00DD5663" w:rsidRPr="005464FA">
        <w:t xml:space="preserve">relative </w:t>
      </w:r>
      <w:r w:rsidRPr="005464FA">
        <w:t>risk of disease progression or death by 44% compared to chemotherapy (median 7.7 vs 3.9</w:t>
      </w:r>
      <w:r w:rsidR="009F391A">
        <w:t> </w:t>
      </w:r>
      <w:r w:rsidRPr="005464FA">
        <w:t xml:space="preserve">months; HR=0.56; 95% CI: 0.34, 0.98; p&lt;0.05). The proportion of patients who had not progressed or died at DCO for the primary PFS analysis was 74.6% in the olaparib arm compared with 71.4% in the chemotherapy arm. </w:t>
      </w:r>
    </w:p>
    <w:p w14:paraId="57B86CAD" w14:textId="293883BA" w:rsidR="00B071F0" w:rsidRPr="005464FA" w:rsidRDefault="00C40EC5" w:rsidP="00B071F0">
      <w:pPr>
        <w:pStyle w:val="3-BodyText"/>
      </w:pPr>
      <w:r w:rsidRPr="005464FA">
        <w:fldChar w:fldCharType="begin" w:fldLock="1"/>
      </w:r>
      <w:r w:rsidRPr="005464FA">
        <w:instrText xml:space="preserve"> REF _Ref164436110 \h </w:instrText>
      </w:r>
      <w:r w:rsidRPr="005464FA">
        <w:fldChar w:fldCharType="separate"/>
      </w:r>
      <w:r w:rsidR="00122E11" w:rsidRPr="005464FA">
        <w:t>Table 5</w:t>
      </w:r>
      <w:r w:rsidRPr="005464FA">
        <w:fldChar w:fldCharType="end"/>
      </w:r>
      <w:r w:rsidRPr="005464FA">
        <w:t xml:space="preserve"> </w:t>
      </w:r>
      <w:r w:rsidR="00B071F0" w:rsidRPr="005464FA">
        <w:t>presents the primary endpoint, PFS by BICR at the primary PFS DCO in the whole trial population</w:t>
      </w:r>
      <w:r w:rsidRPr="005464FA">
        <w:t xml:space="preserve"> as well as the no prior chemotherapy subgroup and its complement.</w:t>
      </w:r>
    </w:p>
    <w:p w14:paraId="12139AD7" w14:textId="45864693" w:rsidR="00C40EC5" w:rsidRPr="005464FA" w:rsidRDefault="00C40EC5" w:rsidP="005F522F">
      <w:pPr>
        <w:pStyle w:val="TableFigureHeading"/>
        <w:keepLines/>
        <w:rPr>
          <w:rFonts w:eastAsia="Times New Roman"/>
        </w:rPr>
      </w:pPr>
      <w:bookmarkStart w:id="45" w:name="_Ref164436110"/>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5</w:t>
      </w:r>
      <w:r w:rsidR="00935AC4" w:rsidRPr="005464FA">
        <w:fldChar w:fldCharType="end"/>
      </w:r>
      <w:bookmarkEnd w:id="45"/>
      <w:r w:rsidRPr="005464FA">
        <w:t xml:space="preserve">: Progression-free survival, primary PFS DCO </w:t>
      </w:r>
    </w:p>
    <w:tbl>
      <w:tblPr>
        <w:tblStyle w:val="TableGrid"/>
        <w:tblW w:w="5000" w:type="pct"/>
        <w:tblCellMar>
          <w:left w:w="29" w:type="dxa"/>
          <w:right w:w="29" w:type="dxa"/>
        </w:tblCellMar>
        <w:tblLook w:val="04A0" w:firstRow="1" w:lastRow="0" w:firstColumn="1" w:lastColumn="0" w:noHBand="0" w:noVBand="1"/>
        <w:tblCaption w:val="Table 5: Progression-free survival, primary PFS DCO "/>
      </w:tblPr>
      <w:tblGrid>
        <w:gridCol w:w="2312"/>
        <w:gridCol w:w="999"/>
        <w:gridCol w:w="1284"/>
        <w:gridCol w:w="925"/>
        <w:gridCol w:w="1217"/>
        <w:gridCol w:w="1001"/>
        <w:gridCol w:w="1279"/>
      </w:tblGrid>
      <w:tr w:rsidR="006C1B2D" w:rsidRPr="005464FA" w14:paraId="761813A7" w14:textId="77777777" w:rsidTr="00E360F4">
        <w:tc>
          <w:tcPr>
            <w:tcW w:w="1282" w:type="pct"/>
            <w:vMerge w:val="restart"/>
            <w:vAlign w:val="center"/>
          </w:tcPr>
          <w:p w14:paraId="1527D68A" w14:textId="77777777" w:rsidR="0045759B" w:rsidRPr="005464FA" w:rsidRDefault="0045759B" w:rsidP="005F522F">
            <w:pPr>
              <w:pStyle w:val="TableText0"/>
              <w:keepLines/>
            </w:pPr>
          </w:p>
        </w:tc>
        <w:tc>
          <w:tcPr>
            <w:tcW w:w="1266" w:type="pct"/>
            <w:gridSpan w:val="2"/>
            <w:vAlign w:val="center"/>
          </w:tcPr>
          <w:p w14:paraId="33814FAF" w14:textId="196E7C4B" w:rsidR="0045759B" w:rsidRPr="005464FA" w:rsidRDefault="0045759B" w:rsidP="005F522F">
            <w:pPr>
              <w:pStyle w:val="TableText0"/>
              <w:keepLines/>
              <w:jc w:val="center"/>
              <w:rPr>
                <w:b/>
                <w:bCs w:val="0"/>
              </w:rPr>
            </w:pPr>
            <w:r w:rsidRPr="005464FA">
              <w:rPr>
                <w:b/>
                <w:bCs w:val="0"/>
              </w:rPr>
              <w:t>Whole trial population</w:t>
            </w:r>
          </w:p>
        </w:tc>
        <w:tc>
          <w:tcPr>
            <w:tcW w:w="1188" w:type="pct"/>
            <w:gridSpan w:val="2"/>
            <w:vAlign w:val="center"/>
          </w:tcPr>
          <w:p w14:paraId="345E3AF5" w14:textId="6C8373C2" w:rsidR="0045759B" w:rsidRPr="005464FA" w:rsidRDefault="0045759B" w:rsidP="005F522F">
            <w:pPr>
              <w:pStyle w:val="TableText0"/>
              <w:keepLines/>
              <w:jc w:val="center"/>
              <w:rPr>
                <w:b/>
                <w:bCs w:val="0"/>
              </w:rPr>
            </w:pPr>
            <w:r w:rsidRPr="005464FA">
              <w:rPr>
                <w:b/>
                <w:bCs w:val="0"/>
              </w:rPr>
              <w:t>No prior chemotherapy for mBC</w:t>
            </w:r>
          </w:p>
        </w:tc>
        <w:tc>
          <w:tcPr>
            <w:tcW w:w="1264" w:type="pct"/>
            <w:gridSpan w:val="2"/>
            <w:vAlign w:val="center"/>
          </w:tcPr>
          <w:p w14:paraId="1E08A624" w14:textId="77777777" w:rsidR="0045759B" w:rsidRPr="005464FA" w:rsidRDefault="0045759B" w:rsidP="005F522F">
            <w:pPr>
              <w:pStyle w:val="TableText0"/>
              <w:keepLines/>
              <w:jc w:val="center"/>
              <w:rPr>
                <w:b/>
                <w:bCs w:val="0"/>
              </w:rPr>
            </w:pPr>
            <w:r w:rsidRPr="005464FA">
              <w:rPr>
                <w:b/>
                <w:bCs w:val="0"/>
              </w:rPr>
              <w:t>Prior chemotherapy</w:t>
            </w:r>
          </w:p>
        </w:tc>
      </w:tr>
      <w:tr w:rsidR="006C1B2D" w:rsidRPr="005464FA" w14:paraId="30B8986E" w14:textId="77777777" w:rsidTr="00E360F4">
        <w:tc>
          <w:tcPr>
            <w:tcW w:w="1282" w:type="pct"/>
            <w:vMerge/>
            <w:vAlign w:val="center"/>
          </w:tcPr>
          <w:p w14:paraId="14B6F2BE" w14:textId="77777777" w:rsidR="0045759B" w:rsidRPr="005464FA" w:rsidRDefault="0045759B" w:rsidP="005F522F">
            <w:pPr>
              <w:pStyle w:val="TableText0"/>
              <w:keepLines/>
            </w:pPr>
          </w:p>
        </w:tc>
        <w:tc>
          <w:tcPr>
            <w:tcW w:w="554" w:type="pct"/>
            <w:vAlign w:val="center"/>
          </w:tcPr>
          <w:p w14:paraId="315987DF" w14:textId="77777777" w:rsidR="0045759B" w:rsidRPr="005464FA" w:rsidRDefault="0045759B" w:rsidP="005F522F">
            <w:pPr>
              <w:pStyle w:val="Tabletext"/>
              <w:keepNext/>
              <w:keepLines/>
              <w:jc w:val="center"/>
              <w:rPr>
                <w:b/>
              </w:rPr>
            </w:pPr>
            <w:r w:rsidRPr="005464FA">
              <w:rPr>
                <w:b/>
              </w:rPr>
              <w:t>Olaparib</w:t>
            </w:r>
          </w:p>
          <w:p w14:paraId="1CC9EFE4" w14:textId="52BE4609" w:rsidR="0045759B" w:rsidRPr="005464FA" w:rsidRDefault="0045759B" w:rsidP="005F522F">
            <w:pPr>
              <w:pStyle w:val="TableText0"/>
              <w:keepLines/>
              <w:jc w:val="center"/>
              <w:rPr>
                <w:b/>
                <w:bCs w:val="0"/>
              </w:rPr>
            </w:pPr>
            <w:r w:rsidRPr="005464FA">
              <w:rPr>
                <w:b/>
              </w:rPr>
              <w:t>N=205</w:t>
            </w:r>
          </w:p>
        </w:tc>
        <w:tc>
          <w:tcPr>
            <w:tcW w:w="712" w:type="pct"/>
            <w:vAlign w:val="center"/>
          </w:tcPr>
          <w:p w14:paraId="6891A0CF" w14:textId="77777777" w:rsidR="0045759B" w:rsidRPr="005464FA" w:rsidRDefault="0045759B" w:rsidP="005F522F">
            <w:pPr>
              <w:pStyle w:val="Tabletext"/>
              <w:keepNext/>
              <w:keepLines/>
              <w:jc w:val="center"/>
              <w:rPr>
                <w:b/>
                <w:vertAlign w:val="superscript"/>
              </w:rPr>
            </w:pPr>
            <w:r w:rsidRPr="005464FA">
              <w:rPr>
                <w:b/>
              </w:rPr>
              <w:t>Chemotherapy</w:t>
            </w:r>
          </w:p>
          <w:p w14:paraId="0A04BFB2" w14:textId="35D3015D" w:rsidR="0045759B" w:rsidRPr="005464FA" w:rsidRDefault="0045759B" w:rsidP="005F522F">
            <w:pPr>
              <w:pStyle w:val="TableText0"/>
              <w:keepLines/>
              <w:jc w:val="center"/>
              <w:rPr>
                <w:b/>
                <w:bCs w:val="0"/>
              </w:rPr>
            </w:pPr>
            <w:r w:rsidRPr="005464FA">
              <w:rPr>
                <w:b/>
              </w:rPr>
              <w:t>N=97</w:t>
            </w:r>
          </w:p>
        </w:tc>
        <w:tc>
          <w:tcPr>
            <w:tcW w:w="513" w:type="pct"/>
            <w:vAlign w:val="center"/>
          </w:tcPr>
          <w:p w14:paraId="498B2D47" w14:textId="4182F90D" w:rsidR="0045759B" w:rsidRPr="005464FA" w:rsidRDefault="0045759B" w:rsidP="005F522F">
            <w:pPr>
              <w:pStyle w:val="TableText0"/>
              <w:keepLines/>
              <w:jc w:val="center"/>
              <w:rPr>
                <w:b/>
                <w:bCs w:val="0"/>
              </w:rPr>
            </w:pPr>
            <w:r w:rsidRPr="005464FA">
              <w:rPr>
                <w:b/>
                <w:bCs w:val="0"/>
              </w:rPr>
              <w:t>Olaparib</w:t>
            </w:r>
          </w:p>
          <w:p w14:paraId="7B54D6DA" w14:textId="77777777" w:rsidR="0045759B" w:rsidRPr="005464FA" w:rsidRDefault="0045759B" w:rsidP="005F522F">
            <w:pPr>
              <w:pStyle w:val="TableText0"/>
              <w:keepLines/>
              <w:jc w:val="center"/>
              <w:rPr>
                <w:b/>
                <w:bCs w:val="0"/>
              </w:rPr>
            </w:pPr>
            <w:r w:rsidRPr="005464FA">
              <w:rPr>
                <w:b/>
                <w:bCs w:val="0"/>
              </w:rPr>
              <w:t>N=59</w:t>
            </w:r>
          </w:p>
        </w:tc>
        <w:tc>
          <w:tcPr>
            <w:tcW w:w="675" w:type="pct"/>
            <w:vAlign w:val="center"/>
          </w:tcPr>
          <w:p w14:paraId="00C37624" w14:textId="77777777" w:rsidR="0045759B" w:rsidRPr="005464FA" w:rsidRDefault="0045759B" w:rsidP="005F522F">
            <w:pPr>
              <w:pStyle w:val="TableText0"/>
              <w:keepLines/>
              <w:jc w:val="center"/>
              <w:rPr>
                <w:b/>
                <w:bCs w:val="0"/>
                <w:vertAlign w:val="superscript"/>
              </w:rPr>
            </w:pPr>
            <w:r w:rsidRPr="005464FA">
              <w:rPr>
                <w:b/>
                <w:bCs w:val="0"/>
              </w:rPr>
              <w:t>Chemotherapy</w:t>
            </w:r>
          </w:p>
          <w:p w14:paraId="6597E9D0" w14:textId="77777777" w:rsidR="0045759B" w:rsidRPr="005464FA" w:rsidRDefault="0045759B" w:rsidP="005F522F">
            <w:pPr>
              <w:pStyle w:val="TableText0"/>
              <w:keepLines/>
              <w:jc w:val="center"/>
              <w:rPr>
                <w:b/>
                <w:bCs w:val="0"/>
              </w:rPr>
            </w:pPr>
            <w:r w:rsidRPr="005464FA">
              <w:rPr>
                <w:b/>
                <w:bCs w:val="0"/>
              </w:rPr>
              <w:t>N=28</w:t>
            </w:r>
          </w:p>
        </w:tc>
        <w:tc>
          <w:tcPr>
            <w:tcW w:w="555" w:type="pct"/>
            <w:vAlign w:val="center"/>
          </w:tcPr>
          <w:p w14:paraId="0FF1CD3F" w14:textId="77777777" w:rsidR="0045759B" w:rsidRPr="005464FA" w:rsidRDefault="0045759B" w:rsidP="005F522F">
            <w:pPr>
              <w:pStyle w:val="TableText0"/>
              <w:keepLines/>
              <w:jc w:val="center"/>
              <w:rPr>
                <w:b/>
                <w:bCs w:val="0"/>
              </w:rPr>
            </w:pPr>
            <w:r w:rsidRPr="005464FA">
              <w:rPr>
                <w:b/>
                <w:bCs w:val="0"/>
              </w:rPr>
              <w:t>Olaparib</w:t>
            </w:r>
          </w:p>
          <w:p w14:paraId="4A5BB26B" w14:textId="77777777" w:rsidR="0045759B" w:rsidRPr="005464FA" w:rsidRDefault="0045759B" w:rsidP="005F522F">
            <w:pPr>
              <w:pStyle w:val="TableText0"/>
              <w:keepLines/>
              <w:jc w:val="center"/>
              <w:rPr>
                <w:b/>
                <w:bCs w:val="0"/>
              </w:rPr>
            </w:pPr>
            <w:r w:rsidRPr="005464FA">
              <w:rPr>
                <w:b/>
                <w:bCs w:val="0"/>
              </w:rPr>
              <w:t>N=146</w:t>
            </w:r>
          </w:p>
        </w:tc>
        <w:tc>
          <w:tcPr>
            <w:tcW w:w="709" w:type="pct"/>
            <w:vAlign w:val="center"/>
          </w:tcPr>
          <w:p w14:paraId="3AD8861E" w14:textId="77777777" w:rsidR="0045759B" w:rsidRPr="005464FA" w:rsidRDefault="0045759B" w:rsidP="005F522F">
            <w:pPr>
              <w:pStyle w:val="TableText0"/>
              <w:keepLines/>
              <w:jc w:val="center"/>
              <w:rPr>
                <w:b/>
                <w:bCs w:val="0"/>
                <w:vertAlign w:val="superscript"/>
              </w:rPr>
            </w:pPr>
            <w:r w:rsidRPr="005464FA">
              <w:rPr>
                <w:b/>
                <w:bCs w:val="0"/>
              </w:rPr>
              <w:t>Chemotherapy</w:t>
            </w:r>
          </w:p>
          <w:p w14:paraId="1F9DFF2C" w14:textId="77777777" w:rsidR="0045759B" w:rsidRPr="005464FA" w:rsidRDefault="0045759B" w:rsidP="005F522F">
            <w:pPr>
              <w:pStyle w:val="TableText0"/>
              <w:keepLines/>
              <w:jc w:val="center"/>
              <w:rPr>
                <w:b/>
                <w:bCs w:val="0"/>
              </w:rPr>
            </w:pPr>
            <w:r w:rsidRPr="005464FA">
              <w:rPr>
                <w:b/>
                <w:bCs w:val="0"/>
              </w:rPr>
              <w:t>N=69</w:t>
            </w:r>
          </w:p>
        </w:tc>
      </w:tr>
      <w:tr w:rsidR="006C1B2D" w:rsidRPr="005464FA" w14:paraId="4C393C8B" w14:textId="77777777" w:rsidTr="00E360F4">
        <w:tc>
          <w:tcPr>
            <w:tcW w:w="1282" w:type="pct"/>
            <w:vAlign w:val="center"/>
            <w:hideMark/>
          </w:tcPr>
          <w:p w14:paraId="34BC711A" w14:textId="6472DF7A" w:rsidR="0045759B" w:rsidRPr="005464FA" w:rsidRDefault="0045759B" w:rsidP="005F522F">
            <w:pPr>
              <w:pStyle w:val="TableText0"/>
              <w:keepLines/>
            </w:pPr>
            <w:r w:rsidRPr="005464FA">
              <w:t xml:space="preserve">Number (%) of patients who had not died or progressed </w:t>
            </w:r>
            <w:r w:rsidRPr="005464FA">
              <w:rPr>
                <w:vertAlign w:val="superscript"/>
              </w:rPr>
              <w:t>a</w:t>
            </w:r>
          </w:p>
        </w:tc>
        <w:tc>
          <w:tcPr>
            <w:tcW w:w="554" w:type="pct"/>
            <w:vAlign w:val="center"/>
          </w:tcPr>
          <w:p w14:paraId="31DE3C6C" w14:textId="7AE8104B" w:rsidR="0045759B" w:rsidRPr="005464FA" w:rsidRDefault="0045759B" w:rsidP="005F522F">
            <w:pPr>
              <w:pStyle w:val="TableText0"/>
              <w:keepLines/>
              <w:jc w:val="center"/>
            </w:pPr>
            <w:r w:rsidRPr="005464FA">
              <w:t>163 (79.5)</w:t>
            </w:r>
          </w:p>
        </w:tc>
        <w:tc>
          <w:tcPr>
            <w:tcW w:w="712" w:type="pct"/>
            <w:vAlign w:val="center"/>
          </w:tcPr>
          <w:p w14:paraId="35C0C57D" w14:textId="33C60056" w:rsidR="0045759B" w:rsidRPr="005464FA" w:rsidRDefault="0045759B" w:rsidP="005F522F">
            <w:pPr>
              <w:pStyle w:val="TableText0"/>
              <w:keepLines/>
              <w:jc w:val="center"/>
            </w:pPr>
            <w:r w:rsidRPr="005464FA">
              <w:t>71 (73.2)</w:t>
            </w:r>
          </w:p>
        </w:tc>
        <w:tc>
          <w:tcPr>
            <w:tcW w:w="513" w:type="pct"/>
            <w:vAlign w:val="center"/>
            <w:hideMark/>
          </w:tcPr>
          <w:p w14:paraId="3C4BD4AD" w14:textId="09BFEB23" w:rsidR="0045759B" w:rsidRPr="005464FA" w:rsidRDefault="0045759B" w:rsidP="005F522F">
            <w:pPr>
              <w:pStyle w:val="TableText0"/>
              <w:keepLines/>
              <w:jc w:val="center"/>
            </w:pPr>
            <w:r w:rsidRPr="005464FA">
              <w:t>44 (74.6)</w:t>
            </w:r>
          </w:p>
        </w:tc>
        <w:tc>
          <w:tcPr>
            <w:tcW w:w="675" w:type="pct"/>
            <w:vAlign w:val="center"/>
            <w:hideMark/>
          </w:tcPr>
          <w:p w14:paraId="442ACFB5" w14:textId="77777777" w:rsidR="0045759B" w:rsidRPr="005464FA" w:rsidRDefault="0045759B" w:rsidP="005F522F">
            <w:pPr>
              <w:pStyle w:val="TableText0"/>
              <w:keepLines/>
              <w:jc w:val="center"/>
            </w:pPr>
            <w:r w:rsidRPr="005464FA">
              <w:t>20 (71.4)</w:t>
            </w:r>
          </w:p>
        </w:tc>
        <w:tc>
          <w:tcPr>
            <w:tcW w:w="555" w:type="pct"/>
            <w:vAlign w:val="center"/>
          </w:tcPr>
          <w:p w14:paraId="396F2AF2" w14:textId="77777777" w:rsidR="0045759B" w:rsidRPr="005464FA" w:rsidRDefault="0045759B" w:rsidP="005F522F">
            <w:pPr>
              <w:pStyle w:val="TableText0"/>
              <w:keepLines/>
              <w:jc w:val="center"/>
            </w:pPr>
            <w:r w:rsidRPr="005464FA">
              <w:t>119 (81.5)</w:t>
            </w:r>
          </w:p>
        </w:tc>
        <w:tc>
          <w:tcPr>
            <w:tcW w:w="709" w:type="pct"/>
            <w:vAlign w:val="center"/>
          </w:tcPr>
          <w:p w14:paraId="78CF57BC" w14:textId="77777777" w:rsidR="0045759B" w:rsidRPr="005464FA" w:rsidRDefault="0045759B" w:rsidP="005F522F">
            <w:pPr>
              <w:pStyle w:val="TableText0"/>
              <w:keepLines/>
              <w:jc w:val="center"/>
            </w:pPr>
            <w:r w:rsidRPr="005464FA">
              <w:t>51 (73.9)</w:t>
            </w:r>
          </w:p>
        </w:tc>
      </w:tr>
      <w:tr w:rsidR="00A811DF" w:rsidRPr="005464FA" w14:paraId="569A8897" w14:textId="77777777" w:rsidTr="00E360F4">
        <w:tc>
          <w:tcPr>
            <w:tcW w:w="1282" w:type="pct"/>
            <w:vAlign w:val="center"/>
          </w:tcPr>
          <w:p w14:paraId="4AD487AC" w14:textId="77777777" w:rsidR="00A811DF" w:rsidRPr="005464FA" w:rsidRDefault="00A811DF" w:rsidP="005F522F">
            <w:pPr>
              <w:pStyle w:val="TableText0"/>
              <w:keepLines/>
            </w:pPr>
            <w:r w:rsidRPr="005464FA">
              <w:t>HR (95% CI)</w:t>
            </w:r>
            <w:r w:rsidRPr="005464FA">
              <w:rPr>
                <w:vertAlign w:val="superscript"/>
              </w:rPr>
              <w:t>b</w:t>
            </w:r>
          </w:p>
        </w:tc>
        <w:tc>
          <w:tcPr>
            <w:tcW w:w="1266" w:type="pct"/>
            <w:gridSpan w:val="2"/>
            <w:vAlign w:val="center"/>
          </w:tcPr>
          <w:p w14:paraId="5E1012CB" w14:textId="5EEB7BCF" w:rsidR="00A811DF" w:rsidRPr="005464FA" w:rsidRDefault="00A811DF" w:rsidP="005F522F">
            <w:pPr>
              <w:pStyle w:val="TableText0"/>
              <w:keepLines/>
              <w:jc w:val="center"/>
            </w:pPr>
            <w:r w:rsidRPr="005464FA">
              <w:rPr>
                <w:b/>
                <w:bCs w:val="0"/>
              </w:rPr>
              <w:t>0.58 (0.43, 0.80)</w:t>
            </w:r>
          </w:p>
        </w:tc>
        <w:tc>
          <w:tcPr>
            <w:tcW w:w="1188" w:type="pct"/>
            <w:gridSpan w:val="2"/>
            <w:vAlign w:val="center"/>
          </w:tcPr>
          <w:p w14:paraId="5665AFE5" w14:textId="464C46A3" w:rsidR="00A811DF" w:rsidRPr="005464FA" w:rsidRDefault="00A811DF" w:rsidP="005F522F">
            <w:pPr>
              <w:pStyle w:val="TableText0"/>
              <w:keepLines/>
              <w:jc w:val="center"/>
            </w:pPr>
            <w:r w:rsidRPr="005464FA">
              <w:t>0.56 (0.34, 0.98)</w:t>
            </w:r>
          </w:p>
        </w:tc>
        <w:tc>
          <w:tcPr>
            <w:tcW w:w="1264" w:type="pct"/>
            <w:gridSpan w:val="2"/>
            <w:vAlign w:val="center"/>
          </w:tcPr>
          <w:p w14:paraId="1619B8F0" w14:textId="77777777" w:rsidR="00A811DF" w:rsidRPr="005464FA" w:rsidRDefault="00A811DF" w:rsidP="005F522F">
            <w:pPr>
              <w:pStyle w:val="TableText0"/>
              <w:keepLines/>
              <w:jc w:val="center"/>
            </w:pPr>
            <w:r w:rsidRPr="005464FA">
              <w:t>0.65 (0.47, 0.91)</w:t>
            </w:r>
          </w:p>
        </w:tc>
      </w:tr>
      <w:tr w:rsidR="00A811DF" w:rsidRPr="005464FA" w14:paraId="7FDFF0DF" w14:textId="77777777" w:rsidTr="00E360F4">
        <w:tc>
          <w:tcPr>
            <w:tcW w:w="1282" w:type="pct"/>
            <w:vAlign w:val="center"/>
          </w:tcPr>
          <w:p w14:paraId="0176E40C" w14:textId="77777777" w:rsidR="00A811DF" w:rsidRPr="005464FA" w:rsidRDefault="00A811DF" w:rsidP="005F522F">
            <w:pPr>
              <w:pStyle w:val="TableText0"/>
              <w:keepLines/>
            </w:pPr>
            <w:r w:rsidRPr="005464FA">
              <w:t>p</w:t>
            </w:r>
            <w:r w:rsidRPr="005464FA">
              <w:noBreakHyphen/>
              <w:t xml:space="preserve">value </w:t>
            </w:r>
          </w:p>
        </w:tc>
        <w:tc>
          <w:tcPr>
            <w:tcW w:w="1266" w:type="pct"/>
            <w:gridSpan w:val="2"/>
            <w:vAlign w:val="center"/>
          </w:tcPr>
          <w:p w14:paraId="6ECA26F9" w14:textId="7133CA99" w:rsidR="00A811DF" w:rsidRPr="005464FA" w:rsidRDefault="00A811DF" w:rsidP="005F522F">
            <w:pPr>
              <w:pStyle w:val="TableText0"/>
              <w:keepLines/>
              <w:jc w:val="center"/>
            </w:pPr>
            <w:r w:rsidRPr="005464FA">
              <w:t>0.0009</w:t>
            </w:r>
          </w:p>
        </w:tc>
        <w:tc>
          <w:tcPr>
            <w:tcW w:w="1188" w:type="pct"/>
            <w:gridSpan w:val="2"/>
            <w:vAlign w:val="center"/>
          </w:tcPr>
          <w:p w14:paraId="49175602" w14:textId="3E18F036" w:rsidR="00A811DF" w:rsidRPr="005464FA" w:rsidRDefault="00A811DF" w:rsidP="005F522F">
            <w:pPr>
              <w:pStyle w:val="TableText0"/>
              <w:keepLines/>
              <w:jc w:val="center"/>
            </w:pPr>
            <w:r w:rsidRPr="005464FA">
              <w:t>NR</w:t>
            </w:r>
          </w:p>
        </w:tc>
        <w:tc>
          <w:tcPr>
            <w:tcW w:w="1264" w:type="pct"/>
            <w:gridSpan w:val="2"/>
            <w:vAlign w:val="center"/>
          </w:tcPr>
          <w:p w14:paraId="1F4B66AB" w14:textId="77777777" w:rsidR="00A811DF" w:rsidRPr="005464FA" w:rsidRDefault="00A811DF" w:rsidP="005F522F">
            <w:pPr>
              <w:pStyle w:val="TableText0"/>
              <w:keepLines/>
              <w:jc w:val="center"/>
            </w:pPr>
            <w:r w:rsidRPr="005464FA">
              <w:t>NR</w:t>
            </w:r>
          </w:p>
        </w:tc>
      </w:tr>
      <w:tr w:rsidR="006C1B2D" w:rsidRPr="005464FA" w14:paraId="4AE049E6" w14:textId="77777777" w:rsidTr="00E360F4">
        <w:tc>
          <w:tcPr>
            <w:tcW w:w="1282" w:type="pct"/>
            <w:vAlign w:val="center"/>
            <w:hideMark/>
          </w:tcPr>
          <w:p w14:paraId="4D288961" w14:textId="25F43EC9" w:rsidR="0045759B" w:rsidRPr="005464FA" w:rsidRDefault="0045759B" w:rsidP="005F522F">
            <w:pPr>
              <w:pStyle w:val="TableText0"/>
              <w:keepLines/>
            </w:pPr>
            <w:r w:rsidRPr="005464FA">
              <w:t xml:space="preserve">Median PFS (95% CI), months </w:t>
            </w:r>
            <w:r w:rsidRPr="005464FA">
              <w:rPr>
                <w:vertAlign w:val="superscript"/>
              </w:rPr>
              <w:t>c</w:t>
            </w:r>
          </w:p>
        </w:tc>
        <w:tc>
          <w:tcPr>
            <w:tcW w:w="554" w:type="pct"/>
            <w:vAlign w:val="center"/>
          </w:tcPr>
          <w:p w14:paraId="4C2B835D" w14:textId="77777777" w:rsidR="0045759B" w:rsidRPr="005464FA" w:rsidRDefault="0045759B" w:rsidP="005F522F">
            <w:pPr>
              <w:pStyle w:val="TableText0"/>
              <w:keepLines/>
              <w:jc w:val="center"/>
            </w:pPr>
            <w:r w:rsidRPr="005464FA">
              <w:t>7.03</w:t>
            </w:r>
          </w:p>
          <w:p w14:paraId="0539176E" w14:textId="3C5B5503" w:rsidR="0045759B" w:rsidRPr="005464FA" w:rsidRDefault="0045759B" w:rsidP="005F522F">
            <w:pPr>
              <w:pStyle w:val="TableText0"/>
              <w:keepLines/>
              <w:jc w:val="center"/>
            </w:pPr>
            <w:r w:rsidRPr="005464FA">
              <w:t>(5.68, 8.31)</w:t>
            </w:r>
          </w:p>
        </w:tc>
        <w:tc>
          <w:tcPr>
            <w:tcW w:w="712" w:type="pct"/>
            <w:vAlign w:val="center"/>
          </w:tcPr>
          <w:p w14:paraId="16D91FD8" w14:textId="77777777" w:rsidR="0045759B" w:rsidRPr="005464FA" w:rsidRDefault="0045759B" w:rsidP="005F522F">
            <w:pPr>
              <w:pStyle w:val="TableText0"/>
              <w:keepLines/>
              <w:jc w:val="center"/>
            </w:pPr>
            <w:r w:rsidRPr="005464FA">
              <w:t>4.17</w:t>
            </w:r>
          </w:p>
          <w:p w14:paraId="7A448411" w14:textId="22A76D73" w:rsidR="0045759B" w:rsidRPr="005464FA" w:rsidRDefault="0045759B" w:rsidP="005F522F">
            <w:pPr>
              <w:pStyle w:val="TableText0"/>
              <w:keepLines/>
              <w:jc w:val="center"/>
            </w:pPr>
            <w:r w:rsidRPr="005464FA">
              <w:t>(2.79, 4.27)</w:t>
            </w:r>
          </w:p>
        </w:tc>
        <w:tc>
          <w:tcPr>
            <w:tcW w:w="513" w:type="pct"/>
            <w:vAlign w:val="center"/>
            <w:hideMark/>
          </w:tcPr>
          <w:p w14:paraId="272B3D82" w14:textId="48E54FEF" w:rsidR="0045759B" w:rsidRPr="005464FA" w:rsidRDefault="0045759B" w:rsidP="005F522F">
            <w:pPr>
              <w:pStyle w:val="TableText0"/>
              <w:keepLines/>
              <w:jc w:val="center"/>
            </w:pPr>
            <w:r w:rsidRPr="005464FA">
              <w:t>7.66</w:t>
            </w:r>
          </w:p>
          <w:p w14:paraId="40E373F3" w14:textId="77777777" w:rsidR="0045759B" w:rsidRPr="005464FA" w:rsidRDefault="0045759B" w:rsidP="005F522F">
            <w:pPr>
              <w:pStyle w:val="TableText0"/>
              <w:keepLines/>
              <w:jc w:val="center"/>
            </w:pPr>
            <w:r w:rsidRPr="005464FA">
              <w:t>(5.45, 8.51)</w:t>
            </w:r>
          </w:p>
        </w:tc>
        <w:tc>
          <w:tcPr>
            <w:tcW w:w="675" w:type="pct"/>
            <w:vAlign w:val="center"/>
            <w:hideMark/>
          </w:tcPr>
          <w:p w14:paraId="70E4154E" w14:textId="77777777" w:rsidR="0045759B" w:rsidRPr="005464FA" w:rsidRDefault="0045759B" w:rsidP="005F522F">
            <w:pPr>
              <w:pStyle w:val="TableText0"/>
              <w:keepLines/>
              <w:jc w:val="center"/>
            </w:pPr>
            <w:r w:rsidRPr="005464FA">
              <w:t>3.88</w:t>
            </w:r>
          </w:p>
          <w:p w14:paraId="79123DFB" w14:textId="302145C4" w:rsidR="0045759B" w:rsidRPr="005464FA" w:rsidRDefault="0045759B" w:rsidP="005F522F">
            <w:pPr>
              <w:pStyle w:val="TableText0"/>
              <w:keepLines/>
              <w:jc w:val="center"/>
            </w:pPr>
            <w:r w:rsidRPr="005464FA">
              <w:t>(1.41, 7.95)</w:t>
            </w:r>
          </w:p>
        </w:tc>
        <w:tc>
          <w:tcPr>
            <w:tcW w:w="555" w:type="pct"/>
            <w:vAlign w:val="center"/>
          </w:tcPr>
          <w:p w14:paraId="4BE0AE8F" w14:textId="77777777" w:rsidR="0045759B" w:rsidRPr="005464FA" w:rsidRDefault="0045759B" w:rsidP="005F522F">
            <w:pPr>
              <w:pStyle w:val="TableText0"/>
              <w:keepLines/>
              <w:jc w:val="center"/>
            </w:pPr>
            <w:r w:rsidRPr="005464FA">
              <w:t>7.03</w:t>
            </w:r>
          </w:p>
          <w:p w14:paraId="05957ED7" w14:textId="077E4A0C" w:rsidR="0045759B" w:rsidRPr="005464FA" w:rsidRDefault="0045759B" w:rsidP="005F522F">
            <w:pPr>
              <w:pStyle w:val="TableText0"/>
              <w:keepLines/>
              <w:jc w:val="center"/>
            </w:pPr>
            <w:r w:rsidRPr="005464FA">
              <w:t>(5.55, 8.31)</w:t>
            </w:r>
          </w:p>
        </w:tc>
        <w:tc>
          <w:tcPr>
            <w:tcW w:w="709" w:type="pct"/>
            <w:vAlign w:val="center"/>
          </w:tcPr>
          <w:p w14:paraId="532FBE3E" w14:textId="77777777" w:rsidR="0045759B" w:rsidRPr="005464FA" w:rsidRDefault="0045759B" w:rsidP="005F522F">
            <w:pPr>
              <w:pStyle w:val="TableText0"/>
              <w:keepLines/>
              <w:jc w:val="center"/>
            </w:pPr>
            <w:r w:rsidRPr="005464FA">
              <w:t>4.17</w:t>
            </w:r>
          </w:p>
          <w:p w14:paraId="69A23CF1" w14:textId="12EB59AC" w:rsidR="0045759B" w:rsidRPr="005464FA" w:rsidRDefault="0045759B" w:rsidP="005F522F">
            <w:pPr>
              <w:pStyle w:val="TableText0"/>
              <w:keepLines/>
              <w:jc w:val="center"/>
            </w:pPr>
            <w:r w:rsidRPr="005464FA">
              <w:t>(2.76, 4.63)</w:t>
            </w:r>
          </w:p>
        </w:tc>
      </w:tr>
      <w:tr w:rsidR="006C1B2D" w:rsidRPr="005464FA" w14:paraId="3A532B81" w14:textId="77777777" w:rsidTr="00E360F4">
        <w:tc>
          <w:tcPr>
            <w:tcW w:w="1282" w:type="pct"/>
            <w:vAlign w:val="center"/>
          </w:tcPr>
          <w:p w14:paraId="197FE1A3" w14:textId="77777777" w:rsidR="0045759B" w:rsidRPr="005464FA" w:rsidRDefault="0045759B" w:rsidP="005F522F">
            <w:pPr>
              <w:pStyle w:val="TableText0"/>
              <w:keepLines/>
            </w:pPr>
            <w:r w:rsidRPr="005464FA">
              <w:t>Progression-free at 6 months, %</w:t>
            </w:r>
          </w:p>
        </w:tc>
        <w:tc>
          <w:tcPr>
            <w:tcW w:w="554" w:type="pct"/>
            <w:vAlign w:val="center"/>
          </w:tcPr>
          <w:p w14:paraId="4C08C62E" w14:textId="0C1E8F4D" w:rsidR="0045759B" w:rsidRPr="005464FA" w:rsidRDefault="0045759B" w:rsidP="005F522F">
            <w:pPr>
              <w:pStyle w:val="TableText0"/>
              <w:keepLines/>
              <w:jc w:val="center"/>
            </w:pPr>
            <w:r w:rsidRPr="005464FA">
              <w:t>54.1</w:t>
            </w:r>
          </w:p>
        </w:tc>
        <w:tc>
          <w:tcPr>
            <w:tcW w:w="712" w:type="pct"/>
            <w:vAlign w:val="center"/>
          </w:tcPr>
          <w:p w14:paraId="07A7AE6D" w14:textId="0B6C2B22" w:rsidR="0045759B" w:rsidRPr="005464FA" w:rsidRDefault="0045759B" w:rsidP="005F522F">
            <w:pPr>
              <w:pStyle w:val="TableText0"/>
              <w:keepLines/>
              <w:jc w:val="center"/>
            </w:pPr>
            <w:r w:rsidRPr="005464FA">
              <w:t>32.9</w:t>
            </w:r>
          </w:p>
        </w:tc>
        <w:tc>
          <w:tcPr>
            <w:tcW w:w="2452" w:type="pct"/>
            <w:gridSpan w:val="4"/>
            <w:vAlign w:val="center"/>
          </w:tcPr>
          <w:p w14:paraId="59FFDEF7" w14:textId="2D45D63E" w:rsidR="0045759B" w:rsidRPr="005464FA" w:rsidRDefault="0045759B" w:rsidP="005F522F">
            <w:pPr>
              <w:pStyle w:val="TableText0"/>
              <w:keepLines/>
              <w:jc w:val="center"/>
            </w:pPr>
            <w:r w:rsidRPr="005464FA">
              <w:t>NR</w:t>
            </w:r>
          </w:p>
        </w:tc>
      </w:tr>
      <w:tr w:rsidR="006C1B2D" w:rsidRPr="005464FA" w14:paraId="0AB6CB4F" w14:textId="77777777" w:rsidTr="00E360F4">
        <w:tc>
          <w:tcPr>
            <w:tcW w:w="1282" w:type="pct"/>
            <w:vAlign w:val="center"/>
          </w:tcPr>
          <w:p w14:paraId="23B8D07A" w14:textId="77777777" w:rsidR="0045759B" w:rsidRPr="005464FA" w:rsidRDefault="0045759B" w:rsidP="005F522F">
            <w:pPr>
              <w:pStyle w:val="TableText0"/>
              <w:keepLines/>
            </w:pPr>
            <w:r w:rsidRPr="005464FA">
              <w:t>Progression-free at 12 months, %</w:t>
            </w:r>
          </w:p>
        </w:tc>
        <w:tc>
          <w:tcPr>
            <w:tcW w:w="554" w:type="pct"/>
            <w:vAlign w:val="center"/>
          </w:tcPr>
          <w:p w14:paraId="65F277D8" w14:textId="4FBF66A1" w:rsidR="0045759B" w:rsidRPr="005464FA" w:rsidRDefault="0045759B" w:rsidP="005F522F">
            <w:pPr>
              <w:pStyle w:val="TableText0"/>
              <w:keepLines/>
              <w:jc w:val="center"/>
            </w:pPr>
            <w:r w:rsidRPr="005464FA">
              <w:t>25.9</w:t>
            </w:r>
          </w:p>
        </w:tc>
        <w:tc>
          <w:tcPr>
            <w:tcW w:w="712" w:type="pct"/>
            <w:vAlign w:val="center"/>
          </w:tcPr>
          <w:p w14:paraId="21EC976D" w14:textId="7CD11FED" w:rsidR="0045759B" w:rsidRPr="005464FA" w:rsidRDefault="0045759B" w:rsidP="005F522F">
            <w:pPr>
              <w:pStyle w:val="TableText0"/>
              <w:keepLines/>
              <w:jc w:val="center"/>
            </w:pPr>
            <w:r w:rsidRPr="005464FA">
              <w:t>15.0</w:t>
            </w:r>
          </w:p>
        </w:tc>
        <w:tc>
          <w:tcPr>
            <w:tcW w:w="2452" w:type="pct"/>
            <w:gridSpan w:val="4"/>
            <w:vAlign w:val="center"/>
          </w:tcPr>
          <w:p w14:paraId="04229F48" w14:textId="7D657D14" w:rsidR="0045759B" w:rsidRPr="005464FA" w:rsidRDefault="0045759B" w:rsidP="005F522F">
            <w:pPr>
              <w:pStyle w:val="TableText0"/>
              <w:keepLines/>
              <w:jc w:val="center"/>
            </w:pPr>
            <w:r w:rsidRPr="005464FA">
              <w:t>NR</w:t>
            </w:r>
          </w:p>
        </w:tc>
      </w:tr>
      <w:tr w:rsidR="006C1B2D" w:rsidRPr="005464FA" w14:paraId="4CFC0253" w14:textId="77777777" w:rsidTr="00E360F4">
        <w:tc>
          <w:tcPr>
            <w:tcW w:w="1282" w:type="pct"/>
            <w:vAlign w:val="center"/>
          </w:tcPr>
          <w:p w14:paraId="21A24030" w14:textId="26197B57" w:rsidR="0045759B" w:rsidRPr="005464FA" w:rsidRDefault="0045759B" w:rsidP="005F522F">
            <w:pPr>
              <w:pStyle w:val="TableText0"/>
              <w:keepLines/>
              <w:rPr>
                <w:vertAlign w:val="superscript"/>
              </w:rPr>
            </w:pPr>
            <w:r w:rsidRPr="005464FA">
              <w:t xml:space="preserve">Median time to censoring, months </w:t>
            </w:r>
            <w:r w:rsidRPr="005464FA">
              <w:rPr>
                <w:vertAlign w:val="superscript"/>
              </w:rPr>
              <w:t>d</w:t>
            </w:r>
          </w:p>
        </w:tc>
        <w:tc>
          <w:tcPr>
            <w:tcW w:w="554" w:type="pct"/>
            <w:vAlign w:val="center"/>
          </w:tcPr>
          <w:p w14:paraId="3D20C834" w14:textId="7DC2C772" w:rsidR="0045759B" w:rsidRPr="005464FA" w:rsidRDefault="0045759B" w:rsidP="005F522F">
            <w:pPr>
              <w:pStyle w:val="TableText0"/>
              <w:keepLines/>
              <w:jc w:val="center"/>
            </w:pPr>
            <w:r w:rsidRPr="005464FA">
              <w:t>13.62</w:t>
            </w:r>
          </w:p>
        </w:tc>
        <w:tc>
          <w:tcPr>
            <w:tcW w:w="712" w:type="pct"/>
            <w:vAlign w:val="center"/>
          </w:tcPr>
          <w:p w14:paraId="2DAD35E1" w14:textId="346A6676" w:rsidR="0045759B" w:rsidRPr="005464FA" w:rsidRDefault="0045759B" w:rsidP="005F522F">
            <w:pPr>
              <w:pStyle w:val="TableText0"/>
              <w:keepLines/>
              <w:jc w:val="center"/>
            </w:pPr>
            <w:r w:rsidRPr="005464FA">
              <w:t>4.29</w:t>
            </w:r>
          </w:p>
        </w:tc>
        <w:tc>
          <w:tcPr>
            <w:tcW w:w="513" w:type="pct"/>
            <w:vAlign w:val="center"/>
          </w:tcPr>
          <w:p w14:paraId="68852489" w14:textId="7447DAC5" w:rsidR="0045759B" w:rsidRPr="005464FA" w:rsidRDefault="0045759B" w:rsidP="005F522F">
            <w:pPr>
              <w:pStyle w:val="TableText0"/>
              <w:keepLines/>
              <w:jc w:val="center"/>
            </w:pPr>
            <w:r w:rsidRPr="005464FA">
              <w:t>13.70</w:t>
            </w:r>
          </w:p>
        </w:tc>
        <w:tc>
          <w:tcPr>
            <w:tcW w:w="675" w:type="pct"/>
            <w:vAlign w:val="center"/>
          </w:tcPr>
          <w:p w14:paraId="56D79753" w14:textId="77777777" w:rsidR="0045759B" w:rsidRPr="005464FA" w:rsidRDefault="0045759B" w:rsidP="005F522F">
            <w:pPr>
              <w:pStyle w:val="TableText0"/>
              <w:keepLines/>
              <w:jc w:val="center"/>
            </w:pPr>
            <w:r w:rsidRPr="005464FA">
              <w:t>6.32</w:t>
            </w:r>
          </w:p>
        </w:tc>
        <w:tc>
          <w:tcPr>
            <w:tcW w:w="555" w:type="pct"/>
            <w:vAlign w:val="center"/>
          </w:tcPr>
          <w:p w14:paraId="27D53926" w14:textId="77777777" w:rsidR="0045759B" w:rsidRPr="005464FA" w:rsidRDefault="0045759B" w:rsidP="005F522F">
            <w:pPr>
              <w:pStyle w:val="TableText0"/>
              <w:keepLines/>
              <w:jc w:val="center"/>
            </w:pPr>
            <w:r w:rsidRPr="005464FA">
              <w:t>11.79</w:t>
            </w:r>
          </w:p>
        </w:tc>
        <w:tc>
          <w:tcPr>
            <w:tcW w:w="709" w:type="pct"/>
            <w:vAlign w:val="center"/>
          </w:tcPr>
          <w:p w14:paraId="39FE3328" w14:textId="77777777" w:rsidR="0045759B" w:rsidRPr="005464FA" w:rsidRDefault="0045759B" w:rsidP="005F522F">
            <w:pPr>
              <w:pStyle w:val="TableText0"/>
              <w:keepLines/>
              <w:jc w:val="center"/>
            </w:pPr>
            <w:r w:rsidRPr="005464FA">
              <w:t>3.43</w:t>
            </w:r>
          </w:p>
        </w:tc>
      </w:tr>
    </w:tbl>
    <w:p w14:paraId="7AF209FB" w14:textId="71CEFD83" w:rsidR="00C40EC5" w:rsidRPr="005464FA" w:rsidRDefault="00C40EC5" w:rsidP="005F522F">
      <w:pPr>
        <w:pStyle w:val="FooterTableFigure"/>
        <w:keepNext/>
        <w:keepLines/>
      </w:pPr>
      <w:r w:rsidRPr="005464FA">
        <w:t xml:space="preserve">Source: Table 2.15, p67 of the submission and Table 2.32, p91 of the submission. </w:t>
      </w:r>
    </w:p>
    <w:p w14:paraId="3275EE9A" w14:textId="77777777" w:rsidR="00C40EC5" w:rsidRPr="005464FA" w:rsidRDefault="00C40EC5" w:rsidP="005F522F">
      <w:pPr>
        <w:pStyle w:val="FooterTableFigure"/>
        <w:keepNext/>
        <w:keepLines/>
      </w:pPr>
      <w:r w:rsidRPr="005464FA">
        <w:t>Abbreviations: CI = confidence interval; DCO = data cut-off; HR = hazard ratio; NR = not reported; PFS = progression-free survival</w:t>
      </w:r>
    </w:p>
    <w:p w14:paraId="21F35DD6" w14:textId="4BB66BE4" w:rsidR="000D50A0" w:rsidRPr="005464FA" w:rsidRDefault="000D50A0" w:rsidP="005F522F">
      <w:pPr>
        <w:pStyle w:val="FooterTableFigure"/>
        <w:keepNext/>
        <w:keepLines/>
      </w:pPr>
      <w:r w:rsidRPr="005464FA">
        <w:t xml:space="preserve">Text in bold indicates statistically significant difference. Statistical significance could not be claimed in subgroups as not part of </w:t>
      </w:r>
      <w:r w:rsidR="001854B2" w:rsidRPr="005464FA">
        <w:t xml:space="preserve">sequential hypothesis testing. </w:t>
      </w:r>
    </w:p>
    <w:p w14:paraId="714F4C8E" w14:textId="77777777" w:rsidR="00C40EC5" w:rsidRPr="005464FA" w:rsidRDefault="00C40EC5" w:rsidP="005F522F">
      <w:pPr>
        <w:pStyle w:val="FooterTableFigure"/>
        <w:keepNext/>
        <w:keepLines/>
      </w:pPr>
      <w:r w:rsidRPr="005464FA">
        <w:t xml:space="preserve">a Based on independent central review of radiological scans. Patients who had not progressed or died at the time of analysis, or who progressed or died after 2 or more missed visits, were censored at the latest evaluable RECIST assessment, or Day 1 if the patient had no evaluable visits or no baseline assessment (unless they died within 2 visits of baseline). </w:t>
      </w:r>
    </w:p>
    <w:p w14:paraId="0A38CFC9" w14:textId="2CE09163" w:rsidR="00C40EC5" w:rsidRPr="005464FA" w:rsidRDefault="009F391A" w:rsidP="005F522F">
      <w:pPr>
        <w:pStyle w:val="FooterTableFigure"/>
        <w:keepNext/>
        <w:keepLines/>
      </w:pPr>
      <w:r>
        <w:t>b</w:t>
      </w:r>
      <w:r w:rsidRPr="005464FA">
        <w:t xml:space="preserve"> </w:t>
      </w:r>
      <w:r w:rsidR="00C40EC5" w:rsidRPr="005464FA">
        <w:t>A hazard ratio &lt;1 favours Olaparib 300 mg bd. The CI was calculated using a profile likelihood approach.</w:t>
      </w:r>
    </w:p>
    <w:p w14:paraId="40881096" w14:textId="3E36541D" w:rsidR="00C40EC5" w:rsidRPr="005464FA" w:rsidRDefault="009F391A" w:rsidP="005F522F">
      <w:pPr>
        <w:pStyle w:val="FooterTableFigure"/>
        <w:keepNext/>
        <w:keepLines/>
      </w:pPr>
      <w:r>
        <w:t>c</w:t>
      </w:r>
      <w:r w:rsidRPr="005464FA">
        <w:t xml:space="preserve"> </w:t>
      </w:r>
      <w:r w:rsidR="00C40EC5" w:rsidRPr="005464FA">
        <w:t>Calculated using the Kaplan-Meier technique</w:t>
      </w:r>
    </w:p>
    <w:p w14:paraId="67FC47B3" w14:textId="4225D868" w:rsidR="00C40EC5" w:rsidRPr="005464FA" w:rsidRDefault="00C40EC5" w:rsidP="00C40EC5">
      <w:pPr>
        <w:pStyle w:val="FooterTableFigure"/>
      </w:pPr>
      <w:r w:rsidRPr="005464FA">
        <w:t>d Censored patients only</w:t>
      </w:r>
    </w:p>
    <w:p w14:paraId="5BEFF8B3" w14:textId="6F13CF2C" w:rsidR="00B071F0" w:rsidRPr="005464FA" w:rsidRDefault="00974467" w:rsidP="00B071F0">
      <w:pPr>
        <w:pStyle w:val="3-BodyText"/>
        <w:rPr>
          <w:color w:val="0066FF"/>
        </w:rPr>
      </w:pPr>
      <w:r w:rsidRPr="005464FA">
        <w:fldChar w:fldCharType="begin" w:fldLock="1"/>
      </w:r>
      <w:r w:rsidRPr="005464FA">
        <w:instrText xml:space="preserve"> REF _Ref124155072 \h </w:instrText>
      </w:r>
      <w:r w:rsidRPr="005464FA">
        <w:fldChar w:fldCharType="separate"/>
      </w:r>
      <w:r w:rsidR="00122E11" w:rsidRPr="005464FA">
        <w:t>Figure 1</w:t>
      </w:r>
      <w:r w:rsidRPr="005464FA">
        <w:fldChar w:fldCharType="end"/>
      </w:r>
      <w:r w:rsidRPr="005464FA">
        <w:t xml:space="preserve"> </w:t>
      </w:r>
      <w:r w:rsidR="00B071F0" w:rsidRPr="005464FA">
        <w:t>presents the Kaplan Meier (KM) curves for PFS from the primary PFS DCO analysis in the whole trial population.</w:t>
      </w:r>
    </w:p>
    <w:p w14:paraId="2C46F56B" w14:textId="74F20A3C" w:rsidR="00C40EC5" w:rsidRPr="005464FA" w:rsidRDefault="00974467" w:rsidP="009F391A">
      <w:pPr>
        <w:pStyle w:val="TableFigureHeading"/>
      </w:pPr>
      <w:bookmarkStart w:id="46" w:name="_Ref124155072"/>
      <w:r w:rsidRPr="005464FA">
        <w:lastRenderedPageBreak/>
        <w:t xml:space="preserve">Figure </w:t>
      </w:r>
      <w:r w:rsidR="00935AC4" w:rsidRPr="005464FA">
        <w:fldChar w:fldCharType="begin" w:fldLock="1"/>
      </w:r>
      <w:r w:rsidR="00935AC4" w:rsidRPr="005464FA">
        <w:instrText xml:space="preserve"> SEQ Figure \* ARABIC </w:instrText>
      </w:r>
      <w:r w:rsidR="00935AC4" w:rsidRPr="005464FA">
        <w:fldChar w:fldCharType="separate"/>
      </w:r>
      <w:r w:rsidR="00122E11" w:rsidRPr="005464FA">
        <w:t>1</w:t>
      </w:r>
      <w:r w:rsidR="00935AC4" w:rsidRPr="005464FA">
        <w:fldChar w:fldCharType="end"/>
      </w:r>
      <w:bookmarkEnd w:id="46"/>
      <w:r w:rsidR="00C40EC5" w:rsidRPr="005464FA">
        <w:t xml:space="preserve">: Kaplan-Meier estimates of progression-free survival, primary </w:t>
      </w:r>
      <w:r w:rsidR="00211415" w:rsidRPr="005464FA">
        <w:t xml:space="preserve">PFS </w:t>
      </w:r>
      <w:r w:rsidR="00C40EC5" w:rsidRPr="005464FA">
        <w:t>DCO (full analysis set)</w:t>
      </w:r>
    </w:p>
    <w:p w14:paraId="3941DAF2" w14:textId="77777777" w:rsidR="00C40EC5" w:rsidRPr="005464FA" w:rsidRDefault="00C40EC5" w:rsidP="005F522F">
      <w:pPr>
        <w:keepNext/>
      </w:pPr>
      <w:r w:rsidRPr="005464FA">
        <w:rPr>
          <w:noProof/>
        </w:rPr>
        <w:drawing>
          <wp:inline distT="0" distB="0" distL="0" distR="0" wp14:anchorId="237E366F" wp14:editId="617DC9CF">
            <wp:extent cx="5493906" cy="3009900"/>
            <wp:effectExtent l="0" t="0" r="0" b="0"/>
            <wp:docPr id="710294049" name="Picture 710294049" descr="Figure 1: Kaplan-Meier estimates of progression-free survival, primary PFS DCO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94049" name="Picture 710294049" descr="Figure 1: Kaplan-Meier estimates of progression-free survival, primary PFS DCO (full analysis s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0087" cy="3013286"/>
                    </a:xfrm>
                    <a:prstGeom prst="rect">
                      <a:avLst/>
                    </a:prstGeom>
                    <a:noFill/>
                    <a:ln>
                      <a:noFill/>
                    </a:ln>
                  </pic:spPr>
                </pic:pic>
              </a:graphicData>
            </a:graphic>
          </wp:inline>
        </w:drawing>
      </w:r>
    </w:p>
    <w:p w14:paraId="2E793DEC" w14:textId="77777777" w:rsidR="00C40EC5" w:rsidRPr="005464FA" w:rsidRDefault="00C40EC5" w:rsidP="005F522F">
      <w:pPr>
        <w:pStyle w:val="FooterTableFigure"/>
        <w:keepNext/>
        <w:jc w:val="left"/>
      </w:pPr>
      <w:r w:rsidRPr="005464FA">
        <w:t>Source: Figure 2.4, p67 of the submission.</w:t>
      </w:r>
    </w:p>
    <w:p w14:paraId="7C494F90" w14:textId="77777777" w:rsidR="00C40EC5" w:rsidRPr="005464FA" w:rsidRDefault="00C40EC5" w:rsidP="005F522F">
      <w:pPr>
        <w:pStyle w:val="FooterTableFigure"/>
        <w:jc w:val="left"/>
      </w:pPr>
      <w:r w:rsidRPr="005464FA">
        <w:t>CI = confidence interval, DCO = data cut-off</w:t>
      </w:r>
    </w:p>
    <w:p w14:paraId="3010044A" w14:textId="0CFB4B60" w:rsidR="003E1ECA" w:rsidRPr="005464FA" w:rsidRDefault="000705E5" w:rsidP="003E1ECA">
      <w:pPr>
        <w:pStyle w:val="5-SubsectionSubheading"/>
      </w:pPr>
      <w:bookmarkStart w:id="47" w:name="_Toc167278281"/>
      <w:r w:rsidRPr="005464FA">
        <w:t>Overall survival</w:t>
      </w:r>
      <w:bookmarkEnd w:id="47"/>
    </w:p>
    <w:p w14:paraId="5374A24D" w14:textId="0F265029" w:rsidR="001358C2" w:rsidRPr="005464FA" w:rsidRDefault="001358C2" w:rsidP="003A0777">
      <w:pPr>
        <w:pStyle w:val="3-BodyText"/>
      </w:pPr>
      <w:r w:rsidRPr="005464FA">
        <w:t xml:space="preserve">OS results from the </w:t>
      </w:r>
      <w:r w:rsidR="00867391" w:rsidRPr="005464FA">
        <w:t>f</w:t>
      </w:r>
      <w:r w:rsidRPr="005464FA">
        <w:t xml:space="preserve">inal OS DCO and </w:t>
      </w:r>
      <w:r w:rsidR="002F07CD" w:rsidRPr="005464FA">
        <w:t xml:space="preserve">extended </w:t>
      </w:r>
      <w:r w:rsidRPr="005464FA">
        <w:t xml:space="preserve">OS DCO </w:t>
      </w:r>
      <w:r w:rsidR="00507946" w:rsidRPr="005464FA">
        <w:t>for the whole trial population</w:t>
      </w:r>
      <w:r w:rsidR="00A12B01" w:rsidRPr="005464FA">
        <w:t xml:space="preserve"> of OlympiAD</w:t>
      </w:r>
      <w:r w:rsidR="00507946" w:rsidRPr="005464FA">
        <w:t xml:space="preserve">, the no prior chemotherapy subgroup and its complement are presented in </w:t>
      </w:r>
      <w:r w:rsidR="00507946" w:rsidRPr="005464FA">
        <w:fldChar w:fldCharType="begin" w:fldLock="1"/>
      </w:r>
      <w:r w:rsidR="00507946" w:rsidRPr="005464FA">
        <w:instrText xml:space="preserve"> REF _Ref164436316 \h </w:instrText>
      </w:r>
      <w:r w:rsidR="00507946" w:rsidRPr="005464FA">
        <w:fldChar w:fldCharType="separate"/>
      </w:r>
      <w:r w:rsidR="00122E11" w:rsidRPr="005464FA">
        <w:t>Table 6</w:t>
      </w:r>
      <w:r w:rsidR="00507946" w:rsidRPr="005464FA">
        <w:fldChar w:fldCharType="end"/>
      </w:r>
      <w:r w:rsidR="00507946" w:rsidRPr="005464FA">
        <w:t xml:space="preserve"> and </w:t>
      </w:r>
      <w:r w:rsidR="00507946" w:rsidRPr="005464FA">
        <w:fldChar w:fldCharType="begin" w:fldLock="1"/>
      </w:r>
      <w:r w:rsidR="00507946" w:rsidRPr="005464FA">
        <w:instrText xml:space="preserve"> REF _Ref164436327 \h </w:instrText>
      </w:r>
      <w:r w:rsidR="00507946" w:rsidRPr="005464FA">
        <w:fldChar w:fldCharType="separate"/>
      </w:r>
      <w:r w:rsidR="00122E11" w:rsidRPr="005464FA">
        <w:t>Table 7</w:t>
      </w:r>
      <w:r w:rsidR="00507946" w:rsidRPr="005464FA">
        <w:fldChar w:fldCharType="end"/>
      </w:r>
      <w:r w:rsidR="00507946" w:rsidRPr="005464FA">
        <w:t>, respectively.</w:t>
      </w:r>
    </w:p>
    <w:p w14:paraId="06F0BB6F" w14:textId="41FACDDE" w:rsidR="00B071F0" w:rsidRPr="005464FA" w:rsidRDefault="00B071F0" w:rsidP="002D1F13">
      <w:pPr>
        <w:pStyle w:val="3-BodyText"/>
      </w:pPr>
      <w:r w:rsidRPr="005464FA">
        <w:t>As of the final OS DCO, the OS whole trial data had reached 64% maturity, with 192 events (130 patients had died in the olaparib arm, and 62 in the chemotherapy arm).</w:t>
      </w:r>
      <w:r w:rsidR="006B2736" w:rsidRPr="005464FA">
        <w:t xml:space="preserve"> </w:t>
      </w:r>
      <w:r w:rsidRPr="005464FA">
        <w:t>As of the DCO for the extended OS analysis, OS data had reached 76.8% maturity, with a further 40 events (total 159 deaths in the olaparib arm and 73 deaths in the chemotherapy arm).</w:t>
      </w:r>
    </w:p>
    <w:p w14:paraId="435810C6" w14:textId="6CB73642" w:rsidR="00B071F0" w:rsidRPr="005464FA" w:rsidRDefault="00B071F0" w:rsidP="00B071F0">
      <w:pPr>
        <w:pStyle w:val="3-BodyText"/>
      </w:pPr>
      <w:r w:rsidRPr="005464FA">
        <w:t xml:space="preserve">In the whole trial population, no significant difference in the median OS was observed between the olaparib and the chemotherapy arms </w:t>
      </w:r>
      <w:r w:rsidR="00892C7D" w:rsidRPr="005464FA">
        <w:t xml:space="preserve">at </w:t>
      </w:r>
      <w:r w:rsidRPr="005464FA">
        <w:t xml:space="preserve">either </w:t>
      </w:r>
      <w:r w:rsidR="00892C7D" w:rsidRPr="005464FA">
        <w:t>DCO</w:t>
      </w:r>
      <w:r w:rsidRPr="005464FA">
        <w:t>.</w:t>
      </w:r>
      <w:r w:rsidR="00C40EC5" w:rsidRPr="005464FA">
        <w:t xml:space="preserve"> </w:t>
      </w:r>
      <w:r w:rsidRPr="005464FA">
        <w:t>The CSR for the extended OS analysis noted that all efficacy analyses are exploratory, and all p-values are nominal.</w:t>
      </w:r>
      <w:r w:rsidR="004C7502" w:rsidRPr="005464FA">
        <w:t xml:space="preserve"> The pre-PBAC response noted that the </w:t>
      </w:r>
      <w:r w:rsidR="004C7502" w:rsidRPr="005464FA">
        <w:rPr>
          <w:rFonts w:cstheme="minorHAnsi"/>
        </w:rPr>
        <w:t>OlympiAD trial was not powered to show a statistically significant benefit in the secondary endpoint of OS.</w:t>
      </w:r>
    </w:p>
    <w:p w14:paraId="5C7FE9B0" w14:textId="16D442C0" w:rsidR="00B071F0" w:rsidRPr="005464FA" w:rsidRDefault="00B071F0" w:rsidP="003A0777">
      <w:pPr>
        <w:pStyle w:val="3-BodyText"/>
      </w:pPr>
      <w:r w:rsidRPr="005464FA">
        <w:t xml:space="preserve">In the </w:t>
      </w:r>
      <w:r w:rsidR="00BE453C" w:rsidRPr="005464FA">
        <w:t xml:space="preserve">final </w:t>
      </w:r>
      <w:r w:rsidR="00B6228D" w:rsidRPr="005464FA">
        <w:t>OS analysis for the n</w:t>
      </w:r>
      <w:r w:rsidR="004B3922" w:rsidRPr="005464FA">
        <w:t>o</w:t>
      </w:r>
      <w:r w:rsidR="00B6228D" w:rsidRPr="005464FA">
        <w:t xml:space="preserve"> prior chemotherapy subgroup</w:t>
      </w:r>
      <w:r w:rsidR="00954D7C" w:rsidRPr="005464FA">
        <w:t>,</w:t>
      </w:r>
      <w:r w:rsidR="00B6228D" w:rsidRPr="005464FA">
        <w:t xml:space="preserve"> the OS benefit was numerically greater than in the </w:t>
      </w:r>
      <w:r w:rsidR="00750094" w:rsidRPr="005464FA">
        <w:t>o</w:t>
      </w:r>
      <w:r w:rsidR="00B6228D" w:rsidRPr="005464FA">
        <w:t xml:space="preserve">laparib arm, where </w:t>
      </w:r>
      <w:r w:rsidR="00A848C5" w:rsidRPr="005464FA">
        <w:t xml:space="preserve">median </w:t>
      </w:r>
      <w:r w:rsidR="00B6228D" w:rsidRPr="005464FA">
        <w:t>OS was increased by 7.9</w:t>
      </w:r>
      <w:r w:rsidR="005E2C82">
        <w:t> </w:t>
      </w:r>
      <w:r w:rsidR="00B6228D" w:rsidRPr="005464FA">
        <w:t>months and the risk of death reduced by 49% compared to chemotherapy (median 22.6 vs 14.7 months; HR</w:t>
      </w:r>
      <w:r w:rsidR="00C8527F" w:rsidRPr="005464FA">
        <w:t xml:space="preserve"> =</w:t>
      </w:r>
      <w:r w:rsidR="00B6228D" w:rsidRPr="005464FA">
        <w:t xml:space="preserve"> 0.51; 95%CI: 0.29, 0.90). In the </w:t>
      </w:r>
      <w:r w:rsidRPr="005464FA">
        <w:t xml:space="preserve">extended OS analysis for the no prior chemotherapy subgroup, the OS benefit </w:t>
      </w:r>
      <w:r w:rsidR="00B71B2E" w:rsidRPr="005464FA">
        <w:t xml:space="preserve">remained </w:t>
      </w:r>
      <w:r w:rsidRPr="005464FA">
        <w:t xml:space="preserve">numerically greater in the olaparib arm, </w:t>
      </w:r>
      <w:r w:rsidR="00B71B2E" w:rsidRPr="005464FA">
        <w:t xml:space="preserve">with the difference in median </w:t>
      </w:r>
      <w:r w:rsidRPr="005464FA">
        <w:t xml:space="preserve">OS </w:t>
      </w:r>
      <w:r w:rsidR="00B71B2E" w:rsidRPr="005464FA">
        <w:t xml:space="preserve">remaining at </w:t>
      </w:r>
      <w:r w:rsidRPr="005464FA">
        <w:t xml:space="preserve">7.9 months and the </w:t>
      </w:r>
      <w:r w:rsidR="00FE4027" w:rsidRPr="005464FA">
        <w:t xml:space="preserve">relative </w:t>
      </w:r>
      <w:r w:rsidRPr="005464FA">
        <w:t xml:space="preserve">risk of death reduced by 45% </w:t>
      </w:r>
      <w:r w:rsidR="00FE4027" w:rsidRPr="005464FA">
        <w:t xml:space="preserve">and the absolute risk of death at 24 months reduced by 21% </w:t>
      </w:r>
      <w:r w:rsidRPr="005464FA">
        <w:t>compared to chemotherapy (median 22.6 vs 14.7</w:t>
      </w:r>
      <w:r w:rsidR="005E2C82">
        <w:t> </w:t>
      </w:r>
      <w:r w:rsidRPr="005464FA">
        <w:t xml:space="preserve">months; </w:t>
      </w:r>
      <w:r w:rsidR="00FE4027" w:rsidRPr="005464FA">
        <w:t xml:space="preserve">survival at 24 months 48% vs 27%, </w:t>
      </w:r>
      <w:r w:rsidRPr="005464FA">
        <w:t xml:space="preserve">HR=0.55; 95% CI: 0.33, 0.95). </w:t>
      </w:r>
      <w:r w:rsidR="00BE453C" w:rsidRPr="005464FA">
        <w:t xml:space="preserve">The submission argued this was </w:t>
      </w:r>
      <w:r w:rsidR="00BE453C" w:rsidRPr="005464FA">
        <w:lastRenderedPageBreak/>
        <w:t xml:space="preserve">clinically relevant given the recommended </w:t>
      </w:r>
      <w:r w:rsidR="00C800AE" w:rsidRPr="005464FA">
        <w:t>minimal clinically relevant difference (</w:t>
      </w:r>
      <w:r w:rsidR="00BE453C" w:rsidRPr="005464FA">
        <w:t>MCID</w:t>
      </w:r>
      <w:r w:rsidR="00C800AE" w:rsidRPr="005464FA">
        <w:t>)</w:t>
      </w:r>
      <w:r w:rsidR="00BE453C" w:rsidRPr="005464FA">
        <w:t xml:space="preserve"> of 4.5 to 6 months</w:t>
      </w:r>
      <w:r w:rsidR="00D3654C" w:rsidRPr="005464FA">
        <w:t xml:space="preserve"> derived by consensus of working groups convened by the Cancer Research Committee of the American Society of Clinical Oncology (Ellis 2014)</w:t>
      </w:r>
      <w:r w:rsidR="00BE453C" w:rsidRPr="005464FA">
        <w:t>.</w:t>
      </w:r>
      <w:r w:rsidR="00BE453C" w:rsidRPr="005464FA">
        <w:rPr>
          <w:i/>
          <w:iCs/>
        </w:rPr>
        <w:t xml:space="preserve"> </w:t>
      </w:r>
      <w:r w:rsidRPr="005464FA">
        <w:t>In this subgroup, 40.8% of patients in the olaparib arm were alive at 3 years compared with 12.8% of patients in the chemotherapy arm.</w:t>
      </w:r>
      <w:r w:rsidR="004C7502" w:rsidRPr="005464FA">
        <w:t xml:space="preserve"> </w:t>
      </w:r>
    </w:p>
    <w:p w14:paraId="3234F8DA" w14:textId="5332B499" w:rsidR="00B071F0" w:rsidRPr="005464FA" w:rsidRDefault="00C40EC5" w:rsidP="005F522F">
      <w:pPr>
        <w:pStyle w:val="TableFigureHeading"/>
        <w:keepLines/>
        <w:widowControl w:val="0"/>
      </w:pPr>
      <w:bookmarkStart w:id="48" w:name="_Ref164436316"/>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6</w:t>
      </w:r>
      <w:r w:rsidR="00935AC4" w:rsidRPr="005464FA">
        <w:fldChar w:fldCharType="end"/>
      </w:r>
      <w:bookmarkEnd w:id="48"/>
      <w:r w:rsidR="00B071F0" w:rsidRPr="005464FA">
        <w:t xml:space="preserve">: Median OS and log-rank test, final </w:t>
      </w:r>
      <w:r w:rsidR="00410BAB" w:rsidRPr="005464FA">
        <w:t xml:space="preserve">OS </w:t>
      </w:r>
      <w:r w:rsidR="00B071F0" w:rsidRPr="005464FA">
        <w:t>DCO (full analysis set)</w:t>
      </w:r>
    </w:p>
    <w:tbl>
      <w:tblPr>
        <w:tblStyle w:val="TableGrid"/>
        <w:tblW w:w="5000" w:type="pct"/>
        <w:tblCellMar>
          <w:left w:w="29" w:type="dxa"/>
          <w:right w:w="29" w:type="dxa"/>
        </w:tblCellMar>
        <w:tblLook w:val="04A0" w:firstRow="1" w:lastRow="0" w:firstColumn="1" w:lastColumn="0" w:noHBand="0" w:noVBand="1"/>
        <w:tblCaption w:val="Table 6: Median OS and log-rank test, final OS DCO (full analysis set)"/>
      </w:tblPr>
      <w:tblGrid>
        <w:gridCol w:w="2417"/>
        <w:gridCol w:w="1123"/>
        <w:gridCol w:w="1251"/>
        <w:gridCol w:w="856"/>
        <w:gridCol w:w="1207"/>
        <w:gridCol w:w="956"/>
        <w:gridCol w:w="1207"/>
      </w:tblGrid>
      <w:tr w:rsidR="00007E01" w:rsidRPr="005464FA" w14:paraId="092D4AAE" w14:textId="77777777" w:rsidTr="006B2736">
        <w:tc>
          <w:tcPr>
            <w:tcW w:w="1341" w:type="pct"/>
            <w:vMerge w:val="restart"/>
            <w:vAlign w:val="center"/>
          </w:tcPr>
          <w:p w14:paraId="353B9CF6" w14:textId="77777777" w:rsidR="00007E01" w:rsidRPr="005464FA" w:rsidRDefault="00007E01" w:rsidP="005F522F">
            <w:pPr>
              <w:pStyle w:val="TableText0"/>
              <w:keepLines/>
              <w:widowControl w:val="0"/>
            </w:pPr>
          </w:p>
        </w:tc>
        <w:tc>
          <w:tcPr>
            <w:tcW w:w="1317" w:type="pct"/>
            <w:gridSpan w:val="2"/>
            <w:vAlign w:val="center"/>
          </w:tcPr>
          <w:p w14:paraId="3C5C85D3" w14:textId="59FC853F" w:rsidR="00007E01" w:rsidRPr="005464FA" w:rsidRDefault="00007E01" w:rsidP="005F522F">
            <w:pPr>
              <w:pStyle w:val="TableText0"/>
              <w:keepLines/>
              <w:widowControl w:val="0"/>
              <w:jc w:val="center"/>
              <w:rPr>
                <w:b/>
                <w:bCs w:val="0"/>
              </w:rPr>
            </w:pPr>
            <w:r w:rsidRPr="005464FA">
              <w:rPr>
                <w:b/>
                <w:bCs w:val="0"/>
              </w:rPr>
              <w:t>Whole trial population</w:t>
            </w:r>
          </w:p>
        </w:tc>
        <w:tc>
          <w:tcPr>
            <w:tcW w:w="1143" w:type="pct"/>
            <w:gridSpan w:val="2"/>
            <w:vAlign w:val="center"/>
          </w:tcPr>
          <w:p w14:paraId="4B015412" w14:textId="5CAA5682" w:rsidR="00007E01" w:rsidRPr="005464FA" w:rsidRDefault="00007E01" w:rsidP="005F522F">
            <w:pPr>
              <w:pStyle w:val="TableText0"/>
              <w:keepLines/>
              <w:widowControl w:val="0"/>
              <w:jc w:val="center"/>
              <w:rPr>
                <w:b/>
                <w:bCs w:val="0"/>
              </w:rPr>
            </w:pPr>
            <w:r w:rsidRPr="005464FA">
              <w:rPr>
                <w:b/>
                <w:bCs w:val="0"/>
              </w:rPr>
              <w:t>No prior chemotherapy for mBC</w:t>
            </w:r>
          </w:p>
        </w:tc>
        <w:tc>
          <w:tcPr>
            <w:tcW w:w="1199" w:type="pct"/>
            <w:gridSpan w:val="2"/>
            <w:vAlign w:val="center"/>
          </w:tcPr>
          <w:p w14:paraId="0D03140E" w14:textId="77777777" w:rsidR="00007E01" w:rsidRPr="005464FA" w:rsidRDefault="00007E01" w:rsidP="005F522F">
            <w:pPr>
              <w:pStyle w:val="TableText0"/>
              <w:keepLines/>
              <w:widowControl w:val="0"/>
              <w:jc w:val="center"/>
              <w:rPr>
                <w:b/>
                <w:bCs w:val="0"/>
              </w:rPr>
            </w:pPr>
            <w:r w:rsidRPr="005464FA">
              <w:rPr>
                <w:b/>
                <w:bCs w:val="0"/>
              </w:rPr>
              <w:t>Prior chemotherapy</w:t>
            </w:r>
          </w:p>
        </w:tc>
      </w:tr>
      <w:tr w:rsidR="00007E01" w:rsidRPr="005464FA" w14:paraId="501D50D1" w14:textId="77777777" w:rsidTr="006B2736">
        <w:trPr>
          <w:trHeight w:val="385"/>
        </w:trPr>
        <w:tc>
          <w:tcPr>
            <w:tcW w:w="1341" w:type="pct"/>
            <w:vMerge/>
            <w:vAlign w:val="center"/>
          </w:tcPr>
          <w:p w14:paraId="2996AF6F" w14:textId="77777777" w:rsidR="00007E01" w:rsidRPr="005464FA" w:rsidRDefault="00007E01" w:rsidP="005F522F">
            <w:pPr>
              <w:pStyle w:val="TableText0"/>
              <w:keepLines/>
              <w:widowControl w:val="0"/>
            </w:pPr>
          </w:p>
        </w:tc>
        <w:tc>
          <w:tcPr>
            <w:tcW w:w="623" w:type="pct"/>
            <w:vAlign w:val="center"/>
          </w:tcPr>
          <w:p w14:paraId="74B4817A" w14:textId="77777777" w:rsidR="00007E01" w:rsidRPr="005464FA" w:rsidRDefault="00007E01" w:rsidP="005F522F">
            <w:pPr>
              <w:pStyle w:val="Tabletext"/>
              <w:keepNext/>
              <w:keepLines/>
              <w:widowControl w:val="0"/>
              <w:jc w:val="center"/>
              <w:rPr>
                <w:b/>
                <w:bCs/>
              </w:rPr>
            </w:pPr>
            <w:r w:rsidRPr="005464FA">
              <w:rPr>
                <w:b/>
                <w:bCs/>
              </w:rPr>
              <w:t>Olaparib</w:t>
            </w:r>
          </w:p>
          <w:p w14:paraId="0037CC1B" w14:textId="4BD82539" w:rsidR="00007E01" w:rsidRPr="005464FA" w:rsidRDefault="00007E01" w:rsidP="005F522F">
            <w:pPr>
              <w:pStyle w:val="TableText0"/>
              <w:keepLines/>
              <w:widowControl w:val="0"/>
              <w:jc w:val="center"/>
              <w:rPr>
                <w:b/>
                <w:bCs w:val="0"/>
              </w:rPr>
            </w:pPr>
            <w:r w:rsidRPr="005464FA">
              <w:rPr>
                <w:b/>
              </w:rPr>
              <w:t>N=205</w:t>
            </w:r>
          </w:p>
        </w:tc>
        <w:tc>
          <w:tcPr>
            <w:tcW w:w="694" w:type="pct"/>
            <w:vAlign w:val="center"/>
          </w:tcPr>
          <w:p w14:paraId="3E18D7F2" w14:textId="77777777" w:rsidR="00007E01" w:rsidRPr="005464FA" w:rsidRDefault="00007E01" w:rsidP="005F522F">
            <w:pPr>
              <w:pStyle w:val="Tabletext"/>
              <w:keepNext/>
              <w:keepLines/>
              <w:widowControl w:val="0"/>
              <w:jc w:val="center"/>
              <w:rPr>
                <w:b/>
                <w:bCs/>
                <w:vertAlign w:val="superscript"/>
              </w:rPr>
            </w:pPr>
            <w:r w:rsidRPr="005464FA">
              <w:rPr>
                <w:b/>
                <w:bCs/>
              </w:rPr>
              <w:t>Chemotherapy</w:t>
            </w:r>
          </w:p>
          <w:p w14:paraId="779DE76B" w14:textId="5A212964" w:rsidR="00007E01" w:rsidRPr="005464FA" w:rsidRDefault="00007E01" w:rsidP="005F522F">
            <w:pPr>
              <w:pStyle w:val="TableText0"/>
              <w:keepLines/>
              <w:widowControl w:val="0"/>
              <w:jc w:val="center"/>
              <w:rPr>
                <w:b/>
                <w:bCs w:val="0"/>
              </w:rPr>
            </w:pPr>
            <w:r w:rsidRPr="005464FA">
              <w:rPr>
                <w:b/>
              </w:rPr>
              <w:t>N=97</w:t>
            </w:r>
          </w:p>
        </w:tc>
        <w:tc>
          <w:tcPr>
            <w:tcW w:w="475" w:type="pct"/>
            <w:vAlign w:val="center"/>
          </w:tcPr>
          <w:p w14:paraId="14D4EDF9" w14:textId="70B32FD2" w:rsidR="00007E01" w:rsidRPr="005464FA" w:rsidRDefault="00007E01" w:rsidP="005F522F">
            <w:pPr>
              <w:pStyle w:val="TableText0"/>
              <w:keepLines/>
              <w:widowControl w:val="0"/>
              <w:jc w:val="center"/>
              <w:rPr>
                <w:b/>
                <w:bCs w:val="0"/>
              </w:rPr>
            </w:pPr>
            <w:r w:rsidRPr="005464FA">
              <w:rPr>
                <w:b/>
                <w:bCs w:val="0"/>
              </w:rPr>
              <w:t>Olaparib</w:t>
            </w:r>
          </w:p>
          <w:p w14:paraId="47BA2939" w14:textId="77777777" w:rsidR="00007E01" w:rsidRPr="005464FA" w:rsidRDefault="00007E01" w:rsidP="005F522F">
            <w:pPr>
              <w:pStyle w:val="TableText0"/>
              <w:keepLines/>
              <w:widowControl w:val="0"/>
              <w:jc w:val="center"/>
              <w:rPr>
                <w:b/>
                <w:bCs w:val="0"/>
              </w:rPr>
            </w:pPr>
            <w:r w:rsidRPr="005464FA">
              <w:rPr>
                <w:b/>
                <w:bCs w:val="0"/>
              </w:rPr>
              <w:t>N=59</w:t>
            </w:r>
          </w:p>
        </w:tc>
        <w:tc>
          <w:tcPr>
            <w:tcW w:w="668" w:type="pct"/>
            <w:vAlign w:val="center"/>
          </w:tcPr>
          <w:p w14:paraId="4BCC3949" w14:textId="77777777" w:rsidR="00007E01" w:rsidRPr="005464FA" w:rsidRDefault="00007E01" w:rsidP="005F522F">
            <w:pPr>
              <w:pStyle w:val="TableText0"/>
              <w:keepLines/>
              <w:widowControl w:val="0"/>
              <w:jc w:val="center"/>
              <w:rPr>
                <w:b/>
                <w:bCs w:val="0"/>
                <w:vertAlign w:val="superscript"/>
              </w:rPr>
            </w:pPr>
            <w:r w:rsidRPr="005464FA">
              <w:rPr>
                <w:b/>
                <w:bCs w:val="0"/>
              </w:rPr>
              <w:t>Chemotherapy</w:t>
            </w:r>
          </w:p>
          <w:p w14:paraId="74BE8D98" w14:textId="77777777" w:rsidR="00007E01" w:rsidRPr="005464FA" w:rsidRDefault="00007E01" w:rsidP="005F522F">
            <w:pPr>
              <w:pStyle w:val="TableText0"/>
              <w:keepLines/>
              <w:widowControl w:val="0"/>
              <w:jc w:val="center"/>
              <w:rPr>
                <w:b/>
                <w:bCs w:val="0"/>
              </w:rPr>
            </w:pPr>
            <w:r w:rsidRPr="005464FA">
              <w:rPr>
                <w:b/>
                <w:bCs w:val="0"/>
              </w:rPr>
              <w:t>N=28</w:t>
            </w:r>
          </w:p>
        </w:tc>
        <w:tc>
          <w:tcPr>
            <w:tcW w:w="530" w:type="pct"/>
            <w:vAlign w:val="center"/>
          </w:tcPr>
          <w:p w14:paraId="4D4AE585" w14:textId="77777777" w:rsidR="00007E01" w:rsidRPr="005464FA" w:rsidRDefault="00007E01" w:rsidP="005F522F">
            <w:pPr>
              <w:pStyle w:val="TableText0"/>
              <w:keepLines/>
              <w:widowControl w:val="0"/>
              <w:jc w:val="center"/>
              <w:rPr>
                <w:b/>
                <w:bCs w:val="0"/>
              </w:rPr>
            </w:pPr>
            <w:r w:rsidRPr="005464FA">
              <w:rPr>
                <w:b/>
                <w:bCs w:val="0"/>
              </w:rPr>
              <w:t>Olaparib</w:t>
            </w:r>
          </w:p>
          <w:p w14:paraId="4D540F55" w14:textId="77777777" w:rsidR="00007E01" w:rsidRPr="005464FA" w:rsidRDefault="00007E01" w:rsidP="005F522F">
            <w:pPr>
              <w:pStyle w:val="TableText0"/>
              <w:keepLines/>
              <w:widowControl w:val="0"/>
              <w:jc w:val="center"/>
              <w:rPr>
                <w:b/>
                <w:bCs w:val="0"/>
              </w:rPr>
            </w:pPr>
            <w:r w:rsidRPr="005464FA">
              <w:rPr>
                <w:b/>
                <w:bCs w:val="0"/>
              </w:rPr>
              <w:t>N=146</w:t>
            </w:r>
          </w:p>
        </w:tc>
        <w:tc>
          <w:tcPr>
            <w:tcW w:w="669" w:type="pct"/>
            <w:vAlign w:val="center"/>
          </w:tcPr>
          <w:p w14:paraId="2CDD1EED" w14:textId="77777777" w:rsidR="00007E01" w:rsidRPr="005464FA" w:rsidRDefault="00007E01" w:rsidP="005F522F">
            <w:pPr>
              <w:pStyle w:val="TableText0"/>
              <w:keepLines/>
              <w:widowControl w:val="0"/>
              <w:jc w:val="center"/>
              <w:rPr>
                <w:b/>
                <w:bCs w:val="0"/>
                <w:vertAlign w:val="superscript"/>
              </w:rPr>
            </w:pPr>
            <w:r w:rsidRPr="005464FA">
              <w:rPr>
                <w:b/>
                <w:bCs w:val="0"/>
              </w:rPr>
              <w:t>Chemotherapy</w:t>
            </w:r>
          </w:p>
          <w:p w14:paraId="39F824EB" w14:textId="77777777" w:rsidR="00007E01" w:rsidRPr="005464FA" w:rsidRDefault="00007E01" w:rsidP="005F522F">
            <w:pPr>
              <w:pStyle w:val="TableText0"/>
              <w:keepLines/>
              <w:widowControl w:val="0"/>
              <w:jc w:val="center"/>
              <w:rPr>
                <w:b/>
                <w:bCs w:val="0"/>
              </w:rPr>
            </w:pPr>
            <w:r w:rsidRPr="005464FA">
              <w:rPr>
                <w:b/>
                <w:bCs w:val="0"/>
              </w:rPr>
              <w:t>N=69</w:t>
            </w:r>
          </w:p>
        </w:tc>
      </w:tr>
      <w:tr w:rsidR="00007E01" w:rsidRPr="005464FA" w14:paraId="33A07289" w14:textId="77777777" w:rsidTr="006B2736">
        <w:tc>
          <w:tcPr>
            <w:tcW w:w="1341" w:type="pct"/>
            <w:vAlign w:val="center"/>
            <w:hideMark/>
          </w:tcPr>
          <w:p w14:paraId="0FB23AF2" w14:textId="77777777" w:rsidR="00007E01" w:rsidRPr="005464FA" w:rsidRDefault="00007E01" w:rsidP="005F522F">
            <w:pPr>
              <w:pStyle w:val="TableText0"/>
              <w:keepLines/>
              <w:widowControl w:val="0"/>
            </w:pPr>
            <w:r w:rsidRPr="005464FA">
              <w:t>Total number of deaths, n (%)</w:t>
            </w:r>
          </w:p>
        </w:tc>
        <w:tc>
          <w:tcPr>
            <w:tcW w:w="623" w:type="pct"/>
            <w:vAlign w:val="center"/>
          </w:tcPr>
          <w:p w14:paraId="1CB0AEDE" w14:textId="453DD04C" w:rsidR="00007E01" w:rsidRPr="005464FA" w:rsidRDefault="00007E01" w:rsidP="005F522F">
            <w:pPr>
              <w:pStyle w:val="TableText0"/>
              <w:keepLines/>
              <w:widowControl w:val="0"/>
              <w:jc w:val="center"/>
            </w:pPr>
            <w:r w:rsidRPr="005464FA">
              <w:t>130 (63.4)</w:t>
            </w:r>
          </w:p>
        </w:tc>
        <w:tc>
          <w:tcPr>
            <w:tcW w:w="694" w:type="pct"/>
            <w:vAlign w:val="center"/>
          </w:tcPr>
          <w:p w14:paraId="4131341E" w14:textId="6F6CCDD2" w:rsidR="00007E01" w:rsidRPr="005464FA" w:rsidRDefault="00007E01" w:rsidP="005F522F">
            <w:pPr>
              <w:pStyle w:val="TableText0"/>
              <w:keepLines/>
              <w:widowControl w:val="0"/>
              <w:jc w:val="center"/>
            </w:pPr>
            <w:r w:rsidRPr="005464FA">
              <w:t>62 (63.9)</w:t>
            </w:r>
          </w:p>
        </w:tc>
        <w:tc>
          <w:tcPr>
            <w:tcW w:w="475" w:type="pct"/>
            <w:vAlign w:val="center"/>
          </w:tcPr>
          <w:p w14:paraId="438C014C" w14:textId="6A1B824C" w:rsidR="00007E01" w:rsidRPr="005464FA" w:rsidRDefault="00007E01" w:rsidP="005F522F">
            <w:pPr>
              <w:pStyle w:val="TableText0"/>
              <w:keepLines/>
              <w:widowControl w:val="0"/>
              <w:jc w:val="center"/>
            </w:pPr>
            <w:r w:rsidRPr="005464FA">
              <w:t>30 (50.8)</w:t>
            </w:r>
          </w:p>
        </w:tc>
        <w:tc>
          <w:tcPr>
            <w:tcW w:w="668" w:type="pct"/>
            <w:vAlign w:val="center"/>
          </w:tcPr>
          <w:p w14:paraId="6D1AA0F7" w14:textId="77777777" w:rsidR="00007E01" w:rsidRPr="005464FA" w:rsidRDefault="00007E01" w:rsidP="005F522F">
            <w:pPr>
              <w:pStyle w:val="TableText0"/>
              <w:keepLines/>
              <w:widowControl w:val="0"/>
              <w:jc w:val="center"/>
            </w:pPr>
            <w:r w:rsidRPr="005464FA">
              <w:t>21 (75.0)</w:t>
            </w:r>
          </w:p>
        </w:tc>
        <w:tc>
          <w:tcPr>
            <w:tcW w:w="530" w:type="pct"/>
            <w:vAlign w:val="center"/>
            <w:hideMark/>
          </w:tcPr>
          <w:p w14:paraId="319E1433" w14:textId="77777777" w:rsidR="00007E01" w:rsidRPr="005464FA" w:rsidRDefault="00007E01" w:rsidP="005F522F">
            <w:pPr>
              <w:pStyle w:val="TableText0"/>
              <w:keepLines/>
              <w:widowControl w:val="0"/>
              <w:jc w:val="center"/>
            </w:pPr>
            <w:r w:rsidRPr="005464FA">
              <w:t>100 (68.5)</w:t>
            </w:r>
          </w:p>
        </w:tc>
        <w:tc>
          <w:tcPr>
            <w:tcW w:w="669" w:type="pct"/>
            <w:vAlign w:val="center"/>
            <w:hideMark/>
          </w:tcPr>
          <w:p w14:paraId="1879B4BB" w14:textId="77777777" w:rsidR="00007E01" w:rsidRPr="005464FA" w:rsidRDefault="00007E01" w:rsidP="005F522F">
            <w:pPr>
              <w:pStyle w:val="TableText0"/>
              <w:keepLines/>
              <w:widowControl w:val="0"/>
              <w:jc w:val="center"/>
            </w:pPr>
            <w:r w:rsidRPr="005464FA">
              <w:t>41 (59.4)</w:t>
            </w:r>
          </w:p>
        </w:tc>
      </w:tr>
      <w:tr w:rsidR="00007E01" w:rsidRPr="005464FA" w14:paraId="6639B509" w14:textId="77777777" w:rsidTr="006B2736">
        <w:tc>
          <w:tcPr>
            <w:tcW w:w="1341" w:type="pct"/>
            <w:vAlign w:val="center"/>
            <w:hideMark/>
          </w:tcPr>
          <w:p w14:paraId="2D56B249" w14:textId="77777777" w:rsidR="00007E01" w:rsidRPr="005464FA" w:rsidRDefault="00007E01" w:rsidP="005F522F">
            <w:pPr>
              <w:pStyle w:val="TableText0"/>
              <w:keepLines/>
              <w:widowControl w:val="0"/>
            </w:pPr>
            <w:r w:rsidRPr="005464FA">
              <w:t>Median OS (95% CI), months</w:t>
            </w:r>
          </w:p>
        </w:tc>
        <w:tc>
          <w:tcPr>
            <w:tcW w:w="623" w:type="pct"/>
            <w:vAlign w:val="center"/>
          </w:tcPr>
          <w:p w14:paraId="3C20E5CE" w14:textId="77777777" w:rsidR="00007E01" w:rsidRPr="005464FA" w:rsidRDefault="00007E01" w:rsidP="005F522F">
            <w:pPr>
              <w:pStyle w:val="Tabletext"/>
              <w:keepNext/>
              <w:keepLines/>
              <w:widowControl w:val="0"/>
              <w:jc w:val="center"/>
            </w:pPr>
            <w:r w:rsidRPr="005464FA">
              <w:t>19.25</w:t>
            </w:r>
          </w:p>
          <w:p w14:paraId="54607B40" w14:textId="551CD4B2" w:rsidR="00007E01" w:rsidRPr="005464FA" w:rsidRDefault="00007E01" w:rsidP="005F522F">
            <w:pPr>
              <w:pStyle w:val="TableText0"/>
              <w:keepLines/>
              <w:widowControl w:val="0"/>
              <w:jc w:val="center"/>
            </w:pPr>
            <w:r w:rsidRPr="005464FA">
              <w:t>(17.15, 21.55)</w:t>
            </w:r>
          </w:p>
        </w:tc>
        <w:tc>
          <w:tcPr>
            <w:tcW w:w="694" w:type="pct"/>
            <w:vAlign w:val="center"/>
          </w:tcPr>
          <w:p w14:paraId="4E1887BB" w14:textId="77777777" w:rsidR="00007E01" w:rsidRPr="005464FA" w:rsidRDefault="00007E01" w:rsidP="005F522F">
            <w:pPr>
              <w:pStyle w:val="Tabletext"/>
              <w:keepNext/>
              <w:keepLines/>
              <w:widowControl w:val="0"/>
              <w:jc w:val="center"/>
            </w:pPr>
            <w:r w:rsidRPr="005464FA">
              <w:t>17.12</w:t>
            </w:r>
          </w:p>
          <w:p w14:paraId="14653273" w14:textId="1E1BED53" w:rsidR="00007E01" w:rsidRPr="005464FA" w:rsidRDefault="00007E01" w:rsidP="005F522F">
            <w:pPr>
              <w:pStyle w:val="TableText0"/>
              <w:keepLines/>
              <w:widowControl w:val="0"/>
              <w:jc w:val="center"/>
            </w:pPr>
            <w:r w:rsidRPr="005464FA">
              <w:t>(13.86, 21.85)</w:t>
            </w:r>
          </w:p>
        </w:tc>
        <w:tc>
          <w:tcPr>
            <w:tcW w:w="475" w:type="pct"/>
            <w:vAlign w:val="center"/>
          </w:tcPr>
          <w:p w14:paraId="72025D0E" w14:textId="2A229637" w:rsidR="00007E01" w:rsidRPr="005464FA" w:rsidRDefault="00007E01" w:rsidP="005F522F">
            <w:pPr>
              <w:pStyle w:val="TableText0"/>
              <w:keepLines/>
              <w:widowControl w:val="0"/>
              <w:jc w:val="center"/>
            </w:pPr>
            <w:r w:rsidRPr="005464FA">
              <w:t>22.6</w:t>
            </w:r>
          </w:p>
          <w:p w14:paraId="5FB8C750" w14:textId="05B9A88C" w:rsidR="00007E01" w:rsidRPr="005464FA" w:rsidRDefault="00007E01" w:rsidP="005F522F">
            <w:pPr>
              <w:pStyle w:val="TableText0"/>
              <w:keepLines/>
              <w:widowControl w:val="0"/>
              <w:jc w:val="center"/>
            </w:pPr>
            <w:r w:rsidRPr="005464FA">
              <w:t>(17.8, NC)</w:t>
            </w:r>
          </w:p>
        </w:tc>
        <w:tc>
          <w:tcPr>
            <w:tcW w:w="668" w:type="pct"/>
            <w:vAlign w:val="center"/>
          </w:tcPr>
          <w:p w14:paraId="4EC33130" w14:textId="3E83B762" w:rsidR="00007E01" w:rsidRPr="005464FA" w:rsidRDefault="00007E01" w:rsidP="005F522F">
            <w:pPr>
              <w:pStyle w:val="TableText0"/>
              <w:keepLines/>
              <w:widowControl w:val="0"/>
              <w:jc w:val="center"/>
            </w:pPr>
            <w:r w:rsidRPr="005464FA">
              <w:t>14.7</w:t>
            </w:r>
          </w:p>
          <w:p w14:paraId="3142D235" w14:textId="77777777" w:rsidR="00007E01" w:rsidRPr="005464FA" w:rsidRDefault="00007E01" w:rsidP="005F522F">
            <w:pPr>
              <w:pStyle w:val="TableText0"/>
              <w:keepLines/>
              <w:widowControl w:val="0"/>
              <w:jc w:val="center"/>
            </w:pPr>
            <w:r w:rsidRPr="005464FA">
              <w:t>(11.0, 21.3)</w:t>
            </w:r>
          </w:p>
        </w:tc>
        <w:tc>
          <w:tcPr>
            <w:tcW w:w="530" w:type="pct"/>
            <w:vAlign w:val="center"/>
            <w:hideMark/>
          </w:tcPr>
          <w:p w14:paraId="6B8717F0" w14:textId="5E1F111A" w:rsidR="00007E01" w:rsidRPr="005464FA" w:rsidRDefault="00007E01" w:rsidP="005F522F">
            <w:pPr>
              <w:pStyle w:val="TableText0"/>
              <w:keepLines/>
              <w:widowControl w:val="0"/>
              <w:jc w:val="center"/>
            </w:pPr>
            <w:r w:rsidRPr="005464FA">
              <w:t>18.8</w:t>
            </w:r>
          </w:p>
          <w:p w14:paraId="38AE467A" w14:textId="77777777" w:rsidR="00007E01" w:rsidRPr="005464FA" w:rsidRDefault="00007E01" w:rsidP="005F522F">
            <w:pPr>
              <w:pStyle w:val="TableText0"/>
              <w:keepLines/>
              <w:widowControl w:val="0"/>
              <w:jc w:val="center"/>
            </w:pPr>
            <w:r w:rsidRPr="005464FA">
              <w:t>(16.3, 20.4)</w:t>
            </w:r>
          </w:p>
        </w:tc>
        <w:tc>
          <w:tcPr>
            <w:tcW w:w="669" w:type="pct"/>
            <w:vAlign w:val="center"/>
            <w:hideMark/>
          </w:tcPr>
          <w:p w14:paraId="10D28C91" w14:textId="68DFFEDD" w:rsidR="00007E01" w:rsidRPr="005464FA" w:rsidRDefault="00007E01" w:rsidP="005F522F">
            <w:pPr>
              <w:pStyle w:val="TableText0"/>
              <w:keepLines/>
              <w:widowControl w:val="0"/>
              <w:jc w:val="center"/>
            </w:pPr>
            <w:r w:rsidRPr="005464FA">
              <w:t>17.2</w:t>
            </w:r>
          </w:p>
          <w:p w14:paraId="78674CC5" w14:textId="77777777" w:rsidR="00007E01" w:rsidRPr="005464FA" w:rsidRDefault="00007E01" w:rsidP="005F522F">
            <w:pPr>
              <w:pStyle w:val="TableText0"/>
              <w:keepLines/>
              <w:widowControl w:val="0"/>
              <w:jc w:val="center"/>
            </w:pPr>
            <w:r w:rsidRPr="005464FA">
              <w:t>(13.5, 27.2)</w:t>
            </w:r>
          </w:p>
        </w:tc>
      </w:tr>
      <w:tr w:rsidR="00AD5653" w:rsidRPr="005464FA" w14:paraId="26F0AAB8" w14:textId="77777777" w:rsidTr="006B2736">
        <w:tc>
          <w:tcPr>
            <w:tcW w:w="1341" w:type="pct"/>
            <w:vAlign w:val="center"/>
          </w:tcPr>
          <w:p w14:paraId="4EE312D4" w14:textId="77777777" w:rsidR="00AD5653" w:rsidRPr="005464FA" w:rsidRDefault="00AD5653" w:rsidP="005F522F">
            <w:pPr>
              <w:pStyle w:val="TableText0"/>
              <w:keepLines/>
              <w:widowControl w:val="0"/>
            </w:pPr>
            <w:r w:rsidRPr="005464FA">
              <w:t>HR (95% CI)</w:t>
            </w:r>
          </w:p>
        </w:tc>
        <w:tc>
          <w:tcPr>
            <w:tcW w:w="1317" w:type="pct"/>
            <w:gridSpan w:val="2"/>
            <w:vAlign w:val="center"/>
          </w:tcPr>
          <w:p w14:paraId="6C3695BA" w14:textId="312E3A0D" w:rsidR="00AD5653" w:rsidRPr="005464FA" w:rsidRDefault="00AD5653" w:rsidP="005F522F">
            <w:pPr>
              <w:pStyle w:val="TableText0"/>
              <w:keepLines/>
              <w:widowControl w:val="0"/>
              <w:jc w:val="center"/>
            </w:pPr>
            <w:r w:rsidRPr="005464FA">
              <w:t>0.90 (0.66, 1.23)</w:t>
            </w:r>
          </w:p>
        </w:tc>
        <w:tc>
          <w:tcPr>
            <w:tcW w:w="1143" w:type="pct"/>
            <w:gridSpan w:val="2"/>
            <w:vAlign w:val="center"/>
          </w:tcPr>
          <w:p w14:paraId="785632D1" w14:textId="1A3C9570" w:rsidR="00AD5653" w:rsidRPr="005464FA" w:rsidRDefault="00AD5653" w:rsidP="005F522F">
            <w:pPr>
              <w:pStyle w:val="TableText0"/>
              <w:keepLines/>
              <w:widowControl w:val="0"/>
              <w:jc w:val="center"/>
            </w:pPr>
            <w:r w:rsidRPr="005464FA">
              <w:t>0.51 (0.29, 0.90)</w:t>
            </w:r>
          </w:p>
        </w:tc>
        <w:tc>
          <w:tcPr>
            <w:tcW w:w="1199" w:type="pct"/>
            <w:gridSpan w:val="2"/>
            <w:vAlign w:val="center"/>
          </w:tcPr>
          <w:p w14:paraId="1DE87A08" w14:textId="77777777" w:rsidR="00AD5653" w:rsidRPr="005464FA" w:rsidRDefault="00AD5653" w:rsidP="005F522F">
            <w:pPr>
              <w:pStyle w:val="TableText0"/>
              <w:keepLines/>
              <w:widowControl w:val="0"/>
              <w:jc w:val="center"/>
            </w:pPr>
            <w:r w:rsidRPr="005464FA">
              <w:t>1.13 (0.79, 1.64)</w:t>
            </w:r>
          </w:p>
        </w:tc>
      </w:tr>
      <w:tr w:rsidR="00C47787" w:rsidRPr="005464FA" w14:paraId="2B2E616C" w14:textId="77777777" w:rsidTr="006B2736">
        <w:tc>
          <w:tcPr>
            <w:tcW w:w="1341" w:type="pct"/>
            <w:vAlign w:val="center"/>
          </w:tcPr>
          <w:p w14:paraId="79D21474" w14:textId="77777777" w:rsidR="00C47787" w:rsidRPr="005464FA" w:rsidRDefault="00C47787" w:rsidP="005F522F">
            <w:pPr>
              <w:pStyle w:val="TableText0"/>
              <w:keepLines/>
              <w:widowControl w:val="0"/>
            </w:pPr>
            <w:r w:rsidRPr="005464FA">
              <w:t>p</w:t>
            </w:r>
            <w:r w:rsidRPr="005464FA">
              <w:noBreakHyphen/>
              <w:t>value (2</w:t>
            </w:r>
            <w:r w:rsidRPr="005464FA">
              <w:noBreakHyphen/>
              <w:t>sided)</w:t>
            </w:r>
          </w:p>
        </w:tc>
        <w:tc>
          <w:tcPr>
            <w:tcW w:w="1317" w:type="pct"/>
            <w:gridSpan w:val="2"/>
            <w:vAlign w:val="center"/>
          </w:tcPr>
          <w:p w14:paraId="0CDE0A19" w14:textId="1B65DAC6" w:rsidR="00C47787" w:rsidRPr="005464FA" w:rsidRDefault="00C47787" w:rsidP="005F522F">
            <w:pPr>
              <w:pStyle w:val="TableText0"/>
              <w:keepLines/>
              <w:widowControl w:val="0"/>
              <w:jc w:val="center"/>
            </w:pPr>
            <w:r w:rsidRPr="005464FA">
              <w:t>0.5131</w:t>
            </w:r>
          </w:p>
        </w:tc>
        <w:tc>
          <w:tcPr>
            <w:tcW w:w="1143" w:type="pct"/>
            <w:gridSpan w:val="2"/>
            <w:vAlign w:val="center"/>
          </w:tcPr>
          <w:p w14:paraId="0B67AE83" w14:textId="57B9D847" w:rsidR="00C47787" w:rsidRPr="005464FA" w:rsidRDefault="00C47787" w:rsidP="005F522F">
            <w:pPr>
              <w:pStyle w:val="TableText0"/>
              <w:keepLines/>
              <w:widowControl w:val="0"/>
              <w:jc w:val="center"/>
            </w:pPr>
            <w:r w:rsidRPr="005464FA">
              <w:t>0.0218</w:t>
            </w:r>
          </w:p>
        </w:tc>
        <w:tc>
          <w:tcPr>
            <w:tcW w:w="1199" w:type="pct"/>
            <w:gridSpan w:val="2"/>
            <w:vAlign w:val="center"/>
          </w:tcPr>
          <w:p w14:paraId="239EA18C" w14:textId="78C06329" w:rsidR="00C47787" w:rsidRPr="005464FA" w:rsidRDefault="00C47787" w:rsidP="005F522F">
            <w:pPr>
              <w:pStyle w:val="TableText0"/>
              <w:keepLines/>
              <w:widowControl w:val="0"/>
              <w:jc w:val="center"/>
              <w:rPr>
                <w:vertAlign w:val="superscript"/>
              </w:rPr>
            </w:pPr>
            <w:r w:rsidRPr="005464FA">
              <w:t>0.5156</w:t>
            </w:r>
          </w:p>
        </w:tc>
      </w:tr>
      <w:tr w:rsidR="00007E01" w:rsidRPr="005464FA" w14:paraId="11827FC0" w14:textId="77777777" w:rsidTr="006B2736">
        <w:tc>
          <w:tcPr>
            <w:tcW w:w="1341" w:type="pct"/>
            <w:vAlign w:val="center"/>
          </w:tcPr>
          <w:p w14:paraId="2D5C37C3" w14:textId="77777777" w:rsidR="00007E01" w:rsidRPr="005464FA" w:rsidRDefault="00007E01" w:rsidP="005F522F">
            <w:pPr>
              <w:pStyle w:val="TableText0"/>
              <w:keepLines/>
              <w:widowControl w:val="0"/>
            </w:pPr>
            <w:r w:rsidRPr="005464FA">
              <w:t>Survival at 6 months, %</w:t>
            </w:r>
          </w:p>
        </w:tc>
        <w:tc>
          <w:tcPr>
            <w:tcW w:w="623" w:type="pct"/>
            <w:vAlign w:val="center"/>
          </w:tcPr>
          <w:p w14:paraId="608B6EED" w14:textId="7578285C" w:rsidR="00007E01" w:rsidRPr="005464FA" w:rsidRDefault="00007E01" w:rsidP="005F522F">
            <w:pPr>
              <w:pStyle w:val="TableText0"/>
              <w:keepLines/>
              <w:widowControl w:val="0"/>
              <w:jc w:val="center"/>
            </w:pPr>
            <w:r w:rsidRPr="005464FA">
              <w:t>93.1</w:t>
            </w:r>
          </w:p>
        </w:tc>
        <w:tc>
          <w:tcPr>
            <w:tcW w:w="694" w:type="pct"/>
            <w:vAlign w:val="center"/>
          </w:tcPr>
          <w:p w14:paraId="602B72A8" w14:textId="1DB13EE5" w:rsidR="00007E01" w:rsidRPr="005464FA" w:rsidRDefault="00007E01" w:rsidP="005F522F">
            <w:pPr>
              <w:pStyle w:val="TableText0"/>
              <w:keepLines/>
              <w:widowControl w:val="0"/>
              <w:jc w:val="center"/>
            </w:pPr>
            <w:r w:rsidRPr="005464FA">
              <w:t>85.8</w:t>
            </w:r>
          </w:p>
        </w:tc>
        <w:tc>
          <w:tcPr>
            <w:tcW w:w="475" w:type="pct"/>
            <w:vAlign w:val="center"/>
          </w:tcPr>
          <w:p w14:paraId="45D41147" w14:textId="2D02B500" w:rsidR="00007E01" w:rsidRPr="005464FA" w:rsidRDefault="00007E01" w:rsidP="005F522F">
            <w:pPr>
              <w:pStyle w:val="TableText0"/>
              <w:keepLines/>
              <w:widowControl w:val="0"/>
              <w:jc w:val="center"/>
            </w:pPr>
            <w:r w:rsidRPr="005464FA">
              <w:t>93.2</w:t>
            </w:r>
          </w:p>
        </w:tc>
        <w:tc>
          <w:tcPr>
            <w:tcW w:w="668" w:type="pct"/>
            <w:vAlign w:val="center"/>
          </w:tcPr>
          <w:p w14:paraId="73A797AC" w14:textId="77777777" w:rsidR="00007E01" w:rsidRPr="005464FA" w:rsidRDefault="00007E01" w:rsidP="005F522F">
            <w:pPr>
              <w:pStyle w:val="TableText0"/>
              <w:keepLines/>
              <w:widowControl w:val="0"/>
              <w:jc w:val="center"/>
            </w:pPr>
            <w:r w:rsidRPr="005464FA">
              <w:t>88.5</w:t>
            </w:r>
          </w:p>
        </w:tc>
        <w:tc>
          <w:tcPr>
            <w:tcW w:w="530" w:type="pct"/>
            <w:vAlign w:val="center"/>
          </w:tcPr>
          <w:p w14:paraId="7F729B3D" w14:textId="77777777" w:rsidR="00007E01" w:rsidRPr="005464FA" w:rsidRDefault="00007E01" w:rsidP="005F522F">
            <w:pPr>
              <w:pStyle w:val="TableText0"/>
              <w:keepLines/>
              <w:widowControl w:val="0"/>
              <w:jc w:val="center"/>
            </w:pPr>
            <w:r w:rsidRPr="005464FA">
              <w:t>93.1</w:t>
            </w:r>
          </w:p>
        </w:tc>
        <w:tc>
          <w:tcPr>
            <w:tcW w:w="669" w:type="pct"/>
            <w:vAlign w:val="center"/>
          </w:tcPr>
          <w:p w14:paraId="6ABA79CE" w14:textId="77777777" w:rsidR="00007E01" w:rsidRPr="005464FA" w:rsidRDefault="00007E01" w:rsidP="005F522F">
            <w:pPr>
              <w:pStyle w:val="TableText0"/>
              <w:keepLines/>
              <w:widowControl w:val="0"/>
              <w:jc w:val="center"/>
            </w:pPr>
            <w:r w:rsidRPr="005464FA">
              <w:t>84.9</w:t>
            </w:r>
          </w:p>
        </w:tc>
      </w:tr>
      <w:tr w:rsidR="00007E01" w:rsidRPr="005464FA" w14:paraId="3A13C116" w14:textId="77777777" w:rsidTr="006B2736">
        <w:tc>
          <w:tcPr>
            <w:tcW w:w="1341" w:type="pct"/>
            <w:vAlign w:val="center"/>
          </w:tcPr>
          <w:p w14:paraId="566B928F" w14:textId="77777777" w:rsidR="00007E01" w:rsidRPr="005464FA" w:rsidRDefault="00007E01" w:rsidP="005F522F">
            <w:pPr>
              <w:pStyle w:val="TableText0"/>
              <w:keepLines/>
              <w:widowControl w:val="0"/>
            </w:pPr>
            <w:r w:rsidRPr="005464FA">
              <w:t>Survival at 12 months, %</w:t>
            </w:r>
          </w:p>
        </w:tc>
        <w:tc>
          <w:tcPr>
            <w:tcW w:w="623" w:type="pct"/>
            <w:vAlign w:val="center"/>
          </w:tcPr>
          <w:p w14:paraId="41A73B7C" w14:textId="33C69934" w:rsidR="00007E01" w:rsidRPr="005464FA" w:rsidRDefault="00007E01" w:rsidP="005F522F">
            <w:pPr>
              <w:pStyle w:val="TableText0"/>
              <w:keepLines/>
              <w:widowControl w:val="0"/>
              <w:jc w:val="center"/>
            </w:pPr>
            <w:r w:rsidRPr="005464FA">
              <w:t>72.7</w:t>
            </w:r>
          </w:p>
        </w:tc>
        <w:tc>
          <w:tcPr>
            <w:tcW w:w="694" w:type="pct"/>
            <w:vAlign w:val="center"/>
          </w:tcPr>
          <w:p w14:paraId="47A1D27F" w14:textId="64F03AB4" w:rsidR="00007E01" w:rsidRPr="005464FA" w:rsidRDefault="00007E01" w:rsidP="005F522F">
            <w:pPr>
              <w:pStyle w:val="TableText0"/>
              <w:keepLines/>
              <w:widowControl w:val="0"/>
              <w:jc w:val="center"/>
            </w:pPr>
            <w:r w:rsidRPr="005464FA">
              <w:t>69.2</w:t>
            </w:r>
          </w:p>
        </w:tc>
        <w:tc>
          <w:tcPr>
            <w:tcW w:w="475" w:type="pct"/>
            <w:vAlign w:val="center"/>
          </w:tcPr>
          <w:p w14:paraId="77E25F6C" w14:textId="345F8EDD" w:rsidR="00007E01" w:rsidRPr="005464FA" w:rsidRDefault="00007E01" w:rsidP="005F522F">
            <w:pPr>
              <w:pStyle w:val="TableText0"/>
              <w:keepLines/>
              <w:widowControl w:val="0"/>
              <w:jc w:val="center"/>
            </w:pPr>
            <w:r w:rsidRPr="005464FA">
              <w:t>76.0</w:t>
            </w:r>
          </w:p>
        </w:tc>
        <w:tc>
          <w:tcPr>
            <w:tcW w:w="668" w:type="pct"/>
            <w:vAlign w:val="center"/>
          </w:tcPr>
          <w:p w14:paraId="4273AC84" w14:textId="77777777" w:rsidR="00007E01" w:rsidRPr="005464FA" w:rsidRDefault="00007E01" w:rsidP="005F522F">
            <w:pPr>
              <w:pStyle w:val="TableText0"/>
              <w:keepLines/>
              <w:widowControl w:val="0"/>
              <w:jc w:val="center"/>
            </w:pPr>
            <w:r w:rsidRPr="005464FA">
              <w:t>65.4</w:t>
            </w:r>
          </w:p>
        </w:tc>
        <w:tc>
          <w:tcPr>
            <w:tcW w:w="530" w:type="pct"/>
            <w:vAlign w:val="center"/>
          </w:tcPr>
          <w:p w14:paraId="6AAE2E93" w14:textId="77777777" w:rsidR="00007E01" w:rsidRPr="005464FA" w:rsidRDefault="00007E01" w:rsidP="005F522F">
            <w:pPr>
              <w:pStyle w:val="TableText0"/>
              <w:keepLines/>
              <w:widowControl w:val="0"/>
              <w:jc w:val="center"/>
            </w:pPr>
            <w:r w:rsidRPr="005464FA">
              <w:t>71.4</w:t>
            </w:r>
          </w:p>
        </w:tc>
        <w:tc>
          <w:tcPr>
            <w:tcW w:w="669" w:type="pct"/>
            <w:vAlign w:val="center"/>
          </w:tcPr>
          <w:p w14:paraId="373DA973" w14:textId="77777777" w:rsidR="00007E01" w:rsidRPr="005464FA" w:rsidRDefault="00007E01" w:rsidP="005F522F">
            <w:pPr>
              <w:pStyle w:val="TableText0"/>
              <w:keepLines/>
              <w:widowControl w:val="0"/>
              <w:jc w:val="center"/>
            </w:pPr>
            <w:r w:rsidRPr="005464FA">
              <w:t>70.8</w:t>
            </w:r>
          </w:p>
        </w:tc>
      </w:tr>
      <w:tr w:rsidR="00007E01" w:rsidRPr="005464FA" w14:paraId="3AE0A9B0" w14:textId="77777777" w:rsidTr="006B2736">
        <w:tc>
          <w:tcPr>
            <w:tcW w:w="1341" w:type="pct"/>
            <w:vAlign w:val="center"/>
          </w:tcPr>
          <w:p w14:paraId="22E328FC" w14:textId="77777777" w:rsidR="00007E01" w:rsidRPr="005464FA" w:rsidRDefault="00007E01" w:rsidP="005F522F">
            <w:pPr>
              <w:pStyle w:val="TableText0"/>
              <w:keepLines/>
              <w:widowControl w:val="0"/>
            </w:pPr>
            <w:r w:rsidRPr="005464FA">
              <w:t>Survival at 18 months, %</w:t>
            </w:r>
          </w:p>
        </w:tc>
        <w:tc>
          <w:tcPr>
            <w:tcW w:w="623" w:type="pct"/>
            <w:vAlign w:val="center"/>
          </w:tcPr>
          <w:p w14:paraId="164A7BBA" w14:textId="6F08EAEC" w:rsidR="00007E01" w:rsidRPr="005464FA" w:rsidRDefault="00007E01" w:rsidP="005F522F">
            <w:pPr>
              <w:pStyle w:val="TableText0"/>
              <w:keepLines/>
              <w:widowControl w:val="0"/>
              <w:jc w:val="center"/>
            </w:pPr>
            <w:r w:rsidRPr="005464FA">
              <w:t>54.1</w:t>
            </w:r>
          </w:p>
        </w:tc>
        <w:tc>
          <w:tcPr>
            <w:tcW w:w="694" w:type="pct"/>
            <w:vAlign w:val="center"/>
          </w:tcPr>
          <w:p w14:paraId="42794A37" w14:textId="44295047" w:rsidR="00007E01" w:rsidRPr="005464FA" w:rsidRDefault="00007E01" w:rsidP="005F522F">
            <w:pPr>
              <w:pStyle w:val="TableText0"/>
              <w:keepLines/>
              <w:widowControl w:val="0"/>
              <w:jc w:val="center"/>
            </w:pPr>
            <w:r w:rsidRPr="005464FA">
              <w:t>48.0</w:t>
            </w:r>
          </w:p>
        </w:tc>
        <w:tc>
          <w:tcPr>
            <w:tcW w:w="475" w:type="pct"/>
            <w:vAlign w:val="center"/>
          </w:tcPr>
          <w:p w14:paraId="7FA803AA" w14:textId="671B79B4" w:rsidR="00007E01" w:rsidRPr="005464FA" w:rsidRDefault="00007E01" w:rsidP="005F522F">
            <w:pPr>
              <w:pStyle w:val="TableText0"/>
              <w:keepLines/>
              <w:widowControl w:val="0"/>
              <w:jc w:val="center"/>
            </w:pPr>
            <w:r w:rsidRPr="005464FA">
              <w:t>62.1</w:t>
            </w:r>
          </w:p>
        </w:tc>
        <w:tc>
          <w:tcPr>
            <w:tcW w:w="668" w:type="pct"/>
            <w:vAlign w:val="center"/>
          </w:tcPr>
          <w:p w14:paraId="6BA192D5" w14:textId="77777777" w:rsidR="00007E01" w:rsidRPr="005464FA" w:rsidRDefault="00007E01" w:rsidP="005F522F">
            <w:pPr>
              <w:pStyle w:val="TableText0"/>
              <w:keepLines/>
              <w:widowControl w:val="0"/>
              <w:jc w:val="center"/>
            </w:pPr>
            <w:r w:rsidRPr="005464FA">
              <w:t>46.2</w:t>
            </w:r>
          </w:p>
        </w:tc>
        <w:tc>
          <w:tcPr>
            <w:tcW w:w="530" w:type="pct"/>
            <w:vAlign w:val="center"/>
          </w:tcPr>
          <w:p w14:paraId="308ADBCF" w14:textId="77777777" w:rsidR="00007E01" w:rsidRPr="005464FA" w:rsidRDefault="00007E01" w:rsidP="005F522F">
            <w:pPr>
              <w:pStyle w:val="TableText0"/>
              <w:keepLines/>
              <w:widowControl w:val="0"/>
              <w:jc w:val="center"/>
            </w:pPr>
            <w:r w:rsidRPr="005464FA">
              <w:t>50.8</w:t>
            </w:r>
          </w:p>
        </w:tc>
        <w:tc>
          <w:tcPr>
            <w:tcW w:w="669" w:type="pct"/>
            <w:vAlign w:val="center"/>
          </w:tcPr>
          <w:p w14:paraId="5A1F535D" w14:textId="77777777" w:rsidR="00007E01" w:rsidRPr="005464FA" w:rsidRDefault="00007E01" w:rsidP="005F522F">
            <w:pPr>
              <w:pStyle w:val="TableText0"/>
              <w:keepLines/>
              <w:widowControl w:val="0"/>
              <w:jc w:val="center"/>
            </w:pPr>
            <w:r w:rsidRPr="005464FA">
              <w:t>48.8</w:t>
            </w:r>
          </w:p>
        </w:tc>
      </w:tr>
      <w:tr w:rsidR="00007E01" w:rsidRPr="005464FA" w14:paraId="5ACEF9EC" w14:textId="77777777" w:rsidTr="006B2736">
        <w:tc>
          <w:tcPr>
            <w:tcW w:w="1341" w:type="pct"/>
            <w:vAlign w:val="center"/>
          </w:tcPr>
          <w:p w14:paraId="57DA8B5E" w14:textId="77777777" w:rsidR="00007E01" w:rsidRPr="005464FA" w:rsidRDefault="00007E01" w:rsidP="005F522F">
            <w:pPr>
              <w:pStyle w:val="TableText0"/>
              <w:keepLines/>
              <w:widowControl w:val="0"/>
            </w:pPr>
            <w:r w:rsidRPr="005464FA">
              <w:t>Survival at 24 months, %</w:t>
            </w:r>
          </w:p>
        </w:tc>
        <w:tc>
          <w:tcPr>
            <w:tcW w:w="623" w:type="pct"/>
            <w:vAlign w:val="center"/>
          </w:tcPr>
          <w:p w14:paraId="03BB5A62" w14:textId="7FF986E3" w:rsidR="00007E01" w:rsidRPr="005464FA" w:rsidRDefault="00007E01" w:rsidP="005F522F">
            <w:pPr>
              <w:pStyle w:val="TableText0"/>
              <w:keepLines/>
              <w:widowControl w:val="0"/>
              <w:jc w:val="center"/>
            </w:pPr>
            <w:r w:rsidRPr="005464FA">
              <w:t>NR</w:t>
            </w:r>
          </w:p>
        </w:tc>
        <w:tc>
          <w:tcPr>
            <w:tcW w:w="694" w:type="pct"/>
            <w:vAlign w:val="center"/>
          </w:tcPr>
          <w:p w14:paraId="45870BF0" w14:textId="22B89D2A" w:rsidR="00007E01" w:rsidRPr="005464FA" w:rsidRDefault="00007E01" w:rsidP="005F522F">
            <w:pPr>
              <w:pStyle w:val="TableText0"/>
              <w:keepLines/>
              <w:widowControl w:val="0"/>
              <w:jc w:val="center"/>
            </w:pPr>
            <w:r w:rsidRPr="005464FA">
              <w:t>NR</w:t>
            </w:r>
          </w:p>
        </w:tc>
        <w:tc>
          <w:tcPr>
            <w:tcW w:w="475" w:type="pct"/>
            <w:vAlign w:val="center"/>
          </w:tcPr>
          <w:p w14:paraId="76218B75" w14:textId="6AE7F600" w:rsidR="00007E01" w:rsidRPr="005464FA" w:rsidRDefault="00007E01" w:rsidP="005F522F">
            <w:pPr>
              <w:pStyle w:val="TableText0"/>
              <w:keepLines/>
              <w:widowControl w:val="0"/>
              <w:jc w:val="center"/>
            </w:pPr>
            <w:r w:rsidRPr="005464FA">
              <w:t>48.0</w:t>
            </w:r>
          </w:p>
        </w:tc>
        <w:tc>
          <w:tcPr>
            <w:tcW w:w="668" w:type="pct"/>
            <w:vAlign w:val="center"/>
          </w:tcPr>
          <w:p w14:paraId="7FF0006F" w14:textId="77777777" w:rsidR="00007E01" w:rsidRPr="005464FA" w:rsidRDefault="00007E01" w:rsidP="005F522F">
            <w:pPr>
              <w:pStyle w:val="TableText0"/>
              <w:keepLines/>
              <w:widowControl w:val="0"/>
              <w:jc w:val="center"/>
            </w:pPr>
            <w:r w:rsidRPr="005464FA">
              <w:t>26.9</w:t>
            </w:r>
          </w:p>
        </w:tc>
        <w:tc>
          <w:tcPr>
            <w:tcW w:w="530" w:type="pct"/>
            <w:vAlign w:val="center"/>
          </w:tcPr>
          <w:p w14:paraId="354DA8F9" w14:textId="77777777" w:rsidR="00007E01" w:rsidRPr="005464FA" w:rsidRDefault="00007E01" w:rsidP="005F522F">
            <w:pPr>
              <w:pStyle w:val="TableText0"/>
              <w:keepLines/>
              <w:widowControl w:val="0"/>
              <w:jc w:val="center"/>
            </w:pPr>
            <w:r w:rsidRPr="005464FA">
              <w:t>35.0</w:t>
            </w:r>
          </w:p>
        </w:tc>
        <w:tc>
          <w:tcPr>
            <w:tcW w:w="669" w:type="pct"/>
            <w:vAlign w:val="center"/>
          </w:tcPr>
          <w:p w14:paraId="7F581BAA" w14:textId="77777777" w:rsidR="00007E01" w:rsidRPr="005464FA" w:rsidRDefault="00007E01" w:rsidP="005F522F">
            <w:pPr>
              <w:pStyle w:val="TableText0"/>
              <w:keepLines/>
              <w:widowControl w:val="0"/>
              <w:jc w:val="center"/>
            </w:pPr>
            <w:r w:rsidRPr="005464FA">
              <w:t>44.1</w:t>
            </w:r>
          </w:p>
        </w:tc>
      </w:tr>
      <w:tr w:rsidR="00007E01" w:rsidRPr="005464FA" w14:paraId="3BA47452" w14:textId="77777777" w:rsidTr="006B2736">
        <w:tc>
          <w:tcPr>
            <w:tcW w:w="1341" w:type="pct"/>
            <w:vAlign w:val="center"/>
          </w:tcPr>
          <w:p w14:paraId="5156C12E" w14:textId="77777777" w:rsidR="00007E01" w:rsidRPr="005464FA" w:rsidRDefault="00007E01" w:rsidP="005F522F">
            <w:pPr>
              <w:pStyle w:val="TableText0"/>
              <w:keepLines/>
              <w:widowControl w:val="0"/>
            </w:pPr>
            <w:r w:rsidRPr="005464FA">
              <w:t>Median follow-up for OS in all patients, months</w:t>
            </w:r>
          </w:p>
        </w:tc>
        <w:tc>
          <w:tcPr>
            <w:tcW w:w="623" w:type="pct"/>
            <w:vAlign w:val="center"/>
          </w:tcPr>
          <w:p w14:paraId="37D166EB" w14:textId="1F7220E9" w:rsidR="00007E01" w:rsidRPr="005464FA" w:rsidRDefault="00007E01" w:rsidP="005F522F">
            <w:pPr>
              <w:pStyle w:val="TableText0"/>
              <w:keepLines/>
              <w:widowControl w:val="0"/>
              <w:jc w:val="center"/>
            </w:pPr>
            <w:r w:rsidRPr="005464FA">
              <w:t>18.92</w:t>
            </w:r>
          </w:p>
        </w:tc>
        <w:tc>
          <w:tcPr>
            <w:tcW w:w="694" w:type="pct"/>
            <w:vAlign w:val="center"/>
          </w:tcPr>
          <w:p w14:paraId="77660C40" w14:textId="78655D83" w:rsidR="00007E01" w:rsidRPr="005464FA" w:rsidRDefault="00007E01" w:rsidP="005F522F">
            <w:pPr>
              <w:pStyle w:val="TableText0"/>
              <w:keepLines/>
              <w:widowControl w:val="0"/>
              <w:jc w:val="center"/>
            </w:pPr>
            <w:r w:rsidRPr="005464FA">
              <w:t>15.54</w:t>
            </w:r>
          </w:p>
        </w:tc>
        <w:tc>
          <w:tcPr>
            <w:tcW w:w="475" w:type="pct"/>
            <w:vAlign w:val="center"/>
          </w:tcPr>
          <w:p w14:paraId="083DD183" w14:textId="16F3696B" w:rsidR="00007E01" w:rsidRPr="005464FA" w:rsidRDefault="00007E01" w:rsidP="005F522F">
            <w:pPr>
              <w:pStyle w:val="TableText0"/>
              <w:keepLines/>
              <w:widowControl w:val="0"/>
              <w:jc w:val="center"/>
            </w:pPr>
            <w:r w:rsidRPr="005464FA">
              <w:t>22.05</w:t>
            </w:r>
          </w:p>
        </w:tc>
        <w:tc>
          <w:tcPr>
            <w:tcW w:w="668" w:type="pct"/>
            <w:vAlign w:val="center"/>
          </w:tcPr>
          <w:p w14:paraId="469B5339" w14:textId="77777777" w:rsidR="00007E01" w:rsidRPr="005464FA" w:rsidRDefault="00007E01" w:rsidP="005F522F">
            <w:pPr>
              <w:pStyle w:val="TableText0"/>
              <w:keepLines/>
              <w:widowControl w:val="0"/>
              <w:jc w:val="center"/>
            </w:pPr>
            <w:r w:rsidRPr="005464FA">
              <w:t>14.14</w:t>
            </w:r>
          </w:p>
        </w:tc>
        <w:tc>
          <w:tcPr>
            <w:tcW w:w="530" w:type="pct"/>
            <w:vAlign w:val="center"/>
          </w:tcPr>
          <w:p w14:paraId="4FD49A3B" w14:textId="77777777" w:rsidR="00007E01" w:rsidRPr="005464FA" w:rsidRDefault="00007E01" w:rsidP="005F522F">
            <w:pPr>
              <w:pStyle w:val="TableText0"/>
              <w:keepLines/>
              <w:widowControl w:val="0"/>
              <w:jc w:val="center"/>
            </w:pPr>
            <w:r w:rsidRPr="005464FA">
              <w:t>17.40</w:t>
            </w:r>
          </w:p>
        </w:tc>
        <w:tc>
          <w:tcPr>
            <w:tcW w:w="669" w:type="pct"/>
            <w:vAlign w:val="center"/>
          </w:tcPr>
          <w:p w14:paraId="2A2DB22F" w14:textId="77777777" w:rsidR="00007E01" w:rsidRPr="005464FA" w:rsidRDefault="00007E01" w:rsidP="005F522F">
            <w:pPr>
              <w:pStyle w:val="TableText0"/>
              <w:keepLines/>
              <w:widowControl w:val="0"/>
              <w:jc w:val="center"/>
            </w:pPr>
            <w:r w:rsidRPr="005464FA">
              <w:t>16.76</w:t>
            </w:r>
          </w:p>
        </w:tc>
      </w:tr>
      <w:tr w:rsidR="00007E01" w:rsidRPr="005464FA" w14:paraId="3BE5349B" w14:textId="77777777" w:rsidTr="006B2736">
        <w:tc>
          <w:tcPr>
            <w:tcW w:w="1341" w:type="pct"/>
            <w:vAlign w:val="center"/>
          </w:tcPr>
          <w:p w14:paraId="2F0F2F47" w14:textId="77777777" w:rsidR="00007E01" w:rsidRPr="005464FA" w:rsidRDefault="00007E01" w:rsidP="005F522F">
            <w:pPr>
              <w:pStyle w:val="TableText0"/>
              <w:keepLines/>
              <w:widowControl w:val="0"/>
            </w:pPr>
            <w:r w:rsidRPr="005464FA">
              <w:t>Median follow-up for OS in censored patients, months</w:t>
            </w:r>
          </w:p>
        </w:tc>
        <w:tc>
          <w:tcPr>
            <w:tcW w:w="623" w:type="pct"/>
            <w:vAlign w:val="center"/>
          </w:tcPr>
          <w:p w14:paraId="55C14602" w14:textId="63C166BF" w:rsidR="00007E01" w:rsidRPr="005464FA" w:rsidRDefault="00007E01" w:rsidP="005F522F">
            <w:pPr>
              <w:pStyle w:val="TableText0"/>
              <w:keepLines/>
              <w:widowControl w:val="0"/>
              <w:jc w:val="center"/>
            </w:pPr>
            <w:r w:rsidRPr="005464FA">
              <w:t>25.30</w:t>
            </w:r>
          </w:p>
        </w:tc>
        <w:tc>
          <w:tcPr>
            <w:tcW w:w="694" w:type="pct"/>
            <w:vAlign w:val="center"/>
          </w:tcPr>
          <w:p w14:paraId="72A7A439" w14:textId="0D8F867B" w:rsidR="00007E01" w:rsidRPr="005464FA" w:rsidRDefault="00007E01" w:rsidP="005F522F">
            <w:pPr>
              <w:pStyle w:val="TableText0"/>
              <w:keepLines/>
              <w:widowControl w:val="0"/>
              <w:jc w:val="center"/>
            </w:pPr>
            <w:r w:rsidRPr="005464FA">
              <w:t>26.25</w:t>
            </w:r>
          </w:p>
        </w:tc>
        <w:tc>
          <w:tcPr>
            <w:tcW w:w="475" w:type="pct"/>
            <w:vAlign w:val="center"/>
          </w:tcPr>
          <w:p w14:paraId="74958730" w14:textId="4D0017DE" w:rsidR="00007E01" w:rsidRPr="005464FA" w:rsidRDefault="00007E01" w:rsidP="005F522F">
            <w:pPr>
              <w:pStyle w:val="TableText0"/>
              <w:keepLines/>
              <w:widowControl w:val="0"/>
              <w:jc w:val="center"/>
            </w:pPr>
            <w:r w:rsidRPr="005464FA">
              <w:t>25.53</w:t>
            </w:r>
          </w:p>
        </w:tc>
        <w:tc>
          <w:tcPr>
            <w:tcW w:w="668" w:type="pct"/>
            <w:vAlign w:val="center"/>
          </w:tcPr>
          <w:p w14:paraId="277038D2" w14:textId="77777777" w:rsidR="00007E01" w:rsidRPr="005464FA" w:rsidRDefault="00007E01" w:rsidP="005F522F">
            <w:pPr>
              <w:pStyle w:val="TableText0"/>
              <w:keepLines/>
              <w:widowControl w:val="0"/>
              <w:jc w:val="center"/>
            </w:pPr>
            <w:r w:rsidRPr="005464FA">
              <w:t>26.91</w:t>
            </w:r>
          </w:p>
        </w:tc>
        <w:tc>
          <w:tcPr>
            <w:tcW w:w="530" w:type="pct"/>
            <w:vAlign w:val="center"/>
          </w:tcPr>
          <w:p w14:paraId="174097D9" w14:textId="77777777" w:rsidR="00007E01" w:rsidRPr="005464FA" w:rsidRDefault="00007E01" w:rsidP="005F522F">
            <w:pPr>
              <w:pStyle w:val="TableText0"/>
              <w:keepLines/>
              <w:widowControl w:val="0"/>
              <w:jc w:val="center"/>
            </w:pPr>
            <w:r w:rsidRPr="005464FA">
              <w:t>25.17</w:t>
            </w:r>
          </w:p>
        </w:tc>
        <w:tc>
          <w:tcPr>
            <w:tcW w:w="669" w:type="pct"/>
            <w:vAlign w:val="center"/>
          </w:tcPr>
          <w:p w14:paraId="240E2538" w14:textId="77777777" w:rsidR="00007E01" w:rsidRPr="005464FA" w:rsidRDefault="00007E01" w:rsidP="005F522F">
            <w:pPr>
              <w:pStyle w:val="TableText0"/>
              <w:keepLines/>
              <w:widowControl w:val="0"/>
              <w:jc w:val="center"/>
            </w:pPr>
            <w:r w:rsidRPr="005464FA">
              <w:t>25.95</w:t>
            </w:r>
          </w:p>
        </w:tc>
      </w:tr>
    </w:tbl>
    <w:p w14:paraId="631FEC75" w14:textId="77777777" w:rsidR="00B071F0" w:rsidRPr="005464FA" w:rsidRDefault="00B071F0" w:rsidP="005F522F">
      <w:pPr>
        <w:pStyle w:val="FooterTableFigure"/>
        <w:keepNext/>
        <w:keepLines/>
        <w:widowControl w:val="0"/>
      </w:pPr>
      <w:r w:rsidRPr="005464FA">
        <w:t>Source: Table 2.19, p72 and Table 2.30, p88 of the submission.</w:t>
      </w:r>
    </w:p>
    <w:p w14:paraId="5ABF2FA6" w14:textId="77777777" w:rsidR="00B071F0" w:rsidRPr="005464FA" w:rsidRDefault="00B071F0" w:rsidP="005F522F">
      <w:pPr>
        <w:pStyle w:val="FooterTableFigure"/>
        <w:keepNext/>
        <w:keepLines/>
        <w:widowControl w:val="0"/>
      </w:pPr>
      <w:r w:rsidRPr="005464FA">
        <w:t>CI = confidence interval; DCO = data cut-off; HR = hazard ratio; NC = not calculable; OS = overall survival</w:t>
      </w:r>
    </w:p>
    <w:p w14:paraId="7393E9C3" w14:textId="77777777" w:rsidR="00B071F0" w:rsidRPr="005464FA" w:rsidRDefault="00B071F0" w:rsidP="005674B1">
      <w:pPr>
        <w:pStyle w:val="FooterTableFigure"/>
        <w:widowControl w:val="0"/>
      </w:pPr>
      <w:r w:rsidRPr="005464FA">
        <w:t>Note: Each subgroup analysis was performed using a single Cox proportional hazards model containing the treatment term, the subgroup covariate of interest and the treatment by subgroup interaction. A hazard ratio &lt;1 favours Olaparib 300 mg bd. The CI was calculated using a profile likelihood approach. P-values were calculated from likelihood ratio statistics, using a contrast statement for each subgroup level.</w:t>
      </w:r>
    </w:p>
    <w:p w14:paraId="4E4EB511" w14:textId="75EEA56A" w:rsidR="00B071F0" w:rsidRPr="005464FA" w:rsidRDefault="00C40EC5" w:rsidP="005674B1">
      <w:pPr>
        <w:pStyle w:val="TableFigureHeading"/>
        <w:keepLines/>
        <w:widowControl w:val="0"/>
      </w:pPr>
      <w:bookmarkStart w:id="49" w:name="_Ref164436327"/>
      <w:r w:rsidRPr="005464FA">
        <w:lastRenderedPageBreak/>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7</w:t>
      </w:r>
      <w:r w:rsidR="00935AC4" w:rsidRPr="005464FA">
        <w:fldChar w:fldCharType="end"/>
      </w:r>
      <w:bookmarkEnd w:id="49"/>
      <w:r w:rsidR="00B071F0" w:rsidRPr="005464FA">
        <w:t>: Median OS and log-rank test, no prior chemotherapy for mBC, extended</w:t>
      </w:r>
      <w:r w:rsidR="00410BAB" w:rsidRPr="005464FA">
        <w:t xml:space="preserve"> OS</w:t>
      </w:r>
      <w:r w:rsidR="00B071F0" w:rsidRPr="005464FA">
        <w:t xml:space="preserve"> DCO (full analysis set)</w:t>
      </w:r>
    </w:p>
    <w:tbl>
      <w:tblPr>
        <w:tblStyle w:val="TableGrid"/>
        <w:tblW w:w="5000" w:type="pct"/>
        <w:tblCellMar>
          <w:left w:w="29" w:type="dxa"/>
          <w:right w:w="29" w:type="dxa"/>
        </w:tblCellMar>
        <w:tblLook w:val="04A0" w:firstRow="1" w:lastRow="0" w:firstColumn="1" w:lastColumn="0" w:noHBand="0" w:noVBand="1"/>
        <w:tblCaption w:val="Table 7: Median OS and log-rank test, no prior chemotherapy for mBC, extended OS DCO (full analysis set)"/>
      </w:tblPr>
      <w:tblGrid>
        <w:gridCol w:w="2414"/>
        <w:gridCol w:w="1090"/>
        <w:gridCol w:w="1207"/>
        <w:gridCol w:w="971"/>
        <w:gridCol w:w="1207"/>
        <w:gridCol w:w="921"/>
        <w:gridCol w:w="1207"/>
      </w:tblGrid>
      <w:tr w:rsidR="00007E01" w:rsidRPr="005464FA" w14:paraId="3A49EA59" w14:textId="77777777" w:rsidTr="00C47787">
        <w:tc>
          <w:tcPr>
            <w:tcW w:w="1342" w:type="pct"/>
            <w:vMerge w:val="restart"/>
          </w:tcPr>
          <w:p w14:paraId="3C853687" w14:textId="77777777" w:rsidR="00007E01" w:rsidRPr="005464FA" w:rsidRDefault="00007E01" w:rsidP="005674B1">
            <w:pPr>
              <w:pStyle w:val="TableText0"/>
              <w:keepLines/>
              <w:widowControl w:val="0"/>
            </w:pPr>
          </w:p>
        </w:tc>
        <w:tc>
          <w:tcPr>
            <w:tcW w:w="1273" w:type="pct"/>
            <w:gridSpan w:val="2"/>
            <w:vAlign w:val="center"/>
          </w:tcPr>
          <w:p w14:paraId="43542480" w14:textId="2CF8D5E6" w:rsidR="00007E01" w:rsidRPr="005464FA" w:rsidRDefault="00007E01" w:rsidP="005674B1">
            <w:pPr>
              <w:pStyle w:val="TableText0"/>
              <w:keepLines/>
              <w:widowControl w:val="0"/>
              <w:jc w:val="center"/>
              <w:rPr>
                <w:b/>
                <w:bCs w:val="0"/>
              </w:rPr>
            </w:pPr>
            <w:r w:rsidRPr="005464FA">
              <w:rPr>
                <w:b/>
                <w:bCs w:val="0"/>
              </w:rPr>
              <w:t>Whole Trial Population</w:t>
            </w:r>
          </w:p>
        </w:tc>
        <w:tc>
          <w:tcPr>
            <w:tcW w:w="1206" w:type="pct"/>
            <w:gridSpan w:val="2"/>
            <w:vAlign w:val="center"/>
          </w:tcPr>
          <w:p w14:paraId="5D899B5A" w14:textId="127F0471" w:rsidR="00007E01" w:rsidRPr="005464FA" w:rsidRDefault="00007E01" w:rsidP="005674B1">
            <w:pPr>
              <w:pStyle w:val="TableText0"/>
              <w:keepLines/>
              <w:widowControl w:val="0"/>
              <w:jc w:val="center"/>
              <w:rPr>
                <w:b/>
                <w:bCs w:val="0"/>
              </w:rPr>
            </w:pPr>
            <w:r w:rsidRPr="005464FA">
              <w:rPr>
                <w:b/>
                <w:bCs w:val="0"/>
              </w:rPr>
              <w:t>No prior chemotherapy for mBC</w:t>
            </w:r>
          </w:p>
        </w:tc>
        <w:tc>
          <w:tcPr>
            <w:tcW w:w="1178" w:type="pct"/>
            <w:gridSpan w:val="2"/>
            <w:vAlign w:val="center"/>
          </w:tcPr>
          <w:p w14:paraId="0319C263" w14:textId="77777777" w:rsidR="00007E01" w:rsidRPr="005464FA" w:rsidRDefault="00007E01" w:rsidP="005674B1">
            <w:pPr>
              <w:pStyle w:val="TableText0"/>
              <w:keepLines/>
              <w:widowControl w:val="0"/>
              <w:jc w:val="center"/>
              <w:rPr>
                <w:b/>
                <w:bCs w:val="0"/>
              </w:rPr>
            </w:pPr>
            <w:r w:rsidRPr="005464FA">
              <w:rPr>
                <w:b/>
                <w:bCs w:val="0"/>
              </w:rPr>
              <w:t>Prior chemotherapy</w:t>
            </w:r>
          </w:p>
        </w:tc>
      </w:tr>
      <w:tr w:rsidR="00C47787" w:rsidRPr="005464FA" w14:paraId="549A70AF" w14:textId="77777777" w:rsidTr="00C47787">
        <w:tc>
          <w:tcPr>
            <w:tcW w:w="1342" w:type="pct"/>
            <w:vMerge/>
          </w:tcPr>
          <w:p w14:paraId="40B03458" w14:textId="77777777" w:rsidR="00007E01" w:rsidRPr="005464FA" w:rsidRDefault="00007E01" w:rsidP="005674B1">
            <w:pPr>
              <w:pStyle w:val="TableText0"/>
              <w:keepLines/>
              <w:widowControl w:val="0"/>
            </w:pPr>
          </w:p>
        </w:tc>
        <w:tc>
          <w:tcPr>
            <w:tcW w:w="608" w:type="pct"/>
            <w:vAlign w:val="center"/>
          </w:tcPr>
          <w:p w14:paraId="491558C5" w14:textId="77777777" w:rsidR="00007E01" w:rsidRPr="005464FA" w:rsidRDefault="00007E01" w:rsidP="005674B1">
            <w:pPr>
              <w:pStyle w:val="Tabletext"/>
              <w:keepNext/>
              <w:keepLines/>
              <w:widowControl w:val="0"/>
              <w:jc w:val="center"/>
              <w:rPr>
                <w:b/>
                <w:bCs/>
              </w:rPr>
            </w:pPr>
            <w:r w:rsidRPr="005464FA">
              <w:rPr>
                <w:b/>
                <w:bCs/>
              </w:rPr>
              <w:t>Olaparib</w:t>
            </w:r>
          </w:p>
          <w:p w14:paraId="11068AF5" w14:textId="52FB6125" w:rsidR="00007E01" w:rsidRPr="005464FA" w:rsidRDefault="00007E01" w:rsidP="005674B1">
            <w:pPr>
              <w:pStyle w:val="TableText0"/>
              <w:keepLines/>
              <w:widowControl w:val="0"/>
              <w:jc w:val="center"/>
              <w:rPr>
                <w:b/>
                <w:bCs w:val="0"/>
              </w:rPr>
            </w:pPr>
            <w:r w:rsidRPr="005464FA">
              <w:rPr>
                <w:b/>
              </w:rPr>
              <w:t>N=205</w:t>
            </w:r>
          </w:p>
        </w:tc>
        <w:tc>
          <w:tcPr>
            <w:tcW w:w="665" w:type="pct"/>
            <w:vAlign w:val="center"/>
          </w:tcPr>
          <w:p w14:paraId="10CAB1A5" w14:textId="77777777" w:rsidR="00007E01" w:rsidRPr="005464FA" w:rsidRDefault="00007E01" w:rsidP="005674B1">
            <w:pPr>
              <w:pStyle w:val="Tabletext"/>
              <w:keepNext/>
              <w:keepLines/>
              <w:widowControl w:val="0"/>
              <w:jc w:val="center"/>
              <w:rPr>
                <w:b/>
                <w:bCs/>
                <w:vertAlign w:val="superscript"/>
              </w:rPr>
            </w:pPr>
            <w:r w:rsidRPr="005464FA">
              <w:rPr>
                <w:b/>
                <w:bCs/>
              </w:rPr>
              <w:t>Chemotherapy</w:t>
            </w:r>
          </w:p>
          <w:p w14:paraId="430D9E3D" w14:textId="4B0DBB51" w:rsidR="00007E01" w:rsidRPr="005464FA" w:rsidRDefault="00007E01" w:rsidP="005674B1">
            <w:pPr>
              <w:pStyle w:val="TableText0"/>
              <w:keepLines/>
              <w:widowControl w:val="0"/>
              <w:jc w:val="center"/>
              <w:rPr>
                <w:b/>
                <w:bCs w:val="0"/>
              </w:rPr>
            </w:pPr>
            <w:r w:rsidRPr="005464FA">
              <w:rPr>
                <w:b/>
              </w:rPr>
              <w:t>N=97</w:t>
            </w:r>
          </w:p>
        </w:tc>
        <w:tc>
          <w:tcPr>
            <w:tcW w:w="542" w:type="pct"/>
            <w:vAlign w:val="center"/>
          </w:tcPr>
          <w:p w14:paraId="42D4EFE8" w14:textId="2498F3F5" w:rsidR="00007E01" w:rsidRPr="005464FA" w:rsidRDefault="00007E01" w:rsidP="005674B1">
            <w:pPr>
              <w:pStyle w:val="TableText0"/>
              <w:keepLines/>
              <w:widowControl w:val="0"/>
              <w:jc w:val="center"/>
              <w:rPr>
                <w:b/>
                <w:bCs w:val="0"/>
              </w:rPr>
            </w:pPr>
            <w:r w:rsidRPr="005464FA">
              <w:rPr>
                <w:b/>
                <w:bCs w:val="0"/>
              </w:rPr>
              <w:t>Olaparib</w:t>
            </w:r>
          </w:p>
          <w:p w14:paraId="7E046C3F" w14:textId="77777777" w:rsidR="00007E01" w:rsidRPr="005464FA" w:rsidRDefault="00007E01" w:rsidP="005674B1">
            <w:pPr>
              <w:pStyle w:val="TableText0"/>
              <w:keepLines/>
              <w:widowControl w:val="0"/>
              <w:jc w:val="center"/>
            </w:pPr>
            <w:r w:rsidRPr="005464FA">
              <w:rPr>
                <w:b/>
                <w:bCs w:val="0"/>
              </w:rPr>
              <w:t>N=59</w:t>
            </w:r>
          </w:p>
        </w:tc>
        <w:tc>
          <w:tcPr>
            <w:tcW w:w="664" w:type="pct"/>
            <w:vAlign w:val="center"/>
          </w:tcPr>
          <w:p w14:paraId="0AB9AC58" w14:textId="77777777" w:rsidR="00007E01" w:rsidRPr="005464FA" w:rsidRDefault="00007E01" w:rsidP="005674B1">
            <w:pPr>
              <w:pStyle w:val="TableText0"/>
              <w:keepLines/>
              <w:widowControl w:val="0"/>
              <w:jc w:val="center"/>
              <w:rPr>
                <w:b/>
                <w:bCs w:val="0"/>
                <w:vertAlign w:val="superscript"/>
              </w:rPr>
            </w:pPr>
            <w:r w:rsidRPr="005464FA">
              <w:rPr>
                <w:b/>
                <w:bCs w:val="0"/>
              </w:rPr>
              <w:t>Chemotherapy</w:t>
            </w:r>
          </w:p>
          <w:p w14:paraId="10155E66" w14:textId="77777777" w:rsidR="00007E01" w:rsidRPr="005464FA" w:rsidRDefault="00007E01" w:rsidP="005674B1">
            <w:pPr>
              <w:pStyle w:val="TableText0"/>
              <w:keepLines/>
              <w:widowControl w:val="0"/>
              <w:jc w:val="center"/>
              <w:rPr>
                <w:b/>
                <w:bCs w:val="0"/>
              </w:rPr>
            </w:pPr>
            <w:r w:rsidRPr="005464FA">
              <w:rPr>
                <w:b/>
                <w:bCs w:val="0"/>
              </w:rPr>
              <w:t>N=28</w:t>
            </w:r>
          </w:p>
        </w:tc>
        <w:tc>
          <w:tcPr>
            <w:tcW w:w="514" w:type="pct"/>
            <w:vAlign w:val="center"/>
          </w:tcPr>
          <w:p w14:paraId="1ED32BE6" w14:textId="77777777" w:rsidR="00007E01" w:rsidRPr="005464FA" w:rsidRDefault="00007E01" w:rsidP="005674B1">
            <w:pPr>
              <w:pStyle w:val="TableText0"/>
              <w:keepLines/>
              <w:widowControl w:val="0"/>
              <w:jc w:val="center"/>
              <w:rPr>
                <w:b/>
                <w:bCs w:val="0"/>
              </w:rPr>
            </w:pPr>
            <w:r w:rsidRPr="005464FA">
              <w:rPr>
                <w:b/>
                <w:bCs w:val="0"/>
              </w:rPr>
              <w:t>Olaparib</w:t>
            </w:r>
          </w:p>
          <w:p w14:paraId="2647DCEA" w14:textId="77777777" w:rsidR="00007E01" w:rsidRPr="005464FA" w:rsidRDefault="00007E01" w:rsidP="005674B1">
            <w:pPr>
              <w:pStyle w:val="TableText0"/>
              <w:keepLines/>
              <w:widowControl w:val="0"/>
              <w:jc w:val="center"/>
              <w:rPr>
                <w:b/>
                <w:bCs w:val="0"/>
              </w:rPr>
            </w:pPr>
            <w:r w:rsidRPr="005464FA">
              <w:rPr>
                <w:b/>
                <w:bCs w:val="0"/>
              </w:rPr>
              <w:t>N=146</w:t>
            </w:r>
          </w:p>
        </w:tc>
        <w:tc>
          <w:tcPr>
            <w:tcW w:w="664" w:type="pct"/>
            <w:vAlign w:val="center"/>
          </w:tcPr>
          <w:p w14:paraId="2DF2C5FD" w14:textId="77777777" w:rsidR="00007E01" w:rsidRPr="005464FA" w:rsidRDefault="00007E01" w:rsidP="005674B1">
            <w:pPr>
              <w:pStyle w:val="TableText0"/>
              <w:keepLines/>
              <w:widowControl w:val="0"/>
              <w:jc w:val="center"/>
              <w:rPr>
                <w:b/>
                <w:bCs w:val="0"/>
                <w:vertAlign w:val="superscript"/>
              </w:rPr>
            </w:pPr>
            <w:r w:rsidRPr="005464FA">
              <w:rPr>
                <w:b/>
                <w:bCs w:val="0"/>
              </w:rPr>
              <w:t>Chemotherapy</w:t>
            </w:r>
          </w:p>
          <w:p w14:paraId="55A2519A" w14:textId="77777777" w:rsidR="00007E01" w:rsidRPr="005464FA" w:rsidRDefault="00007E01" w:rsidP="005674B1">
            <w:pPr>
              <w:pStyle w:val="TableText0"/>
              <w:keepLines/>
              <w:widowControl w:val="0"/>
              <w:jc w:val="center"/>
              <w:rPr>
                <w:b/>
                <w:bCs w:val="0"/>
              </w:rPr>
            </w:pPr>
            <w:r w:rsidRPr="005464FA">
              <w:rPr>
                <w:b/>
                <w:bCs w:val="0"/>
              </w:rPr>
              <w:t>N=69</w:t>
            </w:r>
          </w:p>
        </w:tc>
      </w:tr>
      <w:tr w:rsidR="00C47787" w:rsidRPr="005464FA" w14:paraId="243343C4" w14:textId="77777777" w:rsidTr="00C47787">
        <w:tc>
          <w:tcPr>
            <w:tcW w:w="1342" w:type="pct"/>
            <w:hideMark/>
          </w:tcPr>
          <w:p w14:paraId="43E1C882" w14:textId="77777777" w:rsidR="00007E01" w:rsidRPr="005464FA" w:rsidRDefault="00007E01" w:rsidP="005674B1">
            <w:pPr>
              <w:pStyle w:val="TableText0"/>
              <w:keepLines/>
              <w:widowControl w:val="0"/>
            </w:pPr>
            <w:r w:rsidRPr="005464FA">
              <w:t>Total number of deaths, n (%)</w:t>
            </w:r>
            <w:r w:rsidRPr="005464FA">
              <w:rPr>
                <w:vertAlign w:val="superscript"/>
              </w:rPr>
              <w:t>a</w:t>
            </w:r>
          </w:p>
        </w:tc>
        <w:tc>
          <w:tcPr>
            <w:tcW w:w="608" w:type="pct"/>
            <w:vAlign w:val="center"/>
          </w:tcPr>
          <w:p w14:paraId="4A23B089" w14:textId="68D7EAFD" w:rsidR="00007E01" w:rsidRPr="005464FA" w:rsidRDefault="00007E01" w:rsidP="005674B1">
            <w:pPr>
              <w:pStyle w:val="TableText0"/>
              <w:keepLines/>
              <w:widowControl w:val="0"/>
              <w:jc w:val="center"/>
            </w:pPr>
            <w:r w:rsidRPr="005464FA">
              <w:t>159 (77.6)</w:t>
            </w:r>
          </w:p>
        </w:tc>
        <w:tc>
          <w:tcPr>
            <w:tcW w:w="665" w:type="pct"/>
            <w:vAlign w:val="center"/>
          </w:tcPr>
          <w:p w14:paraId="5638520F" w14:textId="3E5EE093" w:rsidR="00007E01" w:rsidRPr="005464FA" w:rsidRDefault="00007E01" w:rsidP="005674B1">
            <w:pPr>
              <w:pStyle w:val="TableText0"/>
              <w:keepLines/>
              <w:widowControl w:val="0"/>
              <w:jc w:val="center"/>
            </w:pPr>
            <w:r w:rsidRPr="005464FA">
              <w:t>73 (75.3)</w:t>
            </w:r>
          </w:p>
        </w:tc>
        <w:tc>
          <w:tcPr>
            <w:tcW w:w="542" w:type="pct"/>
            <w:vAlign w:val="center"/>
            <w:hideMark/>
          </w:tcPr>
          <w:p w14:paraId="47D60263" w14:textId="46C547EC" w:rsidR="00007E01" w:rsidRPr="005464FA" w:rsidRDefault="00007E01" w:rsidP="005674B1">
            <w:pPr>
              <w:pStyle w:val="TableText0"/>
              <w:keepLines/>
              <w:widowControl w:val="0"/>
              <w:jc w:val="center"/>
            </w:pPr>
            <w:r w:rsidRPr="005464FA">
              <w:t>42 (71.2)</w:t>
            </w:r>
          </w:p>
        </w:tc>
        <w:tc>
          <w:tcPr>
            <w:tcW w:w="664" w:type="pct"/>
            <w:vAlign w:val="center"/>
            <w:hideMark/>
          </w:tcPr>
          <w:p w14:paraId="78265DAA" w14:textId="77777777" w:rsidR="00007E01" w:rsidRPr="005464FA" w:rsidRDefault="00007E01" w:rsidP="005674B1">
            <w:pPr>
              <w:pStyle w:val="TableText0"/>
              <w:keepLines/>
              <w:widowControl w:val="0"/>
              <w:jc w:val="center"/>
            </w:pPr>
            <w:r w:rsidRPr="005464FA">
              <w:t>22 (78.6)</w:t>
            </w:r>
          </w:p>
        </w:tc>
        <w:tc>
          <w:tcPr>
            <w:tcW w:w="514" w:type="pct"/>
            <w:vAlign w:val="center"/>
          </w:tcPr>
          <w:p w14:paraId="72E42A75" w14:textId="77777777" w:rsidR="00007E01" w:rsidRPr="005464FA" w:rsidRDefault="00007E01" w:rsidP="005674B1">
            <w:pPr>
              <w:pStyle w:val="TableText0"/>
              <w:keepLines/>
              <w:widowControl w:val="0"/>
              <w:jc w:val="center"/>
            </w:pPr>
            <w:r w:rsidRPr="005464FA">
              <w:t>117 (80.1)</w:t>
            </w:r>
          </w:p>
        </w:tc>
        <w:tc>
          <w:tcPr>
            <w:tcW w:w="664" w:type="pct"/>
            <w:vAlign w:val="center"/>
          </w:tcPr>
          <w:p w14:paraId="363DB354" w14:textId="77777777" w:rsidR="00007E01" w:rsidRPr="005464FA" w:rsidRDefault="00007E01" w:rsidP="005674B1">
            <w:pPr>
              <w:pStyle w:val="TableText0"/>
              <w:keepLines/>
              <w:widowControl w:val="0"/>
              <w:jc w:val="center"/>
            </w:pPr>
            <w:r w:rsidRPr="005464FA">
              <w:t>51 (73.9)</w:t>
            </w:r>
          </w:p>
        </w:tc>
      </w:tr>
      <w:tr w:rsidR="00C47787" w:rsidRPr="005464FA" w14:paraId="308C53CF" w14:textId="77777777" w:rsidTr="00C47787">
        <w:tc>
          <w:tcPr>
            <w:tcW w:w="1342" w:type="pct"/>
            <w:hideMark/>
          </w:tcPr>
          <w:p w14:paraId="5DBB749E" w14:textId="52BA0610" w:rsidR="00007E01" w:rsidRPr="005464FA" w:rsidRDefault="00007E01" w:rsidP="005674B1">
            <w:pPr>
              <w:pStyle w:val="TableText0"/>
              <w:keepLines/>
              <w:widowControl w:val="0"/>
            </w:pPr>
            <w:r w:rsidRPr="005464FA">
              <w:t xml:space="preserve">Median OS (95% CI), months </w:t>
            </w:r>
            <w:r w:rsidRPr="005464FA">
              <w:rPr>
                <w:vertAlign w:val="superscript"/>
              </w:rPr>
              <w:t>b</w:t>
            </w:r>
          </w:p>
        </w:tc>
        <w:tc>
          <w:tcPr>
            <w:tcW w:w="608" w:type="pct"/>
            <w:vAlign w:val="center"/>
          </w:tcPr>
          <w:p w14:paraId="58DA3A1F" w14:textId="77777777" w:rsidR="00007E01" w:rsidRPr="005464FA" w:rsidRDefault="00007E01" w:rsidP="005674B1">
            <w:pPr>
              <w:pStyle w:val="Tabletext"/>
              <w:keepNext/>
              <w:keepLines/>
              <w:widowControl w:val="0"/>
              <w:jc w:val="center"/>
            </w:pPr>
            <w:r w:rsidRPr="005464FA">
              <w:t>19.25</w:t>
            </w:r>
          </w:p>
          <w:p w14:paraId="215747B4" w14:textId="46F4A57B" w:rsidR="00007E01" w:rsidRPr="005464FA" w:rsidRDefault="00007E01" w:rsidP="005674B1">
            <w:pPr>
              <w:pStyle w:val="TableText0"/>
              <w:keepLines/>
              <w:widowControl w:val="0"/>
              <w:jc w:val="center"/>
            </w:pPr>
            <w:r w:rsidRPr="005464FA">
              <w:t>(17.15, 21.55)</w:t>
            </w:r>
          </w:p>
        </w:tc>
        <w:tc>
          <w:tcPr>
            <w:tcW w:w="665" w:type="pct"/>
            <w:vAlign w:val="center"/>
          </w:tcPr>
          <w:p w14:paraId="327D40F1" w14:textId="77777777" w:rsidR="00007E01" w:rsidRPr="005464FA" w:rsidRDefault="00007E01" w:rsidP="005674B1">
            <w:pPr>
              <w:pStyle w:val="Tabletext"/>
              <w:keepNext/>
              <w:keepLines/>
              <w:widowControl w:val="0"/>
              <w:jc w:val="center"/>
            </w:pPr>
            <w:r w:rsidRPr="005464FA">
              <w:t>17.12</w:t>
            </w:r>
          </w:p>
          <w:p w14:paraId="2C6694DD" w14:textId="0A312E8D" w:rsidR="00007E01" w:rsidRPr="005464FA" w:rsidRDefault="00007E01" w:rsidP="005674B1">
            <w:pPr>
              <w:pStyle w:val="TableText0"/>
              <w:keepLines/>
              <w:widowControl w:val="0"/>
              <w:jc w:val="center"/>
            </w:pPr>
            <w:r w:rsidRPr="005464FA">
              <w:t>(13.86, 21.85)</w:t>
            </w:r>
          </w:p>
        </w:tc>
        <w:tc>
          <w:tcPr>
            <w:tcW w:w="542" w:type="pct"/>
            <w:vAlign w:val="center"/>
            <w:hideMark/>
          </w:tcPr>
          <w:p w14:paraId="7B75B6FF" w14:textId="55DDF385" w:rsidR="00007E01" w:rsidRPr="005464FA" w:rsidRDefault="00007E01" w:rsidP="005674B1">
            <w:pPr>
              <w:pStyle w:val="TableText0"/>
              <w:keepLines/>
              <w:widowControl w:val="0"/>
              <w:jc w:val="center"/>
            </w:pPr>
            <w:r w:rsidRPr="005464FA">
              <w:t>22.6</w:t>
            </w:r>
          </w:p>
          <w:p w14:paraId="6DFA6086" w14:textId="5FFFE120" w:rsidR="00007E01" w:rsidRPr="005464FA" w:rsidRDefault="00007E01" w:rsidP="005674B1">
            <w:pPr>
              <w:pStyle w:val="TableText0"/>
              <w:keepLines/>
              <w:widowControl w:val="0"/>
              <w:jc w:val="center"/>
            </w:pPr>
            <w:r w:rsidRPr="005464FA">
              <w:t>(17.8, 36.7)</w:t>
            </w:r>
          </w:p>
        </w:tc>
        <w:tc>
          <w:tcPr>
            <w:tcW w:w="664" w:type="pct"/>
            <w:vAlign w:val="center"/>
            <w:hideMark/>
          </w:tcPr>
          <w:p w14:paraId="3955F9AE" w14:textId="77777777" w:rsidR="00007E01" w:rsidRPr="005464FA" w:rsidRDefault="00007E01" w:rsidP="005674B1">
            <w:pPr>
              <w:pStyle w:val="TableText0"/>
              <w:keepLines/>
              <w:widowControl w:val="0"/>
              <w:jc w:val="center"/>
            </w:pPr>
            <w:r w:rsidRPr="005464FA">
              <w:t>14.7</w:t>
            </w:r>
          </w:p>
          <w:p w14:paraId="32584B93" w14:textId="766C684E" w:rsidR="00007E01" w:rsidRPr="005464FA" w:rsidRDefault="00007E01" w:rsidP="005674B1">
            <w:pPr>
              <w:pStyle w:val="TableText0"/>
              <w:keepLines/>
              <w:widowControl w:val="0"/>
              <w:jc w:val="center"/>
            </w:pPr>
            <w:r w:rsidRPr="005464FA">
              <w:t>(11.0, 21.3)</w:t>
            </w:r>
          </w:p>
        </w:tc>
        <w:tc>
          <w:tcPr>
            <w:tcW w:w="514" w:type="pct"/>
            <w:vAlign w:val="center"/>
          </w:tcPr>
          <w:p w14:paraId="00580532" w14:textId="37EA76D1" w:rsidR="00007E01" w:rsidRPr="005464FA" w:rsidRDefault="00007E01" w:rsidP="005674B1">
            <w:pPr>
              <w:pStyle w:val="TableText0"/>
              <w:keepLines/>
              <w:widowControl w:val="0"/>
              <w:jc w:val="center"/>
            </w:pPr>
            <w:r w:rsidRPr="005464FA">
              <w:t>18.8</w:t>
            </w:r>
          </w:p>
          <w:p w14:paraId="4BCC0AE2" w14:textId="77777777" w:rsidR="00007E01" w:rsidRPr="005464FA" w:rsidRDefault="00007E01" w:rsidP="005674B1">
            <w:pPr>
              <w:pStyle w:val="TableText0"/>
              <w:keepLines/>
              <w:widowControl w:val="0"/>
              <w:jc w:val="center"/>
            </w:pPr>
            <w:r w:rsidRPr="005464FA">
              <w:t>(16.3, 20.4)</w:t>
            </w:r>
          </w:p>
        </w:tc>
        <w:tc>
          <w:tcPr>
            <w:tcW w:w="664" w:type="pct"/>
            <w:vAlign w:val="center"/>
          </w:tcPr>
          <w:p w14:paraId="6DCA5106" w14:textId="77777777" w:rsidR="00007E01" w:rsidRPr="005464FA" w:rsidRDefault="00007E01" w:rsidP="005674B1">
            <w:pPr>
              <w:pStyle w:val="TableText0"/>
              <w:keepLines/>
              <w:widowControl w:val="0"/>
              <w:jc w:val="center"/>
            </w:pPr>
            <w:r w:rsidRPr="005464FA">
              <w:t>17.2</w:t>
            </w:r>
          </w:p>
          <w:p w14:paraId="05934201" w14:textId="38DCFAC8" w:rsidR="00007E01" w:rsidRPr="005464FA" w:rsidRDefault="00007E01" w:rsidP="005674B1">
            <w:pPr>
              <w:pStyle w:val="TableText0"/>
              <w:keepLines/>
              <w:widowControl w:val="0"/>
              <w:jc w:val="center"/>
            </w:pPr>
            <w:r w:rsidRPr="005464FA">
              <w:t>(13.5, 27.2)</w:t>
            </w:r>
          </w:p>
        </w:tc>
      </w:tr>
      <w:tr w:rsidR="00C47787" w:rsidRPr="005464FA" w14:paraId="2BB9A715" w14:textId="77777777" w:rsidTr="00C47787">
        <w:tc>
          <w:tcPr>
            <w:tcW w:w="1342" w:type="pct"/>
          </w:tcPr>
          <w:p w14:paraId="1277EBE4" w14:textId="77777777" w:rsidR="00C47787" w:rsidRPr="005464FA" w:rsidRDefault="00C47787" w:rsidP="005674B1">
            <w:pPr>
              <w:pStyle w:val="TableText0"/>
              <w:keepLines/>
              <w:widowControl w:val="0"/>
            </w:pPr>
            <w:r w:rsidRPr="005464FA">
              <w:t>HR (95% CI)</w:t>
            </w:r>
          </w:p>
        </w:tc>
        <w:tc>
          <w:tcPr>
            <w:tcW w:w="1273" w:type="pct"/>
            <w:gridSpan w:val="2"/>
            <w:vAlign w:val="center"/>
          </w:tcPr>
          <w:p w14:paraId="722A4167" w14:textId="287C4644" w:rsidR="00C47787" w:rsidRPr="005464FA" w:rsidRDefault="00C47787" w:rsidP="005674B1">
            <w:pPr>
              <w:pStyle w:val="TableText0"/>
              <w:keepLines/>
              <w:widowControl w:val="0"/>
              <w:jc w:val="center"/>
            </w:pPr>
            <w:r w:rsidRPr="005464FA">
              <w:t>0.89 (0.67, 1.18)</w:t>
            </w:r>
          </w:p>
        </w:tc>
        <w:tc>
          <w:tcPr>
            <w:tcW w:w="1206" w:type="pct"/>
            <w:gridSpan w:val="2"/>
            <w:vAlign w:val="center"/>
          </w:tcPr>
          <w:p w14:paraId="1DA14C71" w14:textId="670E91F2" w:rsidR="00C47787" w:rsidRPr="005464FA" w:rsidRDefault="00C47787" w:rsidP="005674B1">
            <w:pPr>
              <w:pStyle w:val="TableText0"/>
              <w:keepLines/>
              <w:widowControl w:val="0"/>
              <w:jc w:val="center"/>
            </w:pPr>
            <w:r w:rsidRPr="005464FA">
              <w:t>0.55 (0.33, 0.95)</w:t>
            </w:r>
          </w:p>
        </w:tc>
        <w:tc>
          <w:tcPr>
            <w:tcW w:w="1178" w:type="pct"/>
            <w:gridSpan w:val="2"/>
            <w:vAlign w:val="center"/>
          </w:tcPr>
          <w:p w14:paraId="4FFE50E2" w14:textId="77777777" w:rsidR="00C47787" w:rsidRPr="005464FA" w:rsidRDefault="00C47787" w:rsidP="005674B1">
            <w:pPr>
              <w:pStyle w:val="TableText0"/>
              <w:keepLines/>
              <w:widowControl w:val="0"/>
              <w:jc w:val="center"/>
            </w:pPr>
            <w:r w:rsidRPr="005464FA">
              <w:t>1.05 (0.76, 1.47)</w:t>
            </w:r>
          </w:p>
        </w:tc>
      </w:tr>
      <w:tr w:rsidR="00C47787" w:rsidRPr="005464FA" w14:paraId="179775A5" w14:textId="77777777" w:rsidTr="00C47787">
        <w:tc>
          <w:tcPr>
            <w:tcW w:w="1342" w:type="pct"/>
          </w:tcPr>
          <w:p w14:paraId="0C4BADEB" w14:textId="77777777" w:rsidR="00C47787" w:rsidRPr="005464FA" w:rsidRDefault="00C47787" w:rsidP="005674B1">
            <w:pPr>
              <w:pStyle w:val="TableText0"/>
              <w:keepLines/>
              <w:widowControl w:val="0"/>
            </w:pPr>
            <w:r w:rsidRPr="005464FA">
              <w:t>p</w:t>
            </w:r>
            <w:r w:rsidRPr="005464FA">
              <w:noBreakHyphen/>
              <w:t>value (2</w:t>
            </w:r>
            <w:r w:rsidRPr="005464FA">
              <w:noBreakHyphen/>
              <w:t>sided)</w:t>
            </w:r>
          </w:p>
        </w:tc>
        <w:tc>
          <w:tcPr>
            <w:tcW w:w="1273" w:type="pct"/>
            <w:gridSpan w:val="2"/>
            <w:vAlign w:val="center"/>
          </w:tcPr>
          <w:p w14:paraId="01ED98B4" w14:textId="37B0E999" w:rsidR="00C47787" w:rsidRPr="005464FA" w:rsidRDefault="00C47787" w:rsidP="005674B1">
            <w:pPr>
              <w:pStyle w:val="TableText0"/>
              <w:keepLines/>
              <w:widowControl w:val="0"/>
              <w:jc w:val="center"/>
            </w:pPr>
            <w:r w:rsidRPr="005464FA">
              <w:t>0.4167</w:t>
            </w:r>
          </w:p>
        </w:tc>
        <w:tc>
          <w:tcPr>
            <w:tcW w:w="1206" w:type="pct"/>
            <w:gridSpan w:val="2"/>
            <w:vAlign w:val="center"/>
          </w:tcPr>
          <w:p w14:paraId="4E5BC951" w14:textId="22251045" w:rsidR="00C47787" w:rsidRPr="005464FA" w:rsidRDefault="00C47787" w:rsidP="005674B1">
            <w:pPr>
              <w:pStyle w:val="TableText0"/>
              <w:keepLines/>
              <w:widowControl w:val="0"/>
              <w:jc w:val="center"/>
            </w:pPr>
            <w:r w:rsidRPr="005464FA">
              <w:t>NR</w:t>
            </w:r>
          </w:p>
        </w:tc>
        <w:tc>
          <w:tcPr>
            <w:tcW w:w="1178" w:type="pct"/>
            <w:gridSpan w:val="2"/>
            <w:vAlign w:val="center"/>
          </w:tcPr>
          <w:p w14:paraId="32470410" w14:textId="77777777" w:rsidR="00C47787" w:rsidRPr="005464FA" w:rsidRDefault="00C47787" w:rsidP="005674B1">
            <w:pPr>
              <w:pStyle w:val="TableText0"/>
              <w:keepLines/>
              <w:widowControl w:val="0"/>
              <w:jc w:val="center"/>
            </w:pPr>
            <w:r w:rsidRPr="005464FA">
              <w:t>NR</w:t>
            </w:r>
          </w:p>
        </w:tc>
      </w:tr>
      <w:tr w:rsidR="00C47787" w:rsidRPr="005464FA" w14:paraId="041CFCC0" w14:textId="77777777" w:rsidTr="00C47787">
        <w:tc>
          <w:tcPr>
            <w:tcW w:w="1342" w:type="pct"/>
          </w:tcPr>
          <w:p w14:paraId="2888EBCC" w14:textId="77777777" w:rsidR="00007E01" w:rsidRPr="005464FA" w:rsidRDefault="00007E01" w:rsidP="005674B1">
            <w:pPr>
              <w:pStyle w:val="TableText0"/>
              <w:keepLines/>
              <w:widowControl w:val="0"/>
            </w:pPr>
            <w:r w:rsidRPr="005464FA">
              <w:t>Survival at 6 months, %</w:t>
            </w:r>
          </w:p>
        </w:tc>
        <w:tc>
          <w:tcPr>
            <w:tcW w:w="608" w:type="pct"/>
            <w:vAlign w:val="center"/>
          </w:tcPr>
          <w:p w14:paraId="323CF1CD" w14:textId="4EA878A0" w:rsidR="00007E01" w:rsidRPr="005464FA" w:rsidRDefault="00007E01" w:rsidP="005674B1">
            <w:pPr>
              <w:pStyle w:val="TableText0"/>
              <w:keepLines/>
              <w:widowControl w:val="0"/>
              <w:jc w:val="center"/>
            </w:pPr>
            <w:r w:rsidRPr="005464FA">
              <w:t>93.1</w:t>
            </w:r>
          </w:p>
        </w:tc>
        <w:tc>
          <w:tcPr>
            <w:tcW w:w="665" w:type="pct"/>
            <w:vAlign w:val="center"/>
          </w:tcPr>
          <w:p w14:paraId="6715125E" w14:textId="30287DCC" w:rsidR="00007E01" w:rsidRPr="005464FA" w:rsidRDefault="00007E01" w:rsidP="005674B1">
            <w:pPr>
              <w:pStyle w:val="TableText0"/>
              <w:keepLines/>
              <w:widowControl w:val="0"/>
              <w:jc w:val="center"/>
            </w:pPr>
            <w:r w:rsidRPr="005464FA">
              <w:t>85.8</w:t>
            </w:r>
          </w:p>
        </w:tc>
        <w:tc>
          <w:tcPr>
            <w:tcW w:w="542" w:type="pct"/>
            <w:vAlign w:val="center"/>
          </w:tcPr>
          <w:p w14:paraId="27CAB512" w14:textId="7A7591B3" w:rsidR="00007E01" w:rsidRPr="005464FA" w:rsidRDefault="00007E01" w:rsidP="005674B1">
            <w:pPr>
              <w:pStyle w:val="TableText0"/>
              <w:keepLines/>
              <w:widowControl w:val="0"/>
              <w:jc w:val="center"/>
            </w:pPr>
            <w:r w:rsidRPr="005464FA">
              <w:t>93.2</w:t>
            </w:r>
          </w:p>
        </w:tc>
        <w:tc>
          <w:tcPr>
            <w:tcW w:w="664" w:type="pct"/>
            <w:vAlign w:val="center"/>
          </w:tcPr>
          <w:p w14:paraId="269143B7" w14:textId="77777777" w:rsidR="00007E01" w:rsidRPr="005464FA" w:rsidRDefault="00007E01" w:rsidP="005674B1">
            <w:pPr>
              <w:pStyle w:val="TableText0"/>
              <w:keepLines/>
              <w:widowControl w:val="0"/>
              <w:jc w:val="center"/>
            </w:pPr>
            <w:r w:rsidRPr="005464FA">
              <w:t>88.5</w:t>
            </w:r>
          </w:p>
        </w:tc>
        <w:tc>
          <w:tcPr>
            <w:tcW w:w="514" w:type="pct"/>
            <w:vAlign w:val="center"/>
          </w:tcPr>
          <w:p w14:paraId="2DDF8498" w14:textId="77777777" w:rsidR="00007E01" w:rsidRPr="005464FA" w:rsidRDefault="00007E01" w:rsidP="005674B1">
            <w:pPr>
              <w:pStyle w:val="TableText0"/>
              <w:keepLines/>
              <w:widowControl w:val="0"/>
              <w:jc w:val="center"/>
            </w:pPr>
            <w:r w:rsidRPr="005464FA">
              <w:t>93.1</w:t>
            </w:r>
          </w:p>
        </w:tc>
        <w:tc>
          <w:tcPr>
            <w:tcW w:w="664" w:type="pct"/>
            <w:vAlign w:val="center"/>
          </w:tcPr>
          <w:p w14:paraId="72EE8F23" w14:textId="77777777" w:rsidR="00007E01" w:rsidRPr="005464FA" w:rsidRDefault="00007E01" w:rsidP="005674B1">
            <w:pPr>
              <w:pStyle w:val="TableText0"/>
              <w:keepLines/>
              <w:widowControl w:val="0"/>
              <w:jc w:val="center"/>
            </w:pPr>
            <w:r w:rsidRPr="005464FA">
              <w:t>84.9</w:t>
            </w:r>
          </w:p>
        </w:tc>
      </w:tr>
      <w:tr w:rsidR="00C47787" w:rsidRPr="005464FA" w14:paraId="6FE5E9D1" w14:textId="77777777" w:rsidTr="00C47787">
        <w:tc>
          <w:tcPr>
            <w:tcW w:w="1342" w:type="pct"/>
          </w:tcPr>
          <w:p w14:paraId="6718FCAF" w14:textId="77777777" w:rsidR="00007E01" w:rsidRPr="005464FA" w:rsidRDefault="00007E01" w:rsidP="005674B1">
            <w:pPr>
              <w:pStyle w:val="TableText0"/>
              <w:keepLines/>
              <w:widowControl w:val="0"/>
            </w:pPr>
            <w:r w:rsidRPr="005464FA">
              <w:t>Survival at 12 months, %</w:t>
            </w:r>
          </w:p>
        </w:tc>
        <w:tc>
          <w:tcPr>
            <w:tcW w:w="608" w:type="pct"/>
            <w:vAlign w:val="center"/>
          </w:tcPr>
          <w:p w14:paraId="6034F614" w14:textId="1C6ED5A0" w:rsidR="00007E01" w:rsidRPr="005464FA" w:rsidRDefault="00007E01" w:rsidP="005674B1">
            <w:pPr>
              <w:pStyle w:val="TableText0"/>
              <w:keepLines/>
              <w:widowControl w:val="0"/>
              <w:jc w:val="center"/>
            </w:pPr>
            <w:r w:rsidRPr="005464FA">
              <w:t>72.7</w:t>
            </w:r>
          </w:p>
        </w:tc>
        <w:tc>
          <w:tcPr>
            <w:tcW w:w="665" w:type="pct"/>
            <w:vAlign w:val="center"/>
          </w:tcPr>
          <w:p w14:paraId="6AD1438A" w14:textId="63061EC9" w:rsidR="00007E01" w:rsidRPr="005464FA" w:rsidRDefault="00007E01" w:rsidP="005674B1">
            <w:pPr>
              <w:pStyle w:val="TableText0"/>
              <w:keepLines/>
              <w:widowControl w:val="0"/>
              <w:jc w:val="center"/>
            </w:pPr>
            <w:r w:rsidRPr="005464FA">
              <w:t>69.2</w:t>
            </w:r>
          </w:p>
        </w:tc>
        <w:tc>
          <w:tcPr>
            <w:tcW w:w="542" w:type="pct"/>
            <w:vAlign w:val="center"/>
          </w:tcPr>
          <w:p w14:paraId="44A2A27C" w14:textId="0107D976" w:rsidR="00007E01" w:rsidRPr="005464FA" w:rsidRDefault="00007E01" w:rsidP="005674B1">
            <w:pPr>
              <w:pStyle w:val="TableText0"/>
              <w:keepLines/>
              <w:widowControl w:val="0"/>
              <w:jc w:val="center"/>
            </w:pPr>
            <w:r w:rsidRPr="005464FA">
              <w:t>76.0</w:t>
            </w:r>
          </w:p>
        </w:tc>
        <w:tc>
          <w:tcPr>
            <w:tcW w:w="664" w:type="pct"/>
            <w:vAlign w:val="center"/>
          </w:tcPr>
          <w:p w14:paraId="2E4051E1" w14:textId="77777777" w:rsidR="00007E01" w:rsidRPr="005464FA" w:rsidRDefault="00007E01" w:rsidP="005674B1">
            <w:pPr>
              <w:pStyle w:val="TableText0"/>
              <w:keepLines/>
              <w:widowControl w:val="0"/>
              <w:jc w:val="center"/>
            </w:pPr>
            <w:r w:rsidRPr="005464FA">
              <w:t>65.4</w:t>
            </w:r>
          </w:p>
        </w:tc>
        <w:tc>
          <w:tcPr>
            <w:tcW w:w="514" w:type="pct"/>
            <w:vAlign w:val="center"/>
          </w:tcPr>
          <w:p w14:paraId="7491EE9D" w14:textId="77777777" w:rsidR="00007E01" w:rsidRPr="005464FA" w:rsidRDefault="00007E01" w:rsidP="005674B1">
            <w:pPr>
              <w:pStyle w:val="TableText0"/>
              <w:keepLines/>
              <w:widowControl w:val="0"/>
              <w:jc w:val="center"/>
            </w:pPr>
            <w:r w:rsidRPr="005464FA">
              <w:t>71.4</w:t>
            </w:r>
          </w:p>
        </w:tc>
        <w:tc>
          <w:tcPr>
            <w:tcW w:w="664" w:type="pct"/>
            <w:vAlign w:val="center"/>
          </w:tcPr>
          <w:p w14:paraId="1D7C00FC" w14:textId="77777777" w:rsidR="00007E01" w:rsidRPr="005464FA" w:rsidRDefault="00007E01" w:rsidP="005674B1">
            <w:pPr>
              <w:pStyle w:val="TableText0"/>
              <w:keepLines/>
              <w:widowControl w:val="0"/>
              <w:jc w:val="center"/>
            </w:pPr>
            <w:r w:rsidRPr="005464FA">
              <w:t>70.8</w:t>
            </w:r>
          </w:p>
        </w:tc>
      </w:tr>
      <w:tr w:rsidR="00C47787" w:rsidRPr="005464FA" w14:paraId="6341DF09" w14:textId="77777777" w:rsidTr="00C47787">
        <w:tc>
          <w:tcPr>
            <w:tcW w:w="1342" w:type="pct"/>
          </w:tcPr>
          <w:p w14:paraId="6247F926" w14:textId="77777777" w:rsidR="00007E01" w:rsidRPr="005464FA" w:rsidRDefault="00007E01" w:rsidP="005674B1">
            <w:pPr>
              <w:pStyle w:val="TableText0"/>
              <w:keepLines/>
              <w:widowControl w:val="0"/>
            </w:pPr>
            <w:r w:rsidRPr="005464FA">
              <w:t>Survival at 18 months, %</w:t>
            </w:r>
          </w:p>
        </w:tc>
        <w:tc>
          <w:tcPr>
            <w:tcW w:w="608" w:type="pct"/>
            <w:vAlign w:val="center"/>
          </w:tcPr>
          <w:p w14:paraId="4F9569EC" w14:textId="7CD7DFAE" w:rsidR="00007E01" w:rsidRPr="005464FA" w:rsidRDefault="00007E01" w:rsidP="005674B1">
            <w:pPr>
              <w:pStyle w:val="TableText0"/>
              <w:keepLines/>
              <w:widowControl w:val="0"/>
              <w:jc w:val="center"/>
            </w:pPr>
            <w:r w:rsidRPr="005464FA">
              <w:t>54.1</w:t>
            </w:r>
          </w:p>
        </w:tc>
        <w:tc>
          <w:tcPr>
            <w:tcW w:w="665" w:type="pct"/>
            <w:vAlign w:val="center"/>
          </w:tcPr>
          <w:p w14:paraId="320D68DD" w14:textId="00AD0E2D" w:rsidR="00007E01" w:rsidRPr="005464FA" w:rsidRDefault="00007E01" w:rsidP="005674B1">
            <w:pPr>
              <w:pStyle w:val="TableText0"/>
              <w:keepLines/>
              <w:widowControl w:val="0"/>
              <w:jc w:val="center"/>
            </w:pPr>
            <w:r w:rsidRPr="005464FA">
              <w:t>48.0</w:t>
            </w:r>
          </w:p>
        </w:tc>
        <w:tc>
          <w:tcPr>
            <w:tcW w:w="542" w:type="pct"/>
            <w:vAlign w:val="center"/>
          </w:tcPr>
          <w:p w14:paraId="7E2E1B2A" w14:textId="77F16971" w:rsidR="00007E01" w:rsidRPr="005464FA" w:rsidRDefault="00007E01" w:rsidP="005674B1">
            <w:pPr>
              <w:pStyle w:val="TableText0"/>
              <w:keepLines/>
              <w:widowControl w:val="0"/>
              <w:jc w:val="center"/>
            </w:pPr>
            <w:r w:rsidRPr="005464FA">
              <w:t>62.1</w:t>
            </w:r>
          </w:p>
        </w:tc>
        <w:tc>
          <w:tcPr>
            <w:tcW w:w="664" w:type="pct"/>
            <w:vAlign w:val="center"/>
          </w:tcPr>
          <w:p w14:paraId="49D51DD5" w14:textId="77777777" w:rsidR="00007E01" w:rsidRPr="005464FA" w:rsidRDefault="00007E01" w:rsidP="005674B1">
            <w:pPr>
              <w:pStyle w:val="TableText0"/>
              <w:keepLines/>
              <w:widowControl w:val="0"/>
              <w:jc w:val="center"/>
            </w:pPr>
            <w:r w:rsidRPr="005464FA">
              <w:t>46.2</w:t>
            </w:r>
          </w:p>
        </w:tc>
        <w:tc>
          <w:tcPr>
            <w:tcW w:w="514" w:type="pct"/>
            <w:vAlign w:val="center"/>
          </w:tcPr>
          <w:p w14:paraId="0FE64CB9" w14:textId="77777777" w:rsidR="00007E01" w:rsidRPr="005464FA" w:rsidRDefault="00007E01" w:rsidP="005674B1">
            <w:pPr>
              <w:pStyle w:val="TableText0"/>
              <w:keepLines/>
              <w:widowControl w:val="0"/>
              <w:jc w:val="center"/>
            </w:pPr>
            <w:r w:rsidRPr="005464FA">
              <w:t>50.8</w:t>
            </w:r>
          </w:p>
        </w:tc>
        <w:tc>
          <w:tcPr>
            <w:tcW w:w="664" w:type="pct"/>
            <w:vAlign w:val="center"/>
          </w:tcPr>
          <w:p w14:paraId="111A0E9B" w14:textId="77777777" w:rsidR="00007E01" w:rsidRPr="005464FA" w:rsidRDefault="00007E01" w:rsidP="005674B1">
            <w:pPr>
              <w:pStyle w:val="TableText0"/>
              <w:keepLines/>
              <w:widowControl w:val="0"/>
              <w:jc w:val="center"/>
            </w:pPr>
            <w:r w:rsidRPr="005464FA">
              <w:t>48.8</w:t>
            </w:r>
          </w:p>
        </w:tc>
      </w:tr>
      <w:tr w:rsidR="00C47787" w:rsidRPr="005464FA" w14:paraId="04B96431" w14:textId="77777777" w:rsidTr="00C47787">
        <w:tc>
          <w:tcPr>
            <w:tcW w:w="1342" w:type="pct"/>
          </w:tcPr>
          <w:p w14:paraId="711644B8" w14:textId="77777777" w:rsidR="00007E01" w:rsidRPr="005464FA" w:rsidRDefault="00007E01" w:rsidP="005674B1">
            <w:pPr>
              <w:pStyle w:val="TableText0"/>
              <w:keepLines/>
              <w:widowControl w:val="0"/>
            </w:pPr>
            <w:r w:rsidRPr="005464FA">
              <w:t>Survival at 24 months, %</w:t>
            </w:r>
          </w:p>
        </w:tc>
        <w:tc>
          <w:tcPr>
            <w:tcW w:w="608" w:type="pct"/>
            <w:vAlign w:val="center"/>
          </w:tcPr>
          <w:p w14:paraId="1573995D" w14:textId="0A05807C" w:rsidR="00007E01" w:rsidRPr="005464FA" w:rsidRDefault="00007E01" w:rsidP="005674B1">
            <w:pPr>
              <w:pStyle w:val="TableText0"/>
              <w:keepLines/>
              <w:widowControl w:val="0"/>
              <w:jc w:val="center"/>
            </w:pPr>
            <w:r w:rsidRPr="005464FA">
              <w:t>39.0</w:t>
            </w:r>
          </w:p>
        </w:tc>
        <w:tc>
          <w:tcPr>
            <w:tcW w:w="665" w:type="pct"/>
            <w:vAlign w:val="center"/>
          </w:tcPr>
          <w:p w14:paraId="0ECF43BA" w14:textId="101EC801" w:rsidR="00007E01" w:rsidRPr="005464FA" w:rsidRDefault="00007E01" w:rsidP="005674B1">
            <w:pPr>
              <w:pStyle w:val="TableText0"/>
              <w:keepLines/>
              <w:widowControl w:val="0"/>
              <w:jc w:val="center"/>
            </w:pPr>
            <w:r w:rsidRPr="005464FA">
              <w:t>39.1</w:t>
            </w:r>
          </w:p>
        </w:tc>
        <w:tc>
          <w:tcPr>
            <w:tcW w:w="542" w:type="pct"/>
            <w:vAlign w:val="center"/>
          </w:tcPr>
          <w:p w14:paraId="7E57289F" w14:textId="240F486F" w:rsidR="00007E01" w:rsidRPr="005464FA" w:rsidRDefault="00007E01" w:rsidP="005674B1">
            <w:pPr>
              <w:pStyle w:val="TableText0"/>
              <w:keepLines/>
              <w:widowControl w:val="0"/>
              <w:jc w:val="center"/>
            </w:pPr>
            <w:r w:rsidRPr="005464FA">
              <w:t>48.1</w:t>
            </w:r>
          </w:p>
        </w:tc>
        <w:tc>
          <w:tcPr>
            <w:tcW w:w="664" w:type="pct"/>
            <w:vAlign w:val="center"/>
          </w:tcPr>
          <w:p w14:paraId="70BE5D9C" w14:textId="77777777" w:rsidR="00007E01" w:rsidRPr="005464FA" w:rsidRDefault="00007E01" w:rsidP="005674B1">
            <w:pPr>
              <w:pStyle w:val="TableText0"/>
              <w:keepLines/>
              <w:widowControl w:val="0"/>
              <w:jc w:val="center"/>
            </w:pPr>
            <w:r w:rsidRPr="005464FA">
              <w:t>26.9</w:t>
            </w:r>
          </w:p>
        </w:tc>
        <w:tc>
          <w:tcPr>
            <w:tcW w:w="514" w:type="pct"/>
            <w:vAlign w:val="center"/>
          </w:tcPr>
          <w:p w14:paraId="521A21A2" w14:textId="77777777" w:rsidR="00007E01" w:rsidRPr="005464FA" w:rsidRDefault="00007E01" w:rsidP="005674B1">
            <w:pPr>
              <w:pStyle w:val="TableText0"/>
              <w:keepLines/>
              <w:widowControl w:val="0"/>
              <w:jc w:val="center"/>
            </w:pPr>
            <w:r w:rsidRPr="005464FA">
              <w:t>35.0</w:t>
            </w:r>
          </w:p>
        </w:tc>
        <w:tc>
          <w:tcPr>
            <w:tcW w:w="664" w:type="pct"/>
            <w:vAlign w:val="center"/>
          </w:tcPr>
          <w:p w14:paraId="4F891659" w14:textId="77777777" w:rsidR="00007E01" w:rsidRPr="005464FA" w:rsidRDefault="00007E01" w:rsidP="005674B1">
            <w:pPr>
              <w:pStyle w:val="TableText0"/>
              <w:keepLines/>
              <w:widowControl w:val="0"/>
              <w:jc w:val="center"/>
            </w:pPr>
            <w:r w:rsidRPr="005464FA">
              <w:t>44.1</w:t>
            </w:r>
          </w:p>
        </w:tc>
      </w:tr>
      <w:tr w:rsidR="00C47787" w:rsidRPr="005464FA" w14:paraId="37E58FD7" w14:textId="77777777" w:rsidTr="00C47787">
        <w:tc>
          <w:tcPr>
            <w:tcW w:w="1342" w:type="pct"/>
          </w:tcPr>
          <w:p w14:paraId="5745510A" w14:textId="77777777" w:rsidR="00007E01" w:rsidRPr="005464FA" w:rsidRDefault="00007E01" w:rsidP="005674B1">
            <w:pPr>
              <w:pStyle w:val="TableText0"/>
              <w:keepLines/>
              <w:widowControl w:val="0"/>
            </w:pPr>
            <w:r w:rsidRPr="005464FA">
              <w:t>Survival at 36 months, %</w:t>
            </w:r>
          </w:p>
        </w:tc>
        <w:tc>
          <w:tcPr>
            <w:tcW w:w="608" w:type="pct"/>
            <w:vAlign w:val="center"/>
          </w:tcPr>
          <w:p w14:paraId="242379C1" w14:textId="07EB7AC3" w:rsidR="00007E01" w:rsidRPr="005464FA" w:rsidRDefault="00007E01" w:rsidP="005674B1">
            <w:pPr>
              <w:pStyle w:val="TableText0"/>
              <w:keepLines/>
              <w:widowControl w:val="0"/>
              <w:jc w:val="center"/>
            </w:pPr>
            <w:r w:rsidRPr="005464FA">
              <w:t>30.8</w:t>
            </w:r>
          </w:p>
        </w:tc>
        <w:tc>
          <w:tcPr>
            <w:tcW w:w="665" w:type="pct"/>
            <w:vAlign w:val="center"/>
          </w:tcPr>
          <w:p w14:paraId="00029BF0" w14:textId="6FD142FF" w:rsidR="00007E01" w:rsidRPr="005464FA" w:rsidRDefault="00007E01" w:rsidP="005674B1">
            <w:pPr>
              <w:pStyle w:val="TableText0"/>
              <w:keepLines/>
              <w:widowControl w:val="0"/>
              <w:jc w:val="center"/>
            </w:pPr>
            <w:r w:rsidRPr="005464FA">
              <w:t>25.6</w:t>
            </w:r>
          </w:p>
        </w:tc>
        <w:tc>
          <w:tcPr>
            <w:tcW w:w="542" w:type="pct"/>
            <w:vAlign w:val="center"/>
          </w:tcPr>
          <w:p w14:paraId="1942D10A" w14:textId="21733DCF" w:rsidR="00007E01" w:rsidRPr="005464FA" w:rsidRDefault="00007E01" w:rsidP="005674B1">
            <w:pPr>
              <w:pStyle w:val="TableText0"/>
              <w:keepLines/>
              <w:widowControl w:val="0"/>
              <w:jc w:val="center"/>
            </w:pPr>
            <w:r w:rsidRPr="005464FA">
              <w:t>40.8</w:t>
            </w:r>
          </w:p>
        </w:tc>
        <w:tc>
          <w:tcPr>
            <w:tcW w:w="664" w:type="pct"/>
            <w:vAlign w:val="center"/>
          </w:tcPr>
          <w:p w14:paraId="335A2F65" w14:textId="77777777" w:rsidR="00007E01" w:rsidRPr="005464FA" w:rsidRDefault="00007E01" w:rsidP="005674B1">
            <w:pPr>
              <w:pStyle w:val="TableText0"/>
              <w:keepLines/>
              <w:widowControl w:val="0"/>
              <w:jc w:val="center"/>
            </w:pPr>
            <w:r w:rsidRPr="005464FA">
              <w:t>12.8</w:t>
            </w:r>
          </w:p>
        </w:tc>
        <w:tc>
          <w:tcPr>
            <w:tcW w:w="514" w:type="pct"/>
            <w:vAlign w:val="center"/>
          </w:tcPr>
          <w:p w14:paraId="25D90977" w14:textId="77777777" w:rsidR="00007E01" w:rsidRPr="005464FA" w:rsidRDefault="00007E01" w:rsidP="005674B1">
            <w:pPr>
              <w:pStyle w:val="TableText0"/>
              <w:keepLines/>
              <w:widowControl w:val="0"/>
              <w:jc w:val="center"/>
            </w:pPr>
            <w:r w:rsidRPr="005464FA">
              <w:t>22.4</w:t>
            </w:r>
          </w:p>
        </w:tc>
        <w:tc>
          <w:tcPr>
            <w:tcW w:w="664" w:type="pct"/>
            <w:vAlign w:val="center"/>
          </w:tcPr>
          <w:p w14:paraId="124CD08E" w14:textId="77777777" w:rsidR="00007E01" w:rsidRPr="005464FA" w:rsidRDefault="00007E01" w:rsidP="005674B1">
            <w:pPr>
              <w:pStyle w:val="TableText0"/>
              <w:keepLines/>
              <w:widowControl w:val="0"/>
              <w:jc w:val="center"/>
            </w:pPr>
            <w:r w:rsidRPr="005464FA">
              <w:t>24.7</w:t>
            </w:r>
          </w:p>
        </w:tc>
      </w:tr>
      <w:tr w:rsidR="00C47787" w:rsidRPr="005464FA" w14:paraId="79BB3FA4" w14:textId="77777777" w:rsidTr="00C47787">
        <w:tc>
          <w:tcPr>
            <w:tcW w:w="1342" w:type="pct"/>
          </w:tcPr>
          <w:p w14:paraId="7CCC0A7C" w14:textId="77777777" w:rsidR="00007E01" w:rsidRPr="005464FA" w:rsidRDefault="00007E01" w:rsidP="005674B1">
            <w:pPr>
              <w:pStyle w:val="TableText0"/>
              <w:keepLines/>
              <w:widowControl w:val="0"/>
            </w:pPr>
            <w:r w:rsidRPr="005464FA">
              <w:t>Survival at 48 months, %</w:t>
            </w:r>
          </w:p>
        </w:tc>
        <w:tc>
          <w:tcPr>
            <w:tcW w:w="608" w:type="pct"/>
            <w:vAlign w:val="center"/>
          </w:tcPr>
          <w:p w14:paraId="462C3BB8" w14:textId="4A042304" w:rsidR="00007E01" w:rsidRPr="005464FA" w:rsidRDefault="00007E01" w:rsidP="005674B1">
            <w:pPr>
              <w:pStyle w:val="TableText0"/>
              <w:keepLines/>
              <w:widowControl w:val="0"/>
              <w:jc w:val="center"/>
            </w:pPr>
            <w:r w:rsidRPr="005464FA">
              <w:t>27.9</w:t>
            </w:r>
          </w:p>
        </w:tc>
        <w:tc>
          <w:tcPr>
            <w:tcW w:w="665" w:type="pct"/>
            <w:vAlign w:val="center"/>
          </w:tcPr>
          <w:p w14:paraId="29FBDC49" w14:textId="1BC0219A" w:rsidR="00007E01" w:rsidRPr="005464FA" w:rsidRDefault="00007E01" w:rsidP="005674B1">
            <w:pPr>
              <w:pStyle w:val="TableText0"/>
              <w:keepLines/>
              <w:widowControl w:val="0"/>
              <w:jc w:val="center"/>
            </w:pPr>
            <w:r w:rsidRPr="005464FA">
              <w:t>21.2</w:t>
            </w:r>
          </w:p>
        </w:tc>
        <w:tc>
          <w:tcPr>
            <w:tcW w:w="542" w:type="pct"/>
            <w:vAlign w:val="center"/>
          </w:tcPr>
          <w:p w14:paraId="3ABB4004" w14:textId="536369EE" w:rsidR="00007E01" w:rsidRPr="005464FA" w:rsidRDefault="00007E01" w:rsidP="005674B1">
            <w:pPr>
              <w:pStyle w:val="TableText0"/>
              <w:keepLines/>
              <w:widowControl w:val="0"/>
              <w:jc w:val="center"/>
            </w:pPr>
            <w:r w:rsidRPr="005464FA">
              <w:t>27.8</w:t>
            </w:r>
          </w:p>
        </w:tc>
        <w:tc>
          <w:tcPr>
            <w:tcW w:w="664" w:type="pct"/>
            <w:vAlign w:val="center"/>
          </w:tcPr>
          <w:p w14:paraId="3C93B4CB" w14:textId="77777777" w:rsidR="00007E01" w:rsidRPr="005464FA" w:rsidRDefault="00007E01" w:rsidP="005674B1">
            <w:pPr>
              <w:pStyle w:val="TableText0"/>
              <w:keepLines/>
              <w:widowControl w:val="0"/>
              <w:jc w:val="center"/>
            </w:pPr>
            <w:r w:rsidRPr="005464FA">
              <w:t>12.8</w:t>
            </w:r>
          </w:p>
        </w:tc>
        <w:tc>
          <w:tcPr>
            <w:tcW w:w="514" w:type="pct"/>
            <w:vAlign w:val="center"/>
          </w:tcPr>
          <w:p w14:paraId="098B9356" w14:textId="77777777" w:rsidR="00007E01" w:rsidRPr="005464FA" w:rsidRDefault="00007E01" w:rsidP="005674B1">
            <w:pPr>
              <w:pStyle w:val="TableText0"/>
              <w:keepLines/>
              <w:widowControl w:val="0"/>
              <w:jc w:val="center"/>
            </w:pPr>
            <w:r w:rsidRPr="005464FA">
              <w:t>16.1</w:t>
            </w:r>
          </w:p>
        </w:tc>
        <w:tc>
          <w:tcPr>
            <w:tcW w:w="664" w:type="pct"/>
            <w:vAlign w:val="center"/>
          </w:tcPr>
          <w:p w14:paraId="4A9FF793" w14:textId="77777777" w:rsidR="00007E01" w:rsidRPr="005464FA" w:rsidRDefault="00007E01" w:rsidP="005674B1">
            <w:pPr>
              <w:pStyle w:val="TableText0"/>
              <w:keepLines/>
              <w:widowControl w:val="0"/>
              <w:jc w:val="center"/>
            </w:pPr>
            <w:r w:rsidRPr="005464FA">
              <w:t>15.8</w:t>
            </w:r>
          </w:p>
        </w:tc>
      </w:tr>
      <w:tr w:rsidR="00C47787" w:rsidRPr="005464FA" w14:paraId="3F3450EE" w14:textId="77777777" w:rsidTr="00C47787">
        <w:tc>
          <w:tcPr>
            <w:tcW w:w="1342" w:type="pct"/>
          </w:tcPr>
          <w:p w14:paraId="1F855D88" w14:textId="77777777" w:rsidR="00007E01" w:rsidRPr="005464FA" w:rsidRDefault="00007E01" w:rsidP="005674B1">
            <w:pPr>
              <w:pStyle w:val="TableText0"/>
              <w:keepLines/>
              <w:widowControl w:val="0"/>
            </w:pPr>
            <w:r w:rsidRPr="005464FA">
              <w:t>Survival at 60 months, %</w:t>
            </w:r>
          </w:p>
        </w:tc>
        <w:tc>
          <w:tcPr>
            <w:tcW w:w="608" w:type="pct"/>
            <w:vAlign w:val="center"/>
          </w:tcPr>
          <w:p w14:paraId="02888B68" w14:textId="34D5DFEC" w:rsidR="00007E01" w:rsidRPr="005464FA" w:rsidRDefault="00007E01" w:rsidP="005674B1">
            <w:pPr>
              <w:pStyle w:val="TableText0"/>
              <w:keepLines/>
              <w:widowControl w:val="0"/>
              <w:jc w:val="center"/>
            </w:pPr>
            <w:r w:rsidRPr="005464FA">
              <w:t>23.8</w:t>
            </w:r>
          </w:p>
        </w:tc>
        <w:tc>
          <w:tcPr>
            <w:tcW w:w="665" w:type="pct"/>
            <w:vAlign w:val="center"/>
          </w:tcPr>
          <w:p w14:paraId="4B58BFA4" w14:textId="0BFC2572" w:rsidR="00007E01" w:rsidRPr="005464FA" w:rsidRDefault="00007E01" w:rsidP="005674B1">
            <w:pPr>
              <w:pStyle w:val="TableText0"/>
              <w:keepLines/>
              <w:widowControl w:val="0"/>
              <w:jc w:val="center"/>
            </w:pPr>
            <w:r w:rsidRPr="005464FA">
              <w:t>18.1</w:t>
            </w:r>
          </w:p>
        </w:tc>
        <w:tc>
          <w:tcPr>
            <w:tcW w:w="542" w:type="pct"/>
            <w:vAlign w:val="center"/>
          </w:tcPr>
          <w:p w14:paraId="5A61F3E9" w14:textId="6610678E" w:rsidR="00007E01" w:rsidRPr="005464FA" w:rsidRDefault="00007E01" w:rsidP="005674B1">
            <w:pPr>
              <w:pStyle w:val="TableText0"/>
              <w:keepLines/>
              <w:widowControl w:val="0"/>
              <w:jc w:val="center"/>
            </w:pPr>
            <w:r w:rsidRPr="005464FA">
              <w:t>18.6</w:t>
            </w:r>
          </w:p>
        </w:tc>
        <w:tc>
          <w:tcPr>
            <w:tcW w:w="664" w:type="pct"/>
            <w:vAlign w:val="center"/>
          </w:tcPr>
          <w:p w14:paraId="7AD712C0" w14:textId="77777777" w:rsidR="00007E01" w:rsidRPr="005464FA" w:rsidRDefault="00007E01" w:rsidP="005674B1">
            <w:pPr>
              <w:pStyle w:val="TableText0"/>
              <w:keepLines/>
              <w:widowControl w:val="0"/>
              <w:jc w:val="center"/>
            </w:pPr>
            <w:r w:rsidRPr="005464FA">
              <w:t>NC</w:t>
            </w:r>
          </w:p>
        </w:tc>
        <w:tc>
          <w:tcPr>
            <w:tcW w:w="514" w:type="pct"/>
            <w:vAlign w:val="center"/>
          </w:tcPr>
          <w:p w14:paraId="27F7392D" w14:textId="77777777" w:rsidR="00007E01" w:rsidRPr="005464FA" w:rsidRDefault="00007E01" w:rsidP="005674B1">
            <w:pPr>
              <w:pStyle w:val="TableText0"/>
              <w:keepLines/>
              <w:widowControl w:val="0"/>
              <w:jc w:val="center"/>
            </w:pPr>
            <w:r w:rsidRPr="005464FA">
              <w:t>12.3</w:t>
            </w:r>
          </w:p>
        </w:tc>
        <w:tc>
          <w:tcPr>
            <w:tcW w:w="664" w:type="pct"/>
            <w:vAlign w:val="center"/>
          </w:tcPr>
          <w:p w14:paraId="52593CB4" w14:textId="77777777" w:rsidR="00007E01" w:rsidRPr="005464FA" w:rsidRDefault="00007E01" w:rsidP="005674B1">
            <w:pPr>
              <w:pStyle w:val="TableText0"/>
              <w:keepLines/>
              <w:widowControl w:val="0"/>
              <w:jc w:val="center"/>
            </w:pPr>
            <w:r w:rsidRPr="005464FA">
              <w:t>15.8</w:t>
            </w:r>
          </w:p>
        </w:tc>
      </w:tr>
      <w:tr w:rsidR="00C47787" w:rsidRPr="005464FA" w14:paraId="5D881361" w14:textId="77777777" w:rsidTr="00C47787">
        <w:tc>
          <w:tcPr>
            <w:tcW w:w="1342" w:type="pct"/>
          </w:tcPr>
          <w:p w14:paraId="55118DB5" w14:textId="77777777" w:rsidR="00007E01" w:rsidRPr="005464FA" w:rsidRDefault="00007E01" w:rsidP="005674B1">
            <w:pPr>
              <w:pStyle w:val="TableText0"/>
              <w:keepLines/>
              <w:widowControl w:val="0"/>
            </w:pPr>
            <w:r w:rsidRPr="005464FA">
              <w:t>Median follow-up for OS in all patients, months</w:t>
            </w:r>
          </w:p>
        </w:tc>
        <w:tc>
          <w:tcPr>
            <w:tcW w:w="608" w:type="pct"/>
            <w:vAlign w:val="center"/>
          </w:tcPr>
          <w:p w14:paraId="33FF0846" w14:textId="63354F8B" w:rsidR="00007E01" w:rsidRPr="005464FA" w:rsidRDefault="00007E01" w:rsidP="005674B1">
            <w:pPr>
              <w:pStyle w:val="TableText0"/>
              <w:keepLines/>
              <w:widowControl w:val="0"/>
              <w:jc w:val="center"/>
            </w:pPr>
            <w:r w:rsidRPr="005464FA">
              <w:t>19.6</w:t>
            </w:r>
          </w:p>
        </w:tc>
        <w:tc>
          <w:tcPr>
            <w:tcW w:w="665" w:type="pct"/>
            <w:vAlign w:val="center"/>
          </w:tcPr>
          <w:p w14:paraId="59ED25DE" w14:textId="0F396C21" w:rsidR="00007E01" w:rsidRPr="005464FA" w:rsidRDefault="00007E01" w:rsidP="005674B1">
            <w:pPr>
              <w:pStyle w:val="TableText0"/>
              <w:keepLines/>
              <w:widowControl w:val="0"/>
              <w:jc w:val="center"/>
            </w:pPr>
            <w:r w:rsidRPr="005464FA">
              <w:t>14.8</w:t>
            </w:r>
          </w:p>
        </w:tc>
        <w:tc>
          <w:tcPr>
            <w:tcW w:w="542" w:type="pct"/>
            <w:vAlign w:val="center"/>
          </w:tcPr>
          <w:p w14:paraId="1D762B07" w14:textId="202F7971" w:rsidR="00007E01" w:rsidRPr="005464FA" w:rsidRDefault="00007E01" w:rsidP="005674B1">
            <w:pPr>
              <w:pStyle w:val="TableText0"/>
              <w:keepLines/>
              <w:widowControl w:val="0"/>
              <w:jc w:val="center"/>
            </w:pPr>
            <w:r w:rsidRPr="005464FA">
              <w:t>22.05</w:t>
            </w:r>
          </w:p>
        </w:tc>
        <w:tc>
          <w:tcPr>
            <w:tcW w:w="664" w:type="pct"/>
            <w:vAlign w:val="center"/>
          </w:tcPr>
          <w:p w14:paraId="595D6FF4" w14:textId="77777777" w:rsidR="00007E01" w:rsidRPr="005464FA" w:rsidRDefault="00007E01" w:rsidP="005674B1">
            <w:pPr>
              <w:pStyle w:val="TableText0"/>
              <w:keepLines/>
              <w:widowControl w:val="0"/>
              <w:jc w:val="center"/>
            </w:pPr>
            <w:r w:rsidRPr="005464FA">
              <w:t>14.14</w:t>
            </w:r>
          </w:p>
        </w:tc>
        <w:tc>
          <w:tcPr>
            <w:tcW w:w="514" w:type="pct"/>
            <w:vAlign w:val="center"/>
          </w:tcPr>
          <w:p w14:paraId="709CB742" w14:textId="77777777" w:rsidR="00007E01" w:rsidRPr="005464FA" w:rsidRDefault="00007E01" w:rsidP="005674B1">
            <w:pPr>
              <w:pStyle w:val="TableText0"/>
              <w:keepLines/>
              <w:widowControl w:val="0"/>
              <w:jc w:val="center"/>
            </w:pPr>
            <w:r w:rsidRPr="005464FA">
              <w:t>17.40</w:t>
            </w:r>
          </w:p>
        </w:tc>
        <w:tc>
          <w:tcPr>
            <w:tcW w:w="664" w:type="pct"/>
            <w:vAlign w:val="center"/>
          </w:tcPr>
          <w:p w14:paraId="472F5417" w14:textId="77777777" w:rsidR="00007E01" w:rsidRPr="005464FA" w:rsidRDefault="00007E01" w:rsidP="005674B1">
            <w:pPr>
              <w:pStyle w:val="TableText0"/>
              <w:keepLines/>
              <w:widowControl w:val="0"/>
              <w:jc w:val="center"/>
            </w:pPr>
            <w:r w:rsidRPr="005464FA">
              <w:t>16.76</w:t>
            </w:r>
          </w:p>
        </w:tc>
      </w:tr>
      <w:tr w:rsidR="00C47787" w:rsidRPr="005464FA" w14:paraId="5088750D" w14:textId="77777777" w:rsidTr="00C47787">
        <w:tc>
          <w:tcPr>
            <w:tcW w:w="1342" w:type="pct"/>
          </w:tcPr>
          <w:p w14:paraId="485C52D8" w14:textId="77777777" w:rsidR="00007E01" w:rsidRPr="005464FA" w:rsidRDefault="00007E01" w:rsidP="005674B1">
            <w:pPr>
              <w:pStyle w:val="TableText0"/>
              <w:keepLines/>
              <w:widowControl w:val="0"/>
            </w:pPr>
            <w:r w:rsidRPr="005464FA">
              <w:t>Median follow-up for OS in censored patients, months</w:t>
            </w:r>
          </w:p>
        </w:tc>
        <w:tc>
          <w:tcPr>
            <w:tcW w:w="608" w:type="pct"/>
            <w:vAlign w:val="center"/>
          </w:tcPr>
          <w:p w14:paraId="1F0DF21E" w14:textId="28F5DF4B" w:rsidR="00007E01" w:rsidRPr="005464FA" w:rsidRDefault="00007E01" w:rsidP="005674B1">
            <w:pPr>
              <w:pStyle w:val="TableText0"/>
              <w:keepLines/>
              <w:widowControl w:val="0"/>
              <w:jc w:val="center"/>
            </w:pPr>
            <w:r w:rsidRPr="005464FA">
              <w:t>16.9</w:t>
            </w:r>
          </w:p>
        </w:tc>
        <w:tc>
          <w:tcPr>
            <w:tcW w:w="665" w:type="pct"/>
            <w:vAlign w:val="center"/>
          </w:tcPr>
          <w:p w14:paraId="750E2B35" w14:textId="7B8407A6" w:rsidR="00007E01" w:rsidRPr="005464FA" w:rsidRDefault="00007E01" w:rsidP="005674B1">
            <w:pPr>
              <w:pStyle w:val="TableText0"/>
              <w:keepLines/>
              <w:widowControl w:val="0"/>
              <w:jc w:val="center"/>
            </w:pPr>
            <w:r w:rsidRPr="005464FA">
              <w:t>14.8</w:t>
            </w:r>
          </w:p>
        </w:tc>
        <w:tc>
          <w:tcPr>
            <w:tcW w:w="542" w:type="pct"/>
            <w:vAlign w:val="center"/>
          </w:tcPr>
          <w:p w14:paraId="18E303CF" w14:textId="7848F123" w:rsidR="00007E01" w:rsidRPr="005464FA" w:rsidRDefault="00007E01" w:rsidP="005674B1">
            <w:pPr>
              <w:pStyle w:val="TableText0"/>
              <w:keepLines/>
              <w:widowControl w:val="0"/>
              <w:jc w:val="center"/>
            </w:pPr>
            <w:r w:rsidRPr="005464FA">
              <w:t>49.81</w:t>
            </w:r>
          </w:p>
        </w:tc>
        <w:tc>
          <w:tcPr>
            <w:tcW w:w="664" w:type="pct"/>
            <w:vAlign w:val="center"/>
          </w:tcPr>
          <w:p w14:paraId="5815DFC9" w14:textId="77777777" w:rsidR="00007E01" w:rsidRPr="005464FA" w:rsidRDefault="00007E01" w:rsidP="005674B1">
            <w:pPr>
              <w:pStyle w:val="TableText0"/>
              <w:keepLines/>
              <w:widowControl w:val="0"/>
              <w:jc w:val="center"/>
            </w:pPr>
            <w:r w:rsidRPr="005464FA">
              <w:t>28.11</w:t>
            </w:r>
          </w:p>
        </w:tc>
        <w:tc>
          <w:tcPr>
            <w:tcW w:w="514" w:type="pct"/>
            <w:vAlign w:val="center"/>
          </w:tcPr>
          <w:p w14:paraId="5A36F5B7" w14:textId="77777777" w:rsidR="00007E01" w:rsidRPr="005464FA" w:rsidRDefault="00007E01" w:rsidP="005674B1">
            <w:pPr>
              <w:pStyle w:val="TableText0"/>
              <w:keepLines/>
              <w:widowControl w:val="0"/>
              <w:jc w:val="center"/>
            </w:pPr>
            <w:r w:rsidRPr="005464FA">
              <w:t>48.00</w:t>
            </w:r>
          </w:p>
        </w:tc>
        <w:tc>
          <w:tcPr>
            <w:tcW w:w="664" w:type="pct"/>
            <w:vAlign w:val="center"/>
          </w:tcPr>
          <w:p w14:paraId="097D4334" w14:textId="77777777" w:rsidR="00007E01" w:rsidRPr="005464FA" w:rsidRDefault="00007E01" w:rsidP="005674B1">
            <w:pPr>
              <w:pStyle w:val="TableText0"/>
              <w:keepLines/>
              <w:widowControl w:val="0"/>
              <w:jc w:val="center"/>
            </w:pPr>
            <w:r w:rsidRPr="005464FA">
              <w:t>31.72</w:t>
            </w:r>
          </w:p>
        </w:tc>
      </w:tr>
    </w:tbl>
    <w:p w14:paraId="1DFF415A" w14:textId="681189C7" w:rsidR="00B071F0" w:rsidRPr="005464FA" w:rsidRDefault="00B071F0" w:rsidP="005674B1">
      <w:pPr>
        <w:pStyle w:val="FooterTableFigure"/>
        <w:keepNext/>
        <w:keepLines/>
        <w:widowControl w:val="0"/>
      </w:pPr>
      <w:r w:rsidRPr="005464FA">
        <w:t xml:space="preserve">Source: Table 2.20, p74 and Table 2.31, p90 of the submission. </w:t>
      </w:r>
    </w:p>
    <w:p w14:paraId="647AD410" w14:textId="77777777" w:rsidR="00B071F0" w:rsidRPr="005464FA" w:rsidRDefault="00B071F0" w:rsidP="005674B1">
      <w:pPr>
        <w:pStyle w:val="FooterTableFigure"/>
        <w:keepNext/>
        <w:keepLines/>
        <w:widowControl w:val="0"/>
      </w:pPr>
      <w:r w:rsidRPr="005464FA">
        <w:t>CI = confidence interval; DCO = data cut-off; HR = hazard ratio; NC = not calculable; NR = not reported; OS = overall survival</w:t>
      </w:r>
    </w:p>
    <w:p w14:paraId="572656C2" w14:textId="77777777" w:rsidR="00B071F0" w:rsidRPr="005464FA" w:rsidRDefault="00B071F0" w:rsidP="005674B1">
      <w:pPr>
        <w:pStyle w:val="FooterTableFigure"/>
        <w:keepNext/>
        <w:keepLines/>
        <w:widowControl w:val="0"/>
      </w:pPr>
      <w:r w:rsidRPr="005464FA">
        <w:t>a Overall survival is defined as the time from the date of randomisation until death due to any cause. Patients not known to have died at the time of analysis are censored at the last recorded date on which the patient was known to be alive.</w:t>
      </w:r>
    </w:p>
    <w:p w14:paraId="451FDBDD" w14:textId="2EBB18B3" w:rsidR="00B071F0" w:rsidRPr="005464FA" w:rsidRDefault="00B071F0" w:rsidP="005F522F">
      <w:pPr>
        <w:pStyle w:val="FooterTableFigure"/>
        <w:widowControl w:val="0"/>
      </w:pPr>
      <w:r w:rsidRPr="005464FA">
        <w:t>b Calculated using the Kaplan-Meier technique.</w:t>
      </w:r>
    </w:p>
    <w:p w14:paraId="2A5E5274" w14:textId="4D13262F" w:rsidR="00974467" w:rsidRPr="005464FA" w:rsidRDefault="00B071F0" w:rsidP="00577105">
      <w:pPr>
        <w:pStyle w:val="3-BodyText"/>
        <w:rPr>
          <w:color w:val="0066FF"/>
        </w:rPr>
      </w:pPr>
      <w:bookmarkStart w:id="50" w:name="_Ref172624532"/>
      <w:r w:rsidRPr="005464FA">
        <w:t xml:space="preserve">The submission </w:t>
      </w:r>
      <w:r w:rsidR="00531D7B" w:rsidRPr="005464FA">
        <w:t xml:space="preserve">argued </w:t>
      </w:r>
      <w:r w:rsidRPr="005464FA">
        <w:t xml:space="preserve">that the OS </w:t>
      </w:r>
      <w:r w:rsidR="00531D7B" w:rsidRPr="005464FA">
        <w:t xml:space="preserve">in the </w:t>
      </w:r>
      <w:r w:rsidRPr="005464FA">
        <w:t xml:space="preserve">whole trial comparison may have been confounded by an imbalance between treatment arms in the use of subsequent therapies following progression. Specifically, more patients in the chemotherapy arm received PARP inhibitors, platinum-based therapy, and cytotoxic chemotherapy after disease progression on the assigned treatment, compared to the olaparib arm. Subsequent PARP inhibitor use post-discontinuation was reported for 8 (8.2%) patients in the chemotherapy arm and 2 (1.0%) patients in the olaparib arm in the final OS analysis. </w:t>
      </w:r>
      <w:bookmarkStart w:id="51" w:name="_Ref164723425"/>
      <w:r w:rsidR="00531D7B" w:rsidRPr="005464FA">
        <w:t>T</w:t>
      </w:r>
      <w:r w:rsidRPr="005464FA">
        <w:t xml:space="preserve">he </w:t>
      </w:r>
      <w:r w:rsidR="006B2736" w:rsidRPr="005464FA">
        <w:t xml:space="preserve">commentary noted the </w:t>
      </w:r>
      <w:r w:rsidRPr="005464FA">
        <w:t xml:space="preserve">use of subsequent cancer treatments </w:t>
      </w:r>
      <w:proofErr w:type="gramStart"/>
      <w:r w:rsidRPr="005464FA">
        <w:t>actually appeared</w:t>
      </w:r>
      <w:proofErr w:type="gramEnd"/>
      <w:r w:rsidRPr="005464FA">
        <w:t xml:space="preserve"> to favour the olaparib arm in OlympiAD after accounting for continued use of study treatment after discontinuation</w:t>
      </w:r>
      <w:r w:rsidR="00531D7B" w:rsidRPr="005464FA">
        <w:t xml:space="preserve">, as </w:t>
      </w:r>
      <w:r w:rsidR="006C01D2" w:rsidRPr="005464FA">
        <w:t xml:space="preserve">37 (18.1%) of patients in the olaparib arm at the </w:t>
      </w:r>
      <w:r w:rsidR="00867391" w:rsidRPr="005464FA">
        <w:t>f</w:t>
      </w:r>
      <w:r w:rsidR="006C01D2" w:rsidRPr="005464FA">
        <w:t xml:space="preserve">inal PFS DCO ‘continued study treatment’ after a protocol defined discontinuation, such that </w:t>
      </w:r>
      <w:r w:rsidR="00307E65" w:rsidRPr="005464FA">
        <w:t xml:space="preserve">these patients were effectively using </w:t>
      </w:r>
      <w:r w:rsidR="00E138E7" w:rsidRPr="005464FA">
        <w:t xml:space="preserve">a </w:t>
      </w:r>
      <w:r w:rsidR="00307E65" w:rsidRPr="005464FA">
        <w:t>subsequent PARP inhibitor but were not included as such</w:t>
      </w:r>
      <w:r w:rsidRPr="005464FA">
        <w:t xml:space="preserve">. </w:t>
      </w:r>
      <w:r w:rsidR="00E138E7" w:rsidRPr="005464FA">
        <w:t xml:space="preserve">The pre-PBAC response also noted that </w:t>
      </w:r>
      <w:r w:rsidR="00E138E7" w:rsidRPr="005464FA">
        <w:rPr>
          <w:rFonts w:ascii="Calibri" w:eastAsia="Calibri" w:hAnsi="Calibri" w:cs="Calibri"/>
        </w:rPr>
        <w:t xml:space="preserve">the subsequent use of targeted biologics was also greater in the chemotherapy arm (19.6% versus 14.6%). </w:t>
      </w:r>
      <w:bookmarkEnd w:id="51"/>
      <w:r w:rsidR="006B2736" w:rsidRPr="005464FA">
        <w:t>The PBAC considered that</w:t>
      </w:r>
      <w:r w:rsidR="00060403" w:rsidRPr="005464FA">
        <w:t xml:space="preserve"> imbalances in </w:t>
      </w:r>
      <w:r w:rsidR="006B2736" w:rsidRPr="005464FA">
        <w:t xml:space="preserve">subsequent therapies </w:t>
      </w:r>
      <w:r w:rsidR="00060403" w:rsidRPr="005464FA">
        <w:t xml:space="preserve">not available in Australian clinical practice </w:t>
      </w:r>
      <w:r w:rsidR="00E138E7" w:rsidRPr="005464FA">
        <w:t xml:space="preserve">(PARP inhibitors and targeted biologics) </w:t>
      </w:r>
      <w:r w:rsidR="006B2736" w:rsidRPr="005464FA">
        <w:t>are likely to have impacted on overall survival</w:t>
      </w:r>
      <w:r w:rsidR="00060403" w:rsidRPr="005464FA">
        <w:t xml:space="preserve"> in OlympiAD, however the extent of </w:t>
      </w:r>
      <w:r w:rsidR="00E138E7" w:rsidRPr="005464FA">
        <w:t xml:space="preserve">impact </w:t>
      </w:r>
      <w:r w:rsidR="00060403" w:rsidRPr="005464FA">
        <w:t>is uncertain.</w:t>
      </w:r>
      <w:bookmarkEnd w:id="50"/>
    </w:p>
    <w:p w14:paraId="436AC557" w14:textId="4AE0FC7A" w:rsidR="0083438B" w:rsidRPr="005464FA" w:rsidRDefault="004C7502" w:rsidP="0083438B">
      <w:pPr>
        <w:pStyle w:val="3-BodyText"/>
      </w:pPr>
      <w:bookmarkStart w:id="52" w:name="_Ref164724870"/>
      <w:r w:rsidRPr="005464FA">
        <w:t>The commentary noted that</w:t>
      </w:r>
      <w:r w:rsidR="00867391" w:rsidRPr="005464FA">
        <w:t xml:space="preserve"> </w:t>
      </w:r>
      <w:r w:rsidR="00E03CAC" w:rsidRPr="005464FA">
        <w:t>although the</w:t>
      </w:r>
      <w:r w:rsidR="0083438B" w:rsidRPr="005464FA">
        <w:t xml:space="preserve"> numerical differences in OS between the olaparib and chemotherapy arms in the subgroup of patients with no prior chemotherapy in the metastatic setting at </w:t>
      </w:r>
      <w:r w:rsidR="00E03CAC" w:rsidRPr="005464FA">
        <w:t>both</w:t>
      </w:r>
      <w:r w:rsidR="0083438B" w:rsidRPr="005464FA">
        <w:t xml:space="preserve"> data cut</w:t>
      </w:r>
      <w:r w:rsidR="00E03CAC" w:rsidRPr="005464FA">
        <w:t>s</w:t>
      </w:r>
      <w:r w:rsidR="0083438B" w:rsidRPr="005464FA">
        <w:t xml:space="preserve"> appeared more favourable </w:t>
      </w:r>
      <w:r w:rsidR="0083438B" w:rsidRPr="005464FA">
        <w:lastRenderedPageBreak/>
        <w:t>when compared to the whole trial population and the complement, these results are highly uncertain and should not be relied upon given</w:t>
      </w:r>
      <w:r w:rsidRPr="005464FA">
        <w:t xml:space="preserve">: </w:t>
      </w:r>
      <w:bookmarkEnd w:id="52"/>
    </w:p>
    <w:p w14:paraId="62ABE70E" w14:textId="77777777" w:rsidR="004C7502" w:rsidRPr="005464FA" w:rsidRDefault="004C7502" w:rsidP="005F522F">
      <w:pPr>
        <w:pStyle w:val="ListBullet"/>
        <w:numPr>
          <w:ilvl w:val="0"/>
          <w:numId w:val="25"/>
        </w:numPr>
        <w:spacing w:after="120"/>
        <w:ind w:left="1134" w:hanging="357"/>
        <w:contextualSpacing w:val="0"/>
      </w:pPr>
      <w:r w:rsidRPr="005464FA">
        <w:t>There was a small sample size informing the subgroup analysis (Olaparib N=59; Chemotherapy N=28).</w:t>
      </w:r>
    </w:p>
    <w:p w14:paraId="77CBEC75" w14:textId="77777777" w:rsidR="004C7502" w:rsidRPr="005464FA" w:rsidRDefault="004C7502" w:rsidP="005F522F">
      <w:pPr>
        <w:pStyle w:val="ListBullet"/>
        <w:numPr>
          <w:ilvl w:val="0"/>
          <w:numId w:val="25"/>
        </w:numPr>
        <w:spacing w:after="120"/>
        <w:ind w:left="1134" w:hanging="357"/>
        <w:contextualSpacing w:val="0"/>
      </w:pPr>
      <w:r w:rsidRPr="005464FA">
        <w:t xml:space="preserve">Results were not formally tested in the trial (and not included in the trial’s hierarchical hypothesis testing strategy). </w:t>
      </w:r>
    </w:p>
    <w:p w14:paraId="653B45AE" w14:textId="5647803F" w:rsidR="004C7502" w:rsidRPr="005464FA" w:rsidRDefault="004C7502" w:rsidP="005F522F">
      <w:pPr>
        <w:pStyle w:val="ListBullet"/>
        <w:numPr>
          <w:ilvl w:val="0"/>
          <w:numId w:val="25"/>
        </w:numPr>
        <w:spacing w:after="120"/>
        <w:ind w:left="1134" w:hanging="357"/>
        <w:contextualSpacing w:val="0"/>
      </w:pPr>
      <w:r w:rsidRPr="005464FA">
        <w:t>The larger median OS difference between treatment arms in the no prior chemotherapy subgroup was driven by both longer olaparib OS (22.6 months) and shorter chemotherapy OS (14.7 months) when compared the whole trial population (19.25 and 17.12 months for olaparib and chemotherapy respectively). As such, OS in the chemotherapy arm of the no prior chemotherapy subgroup may be underestimated.</w:t>
      </w:r>
    </w:p>
    <w:p w14:paraId="2DED03BF" w14:textId="77777777" w:rsidR="004C7502" w:rsidRPr="005464FA" w:rsidRDefault="004C7502" w:rsidP="005F522F">
      <w:pPr>
        <w:pStyle w:val="ListBullet"/>
        <w:numPr>
          <w:ilvl w:val="0"/>
          <w:numId w:val="25"/>
        </w:numPr>
        <w:spacing w:after="120"/>
        <w:ind w:left="1134" w:hanging="357"/>
        <w:contextualSpacing w:val="0"/>
      </w:pPr>
      <w:r w:rsidRPr="005464FA">
        <w:t>There were baseline imbalances (e.g. performance status, number of metastatic sites) that likely favoured olaparib and may have contributed to the observed OS difference in the no prior chemotherapy subgroup.</w:t>
      </w:r>
    </w:p>
    <w:p w14:paraId="78B58090" w14:textId="77777777" w:rsidR="004C7502" w:rsidRPr="005464FA" w:rsidRDefault="004C7502" w:rsidP="005F522F">
      <w:pPr>
        <w:pStyle w:val="ListBullet"/>
        <w:numPr>
          <w:ilvl w:val="0"/>
          <w:numId w:val="25"/>
        </w:numPr>
        <w:spacing w:after="120"/>
        <w:ind w:left="1134" w:hanging="357"/>
        <w:contextualSpacing w:val="0"/>
      </w:pPr>
      <w:r w:rsidRPr="005464FA">
        <w:t xml:space="preserve">There was little difference between the point estimate for the PFS hazard ratio (HR) in the no prior chemotherapy subgroup (PFS HR 0.56, 95% CI 0.34, 0.98) compared to the whole trial population (PFS HR 0.58, 95% CI 0.43, 0.80) or the complement subgroup (PFS HR 0.65, 95% CI 0.47, 0.91), suggesting that this was not a mechanism by which any additional OS benefit was derived. </w:t>
      </w:r>
    </w:p>
    <w:p w14:paraId="03445567" w14:textId="15DD0774" w:rsidR="002B172F" w:rsidRPr="005464FA" w:rsidRDefault="002B172F" w:rsidP="00974467">
      <w:pPr>
        <w:pStyle w:val="3-BodyText"/>
        <w:rPr>
          <w:color w:val="0066FF"/>
        </w:rPr>
      </w:pPr>
      <w:r w:rsidRPr="005464FA">
        <w:t>The PSCR argued that results in the LUCY trial</w:t>
      </w:r>
      <w:r w:rsidRPr="005464FA">
        <w:rPr>
          <w:rStyle w:val="FootnoteReference"/>
        </w:rPr>
        <w:footnoteReference w:id="6"/>
      </w:r>
      <w:r w:rsidRPr="005464FA">
        <w:t xml:space="preserve"> (an open-label</w:t>
      </w:r>
      <w:r w:rsidR="004A2D1E" w:rsidRPr="005464FA">
        <w:t>,</w:t>
      </w:r>
      <w:r w:rsidRPr="005464FA">
        <w:t xml:space="preserve"> single</w:t>
      </w:r>
      <w:r w:rsidR="004A2D1E" w:rsidRPr="005464FA">
        <w:t>-</w:t>
      </w:r>
      <w:r w:rsidRPr="005464FA">
        <w:t xml:space="preserve">arm study of olaparib in patients with </w:t>
      </w:r>
      <w:r w:rsidR="005464FA" w:rsidRPr="005464FA">
        <w:rPr>
          <w:i/>
        </w:rPr>
        <w:t>BRCA</w:t>
      </w:r>
      <w:r w:rsidRPr="005464FA">
        <w:t xml:space="preserve">m HER-2 negative mBC after prior chemotherapy) supported the finding </w:t>
      </w:r>
      <w:r w:rsidR="004A2D1E" w:rsidRPr="005464FA">
        <w:t>of a greater OS benefit for the subgroup of patients with no prior chemotherapy in</w:t>
      </w:r>
      <w:r w:rsidRPr="005464FA">
        <w:t xml:space="preserve"> </w:t>
      </w:r>
      <w:r w:rsidR="004A2D1E" w:rsidRPr="005464FA">
        <w:t xml:space="preserve">the metastatic setting. However, LUCY was a single arm trial and therefore supports a longer OS for the subgroup, but not a greater OS benefit over chemotherapy. </w:t>
      </w:r>
      <w:r w:rsidRPr="005464FA">
        <w:t>Overall, the ESC considered that the shorter OS for the BSC arm in the subgroup and the lack of difference in PFS between the groups strongly suggested that the results in the subgroup were not a reliable basis for determining the population of patients most likely to benefit from olaparib</w:t>
      </w:r>
      <w:r w:rsidR="00A90E9D" w:rsidRPr="005464FA">
        <w:t>, for supporting the clinical claim of OS benefit,</w:t>
      </w:r>
      <w:r w:rsidRPr="005464FA">
        <w:t xml:space="preserve"> or for informing the level of clinical benefit in the economic model.</w:t>
      </w:r>
      <w:r w:rsidR="004C7502" w:rsidRPr="005464FA">
        <w:t xml:space="preserve"> </w:t>
      </w:r>
      <w:r w:rsidR="003F057F" w:rsidRPr="005464FA">
        <w:t xml:space="preserve">The PBAC noted that the pre-PBAC appropriately revised the basis of the economic model to the clinical data for the ITT population. </w:t>
      </w:r>
    </w:p>
    <w:p w14:paraId="67DC6CEF" w14:textId="64B55699" w:rsidR="00974467" w:rsidRPr="005464FA" w:rsidRDefault="00974467" w:rsidP="00974467">
      <w:pPr>
        <w:pStyle w:val="3-BodyText"/>
        <w:rPr>
          <w:color w:val="0066FF"/>
        </w:rPr>
      </w:pPr>
      <w:r w:rsidRPr="005464FA">
        <w:fldChar w:fldCharType="begin" w:fldLock="1"/>
      </w:r>
      <w:r w:rsidRPr="005464FA">
        <w:instrText xml:space="preserve"> REF _Ref164437578 \h </w:instrText>
      </w:r>
      <w:r w:rsidRPr="005464FA">
        <w:fldChar w:fldCharType="separate"/>
      </w:r>
      <w:r w:rsidR="00122E11" w:rsidRPr="005464FA">
        <w:t>Figure 2</w:t>
      </w:r>
      <w:r w:rsidRPr="005464FA">
        <w:fldChar w:fldCharType="end"/>
      </w:r>
      <w:r w:rsidRPr="005464FA">
        <w:t xml:space="preserve"> and </w:t>
      </w:r>
      <w:r w:rsidRPr="005464FA">
        <w:fldChar w:fldCharType="begin" w:fldLock="1"/>
      </w:r>
      <w:r w:rsidRPr="005464FA">
        <w:instrText xml:space="preserve"> REF _Ref164437592 \h </w:instrText>
      </w:r>
      <w:r w:rsidRPr="005464FA">
        <w:fldChar w:fldCharType="separate"/>
      </w:r>
      <w:r w:rsidR="00122E11" w:rsidRPr="005464FA">
        <w:t>Figure 3</w:t>
      </w:r>
      <w:r w:rsidRPr="005464FA">
        <w:fldChar w:fldCharType="end"/>
      </w:r>
      <w:r w:rsidRPr="005464FA">
        <w:t xml:space="preserve"> present the KM curves for OS at the final and extended OS DCO analyses for the whole trial population. </w:t>
      </w:r>
    </w:p>
    <w:p w14:paraId="0E4BFFFE" w14:textId="158E79A6" w:rsidR="00974467" w:rsidRPr="005464FA" w:rsidRDefault="00974467" w:rsidP="005F522F">
      <w:pPr>
        <w:pStyle w:val="TableFigureHeading"/>
        <w:keepLines/>
      </w:pPr>
      <w:bookmarkStart w:id="53" w:name="_Ref164437578"/>
      <w:r w:rsidRPr="005464FA">
        <w:lastRenderedPageBreak/>
        <w:t xml:space="preserve">Figure </w:t>
      </w:r>
      <w:r w:rsidR="00935AC4" w:rsidRPr="005464FA">
        <w:fldChar w:fldCharType="begin" w:fldLock="1"/>
      </w:r>
      <w:r w:rsidR="00935AC4" w:rsidRPr="005464FA">
        <w:instrText xml:space="preserve"> SEQ Figure \* ARABIC </w:instrText>
      </w:r>
      <w:r w:rsidR="00935AC4" w:rsidRPr="005464FA">
        <w:fldChar w:fldCharType="separate"/>
      </w:r>
      <w:r w:rsidR="00122E11" w:rsidRPr="005464FA">
        <w:t>2</w:t>
      </w:r>
      <w:r w:rsidR="00935AC4" w:rsidRPr="005464FA">
        <w:fldChar w:fldCharType="end"/>
      </w:r>
      <w:bookmarkEnd w:id="53"/>
      <w:r w:rsidRPr="005464FA">
        <w:t xml:space="preserve">: Kaplan–Meier estimates of overall survival, final </w:t>
      </w:r>
      <w:r w:rsidR="00867391" w:rsidRPr="005464FA">
        <w:t xml:space="preserve">OS </w:t>
      </w:r>
      <w:r w:rsidRPr="005464FA">
        <w:t>DCO (full analysis set)</w:t>
      </w:r>
    </w:p>
    <w:p w14:paraId="14A86DB8" w14:textId="77777777" w:rsidR="00974467" w:rsidRPr="005464FA" w:rsidRDefault="00974467" w:rsidP="005F522F">
      <w:pPr>
        <w:keepNext/>
        <w:keepLines/>
      </w:pPr>
      <w:r w:rsidRPr="005464FA">
        <w:rPr>
          <w:noProof/>
        </w:rPr>
        <w:drawing>
          <wp:inline distT="0" distB="0" distL="0" distR="0" wp14:anchorId="2EE50529" wp14:editId="5CB58465">
            <wp:extent cx="5669280" cy="2406701"/>
            <wp:effectExtent l="0" t="0" r="635" b="0"/>
            <wp:docPr id="43111207" name="Picture 43111207" descr="Figure 2: Kaplan–Meier estimates of overall survival, final OS DCO (full analysis set)"/>
            <wp:cNvGraphicFramePr/>
            <a:graphic xmlns:a="http://schemas.openxmlformats.org/drawingml/2006/main">
              <a:graphicData uri="http://schemas.openxmlformats.org/drawingml/2006/picture">
                <pic:pic xmlns:pic="http://schemas.openxmlformats.org/drawingml/2006/picture">
                  <pic:nvPicPr>
                    <pic:cNvPr id="43111207" name="Picture 43111207" descr="Figure 2: Kaplan–Meier estimates of overall survival, final OS DCO (full analysis set)"/>
                    <pic:cNvPicPr/>
                  </pic:nvPicPr>
                  <pic:blipFill>
                    <a:blip r:embed="rId9"/>
                    <a:stretch>
                      <a:fillRect/>
                    </a:stretch>
                  </pic:blipFill>
                  <pic:spPr>
                    <a:xfrm>
                      <a:off x="0" y="0"/>
                      <a:ext cx="5669280" cy="2406701"/>
                    </a:xfrm>
                    <a:prstGeom prst="rect">
                      <a:avLst/>
                    </a:prstGeom>
                  </pic:spPr>
                </pic:pic>
              </a:graphicData>
            </a:graphic>
          </wp:inline>
        </w:drawing>
      </w:r>
    </w:p>
    <w:p w14:paraId="1C85F966" w14:textId="77777777" w:rsidR="00974467" w:rsidRPr="005464FA" w:rsidRDefault="00974467" w:rsidP="005F522F">
      <w:pPr>
        <w:pStyle w:val="FooterTableFigure"/>
        <w:keepNext/>
        <w:keepLines/>
        <w:jc w:val="left"/>
      </w:pPr>
      <w:r w:rsidRPr="005464FA">
        <w:t>Source: Figure 2.7, p72 of the submission.</w:t>
      </w:r>
    </w:p>
    <w:p w14:paraId="5ABD7174" w14:textId="77777777" w:rsidR="00974467" w:rsidRPr="005464FA" w:rsidRDefault="00974467" w:rsidP="005F522F">
      <w:pPr>
        <w:pStyle w:val="FooterTableFigure"/>
        <w:contextualSpacing w:val="0"/>
        <w:jc w:val="left"/>
      </w:pPr>
      <w:r w:rsidRPr="005464FA">
        <w:t>Abbreviations: bd = twice daily; OS = overall survival</w:t>
      </w:r>
    </w:p>
    <w:p w14:paraId="0C5E630F" w14:textId="488D1B8A" w:rsidR="00974467" w:rsidRPr="005464FA" w:rsidRDefault="00974467" w:rsidP="005E2C82">
      <w:pPr>
        <w:pStyle w:val="TableFigureHeading"/>
      </w:pPr>
      <w:bookmarkStart w:id="54" w:name="_Ref164437592"/>
      <w:r w:rsidRPr="005464FA">
        <w:t xml:space="preserve">Figure </w:t>
      </w:r>
      <w:r w:rsidR="00935AC4" w:rsidRPr="005464FA">
        <w:fldChar w:fldCharType="begin" w:fldLock="1"/>
      </w:r>
      <w:r w:rsidR="00935AC4" w:rsidRPr="005464FA">
        <w:instrText xml:space="preserve"> SEQ Figure \* ARABIC </w:instrText>
      </w:r>
      <w:r w:rsidR="00935AC4" w:rsidRPr="005464FA">
        <w:fldChar w:fldCharType="separate"/>
      </w:r>
      <w:r w:rsidR="00122E11" w:rsidRPr="005464FA">
        <w:t>3</w:t>
      </w:r>
      <w:r w:rsidR="00935AC4" w:rsidRPr="005464FA">
        <w:fldChar w:fldCharType="end"/>
      </w:r>
      <w:bookmarkEnd w:id="54"/>
      <w:r w:rsidRPr="005464FA">
        <w:t>: Kaplan–Meier estimates of overall survival, extended DCO (full analysis set)</w:t>
      </w:r>
    </w:p>
    <w:p w14:paraId="1C0ADF5D" w14:textId="77777777" w:rsidR="00974467" w:rsidRPr="005464FA" w:rsidRDefault="00974467" w:rsidP="005E2C82">
      <w:pPr>
        <w:pStyle w:val="BodyText"/>
        <w:keepNext/>
      </w:pPr>
      <w:r w:rsidRPr="005464FA">
        <w:rPr>
          <w:noProof/>
        </w:rPr>
        <w:drawing>
          <wp:inline distT="0" distB="0" distL="0" distR="0" wp14:anchorId="60A7B19D" wp14:editId="3C68E814">
            <wp:extent cx="5731510" cy="2484755"/>
            <wp:effectExtent l="0" t="0" r="2540" b="0"/>
            <wp:docPr id="504232210" name="Picture 504232210" descr="Figure 3: Kaplan–Meier estimates of overall survival, extended DCO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32210" name="Picture 504232210" descr="Figure 3: Kaplan–Meier estimates of overall survival, extended DCO (full analysis set)"/>
                    <pic:cNvPicPr/>
                  </pic:nvPicPr>
                  <pic:blipFill>
                    <a:blip r:embed="rId10"/>
                    <a:stretch>
                      <a:fillRect/>
                    </a:stretch>
                  </pic:blipFill>
                  <pic:spPr>
                    <a:xfrm>
                      <a:off x="0" y="0"/>
                      <a:ext cx="5731510" cy="2484755"/>
                    </a:xfrm>
                    <a:prstGeom prst="rect">
                      <a:avLst/>
                    </a:prstGeom>
                  </pic:spPr>
                </pic:pic>
              </a:graphicData>
            </a:graphic>
          </wp:inline>
        </w:drawing>
      </w:r>
    </w:p>
    <w:p w14:paraId="6827AD01" w14:textId="77A8EFC9" w:rsidR="00974467" w:rsidRPr="005464FA" w:rsidRDefault="00974467" w:rsidP="005F522F">
      <w:pPr>
        <w:pStyle w:val="FooterTableFigure"/>
        <w:keepNext/>
        <w:jc w:val="left"/>
      </w:pPr>
      <w:r w:rsidRPr="005464FA">
        <w:t>Source</w:t>
      </w:r>
      <w:r w:rsidR="005030D8" w:rsidRPr="005464FA">
        <w:t xml:space="preserve">: </w:t>
      </w:r>
      <w:r w:rsidRPr="005464FA">
        <w:t>Figure 2.9, p74 of the submission.</w:t>
      </w:r>
    </w:p>
    <w:p w14:paraId="5B770459" w14:textId="4E152BFC" w:rsidR="00974467" w:rsidRPr="005464FA" w:rsidRDefault="00974467" w:rsidP="003F057F">
      <w:pPr>
        <w:pStyle w:val="FooterTableFigure"/>
        <w:jc w:val="left"/>
      </w:pPr>
      <w:r w:rsidRPr="005464FA">
        <w:t>bd = twice daily; DCO = data cut-off; OS = overall survival</w:t>
      </w:r>
    </w:p>
    <w:p w14:paraId="4065F4D6" w14:textId="22642577" w:rsidR="003E1ECA" w:rsidRPr="005464FA" w:rsidRDefault="000705E5" w:rsidP="003F057F">
      <w:pPr>
        <w:pStyle w:val="5-SubsectionSubheading"/>
        <w:keepNext w:val="0"/>
        <w:keepLines w:val="0"/>
        <w:widowControl w:val="0"/>
      </w:pPr>
      <w:bookmarkStart w:id="55" w:name="_Toc167278282"/>
      <w:r w:rsidRPr="005464FA">
        <w:t xml:space="preserve">Time to second progression </w:t>
      </w:r>
      <w:r w:rsidR="007D10B7" w:rsidRPr="005464FA">
        <w:t>(</w:t>
      </w:r>
      <w:r w:rsidRPr="005464FA">
        <w:t>or death</w:t>
      </w:r>
      <w:r w:rsidR="007D10B7" w:rsidRPr="005464FA">
        <w:t>)</w:t>
      </w:r>
      <w:bookmarkEnd w:id="55"/>
    </w:p>
    <w:p w14:paraId="16357FE2" w14:textId="37D6708E" w:rsidR="003F057F" w:rsidRPr="005464FA" w:rsidRDefault="00C40EC5" w:rsidP="003F057F">
      <w:pPr>
        <w:pStyle w:val="3-BodyText"/>
        <w:widowControl w:val="0"/>
      </w:pPr>
      <w:r w:rsidRPr="005464FA">
        <w:fldChar w:fldCharType="begin" w:fldLock="1"/>
      </w:r>
      <w:r w:rsidRPr="005464FA">
        <w:instrText xml:space="preserve"> REF _Ref164436543 \h  \* MERGEFORMAT </w:instrText>
      </w:r>
      <w:r w:rsidRPr="005464FA">
        <w:fldChar w:fldCharType="separate"/>
      </w:r>
      <w:r w:rsidR="00122E11" w:rsidRPr="005464FA">
        <w:rPr>
          <w:rFonts w:eastAsiaTheme="majorEastAsia"/>
        </w:rPr>
        <w:t>Table 8</w:t>
      </w:r>
      <w:r w:rsidRPr="005464FA">
        <w:fldChar w:fldCharType="end"/>
      </w:r>
      <w:r w:rsidRPr="005464FA">
        <w:t xml:space="preserve"> presents the results of </w:t>
      </w:r>
      <w:r w:rsidR="007D10B7" w:rsidRPr="005464FA">
        <w:t>time to second progression (or death) (</w:t>
      </w:r>
      <w:r w:rsidRPr="005464FA">
        <w:t>PFS2</w:t>
      </w:r>
      <w:r w:rsidR="007D10B7" w:rsidRPr="005464FA">
        <w:t>)</w:t>
      </w:r>
      <w:r w:rsidRPr="005464FA">
        <w:t xml:space="preserve"> in the whole trial population at the primary PFS DCO. The submission considered that based on these results, a continued benefit beyond first progression was demonstrated, with olaparib providing a statistically significant and clinically meaningful delay in the time to second progression or death (HR=0.57, 95% CI: 0.40, 0.83; p=0.0017). PFS2 results would be influenced by subsequent cancer therapy</w:t>
      </w:r>
      <w:r w:rsidR="003F057F" w:rsidRPr="005464FA">
        <w:t xml:space="preserve"> (see paragraph </w:t>
      </w:r>
      <w:r w:rsidR="003F057F" w:rsidRPr="005464FA">
        <w:fldChar w:fldCharType="begin" w:fldLock="1"/>
      </w:r>
      <w:r w:rsidR="003F057F" w:rsidRPr="005464FA">
        <w:instrText xml:space="preserve"> REF _Ref172624532 \r \h </w:instrText>
      </w:r>
      <w:r w:rsidR="003F057F" w:rsidRPr="005464FA">
        <w:fldChar w:fldCharType="separate"/>
      </w:r>
      <w:r w:rsidR="00122E11" w:rsidRPr="005464FA">
        <w:t>6.23</w:t>
      </w:r>
      <w:r w:rsidR="003F057F" w:rsidRPr="005464FA">
        <w:fldChar w:fldCharType="end"/>
      </w:r>
      <w:r w:rsidR="003F057F" w:rsidRPr="005464FA">
        <w:t>)</w:t>
      </w:r>
      <w:r w:rsidRPr="005464FA">
        <w:t>.</w:t>
      </w:r>
      <w:r w:rsidR="003F057F" w:rsidRPr="005464FA">
        <w:rPr>
          <w:rFonts w:eastAsiaTheme="minorHAnsi" w:cstheme="minorHAnsi"/>
          <w:sz w:val="22"/>
          <w:szCs w:val="22"/>
          <w:lang w:eastAsia="en-US"/>
        </w:rPr>
        <w:t xml:space="preserve"> The pre-PBAC response noted that i</w:t>
      </w:r>
      <w:r w:rsidR="003F057F" w:rsidRPr="005464FA">
        <w:t xml:space="preserve">n the ITT population the benefits of olaparib seemed to be conferred to subsequent lines of therapy. Time to first subsequent treatment (TFST) in the olaparib arm was 9.4 months vs 4.3 months in the TPC arm; time to second subsequent treatment (TSST) was 14.3 months vs 10.5 months; PFS2 (time to second </w:t>
      </w:r>
      <w:r w:rsidR="003F057F" w:rsidRPr="005464FA">
        <w:lastRenderedPageBreak/>
        <w:t>progression) in olaparib arm was 13.2 months vs 9.3 months in TPC which indicates that benefit from olaparib extends beyond the end of therapy.</w:t>
      </w:r>
    </w:p>
    <w:p w14:paraId="178BB4BF" w14:textId="46AA6474" w:rsidR="00C40EC5" w:rsidRPr="005464FA" w:rsidRDefault="00C40EC5" w:rsidP="003F057F">
      <w:pPr>
        <w:pStyle w:val="3-BodyText"/>
        <w:widowControl w:val="0"/>
      </w:pPr>
      <w:r w:rsidRPr="005464FA">
        <w:t>The submission noted that there was no further analysis of PFS2 at the time of the final or extended OS analyses since statistical significance was shown for PFS and PFS2 at the primary analysis.</w:t>
      </w:r>
      <w:r w:rsidR="00D958CD" w:rsidRPr="005464FA">
        <w:t xml:space="preserve"> </w:t>
      </w:r>
    </w:p>
    <w:p w14:paraId="65A1CDB7" w14:textId="595D8D58" w:rsidR="00C40EC5" w:rsidRPr="005464FA" w:rsidRDefault="00C40EC5" w:rsidP="005F522F">
      <w:pPr>
        <w:pStyle w:val="TableFigureHeading"/>
        <w:keepLines/>
        <w:widowControl w:val="0"/>
      </w:pPr>
      <w:bookmarkStart w:id="56" w:name="_Ref164436543"/>
      <w:r w:rsidRPr="005464FA">
        <w:rPr>
          <w:rStyle w:val="CommentReference"/>
          <w:b/>
          <w:szCs w:val="24"/>
        </w:rPr>
        <w:t xml:space="preserve">Table </w:t>
      </w:r>
      <w:r w:rsidRPr="005464FA">
        <w:rPr>
          <w:rStyle w:val="CommentReference"/>
          <w:b/>
          <w:szCs w:val="24"/>
        </w:rPr>
        <w:fldChar w:fldCharType="begin" w:fldLock="1"/>
      </w:r>
      <w:r w:rsidRPr="005464FA">
        <w:rPr>
          <w:rStyle w:val="CommentReference"/>
          <w:b/>
          <w:szCs w:val="24"/>
        </w:rPr>
        <w:instrText xml:space="preserve"> SEQ Table \* ARABIC </w:instrText>
      </w:r>
      <w:r w:rsidRPr="005464FA">
        <w:rPr>
          <w:rStyle w:val="CommentReference"/>
          <w:b/>
          <w:szCs w:val="24"/>
        </w:rPr>
        <w:fldChar w:fldCharType="separate"/>
      </w:r>
      <w:r w:rsidR="00122E11" w:rsidRPr="005464FA">
        <w:rPr>
          <w:rStyle w:val="CommentReference"/>
          <w:b/>
          <w:szCs w:val="24"/>
        </w:rPr>
        <w:t>8</w:t>
      </w:r>
      <w:r w:rsidRPr="005464FA">
        <w:rPr>
          <w:rStyle w:val="CommentReference"/>
          <w:b/>
          <w:szCs w:val="24"/>
        </w:rPr>
        <w:fldChar w:fldCharType="end"/>
      </w:r>
      <w:bookmarkEnd w:id="56"/>
      <w:r w:rsidRPr="005464FA">
        <w:rPr>
          <w:rStyle w:val="CommentReference"/>
          <w:b/>
          <w:szCs w:val="24"/>
        </w:rPr>
        <w:t xml:space="preserve">: </w:t>
      </w:r>
      <w:r w:rsidRPr="005464FA">
        <w:t>Time to second progression or death, log-rank test, primary DCO (full analysis set)</w:t>
      </w:r>
    </w:p>
    <w:tbl>
      <w:tblPr>
        <w:tblStyle w:val="TableGrid"/>
        <w:tblW w:w="5000" w:type="pct"/>
        <w:tblLook w:val="04A0" w:firstRow="1" w:lastRow="0" w:firstColumn="1" w:lastColumn="0" w:noHBand="0" w:noVBand="1"/>
        <w:tblCaption w:val="Table 8: Time to second progression or death, log-rank test, primary DCO (full analysis set)"/>
      </w:tblPr>
      <w:tblGrid>
        <w:gridCol w:w="5044"/>
        <w:gridCol w:w="1986"/>
        <w:gridCol w:w="1987"/>
      </w:tblGrid>
      <w:tr w:rsidR="00C40EC5" w:rsidRPr="005464FA" w14:paraId="3DBB62F0" w14:textId="77777777" w:rsidTr="003A0777">
        <w:tc>
          <w:tcPr>
            <w:tcW w:w="2797" w:type="pct"/>
          </w:tcPr>
          <w:p w14:paraId="0B5DC684" w14:textId="77777777" w:rsidR="00C40EC5" w:rsidRPr="005464FA" w:rsidRDefault="00C40EC5" w:rsidP="005F522F">
            <w:pPr>
              <w:pStyle w:val="Tabletext"/>
              <w:keepNext/>
              <w:keepLines/>
              <w:widowControl w:val="0"/>
              <w:rPr>
                <w:b/>
                <w:bCs/>
              </w:rPr>
            </w:pPr>
            <w:r w:rsidRPr="005464FA">
              <w:rPr>
                <w:b/>
                <w:bCs/>
              </w:rPr>
              <w:t>Analysis</w:t>
            </w:r>
          </w:p>
        </w:tc>
        <w:tc>
          <w:tcPr>
            <w:tcW w:w="1101" w:type="pct"/>
            <w:hideMark/>
          </w:tcPr>
          <w:p w14:paraId="2795720C" w14:textId="77777777" w:rsidR="00C40EC5" w:rsidRPr="005464FA" w:rsidRDefault="00C40EC5" w:rsidP="005F522F">
            <w:pPr>
              <w:pStyle w:val="Tabletext"/>
              <w:keepNext/>
              <w:keepLines/>
              <w:widowControl w:val="0"/>
              <w:jc w:val="center"/>
              <w:rPr>
                <w:b/>
                <w:bCs/>
              </w:rPr>
            </w:pPr>
            <w:r w:rsidRPr="005464FA">
              <w:rPr>
                <w:b/>
                <w:bCs/>
              </w:rPr>
              <w:t>Olaparib</w:t>
            </w:r>
          </w:p>
          <w:p w14:paraId="2B4503C3" w14:textId="77777777" w:rsidR="00C40EC5" w:rsidRPr="005464FA" w:rsidRDefault="00C40EC5" w:rsidP="005F522F">
            <w:pPr>
              <w:pStyle w:val="Tabletext"/>
              <w:keepNext/>
              <w:keepLines/>
              <w:widowControl w:val="0"/>
              <w:jc w:val="center"/>
              <w:rPr>
                <w:b/>
                <w:bCs/>
              </w:rPr>
            </w:pPr>
            <w:r w:rsidRPr="005464FA">
              <w:rPr>
                <w:b/>
                <w:bCs/>
              </w:rPr>
              <w:t>N=205</w:t>
            </w:r>
          </w:p>
        </w:tc>
        <w:tc>
          <w:tcPr>
            <w:tcW w:w="1102" w:type="pct"/>
            <w:hideMark/>
          </w:tcPr>
          <w:p w14:paraId="11AE1BAC" w14:textId="77777777" w:rsidR="00C40EC5" w:rsidRPr="005464FA" w:rsidRDefault="00C40EC5" w:rsidP="005F522F">
            <w:pPr>
              <w:pStyle w:val="Tabletext"/>
              <w:keepNext/>
              <w:keepLines/>
              <w:widowControl w:val="0"/>
              <w:jc w:val="center"/>
              <w:rPr>
                <w:b/>
                <w:bCs/>
                <w:vertAlign w:val="superscript"/>
              </w:rPr>
            </w:pPr>
            <w:r w:rsidRPr="005464FA">
              <w:rPr>
                <w:b/>
                <w:bCs/>
              </w:rPr>
              <w:t>Chemotherapy</w:t>
            </w:r>
          </w:p>
          <w:p w14:paraId="5F684211" w14:textId="77777777" w:rsidR="00C40EC5" w:rsidRPr="005464FA" w:rsidRDefault="00C40EC5" w:rsidP="005F522F">
            <w:pPr>
              <w:pStyle w:val="Tabletext"/>
              <w:keepNext/>
              <w:keepLines/>
              <w:widowControl w:val="0"/>
              <w:jc w:val="center"/>
              <w:rPr>
                <w:b/>
                <w:bCs/>
              </w:rPr>
            </w:pPr>
            <w:r w:rsidRPr="005464FA">
              <w:rPr>
                <w:b/>
                <w:bCs/>
              </w:rPr>
              <w:t>N=97</w:t>
            </w:r>
          </w:p>
        </w:tc>
      </w:tr>
      <w:tr w:rsidR="00C40EC5" w:rsidRPr="005464FA" w14:paraId="4EF01D5B" w14:textId="77777777" w:rsidTr="003A0777">
        <w:tc>
          <w:tcPr>
            <w:tcW w:w="2797" w:type="pct"/>
            <w:hideMark/>
          </w:tcPr>
          <w:p w14:paraId="58CF6614" w14:textId="2703E6AF" w:rsidR="00C40EC5" w:rsidRPr="005464FA" w:rsidRDefault="00C40EC5" w:rsidP="005F522F">
            <w:pPr>
              <w:pStyle w:val="Tabletext"/>
              <w:keepNext/>
              <w:keepLines/>
              <w:widowControl w:val="0"/>
            </w:pPr>
            <w:r w:rsidRPr="005464FA">
              <w:t>Number (%) of events</w:t>
            </w:r>
            <w:r w:rsidR="005030D8" w:rsidRPr="005464FA">
              <w:t xml:space="preserve"> </w:t>
            </w:r>
            <w:r w:rsidRPr="005464FA">
              <w:rPr>
                <w:vertAlign w:val="superscript"/>
              </w:rPr>
              <w:t>a</w:t>
            </w:r>
          </w:p>
        </w:tc>
        <w:tc>
          <w:tcPr>
            <w:tcW w:w="1101" w:type="pct"/>
            <w:hideMark/>
          </w:tcPr>
          <w:p w14:paraId="278C05C1" w14:textId="77777777" w:rsidR="00C40EC5" w:rsidRPr="005464FA" w:rsidRDefault="00C40EC5" w:rsidP="005F522F">
            <w:pPr>
              <w:pStyle w:val="Tabletext"/>
              <w:keepNext/>
              <w:keepLines/>
              <w:widowControl w:val="0"/>
              <w:jc w:val="center"/>
            </w:pPr>
            <w:r w:rsidRPr="005464FA">
              <w:t>104 (50.7)</w:t>
            </w:r>
          </w:p>
        </w:tc>
        <w:tc>
          <w:tcPr>
            <w:tcW w:w="1102" w:type="pct"/>
            <w:hideMark/>
          </w:tcPr>
          <w:p w14:paraId="41C57396" w14:textId="77777777" w:rsidR="00C40EC5" w:rsidRPr="005464FA" w:rsidRDefault="00C40EC5" w:rsidP="005F522F">
            <w:pPr>
              <w:pStyle w:val="Tabletext"/>
              <w:keepNext/>
              <w:keepLines/>
              <w:widowControl w:val="0"/>
              <w:jc w:val="center"/>
            </w:pPr>
            <w:r w:rsidRPr="005464FA">
              <w:t>53 (54.6)</w:t>
            </w:r>
          </w:p>
        </w:tc>
      </w:tr>
      <w:tr w:rsidR="00C40EC5" w:rsidRPr="005464FA" w14:paraId="6D70890E" w14:textId="77777777" w:rsidTr="003A0777">
        <w:tc>
          <w:tcPr>
            <w:tcW w:w="2797" w:type="pct"/>
            <w:hideMark/>
          </w:tcPr>
          <w:p w14:paraId="6CA2FA0E" w14:textId="5BB59A5E" w:rsidR="00C40EC5" w:rsidRPr="005464FA" w:rsidRDefault="00C40EC5" w:rsidP="005F522F">
            <w:pPr>
              <w:pStyle w:val="Tabletext"/>
              <w:keepNext/>
              <w:keepLines/>
              <w:widowControl w:val="0"/>
            </w:pPr>
            <w:r w:rsidRPr="005464FA">
              <w:t>Median PFS2 (95% CI), months</w:t>
            </w:r>
            <w:r w:rsidR="005030D8" w:rsidRPr="005464FA">
              <w:t xml:space="preserve"> </w:t>
            </w:r>
            <w:r w:rsidRPr="005464FA">
              <w:rPr>
                <w:vertAlign w:val="superscript"/>
              </w:rPr>
              <w:t>b</w:t>
            </w:r>
          </w:p>
        </w:tc>
        <w:tc>
          <w:tcPr>
            <w:tcW w:w="1101" w:type="pct"/>
            <w:hideMark/>
          </w:tcPr>
          <w:p w14:paraId="435FEEA9" w14:textId="77777777" w:rsidR="00C40EC5" w:rsidRPr="005464FA" w:rsidRDefault="00C40EC5" w:rsidP="005F522F">
            <w:pPr>
              <w:pStyle w:val="Tabletext"/>
              <w:keepNext/>
              <w:keepLines/>
              <w:widowControl w:val="0"/>
              <w:jc w:val="center"/>
            </w:pPr>
            <w:r w:rsidRPr="005464FA">
              <w:t>13.17 (10.94, 15.34)</w:t>
            </w:r>
          </w:p>
        </w:tc>
        <w:tc>
          <w:tcPr>
            <w:tcW w:w="1102" w:type="pct"/>
            <w:hideMark/>
          </w:tcPr>
          <w:p w14:paraId="5253A1BC" w14:textId="77777777" w:rsidR="00C40EC5" w:rsidRPr="005464FA" w:rsidRDefault="00C40EC5" w:rsidP="005F522F">
            <w:pPr>
              <w:pStyle w:val="Tabletext"/>
              <w:keepNext/>
              <w:keepLines/>
              <w:widowControl w:val="0"/>
              <w:jc w:val="center"/>
            </w:pPr>
            <w:r w:rsidRPr="005464FA">
              <w:t>9.26 (7.29, 10.35)</w:t>
            </w:r>
          </w:p>
        </w:tc>
      </w:tr>
      <w:tr w:rsidR="00C40EC5" w:rsidRPr="005464FA" w14:paraId="1E3BC32D" w14:textId="77777777" w:rsidTr="003A0777">
        <w:tc>
          <w:tcPr>
            <w:tcW w:w="2797" w:type="pct"/>
          </w:tcPr>
          <w:p w14:paraId="1146BD2C" w14:textId="77777777" w:rsidR="00C40EC5" w:rsidRPr="005464FA" w:rsidRDefault="00C40EC5" w:rsidP="005F522F">
            <w:pPr>
              <w:pStyle w:val="Tabletext"/>
              <w:keepNext/>
              <w:keepLines/>
              <w:widowControl w:val="0"/>
            </w:pPr>
            <w:r w:rsidRPr="005464FA">
              <w:t>HR (95% CI)</w:t>
            </w:r>
          </w:p>
        </w:tc>
        <w:tc>
          <w:tcPr>
            <w:tcW w:w="2203" w:type="pct"/>
            <w:gridSpan w:val="2"/>
          </w:tcPr>
          <w:p w14:paraId="61D407CA" w14:textId="77777777" w:rsidR="00C40EC5" w:rsidRPr="005464FA" w:rsidRDefault="00C40EC5" w:rsidP="005F522F">
            <w:pPr>
              <w:pStyle w:val="Tabletext"/>
              <w:keepNext/>
              <w:keepLines/>
              <w:widowControl w:val="0"/>
              <w:jc w:val="center"/>
            </w:pPr>
            <w:r w:rsidRPr="005464FA">
              <w:t>0.57 (0.40, 0.83)</w:t>
            </w:r>
          </w:p>
        </w:tc>
      </w:tr>
      <w:tr w:rsidR="00C40EC5" w:rsidRPr="005464FA" w14:paraId="4D936A3C" w14:textId="77777777" w:rsidTr="003A0777">
        <w:tc>
          <w:tcPr>
            <w:tcW w:w="2797" w:type="pct"/>
          </w:tcPr>
          <w:p w14:paraId="75BB534F" w14:textId="77777777" w:rsidR="00C40EC5" w:rsidRPr="005464FA" w:rsidRDefault="00C40EC5" w:rsidP="005F522F">
            <w:pPr>
              <w:pStyle w:val="Tabletext"/>
              <w:keepNext/>
              <w:keepLines/>
              <w:widowControl w:val="0"/>
            </w:pPr>
            <w:r w:rsidRPr="005464FA">
              <w:t>P</w:t>
            </w:r>
            <w:r w:rsidRPr="005464FA">
              <w:noBreakHyphen/>
              <w:t>value (2</w:t>
            </w:r>
            <w:r w:rsidRPr="005464FA">
              <w:noBreakHyphen/>
              <w:t>sided)</w:t>
            </w:r>
          </w:p>
        </w:tc>
        <w:tc>
          <w:tcPr>
            <w:tcW w:w="2203" w:type="pct"/>
            <w:gridSpan w:val="2"/>
          </w:tcPr>
          <w:p w14:paraId="2E780638" w14:textId="77777777" w:rsidR="00C40EC5" w:rsidRPr="005464FA" w:rsidRDefault="00C40EC5" w:rsidP="005F522F">
            <w:pPr>
              <w:pStyle w:val="Tabletext"/>
              <w:keepNext/>
              <w:keepLines/>
              <w:widowControl w:val="0"/>
              <w:jc w:val="center"/>
            </w:pPr>
            <w:r w:rsidRPr="005464FA">
              <w:t>0.0033</w:t>
            </w:r>
          </w:p>
        </w:tc>
      </w:tr>
      <w:tr w:rsidR="00C40EC5" w:rsidRPr="005464FA" w14:paraId="1F40AA7A" w14:textId="77777777" w:rsidTr="003A0777">
        <w:tc>
          <w:tcPr>
            <w:tcW w:w="2797" w:type="pct"/>
          </w:tcPr>
          <w:p w14:paraId="2B5F5C1C" w14:textId="77777777" w:rsidR="00C40EC5" w:rsidRPr="005464FA" w:rsidRDefault="00C40EC5" w:rsidP="005F522F">
            <w:pPr>
              <w:pStyle w:val="Tabletext"/>
              <w:keepNext/>
              <w:keepLines/>
              <w:widowControl w:val="0"/>
            </w:pPr>
            <w:r w:rsidRPr="005464FA">
              <w:t>PFS2 at 6 months, %</w:t>
            </w:r>
            <w:r w:rsidRPr="005464FA">
              <w:rPr>
                <w:vertAlign w:val="superscript"/>
              </w:rPr>
              <w:t>b</w:t>
            </w:r>
          </w:p>
        </w:tc>
        <w:tc>
          <w:tcPr>
            <w:tcW w:w="1101" w:type="pct"/>
          </w:tcPr>
          <w:p w14:paraId="045D6F9F" w14:textId="77777777" w:rsidR="00C40EC5" w:rsidRPr="005464FA" w:rsidRDefault="00C40EC5" w:rsidP="005F522F">
            <w:pPr>
              <w:pStyle w:val="Tabletext"/>
              <w:keepNext/>
              <w:keepLines/>
              <w:widowControl w:val="0"/>
              <w:jc w:val="center"/>
            </w:pPr>
            <w:r w:rsidRPr="005464FA">
              <w:t>85.3</w:t>
            </w:r>
          </w:p>
        </w:tc>
        <w:tc>
          <w:tcPr>
            <w:tcW w:w="1102" w:type="pct"/>
          </w:tcPr>
          <w:p w14:paraId="0F8FEB40" w14:textId="77777777" w:rsidR="00C40EC5" w:rsidRPr="005464FA" w:rsidRDefault="00C40EC5" w:rsidP="005F522F">
            <w:pPr>
              <w:pStyle w:val="Tabletext"/>
              <w:keepNext/>
              <w:keepLines/>
              <w:widowControl w:val="0"/>
              <w:jc w:val="center"/>
            </w:pPr>
            <w:r w:rsidRPr="005464FA">
              <w:t>68.4</w:t>
            </w:r>
          </w:p>
        </w:tc>
      </w:tr>
      <w:tr w:rsidR="00C40EC5" w:rsidRPr="005464FA" w14:paraId="6EF11F3D" w14:textId="77777777" w:rsidTr="003A0777">
        <w:tc>
          <w:tcPr>
            <w:tcW w:w="2797" w:type="pct"/>
          </w:tcPr>
          <w:p w14:paraId="0ED8D4F4" w14:textId="77777777" w:rsidR="00C40EC5" w:rsidRPr="005464FA" w:rsidRDefault="00C40EC5" w:rsidP="005F522F">
            <w:pPr>
              <w:pStyle w:val="Tabletext"/>
              <w:keepNext/>
              <w:keepLines/>
              <w:widowControl w:val="0"/>
            </w:pPr>
            <w:r w:rsidRPr="005464FA">
              <w:t>PFS2 at 12 months, %</w:t>
            </w:r>
            <w:r w:rsidRPr="005464FA">
              <w:rPr>
                <w:vertAlign w:val="superscript"/>
              </w:rPr>
              <w:t>b</w:t>
            </w:r>
          </w:p>
        </w:tc>
        <w:tc>
          <w:tcPr>
            <w:tcW w:w="1101" w:type="pct"/>
          </w:tcPr>
          <w:p w14:paraId="2F6E44D2" w14:textId="77777777" w:rsidR="00C40EC5" w:rsidRPr="005464FA" w:rsidRDefault="00C40EC5" w:rsidP="005F522F">
            <w:pPr>
              <w:pStyle w:val="Tabletext"/>
              <w:keepNext/>
              <w:keepLines/>
              <w:widowControl w:val="0"/>
              <w:jc w:val="center"/>
            </w:pPr>
            <w:r w:rsidRPr="005464FA">
              <w:t>54.7</w:t>
            </w:r>
          </w:p>
        </w:tc>
        <w:tc>
          <w:tcPr>
            <w:tcW w:w="1102" w:type="pct"/>
          </w:tcPr>
          <w:p w14:paraId="3452FE43" w14:textId="77777777" w:rsidR="00C40EC5" w:rsidRPr="005464FA" w:rsidRDefault="00C40EC5" w:rsidP="005F522F">
            <w:pPr>
              <w:pStyle w:val="Tabletext"/>
              <w:keepNext/>
              <w:keepLines/>
              <w:widowControl w:val="0"/>
              <w:jc w:val="center"/>
            </w:pPr>
            <w:r w:rsidRPr="005464FA">
              <w:t>32.6</w:t>
            </w:r>
          </w:p>
        </w:tc>
      </w:tr>
      <w:tr w:rsidR="00C40EC5" w:rsidRPr="005464FA" w14:paraId="20356C62" w14:textId="77777777" w:rsidTr="003A0777">
        <w:tc>
          <w:tcPr>
            <w:tcW w:w="2797" w:type="pct"/>
          </w:tcPr>
          <w:p w14:paraId="33484B44" w14:textId="2019405D" w:rsidR="00C40EC5" w:rsidRPr="005464FA" w:rsidRDefault="00C40EC5" w:rsidP="005F522F">
            <w:pPr>
              <w:pStyle w:val="Tabletext"/>
              <w:keepNext/>
              <w:keepLines/>
              <w:widowControl w:val="0"/>
            </w:pPr>
            <w:r w:rsidRPr="005464FA">
              <w:t>Median follow-up for PFS2, months</w:t>
            </w:r>
            <w:r w:rsidR="00CC280C" w:rsidRPr="005464FA">
              <w:t xml:space="preserve"> </w:t>
            </w:r>
            <w:r w:rsidRPr="005464FA">
              <w:rPr>
                <w:vertAlign w:val="superscript"/>
              </w:rPr>
              <w:t>c</w:t>
            </w:r>
          </w:p>
        </w:tc>
        <w:tc>
          <w:tcPr>
            <w:tcW w:w="1101" w:type="pct"/>
          </w:tcPr>
          <w:p w14:paraId="777C3CF3" w14:textId="77777777" w:rsidR="00C40EC5" w:rsidRPr="005464FA" w:rsidRDefault="00C40EC5" w:rsidP="005F522F">
            <w:pPr>
              <w:pStyle w:val="Tabletext"/>
              <w:keepNext/>
              <w:keepLines/>
              <w:widowControl w:val="0"/>
              <w:jc w:val="center"/>
            </w:pPr>
            <w:r w:rsidRPr="005464FA">
              <w:t>11.79</w:t>
            </w:r>
          </w:p>
        </w:tc>
        <w:tc>
          <w:tcPr>
            <w:tcW w:w="1102" w:type="pct"/>
          </w:tcPr>
          <w:p w14:paraId="743B40E4" w14:textId="77777777" w:rsidR="00C40EC5" w:rsidRPr="005464FA" w:rsidRDefault="00C40EC5" w:rsidP="005F522F">
            <w:pPr>
              <w:pStyle w:val="Tabletext"/>
              <w:keepNext/>
              <w:keepLines/>
              <w:widowControl w:val="0"/>
              <w:jc w:val="center"/>
            </w:pPr>
            <w:r w:rsidRPr="005464FA">
              <w:t>9.71</w:t>
            </w:r>
          </w:p>
        </w:tc>
      </w:tr>
    </w:tbl>
    <w:p w14:paraId="3C8BA153" w14:textId="77777777" w:rsidR="00C40EC5" w:rsidRPr="005464FA" w:rsidRDefault="00C40EC5" w:rsidP="005F522F">
      <w:pPr>
        <w:pStyle w:val="FooterTableFigure"/>
        <w:keepNext/>
        <w:keepLines/>
        <w:widowControl w:val="0"/>
      </w:pPr>
      <w:r w:rsidRPr="005464FA">
        <w:t>Source: Table 2.18, p71 of the submission.</w:t>
      </w:r>
    </w:p>
    <w:p w14:paraId="53B8D00F" w14:textId="77777777" w:rsidR="00C40EC5" w:rsidRPr="005464FA" w:rsidRDefault="00C40EC5" w:rsidP="005F522F">
      <w:pPr>
        <w:pStyle w:val="FooterTableFigure"/>
        <w:keepNext/>
        <w:keepLines/>
        <w:widowControl w:val="0"/>
      </w:pPr>
      <w:r w:rsidRPr="005464FA">
        <w:t>CI = confidence interval; DCO = data cut-off; HR = hazard ratio; PFS2 = time to second progression or death</w:t>
      </w:r>
    </w:p>
    <w:p w14:paraId="7412A04B" w14:textId="77777777" w:rsidR="00C40EC5" w:rsidRPr="005464FA" w:rsidRDefault="00C40EC5" w:rsidP="005F522F">
      <w:pPr>
        <w:pStyle w:val="FooterTableFigure"/>
        <w:keepNext/>
        <w:keepLines/>
        <w:widowControl w:val="0"/>
      </w:pPr>
      <w:r w:rsidRPr="005464FA">
        <w:t xml:space="preserve">a Patients who had not had a second disease progression or died at the time of analysis, or who had second progression or died after 2 or more missed visits, were censored at the latest evaluable assessment where they were known to be alive and without a second disease progression </w:t>
      </w:r>
    </w:p>
    <w:p w14:paraId="099C5D14" w14:textId="77777777" w:rsidR="00C40EC5" w:rsidRPr="005464FA" w:rsidRDefault="00C40EC5" w:rsidP="005F522F">
      <w:pPr>
        <w:pStyle w:val="FooterTableFigure"/>
        <w:keepNext/>
        <w:keepLines/>
        <w:widowControl w:val="0"/>
      </w:pPr>
      <w:r w:rsidRPr="005464FA">
        <w:t>b Calculated using the Kaplan-Meier technique</w:t>
      </w:r>
    </w:p>
    <w:p w14:paraId="7A4418B5" w14:textId="519D09C3" w:rsidR="00B071F0" w:rsidRPr="005464FA" w:rsidRDefault="00C40EC5" w:rsidP="003F057F">
      <w:pPr>
        <w:pStyle w:val="FooterTableFigure"/>
        <w:widowControl w:val="0"/>
      </w:pPr>
      <w:r w:rsidRPr="005464FA">
        <w:t>c Censored patients only</w:t>
      </w:r>
    </w:p>
    <w:p w14:paraId="79833C11" w14:textId="1EDB05C0" w:rsidR="00C40EC5" w:rsidRPr="005464FA" w:rsidRDefault="00974467" w:rsidP="003F057F">
      <w:pPr>
        <w:pStyle w:val="3-BodyText"/>
        <w:widowControl w:val="0"/>
        <w:rPr>
          <w:color w:val="0066FF"/>
        </w:rPr>
      </w:pPr>
      <w:r w:rsidRPr="005464FA">
        <w:fldChar w:fldCharType="begin" w:fldLock="1"/>
      </w:r>
      <w:r w:rsidRPr="005464FA">
        <w:instrText xml:space="preserve"> REF _Ref164437645 \h </w:instrText>
      </w:r>
      <w:r w:rsidRPr="005464FA">
        <w:fldChar w:fldCharType="separate"/>
      </w:r>
      <w:r w:rsidR="00122E11" w:rsidRPr="005464FA">
        <w:t>Figure 4</w:t>
      </w:r>
      <w:r w:rsidRPr="005464FA">
        <w:fldChar w:fldCharType="end"/>
      </w:r>
      <w:r w:rsidRPr="005464FA">
        <w:t xml:space="preserve"> </w:t>
      </w:r>
      <w:r w:rsidR="00C40EC5" w:rsidRPr="005464FA">
        <w:t>presents the KM results for PFS2 in OlympiAD in the whole trial population.</w:t>
      </w:r>
    </w:p>
    <w:p w14:paraId="47B58B74" w14:textId="42D53A2F" w:rsidR="00C40EC5" w:rsidRPr="005464FA" w:rsidRDefault="00974467" w:rsidP="005F522F">
      <w:pPr>
        <w:pStyle w:val="TableFigureHeading"/>
        <w:keepLines/>
        <w:widowControl w:val="0"/>
      </w:pPr>
      <w:bookmarkStart w:id="57" w:name="_Ref164437645"/>
      <w:r w:rsidRPr="005464FA">
        <w:t xml:space="preserve">Figure </w:t>
      </w:r>
      <w:r w:rsidR="00935AC4" w:rsidRPr="005464FA">
        <w:fldChar w:fldCharType="begin" w:fldLock="1"/>
      </w:r>
      <w:r w:rsidR="00935AC4" w:rsidRPr="005464FA">
        <w:instrText xml:space="preserve"> SEQ Figure \* ARABIC </w:instrText>
      </w:r>
      <w:r w:rsidR="00935AC4" w:rsidRPr="005464FA">
        <w:fldChar w:fldCharType="separate"/>
      </w:r>
      <w:r w:rsidR="00122E11" w:rsidRPr="005464FA">
        <w:t>4</w:t>
      </w:r>
      <w:r w:rsidR="00935AC4" w:rsidRPr="005464FA">
        <w:fldChar w:fldCharType="end"/>
      </w:r>
      <w:bookmarkEnd w:id="57"/>
      <w:r w:rsidRPr="005464FA">
        <w:t xml:space="preserve">: </w:t>
      </w:r>
      <w:r w:rsidR="00C40EC5" w:rsidRPr="005464FA">
        <w:t>Kaplan-Meier estimates of time to second progression or death (full analysis set)</w:t>
      </w:r>
    </w:p>
    <w:p w14:paraId="1AB3C5C6" w14:textId="77777777" w:rsidR="00C40EC5" w:rsidRPr="005464FA" w:rsidRDefault="00C40EC5" w:rsidP="005F522F">
      <w:pPr>
        <w:keepNext/>
        <w:keepLines/>
        <w:widowControl w:val="0"/>
      </w:pPr>
      <w:r w:rsidRPr="005464FA">
        <w:rPr>
          <w:noProof/>
        </w:rPr>
        <w:drawing>
          <wp:inline distT="0" distB="0" distL="0" distR="0" wp14:anchorId="019217C8" wp14:editId="4AFC89C1">
            <wp:extent cx="5731510" cy="2423269"/>
            <wp:effectExtent l="0" t="0" r="2540" b="0"/>
            <wp:docPr id="1647137443" name="Picture 1647137443" descr="Figure 4: Kaplan-Meier estimates of time to second progression or death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37443" name="Picture 1647137443" descr="Figure 4: Kaplan-Meier estimates of time to second progression or death (full analysis s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423269"/>
                    </a:xfrm>
                    <a:prstGeom prst="rect">
                      <a:avLst/>
                    </a:prstGeom>
                    <a:noFill/>
                    <a:ln>
                      <a:noFill/>
                    </a:ln>
                  </pic:spPr>
                </pic:pic>
              </a:graphicData>
            </a:graphic>
          </wp:inline>
        </w:drawing>
      </w:r>
    </w:p>
    <w:p w14:paraId="7DB6EE3B" w14:textId="77777777" w:rsidR="00C40EC5" w:rsidRPr="005464FA" w:rsidRDefault="00C40EC5" w:rsidP="005F522F">
      <w:pPr>
        <w:pStyle w:val="FooterTableFigure"/>
        <w:keepNext/>
        <w:keepLines/>
        <w:spacing w:after="0"/>
        <w:contextualSpacing w:val="0"/>
        <w:jc w:val="left"/>
      </w:pPr>
      <w:r w:rsidRPr="005464FA">
        <w:t>Source: Figure 2.6, p71 of the submission.</w:t>
      </w:r>
    </w:p>
    <w:p w14:paraId="7FF1190E" w14:textId="35EC548E" w:rsidR="00326147" w:rsidRPr="005464FA" w:rsidRDefault="00C40EC5" w:rsidP="005F522F">
      <w:pPr>
        <w:pStyle w:val="FooterTableFigure"/>
        <w:contextualSpacing w:val="0"/>
        <w:jc w:val="left"/>
      </w:pPr>
      <w:r w:rsidRPr="005464FA">
        <w:t>Bd = twice daily</w:t>
      </w:r>
    </w:p>
    <w:p w14:paraId="1F184347" w14:textId="35D4B3F7" w:rsidR="00326147" w:rsidRPr="005464FA" w:rsidRDefault="00326147" w:rsidP="00326147">
      <w:pPr>
        <w:pStyle w:val="5-SubsectionSubheading"/>
      </w:pPr>
      <w:bookmarkStart w:id="58" w:name="_Toc167278283"/>
      <w:r w:rsidRPr="005464FA">
        <w:t>Health-related quality of life</w:t>
      </w:r>
      <w:bookmarkEnd w:id="58"/>
    </w:p>
    <w:p w14:paraId="2938924C" w14:textId="45817F20" w:rsidR="0049784F" w:rsidRPr="005464FA" w:rsidRDefault="00974467" w:rsidP="0049784F">
      <w:pPr>
        <w:pStyle w:val="3-BodyText"/>
      </w:pPr>
      <w:r w:rsidRPr="005464FA">
        <w:t xml:space="preserve">The submission discussed results of </w:t>
      </w:r>
      <w:r w:rsidR="00DE241A" w:rsidRPr="005464FA">
        <w:t xml:space="preserve">global </w:t>
      </w:r>
      <w:r w:rsidR="007D10B7" w:rsidRPr="005464FA">
        <w:t>health-related quality of life (</w:t>
      </w:r>
      <w:r w:rsidRPr="005464FA">
        <w:t>HRQoL</w:t>
      </w:r>
      <w:r w:rsidR="007D10B7" w:rsidRPr="005464FA">
        <w:t>)</w:t>
      </w:r>
      <w:r w:rsidRPr="005464FA">
        <w:t xml:space="preserve"> evaluated based on the European Organisation for Research and Treatment of Cancer Quality of Life Questionnaire Core 30-item module (EORTC QLQ C3). </w:t>
      </w:r>
      <w:r w:rsidR="0049784F" w:rsidRPr="005464FA">
        <w:t xml:space="preserve">This outcome was not formally tested and as such the p-values should be interpreted with caution. Additionally, as this was an open-label study design with patients being aware of their </w:t>
      </w:r>
      <w:r w:rsidR="0049784F" w:rsidRPr="005464FA">
        <w:lastRenderedPageBreak/>
        <w:t xml:space="preserve">treatment arm allocation, the patient reported outcome results are less robust. </w:t>
      </w:r>
      <w:r w:rsidR="005D4A87" w:rsidRPr="005464FA">
        <w:t>A</w:t>
      </w:r>
      <w:r w:rsidR="0049784F" w:rsidRPr="005464FA">
        <w:t xml:space="preserve">fter the first year (from Visit 24 onwards), EORTC QLQ-C30 compliance fell below 50% at some visits in both treatment arms and therefore the results </w:t>
      </w:r>
      <w:r w:rsidR="0004037B" w:rsidRPr="005464FA">
        <w:t xml:space="preserve">are </w:t>
      </w:r>
      <w:r w:rsidR="0049784F" w:rsidRPr="005464FA">
        <w:t>more uncertain after this time point.</w:t>
      </w:r>
    </w:p>
    <w:p w14:paraId="240A0FBA" w14:textId="77777777" w:rsidR="00974467" w:rsidRPr="005464FA" w:rsidRDefault="00974467" w:rsidP="00974467">
      <w:pPr>
        <w:pStyle w:val="3-BodyText"/>
      </w:pPr>
      <w:r w:rsidRPr="005464FA">
        <w:t xml:space="preserve">The mean score on the QLQ-C30 at baseline was 63.2 (SD=21.0) in the olaparib arm and 63.3 (SD=21.2) in the chemotherapy arm. The adjusted mean change from baseline across all time points was 3.9 (SE=1.2) in the olaparib arm (among the 191 patients who completed the questionnaire at baseline and at least once thereafter) and -3.6 (SE=2.2) in the chemotherapy arm (among 73 patients), corresponding to an estimated mean difference of 7.5 points (95% CI: 2.5, 12.4; p=0.004). </w:t>
      </w:r>
    </w:p>
    <w:p w14:paraId="1F185966" w14:textId="067FAC34" w:rsidR="00974467" w:rsidRPr="005464FA" w:rsidRDefault="00974467" w:rsidP="00974467">
      <w:pPr>
        <w:pStyle w:val="3-BodyText"/>
      </w:pPr>
      <w:r w:rsidRPr="005464FA">
        <w:t>The submission claimed that the QLQ-C30 results showed a statistically and clinically significant improvement in QoL favouring olaparib treatment.</w:t>
      </w:r>
      <w:r w:rsidR="00B82717" w:rsidRPr="005464FA">
        <w:t xml:space="preserve"> Osoba 1998</w:t>
      </w:r>
      <w:r w:rsidR="007D10B7" w:rsidRPr="005464FA">
        <w:rPr>
          <w:rStyle w:val="FootnoteReference"/>
        </w:rPr>
        <w:footnoteReference w:id="7"/>
      </w:r>
      <w:r w:rsidR="00B82717" w:rsidRPr="005464FA">
        <w:t xml:space="preserve"> reported a change of 5-10 points in the EORTC-QLQC30 as a small change</w:t>
      </w:r>
      <w:r w:rsidR="00572243" w:rsidRPr="005464FA">
        <w:t>, however statistical significance could not be concluded as QLQ-C30 was not part of the sequential hypothesis testing of OlympiAD.</w:t>
      </w:r>
    </w:p>
    <w:p w14:paraId="2F978DB5" w14:textId="12CAAC3C" w:rsidR="00974467" w:rsidRPr="005464FA" w:rsidRDefault="00974467" w:rsidP="00974467">
      <w:pPr>
        <w:pStyle w:val="3-BodyText"/>
      </w:pPr>
      <w:r w:rsidRPr="005464FA">
        <w:t>In the olaparib arm</w:t>
      </w:r>
      <w:r w:rsidR="007D10B7" w:rsidRPr="005464FA">
        <w:t>,</w:t>
      </w:r>
      <w:r w:rsidRPr="005464FA">
        <w:t xml:space="preserve"> 69/205 (33.7%) patients compared with 13/97 (13.4%) patients in the chemotherapy arm showed improvement in the global health status/QoL score best overall QoL response (2 visit responses of ‘improved’ a minimum of 21 days apart without an intervening response of ‘deterioration’). The proportion of patients with no change or deterioration (at least a 10-point decrease) was generally more favourable for the olaparib arm (41.5% no change; 11.7% deterioration) compared with the chemotherapy arm (25.8% no change; 19.6% deterioration)</w:t>
      </w:r>
      <w:r w:rsidR="0004037B" w:rsidRPr="005464FA">
        <w:t>.</w:t>
      </w:r>
    </w:p>
    <w:p w14:paraId="4D471084" w14:textId="35D67431" w:rsidR="00974467" w:rsidRPr="005464FA" w:rsidRDefault="00974467" w:rsidP="002D1F13">
      <w:pPr>
        <w:pStyle w:val="3-BodyText"/>
      </w:pPr>
      <w:r w:rsidRPr="005464FA">
        <w:t xml:space="preserve">The submission stated that the median time to a ≥10 point decrease in QLQ-C30 score was not reached in the olaparib arm and was 15.3 months in the chemotherapy arm (HR= 0.44; 95% CI: 0.25, 0.77; p=0.0043). However, neither arm reached 50% of patients with events. </w:t>
      </w:r>
      <w:r w:rsidR="00D958CD" w:rsidRPr="005464FA">
        <w:t>Consequently, the median time ≥</w:t>
      </w:r>
      <w:r w:rsidR="005E2C82">
        <w:t> </w:t>
      </w:r>
      <w:r w:rsidR="00D958CD" w:rsidRPr="005464FA">
        <w:t xml:space="preserve">10 point decrease could not be verified during the evaluation. </w:t>
      </w:r>
      <w:r w:rsidRPr="005464FA">
        <w:t>The submission stated that this represents a nominally statistically significant delay in the time to HRQoL deterioration in the olaparib arm compared with chemotherapy.</w:t>
      </w:r>
      <w:r w:rsidR="00A363C8" w:rsidRPr="005464FA">
        <w:t xml:space="preserve"> The EORTC-QLQC30 results from OlympiAD </w:t>
      </w:r>
      <w:r w:rsidR="00720691" w:rsidRPr="005464FA">
        <w:t xml:space="preserve">primary PFS DCO </w:t>
      </w:r>
      <w:r w:rsidR="003A0777" w:rsidRPr="005464FA">
        <w:t xml:space="preserve">were </w:t>
      </w:r>
      <w:r w:rsidR="009A6CAC" w:rsidRPr="005464FA">
        <w:t xml:space="preserve">used to inform the economic model. </w:t>
      </w:r>
    </w:p>
    <w:p w14:paraId="73B5BE14" w14:textId="00DF16AA" w:rsidR="00A1135A" w:rsidRPr="005464FA" w:rsidRDefault="00A1135A" w:rsidP="00A1135A">
      <w:pPr>
        <w:pStyle w:val="4-SubsectionHeading"/>
      </w:pPr>
      <w:bookmarkStart w:id="59" w:name="_Toc22897642"/>
      <w:bookmarkStart w:id="60" w:name="_Toc167278284"/>
      <w:r w:rsidRPr="005464FA">
        <w:t>Comparative harms</w:t>
      </w:r>
      <w:bookmarkEnd w:id="59"/>
      <w:bookmarkEnd w:id="60"/>
    </w:p>
    <w:p w14:paraId="26440C70" w14:textId="281C4627" w:rsidR="006E0499" w:rsidRPr="005464FA" w:rsidRDefault="00A94030" w:rsidP="006E0499">
      <w:pPr>
        <w:pStyle w:val="3-BodyText"/>
        <w:rPr>
          <w:color w:val="0066FF"/>
        </w:rPr>
      </w:pPr>
      <w:r w:rsidRPr="005464FA">
        <w:fldChar w:fldCharType="begin" w:fldLock="1"/>
      </w:r>
      <w:r w:rsidRPr="005464FA">
        <w:instrText xml:space="preserve"> REF _Ref164723789 \h </w:instrText>
      </w:r>
      <w:r w:rsidRPr="005464FA">
        <w:fldChar w:fldCharType="separate"/>
      </w:r>
      <w:r w:rsidR="00122E11" w:rsidRPr="005464FA">
        <w:t>Table 9</w:t>
      </w:r>
      <w:r w:rsidRPr="005464FA">
        <w:fldChar w:fldCharType="end"/>
      </w:r>
      <w:r w:rsidRPr="005464FA">
        <w:t xml:space="preserve"> </w:t>
      </w:r>
      <w:r w:rsidR="006E0499" w:rsidRPr="005464FA">
        <w:t xml:space="preserve">presents a summary of key adverse events (AEs) in the whole trial population as of the final OS analysis. The submission considered that although most patients in both treatment arms reported AEs during the study, these were generally non-serious, low-grade (Grade 1 or 2) AEs which did not lead to permanent treatment </w:t>
      </w:r>
      <w:r w:rsidR="006E0499" w:rsidRPr="005464FA">
        <w:lastRenderedPageBreak/>
        <w:t>discontinuation. The submission considered that this indicates that olaparib has an acceptable safety and tolerability profile for use in this treatment setting.</w:t>
      </w:r>
    </w:p>
    <w:p w14:paraId="1B9DD924" w14:textId="4D8DA3DB" w:rsidR="006E0499" w:rsidRPr="005464FA" w:rsidRDefault="006E0499" w:rsidP="005E2C82">
      <w:pPr>
        <w:pStyle w:val="TableFigureHeading"/>
        <w:keepLines/>
      </w:pPr>
      <w:bookmarkStart w:id="61" w:name="_Ref164723789"/>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9</w:t>
      </w:r>
      <w:r w:rsidR="00935AC4" w:rsidRPr="005464FA">
        <w:fldChar w:fldCharType="end"/>
      </w:r>
      <w:bookmarkEnd w:id="61"/>
      <w:r w:rsidRPr="005464FA">
        <w:t>: Summary of AEs, final</w:t>
      </w:r>
      <w:r w:rsidR="00A94030" w:rsidRPr="005464FA">
        <w:t xml:space="preserve"> OS</w:t>
      </w:r>
      <w:r w:rsidRPr="005464FA">
        <w:t xml:space="preserve"> DCO (safety analysis set)</w:t>
      </w:r>
    </w:p>
    <w:tbl>
      <w:tblPr>
        <w:tblStyle w:val="TableGrid"/>
        <w:tblW w:w="5000" w:type="pct"/>
        <w:tblLook w:val="04A0" w:firstRow="1" w:lastRow="0" w:firstColumn="1" w:lastColumn="0" w:noHBand="0" w:noVBand="1"/>
        <w:tblCaption w:val="Table 9: Summary of AEs, final OS DCO (safety analysis set)"/>
      </w:tblPr>
      <w:tblGrid>
        <w:gridCol w:w="5003"/>
        <w:gridCol w:w="1039"/>
        <w:gridCol w:w="1365"/>
        <w:gridCol w:w="1610"/>
      </w:tblGrid>
      <w:tr w:rsidR="006E0499" w:rsidRPr="005464FA" w14:paraId="0E959ECA" w14:textId="77777777" w:rsidTr="006E0499">
        <w:trPr>
          <w:trHeight w:val="178"/>
        </w:trPr>
        <w:tc>
          <w:tcPr>
            <w:tcW w:w="2774" w:type="pct"/>
            <w:vMerge w:val="restart"/>
            <w:hideMark/>
          </w:tcPr>
          <w:p w14:paraId="119FF340" w14:textId="77777777" w:rsidR="006E0499" w:rsidRPr="003E5223" w:rsidRDefault="006E0499" w:rsidP="005E2C82">
            <w:pPr>
              <w:pStyle w:val="Tabletext"/>
              <w:keepNext/>
              <w:keepLines/>
              <w:rPr>
                <w:b/>
                <w:bCs/>
              </w:rPr>
            </w:pPr>
            <w:r w:rsidRPr="003E5223">
              <w:rPr>
                <w:b/>
                <w:bCs/>
              </w:rPr>
              <w:t>AE category</w:t>
            </w:r>
          </w:p>
        </w:tc>
        <w:tc>
          <w:tcPr>
            <w:tcW w:w="1333" w:type="pct"/>
            <w:gridSpan w:val="2"/>
            <w:vAlign w:val="center"/>
          </w:tcPr>
          <w:p w14:paraId="4043A86E" w14:textId="77777777" w:rsidR="006E0499" w:rsidRPr="005464FA" w:rsidRDefault="006E0499" w:rsidP="005E2C82">
            <w:pPr>
              <w:pStyle w:val="Tabletext"/>
              <w:keepNext/>
              <w:keepLines/>
              <w:jc w:val="center"/>
              <w:rPr>
                <w:b/>
                <w:bCs/>
              </w:rPr>
            </w:pPr>
            <w:r w:rsidRPr="005464FA">
              <w:rPr>
                <w:b/>
                <w:bCs/>
              </w:rPr>
              <w:t>Number (%) of patients</w:t>
            </w:r>
            <w:r w:rsidRPr="005464FA">
              <w:rPr>
                <w:b/>
                <w:bCs/>
                <w:vertAlign w:val="superscript"/>
              </w:rPr>
              <w:t>a</w:t>
            </w:r>
          </w:p>
        </w:tc>
        <w:tc>
          <w:tcPr>
            <w:tcW w:w="893" w:type="pct"/>
            <w:vMerge w:val="restart"/>
            <w:vAlign w:val="center"/>
          </w:tcPr>
          <w:p w14:paraId="7EA1570E" w14:textId="77777777" w:rsidR="006E0499" w:rsidRPr="005464FA" w:rsidRDefault="006E0499" w:rsidP="005E2C82">
            <w:pPr>
              <w:pStyle w:val="Tabletext"/>
              <w:keepNext/>
              <w:keepLines/>
              <w:jc w:val="center"/>
              <w:rPr>
                <w:b/>
                <w:bCs/>
              </w:rPr>
            </w:pPr>
            <w:r w:rsidRPr="005464FA">
              <w:rPr>
                <w:b/>
                <w:bCs/>
              </w:rPr>
              <w:t>Risk difference (95% CI)</w:t>
            </w:r>
          </w:p>
        </w:tc>
      </w:tr>
      <w:tr w:rsidR="006E0499" w:rsidRPr="005464FA" w14:paraId="7801335C" w14:textId="77777777" w:rsidTr="006E0499">
        <w:trPr>
          <w:trHeight w:val="291"/>
        </w:trPr>
        <w:tc>
          <w:tcPr>
            <w:tcW w:w="2774" w:type="pct"/>
            <w:vMerge/>
          </w:tcPr>
          <w:p w14:paraId="1CF951AC" w14:textId="77777777" w:rsidR="006E0499" w:rsidRPr="005464FA" w:rsidRDefault="006E0499" w:rsidP="005E2C82">
            <w:pPr>
              <w:pStyle w:val="Tabletext"/>
              <w:keepNext/>
              <w:keepLines/>
            </w:pPr>
          </w:p>
        </w:tc>
        <w:tc>
          <w:tcPr>
            <w:tcW w:w="576" w:type="pct"/>
            <w:vAlign w:val="center"/>
          </w:tcPr>
          <w:p w14:paraId="23BF065B" w14:textId="77777777" w:rsidR="006E0499" w:rsidRPr="005464FA" w:rsidRDefault="006E0499" w:rsidP="005E2C82">
            <w:pPr>
              <w:pStyle w:val="Tabletext"/>
              <w:keepNext/>
              <w:keepLines/>
              <w:jc w:val="center"/>
              <w:rPr>
                <w:b/>
                <w:bCs/>
              </w:rPr>
            </w:pPr>
            <w:r w:rsidRPr="005464FA">
              <w:rPr>
                <w:b/>
                <w:bCs/>
              </w:rPr>
              <w:t xml:space="preserve">Olaparib </w:t>
            </w:r>
            <w:r w:rsidRPr="005464FA">
              <w:rPr>
                <w:b/>
                <w:bCs/>
              </w:rPr>
              <w:br/>
              <w:t>N=205</w:t>
            </w:r>
          </w:p>
        </w:tc>
        <w:tc>
          <w:tcPr>
            <w:tcW w:w="757" w:type="pct"/>
            <w:vAlign w:val="center"/>
          </w:tcPr>
          <w:p w14:paraId="7263A6D9" w14:textId="77777777" w:rsidR="006E0499" w:rsidRPr="005464FA" w:rsidRDefault="006E0499" w:rsidP="005E2C82">
            <w:pPr>
              <w:pStyle w:val="Tabletext"/>
              <w:keepNext/>
              <w:keepLines/>
              <w:jc w:val="center"/>
              <w:rPr>
                <w:b/>
                <w:bCs/>
              </w:rPr>
            </w:pPr>
            <w:r w:rsidRPr="005464FA">
              <w:rPr>
                <w:b/>
                <w:bCs/>
              </w:rPr>
              <w:t>Chemotherapy</w:t>
            </w:r>
            <w:r w:rsidRPr="005464FA">
              <w:rPr>
                <w:b/>
                <w:bCs/>
              </w:rPr>
              <w:br/>
              <w:t>N=91</w:t>
            </w:r>
          </w:p>
        </w:tc>
        <w:tc>
          <w:tcPr>
            <w:tcW w:w="893" w:type="pct"/>
            <w:vMerge/>
            <w:vAlign w:val="center"/>
          </w:tcPr>
          <w:p w14:paraId="7404D235" w14:textId="77777777" w:rsidR="006E0499" w:rsidRPr="005464FA" w:rsidRDefault="006E0499" w:rsidP="005E2C82">
            <w:pPr>
              <w:pStyle w:val="Tabletext"/>
              <w:keepNext/>
              <w:keepLines/>
              <w:jc w:val="center"/>
              <w:rPr>
                <w:b/>
                <w:bCs/>
              </w:rPr>
            </w:pPr>
          </w:p>
        </w:tc>
      </w:tr>
      <w:tr w:rsidR="006E0499" w:rsidRPr="005464FA" w14:paraId="7B78D9FE" w14:textId="77777777" w:rsidTr="006E0499">
        <w:tc>
          <w:tcPr>
            <w:tcW w:w="2774" w:type="pct"/>
            <w:hideMark/>
          </w:tcPr>
          <w:p w14:paraId="611C5737" w14:textId="77777777" w:rsidR="006E0499" w:rsidRPr="005464FA" w:rsidRDefault="006E0499" w:rsidP="005E2C82">
            <w:pPr>
              <w:pStyle w:val="Tabletext"/>
              <w:keepNext/>
              <w:keepLines/>
            </w:pPr>
            <w:r w:rsidRPr="005464FA">
              <w:t>Any AE</w:t>
            </w:r>
          </w:p>
        </w:tc>
        <w:tc>
          <w:tcPr>
            <w:tcW w:w="576" w:type="pct"/>
            <w:vAlign w:val="center"/>
            <w:hideMark/>
          </w:tcPr>
          <w:p w14:paraId="174AD07E" w14:textId="77777777" w:rsidR="006E0499" w:rsidRPr="005464FA" w:rsidRDefault="006E0499" w:rsidP="005E2C82">
            <w:pPr>
              <w:pStyle w:val="Tabletext"/>
              <w:keepNext/>
              <w:keepLines/>
              <w:jc w:val="center"/>
            </w:pPr>
            <w:r w:rsidRPr="005464FA">
              <w:t>200 (97.6)</w:t>
            </w:r>
          </w:p>
        </w:tc>
        <w:tc>
          <w:tcPr>
            <w:tcW w:w="757" w:type="pct"/>
            <w:vAlign w:val="center"/>
            <w:hideMark/>
          </w:tcPr>
          <w:p w14:paraId="2C2D40C0" w14:textId="77777777" w:rsidR="006E0499" w:rsidRPr="005464FA" w:rsidRDefault="006E0499" w:rsidP="005E2C82">
            <w:pPr>
              <w:pStyle w:val="Tabletext"/>
              <w:keepNext/>
              <w:keepLines/>
              <w:jc w:val="center"/>
            </w:pPr>
            <w:r w:rsidRPr="005464FA">
              <w:t>87 (95.6)</w:t>
            </w:r>
          </w:p>
        </w:tc>
        <w:tc>
          <w:tcPr>
            <w:tcW w:w="893" w:type="pct"/>
            <w:vAlign w:val="center"/>
          </w:tcPr>
          <w:p w14:paraId="5F19CA75" w14:textId="77777777" w:rsidR="006E0499" w:rsidRPr="005464FA" w:rsidRDefault="006E0499" w:rsidP="005E2C82">
            <w:pPr>
              <w:pStyle w:val="Tabletext"/>
              <w:keepNext/>
              <w:keepLines/>
              <w:jc w:val="center"/>
            </w:pPr>
            <w:r w:rsidRPr="005464FA">
              <w:t>0.02 (-0.03, 0.07)</w:t>
            </w:r>
          </w:p>
        </w:tc>
      </w:tr>
      <w:tr w:rsidR="006E0499" w:rsidRPr="005464FA" w14:paraId="66E832A3" w14:textId="77777777" w:rsidTr="006E0499">
        <w:tc>
          <w:tcPr>
            <w:tcW w:w="2774" w:type="pct"/>
            <w:hideMark/>
          </w:tcPr>
          <w:p w14:paraId="664FF043" w14:textId="77777777" w:rsidR="006E0499" w:rsidRPr="005464FA" w:rsidRDefault="006E0499" w:rsidP="005E2C82">
            <w:pPr>
              <w:pStyle w:val="Tabletext"/>
              <w:keepNext/>
              <w:keepLines/>
            </w:pPr>
            <w:r w:rsidRPr="005464FA">
              <w:t>Any AE causally related to study drug</w:t>
            </w:r>
            <w:r w:rsidRPr="005464FA">
              <w:rPr>
                <w:vertAlign w:val="superscript"/>
              </w:rPr>
              <w:t>b</w:t>
            </w:r>
          </w:p>
        </w:tc>
        <w:tc>
          <w:tcPr>
            <w:tcW w:w="576" w:type="pct"/>
            <w:vAlign w:val="center"/>
            <w:hideMark/>
          </w:tcPr>
          <w:p w14:paraId="23C13872" w14:textId="77777777" w:rsidR="006E0499" w:rsidRPr="005464FA" w:rsidRDefault="006E0499" w:rsidP="005E2C82">
            <w:pPr>
              <w:pStyle w:val="Tabletext"/>
              <w:keepNext/>
              <w:keepLines/>
              <w:jc w:val="center"/>
            </w:pPr>
            <w:r w:rsidRPr="005464FA">
              <w:t>178 (86.8)</w:t>
            </w:r>
          </w:p>
        </w:tc>
        <w:tc>
          <w:tcPr>
            <w:tcW w:w="757" w:type="pct"/>
            <w:vAlign w:val="center"/>
            <w:hideMark/>
          </w:tcPr>
          <w:p w14:paraId="469F3BCA" w14:textId="77777777" w:rsidR="006E0499" w:rsidRPr="005464FA" w:rsidRDefault="006E0499" w:rsidP="005E2C82">
            <w:pPr>
              <w:pStyle w:val="Tabletext"/>
              <w:keepNext/>
              <w:keepLines/>
              <w:jc w:val="center"/>
            </w:pPr>
            <w:r w:rsidRPr="005464FA">
              <w:t>74 (81.3)</w:t>
            </w:r>
          </w:p>
        </w:tc>
        <w:tc>
          <w:tcPr>
            <w:tcW w:w="893" w:type="pct"/>
            <w:vAlign w:val="center"/>
          </w:tcPr>
          <w:p w14:paraId="65C58E12" w14:textId="77777777" w:rsidR="006E0499" w:rsidRPr="005464FA" w:rsidRDefault="006E0499" w:rsidP="005E2C82">
            <w:pPr>
              <w:pStyle w:val="Tabletext"/>
              <w:keepNext/>
              <w:keepLines/>
              <w:jc w:val="center"/>
            </w:pPr>
            <w:r w:rsidRPr="005464FA">
              <w:t>0.06 (-0.04, 0.15)</w:t>
            </w:r>
          </w:p>
        </w:tc>
      </w:tr>
      <w:tr w:rsidR="006E0499" w:rsidRPr="005464FA" w14:paraId="791FBB80" w14:textId="77777777" w:rsidTr="006E0499">
        <w:tc>
          <w:tcPr>
            <w:tcW w:w="2774" w:type="pct"/>
            <w:hideMark/>
          </w:tcPr>
          <w:p w14:paraId="74EB78D8" w14:textId="77777777" w:rsidR="006E0499" w:rsidRPr="005464FA" w:rsidRDefault="006E0499" w:rsidP="005E2C82">
            <w:pPr>
              <w:pStyle w:val="Tabletext"/>
              <w:keepNext/>
              <w:keepLines/>
            </w:pPr>
            <w:r w:rsidRPr="005464FA">
              <w:t>Any AE of CTCAE Grade 3 or higher</w:t>
            </w:r>
          </w:p>
        </w:tc>
        <w:tc>
          <w:tcPr>
            <w:tcW w:w="576" w:type="pct"/>
            <w:vAlign w:val="center"/>
            <w:hideMark/>
          </w:tcPr>
          <w:p w14:paraId="0887EA50" w14:textId="77777777" w:rsidR="006E0499" w:rsidRPr="005464FA" w:rsidRDefault="006E0499" w:rsidP="005E2C82">
            <w:pPr>
              <w:pStyle w:val="Tabletext"/>
              <w:keepNext/>
              <w:keepLines/>
              <w:jc w:val="center"/>
            </w:pPr>
            <w:r w:rsidRPr="005464FA">
              <w:t>78 (38.0)</w:t>
            </w:r>
          </w:p>
        </w:tc>
        <w:tc>
          <w:tcPr>
            <w:tcW w:w="757" w:type="pct"/>
            <w:vAlign w:val="center"/>
            <w:hideMark/>
          </w:tcPr>
          <w:p w14:paraId="6134AB7E" w14:textId="77777777" w:rsidR="006E0499" w:rsidRPr="005464FA" w:rsidRDefault="006E0499" w:rsidP="005E2C82">
            <w:pPr>
              <w:pStyle w:val="Tabletext"/>
              <w:keepNext/>
              <w:keepLines/>
              <w:jc w:val="center"/>
            </w:pPr>
            <w:r w:rsidRPr="005464FA">
              <w:t>45 (49.5)</w:t>
            </w:r>
          </w:p>
        </w:tc>
        <w:tc>
          <w:tcPr>
            <w:tcW w:w="893" w:type="pct"/>
            <w:vAlign w:val="center"/>
          </w:tcPr>
          <w:p w14:paraId="3CA3F5F6" w14:textId="77777777" w:rsidR="006E0499" w:rsidRPr="005464FA" w:rsidRDefault="006E0499" w:rsidP="005E2C82">
            <w:pPr>
              <w:pStyle w:val="Tabletext"/>
              <w:keepNext/>
              <w:keepLines/>
              <w:jc w:val="center"/>
            </w:pPr>
            <w:r w:rsidRPr="005464FA">
              <w:t>-0.11 (-0.24, 0.01)</w:t>
            </w:r>
          </w:p>
        </w:tc>
      </w:tr>
      <w:tr w:rsidR="006E0499" w:rsidRPr="005464FA" w14:paraId="6599E9F4" w14:textId="77777777" w:rsidTr="006E0499">
        <w:tc>
          <w:tcPr>
            <w:tcW w:w="2774" w:type="pct"/>
          </w:tcPr>
          <w:p w14:paraId="5169153C" w14:textId="77777777" w:rsidR="006E0499" w:rsidRPr="005464FA" w:rsidRDefault="006E0499" w:rsidP="005E2C82">
            <w:pPr>
              <w:pStyle w:val="Tabletext"/>
              <w:keepNext/>
              <w:keepLines/>
            </w:pPr>
            <w:r w:rsidRPr="005464FA">
              <w:t>Any AE of CTCAE grade 3 or higher, causally related to study medication</w:t>
            </w:r>
            <w:r w:rsidRPr="005464FA">
              <w:rPr>
                <w:vertAlign w:val="superscript"/>
              </w:rPr>
              <w:t>b</w:t>
            </w:r>
          </w:p>
        </w:tc>
        <w:tc>
          <w:tcPr>
            <w:tcW w:w="576" w:type="pct"/>
            <w:vAlign w:val="center"/>
          </w:tcPr>
          <w:p w14:paraId="476082AD" w14:textId="77777777" w:rsidR="006E0499" w:rsidRPr="005464FA" w:rsidRDefault="006E0499" w:rsidP="005E2C82">
            <w:pPr>
              <w:pStyle w:val="Tabletext"/>
              <w:keepNext/>
              <w:keepLines/>
              <w:jc w:val="center"/>
            </w:pPr>
            <w:r w:rsidRPr="005464FA">
              <w:t>50 (24.4)</w:t>
            </w:r>
          </w:p>
        </w:tc>
        <w:tc>
          <w:tcPr>
            <w:tcW w:w="757" w:type="pct"/>
            <w:vAlign w:val="center"/>
          </w:tcPr>
          <w:p w14:paraId="5C82058E" w14:textId="77777777" w:rsidR="006E0499" w:rsidRPr="005464FA" w:rsidRDefault="006E0499" w:rsidP="005E2C82">
            <w:pPr>
              <w:pStyle w:val="Tabletext"/>
              <w:keepNext/>
              <w:keepLines/>
              <w:jc w:val="center"/>
            </w:pPr>
            <w:r w:rsidRPr="005464FA">
              <w:t>31 (34.1)</w:t>
            </w:r>
          </w:p>
        </w:tc>
        <w:tc>
          <w:tcPr>
            <w:tcW w:w="893" w:type="pct"/>
            <w:vAlign w:val="center"/>
          </w:tcPr>
          <w:p w14:paraId="031C0935" w14:textId="77777777" w:rsidR="006E0499" w:rsidRPr="005464FA" w:rsidRDefault="006E0499" w:rsidP="005E2C82">
            <w:pPr>
              <w:pStyle w:val="Tabletext"/>
              <w:keepNext/>
              <w:keepLines/>
              <w:jc w:val="center"/>
            </w:pPr>
            <w:r w:rsidRPr="005464FA">
              <w:t>-0.1 (-0.21, 0.02)</w:t>
            </w:r>
          </w:p>
        </w:tc>
      </w:tr>
      <w:tr w:rsidR="006E0499" w:rsidRPr="005464FA" w14:paraId="1A4FA219" w14:textId="77777777" w:rsidTr="006E0499">
        <w:tc>
          <w:tcPr>
            <w:tcW w:w="2774" w:type="pct"/>
            <w:hideMark/>
          </w:tcPr>
          <w:p w14:paraId="5CB11C38" w14:textId="77777777" w:rsidR="006E0499" w:rsidRPr="005464FA" w:rsidRDefault="006E0499" w:rsidP="005E2C82">
            <w:pPr>
              <w:pStyle w:val="Tabletext"/>
              <w:keepNext/>
              <w:keepLines/>
            </w:pPr>
            <w:r w:rsidRPr="005464FA">
              <w:t>Any AE with outcome of death</w:t>
            </w:r>
          </w:p>
        </w:tc>
        <w:tc>
          <w:tcPr>
            <w:tcW w:w="576" w:type="pct"/>
            <w:vAlign w:val="center"/>
            <w:hideMark/>
          </w:tcPr>
          <w:p w14:paraId="11947460" w14:textId="77777777" w:rsidR="006E0499" w:rsidRPr="005464FA" w:rsidRDefault="006E0499" w:rsidP="005E2C82">
            <w:pPr>
              <w:pStyle w:val="Tabletext"/>
              <w:keepNext/>
              <w:keepLines/>
              <w:jc w:val="center"/>
            </w:pPr>
            <w:r w:rsidRPr="005464FA">
              <w:t>1 (0.5)</w:t>
            </w:r>
          </w:p>
        </w:tc>
        <w:tc>
          <w:tcPr>
            <w:tcW w:w="757" w:type="pct"/>
            <w:vAlign w:val="center"/>
            <w:hideMark/>
          </w:tcPr>
          <w:p w14:paraId="07414D29" w14:textId="77777777" w:rsidR="006E0499" w:rsidRPr="005464FA" w:rsidRDefault="006E0499" w:rsidP="005E2C82">
            <w:pPr>
              <w:pStyle w:val="Tabletext"/>
              <w:keepNext/>
              <w:keepLines/>
              <w:jc w:val="center"/>
            </w:pPr>
            <w:r w:rsidRPr="005464FA">
              <w:t>0</w:t>
            </w:r>
          </w:p>
        </w:tc>
        <w:tc>
          <w:tcPr>
            <w:tcW w:w="893" w:type="pct"/>
            <w:vAlign w:val="center"/>
          </w:tcPr>
          <w:p w14:paraId="6F39DFE7" w14:textId="77777777" w:rsidR="006E0499" w:rsidRPr="005464FA" w:rsidRDefault="006E0499" w:rsidP="005E2C82">
            <w:pPr>
              <w:pStyle w:val="Tabletext"/>
              <w:keepNext/>
              <w:keepLines/>
              <w:jc w:val="center"/>
            </w:pPr>
            <w:r w:rsidRPr="005464FA">
              <w:t>0 (0, 0.01)</w:t>
            </w:r>
          </w:p>
        </w:tc>
      </w:tr>
      <w:tr w:rsidR="006E0499" w:rsidRPr="005464FA" w14:paraId="0E4052A2" w14:textId="77777777" w:rsidTr="006E0499">
        <w:tc>
          <w:tcPr>
            <w:tcW w:w="2774" w:type="pct"/>
          </w:tcPr>
          <w:p w14:paraId="19ABB649" w14:textId="022E26AE" w:rsidR="006E0499" w:rsidRPr="005464FA" w:rsidRDefault="006E0499" w:rsidP="005E2C82">
            <w:pPr>
              <w:pStyle w:val="Tabletext"/>
              <w:keepNext/>
              <w:keepLines/>
            </w:pPr>
            <w:r w:rsidRPr="005464FA">
              <w:t xml:space="preserve">Nausea, any grade </w:t>
            </w:r>
          </w:p>
        </w:tc>
        <w:tc>
          <w:tcPr>
            <w:tcW w:w="576" w:type="pct"/>
            <w:vAlign w:val="center"/>
          </w:tcPr>
          <w:p w14:paraId="6B7CBDF2" w14:textId="5C6F2FA9" w:rsidR="006E0499" w:rsidRPr="005464FA" w:rsidRDefault="006E0499" w:rsidP="005E2C82">
            <w:pPr>
              <w:pStyle w:val="Tabletext"/>
              <w:keepNext/>
              <w:keepLines/>
              <w:jc w:val="center"/>
            </w:pPr>
            <w:r w:rsidRPr="005464FA">
              <w:t>119 (58.0)</w:t>
            </w:r>
          </w:p>
        </w:tc>
        <w:tc>
          <w:tcPr>
            <w:tcW w:w="757" w:type="pct"/>
            <w:vAlign w:val="center"/>
          </w:tcPr>
          <w:p w14:paraId="2B8FEC4B" w14:textId="3EE631CB" w:rsidR="006E0499" w:rsidRPr="005464FA" w:rsidRDefault="006E0499" w:rsidP="005E2C82">
            <w:pPr>
              <w:pStyle w:val="Tabletext"/>
              <w:keepNext/>
              <w:keepLines/>
              <w:jc w:val="center"/>
            </w:pPr>
            <w:r w:rsidRPr="005464FA">
              <w:t>32 (35.2)</w:t>
            </w:r>
          </w:p>
        </w:tc>
        <w:tc>
          <w:tcPr>
            <w:tcW w:w="893" w:type="pct"/>
            <w:vAlign w:val="center"/>
          </w:tcPr>
          <w:p w14:paraId="4B68CAFE" w14:textId="67F7FE95" w:rsidR="006E0499" w:rsidRPr="005464FA" w:rsidRDefault="006E0499" w:rsidP="005E2C82">
            <w:pPr>
              <w:pStyle w:val="Tabletext"/>
              <w:keepNext/>
              <w:keepLines/>
              <w:jc w:val="center"/>
              <w:rPr>
                <w:b/>
              </w:rPr>
            </w:pPr>
            <w:r w:rsidRPr="005464FA">
              <w:rPr>
                <w:b/>
              </w:rPr>
              <w:t>0.23 (0.11, 0.35)</w:t>
            </w:r>
          </w:p>
        </w:tc>
      </w:tr>
      <w:tr w:rsidR="006E0499" w:rsidRPr="005464FA" w14:paraId="7A3E74B6" w14:textId="77777777" w:rsidTr="006E0499">
        <w:tc>
          <w:tcPr>
            <w:tcW w:w="2774" w:type="pct"/>
          </w:tcPr>
          <w:p w14:paraId="54AEDAF4" w14:textId="0A89BE03" w:rsidR="006E0499" w:rsidRPr="005464FA" w:rsidRDefault="006E0499" w:rsidP="005E2C82">
            <w:pPr>
              <w:pStyle w:val="Tabletext"/>
              <w:keepNext/>
              <w:keepLines/>
            </w:pPr>
            <w:r w:rsidRPr="005464FA">
              <w:t>Anaemia</w:t>
            </w:r>
            <w:r w:rsidRPr="005464FA">
              <w:rPr>
                <w:vertAlign w:val="superscript"/>
              </w:rPr>
              <w:t>d</w:t>
            </w:r>
            <w:r w:rsidRPr="005464FA">
              <w:t xml:space="preserve"> any grade </w:t>
            </w:r>
          </w:p>
        </w:tc>
        <w:tc>
          <w:tcPr>
            <w:tcW w:w="576" w:type="pct"/>
            <w:vAlign w:val="center"/>
          </w:tcPr>
          <w:p w14:paraId="5312B521" w14:textId="77543BD6" w:rsidR="006E0499" w:rsidRPr="005464FA" w:rsidRDefault="006E0499" w:rsidP="005E2C82">
            <w:pPr>
              <w:pStyle w:val="Tabletext"/>
              <w:keepNext/>
              <w:keepLines/>
              <w:jc w:val="center"/>
            </w:pPr>
            <w:r w:rsidRPr="005464FA">
              <w:t>81 (39.5)</w:t>
            </w:r>
          </w:p>
        </w:tc>
        <w:tc>
          <w:tcPr>
            <w:tcW w:w="757" w:type="pct"/>
            <w:vAlign w:val="center"/>
          </w:tcPr>
          <w:p w14:paraId="0FBBA1CF" w14:textId="2B854FC3" w:rsidR="006E0499" w:rsidRPr="005464FA" w:rsidRDefault="006E0499" w:rsidP="005E2C82">
            <w:pPr>
              <w:pStyle w:val="Tabletext"/>
              <w:keepNext/>
              <w:keepLines/>
              <w:jc w:val="center"/>
            </w:pPr>
            <w:r w:rsidRPr="005464FA">
              <w:t>23 (25.3)</w:t>
            </w:r>
          </w:p>
        </w:tc>
        <w:tc>
          <w:tcPr>
            <w:tcW w:w="893" w:type="pct"/>
            <w:vAlign w:val="center"/>
          </w:tcPr>
          <w:p w14:paraId="2C3B4E7A" w14:textId="3665A350" w:rsidR="006E0499" w:rsidRPr="005464FA" w:rsidRDefault="006E0499" w:rsidP="005E2C82">
            <w:pPr>
              <w:pStyle w:val="Tabletext"/>
              <w:keepNext/>
              <w:keepLines/>
              <w:jc w:val="center"/>
              <w:rPr>
                <w:b/>
              </w:rPr>
            </w:pPr>
            <w:r w:rsidRPr="005464FA">
              <w:rPr>
                <w:b/>
              </w:rPr>
              <w:t>0.14 (0.03, 0.25)</w:t>
            </w:r>
          </w:p>
        </w:tc>
      </w:tr>
      <w:tr w:rsidR="006E0499" w:rsidRPr="005464FA" w14:paraId="7BED4943" w14:textId="77777777" w:rsidTr="006E0499">
        <w:tc>
          <w:tcPr>
            <w:tcW w:w="2774" w:type="pct"/>
          </w:tcPr>
          <w:p w14:paraId="49105484" w14:textId="5112DFD9" w:rsidR="006E0499" w:rsidRPr="005464FA" w:rsidRDefault="006E0499" w:rsidP="005E2C82">
            <w:pPr>
              <w:pStyle w:val="Tabletext"/>
              <w:keepNext/>
              <w:keepLines/>
            </w:pPr>
            <w:r w:rsidRPr="005464FA">
              <w:t>Anaemia</w:t>
            </w:r>
            <w:r w:rsidRPr="005464FA">
              <w:rPr>
                <w:vertAlign w:val="superscript"/>
              </w:rPr>
              <w:t>d</w:t>
            </w:r>
            <w:r w:rsidRPr="005464FA">
              <w:t>, Grade 3 or above</w:t>
            </w:r>
          </w:p>
        </w:tc>
        <w:tc>
          <w:tcPr>
            <w:tcW w:w="576" w:type="pct"/>
            <w:vAlign w:val="center"/>
          </w:tcPr>
          <w:p w14:paraId="12872319" w14:textId="0AABC0BD" w:rsidR="006E0499" w:rsidRPr="005464FA" w:rsidRDefault="006E0499" w:rsidP="005E2C82">
            <w:pPr>
              <w:pStyle w:val="Tabletext"/>
              <w:keepNext/>
              <w:keepLines/>
              <w:jc w:val="center"/>
            </w:pPr>
            <w:r w:rsidRPr="005464FA">
              <w:t>32 (15.6)</w:t>
            </w:r>
          </w:p>
        </w:tc>
        <w:tc>
          <w:tcPr>
            <w:tcW w:w="757" w:type="pct"/>
            <w:vAlign w:val="center"/>
          </w:tcPr>
          <w:p w14:paraId="655A3312" w14:textId="73BDE8DC" w:rsidR="006E0499" w:rsidRPr="005464FA" w:rsidRDefault="006E0499" w:rsidP="005E2C82">
            <w:pPr>
              <w:pStyle w:val="Tabletext"/>
              <w:keepNext/>
              <w:keepLines/>
              <w:jc w:val="center"/>
            </w:pPr>
            <w:r w:rsidRPr="005464FA">
              <w:t>4 (4.4)</w:t>
            </w:r>
          </w:p>
        </w:tc>
        <w:tc>
          <w:tcPr>
            <w:tcW w:w="893" w:type="pct"/>
            <w:vAlign w:val="center"/>
          </w:tcPr>
          <w:p w14:paraId="50663432" w14:textId="4A750C81" w:rsidR="006E0499" w:rsidRPr="005464FA" w:rsidRDefault="006E0499" w:rsidP="005E2C82">
            <w:pPr>
              <w:pStyle w:val="Tabletext"/>
              <w:keepNext/>
              <w:keepLines/>
              <w:jc w:val="center"/>
              <w:rPr>
                <w:b/>
              </w:rPr>
            </w:pPr>
            <w:r w:rsidRPr="005464FA">
              <w:rPr>
                <w:b/>
              </w:rPr>
              <w:t>0.11 (0.05, 0.18)</w:t>
            </w:r>
          </w:p>
        </w:tc>
      </w:tr>
      <w:tr w:rsidR="006E0499" w:rsidRPr="005464FA" w14:paraId="56BB84DC" w14:textId="77777777" w:rsidTr="006E0499">
        <w:tc>
          <w:tcPr>
            <w:tcW w:w="2774" w:type="pct"/>
          </w:tcPr>
          <w:p w14:paraId="0937F91A" w14:textId="5FBD0A6E" w:rsidR="006E0499" w:rsidRPr="005464FA" w:rsidRDefault="00165B00" w:rsidP="005E2C82">
            <w:pPr>
              <w:pStyle w:val="Tabletext"/>
              <w:keepNext/>
              <w:keepLines/>
            </w:pPr>
            <w:r w:rsidRPr="005464FA">
              <w:t>Vomiting</w:t>
            </w:r>
            <w:r w:rsidR="006E0499" w:rsidRPr="005464FA">
              <w:t>, any grade</w:t>
            </w:r>
          </w:p>
        </w:tc>
        <w:tc>
          <w:tcPr>
            <w:tcW w:w="576" w:type="pct"/>
            <w:vAlign w:val="center"/>
          </w:tcPr>
          <w:p w14:paraId="435C0F45" w14:textId="24B55E42" w:rsidR="006E0499" w:rsidRPr="005464FA" w:rsidRDefault="006E0499" w:rsidP="005E2C82">
            <w:pPr>
              <w:pStyle w:val="Tabletext"/>
              <w:keepNext/>
              <w:keepLines/>
              <w:jc w:val="center"/>
            </w:pPr>
            <w:r w:rsidRPr="005464FA">
              <w:t>66 (32.2)</w:t>
            </w:r>
          </w:p>
        </w:tc>
        <w:tc>
          <w:tcPr>
            <w:tcW w:w="757" w:type="pct"/>
            <w:vAlign w:val="center"/>
          </w:tcPr>
          <w:p w14:paraId="3DC2A614" w14:textId="5E3C7328" w:rsidR="006E0499" w:rsidRPr="005464FA" w:rsidRDefault="006E0499" w:rsidP="005E2C82">
            <w:pPr>
              <w:pStyle w:val="Tabletext"/>
              <w:keepNext/>
              <w:keepLines/>
              <w:jc w:val="center"/>
            </w:pPr>
            <w:r w:rsidRPr="005464FA">
              <w:t>14 (15.4)</w:t>
            </w:r>
          </w:p>
        </w:tc>
        <w:tc>
          <w:tcPr>
            <w:tcW w:w="893" w:type="pct"/>
            <w:vAlign w:val="center"/>
          </w:tcPr>
          <w:p w14:paraId="6F6A2933" w14:textId="6E79F51A" w:rsidR="006E0499" w:rsidRPr="005464FA" w:rsidRDefault="006E0499" w:rsidP="005E2C82">
            <w:pPr>
              <w:pStyle w:val="Tabletext"/>
              <w:keepNext/>
              <w:keepLines/>
              <w:jc w:val="center"/>
              <w:rPr>
                <w:b/>
              </w:rPr>
            </w:pPr>
            <w:r w:rsidRPr="005464FA">
              <w:rPr>
                <w:b/>
              </w:rPr>
              <w:t>0.17 (0.07, 0.27)</w:t>
            </w:r>
          </w:p>
        </w:tc>
      </w:tr>
      <w:tr w:rsidR="006E0499" w:rsidRPr="005464FA" w14:paraId="1842CE36" w14:textId="77777777" w:rsidTr="006E0499">
        <w:tc>
          <w:tcPr>
            <w:tcW w:w="2774" w:type="pct"/>
          </w:tcPr>
          <w:p w14:paraId="72E4C502" w14:textId="4C56B9B1" w:rsidR="006E0499" w:rsidRPr="005464FA" w:rsidRDefault="006E0499" w:rsidP="005E2C82">
            <w:pPr>
              <w:pStyle w:val="Tabletext"/>
              <w:keepNext/>
              <w:keepLines/>
            </w:pPr>
            <w:r w:rsidRPr="005464FA">
              <w:t>Neutropenia, any grade</w:t>
            </w:r>
          </w:p>
        </w:tc>
        <w:tc>
          <w:tcPr>
            <w:tcW w:w="576" w:type="pct"/>
            <w:vAlign w:val="center"/>
          </w:tcPr>
          <w:p w14:paraId="4D66DCCE" w14:textId="51115C69" w:rsidR="006E0499" w:rsidRPr="005464FA" w:rsidRDefault="006E0499" w:rsidP="005E2C82">
            <w:pPr>
              <w:pStyle w:val="Tabletext"/>
              <w:keepNext/>
              <w:keepLines/>
              <w:jc w:val="center"/>
            </w:pPr>
            <w:r w:rsidRPr="005464FA">
              <w:t>37 (18.0)</w:t>
            </w:r>
          </w:p>
        </w:tc>
        <w:tc>
          <w:tcPr>
            <w:tcW w:w="757" w:type="pct"/>
            <w:vAlign w:val="center"/>
          </w:tcPr>
          <w:p w14:paraId="7E31A712" w14:textId="1B854BC2" w:rsidR="006E0499" w:rsidRPr="005464FA" w:rsidRDefault="006E0499" w:rsidP="005E2C82">
            <w:pPr>
              <w:pStyle w:val="Tabletext"/>
              <w:keepNext/>
              <w:keepLines/>
              <w:jc w:val="center"/>
            </w:pPr>
            <w:r w:rsidRPr="005464FA">
              <w:t>28 (30.8)</w:t>
            </w:r>
          </w:p>
        </w:tc>
        <w:tc>
          <w:tcPr>
            <w:tcW w:w="893" w:type="pct"/>
            <w:vAlign w:val="center"/>
          </w:tcPr>
          <w:p w14:paraId="51E34E61" w14:textId="361E8E52" w:rsidR="006E0499" w:rsidRPr="005464FA" w:rsidRDefault="006E0499" w:rsidP="005E2C82">
            <w:pPr>
              <w:pStyle w:val="Tabletext"/>
              <w:keepNext/>
              <w:keepLines/>
              <w:jc w:val="center"/>
              <w:rPr>
                <w:b/>
              </w:rPr>
            </w:pPr>
            <w:r w:rsidRPr="005464FA">
              <w:rPr>
                <w:b/>
              </w:rPr>
              <w:t>-0.13 (-0.24, -0.02)</w:t>
            </w:r>
          </w:p>
        </w:tc>
      </w:tr>
      <w:tr w:rsidR="006E0499" w:rsidRPr="005464FA" w14:paraId="7349B022" w14:textId="77777777" w:rsidTr="006E0499">
        <w:tc>
          <w:tcPr>
            <w:tcW w:w="2774" w:type="pct"/>
          </w:tcPr>
          <w:p w14:paraId="55EDA177" w14:textId="6FB118CB" w:rsidR="006E0499" w:rsidRPr="005464FA" w:rsidRDefault="006E0499" w:rsidP="005E2C82">
            <w:pPr>
              <w:pStyle w:val="Tabletext"/>
              <w:keepNext/>
              <w:keepLines/>
            </w:pPr>
            <w:r w:rsidRPr="005464FA">
              <w:t xml:space="preserve">Palmar-plantar erythrodysesthesia, any grade </w:t>
            </w:r>
          </w:p>
        </w:tc>
        <w:tc>
          <w:tcPr>
            <w:tcW w:w="576" w:type="pct"/>
            <w:vAlign w:val="center"/>
          </w:tcPr>
          <w:p w14:paraId="185846BF" w14:textId="1353A8B4" w:rsidR="006E0499" w:rsidRPr="005464FA" w:rsidRDefault="006E0499" w:rsidP="005E2C82">
            <w:pPr>
              <w:pStyle w:val="Tabletext"/>
              <w:keepNext/>
              <w:keepLines/>
              <w:jc w:val="center"/>
            </w:pPr>
            <w:r w:rsidRPr="005464FA">
              <w:t>1 (0.5)</w:t>
            </w:r>
          </w:p>
        </w:tc>
        <w:tc>
          <w:tcPr>
            <w:tcW w:w="757" w:type="pct"/>
            <w:vAlign w:val="center"/>
          </w:tcPr>
          <w:p w14:paraId="0D9ED22D" w14:textId="3F14B351" w:rsidR="006E0499" w:rsidRPr="005464FA" w:rsidRDefault="006E0499" w:rsidP="005E2C82">
            <w:pPr>
              <w:pStyle w:val="Tabletext"/>
              <w:keepNext/>
              <w:keepLines/>
              <w:jc w:val="center"/>
            </w:pPr>
            <w:r w:rsidRPr="005464FA">
              <w:t>19 (20.9</w:t>
            </w:r>
            <w:r w:rsidR="00E03CAC" w:rsidRPr="005464FA">
              <w:t>)</w:t>
            </w:r>
          </w:p>
        </w:tc>
        <w:tc>
          <w:tcPr>
            <w:tcW w:w="893" w:type="pct"/>
            <w:vAlign w:val="center"/>
          </w:tcPr>
          <w:p w14:paraId="20F1B216" w14:textId="7626925B" w:rsidR="006E0499" w:rsidRPr="005464FA" w:rsidRDefault="006E0499" w:rsidP="005E2C82">
            <w:pPr>
              <w:pStyle w:val="Tabletext"/>
              <w:keepNext/>
              <w:keepLines/>
              <w:jc w:val="center"/>
              <w:rPr>
                <w:b/>
              </w:rPr>
            </w:pPr>
            <w:r w:rsidRPr="005464FA">
              <w:rPr>
                <w:b/>
              </w:rPr>
              <w:t>-0.2 (-0.29, -0.12)</w:t>
            </w:r>
          </w:p>
        </w:tc>
      </w:tr>
      <w:tr w:rsidR="006E0499" w:rsidRPr="005464FA" w14:paraId="6BBBD092" w14:textId="77777777" w:rsidTr="006E0499">
        <w:tc>
          <w:tcPr>
            <w:tcW w:w="2774" w:type="pct"/>
          </w:tcPr>
          <w:p w14:paraId="59208D25" w14:textId="74AB1934" w:rsidR="006E0499" w:rsidRPr="005464FA" w:rsidRDefault="006E0499" w:rsidP="005E2C82">
            <w:pPr>
              <w:pStyle w:val="Tabletext"/>
              <w:keepNext/>
              <w:keepLines/>
            </w:pPr>
            <w:r w:rsidRPr="005464FA">
              <w:t>Decreased neutrophil count, grade 3 or above</w:t>
            </w:r>
          </w:p>
        </w:tc>
        <w:tc>
          <w:tcPr>
            <w:tcW w:w="576" w:type="pct"/>
            <w:vAlign w:val="center"/>
          </w:tcPr>
          <w:p w14:paraId="50D39D61" w14:textId="0D2B9739" w:rsidR="006E0499" w:rsidRPr="005464FA" w:rsidRDefault="006E0499" w:rsidP="005E2C82">
            <w:pPr>
              <w:pStyle w:val="Tabletext"/>
              <w:keepNext/>
              <w:keepLines/>
              <w:jc w:val="center"/>
            </w:pPr>
            <w:r w:rsidRPr="005464FA">
              <w:t>10 (4.9)</w:t>
            </w:r>
          </w:p>
        </w:tc>
        <w:tc>
          <w:tcPr>
            <w:tcW w:w="757" w:type="pct"/>
            <w:vAlign w:val="center"/>
          </w:tcPr>
          <w:p w14:paraId="61498361" w14:textId="298BB316" w:rsidR="006E0499" w:rsidRPr="005464FA" w:rsidRDefault="006E0499" w:rsidP="005E2C82">
            <w:pPr>
              <w:pStyle w:val="Tabletext"/>
              <w:keepNext/>
              <w:keepLines/>
              <w:jc w:val="center"/>
            </w:pPr>
            <w:r w:rsidRPr="005464FA">
              <w:t>17 (18.7)</w:t>
            </w:r>
          </w:p>
        </w:tc>
        <w:tc>
          <w:tcPr>
            <w:tcW w:w="893" w:type="pct"/>
            <w:vAlign w:val="center"/>
          </w:tcPr>
          <w:p w14:paraId="5C4204B7" w14:textId="62F2E436" w:rsidR="006E0499" w:rsidRPr="005464FA" w:rsidRDefault="006E0499" w:rsidP="005E2C82">
            <w:pPr>
              <w:pStyle w:val="Tabletext"/>
              <w:keepNext/>
              <w:keepLines/>
              <w:jc w:val="center"/>
              <w:rPr>
                <w:b/>
              </w:rPr>
            </w:pPr>
            <w:r w:rsidRPr="005464FA">
              <w:rPr>
                <w:b/>
              </w:rPr>
              <w:t>-0.08 (-0.16, -0.01)</w:t>
            </w:r>
          </w:p>
        </w:tc>
      </w:tr>
    </w:tbl>
    <w:p w14:paraId="1F3D670E" w14:textId="7F34599C" w:rsidR="006E0499" w:rsidRPr="005464FA" w:rsidRDefault="006E0499" w:rsidP="005E2C82">
      <w:pPr>
        <w:pStyle w:val="FooterTableFigure"/>
        <w:keepNext/>
        <w:keepLines/>
      </w:pPr>
      <w:r w:rsidRPr="005464FA">
        <w:t>Source: Table 2.26, p81</w:t>
      </w:r>
      <w:r w:rsidR="009B6F39" w:rsidRPr="005464FA">
        <w:t xml:space="preserve"> and Table 2.27, p83</w:t>
      </w:r>
      <w:r w:rsidRPr="005464FA">
        <w:t xml:space="preserve"> of the submission.</w:t>
      </w:r>
    </w:p>
    <w:p w14:paraId="11A73ADD" w14:textId="77777777" w:rsidR="006E0499" w:rsidRPr="005464FA" w:rsidRDefault="006E0499" w:rsidP="005E2C82">
      <w:pPr>
        <w:pStyle w:val="FooterTableFigure"/>
        <w:keepNext/>
        <w:keepLines/>
      </w:pPr>
      <w:r w:rsidRPr="005464FA">
        <w:t xml:space="preserve">AE = adverse event; CTCAE = Common Terminology Criteria for Adverse Events; DCO = data cut-off; SAE = serious adverse event. </w:t>
      </w:r>
    </w:p>
    <w:p w14:paraId="5789DB4B" w14:textId="77777777" w:rsidR="006E0499" w:rsidRPr="005464FA" w:rsidRDefault="006E0499" w:rsidP="005E2C82">
      <w:pPr>
        <w:pStyle w:val="FooterTableFigure"/>
        <w:keepNext/>
        <w:keepLines/>
      </w:pPr>
      <w:r w:rsidRPr="005464FA">
        <w:t>a Patients with multiple events in the same category were counted only once in that category. Patients with events in more than 1 category were counted once in each of those categories.</w:t>
      </w:r>
    </w:p>
    <w:p w14:paraId="5EAEB020" w14:textId="77777777" w:rsidR="006E0499" w:rsidRPr="005464FA" w:rsidRDefault="006E0499" w:rsidP="005E2C82">
      <w:pPr>
        <w:pStyle w:val="FooterTableFigure"/>
        <w:keepNext/>
        <w:keepLines/>
      </w:pPr>
      <w:r w:rsidRPr="005464FA">
        <w:t xml:space="preserve">b As assessed by the Investigator to have a reasonable possibility that the event may have been caused by the study drug. </w:t>
      </w:r>
    </w:p>
    <w:p w14:paraId="6EA79A55" w14:textId="77777777" w:rsidR="006E0499" w:rsidRPr="005464FA" w:rsidRDefault="006E0499" w:rsidP="005E2C82">
      <w:pPr>
        <w:pStyle w:val="FooterTableFigure"/>
        <w:keepNext/>
        <w:keepLines/>
      </w:pPr>
      <w:r w:rsidRPr="005464FA">
        <w:t>c Includes AEs with an onset date on or after the date of first dose and up to and including 30 days following the date of last dose of olaparib/chemotherapy. There were no other significant AEs defined for olaparib. Classified using MedDRA version 19.1. CTCAE version 4.0.</w:t>
      </w:r>
    </w:p>
    <w:p w14:paraId="1F401C05" w14:textId="4CEA58AB" w:rsidR="006E0499" w:rsidRPr="005464FA" w:rsidRDefault="006E0499" w:rsidP="005F522F">
      <w:pPr>
        <w:pStyle w:val="FooterTableFigure"/>
        <w:keepNext/>
        <w:keepLines/>
      </w:pPr>
      <w:r w:rsidRPr="005464FA">
        <w:t xml:space="preserve">d The anaemia category includes anaemia, decreased </w:t>
      </w:r>
      <w:r w:rsidR="00CC280C" w:rsidRPr="005464FA">
        <w:t>haemoglobin</w:t>
      </w:r>
      <w:r w:rsidRPr="005464FA">
        <w:t xml:space="preserve"> level, decreased </w:t>
      </w:r>
      <w:r w:rsidR="00CC280C" w:rsidRPr="005464FA">
        <w:t>haematocrit</w:t>
      </w:r>
      <w:r w:rsidRPr="005464FA">
        <w:t>, decreased red-cell count, and erythropenia</w:t>
      </w:r>
    </w:p>
    <w:p w14:paraId="3528FB86" w14:textId="3B8D5B33" w:rsidR="00AB6008" w:rsidRPr="005464FA" w:rsidRDefault="00AB6008" w:rsidP="005F522F">
      <w:pPr>
        <w:pStyle w:val="FooterTableFigure"/>
        <w:keepNext/>
        <w:keepLines/>
      </w:pPr>
      <w:r w:rsidRPr="005464FA">
        <w:t>Text in bold indicate risk differences which did not include 0 in the 95% confidence interval</w:t>
      </w:r>
    </w:p>
    <w:p w14:paraId="13C54EBB" w14:textId="7188F844" w:rsidR="006E0499" w:rsidRPr="005464FA" w:rsidRDefault="006E0499" w:rsidP="005F522F">
      <w:pPr>
        <w:pStyle w:val="FooterTableFigure"/>
        <w:contextualSpacing w:val="0"/>
      </w:pPr>
      <w:r w:rsidRPr="005464FA">
        <w:t xml:space="preserve">Note: Risk differences calculated during the evaluation using Microsoft Excel </w:t>
      </w:r>
    </w:p>
    <w:p w14:paraId="6918E42E" w14:textId="65CC888F" w:rsidR="006E0499" w:rsidRPr="005464FA" w:rsidRDefault="006E0499" w:rsidP="006E0499">
      <w:pPr>
        <w:pStyle w:val="3-BodyText"/>
      </w:pPr>
      <w:r w:rsidRPr="005464FA">
        <w:t>AEs reported at a higher frequency (≥5% difference) with chemotherapy treatment compared with olaparib included neutropenia/neutrophil count decreased, aspartate aminotransferase increased, alanine aminotransferase increased, myalgia, alopecia, peripheral sensory neuropathy and palmar</w:t>
      </w:r>
      <w:r w:rsidR="00165B00" w:rsidRPr="005464FA">
        <w:t>-</w:t>
      </w:r>
      <w:r w:rsidRPr="005464FA">
        <w:t>plantar erythrodysaesthesia syndrome. Nausea, anaemia, vomiting, fatigue, cough, decreased appetite, back pain, and headache were reported at a higher frequency (≥5% difference) in the olaparib arm. Overall, risk differences in severe AEs (grade 3 or above) between the two treatments w</w:t>
      </w:r>
      <w:r w:rsidR="0004037B" w:rsidRPr="005464FA">
        <w:t>ere</w:t>
      </w:r>
      <w:r w:rsidRPr="005464FA">
        <w:t xml:space="preserve"> only observed for anaemia (0.11, 95% CI 0.05, 0.18, favouring chemotherapy) and decreased neutrophil count (-0.08, 95% CI -0.16, -0.01, favouring olaparib). </w:t>
      </w:r>
    </w:p>
    <w:p w14:paraId="536953F7" w14:textId="1882B2FA" w:rsidR="006E0499" w:rsidRPr="005464FA" w:rsidRDefault="006E0499" w:rsidP="006E0499">
      <w:pPr>
        <w:pStyle w:val="3-BodyText"/>
      </w:pPr>
      <w:r w:rsidRPr="005464FA">
        <w:t xml:space="preserve">Overall, the adverse events suggested a different but generally non-inferior safety profile for olaparib compared to chemotherapy. </w:t>
      </w:r>
    </w:p>
    <w:p w14:paraId="61B255A1" w14:textId="2909E404" w:rsidR="00A1135A" w:rsidRPr="005464FA" w:rsidRDefault="00A1135A" w:rsidP="000D5E52">
      <w:pPr>
        <w:pStyle w:val="4-SubsectionHeading"/>
      </w:pPr>
      <w:bookmarkStart w:id="62" w:name="_Toc22897643"/>
      <w:bookmarkStart w:id="63" w:name="_Toc167278285"/>
      <w:r w:rsidRPr="005464FA">
        <w:t>Benefits/harms</w:t>
      </w:r>
      <w:bookmarkEnd w:id="62"/>
      <w:bookmarkEnd w:id="63"/>
      <w:r w:rsidRPr="005464FA">
        <w:rPr>
          <w:color w:val="0066FF"/>
        </w:rPr>
        <w:t xml:space="preserve"> </w:t>
      </w:r>
    </w:p>
    <w:p w14:paraId="730FEF2D" w14:textId="261B1F79" w:rsidR="00A1135A" w:rsidRPr="005464FA" w:rsidRDefault="00A1135A" w:rsidP="00A1135A">
      <w:pPr>
        <w:pStyle w:val="3-BodyText"/>
        <w:rPr>
          <w:rStyle w:val="CommentReference"/>
          <w:color w:val="0066FF"/>
        </w:rPr>
      </w:pPr>
      <w:r w:rsidRPr="005464FA">
        <w:t xml:space="preserve">A summary of the comparative benefits and harms for </w:t>
      </w:r>
      <w:r w:rsidR="000D5E52" w:rsidRPr="005464FA">
        <w:t xml:space="preserve">olaparib versus chemotherapy is presented </w:t>
      </w:r>
      <w:r w:rsidRPr="005464FA">
        <w:t xml:space="preserve">in </w:t>
      </w:r>
      <w:r w:rsidRPr="005464FA">
        <w:fldChar w:fldCharType="begin" w:fldLock="1"/>
      </w:r>
      <w:r w:rsidRPr="005464FA">
        <w:instrText xml:space="preserve"> REF _Ref104805037 \h </w:instrText>
      </w:r>
      <w:r w:rsidRPr="005464FA">
        <w:fldChar w:fldCharType="separate"/>
      </w:r>
      <w:r w:rsidR="00122E11" w:rsidRPr="005464FA">
        <w:t>Table 10</w:t>
      </w:r>
      <w:r w:rsidRPr="005464FA">
        <w:fldChar w:fldCharType="end"/>
      </w:r>
      <w:r w:rsidRPr="005464FA">
        <w:t>.</w:t>
      </w:r>
    </w:p>
    <w:p w14:paraId="68BB7F82" w14:textId="5E0222FE" w:rsidR="003E1ECA" w:rsidRPr="005464FA" w:rsidRDefault="00A1135A" w:rsidP="002F6E3B">
      <w:pPr>
        <w:pStyle w:val="Caption"/>
        <w:rPr>
          <w:szCs w:val="24"/>
        </w:rPr>
      </w:pPr>
      <w:bookmarkStart w:id="64" w:name="_Ref104805037"/>
      <w:r w:rsidRPr="005464FA">
        <w:lastRenderedPageBreak/>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10</w:t>
      </w:r>
      <w:r w:rsidR="00935AC4" w:rsidRPr="005464FA">
        <w:fldChar w:fldCharType="end"/>
      </w:r>
      <w:bookmarkEnd w:id="64"/>
      <w:r w:rsidRPr="005464FA">
        <w:t xml:space="preserve">: </w:t>
      </w:r>
      <w:r w:rsidRPr="005464FA">
        <w:rPr>
          <w:rStyle w:val="CommentReference"/>
          <w:b/>
          <w:szCs w:val="24"/>
        </w:rPr>
        <w:t xml:space="preserve">Summary of comparative benefits and harms for </w:t>
      </w:r>
      <w:r w:rsidR="003E1ECA" w:rsidRPr="005464FA">
        <w:rPr>
          <w:rStyle w:val="CommentReference"/>
          <w:b/>
          <w:szCs w:val="24"/>
        </w:rPr>
        <w:t>olaparib versus chemotherapy</w:t>
      </w:r>
    </w:p>
    <w:tbl>
      <w:tblPr>
        <w:tblStyle w:val="ASDTable2"/>
        <w:tblW w:w="5000" w:type="pct"/>
        <w:tblInd w:w="28" w:type="dxa"/>
        <w:tblLayout w:type="fixed"/>
        <w:tblCellMar>
          <w:left w:w="28" w:type="dxa"/>
          <w:right w:w="28" w:type="dxa"/>
        </w:tblCellMar>
        <w:tblLook w:val="04A0" w:firstRow="1" w:lastRow="0" w:firstColumn="1" w:lastColumn="0" w:noHBand="0" w:noVBand="1"/>
        <w:tblCaption w:val="Table 10: Summary of comparative benefits and harms for olaparib versus chemotherapy"/>
      </w:tblPr>
      <w:tblGrid>
        <w:gridCol w:w="2574"/>
        <w:gridCol w:w="33"/>
        <w:gridCol w:w="1150"/>
        <w:gridCol w:w="32"/>
        <w:gridCol w:w="2007"/>
        <w:gridCol w:w="32"/>
        <w:gridCol w:w="1621"/>
        <w:gridCol w:w="32"/>
        <w:gridCol w:w="1536"/>
      </w:tblGrid>
      <w:tr w:rsidR="00FC3A3C" w:rsidRPr="005464FA" w14:paraId="03DE14BA" w14:textId="77777777" w:rsidTr="0004037B">
        <w:trPr>
          <w:trHeight w:val="205"/>
        </w:trPr>
        <w:tc>
          <w:tcPr>
            <w:tcW w:w="1427" w:type="pct"/>
            <w:shd w:val="clear" w:color="auto" w:fill="auto"/>
            <w:vAlign w:val="center"/>
          </w:tcPr>
          <w:p w14:paraId="29D9E120" w14:textId="73BBD7DB" w:rsidR="00FC3A3C" w:rsidRPr="005464FA" w:rsidRDefault="00FC3A3C" w:rsidP="002F6E3B">
            <w:pPr>
              <w:keepNext/>
              <w:keepLines/>
              <w:rPr>
                <w:rFonts w:ascii="Arial Narrow" w:eastAsia="MS Gothic" w:hAnsi="Arial Narrow"/>
                <w:b/>
                <w:bCs/>
                <w:sz w:val="20"/>
                <w:szCs w:val="20"/>
              </w:rPr>
            </w:pPr>
            <w:r w:rsidRPr="005464FA">
              <w:rPr>
                <w:rFonts w:ascii="Arial Narrow" w:eastAsia="MS Gothic" w:hAnsi="Arial Narrow"/>
                <w:b/>
                <w:bCs/>
                <w:sz w:val="20"/>
                <w:szCs w:val="20"/>
              </w:rPr>
              <w:t>Events</w:t>
            </w:r>
          </w:p>
        </w:tc>
        <w:tc>
          <w:tcPr>
            <w:tcW w:w="655" w:type="pct"/>
            <w:gridSpan w:val="2"/>
            <w:shd w:val="clear" w:color="auto" w:fill="auto"/>
          </w:tcPr>
          <w:p w14:paraId="269E5F65" w14:textId="0854D503" w:rsidR="00FC3A3C" w:rsidRPr="005464FA" w:rsidRDefault="00FC3A3C" w:rsidP="002F6E3B">
            <w:pPr>
              <w:pStyle w:val="Tabletext"/>
              <w:keepNext/>
              <w:keepLines/>
              <w:jc w:val="center"/>
              <w:rPr>
                <w:b/>
                <w:bCs/>
              </w:rPr>
            </w:pPr>
            <w:r w:rsidRPr="005464FA">
              <w:rPr>
                <w:b/>
                <w:bCs/>
                <w:szCs w:val="20"/>
              </w:rPr>
              <w:t>Olaparib</w:t>
            </w:r>
          </w:p>
        </w:tc>
        <w:tc>
          <w:tcPr>
            <w:tcW w:w="1131" w:type="pct"/>
            <w:gridSpan w:val="2"/>
            <w:shd w:val="clear" w:color="auto" w:fill="auto"/>
          </w:tcPr>
          <w:p w14:paraId="24BE6635" w14:textId="397C8FA9" w:rsidR="00FC3A3C" w:rsidRPr="005464FA" w:rsidRDefault="00FC3A3C" w:rsidP="002F6E3B">
            <w:pPr>
              <w:pStyle w:val="Tabletext"/>
              <w:keepNext/>
              <w:keepLines/>
              <w:jc w:val="center"/>
              <w:rPr>
                <w:b/>
                <w:bCs/>
              </w:rPr>
            </w:pPr>
            <w:r w:rsidRPr="005464FA">
              <w:rPr>
                <w:b/>
                <w:bCs/>
                <w:szCs w:val="20"/>
              </w:rPr>
              <w:t>Chemotherapy</w:t>
            </w:r>
          </w:p>
        </w:tc>
        <w:tc>
          <w:tcPr>
            <w:tcW w:w="917" w:type="pct"/>
            <w:gridSpan w:val="2"/>
            <w:shd w:val="clear" w:color="auto" w:fill="auto"/>
            <w:vAlign w:val="center"/>
          </w:tcPr>
          <w:p w14:paraId="3763C1CB" w14:textId="7AA00961" w:rsidR="00FC3A3C" w:rsidRPr="005464FA" w:rsidRDefault="00FC3A3C" w:rsidP="002F6E3B">
            <w:pPr>
              <w:keepNext/>
              <w:keepLines/>
              <w:jc w:val="center"/>
              <w:rPr>
                <w:rFonts w:ascii="Arial Narrow" w:eastAsia="MS Gothic" w:hAnsi="Arial Narrow"/>
                <w:b/>
                <w:bCs/>
                <w:i/>
                <w:iCs/>
                <w:sz w:val="20"/>
                <w:szCs w:val="20"/>
              </w:rPr>
            </w:pPr>
            <w:r w:rsidRPr="005464FA">
              <w:rPr>
                <w:rFonts w:ascii="Arial Narrow" w:eastAsia="MS Gothic" w:hAnsi="Arial Narrow"/>
                <w:b/>
                <w:bCs/>
                <w:sz w:val="20"/>
                <w:szCs w:val="20"/>
              </w:rPr>
              <w:t>Absolute Difference</w:t>
            </w:r>
          </w:p>
        </w:tc>
        <w:tc>
          <w:tcPr>
            <w:tcW w:w="871" w:type="pct"/>
            <w:gridSpan w:val="2"/>
            <w:tcBorders>
              <w:bottom w:val="nil"/>
            </w:tcBorders>
            <w:shd w:val="clear" w:color="auto" w:fill="auto"/>
            <w:vAlign w:val="center"/>
          </w:tcPr>
          <w:p w14:paraId="090E479D" w14:textId="6894B6E9" w:rsidR="00FC3A3C" w:rsidRPr="005464FA" w:rsidRDefault="00FC3A3C" w:rsidP="002F6E3B">
            <w:pPr>
              <w:pStyle w:val="Tabletext"/>
              <w:keepNext/>
              <w:keepLines/>
              <w:rPr>
                <w:b/>
                <w:bCs/>
              </w:rPr>
            </w:pPr>
            <w:r w:rsidRPr="005464FA">
              <w:rPr>
                <w:rFonts w:eastAsia="MS Gothic"/>
                <w:b/>
                <w:bCs/>
                <w:szCs w:val="20"/>
              </w:rPr>
              <w:t>HR (95% CI)</w:t>
            </w:r>
            <w:r w:rsidRPr="005464FA">
              <w:rPr>
                <w:b/>
                <w:bCs/>
                <w:szCs w:val="20"/>
              </w:rPr>
              <w:t>)</w:t>
            </w:r>
          </w:p>
        </w:tc>
      </w:tr>
      <w:tr w:rsidR="00FC3A3C" w:rsidRPr="005464FA" w14:paraId="4B7F6165" w14:textId="77777777" w:rsidTr="00F74D05">
        <w:trPr>
          <w:trHeight w:val="205"/>
        </w:trPr>
        <w:tc>
          <w:tcPr>
            <w:tcW w:w="5000" w:type="pct"/>
            <w:gridSpan w:val="9"/>
            <w:shd w:val="clear" w:color="auto" w:fill="auto"/>
            <w:vAlign w:val="center"/>
          </w:tcPr>
          <w:p w14:paraId="6914514A" w14:textId="28E2BE2D" w:rsidR="00FC3A3C" w:rsidRPr="005464FA" w:rsidRDefault="00FC3A3C" w:rsidP="002F6E3B">
            <w:pPr>
              <w:pStyle w:val="Tabletext"/>
              <w:keepNext/>
              <w:keepLines/>
              <w:rPr>
                <w:b/>
                <w:bCs/>
              </w:rPr>
            </w:pPr>
            <w:r w:rsidRPr="005464FA">
              <w:rPr>
                <w:rFonts w:eastAsia="MS Gothic"/>
                <w:b/>
                <w:bCs/>
                <w:szCs w:val="20"/>
              </w:rPr>
              <w:t>Benefits</w:t>
            </w:r>
            <w:r w:rsidR="0004037B" w:rsidRPr="005464FA">
              <w:rPr>
                <w:rFonts w:eastAsia="MS Gothic"/>
                <w:b/>
                <w:bCs/>
                <w:szCs w:val="20"/>
              </w:rPr>
              <w:t xml:space="preserve"> (whole trial population)</w:t>
            </w:r>
          </w:p>
        </w:tc>
      </w:tr>
      <w:tr w:rsidR="00FC3A3C" w:rsidRPr="005464FA" w14:paraId="0305BD29" w14:textId="77777777" w:rsidTr="0004037B">
        <w:trPr>
          <w:trHeight w:val="269"/>
        </w:trPr>
        <w:tc>
          <w:tcPr>
            <w:tcW w:w="5000" w:type="pct"/>
            <w:gridSpan w:val="9"/>
            <w:shd w:val="clear" w:color="auto" w:fill="auto"/>
            <w:vAlign w:val="center"/>
          </w:tcPr>
          <w:p w14:paraId="22D93CFF" w14:textId="15FAE395" w:rsidR="00FC3A3C" w:rsidRPr="005464FA" w:rsidRDefault="00FC3A3C" w:rsidP="002F6E3B">
            <w:pPr>
              <w:keepNext/>
              <w:keepLines/>
              <w:rPr>
                <w:rFonts w:ascii="Arial Narrow" w:eastAsia="MS Gothic" w:hAnsi="Arial Narrow"/>
                <w:b/>
                <w:bCs/>
                <w:sz w:val="20"/>
                <w:szCs w:val="20"/>
              </w:rPr>
            </w:pPr>
            <w:r w:rsidRPr="005464FA">
              <w:rPr>
                <w:rFonts w:ascii="Arial Narrow" w:hAnsi="Arial Narrow"/>
                <w:b/>
                <w:bCs/>
                <w:sz w:val="20"/>
                <w:szCs w:val="20"/>
              </w:rPr>
              <w:t xml:space="preserve">Progression free survival </w:t>
            </w:r>
            <w:r w:rsidRPr="005464FA">
              <w:rPr>
                <w:rFonts w:ascii="Arial Narrow" w:eastAsia="MS Gothic" w:hAnsi="Arial Narrow"/>
                <w:b/>
                <w:bCs/>
                <w:sz w:val="20"/>
                <w:szCs w:val="20"/>
              </w:rPr>
              <w:t>(median duration of follow up 14.5 months for olaparib, 14.1 for chemotherapy)</w:t>
            </w:r>
          </w:p>
        </w:tc>
      </w:tr>
      <w:tr w:rsidR="00FC3A3C" w:rsidRPr="005464FA" w14:paraId="0AEBCCDD" w14:textId="77777777" w:rsidTr="0004037B">
        <w:trPr>
          <w:trHeight w:val="70"/>
        </w:trPr>
        <w:tc>
          <w:tcPr>
            <w:tcW w:w="1445" w:type="pct"/>
            <w:gridSpan w:val="2"/>
            <w:shd w:val="clear" w:color="auto" w:fill="auto"/>
            <w:vAlign w:val="center"/>
          </w:tcPr>
          <w:p w14:paraId="206568FC" w14:textId="77777777" w:rsidR="00FC3A3C" w:rsidRPr="005464FA" w:rsidRDefault="00FC3A3C" w:rsidP="002F6E3B">
            <w:pPr>
              <w:keepNext/>
              <w:keepLines/>
              <w:rPr>
                <w:rFonts w:ascii="Arial Narrow" w:eastAsia="MS Gothic" w:hAnsi="Arial Narrow"/>
                <w:sz w:val="20"/>
                <w:szCs w:val="20"/>
              </w:rPr>
            </w:pPr>
            <w:r w:rsidRPr="005464FA">
              <w:rPr>
                <w:rFonts w:ascii="Arial Narrow" w:eastAsia="MS Gothic" w:hAnsi="Arial Narrow"/>
                <w:sz w:val="20"/>
                <w:szCs w:val="20"/>
              </w:rPr>
              <w:t>Progressed, n/N (%)</w:t>
            </w:r>
          </w:p>
        </w:tc>
        <w:tc>
          <w:tcPr>
            <w:tcW w:w="655" w:type="pct"/>
            <w:gridSpan w:val="2"/>
            <w:shd w:val="clear" w:color="auto" w:fill="auto"/>
            <w:vAlign w:val="center"/>
          </w:tcPr>
          <w:p w14:paraId="6D796130" w14:textId="40161037" w:rsidR="00FC3A3C" w:rsidRPr="005464FA" w:rsidRDefault="00FC3A3C" w:rsidP="002F6E3B">
            <w:pPr>
              <w:pStyle w:val="Tabletext"/>
              <w:keepNext/>
              <w:keepLines/>
              <w:jc w:val="center"/>
              <w:rPr>
                <w:rFonts w:eastAsia="MS Gothic"/>
                <w:szCs w:val="20"/>
              </w:rPr>
            </w:pPr>
            <w:r w:rsidRPr="005464FA">
              <w:t>163 (79.5)</w:t>
            </w:r>
          </w:p>
        </w:tc>
        <w:tc>
          <w:tcPr>
            <w:tcW w:w="1131" w:type="pct"/>
            <w:gridSpan w:val="2"/>
            <w:shd w:val="clear" w:color="auto" w:fill="auto"/>
            <w:vAlign w:val="center"/>
          </w:tcPr>
          <w:p w14:paraId="64925FE1" w14:textId="2978F3BC" w:rsidR="00FC3A3C" w:rsidRPr="005464FA" w:rsidRDefault="00FC3A3C" w:rsidP="002F6E3B">
            <w:pPr>
              <w:pStyle w:val="Tabletext"/>
              <w:keepNext/>
              <w:keepLines/>
              <w:jc w:val="center"/>
              <w:rPr>
                <w:rFonts w:eastAsia="MS Gothic"/>
                <w:szCs w:val="20"/>
              </w:rPr>
            </w:pPr>
            <w:r w:rsidRPr="005464FA">
              <w:t>71 (73.2)</w:t>
            </w:r>
          </w:p>
        </w:tc>
        <w:tc>
          <w:tcPr>
            <w:tcW w:w="917" w:type="pct"/>
            <w:gridSpan w:val="2"/>
            <w:shd w:val="clear" w:color="auto" w:fill="auto"/>
            <w:vAlign w:val="center"/>
          </w:tcPr>
          <w:p w14:paraId="5E7514BA" w14:textId="6B00CAFA" w:rsidR="00FC3A3C" w:rsidRPr="005464FA" w:rsidRDefault="00FC3A3C" w:rsidP="002F6E3B">
            <w:pPr>
              <w:keepNext/>
              <w:keepLines/>
              <w:jc w:val="center"/>
              <w:rPr>
                <w:rFonts w:ascii="Arial Narrow" w:eastAsia="MS Gothic" w:hAnsi="Arial Narrow"/>
                <w:sz w:val="20"/>
                <w:szCs w:val="20"/>
              </w:rPr>
            </w:pPr>
            <w:r w:rsidRPr="005464FA">
              <w:rPr>
                <w:rFonts w:ascii="Arial Narrow" w:eastAsia="MS Gothic" w:hAnsi="Arial Narrow"/>
                <w:sz w:val="20"/>
                <w:szCs w:val="20"/>
              </w:rPr>
              <w:t>6.3%</w:t>
            </w:r>
          </w:p>
        </w:tc>
        <w:tc>
          <w:tcPr>
            <w:tcW w:w="853" w:type="pct"/>
            <w:tcBorders>
              <w:bottom w:val="nil"/>
            </w:tcBorders>
            <w:shd w:val="clear" w:color="auto" w:fill="auto"/>
          </w:tcPr>
          <w:p w14:paraId="4CA9032E" w14:textId="7C9E7A7B" w:rsidR="00FC3A3C" w:rsidRPr="005464FA" w:rsidRDefault="00FC3A3C" w:rsidP="002F6E3B">
            <w:pPr>
              <w:pStyle w:val="Tabletext"/>
              <w:keepNext/>
              <w:keepLines/>
              <w:jc w:val="center"/>
              <w:rPr>
                <w:rFonts w:eastAsia="MS Gothic"/>
                <w:szCs w:val="20"/>
              </w:rPr>
            </w:pPr>
            <w:r w:rsidRPr="005464FA">
              <w:t>0.58 (0.43, 0.80)</w:t>
            </w:r>
          </w:p>
        </w:tc>
      </w:tr>
      <w:tr w:rsidR="00FC3A3C" w:rsidRPr="005464FA" w14:paraId="633A40F8" w14:textId="77777777" w:rsidTr="0004037B">
        <w:trPr>
          <w:trHeight w:val="20"/>
        </w:trPr>
        <w:tc>
          <w:tcPr>
            <w:tcW w:w="1445" w:type="pct"/>
            <w:gridSpan w:val="2"/>
            <w:shd w:val="clear" w:color="auto" w:fill="auto"/>
            <w:vAlign w:val="center"/>
          </w:tcPr>
          <w:p w14:paraId="131EE2E6" w14:textId="0ADA286A" w:rsidR="00FC3A3C" w:rsidRPr="005464FA" w:rsidRDefault="00FC3A3C" w:rsidP="002F6E3B">
            <w:pPr>
              <w:keepNext/>
              <w:keepLines/>
              <w:rPr>
                <w:rFonts w:ascii="Arial Narrow" w:eastAsia="MS Gothic" w:hAnsi="Arial Narrow"/>
                <w:sz w:val="20"/>
                <w:szCs w:val="20"/>
              </w:rPr>
            </w:pPr>
            <w:r w:rsidRPr="005464FA">
              <w:rPr>
                <w:rFonts w:ascii="Arial Narrow" w:eastAsia="MS Gothic" w:hAnsi="Arial Narrow"/>
                <w:sz w:val="20"/>
                <w:szCs w:val="20"/>
              </w:rPr>
              <w:t>Progression free at 6 months (%)</w:t>
            </w:r>
          </w:p>
        </w:tc>
        <w:tc>
          <w:tcPr>
            <w:tcW w:w="655" w:type="pct"/>
            <w:gridSpan w:val="2"/>
            <w:shd w:val="clear" w:color="auto" w:fill="auto"/>
            <w:vAlign w:val="center"/>
          </w:tcPr>
          <w:p w14:paraId="22F35644" w14:textId="42F8A7AC" w:rsidR="00FC3A3C" w:rsidRPr="005464FA" w:rsidRDefault="00FC3A3C" w:rsidP="002F6E3B">
            <w:pPr>
              <w:pStyle w:val="Tabletext"/>
              <w:keepNext/>
              <w:keepLines/>
              <w:jc w:val="center"/>
              <w:rPr>
                <w:rFonts w:eastAsia="MS Gothic"/>
                <w:szCs w:val="20"/>
              </w:rPr>
            </w:pPr>
            <w:r w:rsidRPr="005464FA">
              <w:t>54.1</w:t>
            </w:r>
          </w:p>
        </w:tc>
        <w:tc>
          <w:tcPr>
            <w:tcW w:w="1131" w:type="pct"/>
            <w:gridSpan w:val="2"/>
            <w:shd w:val="clear" w:color="auto" w:fill="auto"/>
            <w:vAlign w:val="center"/>
          </w:tcPr>
          <w:p w14:paraId="6C4137D5" w14:textId="58454EB2" w:rsidR="00FC3A3C" w:rsidRPr="005464FA" w:rsidRDefault="00FC3A3C" w:rsidP="002F6E3B">
            <w:pPr>
              <w:pStyle w:val="Tabletext"/>
              <w:keepNext/>
              <w:keepLines/>
              <w:jc w:val="center"/>
              <w:rPr>
                <w:rFonts w:eastAsia="MS Gothic"/>
                <w:szCs w:val="20"/>
              </w:rPr>
            </w:pPr>
            <w:r w:rsidRPr="005464FA">
              <w:t>32.9</w:t>
            </w:r>
          </w:p>
        </w:tc>
        <w:tc>
          <w:tcPr>
            <w:tcW w:w="917" w:type="pct"/>
            <w:gridSpan w:val="2"/>
            <w:shd w:val="clear" w:color="auto" w:fill="auto"/>
            <w:vAlign w:val="center"/>
          </w:tcPr>
          <w:p w14:paraId="1D07CB03" w14:textId="4F0BD73D" w:rsidR="00FC3A3C" w:rsidRPr="005464FA" w:rsidRDefault="00FC3A3C" w:rsidP="002F6E3B">
            <w:pPr>
              <w:keepNext/>
              <w:keepLines/>
              <w:jc w:val="center"/>
              <w:rPr>
                <w:rFonts w:ascii="Arial Narrow" w:eastAsia="MS Gothic" w:hAnsi="Arial Narrow"/>
                <w:sz w:val="20"/>
                <w:szCs w:val="20"/>
              </w:rPr>
            </w:pPr>
            <w:r w:rsidRPr="005464FA">
              <w:rPr>
                <w:rFonts w:ascii="Arial Narrow" w:eastAsia="MS Gothic" w:hAnsi="Arial Narrow"/>
                <w:sz w:val="20"/>
                <w:szCs w:val="20"/>
              </w:rPr>
              <w:t>21.2%</w:t>
            </w:r>
          </w:p>
        </w:tc>
        <w:tc>
          <w:tcPr>
            <w:tcW w:w="853" w:type="pct"/>
            <w:tcBorders>
              <w:top w:val="nil"/>
              <w:bottom w:val="nil"/>
            </w:tcBorders>
            <w:shd w:val="clear" w:color="auto" w:fill="auto"/>
          </w:tcPr>
          <w:p w14:paraId="4F03E378" w14:textId="66CDB066" w:rsidR="00FC3A3C" w:rsidRPr="005464FA" w:rsidRDefault="00FC3A3C" w:rsidP="002F6E3B">
            <w:pPr>
              <w:pStyle w:val="Tabletext"/>
              <w:keepNext/>
              <w:keepLines/>
              <w:jc w:val="center"/>
              <w:rPr>
                <w:rFonts w:eastAsia="MS Gothic"/>
                <w:szCs w:val="20"/>
              </w:rPr>
            </w:pPr>
            <w:r w:rsidRPr="005464FA">
              <w:t>0.0009</w:t>
            </w:r>
          </w:p>
        </w:tc>
      </w:tr>
      <w:tr w:rsidR="00FC3A3C" w:rsidRPr="005464FA" w14:paraId="54E2D774" w14:textId="77777777" w:rsidTr="0004037B">
        <w:trPr>
          <w:trHeight w:val="20"/>
        </w:trPr>
        <w:tc>
          <w:tcPr>
            <w:tcW w:w="1445" w:type="pct"/>
            <w:gridSpan w:val="2"/>
            <w:shd w:val="clear" w:color="auto" w:fill="auto"/>
            <w:vAlign w:val="center"/>
          </w:tcPr>
          <w:p w14:paraId="4CDB43C8" w14:textId="4D0CC983" w:rsidR="00FC3A3C" w:rsidRPr="005464FA" w:rsidRDefault="00FC3A3C" w:rsidP="002F6E3B">
            <w:pPr>
              <w:keepNext/>
              <w:keepLines/>
              <w:rPr>
                <w:rFonts w:ascii="Arial Narrow" w:eastAsia="MS Gothic" w:hAnsi="Arial Narrow"/>
                <w:sz w:val="20"/>
                <w:szCs w:val="20"/>
              </w:rPr>
            </w:pPr>
            <w:r w:rsidRPr="005464FA">
              <w:rPr>
                <w:rFonts w:ascii="Arial Narrow" w:eastAsia="MS Gothic" w:hAnsi="Arial Narrow"/>
                <w:sz w:val="20"/>
                <w:szCs w:val="20"/>
              </w:rPr>
              <w:t>Progression free at 12 months (%)</w:t>
            </w:r>
          </w:p>
        </w:tc>
        <w:tc>
          <w:tcPr>
            <w:tcW w:w="655" w:type="pct"/>
            <w:gridSpan w:val="2"/>
            <w:shd w:val="clear" w:color="auto" w:fill="auto"/>
            <w:vAlign w:val="center"/>
          </w:tcPr>
          <w:p w14:paraId="12C439C2" w14:textId="75E8DB00" w:rsidR="00FC3A3C" w:rsidRPr="005464FA" w:rsidRDefault="00FC3A3C" w:rsidP="002F6E3B">
            <w:pPr>
              <w:pStyle w:val="Tabletext"/>
              <w:keepNext/>
              <w:keepLines/>
              <w:jc w:val="center"/>
              <w:rPr>
                <w:rFonts w:eastAsia="MS Gothic"/>
                <w:szCs w:val="20"/>
              </w:rPr>
            </w:pPr>
            <w:r w:rsidRPr="005464FA">
              <w:t>25.9</w:t>
            </w:r>
          </w:p>
        </w:tc>
        <w:tc>
          <w:tcPr>
            <w:tcW w:w="1131" w:type="pct"/>
            <w:gridSpan w:val="2"/>
            <w:shd w:val="clear" w:color="auto" w:fill="auto"/>
            <w:vAlign w:val="center"/>
          </w:tcPr>
          <w:p w14:paraId="0CE882C0" w14:textId="01269520" w:rsidR="00FC3A3C" w:rsidRPr="005464FA" w:rsidRDefault="00FC3A3C" w:rsidP="002F6E3B">
            <w:pPr>
              <w:pStyle w:val="Tabletext"/>
              <w:keepNext/>
              <w:keepLines/>
              <w:jc w:val="center"/>
              <w:rPr>
                <w:rFonts w:eastAsia="MS Gothic"/>
                <w:szCs w:val="20"/>
              </w:rPr>
            </w:pPr>
            <w:r w:rsidRPr="005464FA">
              <w:t>15.0</w:t>
            </w:r>
          </w:p>
        </w:tc>
        <w:tc>
          <w:tcPr>
            <w:tcW w:w="917" w:type="pct"/>
            <w:gridSpan w:val="2"/>
            <w:shd w:val="clear" w:color="auto" w:fill="auto"/>
            <w:vAlign w:val="center"/>
          </w:tcPr>
          <w:p w14:paraId="4EECA6DD" w14:textId="4ACBF252" w:rsidR="00FC3A3C" w:rsidRPr="005464FA" w:rsidRDefault="00FC3A3C" w:rsidP="002F6E3B">
            <w:pPr>
              <w:keepNext/>
              <w:keepLines/>
              <w:jc w:val="center"/>
              <w:rPr>
                <w:rFonts w:ascii="Arial Narrow" w:eastAsia="MS Gothic" w:hAnsi="Arial Narrow"/>
                <w:sz w:val="20"/>
                <w:szCs w:val="20"/>
              </w:rPr>
            </w:pPr>
            <w:r w:rsidRPr="005464FA">
              <w:rPr>
                <w:rFonts w:ascii="Arial Narrow" w:eastAsia="MS Gothic" w:hAnsi="Arial Narrow"/>
                <w:sz w:val="20"/>
                <w:szCs w:val="20"/>
              </w:rPr>
              <w:t>10.9%</w:t>
            </w:r>
          </w:p>
        </w:tc>
        <w:tc>
          <w:tcPr>
            <w:tcW w:w="853" w:type="pct"/>
            <w:tcBorders>
              <w:top w:val="nil"/>
              <w:bottom w:val="nil"/>
            </w:tcBorders>
            <w:shd w:val="clear" w:color="auto" w:fill="auto"/>
            <w:vAlign w:val="center"/>
          </w:tcPr>
          <w:p w14:paraId="67CA3F14" w14:textId="77777777" w:rsidR="00FC3A3C" w:rsidRPr="005464FA" w:rsidRDefault="00FC3A3C" w:rsidP="002F6E3B">
            <w:pPr>
              <w:keepNext/>
              <w:keepLines/>
              <w:rPr>
                <w:rFonts w:ascii="Arial Narrow" w:eastAsia="MS Gothic" w:hAnsi="Arial Narrow"/>
                <w:sz w:val="20"/>
                <w:szCs w:val="20"/>
              </w:rPr>
            </w:pPr>
          </w:p>
        </w:tc>
      </w:tr>
    </w:tbl>
    <w:tbl>
      <w:tblPr>
        <w:tblStyle w:val="Summarybox1"/>
        <w:tblW w:w="5000" w:type="pct"/>
        <w:tblInd w:w="28" w:type="dxa"/>
        <w:tblLayout w:type="fixed"/>
        <w:tblLook w:val="04A0" w:firstRow="1" w:lastRow="0" w:firstColumn="1" w:lastColumn="0" w:noHBand="0" w:noVBand="1"/>
      </w:tblPr>
      <w:tblGrid>
        <w:gridCol w:w="2209"/>
        <w:gridCol w:w="1037"/>
        <w:gridCol w:w="947"/>
        <w:gridCol w:w="1484"/>
        <w:gridCol w:w="864"/>
        <w:gridCol w:w="867"/>
        <w:gridCol w:w="1609"/>
      </w:tblGrid>
      <w:tr w:rsidR="003E1ECA" w:rsidRPr="005464FA" w14:paraId="1765EEBE" w14:textId="77777777" w:rsidTr="00E03CAC">
        <w:tc>
          <w:tcPr>
            <w:tcW w:w="5000" w:type="pct"/>
            <w:gridSpan w:val="7"/>
          </w:tcPr>
          <w:p w14:paraId="1378ABDD" w14:textId="26DABCB2" w:rsidR="003E1ECA" w:rsidRPr="005464FA" w:rsidRDefault="003E1ECA" w:rsidP="002F6E3B">
            <w:pPr>
              <w:pStyle w:val="In-tableHeading"/>
              <w:keepLines/>
              <w:rPr>
                <w:lang w:val="en-AU"/>
              </w:rPr>
            </w:pPr>
            <w:r w:rsidRPr="005464FA">
              <w:rPr>
                <w:lang w:val="en-AU"/>
              </w:rPr>
              <w:t>Harms (whole trial population)</w:t>
            </w:r>
          </w:p>
        </w:tc>
      </w:tr>
      <w:tr w:rsidR="00F74D05" w:rsidRPr="005464FA" w14:paraId="674A7A84" w14:textId="77777777" w:rsidTr="00E03CAC">
        <w:trPr>
          <w:trHeight w:val="70"/>
        </w:trPr>
        <w:tc>
          <w:tcPr>
            <w:tcW w:w="1225" w:type="pct"/>
            <w:vMerge w:val="restart"/>
          </w:tcPr>
          <w:p w14:paraId="3C849E01" w14:textId="77777777" w:rsidR="003E1ECA" w:rsidRPr="005464FA" w:rsidRDefault="003E1ECA" w:rsidP="002F6E3B">
            <w:pPr>
              <w:pStyle w:val="In-tableHeading"/>
              <w:keepLines/>
              <w:rPr>
                <w:lang w:val="en-AU"/>
              </w:rPr>
            </w:pPr>
          </w:p>
        </w:tc>
        <w:tc>
          <w:tcPr>
            <w:tcW w:w="1100" w:type="pct"/>
            <w:gridSpan w:val="2"/>
          </w:tcPr>
          <w:p w14:paraId="46AE61EE" w14:textId="77777777" w:rsidR="003E1ECA" w:rsidRPr="005464FA" w:rsidRDefault="003E1ECA" w:rsidP="002F6E3B">
            <w:pPr>
              <w:pStyle w:val="In-tableHeading"/>
              <w:keepLines/>
              <w:jc w:val="center"/>
              <w:rPr>
                <w:lang w:val="en-AU"/>
              </w:rPr>
            </w:pPr>
            <w:r w:rsidRPr="005464FA">
              <w:rPr>
                <w:lang w:val="en-AU"/>
              </w:rPr>
              <w:t>Events</w:t>
            </w:r>
          </w:p>
        </w:tc>
        <w:tc>
          <w:tcPr>
            <w:tcW w:w="823" w:type="pct"/>
            <w:vMerge w:val="restart"/>
          </w:tcPr>
          <w:p w14:paraId="2AEFD1F0" w14:textId="77777777" w:rsidR="003E1ECA" w:rsidRPr="005464FA" w:rsidRDefault="003E1ECA" w:rsidP="002F6E3B">
            <w:pPr>
              <w:pStyle w:val="In-tableHeading"/>
              <w:keepLines/>
              <w:jc w:val="center"/>
              <w:rPr>
                <w:lang w:val="en-AU"/>
              </w:rPr>
            </w:pPr>
            <w:r w:rsidRPr="005464FA">
              <w:rPr>
                <w:lang w:val="en-AU"/>
              </w:rPr>
              <w:t>RR</w:t>
            </w:r>
          </w:p>
          <w:p w14:paraId="4D559BEF" w14:textId="77777777" w:rsidR="003E1ECA" w:rsidRPr="005464FA" w:rsidRDefault="003E1ECA" w:rsidP="002F6E3B">
            <w:pPr>
              <w:pStyle w:val="In-tableHeading"/>
              <w:keepLines/>
              <w:jc w:val="center"/>
              <w:rPr>
                <w:lang w:val="en-AU"/>
              </w:rPr>
            </w:pPr>
            <w:r w:rsidRPr="005464FA">
              <w:rPr>
                <w:lang w:val="en-AU"/>
              </w:rPr>
              <w:t>(95% CI)</w:t>
            </w:r>
          </w:p>
        </w:tc>
        <w:tc>
          <w:tcPr>
            <w:tcW w:w="960" w:type="pct"/>
            <w:gridSpan w:val="2"/>
          </w:tcPr>
          <w:p w14:paraId="684BFF0E" w14:textId="77777777" w:rsidR="003E1ECA" w:rsidRPr="005464FA" w:rsidRDefault="003E1ECA" w:rsidP="002F6E3B">
            <w:pPr>
              <w:pStyle w:val="In-tableHeading"/>
              <w:keepLines/>
              <w:jc w:val="center"/>
              <w:rPr>
                <w:lang w:val="en-AU"/>
              </w:rPr>
            </w:pPr>
            <w:r w:rsidRPr="005464FA">
              <w:rPr>
                <w:lang w:val="en-AU"/>
              </w:rPr>
              <w:t>Event rate/100 patients*</w:t>
            </w:r>
          </w:p>
        </w:tc>
        <w:tc>
          <w:tcPr>
            <w:tcW w:w="892" w:type="pct"/>
            <w:vMerge w:val="restart"/>
          </w:tcPr>
          <w:p w14:paraId="4684B71E" w14:textId="77777777" w:rsidR="003E1ECA" w:rsidRPr="005464FA" w:rsidRDefault="003E1ECA" w:rsidP="002F6E3B">
            <w:pPr>
              <w:pStyle w:val="In-tableHeading"/>
              <w:keepLines/>
              <w:jc w:val="center"/>
              <w:rPr>
                <w:lang w:val="en-AU"/>
              </w:rPr>
            </w:pPr>
            <w:r w:rsidRPr="005464FA">
              <w:rPr>
                <w:lang w:val="en-AU"/>
              </w:rPr>
              <w:t>RD</w:t>
            </w:r>
          </w:p>
          <w:p w14:paraId="6C71DD7A" w14:textId="77777777" w:rsidR="003E1ECA" w:rsidRPr="005464FA" w:rsidRDefault="003E1ECA" w:rsidP="002F6E3B">
            <w:pPr>
              <w:pStyle w:val="In-tableHeading"/>
              <w:keepLines/>
              <w:jc w:val="center"/>
              <w:rPr>
                <w:lang w:val="en-AU"/>
              </w:rPr>
            </w:pPr>
            <w:r w:rsidRPr="005464FA">
              <w:rPr>
                <w:lang w:val="en-AU"/>
              </w:rPr>
              <w:t>(95% CI)</w:t>
            </w:r>
          </w:p>
        </w:tc>
      </w:tr>
      <w:tr w:rsidR="00F74D05" w:rsidRPr="005464FA" w14:paraId="2C6C3011" w14:textId="77777777" w:rsidTr="00E03CAC">
        <w:trPr>
          <w:trHeight w:val="390"/>
        </w:trPr>
        <w:tc>
          <w:tcPr>
            <w:tcW w:w="1225" w:type="pct"/>
            <w:vMerge/>
          </w:tcPr>
          <w:p w14:paraId="2F4B1B0E" w14:textId="77777777" w:rsidR="003E1ECA" w:rsidRPr="005464FA" w:rsidRDefault="003E1ECA" w:rsidP="002F6E3B">
            <w:pPr>
              <w:pStyle w:val="In-tableHeading"/>
              <w:keepLines/>
              <w:rPr>
                <w:lang w:val="en-AU"/>
              </w:rPr>
            </w:pPr>
          </w:p>
        </w:tc>
        <w:tc>
          <w:tcPr>
            <w:tcW w:w="575" w:type="pct"/>
          </w:tcPr>
          <w:p w14:paraId="6F59C0A6" w14:textId="77777777" w:rsidR="003E1ECA" w:rsidRPr="005464FA" w:rsidRDefault="003E1ECA" w:rsidP="002F6E3B">
            <w:pPr>
              <w:pStyle w:val="In-tableHeading"/>
              <w:keepLines/>
              <w:jc w:val="center"/>
              <w:rPr>
                <w:lang w:val="en-AU"/>
              </w:rPr>
            </w:pPr>
            <w:r w:rsidRPr="005464FA">
              <w:rPr>
                <w:lang w:val="en-AU"/>
              </w:rPr>
              <w:t>Olaparib</w:t>
            </w:r>
          </w:p>
          <w:p w14:paraId="614094F7" w14:textId="77777777" w:rsidR="003E1ECA" w:rsidRPr="005464FA" w:rsidRDefault="003E1ECA" w:rsidP="002F6E3B">
            <w:pPr>
              <w:pStyle w:val="In-tableHeading"/>
              <w:keepLines/>
              <w:jc w:val="center"/>
              <w:rPr>
                <w:lang w:val="en-AU"/>
              </w:rPr>
            </w:pPr>
            <w:r w:rsidRPr="005464FA">
              <w:rPr>
                <w:lang w:val="en-AU"/>
              </w:rPr>
              <w:t>n/N</w:t>
            </w:r>
          </w:p>
        </w:tc>
        <w:tc>
          <w:tcPr>
            <w:tcW w:w="525" w:type="pct"/>
          </w:tcPr>
          <w:p w14:paraId="059FC0E5" w14:textId="2759A3EC" w:rsidR="003E1ECA" w:rsidRPr="005464FA" w:rsidRDefault="003E1ECA" w:rsidP="002F6E3B">
            <w:pPr>
              <w:pStyle w:val="In-tableHeading"/>
              <w:keepLines/>
              <w:jc w:val="center"/>
              <w:rPr>
                <w:lang w:val="en-AU"/>
              </w:rPr>
            </w:pPr>
            <w:r w:rsidRPr="005464FA">
              <w:rPr>
                <w:lang w:val="en-AU"/>
              </w:rPr>
              <w:t>Chemo</w:t>
            </w:r>
          </w:p>
          <w:p w14:paraId="5CB7B9A7" w14:textId="77777777" w:rsidR="003E1ECA" w:rsidRPr="005464FA" w:rsidRDefault="003E1ECA" w:rsidP="002F6E3B">
            <w:pPr>
              <w:pStyle w:val="In-tableHeading"/>
              <w:keepLines/>
              <w:jc w:val="center"/>
              <w:rPr>
                <w:lang w:val="en-AU"/>
              </w:rPr>
            </w:pPr>
            <w:r w:rsidRPr="005464FA">
              <w:rPr>
                <w:lang w:val="en-AU"/>
              </w:rPr>
              <w:t>n/N</w:t>
            </w:r>
          </w:p>
        </w:tc>
        <w:tc>
          <w:tcPr>
            <w:tcW w:w="823" w:type="pct"/>
            <w:vMerge/>
          </w:tcPr>
          <w:p w14:paraId="0F5A18CF" w14:textId="77777777" w:rsidR="003E1ECA" w:rsidRPr="005464FA" w:rsidRDefault="003E1ECA" w:rsidP="002F6E3B">
            <w:pPr>
              <w:pStyle w:val="In-tableHeading"/>
              <w:keepLines/>
              <w:rPr>
                <w:lang w:val="en-AU"/>
              </w:rPr>
            </w:pPr>
          </w:p>
        </w:tc>
        <w:tc>
          <w:tcPr>
            <w:tcW w:w="479" w:type="pct"/>
            <w:tcMar>
              <w:left w:w="57" w:type="dxa"/>
              <w:right w:w="57" w:type="dxa"/>
            </w:tcMar>
          </w:tcPr>
          <w:p w14:paraId="0E766836" w14:textId="77777777" w:rsidR="003E1ECA" w:rsidRPr="005464FA" w:rsidRDefault="003E1ECA" w:rsidP="002F6E3B">
            <w:pPr>
              <w:pStyle w:val="In-tableHeading"/>
              <w:keepLines/>
              <w:jc w:val="center"/>
              <w:rPr>
                <w:lang w:val="en-AU"/>
              </w:rPr>
            </w:pPr>
            <w:r w:rsidRPr="005464FA">
              <w:rPr>
                <w:lang w:val="en-AU"/>
              </w:rPr>
              <w:t>Olaparib</w:t>
            </w:r>
          </w:p>
        </w:tc>
        <w:tc>
          <w:tcPr>
            <w:tcW w:w="481" w:type="pct"/>
          </w:tcPr>
          <w:p w14:paraId="6F889D21" w14:textId="1B99273F" w:rsidR="003E1ECA" w:rsidRPr="005464FA" w:rsidRDefault="003E1ECA" w:rsidP="002F6E3B">
            <w:pPr>
              <w:pStyle w:val="In-tableHeading"/>
              <w:keepLines/>
              <w:jc w:val="center"/>
              <w:rPr>
                <w:lang w:val="en-AU"/>
              </w:rPr>
            </w:pPr>
            <w:r w:rsidRPr="005464FA">
              <w:rPr>
                <w:lang w:val="en-AU"/>
              </w:rPr>
              <w:t>Chemo</w:t>
            </w:r>
          </w:p>
        </w:tc>
        <w:tc>
          <w:tcPr>
            <w:tcW w:w="892" w:type="pct"/>
            <w:vMerge/>
          </w:tcPr>
          <w:p w14:paraId="6701000F" w14:textId="77777777" w:rsidR="003E1ECA" w:rsidRPr="005464FA" w:rsidRDefault="003E1ECA" w:rsidP="002F6E3B">
            <w:pPr>
              <w:pStyle w:val="In-tableHeading"/>
              <w:keepLines/>
              <w:rPr>
                <w:lang w:val="en-AU"/>
              </w:rPr>
            </w:pPr>
          </w:p>
        </w:tc>
      </w:tr>
      <w:tr w:rsidR="003E1ECA" w:rsidRPr="005464FA" w14:paraId="4933C8BD" w14:textId="77777777" w:rsidTr="00E03CAC">
        <w:tc>
          <w:tcPr>
            <w:tcW w:w="5000" w:type="pct"/>
            <w:gridSpan w:val="7"/>
          </w:tcPr>
          <w:p w14:paraId="4D7CD63D" w14:textId="65C9BA1C" w:rsidR="003E1ECA" w:rsidRPr="005464FA" w:rsidRDefault="003E1ECA" w:rsidP="002F6E3B">
            <w:pPr>
              <w:pStyle w:val="In-tableHeading"/>
              <w:keepLines/>
              <w:rPr>
                <w:lang w:val="en-AU"/>
              </w:rPr>
            </w:pPr>
            <w:r w:rsidRPr="005464FA">
              <w:rPr>
                <w:lang w:val="en-AU"/>
              </w:rPr>
              <w:t>OlympiAD</w:t>
            </w:r>
          </w:p>
        </w:tc>
      </w:tr>
      <w:tr w:rsidR="00F74D05" w:rsidRPr="005464FA" w14:paraId="0A0A8F92" w14:textId="77777777" w:rsidTr="00E03CAC">
        <w:tc>
          <w:tcPr>
            <w:tcW w:w="1225" w:type="pct"/>
          </w:tcPr>
          <w:p w14:paraId="62A8C7AF" w14:textId="3E0B84A5" w:rsidR="003E1ECA" w:rsidRPr="005464FA" w:rsidRDefault="003E1ECA" w:rsidP="002F6E3B">
            <w:pPr>
              <w:pStyle w:val="TableText0"/>
              <w:keepLines/>
            </w:pPr>
            <w:r w:rsidRPr="005464FA">
              <w:t xml:space="preserve">Nausea, any grade </w:t>
            </w:r>
          </w:p>
        </w:tc>
        <w:tc>
          <w:tcPr>
            <w:tcW w:w="575" w:type="pct"/>
            <w:vAlign w:val="center"/>
          </w:tcPr>
          <w:p w14:paraId="00017A4A" w14:textId="5AEC750C" w:rsidR="003E1ECA" w:rsidRPr="005464FA" w:rsidRDefault="003E1ECA" w:rsidP="002F6E3B">
            <w:pPr>
              <w:pStyle w:val="Tabletext"/>
              <w:keepNext/>
              <w:keepLines/>
              <w:jc w:val="center"/>
            </w:pPr>
            <w:r w:rsidRPr="005464FA">
              <w:t>119 (58.0)</w:t>
            </w:r>
          </w:p>
        </w:tc>
        <w:tc>
          <w:tcPr>
            <w:tcW w:w="525" w:type="pct"/>
            <w:vAlign w:val="center"/>
          </w:tcPr>
          <w:p w14:paraId="53BD2A12" w14:textId="3C5335A9" w:rsidR="003E1ECA" w:rsidRPr="005464FA" w:rsidRDefault="003E1ECA" w:rsidP="002F6E3B">
            <w:pPr>
              <w:pStyle w:val="Tabletext"/>
              <w:keepNext/>
              <w:keepLines/>
              <w:jc w:val="center"/>
            </w:pPr>
            <w:r w:rsidRPr="005464FA">
              <w:t>32 (35.2)</w:t>
            </w:r>
          </w:p>
        </w:tc>
        <w:tc>
          <w:tcPr>
            <w:tcW w:w="823" w:type="pct"/>
            <w:vAlign w:val="center"/>
          </w:tcPr>
          <w:p w14:paraId="1B03CF6E" w14:textId="371E2FCA" w:rsidR="003E1ECA" w:rsidRPr="005464FA" w:rsidRDefault="003E1ECA" w:rsidP="002F6E3B">
            <w:pPr>
              <w:pStyle w:val="Tabletext"/>
              <w:keepNext/>
              <w:keepLines/>
              <w:jc w:val="center"/>
              <w:rPr>
                <w:b/>
                <w:bCs/>
              </w:rPr>
            </w:pPr>
            <w:r w:rsidRPr="005464FA">
              <w:rPr>
                <w:rFonts w:cs="Calibri"/>
                <w:color w:val="000000"/>
              </w:rPr>
              <w:t>1.65 (1.22, 2.23)</w:t>
            </w:r>
          </w:p>
        </w:tc>
        <w:tc>
          <w:tcPr>
            <w:tcW w:w="479" w:type="pct"/>
            <w:vAlign w:val="center"/>
          </w:tcPr>
          <w:p w14:paraId="7C397CF5" w14:textId="16A067CA" w:rsidR="003E1ECA" w:rsidRPr="005464FA" w:rsidRDefault="003E1ECA" w:rsidP="002F6E3B">
            <w:pPr>
              <w:pStyle w:val="TableText0"/>
              <w:keepLines/>
              <w:jc w:val="center"/>
            </w:pPr>
            <w:r w:rsidRPr="005464FA">
              <w:t>58</w:t>
            </w:r>
          </w:p>
        </w:tc>
        <w:tc>
          <w:tcPr>
            <w:tcW w:w="481" w:type="pct"/>
            <w:vAlign w:val="center"/>
          </w:tcPr>
          <w:p w14:paraId="447BC694" w14:textId="64EEB113" w:rsidR="003E1ECA" w:rsidRPr="005464FA" w:rsidRDefault="003E1ECA" w:rsidP="002F6E3B">
            <w:pPr>
              <w:pStyle w:val="TableText0"/>
              <w:keepLines/>
              <w:jc w:val="center"/>
            </w:pPr>
            <w:r w:rsidRPr="005464FA">
              <w:t>35</w:t>
            </w:r>
          </w:p>
        </w:tc>
        <w:tc>
          <w:tcPr>
            <w:tcW w:w="892" w:type="pct"/>
            <w:vAlign w:val="center"/>
          </w:tcPr>
          <w:p w14:paraId="5B7DF41B" w14:textId="3E1CF51E" w:rsidR="003E1ECA" w:rsidRPr="005464FA" w:rsidRDefault="003E1ECA" w:rsidP="002F6E3B">
            <w:pPr>
              <w:pStyle w:val="TableText0"/>
              <w:keepLines/>
              <w:jc w:val="center"/>
              <w:rPr>
                <w:b/>
                <w:bCs w:val="0"/>
              </w:rPr>
            </w:pPr>
            <w:r w:rsidRPr="005464FA">
              <w:rPr>
                <w:bCs w:val="0"/>
              </w:rPr>
              <w:t>0.23 (0.11, 0.35)</w:t>
            </w:r>
          </w:p>
        </w:tc>
      </w:tr>
      <w:tr w:rsidR="00F74D05" w:rsidRPr="005464FA" w14:paraId="22D4072B" w14:textId="77777777" w:rsidTr="00E03CAC">
        <w:tc>
          <w:tcPr>
            <w:tcW w:w="1225" w:type="pct"/>
          </w:tcPr>
          <w:p w14:paraId="52328CC2" w14:textId="4ABD98D9" w:rsidR="003E1ECA" w:rsidRPr="005464FA" w:rsidRDefault="003E1ECA" w:rsidP="002F6E3B">
            <w:pPr>
              <w:pStyle w:val="TableText0"/>
              <w:keepLines/>
            </w:pPr>
            <w:r w:rsidRPr="005464FA">
              <w:t>Anaemia</w:t>
            </w:r>
            <w:r w:rsidR="000D5E52" w:rsidRPr="005464FA">
              <w:rPr>
                <w:vertAlign w:val="superscript"/>
              </w:rPr>
              <w:t>a</w:t>
            </w:r>
            <w:r w:rsidRPr="005464FA">
              <w:t xml:space="preserve"> any grade </w:t>
            </w:r>
          </w:p>
        </w:tc>
        <w:tc>
          <w:tcPr>
            <w:tcW w:w="575" w:type="pct"/>
            <w:vAlign w:val="center"/>
          </w:tcPr>
          <w:p w14:paraId="784EDB92" w14:textId="7831CFD0" w:rsidR="003E1ECA" w:rsidRPr="005464FA" w:rsidRDefault="003E1ECA" w:rsidP="002F6E3B">
            <w:pPr>
              <w:pStyle w:val="Tabletext"/>
              <w:keepNext/>
              <w:keepLines/>
              <w:jc w:val="center"/>
            </w:pPr>
            <w:r w:rsidRPr="005464FA">
              <w:t>81 (39.5)</w:t>
            </w:r>
          </w:p>
        </w:tc>
        <w:tc>
          <w:tcPr>
            <w:tcW w:w="525" w:type="pct"/>
            <w:vAlign w:val="center"/>
          </w:tcPr>
          <w:p w14:paraId="044A5BDD" w14:textId="29FE4EBB" w:rsidR="003E1ECA" w:rsidRPr="005464FA" w:rsidRDefault="003E1ECA" w:rsidP="002F6E3B">
            <w:pPr>
              <w:pStyle w:val="Tabletext"/>
              <w:keepNext/>
              <w:keepLines/>
              <w:jc w:val="center"/>
            </w:pPr>
            <w:r w:rsidRPr="005464FA">
              <w:t>23 (25.3)</w:t>
            </w:r>
          </w:p>
        </w:tc>
        <w:tc>
          <w:tcPr>
            <w:tcW w:w="823" w:type="pct"/>
            <w:vAlign w:val="center"/>
          </w:tcPr>
          <w:p w14:paraId="33B2EF73" w14:textId="1C1C24AA" w:rsidR="003E1ECA" w:rsidRPr="005464FA" w:rsidRDefault="003E1ECA" w:rsidP="002F6E3B">
            <w:pPr>
              <w:pStyle w:val="Tabletext"/>
              <w:keepNext/>
              <w:keepLines/>
              <w:jc w:val="center"/>
              <w:rPr>
                <w:b/>
                <w:bCs/>
              </w:rPr>
            </w:pPr>
            <w:r w:rsidRPr="005464FA">
              <w:rPr>
                <w:rFonts w:cs="Calibri"/>
                <w:color w:val="000000"/>
              </w:rPr>
              <w:t>1.56 (1.06, 2.31)</w:t>
            </w:r>
          </w:p>
        </w:tc>
        <w:tc>
          <w:tcPr>
            <w:tcW w:w="479" w:type="pct"/>
            <w:vAlign w:val="center"/>
          </w:tcPr>
          <w:p w14:paraId="7298D129" w14:textId="4BEEA73B" w:rsidR="003E1ECA" w:rsidRPr="005464FA" w:rsidRDefault="003E1ECA" w:rsidP="002F6E3B">
            <w:pPr>
              <w:pStyle w:val="TableText0"/>
              <w:keepLines/>
              <w:jc w:val="center"/>
            </w:pPr>
            <w:r w:rsidRPr="005464FA">
              <w:t>40</w:t>
            </w:r>
          </w:p>
        </w:tc>
        <w:tc>
          <w:tcPr>
            <w:tcW w:w="481" w:type="pct"/>
            <w:vAlign w:val="center"/>
          </w:tcPr>
          <w:p w14:paraId="6B9D0F8C" w14:textId="10B75474" w:rsidR="003E1ECA" w:rsidRPr="005464FA" w:rsidRDefault="003E1ECA" w:rsidP="002F6E3B">
            <w:pPr>
              <w:pStyle w:val="TableText0"/>
              <w:keepLines/>
              <w:jc w:val="center"/>
            </w:pPr>
            <w:r w:rsidRPr="005464FA">
              <w:t>25</w:t>
            </w:r>
          </w:p>
        </w:tc>
        <w:tc>
          <w:tcPr>
            <w:tcW w:w="892" w:type="pct"/>
            <w:vAlign w:val="center"/>
          </w:tcPr>
          <w:p w14:paraId="036A5F3B" w14:textId="77F46354" w:rsidR="003E1ECA" w:rsidRPr="005464FA" w:rsidRDefault="003E1ECA" w:rsidP="002F6E3B">
            <w:pPr>
              <w:pStyle w:val="TableText0"/>
              <w:keepLines/>
              <w:jc w:val="center"/>
              <w:rPr>
                <w:b/>
                <w:bCs w:val="0"/>
              </w:rPr>
            </w:pPr>
            <w:r w:rsidRPr="005464FA">
              <w:rPr>
                <w:bCs w:val="0"/>
              </w:rPr>
              <w:t>0.14 (0.03, 0.25)</w:t>
            </w:r>
          </w:p>
        </w:tc>
      </w:tr>
      <w:tr w:rsidR="00F74D05" w:rsidRPr="005464FA" w14:paraId="3D7F321A" w14:textId="77777777" w:rsidTr="00E03CAC">
        <w:tc>
          <w:tcPr>
            <w:tcW w:w="1225" w:type="pct"/>
          </w:tcPr>
          <w:p w14:paraId="3B23C0F5" w14:textId="464E1A4B" w:rsidR="003E1ECA" w:rsidRPr="005464FA" w:rsidRDefault="003E1ECA" w:rsidP="0004037B">
            <w:pPr>
              <w:pStyle w:val="TableText0"/>
              <w:keepLines/>
              <w:jc w:val="left"/>
            </w:pPr>
            <w:r w:rsidRPr="005464FA">
              <w:t>Anaemia</w:t>
            </w:r>
            <w:r w:rsidR="000D5E52" w:rsidRPr="005464FA">
              <w:rPr>
                <w:vertAlign w:val="superscript"/>
              </w:rPr>
              <w:t>a</w:t>
            </w:r>
            <w:r w:rsidRPr="005464FA">
              <w:t>, Grade 3 or above</w:t>
            </w:r>
          </w:p>
        </w:tc>
        <w:tc>
          <w:tcPr>
            <w:tcW w:w="575" w:type="pct"/>
            <w:vAlign w:val="center"/>
          </w:tcPr>
          <w:p w14:paraId="65AE43A7" w14:textId="73E60408" w:rsidR="003E1ECA" w:rsidRPr="005464FA" w:rsidRDefault="003E1ECA" w:rsidP="002F6E3B">
            <w:pPr>
              <w:pStyle w:val="Tabletext"/>
              <w:keepNext/>
              <w:keepLines/>
              <w:jc w:val="center"/>
            </w:pPr>
            <w:r w:rsidRPr="005464FA">
              <w:t>32 (15.6)</w:t>
            </w:r>
          </w:p>
        </w:tc>
        <w:tc>
          <w:tcPr>
            <w:tcW w:w="525" w:type="pct"/>
            <w:vAlign w:val="center"/>
          </w:tcPr>
          <w:p w14:paraId="696656E6" w14:textId="5A3593ED" w:rsidR="003E1ECA" w:rsidRPr="005464FA" w:rsidRDefault="003E1ECA" w:rsidP="002F6E3B">
            <w:pPr>
              <w:pStyle w:val="Tabletext"/>
              <w:keepNext/>
              <w:keepLines/>
              <w:jc w:val="center"/>
            </w:pPr>
            <w:r w:rsidRPr="005464FA">
              <w:t>4 (4.4)</w:t>
            </w:r>
          </w:p>
        </w:tc>
        <w:tc>
          <w:tcPr>
            <w:tcW w:w="823" w:type="pct"/>
            <w:vAlign w:val="center"/>
          </w:tcPr>
          <w:p w14:paraId="1620B1B7" w14:textId="76A48D3F" w:rsidR="003E1ECA" w:rsidRPr="005464FA" w:rsidRDefault="003E1ECA" w:rsidP="002F6E3B">
            <w:pPr>
              <w:pStyle w:val="Tabletext"/>
              <w:keepNext/>
              <w:keepLines/>
              <w:jc w:val="center"/>
            </w:pPr>
            <w:r w:rsidRPr="005464FA">
              <w:t>3.55 (1.29, 9.75)</w:t>
            </w:r>
          </w:p>
        </w:tc>
        <w:tc>
          <w:tcPr>
            <w:tcW w:w="479" w:type="pct"/>
            <w:vAlign w:val="center"/>
          </w:tcPr>
          <w:p w14:paraId="7F4E6C21" w14:textId="1164513A" w:rsidR="003E1ECA" w:rsidRPr="005464FA" w:rsidRDefault="003E1ECA" w:rsidP="002F6E3B">
            <w:pPr>
              <w:pStyle w:val="TableText0"/>
              <w:keepLines/>
              <w:jc w:val="center"/>
            </w:pPr>
            <w:r w:rsidRPr="005464FA">
              <w:t>15</w:t>
            </w:r>
          </w:p>
        </w:tc>
        <w:tc>
          <w:tcPr>
            <w:tcW w:w="481" w:type="pct"/>
            <w:vAlign w:val="center"/>
          </w:tcPr>
          <w:p w14:paraId="7E972618" w14:textId="508CE986" w:rsidR="003E1ECA" w:rsidRPr="005464FA" w:rsidRDefault="003E1ECA" w:rsidP="002F6E3B">
            <w:pPr>
              <w:pStyle w:val="TableText0"/>
              <w:keepLines/>
              <w:jc w:val="center"/>
            </w:pPr>
            <w:r w:rsidRPr="005464FA">
              <w:t>4</w:t>
            </w:r>
          </w:p>
        </w:tc>
        <w:tc>
          <w:tcPr>
            <w:tcW w:w="892" w:type="pct"/>
            <w:vAlign w:val="center"/>
          </w:tcPr>
          <w:p w14:paraId="079D6D85" w14:textId="75937FC7" w:rsidR="003E1ECA" w:rsidRPr="005464FA" w:rsidRDefault="003E1ECA" w:rsidP="002F6E3B">
            <w:pPr>
              <w:pStyle w:val="TableText0"/>
              <w:keepLines/>
              <w:jc w:val="center"/>
              <w:rPr>
                <w:b/>
                <w:bCs w:val="0"/>
              </w:rPr>
            </w:pPr>
            <w:r w:rsidRPr="005464FA">
              <w:rPr>
                <w:bCs w:val="0"/>
              </w:rPr>
              <w:t>0.11 (0.05, 0.18)</w:t>
            </w:r>
          </w:p>
        </w:tc>
      </w:tr>
      <w:tr w:rsidR="00F74D05" w:rsidRPr="005464FA" w14:paraId="7027C56A" w14:textId="77777777" w:rsidTr="00E03CAC">
        <w:tc>
          <w:tcPr>
            <w:tcW w:w="1225" w:type="pct"/>
          </w:tcPr>
          <w:p w14:paraId="53B1DE6B" w14:textId="3B07D3D6" w:rsidR="003E1ECA" w:rsidRPr="005464FA" w:rsidRDefault="00CC280C" w:rsidP="0004037B">
            <w:pPr>
              <w:pStyle w:val="TableText0"/>
              <w:keepLines/>
              <w:jc w:val="left"/>
            </w:pPr>
            <w:r w:rsidRPr="005464FA">
              <w:t>Vomiting</w:t>
            </w:r>
            <w:r w:rsidR="003E1ECA" w:rsidRPr="005464FA">
              <w:t>, any grade</w:t>
            </w:r>
          </w:p>
        </w:tc>
        <w:tc>
          <w:tcPr>
            <w:tcW w:w="575" w:type="pct"/>
            <w:vAlign w:val="center"/>
          </w:tcPr>
          <w:p w14:paraId="69AE99F1" w14:textId="39D169B8" w:rsidR="003E1ECA" w:rsidRPr="005464FA" w:rsidRDefault="003E1ECA" w:rsidP="002F6E3B">
            <w:pPr>
              <w:pStyle w:val="Tabletext"/>
              <w:keepNext/>
              <w:keepLines/>
              <w:jc w:val="center"/>
            </w:pPr>
            <w:r w:rsidRPr="005464FA">
              <w:t>66 (32.2)</w:t>
            </w:r>
          </w:p>
        </w:tc>
        <w:tc>
          <w:tcPr>
            <w:tcW w:w="525" w:type="pct"/>
            <w:vAlign w:val="center"/>
          </w:tcPr>
          <w:p w14:paraId="6A54A20B" w14:textId="31D19521" w:rsidR="003E1ECA" w:rsidRPr="005464FA" w:rsidRDefault="003E1ECA" w:rsidP="002F6E3B">
            <w:pPr>
              <w:pStyle w:val="Tabletext"/>
              <w:keepNext/>
              <w:keepLines/>
              <w:jc w:val="center"/>
            </w:pPr>
            <w:r w:rsidRPr="005464FA">
              <w:t>14 (15.4)</w:t>
            </w:r>
          </w:p>
        </w:tc>
        <w:tc>
          <w:tcPr>
            <w:tcW w:w="823" w:type="pct"/>
            <w:vAlign w:val="center"/>
          </w:tcPr>
          <w:p w14:paraId="4BD964A0" w14:textId="3B728C26" w:rsidR="003E1ECA" w:rsidRPr="005464FA" w:rsidRDefault="003E1ECA" w:rsidP="002F6E3B">
            <w:pPr>
              <w:pStyle w:val="Tabletext"/>
              <w:keepNext/>
              <w:keepLines/>
              <w:jc w:val="center"/>
              <w:rPr>
                <w:b/>
                <w:bCs/>
              </w:rPr>
            </w:pPr>
            <w:r w:rsidRPr="005464FA">
              <w:rPr>
                <w:rFonts w:cs="Calibri"/>
                <w:color w:val="000000"/>
              </w:rPr>
              <w:t>2.09 (1.24, 3.52)</w:t>
            </w:r>
          </w:p>
        </w:tc>
        <w:tc>
          <w:tcPr>
            <w:tcW w:w="479" w:type="pct"/>
            <w:vAlign w:val="center"/>
          </w:tcPr>
          <w:p w14:paraId="6DF625CA" w14:textId="7691CCCE" w:rsidR="003E1ECA" w:rsidRPr="005464FA" w:rsidRDefault="003E1ECA" w:rsidP="002F6E3B">
            <w:pPr>
              <w:pStyle w:val="TableText0"/>
              <w:keepLines/>
              <w:jc w:val="center"/>
            </w:pPr>
            <w:r w:rsidRPr="005464FA">
              <w:t>32</w:t>
            </w:r>
          </w:p>
        </w:tc>
        <w:tc>
          <w:tcPr>
            <w:tcW w:w="481" w:type="pct"/>
            <w:vAlign w:val="center"/>
          </w:tcPr>
          <w:p w14:paraId="1714A428" w14:textId="6C27EC12" w:rsidR="003E1ECA" w:rsidRPr="005464FA" w:rsidRDefault="003E1ECA" w:rsidP="002F6E3B">
            <w:pPr>
              <w:pStyle w:val="TableText0"/>
              <w:keepLines/>
              <w:jc w:val="center"/>
            </w:pPr>
            <w:r w:rsidRPr="005464FA">
              <w:t>15</w:t>
            </w:r>
          </w:p>
        </w:tc>
        <w:tc>
          <w:tcPr>
            <w:tcW w:w="892" w:type="pct"/>
            <w:vAlign w:val="center"/>
          </w:tcPr>
          <w:p w14:paraId="0DEA4A0E" w14:textId="3699F5A5" w:rsidR="003E1ECA" w:rsidRPr="005464FA" w:rsidRDefault="003E1ECA" w:rsidP="002F6E3B">
            <w:pPr>
              <w:pStyle w:val="TableText0"/>
              <w:keepLines/>
              <w:jc w:val="center"/>
              <w:rPr>
                <w:b/>
                <w:bCs w:val="0"/>
              </w:rPr>
            </w:pPr>
            <w:r w:rsidRPr="005464FA">
              <w:rPr>
                <w:bCs w:val="0"/>
              </w:rPr>
              <w:t>0.17 (0.07, 0.27)</w:t>
            </w:r>
          </w:p>
        </w:tc>
      </w:tr>
      <w:tr w:rsidR="00F74D05" w:rsidRPr="005464FA" w14:paraId="141B957B" w14:textId="77777777" w:rsidTr="00E03CAC">
        <w:tc>
          <w:tcPr>
            <w:tcW w:w="1225" w:type="pct"/>
          </w:tcPr>
          <w:p w14:paraId="40CD548A" w14:textId="5052F24C" w:rsidR="003E1ECA" w:rsidRPr="005464FA" w:rsidRDefault="003E1ECA" w:rsidP="0004037B">
            <w:pPr>
              <w:pStyle w:val="TableText0"/>
              <w:keepLines/>
              <w:jc w:val="left"/>
            </w:pPr>
            <w:r w:rsidRPr="005464FA">
              <w:t>Neutropenia, any grade</w:t>
            </w:r>
          </w:p>
        </w:tc>
        <w:tc>
          <w:tcPr>
            <w:tcW w:w="575" w:type="pct"/>
            <w:vAlign w:val="center"/>
          </w:tcPr>
          <w:p w14:paraId="203114AA" w14:textId="19262940" w:rsidR="003E1ECA" w:rsidRPr="005464FA" w:rsidRDefault="003E1ECA" w:rsidP="002F6E3B">
            <w:pPr>
              <w:pStyle w:val="Tabletext"/>
              <w:keepNext/>
              <w:keepLines/>
              <w:jc w:val="center"/>
            </w:pPr>
            <w:r w:rsidRPr="005464FA">
              <w:t>37 (18.0)</w:t>
            </w:r>
          </w:p>
        </w:tc>
        <w:tc>
          <w:tcPr>
            <w:tcW w:w="525" w:type="pct"/>
            <w:vAlign w:val="center"/>
          </w:tcPr>
          <w:p w14:paraId="15F29221" w14:textId="68093558" w:rsidR="003E1ECA" w:rsidRPr="005464FA" w:rsidRDefault="003E1ECA" w:rsidP="002F6E3B">
            <w:pPr>
              <w:pStyle w:val="Tabletext"/>
              <w:keepNext/>
              <w:keepLines/>
              <w:jc w:val="center"/>
            </w:pPr>
            <w:r w:rsidRPr="005464FA">
              <w:t>28 (30.8)</w:t>
            </w:r>
          </w:p>
        </w:tc>
        <w:tc>
          <w:tcPr>
            <w:tcW w:w="823" w:type="pct"/>
            <w:vAlign w:val="center"/>
          </w:tcPr>
          <w:p w14:paraId="15DCC3B3" w14:textId="34775630" w:rsidR="003E1ECA" w:rsidRPr="005464FA" w:rsidRDefault="003E1ECA" w:rsidP="002F6E3B">
            <w:pPr>
              <w:pStyle w:val="Tabletext"/>
              <w:keepNext/>
              <w:keepLines/>
              <w:jc w:val="center"/>
              <w:rPr>
                <w:b/>
                <w:bCs/>
              </w:rPr>
            </w:pPr>
            <w:r w:rsidRPr="005464FA">
              <w:rPr>
                <w:rFonts w:cs="Calibri"/>
                <w:color w:val="000000"/>
              </w:rPr>
              <w:t>0.59 (0.38, 0.9)</w:t>
            </w:r>
          </w:p>
        </w:tc>
        <w:tc>
          <w:tcPr>
            <w:tcW w:w="479" w:type="pct"/>
            <w:vAlign w:val="center"/>
          </w:tcPr>
          <w:p w14:paraId="514C56FC" w14:textId="3B817058" w:rsidR="003E1ECA" w:rsidRPr="005464FA" w:rsidRDefault="003E1ECA" w:rsidP="002F6E3B">
            <w:pPr>
              <w:pStyle w:val="TableText0"/>
              <w:keepLines/>
              <w:jc w:val="center"/>
            </w:pPr>
            <w:r w:rsidRPr="005464FA">
              <w:t>18</w:t>
            </w:r>
          </w:p>
        </w:tc>
        <w:tc>
          <w:tcPr>
            <w:tcW w:w="481" w:type="pct"/>
            <w:vAlign w:val="center"/>
          </w:tcPr>
          <w:p w14:paraId="78B1DAC9" w14:textId="2933ECC7" w:rsidR="003E1ECA" w:rsidRPr="005464FA" w:rsidRDefault="003E1ECA" w:rsidP="002F6E3B">
            <w:pPr>
              <w:pStyle w:val="TableText0"/>
              <w:keepLines/>
              <w:jc w:val="center"/>
            </w:pPr>
            <w:r w:rsidRPr="005464FA">
              <w:t>31</w:t>
            </w:r>
          </w:p>
        </w:tc>
        <w:tc>
          <w:tcPr>
            <w:tcW w:w="892" w:type="pct"/>
            <w:vAlign w:val="center"/>
          </w:tcPr>
          <w:p w14:paraId="5A2337AC" w14:textId="4B719AA0" w:rsidR="003E1ECA" w:rsidRPr="005464FA" w:rsidRDefault="003E1ECA" w:rsidP="002F6E3B">
            <w:pPr>
              <w:pStyle w:val="TableText0"/>
              <w:keepLines/>
              <w:jc w:val="center"/>
              <w:rPr>
                <w:b/>
                <w:bCs w:val="0"/>
              </w:rPr>
            </w:pPr>
            <w:r w:rsidRPr="005464FA">
              <w:rPr>
                <w:bCs w:val="0"/>
              </w:rPr>
              <w:t>-0.13 (-0.24, -0.02)</w:t>
            </w:r>
          </w:p>
        </w:tc>
      </w:tr>
      <w:tr w:rsidR="00F74D05" w:rsidRPr="005464FA" w14:paraId="1FF25871" w14:textId="77777777" w:rsidTr="00E03CAC">
        <w:tc>
          <w:tcPr>
            <w:tcW w:w="1225" w:type="pct"/>
          </w:tcPr>
          <w:p w14:paraId="2E613471" w14:textId="44505A8B" w:rsidR="003E1ECA" w:rsidRPr="005464FA" w:rsidRDefault="003E1ECA" w:rsidP="0004037B">
            <w:pPr>
              <w:pStyle w:val="TableText0"/>
              <w:keepLines/>
              <w:jc w:val="left"/>
            </w:pPr>
            <w:r w:rsidRPr="005464FA">
              <w:t xml:space="preserve">Palmar-plantar erythrodysesthesia, any grade </w:t>
            </w:r>
          </w:p>
        </w:tc>
        <w:tc>
          <w:tcPr>
            <w:tcW w:w="575" w:type="pct"/>
            <w:vAlign w:val="center"/>
          </w:tcPr>
          <w:p w14:paraId="6225A41F" w14:textId="59AE5DB6" w:rsidR="003E1ECA" w:rsidRPr="005464FA" w:rsidRDefault="003E1ECA" w:rsidP="002F6E3B">
            <w:pPr>
              <w:pStyle w:val="Tabletext"/>
              <w:keepNext/>
              <w:keepLines/>
              <w:jc w:val="center"/>
            </w:pPr>
            <w:r w:rsidRPr="005464FA">
              <w:t>1 (0.5)</w:t>
            </w:r>
          </w:p>
        </w:tc>
        <w:tc>
          <w:tcPr>
            <w:tcW w:w="525" w:type="pct"/>
            <w:vAlign w:val="center"/>
          </w:tcPr>
          <w:p w14:paraId="591627A1" w14:textId="77FDB309" w:rsidR="003E1ECA" w:rsidRPr="005464FA" w:rsidRDefault="003E1ECA" w:rsidP="002F6E3B">
            <w:pPr>
              <w:pStyle w:val="Tabletext"/>
              <w:keepNext/>
              <w:keepLines/>
              <w:jc w:val="center"/>
            </w:pPr>
            <w:r w:rsidRPr="005464FA">
              <w:t>19 (20.9</w:t>
            </w:r>
            <w:r w:rsidR="002C7709" w:rsidRPr="005464FA">
              <w:t>)</w:t>
            </w:r>
          </w:p>
        </w:tc>
        <w:tc>
          <w:tcPr>
            <w:tcW w:w="823" w:type="pct"/>
            <w:vAlign w:val="center"/>
          </w:tcPr>
          <w:p w14:paraId="41FB3AAF" w14:textId="5E1E5DE6" w:rsidR="003E1ECA" w:rsidRPr="005464FA" w:rsidRDefault="003E1ECA" w:rsidP="002F6E3B">
            <w:pPr>
              <w:pStyle w:val="Tabletext"/>
              <w:keepNext/>
              <w:keepLines/>
              <w:jc w:val="center"/>
              <w:rPr>
                <w:b/>
                <w:bCs/>
              </w:rPr>
            </w:pPr>
            <w:r w:rsidRPr="005464FA">
              <w:rPr>
                <w:rFonts w:cs="Calibri"/>
                <w:color w:val="000000"/>
              </w:rPr>
              <w:t>0.02 (0, 0.17)</w:t>
            </w:r>
          </w:p>
        </w:tc>
        <w:tc>
          <w:tcPr>
            <w:tcW w:w="479" w:type="pct"/>
            <w:vAlign w:val="center"/>
          </w:tcPr>
          <w:p w14:paraId="5E071454" w14:textId="480F5E3E" w:rsidR="003E1ECA" w:rsidRPr="005464FA" w:rsidRDefault="003E1ECA" w:rsidP="002F6E3B">
            <w:pPr>
              <w:pStyle w:val="TableText0"/>
              <w:keepLines/>
              <w:jc w:val="center"/>
            </w:pPr>
            <w:r w:rsidRPr="005464FA">
              <w:t>1</w:t>
            </w:r>
          </w:p>
        </w:tc>
        <w:tc>
          <w:tcPr>
            <w:tcW w:w="481" w:type="pct"/>
            <w:vAlign w:val="center"/>
          </w:tcPr>
          <w:p w14:paraId="50A3C2AA" w14:textId="48DDD000" w:rsidR="003E1ECA" w:rsidRPr="005464FA" w:rsidRDefault="003E1ECA" w:rsidP="002F6E3B">
            <w:pPr>
              <w:pStyle w:val="TableText0"/>
              <w:keepLines/>
              <w:jc w:val="center"/>
            </w:pPr>
            <w:r w:rsidRPr="005464FA">
              <w:t>21</w:t>
            </w:r>
          </w:p>
        </w:tc>
        <w:tc>
          <w:tcPr>
            <w:tcW w:w="892" w:type="pct"/>
            <w:vAlign w:val="center"/>
          </w:tcPr>
          <w:p w14:paraId="356FE008" w14:textId="6045C43D" w:rsidR="003E1ECA" w:rsidRPr="005464FA" w:rsidRDefault="003E1ECA" w:rsidP="002F6E3B">
            <w:pPr>
              <w:pStyle w:val="TableText0"/>
              <w:keepLines/>
              <w:jc w:val="center"/>
              <w:rPr>
                <w:b/>
                <w:bCs w:val="0"/>
              </w:rPr>
            </w:pPr>
            <w:r w:rsidRPr="005464FA">
              <w:rPr>
                <w:bCs w:val="0"/>
              </w:rPr>
              <w:t>-0.2 (-0.29, -0.12)</w:t>
            </w:r>
          </w:p>
        </w:tc>
      </w:tr>
      <w:tr w:rsidR="00F74D05" w:rsidRPr="005464FA" w14:paraId="36520D56" w14:textId="77777777" w:rsidTr="00E03CAC">
        <w:tc>
          <w:tcPr>
            <w:tcW w:w="1225" w:type="pct"/>
          </w:tcPr>
          <w:p w14:paraId="2F37B01B" w14:textId="77673439" w:rsidR="003E1ECA" w:rsidRPr="005464FA" w:rsidRDefault="003E1ECA" w:rsidP="0004037B">
            <w:pPr>
              <w:pStyle w:val="TableText0"/>
              <w:keepLines/>
              <w:jc w:val="left"/>
            </w:pPr>
            <w:r w:rsidRPr="005464FA">
              <w:t>Decreased neutrophil count, grade 3 or above</w:t>
            </w:r>
          </w:p>
        </w:tc>
        <w:tc>
          <w:tcPr>
            <w:tcW w:w="575" w:type="pct"/>
            <w:vAlign w:val="center"/>
          </w:tcPr>
          <w:p w14:paraId="066BD979" w14:textId="4D4B562F" w:rsidR="003E1ECA" w:rsidRPr="005464FA" w:rsidRDefault="003E1ECA" w:rsidP="002F6E3B">
            <w:pPr>
              <w:pStyle w:val="Tabletext"/>
              <w:keepNext/>
              <w:keepLines/>
              <w:jc w:val="center"/>
            </w:pPr>
            <w:r w:rsidRPr="005464FA">
              <w:t>10 (4.9)</w:t>
            </w:r>
          </w:p>
        </w:tc>
        <w:tc>
          <w:tcPr>
            <w:tcW w:w="525" w:type="pct"/>
            <w:vAlign w:val="center"/>
          </w:tcPr>
          <w:p w14:paraId="7282AC61" w14:textId="5E361D11" w:rsidR="003E1ECA" w:rsidRPr="005464FA" w:rsidRDefault="003E1ECA" w:rsidP="002F6E3B">
            <w:pPr>
              <w:pStyle w:val="Tabletext"/>
              <w:keepNext/>
              <w:keepLines/>
              <w:jc w:val="center"/>
            </w:pPr>
            <w:r w:rsidRPr="005464FA">
              <w:t>17 (18.7)</w:t>
            </w:r>
          </w:p>
        </w:tc>
        <w:tc>
          <w:tcPr>
            <w:tcW w:w="823" w:type="pct"/>
            <w:vAlign w:val="center"/>
          </w:tcPr>
          <w:p w14:paraId="1A1BF2A3" w14:textId="3ABDC8CE" w:rsidR="003E1ECA" w:rsidRPr="005464FA" w:rsidRDefault="003E1ECA" w:rsidP="002F6E3B">
            <w:pPr>
              <w:pStyle w:val="Tabletext"/>
              <w:keepNext/>
              <w:keepLines/>
              <w:jc w:val="center"/>
            </w:pPr>
            <w:r w:rsidRPr="005464FA">
              <w:t>0.26 (0.12, 0.55)</w:t>
            </w:r>
          </w:p>
        </w:tc>
        <w:tc>
          <w:tcPr>
            <w:tcW w:w="479" w:type="pct"/>
            <w:vAlign w:val="center"/>
          </w:tcPr>
          <w:p w14:paraId="3D38122F" w14:textId="7879D4D4" w:rsidR="003E1ECA" w:rsidRPr="005464FA" w:rsidRDefault="003E1ECA" w:rsidP="002F6E3B">
            <w:pPr>
              <w:pStyle w:val="TableText0"/>
              <w:keepLines/>
              <w:jc w:val="center"/>
            </w:pPr>
            <w:r w:rsidRPr="005464FA">
              <w:t>5</w:t>
            </w:r>
          </w:p>
        </w:tc>
        <w:tc>
          <w:tcPr>
            <w:tcW w:w="481" w:type="pct"/>
            <w:vAlign w:val="center"/>
          </w:tcPr>
          <w:p w14:paraId="2B1E6D0B" w14:textId="54FA3187" w:rsidR="003E1ECA" w:rsidRPr="005464FA" w:rsidRDefault="003E1ECA" w:rsidP="002F6E3B">
            <w:pPr>
              <w:pStyle w:val="TableText0"/>
              <w:keepLines/>
              <w:jc w:val="center"/>
            </w:pPr>
            <w:r w:rsidRPr="005464FA">
              <w:t>19</w:t>
            </w:r>
          </w:p>
        </w:tc>
        <w:tc>
          <w:tcPr>
            <w:tcW w:w="892" w:type="pct"/>
            <w:vAlign w:val="center"/>
          </w:tcPr>
          <w:p w14:paraId="4949FBEA" w14:textId="6F864960" w:rsidR="003E1ECA" w:rsidRPr="005464FA" w:rsidRDefault="003E1ECA" w:rsidP="002F6E3B">
            <w:pPr>
              <w:pStyle w:val="TableText0"/>
              <w:keepLines/>
              <w:jc w:val="center"/>
              <w:rPr>
                <w:b/>
                <w:bCs w:val="0"/>
              </w:rPr>
            </w:pPr>
            <w:r w:rsidRPr="005464FA">
              <w:rPr>
                <w:bCs w:val="0"/>
              </w:rPr>
              <w:t>-0.08 (-0.16, -0.01)</w:t>
            </w:r>
          </w:p>
        </w:tc>
      </w:tr>
    </w:tbl>
    <w:p w14:paraId="30AA1932" w14:textId="165E9F66" w:rsidR="003E1ECA" w:rsidRPr="005464FA" w:rsidRDefault="000D5E52" w:rsidP="0004037B">
      <w:pPr>
        <w:pStyle w:val="FooterTableFigure"/>
        <w:keepNext/>
        <w:keepLines/>
        <w:jc w:val="left"/>
      </w:pPr>
      <w:r w:rsidRPr="005464FA">
        <w:t>Source: Table 2.15, p67, Table 2.32, p91, Table 2.19, p72 and Table 2.30, p88 Table 2.20, p74 and Table 2.31, p90, and Table 2.26, p81 of the submission.</w:t>
      </w:r>
    </w:p>
    <w:p w14:paraId="04ECD420" w14:textId="5CC1FB10" w:rsidR="000D5E52" w:rsidRPr="005464FA" w:rsidRDefault="000D5E52" w:rsidP="0004037B">
      <w:pPr>
        <w:pStyle w:val="FooterTableFigure"/>
        <w:keepNext/>
        <w:keepLines/>
        <w:jc w:val="left"/>
      </w:pPr>
      <w:r w:rsidRPr="005464FA">
        <w:t xml:space="preserve">AE = adverse event; CI = confidence interval; DCO = data cut-off; PFS = progression free survival; HR = hazard ratio; </w:t>
      </w:r>
      <w:r w:rsidR="00082032" w:rsidRPr="005464FA">
        <w:t>N</w:t>
      </w:r>
      <w:r w:rsidR="003D5055" w:rsidRPr="005464FA">
        <w:t xml:space="preserve">R </w:t>
      </w:r>
      <w:r w:rsidR="00082032" w:rsidRPr="005464FA">
        <w:t xml:space="preserve">= </w:t>
      </w:r>
      <w:r w:rsidR="003D5055" w:rsidRPr="005464FA">
        <w:t>not reported</w:t>
      </w:r>
      <w:r w:rsidR="00082032" w:rsidRPr="005464FA">
        <w:t xml:space="preserve">; </w:t>
      </w:r>
      <w:r w:rsidRPr="005464FA">
        <w:t>RD = risk difference; RR = relative risk</w:t>
      </w:r>
    </w:p>
    <w:p w14:paraId="2D2B3993" w14:textId="131826BD" w:rsidR="000D5E52" w:rsidRPr="005464FA" w:rsidRDefault="000D5E52" w:rsidP="0004037B">
      <w:pPr>
        <w:pStyle w:val="FooterTableFigure"/>
        <w:keepNext/>
        <w:keepLines/>
        <w:jc w:val="left"/>
      </w:pPr>
      <w:r w:rsidRPr="005464FA">
        <w:t xml:space="preserve">a The anaemia category includes anaemia, decreased </w:t>
      </w:r>
      <w:r w:rsidR="00CC280C" w:rsidRPr="005464FA">
        <w:t>haemoglobin</w:t>
      </w:r>
      <w:r w:rsidRPr="005464FA">
        <w:t xml:space="preserve"> level, decreased </w:t>
      </w:r>
      <w:r w:rsidR="00CC280C" w:rsidRPr="005464FA">
        <w:t>haematocrit</w:t>
      </w:r>
      <w:r w:rsidRPr="005464FA">
        <w:t>, decreased red-cell count, and erythropenia</w:t>
      </w:r>
    </w:p>
    <w:p w14:paraId="1815EB1A" w14:textId="51858656" w:rsidR="00A1135A" w:rsidRPr="005464FA" w:rsidRDefault="000D5E52" w:rsidP="005F522F">
      <w:pPr>
        <w:pStyle w:val="FooterTableFigure"/>
        <w:jc w:val="left"/>
      </w:pPr>
      <w:r w:rsidRPr="005464FA">
        <w:t xml:space="preserve">Note: Risk differences calculated during the evaluation using Microsoft Excel </w:t>
      </w:r>
    </w:p>
    <w:p w14:paraId="1BE8F2E7" w14:textId="4715CAEB" w:rsidR="00A1135A" w:rsidRPr="005464FA" w:rsidRDefault="00A1135A" w:rsidP="00400F51">
      <w:pPr>
        <w:pStyle w:val="3-BodyText"/>
      </w:pPr>
      <w:proofErr w:type="gramStart"/>
      <w:r w:rsidRPr="005464FA">
        <w:t>On the basis of</w:t>
      </w:r>
      <w:proofErr w:type="gramEnd"/>
      <w:r w:rsidRPr="005464FA">
        <w:t xml:space="preserve"> </w:t>
      </w:r>
      <w:r w:rsidR="005E3513" w:rsidRPr="005464FA">
        <w:t xml:space="preserve">the </w:t>
      </w:r>
      <w:r w:rsidR="000D5E52" w:rsidRPr="005464FA">
        <w:t xml:space="preserve">direct </w:t>
      </w:r>
      <w:r w:rsidR="0086454E" w:rsidRPr="005464FA">
        <w:t xml:space="preserve">whole trial population </w:t>
      </w:r>
      <w:r w:rsidRPr="005464FA">
        <w:t>evidence presented by the submission, for every 100 patients</w:t>
      </w:r>
      <w:r w:rsidR="005E3513" w:rsidRPr="005464FA">
        <w:t xml:space="preserve"> with</w:t>
      </w:r>
      <w:r w:rsidR="0086454E" w:rsidRPr="005464FA">
        <w:t xml:space="preserve"> HER2-negative mBC with a confirmed </w:t>
      </w:r>
      <w:r w:rsidR="0086454E" w:rsidRPr="005464FA">
        <w:rPr>
          <w:i/>
          <w:iCs/>
        </w:rPr>
        <w:t xml:space="preserve">BRCA1 </w:t>
      </w:r>
      <w:r w:rsidR="0086454E" w:rsidRPr="005464FA">
        <w:t xml:space="preserve">or </w:t>
      </w:r>
      <w:r w:rsidR="0086454E" w:rsidRPr="005464FA">
        <w:rPr>
          <w:i/>
          <w:iCs/>
        </w:rPr>
        <w:t>BRCA2</w:t>
      </w:r>
      <w:r w:rsidR="0086454E" w:rsidRPr="005464FA">
        <w:t xml:space="preserve"> mutation </w:t>
      </w:r>
      <w:r w:rsidR="0070524E" w:rsidRPr="005464FA">
        <w:t xml:space="preserve">who have previously </w:t>
      </w:r>
      <w:r w:rsidR="0086454E" w:rsidRPr="005464FA">
        <w:t>received</w:t>
      </w:r>
      <w:r w:rsidR="0070524E" w:rsidRPr="005464FA">
        <w:t xml:space="preserve"> </w:t>
      </w:r>
      <w:r w:rsidR="00D6695A" w:rsidRPr="005464FA">
        <w:t xml:space="preserve">up to </w:t>
      </w:r>
      <w:r w:rsidR="00757CFE" w:rsidRPr="005464FA">
        <w:t>two</w:t>
      </w:r>
      <w:r w:rsidR="0070524E" w:rsidRPr="005464FA">
        <w:t xml:space="preserve"> lines of chemotherapy</w:t>
      </w:r>
      <w:r w:rsidR="005E3513" w:rsidRPr="005464FA">
        <w:t xml:space="preserve">, </w:t>
      </w:r>
      <w:r w:rsidR="0086454E" w:rsidRPr="005464FA">
        <w:t>treatment with</w:t>
      </w:r>
      <w:r w:rsidRPr="005464FA">
        <w:t xml:space="preserve"> </w:t>
      </w:r>
      <w:r w:rsidR="000D5E52" w:rsidRPr="005464FA">
        <w:t xml:space="preserve">olaparib </w:t>
      </w:r>
      <w:r w:rsidR="00D6695A" w:rsidRPr="005464FA">
        <w:t xml:space="preserve">compared with chemotherapy </w:t>
      </w:r>
      <w:r w:rsidR="00400F51" w:rsidRPr="005464FA">
        <w:t>over a median duration of 14.</w:t>
      </w:r>
      <w:r w:rsidR="007F7F5F" w:rsidRPr="005464FA">
        <w:t>5</w:t>
      </w:r>
      <w:r w:rsidR="007F7F5F">
        <w:t> </w:t>
      </w:r>
      <w:r w:rsidR="00400F51" w:rsidRPr="005464FA">
        <w:t>months and 14.1 months, respectively</w:t>
      </w:r>
      <w:r w:rsidRPr="005464FA">
        <w:t>:</w:t>
      </w:r>
    </w:p>
    <w:p w14:paraId="776EBA7E" w14:textId="23253656" w:rsidR="00A1135A" w:rsidRPr="005464FA" w:rsidRDefault="0086454E" w:rsidP="000D5E52">
      <w:pPr>
        <w:pStyle w:val="ListParagraph"/>
        <w:numPr>
          <w:ilvl w:val="0"/>
          <w:numId w:val="3"/>
        </w:numPr>
        <w:ind w:left="1134"/>
      </w:pPr>
      <w:r w:rsidRPr="005464FA">
        <w:t xml:space="preserve">approximately </w:t>
      </w:r>
      <w:r w:rsidR="00400F51" w:rsidRPr="005464FA">
        <w:t>6</w:t>
      </w:r>
      <w:r w:rsidRPr="005464FA">
        <w:t xml:space="preserve"> </w:t>
      </w:r>
      <w:r w:rsidR="00A1135A" w:rsidRPr="005464FA">
        <w:t>additional patients will remain progression-free</w:t>
      </w:r>
      <w:r w:rsidR="000D5E52" w:rsidRPr="005464FA">
        <w:t>.</w:t>
      </w:r>
    </w:p>
    <w:p w14:paraId="2E8C60E7" w14:textId="2A16826C" w:rsidR="000D5E52" w:rsidRPr="005464FA" w:rsidRDefault="000D5E52" w:rsidP="000D5E52">
      <w:pPr>
        <w:pStyle w:val="3-BodyText"/>
      </w:pPr>
      <w:proofErr w:type="gramStart"/>
      <w:r w:rsidRPr="005464FA">
        <w:t>On the basis of</w:t>
      </w:r>
      <w:proofErr w:type="gramEnd"/>
      <w:r w:rsidRPr="005464FA">
        <w:t xml:space="preserve"> </w:t>
      </w:r>
      <w:r w:rsidR="00082032" w:rsidRPr="005464FA">
        <w:t xml:space="preserve">the </w:t>
      </w:r>
      <w:r w:rsidRPr="005464FA">
        <w:t xml:space="preserve">direct </w:t>
      </w:r>
      <w:r w:rsidR="00082032" w:rsidRPr="005464FA">
        <w:t xml:space="preserve">whole trial population </w:t>
      </w:r>
      <w:r w:rsidRPr="005464FA">
        <w:t xml:space="preserve">evidence presented by the submission, for every 100 patients </w:t>
      </w:r>
      <w:r w:rsidR="00D6695A" w:rsidRPr="005464FA">
        <w:t xml:space="preserve">with HER2-negative mBC with a confirmed </w:t>
      </w:r>
      <w:r w:rsidR="00D6695A" w:rsidRPr="005464FA">
        <w:rPr>
          <w:i/>
          <w:iCs/>
        </w:rPr>
        <w:t xml:space="preserve">BRCA1 </w:t>
      </w:r>
      <w:r w:rsidR="00D6695A" w:rsidRPr="005464FA">
        <w:t xml:space="preserve">or </w:t>
      </w:r>
      <w:r w:rsidR="00D6695A" w:rsidRPr="005464FA">
        <w:rPr>
          <w:i/>
          <w:iCs/>
        </w:rPr>
        <w:t>BRCA2</w:t>
      </w:r>
      <w:r w:rsidR="00D6695A" w:rsidRPr="005464FA">
        <w:t xml:space="preserve"> mutation who have previously received up to </w:t>
      </w:r>
      <w:r w:rsidR="00590514" w:rsidRPr="005464FA">
        <w:t>two</w:t>
      </w:r>
      <w:r w:rsidR="00D6695A" w:rsidRPr="005464FA">
        <w:t xml:space="preserve"> lines of chemotherapy, </w:t>
      </w:r>
      <w:r w:rsidRPr="005464FA">
        <w:t xml:space="preserve">treated with olaparib </w:t>
      </w:r>
      <w:r w:rsidR="00D6695A" w:rsidRPr="005464FA">
        <w:t>compared with</w:t>
      </w:r>
      <w:r w:rsidRPr="005464FA">
        <w:t xml:space="preserve"> chemotherapy over a median duration of </w:t>
      </w:r>
      <w:r w:rsidR="004D4CCB" w:rsidRPr="005464FA">
        <w:t>18.9</w:t>
      </w:r>
      <w:r w:rsidR="007F7F5F">
        <w:t> </w:t>
      </w:r>
      <w:r w:rsidRPr="005464FA">
        <w:t xml:space="preserve">months and </w:t>
      </w:r>
      <w:r w:rsidR="004D4CCB" w:rsidRPr="005464FA">
        <w:t>15.5</w:t>
      </w:r>
      <w:r w:rsidR="00251758" w:rsidRPr="005464FA">
        <w:t xml:space="preserve"> </w:t>
      </w:r>
      <w:r w:rsidRPr="005464FA">
        <w:t>months</w:t>
      </w:r>
      <w:r w:rsidR="00D6695A" w:rsidRPr="005464FA">
        <w:t>, respectively</w:t>
      </w:r>
      <w:r w:rsidRPr="005464FA">
        <w:t>:</w:t>
      </w:r>
    </w:p>
    <w:p w14:paraId="7CAE4CB8" w14:textId="539A20A2" w:rsidR="00A1135A" w:rsidRPr="005464FA" w:rsidRDefault="00D6695A" w:rsidP="0070524E">
      <w:pPr>
        <w:pStyle w:val="ListParagraph"/>
        <w:numPr>
          <w:ilvl w:val="0"/>
          <w:numId w:val="3"/>
        </w:numPr>
        <w:ind w:left="1134" w:hanging="425"/>
      </w:pPr>
      <w:r w:rsidRPr="005464FA">
        <w:t xml:space="preserve">approximately </w:t>
      </w:r>
      <w:r w:rsidR="000D5E52" w:rsidRPr="005464FA">
        <w:t>23</w:t>
      </w:r>
      <w:r w:rsidR="00A1135A" w:rsidRPr="005464FA">
        <w:t xml:space="preserve"> additional patients would </w:t>
      </w:r>
      <w:r w:rsidR="000D5E52" w:rsidRPr="005464FA">
        <w:t>experience</w:t>
      </w:r>
      <w:r w:rsidR="00A1135A" w:rsidRPr="005464FA">
        <w:t xml:space="preserve"> </w:t>
      </w:r>
      <w:r w:rsidR="000D5E52" w:rsidRPr="005464FA">
        <w:t>nausea;</w:t>
      </w:r>
    </w:p>
    <w:p w14:paraId="45C227B4" w14:textId="06ED0ACA" w:rsidR="00A1135A" w:rsidRPr="005464FA" w:rsidRDefault="00D6695A" w:rsidP="0070524E">
      <w:pPr>
        <w:pStyle w:val="ListParagraph"/>
        <w:numPr>
          <w:ilvl w:val="0"/>
          <w:numId w:val="3"/>
        </w:numPr>
        <w:ind w:left="1134" w:hanging="425"/>
      </w:pPr>
      <w:r w:rsidRPr="005464FA">
        <w:t xml:space="preserve">approximately </w:t>
      </w:r>
      <w:r w:rsidR="000D5E52" w:rsidRPr="005464FA">
        <w:t>14 additional patients would experience anaemia;</w:t>
      </w:r>
    </w:p>
    <w:p w14:paraId="47A7327E" w14:textId="297F6E37" w:rsidR="000D5E52" w:rsidRPr="005464FA" w:rsidRDefault="00D6695A" w:rsidP="0070524E">
      <w:pPr>
        <w:pStyle w:val="ListParagraph"/>
        <w:numPr>
          <w:ilvl w:val="0"/>
          <w:numId w:val="3"/>
        </w:numPr>
        <w:ind w:left="1134" w:hanging="425"/>
      </w:pPr>
      <w:r w:rsidRPr="005464FA">
        <w:t xml:space="preserve">approximately </w:t>
      </w:r>
      <w:r w:rsidR="000D5E52" w:rsidRPr="005464FA">
        <w:t xml:space="preserve">11 additional patients would experience </w:t>
      </w:r>
      <w:r w:rsidRPr="005464FA">
        <w:rPr>
          <w:rFonts w:cstheme="minorHAnsi"/>
        </w:rPr>
        <w:t>Grade ≥</w:t>
      </w:r>
      <w:r w:rsidR="000D5E52" w:rsidRPr="005464FA">
        <w:t>3 anaemia;</w:t>
      </w:r>
    </w:p>
    <w:p w14:paraId="4479FDC8" w14:textId="460AA413" w:rsidR="00A1135A" w:rsidRPr="005464FA" w:rsidRDefault="00D6695A" w:rsidP="0070524E">
      <w:pPr>
        <w:pStyle w:val="ListParagraph"/>
        <w:numPr>
          <w:ilvl w:val="0"/>
          <w:numId w:val="3"/>
        </w:numPr>
        <w:ind w:left="1134" w:hanging="425"/>
      </w:pPr>
      <w:r w:rsidRPr="005464FA">
        <w:t xml:space="preserve">approximately </w:t>
      </w:r>
      <w:r w:rsidR="000D5E52" w:rsidRPr="005464FA">
        <w:t>17</w:t>
      </w:r>
      <w:r w:rsidR="00A1135A" w:rsidRPr="005464FA">
        <w:t xml:space="preserve"> additional patients would experience </w:t>
      </w:r>
      <w:r w:rsidR="000D5E52" w:rsidRPr="005464FA">
        <w:t>vomiting;</w:t>
      </w:r>
    </w:p>
    <w:p w14:paraId="14AE66DF" w14:textId="59823330" w:rsidR="000D5E52" w:rsidRPr="005464FA" w:rsidRDefault="00D6695A" w:rsidP="0070524E">
      <w:pPr>
        <w:pStyle w:val="ListParagraph"/>
        <w:numPr>
          <w:ilvl w:val="0"/>
          <w:numId w:val="3"/>
        </w:numPr>
        <w:ind w:left="1134" w:hanging="425"/>
      </w:pPr>
      <w:r w:rsidRPr="005464FA">
        <w:lastRenderedPageBreak/>
        <w:t xml:space="preserve">approximately </w:t>
      </w:r>
      <w:r w:rsidR="000D5E52" w:rsidRPr="005464FA">
        <w:t>13 fewer patients would experience neutropenia;</w:t>
      </w:r>
      <w:r w:rsidR="0070524E" w:rsidRPr="005464FA">
        <w:t xml:space="preserve"> and</w:t>
      </w:r>
    </w:p>
    <w:p w14:paraId="1709AFE2" w14:textId="13FC73F6" w:rsidR="00A1135A" w:rsidRPr="005464FA" w:rsidRDefault="00D6695A" w:rsidP="0070524E">
      <w:pPr>
        <w:pStyle w:val="ListParagraph"/>
        <w:numPr>
          <w:ilvl w:val="0"/>
          <w:numId w:val="3"/>
        </w:numPr>
        <w:ind w:left="1134" w:hanging="425"/>
      </w:pPr>
      <w:r w:rsidRPr="005464FA">
        <w:t xml:space="preserve">approximately </w:t>
      </w:r>
      <w:r w:rsidR="000D5E52" w:rsidRPr="005464FA">
        <w:t>8</w:t>
      </w:r>
      <w:r w:rsidR="00A1135A" w:rsidRPr="005464FA">
        <w:t xml:space="preserve"> </w:t>
      </w:r>
      <w:r w:rsidR="000D5E52" w:rsidRPr="005464FA">
        <w:t>fewer</w:t>
      </w:r>
      <w:r w:rsidR="00A1135A" w:rsidRPr="005464FA">
        <w:t xml:space="preserve"> patients would </w:t>
      </w:r>
      <w:r w:rsidRPr="005464FA">
        <w:t xml:space="preserve">experience </w:t>
      </w:r>
      <w:r w:rsidR="000D5E52" w:rsidRPr="005464FA">
        <w:t xml:space="preserve">a </w:t>
      </w:r>
      <w:r w:rsidRPr="005464FA">
        <w:rPr>
          <w:rFonts w:cstheme="minorHAnsi"/>
        </w:rPr>
        <w:t>Grade ≥</w:t>
      </w:r>
      <w:r w:rsidRPr="005464FA">
        <w:t xml:space="preserve">3 </w:t>
      </w:r>
      <w:r w:rsidR="000D5E52" w:rsidRPr="005464FA">
        <w:t xml:space="preserve">decrease in neutrophil count. </w:t>
      </w:r>
    </w:p>
    <w:p w14:paraId="6DB4142F" w14:textId="77777777" w:rsidR="00A1135A" w:rsidRPr="005464FA" w:rsidRDefault="00A1135A" w:rsidP="00A1135A">
      <w:pPr>
        <w:pStyle w:val="4-SubsectionHeading"/>
      </w:pPr>
      <w:bookmarkStart w:id="65" w:name="_Toc22897644"/>
      <w:bookmarkStart w:id="66" w:name="_Toc167278286"/>
      <w:r w:rsidRPr="005464FA">
        <w:t>Clinical claim</w:t>
      </w:r>
      <w:bookmarkEnd w:id="65"/>
      <w:bookmarkEnd w:id="66"/>
    </w:p>
    <w:p w14:paraId="60B150B6" w14:textId="77777777" w:rsidR="00082032" w:rsidRPr="005464FA" w:rsidRDefault="00956C6E" w:rsidP="00956C6E">
      <w:pPr>
        <w:pStyle w:val="3-BodyText"/>
      </w:pPr>
      <w:r w:rsidRPr="005464FA">
        <w:t xml:space="preserve">The submission </w:t>
      </w:r>
      <w:r w:rsidR="00082032" w:rsidRPr="005464FA">
        <w:t>made the following clinical claims:</w:t>
      </w:r>
    </w:p>
    <w:p w14:paraId="1787F1CA" w14:textId="1228BCF3" w:rsidR="00082032" w:rsidRPr="005464FA" w:rsidRDefault="00082032" w:rsidP="00082032">
      <w:pPr>
        <w:pStyle w:val="ListParagraph"/>
        <w:numPr>
          <w:ilvl w:val="0"/>
          <w:numId w:val="3"/>
        </w:numPr>
        <w:ind w:left="1134" w:hanging="425"/>
      </w:pPr>
      <w:r w:rsidRPr="005464FA">
        <w:t>In the whole trial population</w:t>
      </w:r>
      <w:r w:rsidR="009423D0" w:rsidRPr="005464FA">
        <w:t>,</w:t>
      </w:r>
      <w:r w:rsidR="00326147" w:rsidRPr="005464FA">
        <w:t xml:space="preserve"> which included patients with HER2-negative mBC with a confirmed </w:t>
      </w:r>
      <w:r w:rsidR="00326147" w:rsidRPr="005464FA">
        <w:rPr>
          <w:i/>
          <w:iCs/>
        </w:rPr>
        <w:t>BRCA1</w:t>
      </w:r>
      <w:r w:rsidR="00326147" w:rsidRPr="005464FA">
        <w:t xml:space="preserve"> or </w:t>
      </w:r>
      <w:r w:rsidR="00326147" w:rsidRPr="005464FA">
        <w:rPr>
          <w:i/>
          <w:iCs/>
        </w:rPr>
        <w:t>BRCA2</w:t>
      </w:r>
      <w:r w:rsidR="00326147" w:rsidRPr="005464FA">
        <w:t xml:space="preserve"> mutation who had previously received up to </w:t>
      </w:r>
      <w:r w:rsidR="00DC5F64" w:rsidRPr="005464FA">
        <w:t>two</w:t>
      </w:r>
      <w:r w:rsidR="00326147" w:rsidRPr="005464FA">
        <w:t xml:space="preserve"> lines of chemotherapy</w:t>
      </w:r>
      <w:r w:rsidR="00C530D6" w:rsidRPr="005464FA">
        <w:t xml:space="preserve"> for mBC</w:t>
      </w:r>
      <w:r w:rsidRPr="005464FA">
        <w:t xml:space="preserve">, </w:t>
      </w:r>
      <w:r w:rsidR="00956C6E" w:rsidRPr="005464FA">
        <w:t xml:space="preserve">olaparib </w:t>
      </w:r>
      <w:r w:rsidRPr="005464FA">
        <w:t xml:space="preserve">was </w:t>
      </w:r>
      <w:r w:rsidR="00956C6E" w:rsidRPr="005464FA">
        <w:t>superior in terms of effectiveness compared with chemotherapy</w:t>
      </w:r>
      <w:r w:rsidR="00C530D6" w:rsidRPr="005464FA">
        <w:t xml:space="preserve"> based on</w:t>
      </w:r>
      <w:r w:rsidR="00956C6E" w:rsidRPr="005464FA">
        <w:t xml:space="preserve"> PFS and non-inferior in terms of safety compared with chemotherapy. </w:t>
      </w:r>
    </w:p>
    <w:p w14:paraId="35A3A877" w14:textId="6A997DAB" w:rsidR="00956C6E" w:rsidRPr="005464FA" w:rsidRDefault="00956C6E" w:rsidP="00082032">
      <w:pPr>
        <w:pStyle w:val="ListParagraph"/>
        <w:numPr>
          <w:ilvl w:val="0"/>
          <w:numId w:val="3"/>
        </w:numPr>
        <w:ind w:left="1134" w:hanging="425"/>
      </w:pPr>
      <w:r w:rsidRPr="005464FA">
        <w:t xml:space="preserve">In the subgroup of patients </w:t>
      </w:r>
      <w:r w:rsidR="00326147" w:rsidRPr="005464FA">
        <w:t xml:space="preserve">with HER2-negative mBC with a confirmed </w:t>
      </w:r>
      <w:r w:rsidR="00326147" w:rsidRPr="005464FA">
        <w:rPr>
          <w:i/>
          <w:iCs/>
        </w:rPr>
        <w:t>BRCA1</w:t>
      </w:r>
      <w:r w:rsidR="00326147" w:rsidRPr="005464FA">
        <w:t xml:space="preserve"> or </w:t>
      </w:r>
      <w:r w:rsidR="00326147" w:rsidRPr="005464FA">
        <w:rPr>
          <w:i/>
          <w:iCs/>
        </w:rPr>
        <w:t>BRCA2</w:t>
      </w:r>
      <w:r w:rsidR="00326147" w:rsidRPr="005464FA">
        <w:t xml:space="preserve"> mutation </w:t>
      </w:r>
      <w:r w:rsidRPr="005464FA">
        <w:t xml:space="preserve">who </w:t>
      </w:r>
      <w:r w:rsidR="00326147" w:rsidRPr="005464FA">
        <w:t xml:space="preserve">had not previously </w:t>
      </w:r>
      <w:r w:rsidRPr="005464FA">
        <w:t>received chemotherapy for mBC</w:t>
      </w:r>
      <w:r w:rsidR="00326147" w:rsidRPr="005464FA">
        <w:t xml:space="preserve">, </w:t>
      </w:r>
      <w:r w:rsidRPr="005464FA">
        <w:t xml:space="preserve">olaparib </w:t>
      </w:r>
      <w:r w:rsidR="00326147" w:rsidRPr="005464FA">
        <w:t xml:space="preserve">was superior in terms of </w:t>
      </w:r>
      <w:r w:rsidRPr="005464FA">
        <w:t>OS</w:t>
      </w:r>
      <w:r w:rsidR="00326147" w:rsidRPr="005464FA">
        <w:t xml:space="preserve"> and PFS</w:t>
      </w:r>
      <w:r w:rsidR="004D4CCB" w:rsidRPr="005464FA">
        <w:t xml:space="preserve"> </w:t>
      </w:r>
      <w:r w:rsidRPr="005464FA">
        <w:t>compared with chemotherapy.</w:t>
      </w:r>
    </w:p>
    <w:p w14:paraId="7C719F73" w14:textId="094EF3EC" w:rsidR="00956C6E" w:rsidRPr="005464FA" w:rsidRDefault="00956C6E" w:rsidP="00956C6E">
      <w:pPr>
        <w:pStyle w:val="3-BodyText"/>
      </w:pPr>
      <w:proofErr w:type="gramStart"/>
      <w:r w:rsidRPr="005464FA">
        <w:t>With regard to</w:t>
      </w:r>
      <w:proofErr w:type="gramEnd"/>
      <w:r w:rsidRPr="005464FA">
        <w:t xml:space="preserve"> the whole trial population of OlympiAD, the trial supported the claim of superior efficacy with a statistically</w:t>
      </w:r>
      <w:r w:rsidR="00F14EA7" w:rsidRPr="005464FA">
        <w:t xml:space="preserve"> significant</w:t>
      </w:r>
      <w:r w:rsidRPr="005464FA">
        <w:t xml:space="preserve"> improvement in PFS as well as PFS2, but not OS, even at longer follow-up. </w:t>
      </w:r>
      <w:r w:rsidR="00E03CAC" w:rsidRPr="005464FA">
        <w:t>However</w:t>
      </w:r>
      <w:r w:rsidR="007E10C4" w:rsidRPr="005464FA">
        <w:t xml:space="preserve">, </w:t>
      </w:r>
      <w:r w:rsidR="00E03CAC" w:rsidRPr="005464FA">
        <w:rPr>
          <w:rFonts w:ascii="Calibri" w:hAnsi="Calibri"/>
        </w:rPr>
        <w:t xml:space="preserve">the treatments included in the comparator arm are unlikely to </w:t>
      </w:r>
      <w:r w:rsidR="007043EA" w:rsidRPr="005464FA">
        <w:rPr>
          <w:rFonts w:ascii="Calibri" w:hAnsi="Calibri"/>
        </w:rPr>
        <w:t xml:space="preserve">fully </w:t>
      </w:r>
      <w:r w:rsidR="00E03CAC" w:rsidRPr="005464FA">
        <w:rPr>
          <w:rFonts w:ascii="Calibri" w:hAnsi="Calibri"/>
        </w:rPr>
        <w:t>represent standard of care</w:t>
      </w:r>
      <w:r w:rsidR="009423D0" w:rsidRPr="005464FA">
        <w:rPr>
          <w:rFonts w:ascii="Calibri" w:hAnsi="Calibri"/>
        </w:rPr>
        <w:t xml:space="preserve"> (including endocrine therapy, sacituzumab and other chemotherapy regimens)</w:t>
      </w:r>
      <w:r w:rsidR="007E10C4" w:rsidRPr="005464FA">
        <w:rPr>
          <w:rFonts w:ascii="Calibri" w:hAnsi="Calibri"/>
        </w:rPr>
        <w:t xml:space="preserve">. </w:t>
      </w:r>
      <w:r w:rsidR="00945168" w:rsidRPr="005464FA">
        <w:rPr>
          <w:rFonts w:ascii="Calibri" w:hAnsi="Calibri"/>
        </w:rPr>
        <w:t>These factors reduce the applicability of OlympiAD to the Australian population and increase uncertainty of the clinical claim.</w:t>
      </w:r>
    </w:p>
    <w:p w14:paraId="67325E08" w14:textId="7EDBF327" w:rsidR="00956C6E" w:rsidRPr="005464FA" w:rsidRDefault="00E03CAC" w:rsidP="00956C6E">
      <w:pPr>
        <w:pStyle w:val="3-BodyText"/>
      </w:pPr>
      <w:bookmarkStart w:id="67" w:name="_Ref164725692"/>
      <w:r w:rsidRPr="005464FA">
        <w:t xml:space="preserve">The submission’s claim of superior efficacy in the subgroup of patients who received no prior chemotherapy </w:t>
      </w:r>
      <w:proofErr w:type="gramStart"/>
      <w:r w:rsidRPr="005464FA">
        <w:t>on the basis of</w:t>
      </w:r>
      <w:proofErr w:type="gramEnd"/>
      <w:r w:rsidRPr="005464FA">
        <w:t xml:space="preserve"> PFS, may be reasonable on the basis that PFS has been demonstrated in the overall population. T</w:t>
      </w:r>
      <w:r w:rsidR="00956C6E" w:rsidRPr="005464FA">
        <w:t xml:space="preserve">he submission’s claim of superior efficacy </w:t>
      </w:r>
      <w:proofErr w:type="gramStart"/>
      <w:r w:rsidR="00956C6E" w:rsidRPr="005464FA">
        <w:t>on the basis of</w:t>
      </w:r>
      <w:proofErr w:type="gramEnd"/>
      <w:r w:rsidR="00956C6E" w:rsidRPr="005464FA">
        <w:t xml:space="preserve"> improved OS was highly uncertain and may not be supported </w:t>
      </w:r>
      <w:bookmarkEnd w:id="67"/>
      <w:r w:rsidRPr="005464FA">
        <w:t>because results were not statistically significant, and treatment groups do not appear to be well-balanced in the subgroup.</w:t>
      </w:r>
    </w:p>
    <w:p w14:paraId="6F1E098B" w14:textId="2452E7D3" w:rsidR="00956C6E" w:rsidRPr="005464FA" w:rsidRDefault="00956C6E" w:rsidP="000D5E52">
      <w:pPr>
        <w:pStyle w:val="3-BodyText"/>
      </w:pPr>
      <w:proofErr w:type="gramStart"/>
      <w:r w:rsidRPr="005464FA">
        <w:t>With regard to</w:t>
      </w:r>
      <w:proofErr w:type="gramEnd"/>
      <w:r w:rsidRPr="005464FA">
        <w:t xml:space="preserve"> the claim of non-inferior safety in the overall population, this was generally supported when compared to the three chemotherapy regimens included as comparators in OlympiAD (capecitabine, eribulin and vinorelbine). However, in the Australian setting, it would be expected that a proportion of patients would be treated with </w:t>
      </w:r>
      <w:r w:rsidR="00C11E2E" w:rsidRPr="005464FA">
        <w:t>2L</w:t>
      </w:r>
      <w:r w:rsidRPr="005464FA">
        <w:t xml:space="preserve"> endocrine therapy (for HR+ patients) </w:t>
      </w:r>
      <w:r w:rsidR="00C11E2E" w:rsidRPr="005464FA">
        <w:t>or</w:t>
      </w:r>
      <w:r w:rsidRPr="005464FA">
        <w:t xml:space="preserve"> sacituzumab </w:t>
      </w:r>
      <w:r w:rsidR="001218FD" w:rsidRPr="005464FA">
        <w:t>govitecan</w:t>
      </w:r>
      <w:r w:rsidRPr="005464FA">
        <w:t xml:space="preserve">. Consequently, it </w:t>
      </w:r>
      <w:r w:rsidR="00D1525A" w:rsidRPr="005464FA">
        <w:t xml:space="preserve">is </w:t>
      </w:r>
      <w:r w:rsidRPr="005464FA">
        <w:t xml:space="preserve">unlikely that the comparator safety profile in OlympiAD reflects the average safety profile for the requested treatment population. The safety claim was therefore overall uncertain. </w:t>
      </w:r>
    </w:p>
    <w:p w14:paraId="0272EA73" w14:textId="3C963609" w:rsidR="00162D7C" w:rsidRPr="005464FA" w:rsidRDefault="00162D7C" w:rsidP="00162D7C">
      <w:pPr>
        <w:widowControl w:val="0"/>
        <w:numPr>
          <w:ilvl w:val="1"/>
          <w:numId w:val="1"/>
        </w:numPr>
        <w:spacing w:after="120"/>
        <w:rPr>
          <w:rFonts w:asciiTheme="minorHAnsi" w:hAnsiTheme="minorHAnsi"/>
          <w:snapToGrid w:val="0"/>
          <w:szCs w:val="20"/>
        </w:rPr>
      </w:pPr>
      <w:bookmarkStart w:id="68" w:name="_Hlk76376200"/>
      <w:r w:rsidRPr="005464FA">
        <w:rPr>
          <w:rFonts w:asciiTheme="minorHAnsi" w:hAnsiTheme="minorHAnsi"/>
          <w:iCs/>
          <w:snapToGrid w:val="0"/>
        </w:rPr>
        <w:t>The</w:t>
      </w:r>
      <w:r w:rsidRPr="005464FA">
        <w:rPr>
          <w:rFonts w:asciiTheme="minorHAnsi" w:hAnsiTheme="minorHAnsi"/>
          <w:snapToGrid w:val="0"/>
          <w:szCs w:val="20"/>
        </w:rPr>
        <w:t xml:space="preserve"> PBAC considered that the claim of superior comparative effectiveness was reasonable</w:t>
      </w:r>
      <w:r w:rsidR="00630702" w:rsidRPr="005464FA">
        <w:rPr>
          <w:rFonts w:asciiTheme="minorHAnsi" w:hAnsiTheme="minorHAnsi"/>
          <w:snapToGrid w:val="0"/>
          <w:szCs w:val="20"/>
        </w:rPr>
        <w:t xml:space="preserve"> based on PFS benefit, but the magnitude of PFS benefit was uncertain as the comparator treatments are unlikely to fully represent standard of care. The PBAC also considered that the data did not clearly support an OS benefit, but noted that the trial was not powered to detect a difference in OS and imbalances in subsequent </w:t>
      </w:r>
      <w:r w:rsidR="00630702" w:rsidRPr="005464FA">
        <w:rPr>
          <w:rFonts w:asciiTheme="minorHAnsi" w:hAnsiTheme="minorHAnsi"/>
          <w:snapToGrid w:val="0"/>
          <w:szCs w:val="20"/>
        </w:rPr>
        <w:lastRenderedPageBreak/>
        <w:t>treatments are likely to have impacted on this outcome.</w:t>
      </w:r>
    </w:p>
    <w:p w14:paraId="0D98DF20" w14:textId="1658B4DE" w:rsidR="00162D7C" w:rsidRPr="005464FA" w:rsidRDefault="00162D7C" w:rsidP="00162D7C">
      <w:pPr>
        <w:widowControl w:val="0"/>
        <w:numPr>
          <w:ilvl w:val="1"/>
          <w:numId w:val="1"/>
        </w:numPr>
        <w:spacing w:after="120"/>
        <w:rPr>
          <w:rFonts w:asciiTheme="minorHAnsi" w:hAnsiTheme="minorHAnsi"/>
          <w:snapToGrid w:val="0"/>
          <w:szCs w:val="20"/>
        </w:rPr>
      </w:pPr>
      <w:r w:rsidRPr="005464FA">
        <w:rPr>
          <w:rFonts w:asciiTheme="minorHAnsi" w:hAnsiTheme="minorHAnsi"/>
          <w:snapToGrid w:val="0"/>
          <w:szCs w:val="20"/>
        </w:rPr>
        <w:t>The PBAC considered that the claim of non-inferior comparative safety was reasonable</w:t>
      </w:r>
      <w:r w:rsidR="00630702" w:rsidRPr="005464FA">
        <w:rPr>
          <w:rFonts w:asciiTheme="minorHAnsi" w:hAnsiTheme="minorHAnsi"/>
          <w:snapToGrid w:val="0"/>
          <w:szCs w:val="20"/>
        </w:rPr>
        <w:t>, but noted that there was some uncertainty as no comparison with alternative comparator treatments was presented</w:t>
      </w:r>
      <w:r w:rsidRPr="005464FA">
        <w:rPr>
          <w:rFonts w:asciiTheme="minorHAnsi" w:hAnsiTheme="minorHAnsi"/>
          <w:snapToGrid w:val="0"/>
          <w:szCs w:val="20"/>
        </w:rPr>
        <w:t>.</w:t>
      </w:r>
    </w:p>
    <w:p w14:paraId="5F8B1E85" w14:textId="77777777" w:rsidR="00A1135A" w:rsidRPr="005464FA" w:rsidRDefault="00A1135A" w:rsidP="00A1135A">
      <w:pPr>
        <w:pStyle w:val="4-SubsectionHeading"/>
      </w:pPr>
      <w:bookmarkStart w:id="69" w:name="_Toc22897645"/>
      <w:bookmarkStart w:id="70" w:name="_Toc167278287"/>
      <w:bookmarkEnd w:id="68"/>
      <w:r w:rsidRPr="005464FA">
        <w:t>Economic analysis</w:t>
      </w:r>
      <w:bookmarkEnd w:id="69"/>
      <w:bookmarkEnd w:id="70"/>
      <w:r w:rsidRPr="005464FA">
        <w:t xml:space="preserve"> </w:t>
      </w:r>
    </w:p>
    <w:p w14:paraId="31DBAC2C" w14:textId="25F1E26C" w:rsidR="00956C6E" w:rsidRPr="005464FA" w:rsidRDefault="00956C6E" w:rsidP="00A1135A">
      <w:pPr>
        <w:pStyle w:val="3-BodyText"/>
        <w:rPr>
          <w:b/>
          <w:bCs/>
        </w:rPr>
      </w:pPr>
      <w:r w:rsidRPr="005464FA">
        <w:rPr>
          <w:color w:val="000000" w:themeColor="text1"/>
        </w:rPr>
        <w:t xml:space="preserve">The submission presented a cost-utility analysis comparing </w:t>
      </w:r>
      <w:r w:rsidR="00597B23" w:rsidRPr="005464FA">
        <w:rPr>
          <w:color w:val="000000" w:themeColor="text1"/>
        </w:rPr>
        <w:t>o</w:t>
      </w:r>
      <w:r w:rsidRPr="005464FA">
        <w:rPr>
          <w:color w:val="000000" w:themeColor="text1"/>
        </w:rPr>
        <w:t xml:space="preserve">laparib </w:t>
      </w:r>
      <w:r w:rsidR="00597B23" w:rsidRPr="005464FA">
        <w:rPr>
          <w:color w:val="000000" w:themeColor="text1"/>
        </w:rPr>
        <w:t xml:space="preserve">with </w:t>
      </w:r>
      <w:r w:rsidRPr="005464FA">
        <w:rPr>
          <w:color w:val="000000" w:themeColor="text1"/>
        </w:rPr>
        <w:t>chemotherapy in patients with HER</w:t>
      </w:r>
      <w:r w:rsidR="00067FFB" w:rsidRPr="005464FA">
        <w:rPr>
          <w:color w:val="000000" w:themeColor="text1"/>
        </w:rPr>
        <w:t>2</w:t>
      </w:r>
      <w:r w:rsidRPr="005464FA">
        <w:rPr>
          <w:color w:val="000000" w:themeColor="text1"/>
        </w:rPr>
        <w:t>-</w:t>
      </w:r>
      <w:r w:rsidR="00067FFB" w:rsidRPr="005464FA">
        <w:rPr>
          <w:color w:val="000000" w:themeColor="text1"/>
        </w:rPr>
        <w:t>negative</w:t>
      </w:r>
      <w:r w:rsidRPr="005464FA">
        <w:rPr>
          <w:color w:val="000000" w:themeColor="text1"/>
        </w:rPr>
        <w:t xml:space="preserve">, </w:t>
      </w:r>
      <w:r w:rsidRPr="005464FA">
        <w:rPr>
          <w:i/>
          <w:iCs/>
          <w:color w:val="000000" w:themeColor="text1"/>
        </w:rPr>
        <w:t>BRCA</w:t>
      </w:r>
      <w:r w:rsidRPr="005464FA">
        <w:rPr>
          <w:color w:val="000000" w:themeColor="text1"/>
        </w:rPr>
        <w:t xml:space="preserve">m </w:t>
      </w:r>
      <w:r w:rsidR="00067FFB" w:rsidRPr="005464FA">
        <w:rPr>
          <w:color w:val="000000" w:themeColor="text1"/>
        </w:rPr>
        <w:t xml:space="preserve">mBC who had not previously received </w:t>
      </w:r>
      <w:r w:rsidRPr="005464FA">
        <w:rPr>
          <w:color w:val="000000" w:themeColor="text1"/>
        </w:rPr>
        <w:t xml:space="preserve">chemotherapy </w:t>
      </w:r>
      <w:r w:rsidR="00067FFB" w:rsidRPr="005464FA">
        <w:rPr>
          <w:color w:val="000000" w:themeColor="text1"/>
        </w:rPr>
        <w:t xml:space="preserve">in the metastatic setting </w:t>
      </w:r>
      <w:r w:rsidRPr="005464FA">
        <w:rPr>
          <w:color w:val="000000" w:themeColor="text1"/>
        </w:rPr>
        <w:t xml:space="preserve">based on the corresponding subgroup in the OlympiAD trial (hence referred to </w:t>
      </w:r>
      <w:r w:rsidRPr="005464FA">
        <w:t xml:space="preserve">has the subgroup model). The submission also presented an additional cost-utility analysis reflective of the whole trial population (hence referred to as the ITT model). </w:t>
      </w:r>
      <w:r w:rsidR="00CA1C56" w:rsidRPr="005464FA">
        <w:t xml:space="preserve">Recognising the unmet need for all </w:t>
      </w:r>
      <w:r w:rsidR="00CA1C56" w:rsidRPr="005464FA">
        <w:rPr>
          <w:color w:val="000000" w:themeColor="text1"/>
        </w:rPr>
        <w:t xml:space="preserve">HER2-negative, </w:t>
      </w:r>
      <w:r w:rsidR="00CA1C56" w:rsidRPr="005464FA">
        <w:rPr>
          <w:i/>
          <w:iCs/>
          <w:color w:val="000000" w:themeColor="text1"/>
        </w:rPr>
        <w:t>BRCA</w:t>
      </w:r>
      <w:r w:rsidR="00CA1C56" w:rsidRPr="005464FA">
        <w:rPr>
          <w:color w:val="000000" w:themeColor="text1"/>
        </w:rPr>
        <w:t xml:space="preserve">m mBC </w:t>
      </w:r>
      <w:r w:rsidR="00CA1C56" w:rsidRPr="005464FA">
        <w:t>patients, the pre-PBAC response accepted the ITT population model structure as most appropriate for decision-making. The PBAC agreed with the pre-PBAC response and considered results for the ITT population were appropriate as the basis for the economic model.</w:t>
      </w:r>
    </w:p>
    <w:p w14:paraId="448C54B2" w14:textId="3A89FB14" w:rsidR="00956C6E" w:rsidRPr="005464FA" w:rsidRDefault="00956C6E" w:rsidP="00956C6E">
      <w:pPr>
        <w:pStyle w:val="3-BodyText"/>
        <w:rPr>
          <w:b/>
          <w:bCs/>
        </w:rPr>
      </w:pPr>
      <w:r w:rsidRPr="005464FA">
        <w:rPr>
          <w:b/>
          <w:bCs/>
        </w:rPr>
        <w:fldChar w:fldCharType="begin" w:fldLock="1"/>
      </w:r>
      <w:r w:rsidRPr="005464FA">
        <w:rPr>
          <w:b/>
          <w:bCs/>
        </w:rPr>
        <w:instrText xml:space="preserve"> REF _Ref164441917 \h </w:instrText>
      </w:r>
      <w:r w:rsidRPr="005464FA">
        <w:rPr>
          <w:b/>
          <w:bCs/>
        </w:rPr>
      </w:r>
      <w:r w:rsidRPr="005464FA">
        <w:rPr>
          <w:b/>
          <w:bCs/>
        </w:rPr>
        <w:fldChar w:fldCharType="separate"/>
      </w:r>
      <w:r w:rsidR="00122E11" w:rsidRPr="005464FA">
        <w:t>Table 11</w:t>
      </w:r>
      <w:r w:rsidRPr="005464FA">
        <w:rPr>
          <w:b/>
          <w:bCs/>
        </w:rPr>
        <w:fldChar w:fldCharType="end"/>
      </w:r>
      <w:r w:rsidRPr="005464FA">
        <w:rPr>
          <w:b/>
          <w:bCs/>
        </w:rPr>
        <w:t xml:space="preserve"> </w:t>
      </w:r>
      <w:r w:rsidRPr="005464FA">
        <w:t xml:space="preserve">presents a summary of the overview, key </w:t>
      </w:r>
      <w:proofErr w:type="gramStart"/>
      <w:r w:rsidRPr="005464FA">
        <w:t>inputs</w:t>
      </w:r>
      <w:proofErr w:type="gramEnd"/>
      <w:r w:rsidRPr="005464FA">
        <w:t xml:space="preserve"> and rationale of the submission’s economic evaluation.</w:t>
      </w:r>
    </w:p>
    <w:p w14:paraId="0F7144BE" w14:textId="490B141A" w:rsidR="00956C6E" w:rsidRPr="005464FA" w:rsidRDefault="00A1135A" w:rsidP="00264E93">
      <w:pPr>
        <w:pStyle w:val="Caption"/>
        <w:jc w:val="left"/>
        <w:rPr>
          <w:rStyle w:val="CommentReference"/>
          <w:b/>
          <w:szCs w:val="24"/>
        </w:rPr>
      </w:pPr>
      <w:bookmarkStart w:id="71" w:name="_Ref164441917"/>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11</w:t>
      </w:r>
      <w:r w:rsidR="00935AC4" w:rsidRPr="005464FA">
        <w:fldChar w:fldCharType="end"/>
      </w:r>
      <w:bookmarkEnd w:id="71"/>
      <w:r w:rsidRPr="005464FA">
        <w:t>:</w:t>
      </w:r>
      <w:r w:rsidRPr="005464FA">
        <w:rPr>
          <w:rStyle w:val="CommentReference"/>
          <w:b/>
          <w:szCs w:val="24"/>
        </w:rPr>
        <w:t xml:space="preserve"> Summary of model structure, key </w:t>
      </w:r>
      <w:proofErr w:type="gramStart"/>
      <w:r w:rsidRPr="005464FA">
        <w:rPr>
          <w:rStyle w:val="CommentReference"/>
          <w:b/>
          <w:szCs w:val="24"/>
        </w:rPr>
        <w:t>inputs</w:t>
      </w:r>
      <w:proofErr w:type="gramEnd"/>
      <w:r w:rsidRPr="005464FA">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1: Summary of model structure, key inputs and rationale"/>
      </w:tblPr>
      <w:tblGrid>
        <w:gridCol w:w="2509"/>
        <w:gridCol w:w="6508"/>
      </w:tblGrid>
      <w:tr w:rsidR="00956C6E" w:rsidRPr="005464FA" w14:paraId="5BF1E1AF" w14:textId="77777777" w:rsidTr="002F6E3B">
        <w:trPr>
          <w:tblHeader/>
        </w:trPr>
        <w:tc>
          <w:tcPr>
            <w:tcW w:w="1391" w:type="pct"/>
            <w:shd w:val="clear" w:color="auto" w:fill="auto"/>
            <w:vAlign w:val="center"/>
          </w:tcPr>
          <w:p w14:paraId="0766DACF" w14:textId="77777777" w:rsidR="00956C6E" w:rsidRPr="005464FA" w:rsidRDefault="00956C6E" w:rsidP="005F522F">
            <w:pPr>
              <w:pStyle w:val="In-tableHeading"/>
              <w:keepLines/>
              <w:rPr>
                <w:lang w:val="en-AU"/>
              </w:rPr>
            </w:pPr>
            <w:r w:rsidRPr="005464FA">
              <w:rPr>
                <w:lang w:val="en-AU"/>
              </w:rPr>
              <w:t>Component</w:t>
            </w:r>
          </w:p>
        </w:tc>
        <w:tc>
          <w:tcPr>
            <w:tcW w:w="3609" w:type="pct"/>
            <w:shd w:val="clear" w:color="auto" w:fill="auto"/>
            <w:vAlign w:val="center"/>
          </w:tcPr>
          <w:p w14:paraId="0FE4EA01" w14:textId="77777777" w:rsidR="00956C6E" w:rsidRPr="005464FA" w:rsidRDefault="00956C6E" w:rsidP="005F522F">
            <w:pPr>
              <w:pStyle w:val="In-tableHeading"/>
              <w:keepLines/>
              <w:rPr>
                <w:lang w:val="en-AU"/>
              </w:rPr>
            </w:pPr>
            <w:r w:rsidRPr="005464FA">
              <w:rPr>
                <w:lang w:val="en-AU"/>
              </w:rPr>
              <w:t>Summary</w:t>
            </w:r>
          </w:p>
        </w:tc>
      </w:tr>
      <w:tr w:rsidR="00956C6E" w:rsidRPr="005464FA" w14:paraId="5D1BEE9D" w14:textId="77777777" w:rsidTr="002F6E3B">
        <w:tc>
          <w:tcPr>
            <w:tcW w:w="1391" w:type="pct"/>
            <w:shd w:val="clear" w:color="auto" w:fill="auto"/>
            <w:vAlign w:val="center"/>
          </w:tcPr>
          <w:p w14:paraId="696BCEB0" w14:textId="77777777" w:rsidR="00956C6E" w:rsidRPr="005464FA" w:rsidRDefault="00956C6E" w:rsidP="005F522F">
            <w:pPr>
              <w:pStyle w:val="TableText0"/>
              <w:keepLines/>
            </w:pPr>
            <w:r w:rsidRPr="005464FA">
              <w:t>Treatments</w:t>
            </w:r>
          </w:p>
        </w:tc>
        <w:tc>
          <w:tcPr>
            <w:tcW w:w="3609" w:type="pct"/>
            <w:shd w:val="clear" w:color="auto" w:fill="auto"/>
            <w:vAlign w:val="center"/>
          </w:tcPr>
          <w:p w14:paraId="67E52727" w14:textId="77777777" w:rsidR="00956C6E" w:rsidRPr="005464FA" w:rsidRDefault="00956C6E" w:rsidP="005F522F">
            <w:pPr>
              <w:pStyle w:val="TableText0"/>
              <w:keepLines/>
            </w:pPr>
            <w:r w:rsidRPr="005464FA">
              <w:t>Olaparib versus chemotherapy</w:t>
            </w:r>
          </w:p>
        </w:tc>
      </w:tr>
      <w:tr w:rsidR="00D76ABA" w:rsidRPr="005464FA" w14:paraId="178AC011" w14:textId="77777777" w:rsidTr="002F6E3B">
        <w:tc>
          <w:tcPr>
            <w:tcW w:w="1391" w:type="pct"/>
            <w:shd w:val="clear" w:color="auto" w:fill="auto"/>
            <w:vAlign w:val="center"/>
          </w:tcPr>
          <w:p w14:paraId="493B8146" w14:textId="220ACFD0" w:rsidR="00D76ABA" w:rsidRPr="005464FA" w:rsidRDefault="00D76ABA" w:rsidP="005F522F">
            <w:pPr>
              <w:pStyle w:val="TableText0"/>
              <w:keepLines/>
            </w:pPr>
            <w:r w:rsidRPr="005464FA">
              <w:t>Population</w:t>
            </w:r>
          </w:p>
        </w:tc>
        <w:tc>
          <w:tcPr>
            <w:tcW w:w="3609" w:type="pct"/>
            <w:shd w:val="clear" w:color="auto" w:fill="auto"/>
            <w:vAlign w:val="center"/>
          </w:tcPr>
          <w:p w14:paraId="13D31DBB" w14:textId="19F325F0" w:rsidR="00D76ABA" w:rsidRPr="005464FA" w:rsidRDefault="009B6225" w:rsidP="005F522F">
            <w:pPr>
              <w:pStyle w:val="TableText0"/>
              <w:keepLines/>
            </w:pPr>
            <w:r w:rsidRPr="005464FA">
              <w:t>Subgroup</w:t>
            </w:r>
            <w:r w:rsidR="00D76ABA" w:rsidRPr="005464FA">
              <w:t xml:space="preserve"> </w:t>
            </w:r>
            <w:r w:rsidRPr="005464FA">
              <w:t>(</w:t>
            </w:r>
            <w:r w:rsidR="00D76ABA" w:rsidRPr="005464FA">
              <w:t>base case</w:t>
            </w:r>
            <w:r w:rsidRPr="005464FA">
              <w:t>):</w:t>
            </w:r>
            <w:r w:rsidR="00D76ABA" w:rsidRPr="005464FA">
              <w:t xml:space="preserve"> patients with HER2-negative mBC with a confirmed </w:t>
            </w:r>
            <w:r w:rsidR="005464FA" w:rsidRPr="005464FA">
              <w:rPr>
                <w:i/>
              </w:rPr>
              <w:t>BRCA</w:t>
            </w:r>
            <w:r w:rsidR="00D76ABA" w:rsidRPr="005464FA">
              <w:t xml:space="preserve">1 or </w:t>
            </w:r>
            <w:r w:rsidR="005464FA" w:rsidRPr="005464FA">
              <w:rPr>
                <w:i/>
              </w:rPr>
              <w:t>BRCA</w:t>
            </w:r>
            <w:r w:rsidR="00D76ABA" w:rsidRPr="005464FA">
              <w:t>2 mutation who had not previously received chemotherapy for mBC.</w:t>
            </w:r>
          </w:p>
          <w:p w14:paraId="25284722" w14:textId="77777777" w:rsidR="00D76ABA" w:rsidRPr="005464FA" w:rsidRDefault="00D76ABA" w:rsidP="005F522F">
            <w:pPr>
              <w:pStyle w:val="TableText0"/>
              <w:keepLines/>
            </w:pPr>
          </w:p>
          <w:p w14:paraId="0ADB3B9E" w14:textId="18F9AE31" w:rsidR="00D76ABA" w:rsidRPr="005464FA" w:rsidRDefault="009B6225" w:rsidP="005F522F">
            <w:pPr>
              <w:pStyle w:val="TableText0"/>
              <w:keepLines/>
            </w:pPr>
            <w:r w:rsidRPr="005464FA">
              <w:t xml:space="preserve">ITT: </w:t>
            </w:r>
            <w:r w:rsidR="00D76ABA" w:rsidRPr="005464FA">
              <w:t>all patients in the OlympiAD trial (i.e. those who had received up to two lines of chemotherapy in the metastatic setting)</w:t>
            </w:r>
            <w:r w:rsidRPr="005464FA">
              <w:t>.</w:t>
            </w:r>
          </w:p>
        </w:tc>
      </w:tr>
      <w:tr w:rsidR="00D76ABA" w:rsidRPr="005464FA" w14:paraId="3415BC4A" w14:textId="77777777" w:rsidTr="002F6E3B">
        <w:tc>
          <w:tcPr>
            <w:tcW w:w="1391" w:type="pct"/>
            <w:shd w:val="clear" w:color="auto" w:fill="auto"/>
            <w:vAlign w:val="center"/>
          </w:tcPr>
          <w:p w14:paraId="139DE903" w14:textId="77777777" w:rsidR="00D76ABA" w:rsidRPr="005464FA" w:rsidRDefault="00D76ABA" w:rsidP="005F522F">
            <w:pPr>
              <w:pStyle w:val="TableText0"/>
              <w:keepLines/>
            </w:pPr>
            <w:r w:rsidRPr="005464FA">
              <w:t>Time horizon</w:t>
            </w:r>
          </w:p>
        </w:tc>
        <w:tc>
          <w:tcPr>
            <w:tcW w:w="3609" w:type="pct"/>
            <w:shd w:val="clear" w:color="auto" w:fill="auto"/>
            <w:vAlign w:val="center"/>
          </w:tcPr>
          <w:p w14:paraId="2C00C1C0" w14:textId="77777777" w:rsidR="00D76ABA" w:rsidRPr="005464FA" w:rsidRDefault="00D76ABA" w:rsidP="005F522F">
            <w:pPr>
              <w:pStyle w:val="TableText0"/>
              <w:keepLines/>
            </w:pPr>
            <w:r w:rsidRPr="005464FA">
              <w:t>10 years based on median 18 months of follow-up in the Final OS analysis of OlympiAD.</w:t>
            </w:r>
          </w:p>
        </w:tc>
      </w:tr>
      <w:tr w:rsidR="00D76ABA" w:rsidRPr="005464FA" w14:paraId="4D33A1BD" w14:textId="77777777" w:rsidTr="002F6E3B">
        <w:tc>
          <w:tcPr>
            <w:tcW w:w="1391" w:type="pct"/>
            <w:shd w:val="clear" w:color="auto" w:fill="auto"/>
            <w:vAlign w:val="center"/>
          </w:tcPr>
          <w:p w14:paraId="40E53F0B" w14:textId="77777777" w:rsidR="00D76ABA" w:rsidRPr="005464FA" w:rsidRDefault="00D76ABA" w:rsidP="005F522F">
            <w:pPr>
              <w:pStyle w:val="TableText0"/>
              <w:keepLines/>
            </w:pPr>
            <w:r w:rsidRPr="005464FA">
              <w:t>Outcomes</w:t>
            </w:r>
          </w:p>
        </w:tc>
        <w:tc>
          <w:tcPr>
            <w:tcW w:w="3609" w:type="pct"/>
            <w:shd w:val="clear" w:color="auto" w:fill="auto"/>
            <w:vAlign w:val="center"/>
          </w:tcPr>
          <w:p w14:paraId="35B072DF" w14:textId="6146C0CB" w:rsidR="00D76ABA" w:rsidRPr="005464FA" w:rsidRDefault="00D76ABA" w:rsidP="005F522F">
            <w:pPr>
              <w:pStyle w:val="TableText0"/>
              <w:keepLines/>
            </w:pPr>
            <w:r w:rsidRPr="005464FA">
              <w:t>Progression-free years gained, life-years gained, quality-adjusted life years gained</w:t>
            </w:r>
          </w:p>
        </w:tc>
      </w:tr>
      <w:tr w:rsidR="00D76ABA" w:rsidRPr="005464FA" w14:paraId="4D4D2260" w14:textId="77777777" w:rsidTr="002F6E3B">
        <w:trPr>
          <w:trHeight w:val="188"/>
        </w:trPr>
        <w:tc>
          <w:tcPr>
            <w:tcW w:w="1391" w:type="pct"/>
            <w:shd w:val="clear" w:color="auto" w:fill="auto"/>
            <w:vAlign w:val="center"/>
          </w:tcPr>
          <w:p w14:paraId="50D0A980" w14:textId="77777777" w:rsidR="00D76ABA" w:rsidRPr="005464FA" w:rsidRDefault="00D76ABA" w:rsidP="005F522F">
            <w:pPr>
              <w:pStyle w:val="TableText0"/>
              <w:keepLines/>
            </w:pPr>
            <w:r w:rsidRPr="005464FA">
              <w:t>Methods used to generate results</w:t>
            </w:r>
          </w:p>
        </w:tc>
        <w:tc>
          <w:tcPr>
            <w:tcW w:w="3609" w:type="pct"/>
            <w:shd w:val="clear" w:color="auto" w:fill="auto"/>
            <w:vAlign w:val="center"/>
          </w:tcPr>
          <w:p w14:paraId="7003652B" w14:textId="77777777" w:rsidR="00D76ABA" w:rsidRPr="005464FA" w:rsidRDefault="00D76ABA" w:rsidP="005F522F">
            <w:pPr>
              <w:pStyle w:val="TableText0"/>
              <w:keepLines/>
            </w:pPr>
            <w:r w:rsidRPr="005464FA">
              <w:t>Partitioned survival model</w:t>
            </w:r>
          </w:p>
        </w:tc>
      </w:tr>
      <w:tr w:rsidR="00D76ABA" w:rsidRPr="005464FA" w14:paraId="0E494A66" w14:textId="77777777" w:rsidTr="002F6E3B">
        <w:tc>
          <w:tcPr>
            <w:tcW w:w="1391" w:type="pct"/>
            <w:shd w:val="clear" w:color="auto" w:fill="auto"/>
            <w:vAlign w:val="center"/>
          </w:tcPr>
          <w:p w14:paraId="232C8B2D" w14:textId="77777777" w:rsidR="00D76ABA" w:rsidRPr="005464FA" w:rsidRDefault="00D76ABA" w:rsidP="005F522F">
            <w:pPr>
              <w:pStyle w:val="TableText0"/>
              <w:keepLines/>
            </w:pPr>
            <w:r w:rsidRPr="005464FA">
              <w:t>Health states</w:t>
            </w:r>
          </w:p>
        </w:tc>
        <w:tc>
          <w:tcPr>
            <w:tcW w:w="3609" w:type="pct"/>
            <w:shd w:val="clear" w:color="auto" w:fill="auto"/>
            <w:vAlign w:val="center"/>
          </w:tcPr>
          <w:p w14:paraId="7EE41011" w14:textId="77777777" w:rsidR="00D76ABA" w:rsidRPr="005464FA" w:rsidRDefault="00D76ABA" w:rsidP="005F522F">
            <w:pPr>
              <w:pStyle w:val="TableText0"/>
              <w:keepLines/>
            </w:pPr>
            <w:r w:rsidRPr="005464FA">
              <w:t>PFS1, PFS2, progressive disease (PD), death</w:t>
            </w:r>
          </w:p>
        </w:tc>
      </w:tr>
      <w:tr w:rsidR="00D76ABA" w:rsidRPr="005464FA" w14:paraId="74760AB8" w14:textId="77777777" w:rsidTr="002F6E3B">
        <w:tc>
          <w:tcPr>
            <w:tcW w:w="1391" w:type="pct"/>
            <w:shd w:val="clear" w:color="auto" w:fill="auto"/>
            <w:vAlign w:val="center"/>
          </w:tcPr>
          <w:p w14:paraId="2CB7E606" w14:textId="77777777" w:rsidR="00D76ABA" w:rsidRPr="005464FA" w:rsidRDefault="00D76ABA" w:rsidP="005F522F">
            <w:pPr>
              <w:pStyle w:val="TableText0"/>
              <w:keepLines/>
            </w:pPr>
            <w:r w:rsidRPr="005464FA">
              <w:t>Cycle length</w:t>
            </w:r>
          </w:p>
        </w:tc>
        <w:tc>
          <w:tcPr>
            <w:tcW w:w="3609" w:type="pct"/>
            <w:shd w:val="clear" w:color="auto" w:fill="auto"/>
            <w:vAlign w:val="center"/>
          </w:tcPr>
          <w:p w14:paraId="26004C26" w14:textId="77777777" w:rsidR="00D76ABA" w:rsidRPr="005464FA" w:rsidRDefault="00D76ABA" w:rsidP="005F522F">
            <w:pPr>
              <w:pStyle w:val="TableText0"/>
              <w:keepLines/>
            </w:pPr>
            <w:r w:rsidRPr="005464FA">
              <w:t>1 month</w:t>
            </w:r>
          </w:p>
        </w:tc>
      </w:tr>
      <w:tr w:rsidR="00D76ABA" w:rsidRPr="005464FA" w14:paraId="5B62FBA1" w14:textId="77777777" w:rsidTr="002F6E3B">
        <w:tc>
          <w:tcPr>
            <w:tcW w:w="1391" w:type="pct"/>
            <w:shd w:val="clear" w:color="auto" w:fill="auto"/>
            <w:vAlign w:val="center"/>
          </w:tcPr>
          <w:p w14:paraId="6F862888" w14:textId="77777777" w:rsidR="00D76ABA" w:rsidRPr="005464FA" w:rsidRDefault="00D76ABA" w:rsidP="005F522F">
            <w:pPr>
              <w:pStyle w:val="TableText0"/>
              <w:keepLines/>
            </w:pPr>
            <w:r w:rsidRPr="005464FA">
              <w:t>Allocation to health states</w:t>
            </w:r>
          </w:p>
        </w:tc>
        <w:tc>
          <w:tcPr>
            <w:tcW w:w="3609" w:type="pct"/>
            <w:shd w:val="clear" w:color="auto" w:fill="auto"/>
            <w:vAlign w:val="center"/>
          </w:tcPr>
          <w:p w14:paraId="08CDD4A2" w14:textId="77777777" w:rsidR="00D76ABA" w:rsidRPr="005464FA" w:rsidRDefault="00D76ABA" w:rsidP="005F522F">
            <w:pPr>
              <w:pStyle w:val="TableText0"/>
              <w:keepLines/>
            </w:pPr>
            <w:r w:rsidRPr="005464FA">
              <w:t>PFS, PFS2, and OS extrapolated using parametric functions fitted directly to data from OlympiAD. Australian lifetables applied after end of trial follow-up to capture all-cause mortality observed after the trial.</w:t>
            </w:r>
          </w:p>
        </w:tc>
      </w:tr>
      <w:tr w:rsidR="00D76ABA" w:rsidRPr="005464FA" w14:paraId="0E4E8C05" w14:textId="77777777" w:rsidTr="002F6E3B">
        <w:tc>
          <w:tcPr>
            <w:tcW w:w="1391" w:type="pct"/>
            <w:shd w:val="clear" w:color="auto" w:fill="auto"/>
            <w:vAlign w:val="center"/>
          </w:tcPr>
          <w:p w14:paraId="7F5C32D7" w14:textId="77777777" w:rsidR="00D76ABA" w:rsidRPr="005464FA" w:rsidRDefault="00D76ABA" w:rsidP="005F522F">
            <w:pPr>
              <w:pStyle w:val="TableText0"/>
              <w:keepLines/>
            </w:pPr>
            <w:r w:rsidRPr="005464FA">
              <w:t>Extrapolation method</w:t>
            </w:r>
          </w:p>
        </w:tc>
        <w:tc>
          <w:tcPr>
            <w:tcW w:w="3609" w:type="pct"/>
            <w:shd w:val="clear" w:color="auto" w:fill="auto"/>
            <w:vAlign w:val="center"/>
          </w:tcPr>
          <w:p w14:paraId="0F175CC4" w14:textId="6064BB87" w:rsidR="00D76ABA" w:rsidRPr="005464FA" w:rsidRDefault="00D76ABA" w:rsidP="005F522F">
            <w:pPr>
              <w:pStyle w:val="TableText0"/>
              <w:keepLines/>
            </w:pPr>
            <w:r w:rsidRPr="005464FA">
              <w:t xml:space="preserve">In the base case model, the submission extrapolated PFS, OS and PFS2 using a lognormal parametric function in both arms. In the ITT analysis, a lognormal function was used in all extrapolated curves, except for PFS2, which utilised a generalised gamma function in both arms. </w:t>
            </w:r>
          </w:p>
        </w:tc>
      </w:tr>
      <w:tr w:rsidR="00D76ABA" w:rsidRPr="005464FA" w14:paraId="7BFA5C4D" w14:textId="77777777" w:rsidTr="002F6E3B">
        <w:tc>
          <w:tcPr>
            <w:tcW w:w="1391" w:type="pct"/>
            <w:shd w:val="clear" w:color="auto" w:fill="auto"/>
            <w:vAlign w:val="center"/>
          </w:tcPr>
          <w:p w14:paraId="765E53DC" w14:textId="77777777" w:rsidR="00D76ABA" w:rsidRPr="005464FA" w:rsidRDefault="00D76ABA" w:rsidP="005F522F">
            <w:pPr>
              <w:pStyle w:val="TableText0"/>
              <w:keepLines/>
            </w:pPr>
            <w:r w:rsidRPr="005464FA">
              <w:t>Health related quality of life</w:t>
            </w:r>
          </w:p>
        </w:tc>
        <w:tc>
          <w:tcPr>
            <w:tcW w:w="3609" w:type="pct"/>
            <w:shd w:val="clear" w:color="auto" w:fill="auto"/>
            <w:vAlign w:val="center"/>
          </w:tcPr>
          <w:p w14:paraId="1BC41A08" w14:textId="77777777" w:rsidR="00D76ABA" w:rsidRPr="005464FA" w:rsidRDefault="00D76ABA" w:rsidP="005F522F">
            <w:pPr>
              <w:pStyle w:val="TableText0"/>
              <w:keepLines/>
            </w:pPr>
            <w:r w:rsidRPr="005464FA">
              <w:t xml:space="preserve">EORTC QLQ-C30 scores from OlympiAD were mapped to EQ-5D-5L based utility values using published mapping algorithms, and the literature for the progressed disease state. </w:t>
            </w:r>
          </w:p>
          <w:p w14:paraId="4D27692A" w14:textId="45EA8715" w:rsidR="00D76ABA" w:rsidRPr="005464FA" w:rsidRDefault="00D76ABA" w:rsidP="005F522F">
            <w:pPr>
              <w:pStyle w:val="TableText0"/>
              <w:keepLines/>
            </w:pPr>
            <w:r w:rsidRPr="005464FA">
              <w:t xml:space="preserve">The health state utilities were PFS1-0.817 for </w:t>
            </w:r>
            <w:r w:rsidR="009B6225" w:rsidRPr="005464FA">
              <w:t>o</w:t>
            </w:r>
            <w:r w:rsidRPr="005464FA">
              <w:t xml:space="preserve">laparib and 0.745 for chemotherapy; PFS2 0.749 for olaparib and 0.717 for chemotherapy; PD 0.53 for both treatments. </w:t>
            </w:r>
          </w:p>
        </w:tc>
      </w:tr>
      <w:tr w:rsidR="00D76ABA" w:rsidRPr="005464FA" w14:paraId="2C02373C" w14:textId="77777777" w:rsidTr="002F6E3B">
        <w:tc>
          <w:tcPr>
            <w:tcW w:w="1391" w:type="pct"/>
            <w:shd w:val="clear" w:color="auto" w:fill="auto"/>
            <w:vAlign w:val="center"/>
          </w:tcPr>
          <w:p w14:paraId="4EB3F354" w14:textId="361A6E76" w:rsidR="00D76ABA" w:rsidRPr="005464FA" w:rsidRDefault="005464FA" w:rsidP="005F522F">
            <w:pPr>
              <w:pStyle w:val="TableText0"/>
              <w:keepLines/>
            </w:pPr>
            <w:r w:rsidRPr="005464FA">
              <w:rPr>
                <w:i/>
              </w:rPr>
              <w:t>BRCA</w:t>
            </w:r>
            <w:r w:rsidR="00D76ABA" w:rsidRPr="005464FA">
              <w:t xml:space="preserve"> test modelling </w:t>
            </w:r>
          </w:p>
        </w:tc>
        <w:tc>
          <w:tcPr>
            <w:tcW w:w="3609" w:type="pct"/>
            <w:shd w:val="clear" w:color="auto" w:fill="auto"/>
            <w:vAlign w:val="center"/>
          </w:tcPr>
          <w:p w14:paraId="688AB302" w14:textId="06BE9B32" w:rsidR="00D76ABA" w:rsidRPr="005464FA" w:rsidRDefault="00D76ABA" w:rsidP="005F522F">
            <w:pPr>
              <w:pStyle w:val="TableText0"/>
              <w:keepLines/>
            </w:pPr>
            <w:r w:rsidRPr="005464FA">
              <w:t xml:space="preserve">Though </w:t>
            </w:r>
            <w:r w:rsidRPr="005464FA">
              <w:rPr>
                <w:i/>
                <w:iCs/>
              </w:rPr>
              <w:t>BRCA</w:t>
            </w:r>
            <w:r w:rsidRPr="005464FA">
              <w:t xml:space="preserve"> test costs are incorporated into the model, the prevalence of </w:t>
            </w:r>
            <w:r w:rsidRPr="005464FA">
              <w:rPr>
                <w:i/>
                <w:iCs/>
              </w:rPr>
              <w:t>BRCA</w:t>
            </w:r>
            <w:r w:rsidRPr="005464FA">
              <w:t xml:space="preserve">m was not considered, which </w:t>
            </w:r>
            <w:r w:rsidR="009B6225" w:rsidRPr="005464FA">
              <w:t xml:space="preserve">underestimated </w:t>
            </w:r>
            <w:r w:rsidRPr="005464FA">
              <w:t xml:space="preserve">the number of tests required for each patient treated. </w:t>
            </w:r>
          </w:p>
        </w:tc>
      </w:tr>
    </w:tbl>
    <w:p w14:paraId="6C0DB4AA" w14:textId="77777777" w:rsidR="00956C6E" w:rsidRPr="005464FA" w:rsidRDefault="00956C6E" w:rsidP="005F522F">
      <w:pPr>
        <w:pStyle w:val="FooterTableFigure"/>
        <w:keepNext/>
        <w:keepLines/>
      </w:pPr>
      <w:r w:rsidRPr="005464FA">
        <w:t xml:space="preserve">Source: Table 3.1, p104 of the submission. </w:t>
      </w:r>
    </w:p>
    <w:p w14:paraId="64D8BC9D" w14:textId="72423BE8" w:rsidR="00956C6E" w:rsidRPr="005464FA" w:rsidRDefault="00956C6E" w:rsidP="00956C6E">
      <w:pPr>
        <w:pStyle w:val="FooterTableFigure"/>
      </w:pPr>
      <w:r w:rsidRPr="005464FA">
        <w:t xml:space="preserve">EORTC QLQ C30 = European Organisation for Research and Treatment of Cancer Quality of Life Questionnaire Core 30-item module; EQ-5D5L = </w:t>
      </w:r>
      <w:r w:rsidR="00CC280C" w:rsidRPr="005464FA">
        <w:t>EuroQoL</w:t>
      </w:r>
      <w:r w:rsidRPr="005464FA">
        <w:t xml:space="preserve"> 5 dimension 5 level; OS = overall survival; PFS= progression free survival; PFS2 = time to second progression or death</w:t>
      </w:r>
    </w:p>
    <w:p w14:paraId="51988D5B" w14:textId="193AE6AD" w:rsidR="00956C6E" w:rsidRPr="005464FA" w:rsidRDefault="00956C6E" w:rsidP="00CA1C56">
      <w:pPr>
        <w:pStyle w:val="3-BodyText"/>
      </w:pPr>
      <w:r w:rsidRPr="005464FA">
        <w:lastRenderedPageBreak/>
        <w:t xml:space="preserve">Though the submission base case included a 10 year time horizon, the submission argued that a 15-year time horizon could be permitted </w:t>
      </w:r>
      <w:r w:rsidR="00CA1C56" w:rsidRPr="005464FA">
        <w:t>due to the young baseline age (45 years), the robustness/maturity of OlympiAD OS data which reduces the level of uncertainty in the model, and the availability of effective later line treatments (such as SG for TNBC patients). The evaluation noted that a</w:t>
      </w:r>
      <w:r w:rsidRPr="005464FA">
        <w:t xml:space="preserve"> 10-year time horizon was consistent with th</w:t>
      </w:r>
      <w:r w:rsidR="00CA1C56" w:rsidRPr="005464FA">
        <w:t xml:space="preserve">e model for </w:t>
      </w:r>
      <w:r w:rsidRPr="005464FA">
        <w:t xml:space="preserve">pembrolizumab plus chemotherapy for TNBC. </w:t>
      </w:r>
      <w:r w:rsidR="00E96C67" w:rsidRPr="005464FA">
        <w:t>The ESC considered the 10-year time horizon was reasonable.</w:t>
      </w:r>
      <w:r w:rsidR="00CA1C56" w:rsidRPr="005464FA">
        <w:t xml:space="preserve"> The pre-PBAC response maintained that a 15 year time horizon was reasonable, but accepted application of 10 years </w:t>
      </w:r>
      <w:r w:rsidR="007E11CF" w:rsidRPr="005464FA">
        <w:t>in its revised base case.</w:t>
      </w:r>
    </w:p>
    <w:p w14:paraId="65799EBD" w14:textId="62F4FFE7" w:rsidR="00956C6E" w:rsidRPr="005464FA" w:rsidRDefault="00956C6E" w:rsidP="002D1F13">
      <w:pPr>
        <w:pStyle w:val="3-BodyText"/>
      </w:pPr>
      <w:r w:rsidRPr="005464FA">
        <w:t>The transition probabilities were estimated by fitting a series of parametric survival models to patient-level time-to-event data.</w:t>
      </w:r>
      <w:r w:rsidR="008D0DF3" w:rsidRPr="005464FA">
        <w:t xml:space="preserve"> </w:t>
      </w:r>
      <w:r w:rsidRPr="005464FA">
        <w:t>For PFS1, PFS2 and OS, the point of truncation was set at the point at which approximately 10% of patients remain in the risk set. The submission considered this was consistent with the model for pembrolizumab in mBC (March 2023 PBAC meeting), and methodology presented in Pocock 2002. The ESC had previously considered that where 10% of the cohort remain at risk may be considered the minimum required to accept reliability of the KM curves (paragraph 6.48, pembrolizumab PSD</w:t>
      </w:r>
      <w:r w:rsidR="00481EFF">
        <w:t>,</w:t>
      </w:r>
      <w:r w:rsidR="00481EFF" w:rsidRPr="00481EFF">
        <w:t xml:space="preserve"> </w:t>
      </w:r>
      <w:r w:rsidR="00481EFF" w:rsidRPr="005464FA">
        <w:t>March 2023</w:t>
      </w:r>
      <w:r w:rsidR="00787C90">
        <w:t xml:space="preserve"> PBAC meeting</w:t>
      </w:r>
      <w:r w:rsidRPr="005464FA">
        <w:t xml:space="preserve">). However, </w:t>
      </w:r>
      <w:r w:rsidR="00F57296" w:rsidRPr="005464FA">
        <w:t>at 30</w:t>
      </w:r>
      <w:r w:rsidR="00481EFF">
        <w:t> </w:t>
      </w:r>
      <w:r w:rsidR="00F57296" w:rsidRPr="005464FA">
        <w:t>months (OS cut off) there were only 16 patients at risk in the olaparib arm and 6 in the chemotherapy arm</w:t>
      </w:r>
      <w:r w:rsidRPr="005464FA">
        <w:t xml:space="preserve">, suggesting that the tails of the KM data are highly uncertain. </w:t>
      </w:r>
    </w:p>
    <w:p w14:paraId="09221799" w14:textId="6C0A1D87" w:rsidR="003D3EDE" w:rsidRPr="005464FA" w:rsidRDefault="003D3EDE" w:rsidP="003D3EDE">
      <w:pPr>
        <w:pStyle w:val="3-BodyText"/>
      </w:pPr>
      <w:r w:rsidRPr="005464FA">
        <w:fldChar w:fldCharType="begin" w:fldLock="1"/>
      </w:r>
      <w:r w:rsidRPr="005464FA">
        <w:instrText xml:space="preserve"> REF _Ref164445539 \h </w:instrText>
      </w:r>
      <w:r w:rsidRPr="005464FA">
        <w:fldChar w:fldCharType="separate"/>
      </w:r>
      <w:r w:rsidR="00122E11" w:rsidRPr="005464FA">
        <w:t>Figure 5</w:t>
      </w:r>
      <w:r w:rsidRPr="005464FA">
        <w:fldChar w:fldCharType="end"/>
      </w:r>
      <w:r w:rsidRPr="005464FA">
        <w:t xml:space="preserve"> and </w:t>
      </w:r>
      <w:r w:rsidRPr="005464FA">
        <w:fldChar w:fldCharType="begin" w:fldLock="1"/>
      </w:r>
      <w:r w:rsidRPr="005464FA">
        <w:instrText xml:space="preserve"> REF _Ref164445554 \h </w:instrText>
      </w:r>
      <w:r w:rsidRPr="005464FA">
        <w:fldChar w:fldCharType="separate"/>
      </w:r>
      <w:r w:rsidR="00122E11" w:rsidRPr="005464FA">
        <w:t>Figure 6</w:t>
      </w:r>
      <w:r w:rsidRPr="005464FA">
        <w:fldChar w:fldCharType="end"/>
      </w:r>
      <w:r w:rsidRPr="005464FA">
        <w:t xml:space="preserve"> present the modelled PFS1, PFS 2 and OS curves from the ITT model for olaparib and chemotherapy, respectively.</w:t>
      </w:r>
    </w:p>
    <w:p w14:paraId="49129016" w14:textId="09B622D1" w:rsidR="003D3EDE" w:rsidRPr="005464FA" w:rsidRDefault="003D3EDE" w:rsidP="005F522F">
      <w:pPr>
        <w:pStyle w:val="TableFigureHeading"/>
        <w:keepLines/>
      </w:pPr>
      <w:bookmarkStart w:id="72" w:name="_Ref164445539"/>
      <w:r w:rsidRPr="005464FA">
        <w:t xml:space="preserve">Figure </w:t>
      </w:r>
      <w:r w:rsidR="00935AC4" w:rsidRPr="005464FA">
        <w:fldChar w:fldCharType="begin" w:fldLock="1"/>
      </w:r>
      <w:r w:rsidR="00935AC4" w:rsidRPr="005464FA">
        <w:instrText xml:space="preserve"> SEQ Figure \* ARABIC </w:instrText>
      </w:r>
      <w:r w:rsidR="00935AC4" w:rsidRPr="005464FA">
        <w:fldChar w:fldCharType="separate"/>
      </w:r>
      <w:r w:rsidR="00122E11" w:rsidRPr="005464FA">
        <w:t>5</w:t>
      </w:r>
      <w:r w:rsidR="00935AC4" w:rsidRPr="005464FA">
        <w:fldChar w:fldCharType="end"/>
      </w:r>
      <w:bookmarkEnd w:id="72"/>
      <w:r w:rsidRPr="005464FA">
        <w:t>: Modelled curves for olaparib arm</w:t>
      </w:r>
    </w:p>
    <w:p w14:paraId="682E827E" w14:textId="72403DB0" w:rsidR="003D3EDE" w:rsidRPr="005464FA" w:rsidRDefault="003D3EDE" w:rsidP="005F522F">
      <w:pPr>
        <w:keepNext/>
        <w:keepLines/>
        <w:jc w:val="left"/>
      </w:pPr>
      <w:r w:rsidRPr="005464FA">
        <w:rPr>
          <w:noProof/>
        </w:rPr>
        <w:drawing>
          <wp:inline distT="0" distB="0" distL="0" distR="0" wp14:anchorId="109BAAC7" wp14:editId="13B969ED">
            <wp:extent cx="3832860" cy="3439457"/>
            <wp:effectExtent l="0" t="0" r="0" b="8890"/>
            <wp:docPr id="1648485633" name="Picture 1648485633" descr="Figure 5: Modelled curves for olaparib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85633" name="Picture 1648485633" descr="Figure 5: Modelled curves for olaparib arm"/>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9180"/>
                    <a:stretch/>
                  </pic:blipFill>
                  <pic:spPr bwMode="auto">
                    <a:xfrm>
                      <a:off x="0" y="0"/>
                      <a:ext cx="3874984" cy="3477257"/>
                    </a:xfrm>
                    <a:prstGeom prst="rect">
                      <a:avLst/>
                    </a:prstGeom>
                    <a:noFill/>
                    <a:ln>
                      <a:noFill/>
                    </a:ln>
                    <a:extLst>
                      <a:ext uri="{53640926-AAD7-44D8-BBD7-CCE9431645EC}">
                        <a14:shadowObscured xmlns:a14="http://schemas.microsoft.com/office/drawing/2010/main"/>
                      </a:ext>
                    </a:extLst>
                  </pic:spPr>
                </pic:pic>
              </a:graphicData>
            </a:graphic>
          </wp:inline>
        </w:drawing>
      </w:r>
    </w:p>
    <w:p w14:paraId="5B510831" w14:textId="761310A5" w:rsidR="003D3EDE" w:rsidRPr="005464FA" w:rsidRDefault="003D3EDE" w:rsidP="005F522F">
      <w:pPr>
        <w:pStyle w:val="FooterTableFigure"/>
        <w:keepNext/>
        <w:keepLines/>
        <w:jc w:val="left"/>
      </w:pPr>
      <w:r w:rsidRPr="005464FA">
        <w:t>Source: Figure 3.19, p153 of the submission.</w:t>
      </w:r>
    </w:p>
    <w:p w14:paraId="7313E306" w14:textId="5B1BB15D" w:rsidR="003D3EDE" w:rsidRPr="005464FA" w:rsidRDefault="003D3EDE" w:rsidP="005F522F">
      <w:pPr>
        <w:pStyle w:val="FooterTableFigure"/>
        <w:jc w:val="left"/>
      </w:pPr>
      <w:r w:rsidRPr="005464FA">
        <w:t>Note: The yellow dot points represent OS data from the extended OS follow-up phase (Robson 2023</w:t>
      </w:r>
      <w:r w:rsidR="0098541E" w:rsidRPr="005464FA">
        <w:t>)</w:t>
      </w:r>
    </w:p>
    <w:p w14:paraId="5CF961F4" w14:textId="193A1132" w:rsidR="003D3EDE" w:rsidRPr="005464FA" w:rsidRDefault="003D3EDE" w:rsidP="0076357E">
      <w:pPr>
        <w:pStyle w:val="TableFigureHeading"/>
        <w:keepLines/>
      </w:pPr>
      <w:bookmarkStart w:id="73" w:name="_Ref164445554"/>
      <w:r w:rsidRPr="005464FA">
        <w:lastRenderedPageBreak/>
        <w:t xml:space="preserve">Figure </w:t>
      </w:r>
      <w:r w:rsidR="00935AC4" w:rsidRPr="005464FA">
        <w:fldChar w:fldCharType="begin" w:fldLock="1"/>
      </w:r>
      <w:r w:rsidR="00935AC4" w:rsidRPr="005464FA">
        <w:instrText xml:space="preserve"> SEQ Figure \* ARABIC </w:instrText>
      </w:r>
      <w:r w:rsidR="00935AC4" w:rsidRPr="005464FA">
        <w:fldChar w:fldCharType="separate"/>
      </w:r>
      <w:r w:rsidR="00122E11" w:rsidRPr="005464FA">
        <w:t>6</w:t>
      </w:r>
      <w:r w:rsidR="00935AC4" w:rsidRPr="005464FA">
        <w:fldChar w:fldCharType="end"/>
      </w:r>
      <w:bookmarkEnd w:id="73"/>
      <w:r w:rsidRPr="005464FA">
        <w:t>: Modelled curves for chemotherapy arm</w:t>
      </w:r>
    </w:p>
    <w:p w14:paraId="662FA262" w14:textId="329FEC22" w:rsidR="003D3EDE" w:rsidRPr="005464FA" w:rsidRDefault="003D3EDE" w:rsidP="00F74D05">
      <w:pPr>
        <w:keepNext/>
        <w:keepLines/>
        <w:jc w:val="left"/>
      </w:pPr>
      <w:r w:rsidRPr="005464FA">
        <w:rPr>
          <w:b/>
          <w:bCs/>
          <w:noProof/>
        </w:rPr>
        <w:drawing>
          <wp:inline distT="0" distB="0" distL="0" distR="0" wp14:anchorId="19149FB6" wp14:editId="3981D724">
            <wp:extent cx="4107180" cy="3343298"/>
            <wp:effectExtent l="0" t="0" r="7620" b="9525"/>
            <wp:docPr id="1362763782" name="Picture 1362763782" descr="Figure 6: Modelled curves for chemotherapy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63782" name="Picture 1362763782" descr="Figure 6: Modelled curves for chemotherapy arm"/>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318" r="13726"/>
                    <a:stretch/>
                  </pic:blipFill>
                  <pic:spPr bwMode="auto">
                    <a:xfrm>
                      <a:off x="0" y="0"/>
                      <a:ext cx="4176545" cy="3399762"/>
                    </a:xfrm>
                    <a:prstGeom prst="rect">
                      <a:avLst/>
                    </a:prstGeom>
                    <a:noFill/>
                    <a:ln>
                      <a:noFill/>
                    </a:ln>
                    <a:extLst>
                      <a:ext uri="{53640926-AAD7-44D8-BBD7-CCE9431645EC}">
                        <a14:shadowObscured xmlns:a14="http://schemas.microsoft.com/office/drawing/2010/main"/>
                      </a:ext>
                    </a:extLst>
                  </pic:spPr>
                </pic:pic>
              </a:graphicData>
            </a:graphic>
          </wp:inline>
        </w:drawing>
      </w:r>
    </w:p>
    <w:p w14:paraId="4C757426" w14:textId="7FCCF9E8" w:rsidR="003D3EDE" w:rsidRPr="005464FA" w:rsidRDefault="003D3EDE" w:rsidP="00F74D05">
      <w:pPr>
        <w:pStyle w:val="FooterTableFigure"/>
        <w:keepNext/>
        <w:keepLines/>
        <w:jc w:val="left"/>
      </w:pPr>
      <w:r w:rsidRPr="005464FA">
        <w:t>Source: Figure 3.18, p152 of the submission.</w:t>
      </w:r>
    </w:p>
    <w:p w14:paraId="7E0F4B36" w14:textId="714AB4F5" w:rsidR="003D3EDE" w:rsidRPr="005464FA" w:rsidRDefault="003D3EDE" w:rsidP="005F522F">
      <w:pPr>
        <w:pStyle w:val="FooterTableFigure"/>
        <w:contextualSpacing w:val="0"/>
        <w:jc w:val="left"/>
      </w:pPr>
      <w:r w:rsidRPr="005464FA">
        <w:t>Note: The yellow dot points represent OS data from the extended OS follow-up phase (Robson 2023</w:t>
      </w:r>
      <w:r w:rsidR="00883295">
        <w:t>)</w:t>
      </w:r>
    </w:p>
    <w:p w14:paraId="130CBC61" w14:textId="60C5A53B" w:rsidR="003D3EDE" w:rsidRPr="005464FA" w:rsidRDefault="003D3EDE" w:rsidP="00BE564D">
      <w:pPr>
        <w:pStyle w:val="3-BodyText"/>
      </w:pPr>
      <w:bookmarkStart w:id="74" w:name="_Ref169711002"/>
      <w:r w:rsidRPr="005464FA">
        <w:t>The submission considered that the data from the final OS analysis was a reasonably good fit to the</w:t>
      </w:r>
      <w:r w:rsidR="00007E01" w:rsidRPr="005464FA">
        <w:t xml:space="preserve"> extended overall survival data </w:t>
      </w:r>
      <w:r w:rsidR="0084625F" w:rsidRPr="005464FA">
        <w:t xml:space="preserve">for OlympiAD </w:t>
      </w:r>
      <w:r w:rsidR="00007E01" w:rsidRPr="005464FA">
        <w:t>presented in</w:t>
      </w:r>
      <w:r w:rsidRPr="005464FA">
        <w:t xml:space="preserve"> Robson 2023. </w:t>
      </w:r>
      <w:r w:rsidR="00BE564D" w:rsidRPr="005464FA">
        <w:t>The commentary</w:t>
      </w:r>
      <w:r w:rsidRPr="005464FA">
        <w:t xml:space="preserve"> noted that the Robson 2023 data only shows noticeably greater survival at the tails of the distributions, and that the modelled OS was lower for both olaparib and chemotherapy. </w:t>
      </w:r>
      <w:r w:rsidR="00BE564D" w:rsidRPr="005464FA">
        <w:t>N</w:t>
      </w:r>
      <w:r w:rsidRPr="005464FA">
        <w:t xml:space="preserve">either the final nor extended OS DCO showed any statistically significant improvement in overall survival. </w:t>
      </w:r>
      <w:r w:rsidR="00204A62" w:rsidRPr="005464FA">
        <w:t>The PSCR argued that while the OS gain was not statistically significant, a divergence in OS did occur during the trial and the lack of statistical significance could be contributed to the use of effective subsequent anti-cancer therapies in the chemotherapy arm.</w:t>
      </w:r>
      <w:r w:rsidR="007C234D" w:rsidRPr="005464FA">
        <w:t xml:space="preserve"> </w:t>
      </w:r>
      <w:r w:rsidR="00AE34F4" w:rsidRPr="005464FA">
        <w:t>Th</w:t>
      </w:r>
      <w:r w:rsidR="00E96C67" w:rsidRPr="005464FA">
        <w:t xml:space="preserve">e ESC </w:t>
      </w:r>
      <w:r w:rsidR="00AE34F4" w:rsidRPr="005464FA">
        <w:t xml:space="preserve">agreed with the commentary that, given the lack of statistically significant different OS from the trial data, </w:t>
      </w:r>
      <w:r w:rsidRPr="005464FA">
        <w:t>it was inappropriate for the ITT model to include any OS differences.</w:t>
      </w:r>
      <w:bookmarkEnd w:id="74"/>
      <w:r w:rsidRPr="005464FA">
        <w:t xml:space="preserve"> </w:t>
      </w:r>
      <w:r w:rsidR="00BE564D" w:rsidRPr="005464FA">
        <w:t xml:space="preserve">The pre-PBAC response noted that the PBAC </w:t>
      </w:r>
      <w:r w:rsidR="00626516" w:rsidRPr="005464FA">
        <w:t>accepted</w:t>
      </w:r>
      <w:r w:rsidR="00BE564D" w:rsidRPr="005464FA">
        <w:t xml:space="preserve"> the modelling of an OS gain </w:t>
      </w:r>
      <w:r w:rsidR="00F57296" w:rsidRPr="005464FA">
        <w:t xml:space="preserve">(HR = 0.9) </w:t>
      </w:r>
      <w:r w:rsidR="00BE564D" w:rsidRPr="005464FA">
        <w:t xml:space="preserve">for olaparib in HR+ patients with eBC despite a lack of </w:t>
      </w:r>
      <w:r w:rsidR="00F57296" w:rsidRPr="005464FA">
        <w:t xml:space="preserve">statistical </w:t>
      </w:r>
      <w:r w:rsidR="00BE564D" w:rsidRPr="005464FA">
        <w:t>significance. In the revised base case presented in the pre-PBAC response, the OS curve for olaparib was estimated by applying the trial</w:t>
      </w:r>
      <w:r w:rsidR="00BE564D" w:rsidRPr="005464FA">
        <w:noBreakHyphen/>
        <w:t xml:space="preserve">based HR (0.9) </w:t>
      </w:r>
      <w:r w:rsidR="00F57296" w:rsidRPr="005464FA">
        <w:t xml:space="preserve">from OlympiAD </w:t>
      </w:r>
      <w:r w:rsidR="00BE564D" w:rsidRPr="005464FA">
        <w:t>to the OS curve for chemotherapy.</w:t>
      </w:r>
    </w:p>
    <w:p w14:paraId="3142C2FD" w14:textId="4E77A10D" w:rsidR="003D3EDE" w:rsidRPr="005464FA" w:rsidRDefault="003D3EDE" w:rsidP="003A0777">
      <w:pPr>
        <w:pStyle w:val="3-BodyText"/>
      </w:pPr>
      <w:bookmarkStart w:id="75" w:name="_Ref169710759"/>
      <w:r w:rsidRPr="005464FA">
        <w:t>The submission derived utility weights for patients in the PFS1 and PFS2 health states from the OlympiAD study. The submission sourced the utility weight for the PD health state from the published literature.</w:t>
      </w:r>
      <w:r w:rsidR="00783F6E" w:rsidRPr="005464FA">
        <w:t xml:space="preserve"> </w:t>
      </w:r>
      <w:r w:rsidRPr="005464FA">
        <w:t>The submission mapped EORTC QLQ-C30 scores from OlympiAD (Final PFS DCO) to EQ-5D-5L utility values using a mapping algorithm developed by Meunier 2022 (using Australian tariffs reported by Norman 2013).</w:t>
      </w:r>
      <w:bookmarkEnd w:id="75"/>
      <w:r w:rsidR="00465790" w:rsidRPr="005464FA">
        <w:t xml:space="preserve"> The </w:t>
      </w:r>
      <w:r w:rsidR="00465790" w:rsidRPr="005464FA">
        <w:lastRenderedPageBreak/>
        <w:t xml:space="preserve">ESC advised that the values should </w:t>
      </w:r>
      <w:r w:rsidR="00F57296" w:rsidRPr="005464FA">
        <w:t xml:space="preserve">have </w:t>
      </w:r>
      <w:r w:rsidR="00465790" w:rsidRPr="005464FA">
        <w:t>be</w:t>
      </w:r>
      <w:r w:rsidR="00F57296" w:rsidRPr="005464FA">
        <w:t>en</w:t>
      </w:r>
      <w:r w:rsidR="00465790" w:rsidRPr="005464FA">
        <w:t xml:space="preserve"> updated using the most recent Australian value set (Norman 2023)</w:t>
      </w:r>
      <w:r w:rsidR="00465790" w:rsidRPr="005464FA">
        <w:rPr>
          <w:rStyle w:val="FootnoteReference"/>
        </w:rPr>
        <w:footnoteReference w:id="8"/>
      </w:r>
      <w:r w:rsidR="00465790" w:rsidRPr="005464FA">
        <w:t>.</w:t>
      </w:r>
    </w:p>
    <w:p w14:paraId="7C2B7A49" w14:textId="4FE4AA1B" w:rsidR="003D3EDE" w:rsidRPr="005464FA" w:rsidRDefault="003D3EDE" w:rsidP="003D3EDE">
      <w:pPr>
        <w:pStyle w:val="3-BodyText"/>
      </w:pPr>
      <w:r w:rsidRPr="005464FA">
        <w:t>The submission noted higher utility scores in the olaparib arm compared to the chemotherapy arm. The submission considered this difference existed for two reasons:</w:t>
      </w:r>
    </w:p>
    <w:p w14:paraId="2163E1C6" w14:textId="77777777" w:rsidR="00AE34F4" w:rsidRPr="005464FA" w:rsidRDefault="003D3EDE" w:rsidP="003849D3">
      <w:pPr>
        <w:pStyle w:val="3-BodyText"/>
        <w:numPr>
          <w:ilvl w:val="0"/>
          <w:numId w:val="11"/>
        </w:numPr>
        <w:ind w:left="1134"/>
      </w:pPr>
      <w:r w:rsidRPr="005464FA">
        <w:t xml:space="preserve">Firstly, olaparib induced a significantly larger ‘disease control rate’ than chemotherapy (79.5% versus 47.4%). Thus, olaparib patients are likely to experience fewer disease-related symptoms than chemotherapy patients. </w:t>
      </w:r>
    </w:p>
    <w:p w14:paraId="2AFF3DDA" w14:textId="5DA1C087" w:rsidR="003D3EDE" w:rsidRPr="005464FA" w:rsidRDefault="003D3EDE" w:rsidP="00AE34F4">
      <w:pPr>
        <w:pStyle w:val="3-BodyText"/>
        <w:numPr>
          <w:ilvl w:val="1"/>
          <w:numId w:val="11"/>
        </w:numPr>
      </w:pPr>
      <w:r w:rsidRPr="005464FA">
        <w:t>Th</w:t>
      </w:r>
      <w:r w:rsidR="00AE34F4" w:rsidRPr="005464FA">
        <w:t>e commentary considered</w:t>
      </w:r>
      <w:r w:rsidR="00AE34F4" w:rsidRPr="005464FA">
        <w:rPr>
          <w:i/>
          <w:iCs/>
        </w:rPr>
        <w:t xml:space="preserve"> </w:t>
      </w:r>
      <w:r w:rsidR="00AE34F4" w:rsidRPr="005464FA">
        <w:t>th</w:t>
      </w:r>
      <w:r w:rsidRPr="005464FA">
        <w:t xml:space="preserve">is may not be reasonable, as all ‘progression free’ patients should not be experiencing disease related symptoms (if any) and should have the same HRQoL. The difference in disease control rate would be reflected in the difference in </w:t>
      </w:r>
      <w:r w:rsidR="00D03981" w:rsidRPr="005464FA">
        <w:t>p</w:t>
      </w:r>
      <w:r w:rsidRPr="005464FA">
        <w:t>roportion of patients in the progression free and post progression health state instead of a difference between treatments in the same health state</w:t>
      </w:r>
      <w:r w:rsidR="00F74D05" w:rsidRPr="005464FA">
        <w:t>.</w:t>
      </w:r>
    </w:p>
    <w:p w14:paraId="08A833A3" w14:textId="77777777" w:rsidR="00AE34F4" w:rsidRPr="005464FA" w:rsidRDefault="003D3EDE" w:rsidP="003849D3">
      <w:pPr>
        <w:pStyle w:val="3-BodyText"/>
        <w:numPr>
          <w:ilvl w:val="0"/>
          <w:numId w:val="11"/>
        </w:numPr>
        <w:ind w:left="1134"/>
        <w:rPr>
          <w:i/>
          <w:iCs/>
        </w:rPr>
      </w:pPr>
      <w:r w:rsidRPr="005464FA">
        <w:t xml:space="preserve">Secondly, the higher utility score observed for olaparib is consistent with the safety profiles of olaparib and chemotherapy observed in the OlympiAD trial. Whilst the incidence of ‘any adverse event’ was similar between the two treatment arms (98% for olaparib versus 96% for chemotherapy), olaparib patients experienced significantly fewer grade 3/4 adverse events than patients treated with chemotherapy (38% versus 49.5%). Furthermore, olaparib patients experienced significantly fewer grade 3/4 adverse events </w:t>
      </w:r>
      <w:r w:rsidR="00944DD6" w:rsidRPr="005464FA">
        <w:t xml:space="preserve">considered </w:t>
      </w:r>
      <w:r w:rsidRPr="005464FA">
        <w:t xml:space="preserve">causally related to study medication than patients treated with chemotherapy (24% versus 34%). </w:t>
      </w:r>
    </w:p>
    <w:p w14:paraId="1CF4AD4A" w14:textId="113878BD" w:rsidR="003D3EDE" w:rsidRPr="005464FA" w:rsidRDefault="003D3EDE" w:rsidP="00AE34F4">
      <w:pPr>
        <w:pStyle w:val="3-BodyText"/>
        <w:numPr>
          <w:ilvl w:val="1"/>
          <w:numId w:val="11"/>
        </w:numPr>
        <w:rPr>
          <w:i/>
          <w:iCs/>
        </w:rPr>
      </w:pPr>
      <w:r w:rsidRPr="005464FA">
        <w:t>Th</w:t>
      </w:r>
      <w:r w:rsidR="00AE34F4" w:rsidRPr="005464FA">
        <w:t>e commentary noted this</w:t>
      </w:r>
      <w:r w:rsidRPr="005464FA">
        <w:t xml:space="preserve"> was inconsistent with the submission’s clinical claim of non-inferior safety. It may also be unreasonable to assume that there would be a lower utility for the chemotherapy arm for the entirety of the </w:t>
      </w:r>
      <w:r w:rsidR="00873291" w:rsidRPr="005464FA">
        <w:t xml:space="preserve">time spent in PFS1 (0.539 years or 6.47 months) </w:t>
      </w:r>
      <w:r w:rsidRPr="005464FA">
        <w:t>when the mean duration of chemotherapy treatment assumed was only 21.3 weeks of eribulin and vinorelbine (7.1 × three weekly cycles) or 4.9 months of capecitabine.</w:t>
      </w:r>
      <w:r w:rsidRPr="005464FA">
        <w:rPr>
          <w:i/>
          <w:iCs/>
        </w:rPr>
        <w:t xml:space="preserve"> </w:t>
      </w:r>
    </w:p>
    <w:p w14:paraId="21F055DC" w14:textId="126697E8" w:rsidR="00AE34F4" w:rsidRPr="005464FA" w:rsidRDefault="003D3EDE" w:rsidP="003D3EDE">
      <w:pPr>
        <w:pStyle w:val="3-BodyText"/>
      </w:pPr>
      <w:r w:rsidRPr="005464FA">
        <w:t xml:space="preserve">The submission did not explain why there would be any differences in </w:t>
      </w:r>
      <w:r w:rsidR="00501496" w:rsidRPr="005464FA">
        <w:t xml:space="preserve">PFS2 </w:t>
      </w:r>
      <w:r w:rsidRPr="005464FA">
        <w:t xml:space="preserve">utilities since olaparib and chemotherapy would have been ceased already. </w:t>
      </w:r>
      <w:r w:rsidR="00134922" w:rsidRPr="005464FA">
        <w:t>The ESC considered that the application of differential utilities for PFS2 in the submission’s model was not justified.</w:t>
      </w:r>
      <w:r w:rsidR="00A12296" w:rsidRPr="005464FA">
        <w:t xml:space="preserve"> The pre-PBAC response acknowledged that PFS2 utility is more likely to be consistent between the treatment arms and applied the pooled utility value for both arms in the pre-PBAC response revised base case.</w:t>
      </w:r>
    </w:p>
    <w:p w14:paraId="1F9D0268" w14:textId="2A41EAD2" w:rsidR="00956C6E" w:rsidRPr="005464FA" w:rsidRDefault="007522E9" w:rsidP="003D3EDE">
      <w:pPr>
        <w:pStyle w:val="3-BodyText"/>
      </w:pPr>
      <w:bookmarkStart w:id="76" w:name="_Ref169710903"/>
      <w:r w:rsidRPr="005464FA">
        <w:lastRenderedPageBreak/>
        <w:t>The PSCR argued that differential utilities</w:t>
      </w:r>
      <w:r w:rsidR="00FD3F37" w:rsidRPr="005464FA">
        <w:t xml:space="preserve"> for PFS</w:t>
      </w:r>
      <w:r w:rsidRPr="005464FA">
        <w:t xml:space="preserve"> </w:t>
      </w:r>
      <w:r w:rsidR="00EA1551" w:rsidRPr="005464FA">
        <w:t xml:space="preserve">(0.746 and 0.662) </w:t>
      </w:r>
      <w:r w:rsidRPr="005464FA">
        <w:t xml:space="preserve">were accepted in the PBAC’s consideration of sacituzumab </w:t>
      </w:r>
      <w:r w:rsidR="001218FD" w:rsidRPr="005464FA">
        <w:t>govitecan</w:t>
      </w:r>
      <w:r w:rsidRPr="005464FA">
        <w:t xml:space="preserve"> (</w:t>
      </w:r>
      <w:r w:rsidR="00EA1551" w:rsidRPr="005464FA">
        <w:t xml:space="preserve">paragraph 7.14 sacituzumab </w:t>
      </w:r>
      <w:r w:rsidR="001218FD" w:rsidRPr="005464FA">
        <w:t>govitecan</w:t>
      </w:r>
      <w:r w:rsidR="00EA1551" w:rsidRPr="005464FA">
        <w:t xml:space="preserve"> PSD, March 2022 PBAC meeting)</w:t>
      </w:r>
      <w:r w:rsidR="00DD4D59" w:rsidRPr="005464FA">
        <w:t xml:space="preserve"> and a similar approach should be applied to the olaparib model</w:t>
      </w:r>
      <w:r w:rsidR="00EA1551" w:rsidRPr="005464FA">
        <w:t xml:space="preserve">. The ESC recalled its advice that a more appropriate base case for the sacituzumab </w:t>
      </w:r>
      <w:r w:rsidR="001218FD" w:rsidRPr="005464FA">
        <w:t>govitecan</w:t>
      </w:r>
      <w:r w:rsidR="00EA1551" w:rsidRPr="005464FA">
        <w:t xml:space="preserve"> model would incorporate pooled utilities for the progression free health state (paragraph 6.65, sacituzumab </w:t>
      </w:r>
      <w:r w:rsidR="001218FD" w:rsidRPr="005464FA">
        <w:t>govitecan</w:t>
      </w:r>
      <w:r w:rsidR="00EA1551" w:rsidRPr="005464FA">
        <w:t xml:space="preserve"> PSD, March</w:t>
      </w:r>
      <w:r w:rsidR="00E053B6">
        <w:t> </w:t>
      </w:r>
      <w:r w:rsidR="00EA1551" w:rsidRPr="005464FA">
        <w:t>2022 PBAC meeting)</w:t>
      </w:r>
      <w:r w:rsidR="00DD4D59" w:rsidRPr="005464FA">
        <w:t>. The ESC</w:t>
      </w:r>
      <w:r w:rsidR="00EA1551" w:rsidRPr="005464FA">
        <w:t xml:space="preserve"> noted there were additional contextual differences between the submissions that would have a bearing on the PBAC’s consideration of the acceptability of differential utility values</w:t>
      </w:r>
      <w:r w:rsidR="00DD4D59" w:rsidRPr="005464FA">
        <w:t>, including a demonstrated OS benefit</w:t>
      </w:r>
      <w:r w:rsidR="00EA1551" w:rsidRPr="005464FA">
        <w:t xml:space="preserve">. </w:t>
      </w:r>
      <w:r w:rsidR="00AE34F4" w:rsidRPr="005464FA">
        <w:t xml:space="preserve">The ESC noted that there was substantial variation </w:t>
      </w:r>
      <w:r w:rsidR="00FD3F37" w:rsidRPr="005464FA">
        <w:t>i</w:t>
      </w:r>
      <w:r w:rsidR="00AE34F4" w:rsidRPr="005464FA">
        <w:t>n QoL scores</w:t>
      </w:r>
      <w:r w:rsidR="00EA1551" w:rsidRPr="005464FA">
        <w:t xml:space="preserve"> from OlympiAD</w:t>
      </w:r>
      <w:r w:rsidR="00AE34F4" w:rsidRPr="005464FA">
        <w:t xml:space="preserve">, based on the standard deviation (0.31 for PFS1 in the chemotherapy arm). </w:t>
      </w:r>
      <w:r w:rsidR="003D3EDE" w:rsidRPr="005464FA">
        <w:t xml:space="preserve">The </w:t>
      </w:r>
      <w:r w:rsidR="00AE34F4" w:rsidRPr="005464FA">
        <w:t xml:space="preserve">ESC </w:t>
      </w:r>
      <w:r w:rsidRPr="005464FA">
        <w:t xml:space="preserve">noted that the difference in utility values between the treatment arms was substantial, and not consistent with the relatively minor differences in safety. Therefore, the ESC </w:t>
      </w:r>
      <w:r w:rsidR="00AE34F4" w:rsidRPr="005464FA">
        <w:t xml:space="preserve">considered the </w:t>
      </w:r>
      <w:r w:rsidR="003D3EDE" w:rsidRPr="005464FA">
        <w:t xml:space="preserve">application of differential utilities </w:t>
      </w:r>
      <w:r w:rsidR="00AE34F4" w:rsidRPr="005464FA">
        <w:t xml:space="preserve">for PFS1 </w:t>
      </w:r>
      <w:r w:rsidR="003D3EDE" w:rsidRPr="005464FA">
        <w:t xml:space="preserve">in the submission’s model </w:t>
      </w:r>
      <w:r w:rsidRPr="005464FA">
        <w:t xml:space="preserve">was </w:t>
      </w:r>
      <w:r w:rsidR="003D3EDE" w:rsidRPr="005464FA">
        <w:t xml:space="preserve">not justified and </w:t>
      </w:r>
      <w:r w:rsidR="009A6DC5" w:rsidRPr="005464FA">
        <w:t>favoured</w:t>
      </w:r>
      <w:r w:rsidR="003D3EDE" w:rsidRPr="005464FA">
        <w:t xml:space="preserve"> olaparib. </w:t>
      </w:r>
      <w:bookmarkEnd w:id="76"/>
      <w:r w:rsidR="00A12296" w:rsidRPr="005464FA">
        <w:t xml:space="preserve">The pre-PBAC response maintained that differential utilities were reasonable and consistent with the safety claim for olaparib and the acceptance of differential utilities for sacituzumab </w:t>
      </w:r>
      <w:r w:rsidR="001218FD" w:rsidRPr="005464FA">
        <w:t>govitecan</w:t>
      </w:r>
      <w:r w:rsidR="00A12296" w:rsidRPr="005464FA">
        <w:t>.</w:t>
      </w:r>
      <w:r w:rsidR="00FD3F37" w:rsidRPr="005464FA">
        <w:t xml:space="preserve"> The pre-PBAC response revised model maintained differential utility values in the PFS health state. </w:t>
      </w:r>
    </w:p>
    <w:p w14:paraId="3F25D22F" w14:textId="01A4AEA9" w:rsidR="003D3EDE" w:rsidRPr="005464FA" w:rsidRDefault="003D3EDE" w:rsidP="003D3EDE">
      <w:pPr>
        <w:pStyle w:val="3-BodyText"/>
      </w:pPr>
      <w:bookmarkStart w:id="77" w:name="_Ref169710938"/>
      <w:r w:rsidRPr="005464FA">
        <w:t>The model assume</w:t>
      </w:r>
      <w:r w:rsidR="000452D9" w:rsidRPr="005464FA">
        <w:t>d</w:t>
      </w:r>
      <w:r w:rsidRPr="005464FA">
        <w:t xml:space="preserve"> that patients experiencing progression receive a mix of therapies including chemotherapy, CDK4 inhibitors and endocrine therapy. Treatments received in the PFS2 health state were based on post-progression treatments administered in the OlympiAD trial. Subsequent anti-cancer therapy costs were applied as a one off cost associated with transitioning form PFS1 to PFS2. The subsequent treatments were estimated from the whole trial population at the final OS DCO only. Given the extended survival estimated in the subgroup compared to the whole trial, it was unclear to what extent the whole trial subsequent therapy estimates would be reflective of the subgroup population.</w:t>
      </w:r>
      <w:bookmarkEnd w:id="77"/>
    </w:p>
    <w:p w14:paraId="3E86D905" w14:textId="241E9C05" w:rsidR="003D3EDE" w:rsidRPr="005464FA" w:rsidRDefault="003D3EDE" w:rsidP="003D3EDE">
      <w:pPr>
        <w:pStyle w:val="3-BodyText"/>
      </w:pPr>
      <w:r w:rsidRPr="005464FA">
        <w:t>Both the treatments costed and their proportions of use may not accurately reflect the current clinical setting. Specifically, international guidelines (Curgliano 2023) do not recommend CD</w:t>
      </w:r>
      <w:r w:rsidR="00944DD6" w:rsidRPr="005464FA">
        <w:t>K</w:t>
      </w:r>
      <w:r w:rsidRPr="005464FA">
        <w:t>4/6 inhibitors after progression from CD</w:t>
      </w:r>
      <w:r w:rsidR="00944DD6" w:rsidRPr="005464FA">
        <w:t>K</w:t>
      </w:r>
      <w:r w:rsidRPr="005464FA">
        <w:t>4/6 inhibitors in HR+ HER2-</w:t>
      </w:r>
      <w:r w:rsidR="002B7761" w:rsidRPr="005464FA">
        <w:t>negative</w:t>
      </w:r>
      <w:r w:rsidRPr="005464FA">
        <w:t xml:space="preserve"> patients, and these treatments are not </w:t>
      </w:r>
      <w:r w:rsidR="000452D9" w:rsidRPr="005464FA">
        <w:t xml:space="preserve">appropriate </w:t>
      </w:r>
      <w:r w:rsidRPr="005464FA">
        <w:t xml:space="preserve">for TNBC patients. Palbociclib may also not be an informative proxy for subsequent targeted therapies. </w:t>
      </w:r>
    </w:p>
    <w:p w14:paraId="156475A9" w14:textId="7A1F39AA" w:rsidR="00E066EB" w:rsidRPr="005464FA" w:rsidRDefault="00E066EB" w:rsidP="00E066EB">
      <w:pPr>
        <w:pStyle w:val="3-BodyText"/>
      </w:pPr>
      <w:bookmarkStart w:id="78" w:name="_Ref169710969"/>
      <w:r w:rsidRPr="005464FA">
        <w:t xml:space="preserve">The submission noted that sacituzumab </w:t>
      </w:r>
      <w:r w:rsidR="001218FD" w:rsidRPr="005464FA">
        <w:t>govitecan</w:t>
      </w:r>
      <w:r w:rsidRPr="005464FA">
        <w:t xml:space="preserve"> was not available at the time of the trial, and thus the OlympiAD data was adjusted to assume that 50% of eligible TNBC patients would receive post progression sacituzumab </w:t>
      </w:r>
      <w:r w:rsidR="001218FD" w:rsidRPr="005464FA">
        <w:t>govitecan</w:t>
      </w:r>
      <w:r w:rsidRPr="005464FA">
        <w:t xml:space="preserve">. However the submission applied only the costs and not the benefits associated with sacituzumab </w:t>
      </w:r>
      <w:r w:rsidR="001218FD" w:rsidRPr="005464FA">
        <w:t>govitecan</w:t>
      </w:r>
      <w:r w:rsidRPr="005464FA">
        <w:t>, which favoured olaparib. The ESC agreed with the commentary this was not appropriate, and considered that the post-progression treatment costs should reflect the treatments received in the trial, consistent with the modelled treatment benefit.</w:t>
      </w:r>
      <w:bookmarkEnd w:id="78"/>
      <w:r w:rsidR="00A12296" w:rsidRPr="005464FA">
        <w:t xml:space="preserve"> The </w:t>
      </w:r>
      <w:r w:rsidR="005670C1" w:rsidRPr="005464FA">
        <w:t xml:space="preserve">subsequent treatment costs in the base case assumed the same </w:t>
      </w:r>
      <w:r w:rsidR="005670C1" w:rsidRPr="005464FA">
        <w:lastRenderedPageBreak/>
        <w:t>proportion of use of SG in both arms of the model and therefore removal of costs for SG had only a very small impact on the ICER.</w:t>
      </w:r>
    </w:p>
    <w:p w14:paraId="758C403F" w14:textId="4B8FA832" w:rsidR="003D3EDE" w:rsidRPr="005464FA" w:rsidRDefault="003D3EDE" w:rsidP="003A0777">
      <w:pPr>
        <w:pStyle w:val="3-BodyText"/>
      </w:pPr>
      <w:r w:rsidRPr="005464FA">
        <w:t xml:space="preserve">The submission derived the cost of terminal care from Reeve 2018. The submission considered that this was consistent with the value approved by the PBAC during the evaluation of olaparib in the early breast cancer setting. The cost of palliation in the model is $27,107 applied as a one off cost at the time of death. </w:t>
      </w:r>
      <w:r w:rsidR="00666B28" w:rsidRPr="005464FA">
        <w:t>T</w:t>
      </w:r>
      <w:r w:rsidRPr="005464FA">
        <w:t>he PBAC, in its consideration of pembrolizumab plus chemotherapy for TNBC, had considered Reeve to overestimate terminal care, and had accepted a revised terminal care cost of $6,050 (Pembrolizumab PSD, March 2023</w:t>
      </w:r>
      <w:r w:rsidR="00E053B6" w:rsidRPr="00E053B6">
        <w:t xml:space="preserve"> </w:t>
      </w:r>
      <w:r w:rsidR="00E053B6" w:rsidRPr="005464FA">
        <w:t>PBAC</w:t>
      </w:r>
      <w:r w:rsidR="00E053B6">
        <w:t xml:space="preserve"> </w:t>
      </w:r>
      <w:r w:rsidR="00453A08">
        <w:t>m</w:t>
      </w:r>
      <w:r w:rsidR="00E053B6">
        <w:t>eeting</w:t>
      </w:r>
      <w:r w:rsidRPr="005464FA">
        <w:t xml:space="preserve">). </w:t>
      </w:r>
      <w:r w:rsidR="00810BBA" w:rsidRPr="005464FA">
        <w:t>However i</w:t>
      </w:r>
      <w:r w:rsidRPr="005464FA">
        <w:t xml:space="preserve">nclusion of terminal care costs was not a key driver of the </w:t>
      </w:r>
      <w:r w:rsidR="0072497F" w:rsidRPr="005464FA">
        <w:t xml:space="preserve">olaparib </w:t>
      </w:r>
      <w:r w:rsidRPr="005464FA">
        <w:t xml:space="preserve">model. </w:t>
      </w:r>
    </w:p>
    <w:p w14:paraId="141851C9" w14:textId="165A6B59" w:rsidR="00D80508" w:rsidRPr="005464FA" w:rsidRDefault="00C92A32" w:rsidP="00D80508">
      <w:pPr>
        <w:pStyle w:val="3-BodyText"/>
        <w:rPr>
          <w:color w:val="000000" w:themeColor="text1"/>
        </w:rPr>
      </w:pPr>
      <w:bookmarkStart w:id="79" w:name="_Ref169710803"/>
      <w:r w:rsidRPr="005464FA">
        <w:rPr>
          <w:color w:val="000000" w:themeColor="text1"/>
        </w:rPr>
        <w:t xml:space="preserve">The submission’s approach to estimating </w:t>
      </w:r>
      <w:r w:rsidRPr="005464FA">
        <w:rPr>
          <w:i/>
          <w:iCs/>
          <w:color w:val="000000" w:themeColor="text1"/>
        </w:rPr>
        <w:t>BRCA</w:t>
      </w:r>
      <w:r w:rsidRPr="005464FA">
        <w:rPr>
          <w:color w:val="000000" w:themeColor="text1"/>
        </w:rPr>
        <w:t xml:space="preserve"> testing cost</w:t>
      </w:r>
      <w:r w:rsidR="000452D9" w:rsidRPr="005464FA">
        <w:rPr>
          <w:color w:val="000000" w:themeColor="text1"/>
        </w:rPr>
        <w:t>s</w:t>
      </w:r>
      <w:r w:rsidRPr="005464FA">
        <w:rPr>
          <w:color w:val="000000" w:themeColor="text1"/>
        </w:rPr>
        <w:t xml:space="preserve"> </w:t>
      </w:r>
      <w:r w:rsidR="00D80508" w:rsidRPr="005464FA">
        <w:rPr>
          <w:color w:val="000000" w:themeColor="text1"/>
        </w:rPr>
        <w:t xml:space="preserve">did not account for </w:t>
      </w:r>
      <w:r w:rsidRPr="005464FA">
        <w:rPr>
          <w:color w:val="000000" w:themeColor="text1"/>
        </w:rPr>
        <w:t xml:space="preserve">the prevalence of </w:t>
      </w:r>
      <w:r w:rsidR="005464FA" w:rsidRPr="005464FA">
        <w:rPr>
          <w:i/>
          <w:color w:val="000000" w:themeColor="text1"/>
        </w:rPr>
        <w:t>BRCA</w:t>
      </w:r>
      <w:r w:rsidRPr="005464FA">
        <w:rPr>
          <w:color w:val="000000" w:themeColor="text1"/>
        </w:rPr>
        <w:t>m</w:t>
      </w:r>
      <w:r w:rsidR="00E50E55" w:rsidRPr="005464FA">
        <w:rPr>
          <w:color w:val="000000" w:themeColor="text1"/>
        </w:rPr>
        <w:t>, and therefore the number needed to test to identify one patient eligible for treatment</w:t>
      </w:r>
      <w:r w:rsidRPr="005464FA">
        <w:rPr>
          <w:color w:val="000000" w:themeColor="text1"/>
        </w:rPr>
        <w:t xml:space="preserve">. </w:t>
      </w:r>
      <w:r w:rsidR="00E50E55" w:rsidRPr="005464FA">
        <w:rPr>
          <w:color w:val="000000" w:themeColor="text1"/>
        </w:rPr>
        <w:t xml:space="preserve">As such, the ESC considered that </w:t>
      </w:r>
      <w:r w:rsidR="00E50E55" w:rsidRPr="005464FA">
        <w:rPr>
          <w:i/>
          <w:iCs/>
          <w:color w:val="000000" w:themeColor="text1"/>
        </w:rPr>
        <w:t>BRCA</w:t>
      </w:r>
      <w:r w:rsidR="00E50E55" w:rsidRPr="005464FA">
        <w:rPr>
          <w:color w:val="000000" w:themeColor="text1"/>
        </w:rPr>
        <w:t xml:space="preserve"> testing costs were underestimated in the model. </w:t>
      </w:r>
      <w:r w:rsidRPr="005464FA">
        <w:rPr>
          <w:color w:val="000000" w:themeColor="text1"/>
        </w:rPr>
        <w:t xml:space="preserve">Based on the submission’s assumption of 5% and 13.25% </w:t>
      </w:r>
      <w:r w:rsidRPr="005464FA">
        <w:rPr>
          <w:i/>
          <w:iCs/>
          <w:color w:val="000000" w:themeColor="text1"/>
        </w:rPr>
        <w:t>BRCA</w:t>
      </w:r>
      <w:r w:rsidRPr="005464FA">
        <w:rPr>
          <w:color w:val="000000" w:themeColor="text1"/>
        </w:rPr>
        <w:t xml:space="preserve">m prevalence in HR+ mBC and TNBC, respectively, the number of tests required for one patient to be classified as </w:t>
      </w:r>
      <w:r w:rsidRPr="005464FA">
        <w:rPr>
          <w:i/>
          <w:iCs/>
          <w:color w:val="000000" w:themeColor="text1"/>
        </w:rPr>
        <w:t>BRCA</w:t>
      </w:r>
      <w:r w:rsidRPr="005464FA">
        <w:rPr>
          <w:color w:val="000000" w:themeColor="text1"/>
        </w:rPr>
        <w:t xml:space="preserve">m (and eligible for olaparib) would be 20 and 7.5, respectively. For comparison, the </w:t>
      </w:r>
      <w:r w:rsidR="007F02D2" w:rsidRPr="005464FA">
        <w:rPr>
          <w:color w:val="000000" w:themeColor="text1"/>
        </w:rPr>
        <w:t xml:space="preserve">economic </w:t>
      </w:r>
      <w:r w:rsidRPr="005464FA">
        <w:rPr>
          <w:color w:val="000000" w:themeColor="text1"/>
        </w:rPr>
        <w:t>model estimate</w:t>
      </w:r>
      <w:r w:rsidR="000452D9" w:rsidRPr="005464FA">
        <w:rPr>
          <w:color w:val="000000" w:themeColor="text1"/>
        </w:rPr>
        <w:t>d</w:t>
      </w:r>
      <w:r w:rsidRPr="005464FA">
        <w:rPr>
          <w:color w:val="000000" w:themeColor="text1"/>
        </w:rPr>
        <w:t xml:space="preserve"> an additional 0.17 (0.26 </w:t>
      </w:r>
      <w:r w:rsidR="00BE7DB1" w:rsidRPr="005464FA">
        <w:rPr>
          <w:color w:val="000000" w:themeColor="text1"/>
        </w:rPr>
        <w:t xml:space="preserve">tests for olaparib and </w:t>
      </w:r>
      <w:r w:rsidRPr="005464FA">
        <w:rPr>
          <w:color w:val="000000" w:themeColor="text1"/>
        </w:rPr>
        <w:t>0.09</w:t>
      </w:r>
      <w:r w:rsidR="00BE7DB1" w:rsidRPr="005464FA">
        <w:rPr>
          <w:color w:val="000000" w:themeColor="text1"/>
        </w:rPr>
        <w:t xml:space="preserve"> tests for chemotherapy</w:t>
      </w:r>
      <w:r w:rsidRPr="005464FA">
        <w:rPr>
          <w:color w:val="000000" w:themeColor="text1"/>
        </w:rPr>
        <w:t xml:space="preserve">) </w:t>
      </w:r>
      <w:r w:rsidRPr="005464FA">
        <w:rPr>
          <w:i/>
          <w:iCs/>
          <w:color w:val="000000" w:themeColor="text1"/>
        </w:rPr>
        <w:t>BRCA</w:t>
      </w:r>
      <w:r w:rsidRPr="005464FA">
        <w:rPr>
          <w:color w:val="000000" w:themeColor="text1"/>
        </w:rPr>
        <w:t xml:space="preserve"> tests per olaparib patient treated</w:t>
      </w:r>
      <w:r w:rsidR="00D80508" w:rsidRPr="005464FA">
        <w:rPr>
          <w:color w:val="000000" w:themeColor="text1"/>
        </w:rPr>
        <w:t xml:space="preserve">. Accounting for the number of tests required to identify one </w:t>
      </w:r>
      <w:r w:rsidR="00D80508" w:rsidRPr="005464FA">
        <w:rPr>
          <w:i/>
          <w:iCs/>
          <w:color w:val="000000" w:themeColor="text1"/>
        </w:rPr>
        <w:t>BRCA</w:t>
      </w:r>
      <w:r w:rsidR="00D80508" w:rsidRPr="005464FA">
        <w:rPr>
          <w:color w:val="000000" w:themeColor="text1"/>
        </w:rPr>
        <w:t xml:space="preserve">m patient and removing </w:t>
      </w:r>
      <w:r w:rsidR="00D80508" w:rsidRPr="005464FA">
        <w:rPr>
          <w:i/>
          <w:iCs/>
          <w:color w:val="000000" w:themeColor="text1"/>
        </w:rPr>
        <w:t>BRCA</w:t>
      </w:r>
      <w:r w:rsidR="00D80508" w:rsidRPr="005464FA">
        <w:rPr>
          <w:color w:val="000000" w:themeColor="text1"/>
        </w:rPr>
        <w:t xml:space="preserve"> testing costs from the comparator, the ICER increased by </w:t>
      </w:r>
      <w:r w:rsidR="005F522F" w:rsidRPr="006A43A5">
        <w:rPr>
          <w:color w:val="000000" w:themeColor="text1"/>
          <w:w w:val="15"/>
          <w:shd w:val="solid" w:color="000000" w:fill="000000"/>
          <w:fitText w:val="-20" w:id="-893197049"/>
          <w14:textFill>
            <w14:solidFill>
              <w14:schemeClr w14:val="tx1">
                <w14:alpha w14:val="100000"/>
              </w14:schemeClr>
            </w14:solidFill>
          </w14:textFill>
        </w:rPr>
        <w:t xml:space="preserve">|  </w:t>
      </w:r>
      <w:r w:rsidR="005F522F" w:rsidRPr="006A43A5">
        <w:rPr>
          <w:color w:val="000000" w:themeColor="text1"/>
          <w:spacing w:val="-69"/>
          <w:w w:val="15"/>
          <w:shd w:val="solid" w:color="000000" w:fill="000000"/>
          <w:fitText w:val="-20" w:id="-893197049"/>
          <w14:textFill>
            <w14:solidFill>
              <w14:schemeClr w14:val="tx1">
                <w14:alpha w14:val="100000"/>
              </w14:schemeClr>
            </w14:solidFill>
          </w14:textFill>
        </w:rPr>
        <w:t>|</w:t>
      </w:r>
      <w:r w:rsidR="00D80508" w:rsidRPr="005464FA">
        <w:rPr>
          <w:color w:val="000000" w:themeColor="text1"/>
        </w:rPr>
        <w:t>% in the ITT model.</w:t>
      </w:r>
      <w:r w:rsidR="006562C3" w:rsidRPr="005464FA">
        <w:rPr>
          <w:color w:val="000000" w:themeColor="text1"/>
        </w:rPr>
        <w:t xml:space="preserve"> The PBAC considered it was appropriate for the testing costs in the model to account for the</w:t>
      </w:r>
      <w:r w:rsidR="000452D9" w:rsidRPr="005464FA">
        <w:rPr>
          <w:color w:val="000000" w:themeColor="text1"/>
        </w:rPr>
        <w:t xml:space="preserve"> total</w:t>
      </w:r>
      <w:r w:rsidR="006562C3" w:rsidRPr="005464FA">
        <w:rPr>
          <w:color w:val="000000" w:themeColor="text1"/>
        </w:rPr>
        <w:t xml:space="preserve"> additional </w:t>
      </w:r>
      <w:r w:rsidR="005464FA" w:rsidRPr="005464FA">
        <w:rPr>
          <w:i/>
          <w:color w:val="000000" w:themeColor="text1"/>
        </w:rPr>
        <w:t>BRCA</w:t>
      </w:r>
      <w:r w:rsidR="006562C3" w:rsidRPr="005464FA">
        <w:rPr>
          <w:color w:val="000000" w:themeColor="text1"/>
        </w:rPr>
        <w:t xml:space="preserve"> testing costs, including accounting for the number of tests needed to identify one patient classified as g</w:t>
      </w:r>
      <w:r w:rsidR="006562C3" w:rsidRPr="005464FA">
        <w:rPr>
          <w:i/>
          <w:iCs/>
          <w:color w:val="000000" w:themeColor="text1"/>
        </w:rPr>
        <w:t>BRCA</w:t>
      </w:r>
      <w:r w:rsidR="006562C3" w:rsidRPr="005464FA">
        <w:rPr>
          <w:color w:val="000000" w:themeColor="text1"/>
        </w:rPr>
        <w:t>m.</w:t>
      </w:r>
    </w:p>
    <w:p w14:paraId="3D1BC94E" w14:textId="61345104" w:rsidR="00E50E55" w:rsidRPr="005464FA" w:rsidRDefault="002476AE" w:rsidP="00D80508">
      <w:pPr>
        <w:pStyle w:val="3-BodyText"/>
        <w:rPr>
          <w:color w:val="000000" w:themeColor="text1"/>
        </w:rPr>
      </w:pPr>
      <w:r w:rsidRPr="005464FA">
        <w:rPr>
          <w:color w:val="000000" w:themeColor="text1"/>
        </w:rPr>
        <w:t xml:space="preserve">The PSCR </w:t>
      </w:r>
      <w:r w:rsidR="00634A34" w:rsidRPr="005464FA">
        <w:rPr>
          <w:color w:val="000000" w:themeColor="text1"/>
        </w:rPr>
        <w:t xml:space="preserve">stated that in the November 2023 PBAC submission for olaparib in eBC, </w:t>
      </w:r>
      <w:r w:rsidR="00634A34" w:rsidRPr="005464FA">
        <w:rPr>
          <w:i/>
          <w:iCs/>
          <w:color w:val="000000" w:themeColor="text1"/>
        </w:rPr>
        <w:t>BRCA</w:t>
      </w:r>
      <w:r w:rsidR="00634A34" w:rsidRPr="005464FA">
        <w:rPr>
          <w:color w:val="000000" w:themeColor="text1"/>
        </w:rPr>
        <w:t xml:space="preserve"> testing costs assumed 74% of TNBC and 20% of HR patients would already receive </w:t>
      </w:r>
      <w:r w:rsidR="00634A34" w:rsidRPr="005464FA">
        <w:rPr>
          <w:i/>
          <w:iCs/>
          <w:color w:val="000000" w:themeColor="text1"/>
        </w:rPr>
        <w:t>BRCA</w:t>
      </w:r>
      <w:r w:rsidR="00634A34" w:rsidRPr="005464FA">
        <w:rPr>
          <w:color w:val="000000" w:themeColor="text1"/>
        </w:rPr>
        <w:t xml:space="preserve"> testing consistent with Australian clinical practice and a similar approach was taken in the mBC submission. The PSCR also noted that </w:t>
      </w:r>
      <w:r w:rsidR="00634A34" w:rsidRPr="005464FA">
        <w:rPr>
          <w:rFonts w:ascii="Calibri" w:eastAsia="Calibri" w:hAnsi="Calibri" w:cs="Calibri"/>
          <w:color w:val="000000" w:themeColor="text1"/>
        </w:rPr>
        <w:t>o</w:t>
      </w:r>
      <w:r w:rsidR="00634A34" w:rsidRPr="005464FA">
        <w:rPr>
          <w:rFonts w:ascii="Calibri" w:eastAsia="Calibri" w:hAnsi="Calibri" w:cs="Calibri"/>
        </w:rPr>
        <w:t xml:space="preserve">nce olaparib is available in the eBC setting, </w:t>
      </w:r>
      <w:proofErr w:type="gramStart"/>
      <w:r w:rsidR="00634A34" w:rsidRPr="005464FA">
        <w:rPr>
          <w:rFonts w:ascii="Calibri" w:eastAsia="Calibri" w:hAnsi="Calibri" w:cs="Calibri"/>
        </w:rPr>
        <w:t>the vast majority of</w:t>
      </w:r>
      <w:proofErr w:type="gramEnd"/>
      <w:r w:rsidR="00634A34" w:rsidRPr="005464FA">
        <w:rPr>
          <w:rFonts w:ascii="Calibri" w:eastAsia="Calibri" w:hAnsi="Calibri" w:cs="Calibri"/>
        </w:rPr>
        <w:t xml:space="preserve"> patients who progress from eBC to mBC will already be aware of their germline </w:t>
      </w:r>
      <w:r w:rsidR="00634A34" w:rsidRPr="005464FA">
        <w:rPr>
          <w:rFonts w:ascii="Calibri" w:eastAsia="Calibri" w:hAnsi="Calibri" w:cs="Calibri"/>
          <w:i/>
          <w:iCs/>
        </w:rPr>
        <w:t>BRCA</w:t>
      </w:r>
      <w:r w:rsidR="00634A34" w:rsidRPr="005464FA">
        <w:rPr>
          <w:rFonts w:ascii="Calibri" w:eastAsia="Calibri" w:hAnsi="Calibri" w:cs="Calibri"/>
        </w:rPr>
        <w:t xml:space="preserve"> status upon metastatic recurrence.</w:t>
      </w:r>
      <w:r w:rsidR="00634A34" w:rsidRPr="005464FA">
        <w:rPr>
          <w:color w:val="000000" w:themeColor="text1"/>
        </w:rPr>
        <w:t xml:space="preserve"> </w:t>
      </w:r>
      <w:r w:rsidR="00F22F57" w:rsidRPr="005464FA">
        <w:rPr>
          <w:color w:val="000000" w:themeColor="text1"/>
        </w:rPr>
        <w:t>The pre</w:t>
      </w:r>
      <w:r w:rsidR="000452D9" w:rsidRPr="005464FA">
        <w:rPr>
          <w:color w:val="000000" w:themeColor="text1"/>
        </w:rPr>
        <w:noBreakHyphen/>
      </w:r>
      <w:r w:rsidR="00F22F57" w:rsidRPr="005464FA">
        <w:rPr>
          <w:color w:val="000000" w:themeColor="text1"/>
        </w:rPr>
        <w:t xml:space="preserve">PBAC response argued that additional testing costs were not appropriate due to the substantial testing that occurs in clinical practice. The </w:t>
      </w:r>
      <w:r w:rsidR="000452D9" w:rsidRPr="005464FA">
        <w:rPr>
          <w:color w:val="000000" w:themeColor="text1"/>
        </w:rPr>
        <w:t xml:space="preserve">base case </w:t>
      </w:r>
      <w:r w:rsidR="00634A34" w:rsidRPr="005464FA">
        <w:rPr>
          <w:color w:val="000000" w:themeColor="text1"/>
        </w:rPr>
        <w:t xml:space="preserve">economic model </w:t>
      </w:r>
      <w:r w:rsidR="000452D9" w:rsidRPr="005464FA">
        <w:rPr>
          <w:color w:val="000000" w:themeColor="text1"/>
        </w:rPr>
        <w:t xml:space="preserve">already </w:t>
      </w:r>
      <w:r w:rsidR="00634A34" w:rsidRPr="005464FA">
        <w:rPr>
          <w:color w:val="000000" w:themeColor="text1"/>
        </w:rPr>
        <w:t>accounts for testing in earlier setting</w:t>
      </w:r>
      <w:r w:rsidR="00DF6BCB" w:rsidRPr="005464FA">
        <w:rPr>
          <w:color w:val="000000" w:themeColor="text1"/>
        </w:rPr>
        <w:t>s</w:t>
      </w:r>
      <w:r w:rsidR="00F22F57" w:rsidRPr="005464FA">
        <w:rPr>
          <w:color w:val="000000" w:themeColor="text1"/>
        </w:rPr>
        <w:t xml:space="preserve"> and assumes that </w:t>
      </w:r>
      <w:r w:rsidR="000452D9" w:rsidRPr="005464FA">
        <w:rPr>
          <w:color w:val="000000" w:themeColor="text1"/>
        </w:rPr>
        <w:t xml:space="preserve">only </w:t>
      </w:r>
      <w:r w:rsidR="00F22F57" w:rsidRPr="005464FA">
        <w:rPr>
          <w:color w:val="000000" w:themeColor="text1"/>
        </w:rPr>
        <w:t xml:space="preserve">10% of patients progressed from eBC and 95% of de novo mBC patients would require </w:t>
      </w:r>
      <w:r w:rsidR="00F22F57" w:rsidRPr="005464FA">
        <w:rPr>
          <w:i/>
          <w:iCs/>
          <w:color w:val="000000" w:themeColor="text1"/>
        </w:rPr>
        <w:t>BRCA</w:t>
      </w:r>
      <w:r w:rsidR="00F22F57" w:rsidRPr="005464FA">
        <w:rPr>
          <w:color w:val="000000" w:themeColor="text1"/>
        </w:rPr>
        <w:t xml:space="preserve"> testing. This is appropriate, and was maintained in sensitivity analyses (</w:t>
      </w:r>
      <w:r w:rsidR="00F22F57" w:rsidRPr="005464FA">
        <w:rPr>
          <w:color w:val="000000" w:themeColor="text1"/>
        </w:rPr>
        <w:fldChar w:fldCharType="begin" w:fldLock="1"/>
      </w:r>
      <w:r w:rsidR="00F22F57" w:rsidRPr="005464FA">
        <w:rPr>
          <w:color w:val="000000" w:themeColor="text1"/>
        </w:rPr>
        <w:instrText xml:space="preserve"> REF _Ref164728203 \h </w:instrText>
      </w:r>
      <w:r w:rsidR="00F22F57" w:rsidRPr="005464FA">
        <w:rPr>
          <w:color w:val="000000" w:themeColor="text1"/>
        </w:rPr>
      </w:r>
      <w:r w:rsidR="00F22F57" w:rsidRPr="005464FA">
        <w:rPr>
          <w:color w:val="000000" w:themeColor="text1"/>
        </w:rPr>
        <w:fldChar w:fldCharType="separate"/>
      </w:r>
      <w:r w:rsidR="00122E11" w:rsidRPr="005464FA">
        <w:t>Table 14</w:t>
      </w:r>
      <w:r w:rsidR="00F22F57" w:rsidRPr="005464FA">
        <w:rPr>
          <w:color w:val="000000" w:themeColor="text1"/>
        </w:rPr>
        <w:fldChar w:fldCharType="end"/>
      </w:r>
      <w:r w:rsidR="00F22F57" w:rsidRPr="005464FA">
        <w:rPr>
          <w:color w:val="000000" w:themeColor="text1"/>
        </w:rPr>
        <w:t>)</w:t>
      </w:r>
      <w:r w:rsidR="00D80508" w:rsidRPr="005464FA">
        <w:rPr>
          <w:color w:val="000000" w:themeColor="text1"/>
        </w:rPr>
        <w:t>.</w:t>
      </w:r>
      <w:r w:rsidR="00F22F57" w:rsidRPr="005464FA">
        <w:rPr>
          <w:color w:val="000000" w:themeColor="text1"/>
        </w:rPr>
        <w:t xml:space="preserve"> </w:t>
      </w:r>
    </w:p>
    <w:p w14:paraId="780D2DDE" w14:textId="77C94DA2" w:rsidR="00C92A32" w:rsidRPr="005464FA" w:rsidRDefault="00E50E55" w:rsidP="00D80508">
      <w:pPr>
        <w:pStyle w:val="3-BodyText"/>
        <w:rPr>
          <w:color w:val="000000" w:themeColor="text1"/>
        </w:rPr>
      </w:pPr>
      <w:r w:rsidRPr="005464FA">
        <w:rPr>
          <w:color w:val="000000" w:themeColor="text1"/>
        </w:rPr>
        <w:t>The commentary noted</w:t>
      </w:r>
      <w:r w:rsidR="00593349" w:rsidRPr="005464FA">
        <w:rPr>
          <w:color w:val="000000" w:themeColor="text1"/>
        </w:rPr>
        <w:t xml:space="preserve"> the financial estimates</w:t>
      </w:r>
      <w:r w:rsidRPr="005464FA">
        <w:rPr>
          <w:color w:val="000000" w:themeColor="text1"/>
        </w:rPr>
        <w:t xml:space="preserve"> </w:t>
      </w:r>
      <w:r w:rsidR="006F0244" w:rsidRPr="005464FA">
        <w:rPr>
          <w:color w:val="000000" w:themeColor="text1"/>
        </w:rPr>
        <w:t xml:space="preserve">assumed a higher proportion of de novo patients </w:t>
      </w:r>
      <w:r w:rsidR="009A6DC5" w:rsidRPr="005464FA">
        <w:rPr>
          <w:color w:val="000000" w:themeColor="text1"/>
        </w:rPr>
        <w:t>than in the model</w:t>
      </w:r>
      <w:r w:rsidRPr="005464FA">
        <w:rPr>
          <w:color w:val="000000" w:themeColor="text1"/>
        </w:rPr>
        <w:t xml:space="preserve">. In the financial estimates </w:t>
      </w:r>
      <w:r w:rsidR="006F0244" w:rsidRPr="005464FA">
        <w:rPr>
          <w:color w:val="000000" w:themeColor="text1"/>
        </w:rPr>
        <w:t xml:space="preserve">20.5% </w:t>
      </w:r>
      <w:r w:rsidR="006336EF" w:rsidRPr="005464FA">
        <w:rPr>
          <w:color w:val="000000" w:themeColor="text1"/>
        </w:rPr>
        <w:t xml:space="preserve">of </w:t>
      </w:r>
      <w:r w:rsidR="006F0244" w:rsidRPr="005464FA">
        <w:rPr>
          <w:color w:val="000000" w:themeColor="text1"/>
        </w:rPr>
        <w:t xml:space="preserve">TNBC </w:t>
      </w:r>
      <w:r w:rsidRPr="005464FA">
        <w:rPr>
          <w:color w:val="000000" w:themeColor="text1"/>
        </w:rPr>
        <w:t>patients were assumed to be de</w:t>
      </w:r>
      <w:r w:rsidR="00773D3C">
        <w:rPr>
          <w:color w:val="000000" w:themeColor="text1"/>
        </w:rPr>
        <w:t xml:space="preserve"> </w:t>
      </w:r>
      <w:r w:rsidRPr="005464FA">
        <w:rPr>
          <w:color w:val="000000" w:themeColor="text1"/>
        </w:rPr>
        <w:t xml:space="preserve">novo mBC </w:t>
      </w:r>
      <w:r w:rsidR="006F0244" w:rsidRPr="005464FA">
        <w:rPr>
          <w:color w:val="000000" w:themeColor="text1"/>
        </w:rPr>
        <w:t xml:space="preserve">and 34% </w:t>
      </w:r>
      <w:r w:rsidR="006336EF" w:rsidRPr="005464FA">
        <w:rPr>
          <w:color w:val="000000" w:themeColor="text1"/>
        </w:rPr>
        <w:t xml:space="preserve">of </w:t>
      </w:r>
      <w:r w:rsidR="006F0244" w:rsidRPr="005464FA">
        <w:rPr>
          <w:color w:val="000000" w:themeColor="text1"/>
        </w:rPr>
        <w:t>HR+</w:t>
      </w:r>
      <w:r w:rsidRPr="005464FA">
        <w:rPr>
          <w:color w:val="000000" w:themeColor="text1"/>
        </w:rPr>
        <w:t xml:space="preserve"> patients were assumed to be de novo, compared with 18% overall (in OlympiAD)</w:t>
      </w:r>
      <w:r w:rsidR="00593349" w:rsidRPr="005464FA">
        <w:rPr>
          <w:color w:val="000000" w:themeColor="text1"/>
        </w:rPr>
        <w:t xml:space="preserve">. </w:t>
      </w:r>
      <w:r w:rsidR="000777E5" w:rsidRPr="005464FA">
        <w:rPr>
          <w:color w:val="000000" w:themeColor="text1"/>
        </w:rPr>
        <w:t xml:space="preserve">The assumption of a higher proportion of de novo patients increased the testing costs </w:t>
      </w:r>
      <w:r w:rsidR="006336EF" w:rsidRPr="005464FA">
        <w:rPr>
          <w:color w:val="000000" w:themeColor="text1"/>
        </w:rPr>
        <w:t xml:space="preserve">slightly </w:t>
      </w:r>
      <w:r w:rsidR="000777E5" w:rsidRPr="005464FA">
        <w:rPr>
          <w:color w:val="000000" w:themeColor="text1"/>
        </w:rPr>
        <w:t>as these patients would not have been tested in the eBC setting.</w:t>
      </w:r>
      <w:bookmarkEnd w:id="79"/>
      <w:r w:rsidR="00F22F57" w:rsidRPr="005464FA">
        <w:rPr>
          <w:color w:val="000000" w:themeColor="text1"/>
        </w:rPr>
        <w:t xml:space="preserve"> </w:t>
      </w:r>
    </w:p>
    <w:p w14:paraId="0A9B6C46" w14:textId="043C00B3" w:rsidR="003D3EDE" w:rsidRPr="005464FA" w:rsidRDefault="00A1135A" w:rsidP="00A1135A">
      <w:pPr>
        <w:pStyle w:val="3-BodyText"/>
        <w:rPr>
          <w:color w:val="000000" w:themeColor="text1"/>
        </w:rPr>
      </w:pPr>
      <w:r w:rsidRPr="005464FA">
        <w:rPr>
          <w:color w:val="000000" w:themeColor="text1"/>
        </w:rPr>
        <w:lastRenderedPageBreak/>
        <w:fldChar w:fldCharType="begin" w:fldLock="1"/>
      </w:r>
      <w:r w:rsidRPr="005464FA">
        <w:rPr>
          <w:color w:val="000000" w:themeColor="text1"/>
        </w:rPr>
        <w:instrText xml:space="preserve"> REF _Ref104805122 \h  \* MERGEFORMAT </w:instrText>
      </w:r>
      <w:r w:rsidRPr="005464FA">
        <w:rPr>
          <w:color w:val="000000" w:themeColor="text1"/>
        </w:rPr>
      </w:r>
      <w:r w:rsidRPr="005464FA">
        <w:rPr>
          <w:color w:val="000000" w:themeColor="text1"/>
        </w:rPr>
        <w:fldChar w:fldCharType="separate"/>
      </w:r>
      <w:r w:rsidR="00122E11" w:rsidRPr="005464FA">
        <w:rPr>
          <w:color w:val="000000" w:themeColor="text1"/>
        </w:rPr>
        <w:t>Table 12</w:t>
      </w:r>
      <w:r w:rsidRPr="005464FA">
        <w:rPr>
          <w:color w:val="000000" w:themeColor="text1"/>
        </w:rPr>
        <w:fldChar w:fldCharType="end"/>
      </w:r>
      <w:r w:rsidR="00D16D4E" w:rsidRPr="005464FA">
        <w:rPr>
          <w:color w:val="000000" w:themeColor="text1"/>
        </w:rPr>
        <w:t xml:space="preserve"> presents </w:t>
      </w:r>
      <w:r w:rsidR="004C5BF0" w:rsidRPr="005464FA">
        <w:rPr>
          <w:color w:val="000000" w:themeColor="text1"/>
        </w:rPr>
        <w:t xml:space="preserve">a </w:t>
      </w:r>
      <w:r w:rsidR="00D16D4E" w:rsidRPr="005464FA">
        <w:rPr>
          <w:color w:val="000000" w:themeColor="text1"/>
        </w:rPr>
        <w:t>summary of the key drivers of the model.</w:t>
      </w:r>
      <w:r w:rsidR="000D5E52" w:rsidRPr="005464FA">
        <w:rPr>
          <w:color w:val="000000" w:themeColor="text1"/>
        </w:rPr>
        <w:t xml:space="preserve"> </w:t>
      </w:r>
      <w:r w:rsidR="0077071E" w:rsidRPr="005464FA">
        <w:rPr>
          <w:color w:val="000000" w:themeColor="text1"/>
        </w:rPr>
        <w:t xml:space="preserve">In the </w:t>
      </w:r>
      <w:r w:rsidR="000D5E52" w:rsidRPr="005464FA">
        <w:rPr>
          <w:color w:val="000000" w:themeColor="text1"/>
        </w:rPr>
        <w:t>subgroup model</w:t>
      </w:r>
      <w:r w:rsidR="0077071E" w:rsidRPr="005464FA">
        <w:rPr>
          <w:color w:val="000000" w:themeColor="text1"/>
        </w:rPr>
        <w:t>, the</w:t>
      </w:r>
      <w:r w:rsidR="000D5E52" w:rsidRPr="005464FA">
        <w:rPr>
          <w:color w:val="000000" w:themeColor="text1"/>
        </w:rPr>
        <w:t xml:space="preserve"> only key </w:t>
      </w:r>
      <w:r w:rsidR="0077071E" w:rsidRPr="005464FA">
        <w:rPr>
          <w:color w:val="000000" w:themeColor="text1"/>
        </w:rPr>
        <w:t xml:space="preserve">drivers were efficacy </w:t>
      </w:r>
      <w:r w:rsidR="000D5E52" w:rsidRPr="005464FA">
        <w:rPr>
          <w:color w:val="000000" w:themeColor="text1"/>
        </w:rPr>
        <w:t>inputs such as OS extrapolation and PFS2 health state assumptions</w:t>
      </w:r>
      <w:r w:rsidR="0077071E" w:rsidRPr="005464FA">
        <w:rPr>
          <w:color w:val="000000" w:themeColor="text1"/>
        </w:rPr>
        <w:t>. However</w:t>
      </w:r>
      <w:r w:rsidR="000D5E52" w:rsidRPr="005464FA">
        <w:rPr>
          <w:color w:val="000000" w:themeColor="text1"/>
        </w:rPr>
        <w:t xml:space="preserve"> </w:t>
      </w:r>
      <w:r w:rsidR="0077071E" w:rsidRPr="005464FA">
        <w:rPr>
          <w:color w:val="000000" w:themeColor="text1"/>
        </w:rPr>
        <w:t xml:space="preserve">as </w:t>
      </w:r>
      <w:r w:rsidR="000D5E52" w:rsidRPr="005464FA">
        <w:rPr>
          <w:color w:val="000000" w:themeColor="text1"/>
        </w:rPr>
        <w:t xml:space="preserve">the OS benefit assumed </w:t>
      </w:r>
      <w:r w:rsidR="0077071E" w:rsidRPr="005464FA">
        <w:rPr>
          <w:color w:val="000000" w:themeColor="text1"/>
        </w:rPr>
        <w:t>in the no prior chemotherapy subgroup</w:t>
      </w:r>
      <w:r w:rsidR="000D5E52" w:rsidRPr="005464FA">
        <w:rPr>
          <w:color w:val="000000" w:themeColor="text1"/>
        </w:rPr>
        <w:t xml:space="preserve"> may not be supported</w:t>
      </w:r>
      <w:r w:rsidR="0077071E" w:rsidRPr="005464FA">
        <w:rPr>
          <w:color w:val="000000" w:themeColor="text1"/>
        </w:rPr>
        <w:t>, the entire model should be considered uncertain and may not be informative</w:t>
      </w:r>
      <w:r w:rsidR="000D5E52" w:rsidRPr="005464FA">
        <w:rPr>
          <w:color w:val="000000" w:themeColor="text1"/>
        </w:rPr>
        <w:t xml:space="preserve">. </w:t>
      </w:r>
    </w:p>
    <w:p w14:paraId="07D9BA81" w14:textId="4E8B6D38" w:rsidR="00D16D4E" w:rsidRPr="005464FA" w:rsidRDefault="00D16D4E" w:rsidP="00364A6B">
      <w:pPr>
        <w:pStyle w:val="Caption"/>
        <w:jc w:val="left"/>
        <w:rPr>
          <w:rStyle w:val="CommentReference"/>
          <w:b/>
          <w:szCs w:val="24"/>
        </w:rPr>
      </w:pPr>
      <w:bookmarkStart w:id="80" w:name="_Ref104805122"/>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12</w:t>
      </w:r>
      <w:r w:rsidR="00935AC4" w:rsidRPr="005464FA">
        <w:fldChar w:fldCharType="end"/>
      </w:r>
      <w:bookmarkEnd w:id="80"/>
      <w:r w:rsidRPr="005464FA">
        <w:t>:</w:t>
      </w:r>
      <w:r w:rsidRPr="005464FA">
        <w:rPr>
          <w:rStyle w:val="CommentReference"/>
          <w:b/>
          <w:szCs w:val="24"/>
        </w:rPr>
        <w:t xml:space="preserve"> Key drivers of the model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Key drivers of the model "/>
      </w:tblPr>
      <w:tblGrid>
        <w:gridCol w:w="1129"/>
        <w:gridCol w:w="5104"/>
        <w:gridCol w:w="2784"/>
      </w:tblGrid>
      <w:tr w:rsidR="00D16D4E" w:rsidRPr="005464FA" w14:paraId="59594540" w14:textId="77777777" w:rsidTr="003E5223">
        <w:trPr>
          <w:trHeight w:val="283"/>
          <w:tblHeader/>
        </w:trPr>
        <w:tc>
          <w:tcPr>
            <w:tcW w:w="626" w:type="pct"/>
            <w:shd w:val="clear" w:color="auto" w:fill="auto"/>
            <w:vAlign w:val="center"/>
          </w:tcPr>
          <w:p w14:paraId="46D4A80D" w14:textId="77777777" w:rsidR="00D16D4E" w:rsidRPr="005464FA" w:rsidRDefault="00D16D4E" w:rsidP="005F522F">
            <w:pPr>
              <w:pStyle w:val="In-tableHeading"/>
              <w:keepLines/>
              <w:jc w:val="center"/>
              <w:rPr>
                <w:lang w:val="en-AU"/>
              </w:rPr>
            </w:pPr>
            <w:r w:rsidRPr="005464FA">
              <w:rPr>
                <w:lang w:val="en-AU"/>
              </w:rPr>
              <w:t>Description</w:t>
            </w:r>
          </w:p>
        </w:tc>
        <w:tc>
          <w:tcPr>
            <w:tcW w:w="2830" w:type="pct"/>
            <w:shd w:val="clear" w:color="auto" w:fill="auto"/>
            <w:vAlign w:val="center"/>
          </w:tcPr>
          <w:p w14:paraId="673FD59C" w14:textId="77777777" w:rsidR="00D16D4E" w:rsidRPr="005464FA" w:rsidRDefault="00D16D4E" w:rsidP="005F522F">
            <w:pPr>
              <w:pStyle w:val="In-tableHeading"/>
              <w:keepLines/>
              <w:jc w:val="center"/>
              <w:rPr>
                <w:lang w:val="en-AU"/>
              </w:rPr>
            </w:pPr>
            <w:r w:rsidRPr="005464FA">
              <w:rPr>
                <w:lang w:val="en-AU"/>
              </w:rPr>
              <w:t>Method/Value</w:t>
            </w:r>
          </w:p>
        </w:tc>
        <w:tc>
          <w:tcPr>
            <w:tcW w:w="1544" w:type="pct"/>
            <w:shd w:val="clear" w:color="auto" w:fill="auto"/>
            <w:vAlign w:val="center"/>
          </w:tcPr>
          <w:p w14:paraId="762A8C67" w14:textId="582F5C0F" w:rsidR="00D16D4E" w:rsidRPr="005464FA" w:rsidRDefault="00D16D4E" w:rsidP="003E5223">
            <w:pPr>
              <w:pStyle w:val="In-tableHeading"/>
              <w:keepLines/>
              <w:jc w:val="center"/>
              <w:rPr>
                <w:lang w:val="en-AU"/>
              </w:rPr>
            </w:pPr>
            <w:r w:rsidRPr="005464FA">
              <w:rPr>
                <w:lang w:val="en-AU"/>
              </w:rPr>
              <w:t>Impact</w:t>
            </w:r>
            <w:r w:rsidRPr="005464FA">
              <w:rPr>
                <w:rFonts w:cs="Arial"/>
                <w:szCs w:val="20"/>
                <w:lang w:val="en-AU"/>
              </w:rPr>
              <w:t xml:space="preserve"> </w:t>
            </w:r>
          </w:p>
        </w:tc>
      </w:tr>
      <w:tr w:rsidR="008421B7" w:rsidRPr="005464FA" w14:paraId="4CE98E3F" w14:textId="77777777" w:rsidTr="003A0777">
        <w:tc>
          <w:tcPr>
            <w:tcW w:w="3456" w:type="pct"/>
            <w:gridSpan w:val="2"/>
            <w:shd w:val="clear" w:color="auto" w:fill="auto"/>
            <w:vAlign w:val="center"/>
          </w:tcPr>
          <w:p w14:paraId="79C9A6F9" w14:textId="77777777" w:rsidR="008421B7" w:rsidRPr="005464FA" w:rsidRDefault="008421B7" w:rsidP="005F522F">
            <w:pPr>
              <w:pStyle w:val="TableText0"/>
              <w:keepLines/>
              <w:rPr>
                <w:b/>
                <w:bCs w:val="0"/>
              </w:rPr>
            </w:pPr>
            <w:r w:rsidRPr="005464FA">
              <w:rPr>
                <w:b/>
                <w:bCs w:val="0"/>
              </w:rPr>
              <w:t>ITT model</w:t>
            </w:r>
          </w:p>
        </w:tc>
        <w:tc>
          <w:tcPr>
            <w:tcW w:w="1544" w:type="pct"/>
            <w:shd w:val="clear" w:color="auto" w:fill="auto"/>
            <w:vAlign w:val="center"/>
          </w:tcPr>
          <w:p w14:paraId="48179CDC" w14:textId="76C3C76B" w:rsidR="008421B7" w:rsidRPr="005464FA" w:rsidRDefault="008421B7" w:rsidP="005F522F">
            <w:pPr>
              <w:pStyle w:val="TableText0"/>
              <w:keepLines/>
              <w:jc w:val="center"/>
              <w:rPr>
                <w:iCs/>
              </w:rPr>
            </w:pPr>
            <w:r w:rsidRPr="005464FA">
              <w:rPr>
                <w:b/>
                <w:iCs/>
              </w:rPr>
              <w:t>Base case: $</w:t>
            </w:r>
            <w:r w:rsidR="005F522F" w:rsidRPr="005F522F">
              <w:rPr>
                <w:b/>
                <w:iCs/>
                <w:color w:val="000000"/>
                <w:spacing w:val="45"/>
                <w:shd w:val="solid" w:color="000000" w:fill="000000"/>
                <w:fitText w:val="320" w:id="-893197048"/>
                <w14:textFill>
                  <w14:solidFill>
                    <w14:srgbClr w14:val="000000">
                      <w14:alpha w14:val="100000"/>
                    </w14:srgbClr>
                  </w14:solidFill>
                </w14:textFill>
              </w:rPr>
              <w:t>|||</w:t>
            </w:r>
            <w:r w:rsidR="005F522F" w:rsidRPr="005F522F">
              <w:rPr>
                <w:b/>
                <w:iCs/>
                <w:color w:val="000000"/>
                <w:spacing w:val="2"/>
                <w:shd w:val="solid" w:color="000000" w:fill="000000"/>
                <w:fitText w:val="320" w:id="-893197048"/>
                <w14:textFill>
                  <w14:solidFill>
                    <w14:srgbClr w14:val="000000">
                      <w14:alpha w14:val="100000"/>
                    </w14:srgbClr>
                  </w14:solidFill>
                </w14:textFill>
              </w:rPr>
              <w:t>|</w:t>
            </w:r>
            <w:r w:rsidR="002C1FEF">
              <w:rPr>
                <w:b/>
                <w:iCs/>
                <w:vertAlign w:val="superscript"/>
              </w:rPr>
              <w:t>1</w:t>
            </w:r>
            <w:r w:rsidRPr="005464FA">
              <w:rPr>
                <w:b/>
                <w:iCs/>
              </w:rPr>
              <w:t>/ QALY gained</w:t>
            </w:r>
          </w:p>
        </w:tc>
      </w:tr>
      <w:tr w:rsidR="008421B7" w:rsidRPr="005464FA" w14:paraId="70A68513" w14:textId="77777777" w:rsidTr="0077071E">
        <w:tc>
          <w:tcPr>
            <w:tcW w:w="626" w:type="pct"/>
            <w:shd w:val="clear" w:color="auto" w:fill="auto"/>
            <w:vAlign w:val="center"/>
          </w:tcPr>
          <w:p w14:paraId="3702D710" w14:textId="41F4453E" w:rsidR="008421B7" w:rsidRPr="005464FA" w:rsidRDefault="008421B7" w:rsidP="005F522F">
            <w:pPr>
              <w:pStyle w:val="TableText0"/>
              <w:keepLines/>
            </w:pPr>
            <w:r w:rsidRPr="005464FA">
              <w:t>OS improvement assumption</w:t>
            </w:r>
          </w:p>
        </w:tc>
        <w:tc>
          <w:tcPr>
            <w:tcW w:w="2830" w:type="pct"/>
            <w:shd w:val="clear" w:color="auto" w:fill="auto"/>
            <w:vAlign w:val="center"/>
          </w:tcPr>
          <w:p w14:paraId="030141EE" w14:textId="42A3578E" w:rsidR="008421B7" w:rsidRPr="005464FA" w:rsidRDefault="008421B7" w:rsidP="005F522F">
            <w:pPr>
              <w:pStyle w:val="TableText0"/>
              <w:keepLines/>
            </w:pPr>
            <w:r w:rsidRPr="005464FA">
              <w:t xml:space="preserve">The submission extrapolated ITT OS KM data from OlympiAD, which assumed a survival increment associated with </w:t>
            </w:r>
            <w:r w:rsidR="009F1F95" w:rsidRPr="005464FA">
              <w:t>o</w:t>
            </w:r>
            <w:r w:rsidRPr="005464FA">
              <w:t>laparib despite no statistically significant difference being demonstrated in the trial.</w:t>
            </w:r>
          </w:p>
        </w:tc>
        <w:tc>
          <w:tcPr>
            <w:tcW w:w="1544" w:type="pct"/>
            <w:shd w:val="clear" w:color="auto" w:fill="auto"/>
            <w:vAlign w:val="center"/>
          </w:tcPr>
          <w:p w14:paraId="2B6427FC" w14:textId="5482BDC2" w:rsidR="008421B7" w:rsidRPr="005464FA" w:rsidRDefault="008421B7" w:rsidP="005F522F">
            <w:pPr>
              <w:pStyle w:val="TableText0"/>
              <w:keepLines/>
              <w:rPr>
                <w:iCs/>
              </w:rPr>
            </w:pPr>
            <w:r w:rsidRPr="005464FA">
              <w:rPr>
                <w:iCs/>
              </w:rPr>
              <w:t xml:space="preserve">High, favours </w:t>
            </w:r>
            <w:r w:rsidR="007422D8" w:rsidRPr="005464FA">
              <w:rPr>
                <w:iCs/>
              </w:rPr>
              <w:t>o</w:t>
            </w:r>
            <w:r w:rsidRPr="005464FA">
              <w:rPr>
                <w:iCs/>
              </w:rPr>
              <w:t>laparib.</w:t>
            </w:r>
          </w:p>
          <w:p w14:paraId="624AF504" w14:textId="19F55B12" w:rsidR="008421B7" w:rsidRPr="005F522F" w:rsidRDefault="008421B7" w:rsidP="005F522F">
            <w:pPr>
              <w:pStyle w:val="TableText0"/>
              <w:keepLines/>
              <w:rPr>
                <w:iCs/>
                <w:vertAlign w:val="superscript"/>
              </w:rPr>
            </w:pPr>
            <w:r w:rsidRPr="005464FA">
              <w:rPr>
                <w:iCs/>
              </w:rPr>
              <w:t xml:space="preserve">Applying the </w:t>
            </w:r>
            <w:r w:rsidR="007422D8" w:rsidRPr="005464FA">
              <w:rPr>
                <w:iCs/>
              </w:rPr>
              <w:t>o</w:t>
            </w:r>
            <w:r w:rsidRPr="005464FA">
              <w:rPr>
                <w:iCs/>
              </w:rPr>
              <w:t xml:space="preserve">laparib OS curve to the chemotherapy arm increases the ICER by </w:t>
            </w:r>
            <w:r w:rsidR="00C82FF1" w:rsidRPr="00C82FF1">
              <w:rPr>
                <w:color w:val="000000"/>
                <w:spacing w:val="165"/>
                <w:szCs w:val="20"/>
                <w:shd w:val="solid" w:color="000000" w:fill="000000"/>
                <w:fitText w:val="260" w:id="-893197051"/>
                <w14:textFill>
                  <w14:solidFill>
                    <w14:srgbClr w14:val="000000">
                      <w14:alpha w14:val="100000"/>
                    </w14:srgbClr>
                  </w14:solidFill>
                </w14:textFill>
              </w:rPr>
              <w:t>|</w:t>
            </w:r>
            <w:r w:rsidR="00C82FF1" w:rsidRPr="00C82FF1">
              <w:rPr>
                <w:color w:val="000000"/>
                <w:szCs w:val="20"/>
                <w:shd w:val="solid" w:color="000000" w:fill="000000"/>
                <w:fitText w:val="260" w:id="-893197051"/>
                <w14:textFill>
                  <w14:solidFill>
                    <w14:srgbClr w14:val="000000">
                      <w14:alpha w14:val="100000"/>
                    </w14:srgbClr>
                  </w14:solidFill>
                </w14:textFill>
              </w:rPr>
              <w:t>|</w:t>
            </w:r>
            <w:r w:rsidR="00C82FF1" w:rsidRPr="005464FA">
              <w:rPr>
                <w:color w:val="000000"/>
                <w:szCs w:val="20"/>
              </w:rPr>
              <w:t>%</w:t>
            </w:r>
            <w:r w:rsidRPr="005464FA">
              <w:rPr>
                <w:iCs/>
              </w:rPr>
              <w:t xml:space="preserve"> to </w:t>
            </w:r>
            <w:r w:rsidRPr="005464FA">
              <w:rPr>
                <w:iCs/>
                <w:color w:val="000000"/>
                <w:szCs w:val="20"/>
              </w:rPr>
              <w:t>$</w:t>
            </w:r>
            <w:r w:rsidR="005F522F" w:rsidRPr="00C82FF1">
              <w:rPr>
                <w:iCs/>
                <w:color w:val="000000"/>
                <w:spacing w:val="45"/>
                <w:szCs w:val="20"/>
                <w:shd w:val="solid" w:color="000000" w:fill="000000"/>
                <w:fitText w:val="330" w:id="-893197047"/>
                <w14:textFill>
                  <w14:solidFill>
                    <w14:srgbClr w14:val="000000">
                      <w14:alpha w14:val="100000"/>
                    </w14:srgbClr>
                  </w14:solidFill>
                </w14:textFill>
              </w:rPr>
              <w:t>|||</w:t>
            </w:r>
            <w:r w:rsidR="005F522F" w:rsidRPr="00C82FF1">
              <w:rPr>
                <w:iCs/>
                <w:color w:val="000000"/>
                <w:spacing w:val="15"/>
                <w:szCs w:val="20"/>
                <w:shd w:val="solid" w:color="000000" w:fill="000000"/>
                <w:fitText w:val="330" w:id="-893197047"/>
                <w14:textFill>
                  <w14:solidFill>
                    <w14:srgbClr w14:val="000000">
                      <w14:alpha w14:val="100000"/>
                    </w14:srgbClr>
                  </w14:solidFill>
                </w14:textFill>
              </w:rPr>
              <w:t>|</w:t>
            </w:r>
            <w:r w:rsidR="002C1FEF">
              <w:rPr>
                <w:iCs/>
                <w:color w:val="000000"/>
                <w:szCs w:val="20"/>
                <w:vertAlign w:val="superscript"/>
              </w:rPr>
              <w:t>2</w:t>
            </w:r>
          </w:p>
        </w:tc>
      </w:tr>
      <w:tr w:rsidR="008421B7" w:rsidRPr="005464FA" w14:paraId="776A77B8" w14:textId="77777777" w:rsidTr="0077071E">
        <w:tc>
          <w:tcPr>
            <w:tcW w:w="626" w:type="pct"/>
            <w:shd w:val="clear" w:color="auto" w:fill="auto"/>
            <w:vAlign w:val="center"/>
          </w:tcPr>
          <w:p w14:paraId="3F4C2CF4" w14:textId="7E3652C0" w:rsidR="008421B7" w:rsidRPr="005464FA" w:rsidRDefault="008421B7" w:rsidP="005F522F">
            <w:pPr>
              <w:pStyle w:val="TableText0"/>
              <w:keepLines/>
            </w:pPr>
            <w:r w:rsidRPr="005464FA">
              <w:t>PFS2 extrapolation</w:t>
            </w:r>
          </w:p>
        </w:tc>
        <w:tc>
          <w:tcPr>
            <w:tcW w:w="2830" w:type="pct"/>
            <w:shd w:val="clear" w:color="auto" w:fill="auto"/>
            <w:vAlign w:val="center"/>
          </w:tcPr>
          <w:p w14:paraId="68655AA4" w14:textId="15E0FFAC" w:rsidR="008421B7" w:rsidRPr="005464FA" w:rsidRDefault="008421B7" w:rsidP="005F522F">
            <w:pPr>
              <w:pStyle w:val="TableText0"/>
              <w:keepLines/>
            </w:pPr>
            <w:r w:rsidRPr="005464FA">
              <w:t xml:space="preserve">The submission extrapolated PFS2 using a generalized gamma function. </w:t>
            </w:r>
          </w:p>
        </w:tc>
        <w:tc>
          <w:tcPr>
            <w:tcW w:w="1544" w:type="pct"/>
            <w:shd w:val="clear" w:color="auto" w:fill="auto"/>
            <w:vAlign w:val="center"/>
          </w:tcPr>
          <w:p w14:paraId="6B6EA05B" w14:textId="7A37F85E" w:rsidR="008421B7" w:rsidRPr="005464FA" w:rsidRDefault="008421B7" w:rsidP="005F522F">
            <w:pPr>
              <w:pStyle w:val="TableText0"/>
              <w:keepLines/>
              <w:rPr>
                <w:iCs/>
              </w:rPr>
            </w:pPr>
            <w:r w:rsidRPr="005464FA">
              <w:rPr>
                <w:iCs/>
              </w:rPr>
              <w:t xml:space="preserve">High, favours </w:t>
            </w:r>
            <w:r w:rsidR="007422D8" w:rsidRPr="005464FA">
              <w:rPr>
                <w:iCs/>
              </w:rPr>
              <w:t>o</w:t>
            </w:r>
            <w:r w:rsidRPr="005464FA">
              <w:rPr>
                <w:iCs/>
              </w:rPr>
              <w:t>laparib</w:t>
            </w:r>
          </w:p>
          <w:p w14:paraId="135322CB" w14:textId="4A065630" w:rsidR="008421B7" w:rsidRPr="005F522F" w:rsidRDefault="008421B7" w:rsidP="005F522F">
            <w:pPr>
              <w:pStyle w:val="TableText0"/>
              <w:keepLines/>
              <w:rPr>
                <w:iCs/>
                <w:vertAlign w:val="superscript"/>
              </w:rPr>
            </w:pPr>
            <w:r w:rsidRPr="005464FA">
              <w:rPr>
                <w:iCs/>
              </w:rPr>
              <w:t xml:space="preserve">Use of a lognormal function increases the ICER by </w:t>
            </w:r>
            <w:r w:rsidR="00C82FF1" w:rsidRPr="00C82FF1">
              <w:rPr>
                <w:color w:val="000000"/>
                <w:spacing w:val="174"/>
                <w:szCs w:val="20"/>
                <w:shd w:val="solid" w:color="000000" w:fill="000000"/>
                <w:fitText w:val="260" w:id="-893197051"/>
                <w14:textFill>
                  <w14:solidFill>
                    <w14:srgbClr w14:val="000000">
                      <w14:alpha w14:val="100000"/>
                    </w14:srgbClr>
                  </w14:solidFill>
                </w14:textFill>
              </w:rPr>
              <w:t>|</w:t>
            </w:r>
            <w:r w:rsidR="00C82FF1" w:rsidRPr="00C82FF1">
              <w:rPr>
                <w:color w:val="000000"/>
                <w:szCs w:val="20"/>
                <w:shd w:val="solid" w:color="000000" w:fill="000000"/>
                <w:fitText w:val="260" w:id="-893197051"/>
                <w14:textFill>
                  <w14:solidFill>
                    <w14:srgbClr w14:val="000000">
                      <w14:alpha w14:val="100000"/>
                    </w14:srgbClr>
                  </w14:solidFill>
                </w14:textFill>
              </w:rPr>
              <w:t>|</w:t>
            </w:r>
            <w:r w:rsidRPr="005464FA">
              <w:rPr>
                <w:iCs/>
              </w:rPr>
              <w:t>% to $</w:t>
            </w:r>
            <w:r w:rsidR="005F522F" w:rsidRPr="00C82FF1">
              <w:rPr>
                <w:iCs/>
                <w:color w:val="000000"/>
                <w:spacing w:val="45"/>
                <w:shd w:val="solid" w:color="000000" w:fill="000000"/>
                <w:fitText w:val="330" w:id="-893197046"/>
                <w14:textFill>
                  <w14:solidFill>
                    <w14:srgbClr w14:val="000000">
                      <w14:alpha w14:val="100000"/>
                    </w14:srgbClr>
                  </w14:solidFill>
                </w14:textFill>
              </w:rPr>
              <w:t>|||</w:t>
            </w:r>
            <w:r w:rsidR="005F522F" w:rsidRPr="00C82FF1">
              <w:rPr>
                <w:iCs/>
                <w:color w:val="000000"/>
                <w:spacing w:val="15"/>
                <w:shd w:val="solid" w:color="000000" w:fill="000000"/>
                <w:fitText w:val="330" w:id="-893197046"/>
                <w14:textFill>
                  <w14:solidFill>
                    <w14:srgbClr w14:val="000000">
                      <w14:alpha w14:val="100000"/>
                    </w14:srgbClr>
                  </w14:solidFill>
                </w14:textFill>
              </w:rPr>
              <w:t>|</w:t>
            </w:r>
            <w:r w:rsidR="00EB527A">
              <w:rPr>
                <w:iCs/>
                <w:vertAlign w:val="superscript"/>
              </w:rPr>
              <w:t>2</w:t>
            </w:r>
          </w:p>
        </w:tc>
      </w:tr>
      <w:tr w:rsidR="008421B7" w:rsidRPr="005464FA" w14:paraId="5792236E" w14:textId="77777777" w:rsidTr="0077071E">
        <w:tc>
          <w:tcPr>
            <w:tcW w:w="626" w:type="pct"/>
            <w:shd w:val="clear" w:color="auto" w:fill="auto"/>
            <w:vAlign w:val="center"/>
          </w:tcPr>
          <w:p w14:paraId="5CFAC89E" w14:textId="78C211C2" w:rsidR="008421B7" w:rsidRPr="005464FA" w:rsidRDefault="008421B7" w:rsidP="005F522F">
            <w:pPr>
              <w:pStyle w:val="TableText0"/>
              <w:keepLines/>
            </w:pPr>
            <w:r w:rsidRPr="005464FA">
              <w:t>Differential Utilities</w:t>
            </w:r>
          </w:p>
        </w:tc>
        <w:tc>
          <w:tcPr>
            <w:tcW w:w="2830" w:type="pct"/>
            <w:shd w:val="clear" w:color="auto" w:fill="auto"/>
            <w:vAlign w:val="center"/>
          </w:tcPr>
          <w:p w14:paraId="1BEF3862" w14:textId="04A8FA25" w:rsidR="008421B7" w:rsidRPr="005464FA" w:rsidRDefault="003D0A86" w:rsidP="005F522F">
            <w:pPr>
              <w:pStyle w:val="TableText0"/>
              <w:keepLines/>
            </w:pPr>
            <w:r w:rsidRPr="005464FA">
              <w:t>The submission assumed different utilities for olaparib and chemotherapy in both PFS1 (0.817 vs 0.745) and PFS2 (0.749 vs 0.717) health states.</w:t>
            </w:r>
          </w:p>
        </w:tc>
        <w:tc>
          <w:tcPr>
            <w:tcW w:w="1544" w:type="pct"/>
            <w:shd w:val="clear" w:color="auto" w:fill="auto"/>
            <w:vAlign w:val="center"/>
          </w:tcPr>
          <w:p w14:paraId="4352B90E" w14:textId="417C3921" w:rsidR="008421B7" w:rsidRPr="005464FA" w:rsidRDefault="00492634" w:rsidP="005F522F">
            <w:pPr>
              <w:pStyle w:val="TableText0"/>
              <w:keepLines/>
              <w:rPr>
                <w:iCs/>
              </w:rPr>
            </w:pPr>
            <w:r w:rsidRPr="005464FA">
              <w:rPr>
                <w:iCs/>
              </w:rPr>
              <w:t xml:space="preserve">Assuming no differential utilities increased the ICER by </w:t>
            </w:r>
            <w:r w:rsidR="00C82FF1" w:rsidRPr="00C82FF1">
              <w:rPr>
                <w:color w:val="000000"/>
                <w:spacing w:val="174"/>
                <w:szCs w:val="20"/>
                <w:shd w:val="solid" w:color="000000" w:fill="000000"/>
                <w:fitText w:val="260" w:id="-893197051"/>
                <w14:textFill>
                  <w14:solidFill>
                    <w14:srgbClr w14:val="000000">
                      <w14:alpha w14:val="100000"/>
                    </w14:srgbClr>
                  </w14:solidFill>
                </w14:textFill>
              </w:rPr>
              <w:t>|</w:t>
            </w:r>
            <w:r w:rsidR="00C82FF1" w:rsidRPr="00C82FF1">
              <w:rPr>
                <w:color w:val="000000"/>
                <w:szCs w:val="20"/>
                <w:shd w:val="solid" w:color="000000" w:fill="000000"/>
                <w:fitText w:val="260" w:id="-893197051"/>
                <w14:textFill>
                  <w14:solidFill>
                    <w14:srgbClr w14:val="000000">
                      <w14:alpha w14:val="100000"/>
                    </w14:srgbClr>
                  </w14:solidFill>
                </w14:textFill>
              </w:rPr>
              <w:t>|</w:t>
            </w:r>
            <w:r w:rsidRPr="005464FA">
              <w:rPr>
                <w:iCs/>
              </w:rPr>
              <w:t>% to $</w:t>
            </w:r>
            <w:r w:rsidR="005F522F" w:rsidRPr="005F522F">
              <w:rPr>
                <w:iCs/>
                <w:color w:val="000000"/>
                <w:spacing w:val="53"/>
                <w:shd w:val="solid" w:color="000000" w:fill="000000"/>
                <w:fitText w:val="330" w:id="-893197045"/>
                <w14:textFill>
                  <w14:solidFill>
                    <w14:srgbClr w14:val="000000">
                      <w14:alpha w14:val="100000"/>
                    </w14:srgbClr>
                  </w14:solidFill>
                </w14:textFill>
              </w:rPr>
              <w:t>|||</w:t>
            </w:r>
            <w:r w:rsidR="005F522F" w:rsidRPr="005F522F">
              <w:rPr>
                <w:iCs/>
                <w:color w:val="000000"/>
                <w:spacing w:val="1"/>
                <w:shd w:val="solid" w:color="000000" w:fill="000000"/>
                <w:fitText w:val="330" w:id="-893197045"/>
                <w14:textFill>
                  <w14:solidFill>
                    <w14:srgbClr w14:val="000000">
                      <w14:alpha w14:val="100000"/>
                    </w14:srgbClr>
                  </w14:solidFill>
                </w14:textFill>
              </w:rPr>
              <w:t>|</w:t>
            </w:r>
            <w:r w:rsidR="00EB527A">
              <w:rPr>
                <w:iCs/>
                <w:vertAlign w:val="superscript"/>
              </w:rPr>
              <w:t>2</w:t>
            </w:r>
            <w:r w:rsidRPr="005464FA">
              <w:rPr>
                <w:iCs/>
              </w:rPr>
              <w:t>/QALY</w:t>
            </w:r>
          </w:p>
        </w:tc>
      </w:tr>
    </w:tbl>
    <w:p w14:paraId="4A7FD3F7" w14:textId="50E9FB46" w:rsidR="00D16D4E" w:rsidRPr="005464FA" w:rsidRDefault="00D16D4E" w:rsidP="005F522F">
      <w:pPr>
        <w:pStyle w:val="FooterTableFigure"/>
        <w:keepNext/>
        <w:keepLines/>
      </w:pPr>
      <w:r w:rsidRPr="005464FA">
        <w:t xml:space="preserve">Source: </w:t>
      </w:r>
      <w:r w:rsidR="000D5E52" w:rsidRPr="005464FA">
        <w:t>Submiss</w:t>
      </w:r>
      <w:r w:rsidR="00C92A32" w:rsidRPr="005464FA">
        <w:t>i</w:t>
      </w:r>
      <w:r w:rsidR="000D5E52" w:rsidRPr="005464FA">
        <w:t xml:space="preserve">on’s attached </w:t>
      </w:r>
      <w:r w:rsidR="00C92A32" w:rsidRPr="005464FA">
        <w:t>e</w:t>
      </w:r>
      <w:r w:rsidR="000D5E52" w:rsidRPr="005464FA">
        <w:t xml:space="preserve">conomic model spreadsheet </w:t>
      </w:r>
    </w:p>
    <w:p w14:paraId="0D91D2C9" w14:textId="5E3B0847" w:rsidR="000D5E52" w:rsidRDefault="000D5E52" w:rsidP="005F522F">
      <w:pPr>
        <w:pStyle w:val="FooterTableFigure"/>
        <w:keepNext/>
        <w:keepLines/>
        <w:spacing w:after="0"/>
      </w:pPr>
      <w:r w:rsidRPr="005464FA">
        <w:t xml:space="preserve">ICER = incremental cost-effectiveness ratio; ITT = intention to treat; OS = overall survival; PFS2 = time to second progression </w:t>
      </w:r>
      <w:r w:rsidR="00C92A32" w:rsidRPr="005464FA">
        <w:t>t</w:t>
      </w:r>
      <w:r w:rsidRPr="005464FA">
        <w:t xml:space="preserve">o death; PD = progressed disease; QALY = Quality adjusted life-year; </w:t>
      </w:r>
    </w:p>
    <w:p w14:paraId="4FCF5E6B" w14:textId="77777777" w:rsidR="005D6468" w:rsidRPr="009A6D58" w:rsidRDefault="005D6468" w:rsidP="005F522F">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1660842" w14:textId="71A13E5D" w:rsidR="005D6468" w:rsidRPr="009A6D58" w:rsidRDefault="005D6468" w:rsidP="005F522F">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8F6F20" w:rsidRPr="008F6F20">
        <w:rPr>
          <w:rFonts w:ascii="Arial Narrow" w:hAnsi="Arial Narrow"/>
          <w:i/>
          <w:sz w:val="18"/>
          <w:szCs w:val="18"/>
        </w:rPr>
        <w:t>$75,000 to &lt; $95,000</w:t>
      </w:r>
    </w:p>
    <w:p w14:paraId="434E41AC" w14:textId="4E43248F" w:rsidR="005D6468" w:rsidRPr="005F522F" w:rsidRDefault="005D6468" w:rsidP="005F522F">
      <w:pPr>
        <w:spacing w:after="120"/>
        <w:rPr>
          <w:i/>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C004F7" w:rsidRPr="00C004F7">
        <w:rPr>
          <w:rFonts w:ascii="Arial Narrow" w:hAnsi="Arial Narrow"/>
          <w:i/>
          <w:sz w:val="18"/>
          <w:szCs w:val="18"/>
        </w:rPr>
        <w:t>$95,000 to &lt; $115,000</w:t>
      </w:r>
    </w:p>
    <w:p w14:paraId="59DD3318" w14:textId="47921043" w:rsidR="00A1135A" w:rsidRPr="005464FA" w:rsidRDefault="00D16D4E" w:rsidP="00A1135A">
      <w:pPr>
        <w:pStyle w:val="3-BodyText"/>
      </w:pPr>
      <w:r w:rsidRPr="005464FA">
        <w:rPr>
          <w:color w:val="000000" w:themeColor="text1"/>
        </w:rPr>
        <w:fldChar w:fldCharType="begin" w:fldLock="1"/>
      </w:r>
      <w:r w:rsidRPr="005464FA">
        <w:rPr>
          <w:color w:val="000000" w:themeColor="text1"/>
        </w:rPr>
        <w:instrText xml:space="preserve"> REF _Ref164517376 \h </w:instrText>
      </w:r>
      <w:r w:rsidRPr="005464FA">
        <w:rPr>
          <w:color w:val="000000" w:themeColor="text1"/>
        </w:rPr>
      </w:r>
      <w:r w:rsidRPr="005464FA">
        <w:rPr>
          <w:color w:val="000000" w:themeColor="text1"/>
        </w:rPr>
        <w:fldChar w:fldCharType="separate"/>
      </w:r>
      <w:r w:rsidR="00122E11" w:rsidRPr="005464FA">
        <w:t>Table 13</w:t>
      </w:r>
      <w:r w:rsidRPr="005464FA">
        <w:rPr>
          <w:color w:val="000000" w:themeColor="text1"/>
        </w:rPr>
        <w:fldChar w:fldCharType="end"/>
      </w:r>
      <w:r w:rsidRPr="005464FA">
        <w:rPr>
          <w:color w:val="000000" w:themeColor="text1"/>
        </w:rPr>
        <w:t xml:space="preserve"> presents the results of the ITT model. </w:t>
      </w:r>
      <w:r w:rsidR="00712124" w:rsidRPr="005464FA">
        <w:rPr>
          <w:color w:val="000000" w:themeColor="text1"/>
        </w:rPr>
        <w:t>The submission did not present a stepped economic evaluation for the ITT model.</w:t>
      </w:r>
    </w:p>
    <w:p w14:paraId="06294070" w14:textId="7A489F5D" w:rsidR="00D16D4E" w:rsidRPr="005464FA" w:rsidRDefault="00D16D4E" w:rsidP="005F522F">
      <w:pPr>
        <w:pStyle w:val="TableFigureHeading"/>
        <w:keepLines/>
        <w:rPr>
          <w:rStyle w:val="CommentReference"/>
          <w:rFonts w:cs="Arial"/>
          <w:b/>
          <w:bCs w:val="0"/>
          <w:snapToGrid w:val="0"/>
          <w:szCs w:val="24"/>
        </w:rPr>
      </w:pPr>
      <w:bookmarkStart w:id="81" w:name="_Ref164517376"/>
      <w:r w:rsidRPr="005464FA">
        <w:t xml:space="preserve">Table </w:t>
      </w:r>
      <w:r w:rsidR="005F1D36" w:rsidRPr="005464FA">
        <w:fldChar w:fldCharType="begin" w:fldLock="1"/>
      </w:r>
      <w:r w:rsidR="005F1D36" w:rsidRPr="005464FA">
        <w:instrText xml:space="preserve"> SEQ Table \* ARABIC </w:instrText>
      </w:r>
      <w:r w:rsidR="005F1D36" w:rsidRPr="005464FA">
        <w:fldChar w:fldCharType="separate"/>
      </w:r>
      <w:r w:rsidR="00122E11" w:rsidRPr="005464FA">
        <w:t>13</w:t>
      </w:r>
      <w:r w:rsidR="005F1D36" w:rsidRPr="005464FA">
        <w:fldChar w:fldCharType="end"/>
      </w:r>
      <w:bookmarkEnd w:id="81"/>
      <w:r w:rsidRPr="005464FA">
        <w:t xml:space="preserve">: </w:t>
      </w:r>
      <w:r w:rsidRPr="005464FA">
        <w:rPr>
          <w:rStyle w:val="CommentReference"/>
          <w:b/>
          <w:szCs w:val="24"/>
        </w:rPr>
        <w:t xml:space="preserve">Results of the economic evaluation in the ITT model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economic evaluation in the ITT model "/>
      </w:tblPr>
      <w:tblGrid>
        <w:gridCol w:w="2757"/>
        <w:gridCol w:w="2451"/>
        <w:gridCol w:w="2298"/>
        <w:gridCol w:w="1511"/>
      </w:tblGrid>
      <w:tr w:rsidR="00D16D4E" w:rsidRPr="005464FA" w14:paraId="28EA3C2F" w14:textId="7B17FE18" w:rsidTr="003A0777">
        <w:trPr>
          <w:tblHeader/>
        </w:trPr>
        <w:tc>
          <w:tcPr>
            <w:tcW w:w="1529" w:type="pct"/>
            <w:vAlign w:val="center"/>
          </w:tcPr>
          <w:p w14:paraId="7799B378" w14:textId="6D7DC2BE" w:rsidR="00D16D4E" w:rsidRPr="005464FA" w:rsidRDefault="00D16D4E" w:rsidP="005F522F">
            <w:pPr>
              <w:pStyle w:val="In-tableHeading"/>
              <w:keepLines/>
              <w:rPr>
                <w:lang w:val="en-AU"/>
              </w:rPr>
            </w:pPr>
            <w:r w:rsidRPr="005464FA">
              <w:rPr>
                <w:lang w:val="en-AU"/>
              </w:rPr>
              <w:t>Component</w:t>
            </w:r>
          </w:p>
        </w:tc>
        <w:tc>
          <w:tcPr>
            <w:tcW w:w="1359" w:type="pct"/>
            <w:vAlign w:val="center"/>
          </w:tcPr>
          <w:p w14:paraId="5E86F7EE" w14:textId="2BC0F019" w:rsidR="00D16D4E" w:rsidRPr="005464FA" w:rsidRDefault="00D16D4E" w:rsidP="005F522F">
            <w:pPr>
              <w:pStyle w:val="In-tableHeading"/>
              <w:keepLines/>
              <w:jc w:val="center"/>
              <w:rPr>
                <w:lang w:val="en-AU"/>
              </w:rPr>
            </w:pPr>
            <w:r w:rsidRPr="005464FA">
              <w:rPr>
                <w:lang w:val="en-AU"/>
              </w:rPr>
              <w:t>Olaparib</w:t>
            </w:r>
          </w:p>
        </w:tc>
        <w:tc>
          <w:tcPr>
            <w:tcW w:w="1274" w:type="pct"/>
            <w:vAlign w:val="center"/>
          </w:tcPr>
          <w:p w14:paraId="7AE25088" w14:textId="4242F99B" w:rsidR="00D16D4E" w:rsidRPr="005464FA" w:rsidRDefault="00D16D4E" w:rsidP="005F522F">
            <w:pPr>
              <w:pStyle w:val="In-tableHeading"/>
              <w:keepLines/>
              <w:jc w:val="center"/>
              <w:rPr>
                <w:lang w:val="en-AU"/>
              </w:rPr>
            </w:pPr>
            <w:r w:rsidRPr="005464FA">
              <w:rPr>
                <w:lang w:val="en-AU"/>
              </w:rPr>
              <w:t>Chemotherapy</w:t>
            </w:r>
          </w:p>
        </w:tc>
        <w:tc>
          <w:tcPr>
            <w:tcW w:w="838" w:type="pct"/>
            <w:vAlign w:val="center"/>
          </w:tcPr>
          <w:p w14:paraId="573860E6" w14:textId="107F34C4" w:rsidR="00D16D4E" w:rsidRPr="005464FA" w:rsidRDefault="00D16D4E" w:rsidP="005F522F">
            <w:pPr>
              <w:pStyle w:val="In-tableHeading"/>
              <w:keepLines/>
              <w:jc w:val="center"/>
              <w:rPr>
                <w:lang w:val="en-AU"/>
              </w:rPr>
            </w:pPr>
            <w:r w:rsidRPr="005464FA">
              <w:rPr>
                <w:lang w:val="en-AU"/>
              </w:rPr>
              <w:t>Increment</w:t>
            </w:r>
          </w:p>
        </w:tc>
      </w:tr>
      <w:tr w:rsidR="00D16D4E" w:rsidRPr="005464FA" w14:paraId="2B9D7E0A" w14:textId="0652D7A1" w:rsidTr="003A0777">
        <w:tc>
          <w:tcPr>
            <w:tcW w:w="1529" w:type="pct"/>
            <w:vAlign w:val="center"/>
          </w:tcPr>
          <w:p w14:paraId="3D13AEBE" w14:textId="43D0A4BE" w:rsidR="00D16D4E" w:rsidRPr="005464FA" w:rsidRDefault="00D16D4E" w:rsidP="005F522F">
            <w:pPr>
              <w:pStyle w:val="TableText0"/>
              <w:keepLines/>
              <w:rPr>
                <w:rFonts w:ascii="Times" w:hAnsi="Times"/>
              </w:rPr>
            </w:pPr>
            <w:r w:rsidRPr="005464FA">
              <w:t>Costs</w:t>
            </w:r>
          </w:p>
        </w:tc>
        <w:tc>
          <w:tcPr>
            <w:tcW w:w="1359" w:type="pct"/>
            <w:vAlign w:val="bottom"/>
          </w:tcPr>
          <w:p w14:paraId="3723766E" w14:textId="27D017DA" w:rsidR="00D16D4E" w:rsidRPr="005464FA" w:rsidRDefault="00D16D4E" w:rsidP="005F522F">
            <w:pPr>
              <w:pStyle w:val="TableText0"/>
              <w:keepLines/>
              <w:jc w:val="center"/>
            </w:pPr>
            <w:r w:rsidRPr="005464FA">
              <w:t>$</w:t>
            </w:r>
            <w:r w:rsidR="005F522F" w:rsidRPr="005F522F">
              <w:rPr>
                <w:color w:val="000000"/>
                <w:shd w:val="solid" w:color="000000" w:fill="000000"/>
                <w14:textFill>
                  <w14:solidFill>
                    <w14:srgbClr w14:val="000000">
                      <w14:alpha w14:val="100000"/>
                    </w14:srgbClr>
                  </w14:solidFill>
                </w14:textFill>
              </w:rPr>
              <w:t>|</w:t>
            </w:r>
          </w:p>
        </w:tc>
        <w:tc>
          <w:tcPr>
            <w:tcW w:w="1274" w:type="pct"/>
            <w:vAlign w:val="bottom"/>
          </w:tcPr>
          <w:p w14:paraId="668337C5" w14:textId="19A4A5E7" w:rsidR="00D16D4E" w:rsidRPr="005464FA" w:rsidRDefault="00D16D4E" w:rsidP="005F522F">
            <w:pPr>
              <w:pStyle w:val="TableText0"/>
              <w:keepLines/>
              <w:jc w:val="center"/>
            </w:pPr>
            <w:r w:rsidRPr="005464FA">
              <w:t>$65,260</w:t>
            </w:r>
          </w:p>
        </w:tc>
        <w:tc>
          <w:tcPr>
            <w:tcW w:w="838" w:type="pct"/>
            <w:vAlign w:val="bottom"/>
          </w:tcPr>
          <w:p w14:paraId="52FF6A4A" w14:textId="15CFB18A" w:rsidR="00D16D4E" w:rsidRPr="005464FA" w:rsidRDefault="00D16D4E" w:rsidP="005F522F">
            <w:pPr>
              <w:pStyle w:val="TableText0"/>
              <w:keepLines/>
              <w:jc w:val="center"/>
            </w:pPr>
            <w:r w:rsidRPr="005464FA">
              <w:t>$</w:t>
            </w:r>
            <w:r w:rsidR="005F522F" w:rsidRPr="005F522F">
              <w:rPr>
                <w:color w:val="000000"/>
                <w:shd w:val="solid" w:color="000000" w:fill="000000"/>
                <w14:textFill>
                  <w14:solidFill>
                    <w14:srgbClr w14:val="000000">
                      <w14:alpha w14:val="100000"/>
                    </w14:srgbClr>
                  </w14:solidFill>
                </w14:textFill>
              </w:rPr>
              <w:t>|</w:t>
            </w:r>
          </w:p>
        </w:tc>
      </w:tr>
      <w:tr w:rsidR="00D16D4E" w:rsidRPr="005464FA" w14:paraId="056E7D27" w14:textId="1EEC6023" w:rsidTr="003A0777">
        <w:trPr>
          <w:trHeight w:val="73"/>
        </w:trPr>
        <w:tc>
          <w:tcPr>
            <w:tcW w:w="1529" w:type="pct"/>
            <w:vAlign w:val="center"/>
          </w:tcPr>
          <w:p w14:paraId="53F9015A" w14:textId="785C8362" w:rsidR="00D16D4E" w:rsidRPr="005464FA" w:rsidRDefault="00D16D4E" w:rsidP="005F522F">
            <w:pPr>
              <w:pStyle w:val="TableText0"/>
              <w:keepLines/>
              <w:rPr>
                <w:rFonts w:ascii="Times" w:hAnsi="Times"/>
              </w:rPr>
            </w:pPr>
            <w:r w:rsidRPr="005464FA">
              <w:t>LYG</w:t>
            </w:r>
          </w:p>
        </w:tc>
        <w:tc>
          <w:tcPr>
            <w:tcW w:w="1359" w:type="pct"/>
            <w:vAlign w:val="bottom"/>
          </w:tcPr>
          <w:p w14:paraId="12B5AA9F" w14:textId="16B14B13" w:rsidR="00D16D4E" w:rsidRPr="005464FA" w:rsidRDefault="00D16D4E" w:rsidP="005F522F">
            <w:pPr>
              <w:pStyle w:val="TableText0"/>
              <w:keepLines/>
              <w:jc w:val="center"/>
            </w:pPr>
            <w:r w:rsidRPr="005464FA">
              <w:t>2.18</w:t>
            </w:r>
          </w:p>
        </w:tc>
        <w:tc>
          <w:tcPr>
            <w:tcW w:w="1274" w:type="pct"/>
            <w:vAlign w:val="bottom"/>
          </w:tcPr>
          <w:p w14:paraId="5E5F4FD4" w14:textId="69D131C3" w:rsidR="00D16D4E" w:rsidRPr="005464FA" w:rsidRDefault="00D16D4E" w:rsidP="005F522F">
            <w:pPr>
              <w:pStyle w:val="TableText0"/>
              <w:keepLines/>
              <w:jc w:val="center"/>
            </w:pPr>
            <w:r w:rsidRPr="005464FA">
              <w:t>1.91</w:t>
            </w:r>
          </w:p>
        </w:tc>
        <w:tc>
          <w:tcPr>
            <w:tcW w:w="838" w:type="pct"/>
            <w:vAlign w:val="bottom"/>
          </w:tcPr>
          <w:p w14:paraId="09866F74" w14:textId="4ECCB945" w:rsidR="00D16D4E" w:rsidRPr="005464FA" w:rsidRDefault="00D16D4E" w:rsidP="005F522F">
            <w:pPr>
              <w:pStyle w:val="TableText0"/>
              <w:keepLines/>
              <w:jc w:val="center"/>
            </w:pPr>
            <w:r w:rsidRPr="005464FA">
              <w:t>0.267</w:t>
            </w:r>
          </w:p>
        </w:tc>
      </w:tr>
      <w:tr w:rsidR="00D16D4E" w:rsidRPr="005464FA" w14:paraId="5CF88E51" w14:textId="7DFA8CFD" w:rsidTr="003A0777">
        <w:tc>
          <w:tcPr>
            <w:tcW w:w="4162" w:type="pct"/>
            <w:gridSpan w:val="3"/>
            <w:vAlign w:val="center"/>
          </w:tcPr>
          <w:p w14:paraId="7AC3E3A2" w14:textId="0996FE74" w:rsidR="00D16D4E" w:rsidRPr="005464FA" w:rsidRDefault="00D16D4E" w:rsidP="005F522F">
            <w:pPr>
              <w:pStyle w:val="TableText0"/>
              <w:keepLines/>
            </w:pPr>
            <w:r w:rsidRPr="005464FA">
              <w:t>Incremental cost/extra LYG gained</w:t>
            </w:r>
          </w:p>
        </w:tc>
        <w:tc>
          <w:tcPr>
            <w:tcW w:w="838" w:type="pct"/>
            <w:vAlign w:val="center"/>
          </w:tcPr>
          <w:p w14:paraId="4800ACF8" w14:textId="635CD81F" w:rsidR="00D16D4E" w:rsidRPr="005F522F" w:rsidRDefault="00D16D4E" w:rsidP="005F522F">
            <w:pPr>
              <w:pStyle w:val="TableText0"/>
              <w:keepLines/>
              <w:jc w:val="center"/>
              <w:rPr>
                <w:vertAlign w:val="superscript"/>
              </w:rPr>
            </w:pPr>
            <w:r w:rsidRPr="005464FA">
              <w:t>$</w:t>
            </w:r>
            <w:r w:rsidR="005F522F" w:rsidRPr="005F522F">
              <w:rPr>
                <w:color w:val="000000"/>
                <w:shd w:val="solid" w:color="000000" w:fill="000000"/>
                <w14:textFill>
                  <w14:solidFill>
                    <w14:srgbClr w14:val="000000">
                      <w14:alpha w14:val="100000"/>
                    </w14:srgbClr>
                  </w14:solidFill>
                </w14:textFill>
              </w:rPr>
              <w:t>|</w:t>
            </w:r>
            <w:r w:rsidR="000B2172">
              <w:rPr>
                <w:vertAlign w:val="superscript"/>
              </w:rPr>
              <w:t>1</w:t>
            </w:r>
          </w:p>
        </w:tc>
      </w:tr>
      <w:tr w:rsidR="00D16D4E" w:rsidRPr="005464FA" w14:paraId="5D82174D" w14:textId="286B95A2" w:rsidTr="003A0777">
        <w:tc>
          <w:tcPr>
            <w:tcW w:w="1529" w:type="pct"/>
            <w:vAlign w:val="center"/>
          </w:tcPr>
          <w:p w14:paraId="4678ACAA" w14:textId="60CDAA63" w:rsidR="00D16D4E" w:rsidRPr="005464FA" w:rsidRDefault="00D16D4E" w:rsidP="005F522F">
            <w:pPr>
              <w:pStyle w:val="TableText0"/>
              <w:keepLines/>
              <w:rPr>
                <w:rFonts w:ascii="Times" w:hAnsi="Times"/>
              </w:rPr>
            </w:pPr>
            <w:r w:rsidRPr="005464FA">
              <w:t>Costs</w:t>
            </w:r>
          </w:p>
        </w:tc>
        <w:tc>
          <w:tcPr>
            <w:tcW w:w="1359" w:type="pct"/>
            <w:vAlign w:val="bottom"/>
          </w:tcPr>
          <w:p w14:paraId="1E84DD89" w14:textId="295EC986" w:rsidR="00D16D4E" w:rsidRPr="005464FA" w:rsidRDefault="00D16D4E" w:rsidP="005F522F">
            <w:pPr>
              <w:pStyle w:val="TableText0"/>
              <w:keepLines/>
              <w:jc w:val="center"/>
            </w:pPr>
            <w:r w:rsidRPr="005464FA">
              <w:t>$</w:t>
            </w:r>
            <w:r w:rsidR="005F522F" w:rsidRPr="005F522F">
              <w:rPr>
                <w:color w:val="000000"/>
                <w:shd w:val="solid" w:color="000000" w:fill="000000"/>
                <w14:textFill>
                  <w14:solidFill>
                    <w14:srgbClr w14:val="000000">
                      <w14:alpha w14:val="100000"/>
                    </w14:srgbClr>
                  </w14:solidFill>
                </w14:textFill>
              </w:rPr>
              <w:t>|</w:t>
            </w:r>
          </w:p>
        </w:tc>
        <w:tc>
          <w:tcPr>
            <w:tcW w:w="1274" w:type="pct"/>
            <w:vAlign w:val="bottom"/>
          </w:tcPr>
          <w:p w14:paraId="6A339A32" w14:textId="760DEA51" w:rsidR="00D16D4E" w:rsidRPr="005464FA" w:rsidRDefault="00D16D4E" w:rsidP="005F522F">
            <w:pPr>
              <w:pStyle w:val="TableText0"/>
              <w:keepLines/>
              <w:jc w:val="center"/>
            </w:pPr>
            <w:r w:rsidRPr="005464FA">
              <w:t>$65,260</w:t>
            </w:r>
          </w:p>
        </w:tc>
        <w:tc>
          <w:tcPr>
            <w:tcW w:w="838" w:type="pct"/>
            <w:vAlign w:val="bottom"/>
          </w:tcPr>
          <w:p w14:paraId="58AF70AA" w14:textId="222B4B59" w:rsidR="00D16D4E" w:rsidRPr="005464FA" w:rsidRDefault="00D16D4E" w:rsidP="005F522F">
            <w:pPr>
              <w:pStyle w:val="TableText0"/>
              <w:keepLines/>
              <w:jc w:val="center"/>
            </w:pPr>
            <w:r w:rsidRPr="005464FA">
              <w:t>$</w:t>
            </w:r>
            <w:r w:rsidR="005F522F" w:rsidRPr="005F522F">
              <w:rPr>
                <w:color w:val="000000"/>
                <w:shd w:val="solid" w:color="000000" w:fill="000000"/>
                <w14:textFill>
                  <w14:solidFill>
                    <w14:srgbClr w14:val="000000">
                      <w14:alpha w14:val="100000"/>
                    </w14:srgbClr>
                  </w14:solidFill>
                </w14:textFill>
              </w:rPr>
              <w:t>|</w:t>
            </w:r>
          </w:p>
        </w:tc>
      </w:tr>
      <w:tr w:rsidR="00D16D4E" w:rsidRPr="005464FA" w14:paraId="156A620C" w14:textId="4171190F" w:rsidTr="003A0777">
        <w:tc>
          <w:tcPr>
            <w:tcW w:w="1529" w:type="pct"/>
            <w:vAlign w:val="center"/>
          </w:tcPr>
          <w:p w14:paraId="62C4D43D" w14:textId="4C30D3C0" w:rsidR="00D16D4E" w:rsidRPr="005464FA" w:rsidRDefault="00D16D4E" w:rsidP="005F522F">
            <w:pPr>
              <w:pStyle w:val="TableText0"/>
              <w:keepLines/>
              <w:rPr>
                <w:rFonts w:ascii="Times" w:hAnsi="Times"/>
              </w:rPr>
            </w:pPr>
            <w:r w:rsidRPr="005464FA">
              <w:t>QALY</w:t>
            </w:r>
          </w:p>
        </w:tc>
        <w:tc>
          <w:tcPr>
            <w:tcW w:w="1359" w:type="pct"/>
            <w:vAlign w:val="bottom"/>
          </w:tcPr>
          <w:p w14:paraId="340F1E40" w14:textId="75293BCC" w:rsidR="00D16D4E" w:rsidRPr="005464FA" w:rsidRDefault="00D16D4E" w:rsidP="005F522F">
            <w:pPr>
              <w:pStyle w:val="TableText0"/>
              <w:keepLines/>
              <w:jc w:val="center"/>
            </w:pPr>
            <w:r w:rsidRPr="005464FA">
              <w:t>1.648</w:t>
            </w:r>
          </w:p>
        </w:tc>
        <w:tc>
          <w:tcPr>
            <w:tcW w:w="1274" w:type="pct"/>
            <w:vAlign w:val="bottom"/>
          </w:tcPr>
          <w:p w14:paraId="43083AEB" w14:textId="618A8E35" w:rsidR="00D16D4E" w:rsidRPr="005464FA" w:rsidRDefault="00D16D4E" w:rsidP="005F522F">
            <w:pPr>
              <w:pStyle w:val="TableText0"/>
              <w:keepLines/>
              <w:jc w:val="center"/>
            </w:pPr>
            <w:r w:rsidRPr="005464FA">
              <w:t>1.265</w:t>
            </w:r>
          </w:p>
        </w:tc>
        <w:tc>
          <w:tcPr>
            <w:tcW w:w="838" w:type="pct"/>
            <w:vAlign w:val="bottom"/>
          </w:tcPr>
          <w:p w14:paraId="2DC90FA8" w14:textId="5EA6D61E" w:rsidR="00D16D4E" w:rsidRPr="005464FA" w:rsidRDefault="00D16D4E" w:rsidP="005F522F">
            <w:pPr>
              <w:pStyle w:val="TableText0"/>
              <w:keepLines/>
              <w:jc w:val="center"/>
            </w:pPr>
            <w:r w:rsidRPr="005464FA">
              <w:t>0.383</w:t>
            </w:r>
          </w:p>
        </w:tc>
      </w:tr>
      <w:tr w:rsidR="00D16D4E" w:rsidRPr="005464FA" w14:paraId="3E79347A" w14:textId="3598E83A" w:rsidTr="003A0777">
        <w:tc>
          <w:tcPr>
            <w:tcW w:w="4162" w:type="pct"/>
            <w:gridSpan w:val="3"/>
            <w:vAlign w:val="center"/>
          </w:tcPr>
          <w:p w14:paraId="2D401AD0" w14:textId="37F2C2E1" w:rsidR="00D16D4E" w:rsidRPr="005464FA" w:rsidRDefault="00D16D4E" w:rsidP="005F522F">
            <w:pPr>
              <w:pStyle w:val="TableText0"/>
              <w:keepLines/>
              <w:rPr>
                <w:rFonts w:ascii="Times" w:hAnsi="Times"/>
                <w:b/>
                <w:bCs w:val="0"/>
              </w:rPr>
            </w:pPr>
            <w:r w:rsidRPr="005464FA">
              <w:rPr>
                <w:b/>
                <w:bCs w:val="0"/>
              </w:rPr>
              <w:t>Incremental cost/extra QALY gained</w:t>
            </w:r>
          </w:p>
        </w:tc>
        <w:tc>
          <w:tcPr>
            <w:tcW w:w="838" w:type="pct"/>
            <w:vAlign w:val="center"/>
          </w:tcPr>
          <w:p w14:paraId="0F5156BC" w14:textId="50976125" w:rsidR="00D16D4E" w:rsidRPr="005F522F" w:rsidRDefault="00D16D4E" w:rsidP="005F522F">
            <w:pPr>
              <w:pStyle w:val="TableText0"/>
              <w:keepLines/>
              <w:jc w:val="center"/>
              <w:rPr>
                <w:b/>
                <w:bCs w:val="0"/>
                <w:vertAlign w:val="superscript"/>
              </w:rPr>
            </w:pPr>
            <w:r w:rsidRPr="005464FA">
              <w:rPr>
                <w:b/>
                <w:bCs w:val="0"/>
              </w:rPr>
              <w:t>$</w:t>
            </w:r>
            <w:r w:rsidR="005F522F" w:rsidRPr="005F522F">
              <w:rPr>
                <w:b/>
                <w:bCs w:val="0"/>
                <w:color w:val="000000"/>
                <w:shd w:val="solid" w:color="000000" w:fill="000000"/>
                <w14:textFill>
                  <w14:solidFill>
                    <w14:srgbClr w14:val="000000">
                      <w14:alpha w14:val="100000"/>
                    </w14:srgbClr>
                  </w14:solidFill>
                </w14:textFill>
              </w:rPr>
              <w:t>|</w:t>
            </w:r>
            <w:r w:rsidR="00AD1C7A">
              <w:rPr>
                <w:b/>
                <w:bCs w:val="0"/>
                <w:vertAlign w:val="superscript"/>
              </w:rPr>
              <w:t>2</w:t>
            </w:r>
          </w:p>
        </w:tc>
      </w:tr>
    </w:tbl>
    <w:p w14:paraId="6F2C64FF" w14:textId="1A7F6CD0" w:rsidR="00D16D4E" w:rsidRPr="005464FA" w:rsidRDefault="00D16D4E" w:rsidP="005F522F">
      <w:pPr>
        <w:pStyle w:val="FooterTableFigure"/>
        <w:keepNext/>
        <w:keepLines/>
      </w:pPr>
      <w:r w:rsidRPr="005464FA">
        <w:t>Source: Tables 3.</w:t>
      </w:r>
      <w:r w:rsidR="00712124" w:rsidRPr="005464FA">
        <w:t>34</w:t>
      </w:r>
      <w:r w:rsidRPr="005464FA">
        <w:t>, p1</w:t>
      </w:r>
      <w:r w:rsidR="00712124" w:rsidRPr="005464FA">
        <w:t>54</w:t>
      </w:r>
      <w:r w:rsidRPr="005464FA">
        <w:t xml:space="preserve"> of the submission. </w:t>
      </w:r>
    </w:p>
    <w:p w14:paraId="4ADEFF6A" w14:textId="75E53201" w:rsidR="00D16D4E" w:rsidRDefault="00D16D4E" w:rsidP="005F522F">
      <w:pPr>
        <w:pStyle w:val="FooterTableFigure"/>
        <w:keepNext/>
        <w:keepLines/>
        <w:spacing w:after="0"/>
      </w:pPr>
      <w:r w:rsidRPr="005464FA">
        <w:t xml:space="preserve"> LYG = life year gained; QALY = quality adjusted life year</w:t>
      </w:r>
    </w:p>
    <w:p w14:paraId="1E5BD187" w14:textId="77777777" w:rsidR="00AD1C7A" w:rsidRPr="009A6D58" w:rsidRDefault="00AD1C7A" w:rsidP="005F522F">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381DC45" w14:textId="73434482" w:rsidR="00AD1C7A" w:rsidRPr="009A6D58" w:rsidRDefault="00AD1C7A" w:rsidP="005F522F">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004F7">
        <w:rPr>
          <w:rFonts w:ascii="Arial Narrow" w:hAnsi="Arial Narrow"/>
          <w:i/>
          <w:sz w:val="18"/>
          <w:szCs w:val="18"/>
        </w:rPr>
        <w:t>$95,000 to &lt; $115,000</w:t>
      </w:r>
    </w:p>
    <w:p w14:paraId="356900E5" w14:textId="780DCF73" w:rsidR="00AD1C7A" w:rsidRPr="005F522F" w:rsidRDefault="00AD1C7A" w:rsidP="005F522F">
      <w:pPr>
        <w:spacing w:after="120"/>
        <w:rPr>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F6F20">
        <w:rPr>
          <w:rFonts w:ascii="Arial Narrow" w:hAnsi="Arial Narrow"/>
          <w:i/>
          <w:sz w:val="18"/>
          <w:szCs w:val="18"/>
        </w:rPr>
        <w:t>$75,000 to &lt; $95,000</w:t>
      </w:r>
    </w:p>
    <w:p w14:paraId="4725FA15" w14:textId="3710514D" w:rsidR="00A1135A" w:rsidRPr="005464FA" w:rsidRDefault="00A1135A" w:rsidP="00A1135A">
      <w:pPr>
        <w:pStyle w:val="3-BodyText"/>
      </w:pPr>
      <w:r w:rsidRPr="005464FA">
        <w:t>The results of key univariate</w:t>
      </w:r>
      <w:r w:rsidR="000D5E52" w:rsidRPr="005464FA">
        <w:t xml:space="preserve"> </w:t>
      </w:r>
      <w:r w:rsidRPr="005464FA">
        <w:t xml:space="preserve">sensitivity analyses </w:t>
      </w:r>
      <w:r w:rsidR="00E72DD7" w:rsidRPr="005464FA">
        <w:t xml:space="preserve">of the ITT model </w:t>
      </w:r>
      <w:r w:rsidRPr="005464FA">
        <w:t xml:space="preserve">are summarised in </w:t>
      </w:r>
      <w:r w:rsidR="00E72DD7" w:rsidRPr="005464FA">
        <w:fldChar w:fldCharType="begin" w:fldLock="1"/>
      </w:r>
      <w:r w:rsidR="00E72DD7" w:rsidRPr="005464FA">
        <w:instrText xml:space="preserve"> REF _Ref164728203 \h </w:instrText>
      </w:r>
      <w:r w:rsidR="00E72DD7" w:rsidRPr="005464FA">
        <w:fldChar w:fldCharType="separate"/>
      </w:r>
      <w:r w:rsidR="00122E11" w:rsidRPr="005464FA">
        <w:t>Table 14</w:t>
      </w:r>
      <w:r w:rsidR="00E72DD7" w:rsidRPr="005464FA">
        <w:fldChar w:fldCharType="end"/>
      </w:r>
      <w:r w:rsidRPr="005464FA">
        <w:t>.</w:t>
      </w:r>
      <w:r w:rsidR="00B57D6E" w:rsidRPr="005464FA">
        <w:t xml:space="preserve"> </w:t>
      </w:r>
    </w:p>
    <w:p w14:paraId="66F2EFA2" w14:textId="3DD8B570" w:rsidR="00D16D4E" w:rsidRPr="005464FA" w:rsidRDefault="00D16D4E" w:rsidP="00465790">
      <w:pPr>
        <w:pStyle w:val="TableFigureHeading"/>
        <w:rPr>
          <w:rStyle w:val="CommentReference"/>
          <w:b/>
          <w:szCs w:val="24"/>
        </w:rPr>
      </w:pPr>
      <w:bookmarkStart w:id="82" w:name="_Ref164728203"/>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14</w:t>
      </w:r>
      <w:r w:rsidR="00935AC4" w:rsidRPr="005464FA">
        <w:fldChar w:fldCharType="end"/>
      </w:r>
      <w:bookmarkEnd w:id="82"/>
      <w:r w:rsidRPr="005464FA">
        <w:t>:</w:t>
      </w:r>
      <w:r w:rsidRPr="005464FA">
        <w:rPr>
          <w:rStyle w:val="CommentReference"/>
          <w:b/>
          <w:szCs w:val="24"/>
        </w:rPr>
        <w:t xml:space="preserve"> Results of </w:t>
      </w:r>
      <w:r w:rsidR="001E0104" w:rsidRPr="005464FA">
        <w:rPr>
          <w:rStyle w:val="CommentReference"/>
          <w:b/>
          <w:szCs w:val="24"/>
        </w:rPr>
        <w:t xml:space="preserve">key </w:t>
      </w:r>
      <w:r w:rsidRPr="005464FA">
        <w:rPr>
          <w:rStyle w:val="CommentReference"/>
          <w:b/>
          <w:szCs w:val="24"/>
        </w:rPr>
        <w:t>sensitivity analyses in the ITT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Results of key sensitivity analyses in the ITT model"/>
      </w:tblPr>
      <w:tblGrid>
        <w:gridCol w:w="4668"/>
        <w:gridCol w:w="1137"/>
        <w:gridCol w:w="1137"/>
        <w:gridCol w:w="1133"/>
        <w:gridCol w:w="942"/>
      </w:tblGrid>
      <w:tr w:rsidR="00D16D4E" w:rsidRPr="005464FA" w14:paraId="1F554309" w14:textId="77777777" w:rsidTr="003E5223">
        <w:trPr>
          <w:tblHeader/>
        </w:trPr>
        <w:tc>
          <w:tcPr>
            <w:tcW w:w="4668" w:type="dxa"/>
          </w:tcPr>
          <w:p w14:paraId="10DFF6C4" w14:textId="77777777" w:rsidR="00D16D4E" w:rsidRPr="005464FA" w:rsidRDefault="00D16D4E" w:rsidP="00465790">
            <w:pPr>
              <w:pStyle w:val="In-tableHeading"/>
              <w:rPr>
                <w:lang w:val="en-AU"/>
              </w:rPr>
            </w:pPr>
            <w:r w:rsidRPr="005464FA">
              <w:rPr>
                <w:lang w:val="en-AU"/>
              </w:rPr>
              <w:t>Analyses</w:t>
            </w:r>
          </w:p>
        </w:tc>
        <w:tc>
          <w:tcPr>
            <w:tcW w:w="1137" w:type="dxa"/>
            <w:vAlign w:val="center"/>
          </w:tcPr>
          <w:p w14:paraId="7B0A79AB" w14:textId="708F80A5" w:rsidR="00D16D4E" w:rsidRPr="005464FA" w:rsidRDefault="00D16D4E" w:rsidP="00465790">
            <w:pPr>
              <w:pStyle w:val="In-tableHeading"/>
              <w:jc w:val="center"/>
              <w:rPr>
                <w:lang w:val="en-AU"/>
              </w:rPr>
            </w:pPr>
            <w:r w:rsidRPr="005464FA">
              <w:rPr>
                <w:lang w:val="en-AU"/>
              </w:rPr>
              <w:t>Incremental cost</w:t>
            </w:r>
            <w:r w:rsidR="00AC653F">
              <w:rPr>
                <w:lang w:val="en-AU"/>
              </w:rPr>
              <w:t xml:space="preserve"> ($)</w:t>
            </w:r>
          </w:p>
        </w:tc>
        <w:tc>
          <w:tcPr>
            <w:tcW w:w="1137" w:type="dxa"/>
            <w:vAlign w:val="center"/>
          </w:tcPr>
          <w:p w14:paraId="5BEA855D" w14:textId="77777777" w:rsidR="00D16D4E" w:rsidRPr="005464FA" w:rsidRDefault="00D16D4E" w:rsidP="00465790">
            <w:pPr>
              <w:pStyle w:val="In-tableHeading"/>
              <w:jc w:val="center"/>
              <w:rPr>
                <w:lang w:val="en-AU"/>
              </w:rPr>
            </w:pPr>
            <w:r w:rsidRPr="005464FA">
              <w:rPr>
                <w:lang w:val="en-AU"/>
              </w:rPr>
              <w:t>Incremental QALY</w:t>
            </w:r>
          </w:p>
        </w:tc>
        <w:tc>
          <w:tcPr>
            <w:tcW w:w="1133" w:type="dxa"/>
            <w:vAlign w:val="center"/>
          </w:tcPr>
          <w:p w14:paraId="4F0B1E5F" w14:textId="77777777" w:rsidR="00D16D4E" w:rsidRPr="005464FA" w:rsidRDefault="00D16D4E" w:rsidP="00465790">
            <w:pPr>
              <w:pStyle w:val="In-tableHeading"/>
              <w:jc w:val="center"/>
              <w:rPr>
                <w:lang w:val="en-AU"/>
              </w:rPr>
            </w:pPr>
            <w:r w:rsidRPr="005464FA">
              <w:rPr>
                <w:lang w:val="en-AU"/>
              </w:rPr>
              <w:t>ICER</w:t>
            </w:r>
          </w:p>
        </w:tc>
        <w:tc>
          <w:tcPr>
            <w:tcW w:w="942" w:type="dxa"/>
            <w:vAlign w:val="center"/>
          </w:tcPr>
          <w:p w14:paraId="7898F754" w14:textId="77777777" w:rsidR="00D16D4E" w:rsidRPr="005464FA" w:rsidRDefault="00D16D4E" w:rsidP="00465790">
            <w:pPr>
              <w:pStyle w:val="In-tableHeading"/>
              <w:jc w:val="center"/>
              <w:rPr>
                <w:lang w:val="en-AU"/>
              </w:rPr>
            </w:pPr>
            <w:r w:rsidRPr="005464FA">
              <w:rPr>
                <w:lang w:val="en-AU"/>
              </w:rPr>
              <w:t>% Change</w:t>
            </w:r>
          </w:p>
        </w:tc>
      </w:tr>
      <w:tr w:rsidR="00D16D4E" w:rsidRPr="005464FA" w14:paraId="2EA8A7D9" w14:textId="77777777" w:rsidTr="003E5223">
        <w:tc>
          <w:tcPr>
            <w:tcW w:w="4668" w:type="dxa"/>
          </w:tcPr>
          <w:p w14:paraId="24F96AF1" w14:textId="77777777" w:rsidR="00D16D4E" w:rsidRPr="005464FA" w:rsidRDefault="00D16D4E" w:rsidP="00465790">
            <w:pPr>
              <w:pStyle w:val="TableText0"/>
              <w:keepNext w:val="0"/>
              <w:rPr>
                <w:b/>
              </w:rPr>
            </w:pPr>
            <w:r w:rsidRPr="005464FA">
              <w:rPr>
                <w:b/>
              </w:rPr>
              <w:t>Base case</w:t>
            </w:r>
          </w:p>
        </w:tc>
        <w:tc>
          <w:tcPr>
            <w:tcW w:w="1137" w:type="dxa"/>
            <w:vAlign w:val="center"/>
          </w:tcPr>
          <w:p w14:paraId="0F885BA6" w14:textId="66288A3D" w:rsidR="00D16D4E" w:rsidRPr="003E5223" w:rsidRDefault="005F522F" w:rsidP="00465790">
            <w:pPr>
              <w:pStyle w:val="TableText0"/>
              <w:keepNext w:val="0"/>
              <w:jc w:val="center"/>
              <w:rPr>
                <w:b/>
                <w:bCs w:val="0"/>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00652612" w:rsidRPr="003E5223">
              <w:rPr>
                <w:b/>
                <w:bCs w:val="0"/>
                <w:szCs w:val="20"/>
              </w:rPr>
              <w:t xml:space="preserve"> </w:t>
            </w:r>
          </w:p>
        </w:tc>
        <w:tc>
          <w:tcPr>
            <w:tcW w:w="1137" w:type="dxa"/>
            <w:vAlign w:val="center"/>
          </w:tcPr>
          <w:p w14:paraId="7D309657" w14:textId="77777777" w:rsidR="00D16D4E" w:rsidRPr="005464FA" w:rsidRDefault="00D16D4E" w:rsidP="00465790">
            <w:pPr>
              <w:pStyle w:val="TableText0"/>
              <w:keepNext w:val="0"/>
              <w:jc w:val="center"/>
              <w:rPr>
                <w:b/>
              </w:rPr>
            </w:pPr>
            <w:r w:rsidRPr="005464FA">
              <w:rPr>
                <w:b/>
              </w:rPr>
              <w:t>0.383</w:t>
            </w:r>
          </w:p>
        </w:tc>
        <w:tc>
          <w:tcPr>
            <w:tcW w:w="1133" w:type="dxa"/>
            <w:vAlign w:val="center"/>
          </w:tcPr>
          <w:p w14:paraId="4C0479CC" w14:textId="2E75DA18" w:rsidR="00D16D4E" w:rsidRPr="005F522F" w:rsidRDefault="005F522F" w:rsidP="00465790">
            <w:pPr>
              <w:pStyle w:val="TableText0"/>
              <w:keepNext w:val="0"/>
              <w:jc w:val="center"/>
              <w:rPr>
                <w:b/>
                <w:vertAlign w:val="superscript"/>
              </w:rPr>
            </w:pPr>
            <w:r w:rsidRPr="003E5223">
              <w:rPr>
                <w:b/>
                <w:color w:val="000000"/>
                <w:spacing w:val="78"/>
                <w:shd w:val="solid" w:color="000000" w:fill="000000"/>
                <w:fitText w:val="170" w:id="-893197043"/>
                <w14:textFill>
                  <w14:solidFill>
                    <w14:srgbClr w14:val="000000">
                      <w14:alpha w14:val="100000"/>
                    </w14:srgbClr>
                  </w14:solidFill>
                </w14:textFill>
              </w:rPr>
              <w:t>|</w:t>
            </w:r>
            <w:r w:rsidRPr="003E5223">
              <w:rPr>
                <w:b/>
                <w:color w:val="000000"/>
                <w:shd w:val="solid" w:color="000000" w:fill="000000"/>
                <w:fitText w:val="170" w:id="-893197043"/>
                <w14:textFill>
                  <w14:solidFill>
                    <w14:srgbClr w14:val="000000">
                      <w14:alpha w14:val="100000"/>
                    </w14:srgbClr>
                  </w14:solidFill>
                </w14:textFill>
              </w:rPr>
              <w:t>|</w:t>
            </w:r>
            <w:r w:rsidR="0015679A">
              <w:rPr>
                <w:b/>
                <w:vertAlign w:val="superscript"/>
              </w:rPr>
              <w:t>1</w:t>
            </w:r>
          </w:p>
        </w:tc>
        <w:tc>
          <w:tcPr>
            <w:tcW w:w="942" w:type="dxa"/>
            <w:vAlign w:val="center"/>
          </w:tcPr>
          <w:p w14:paraId="62C15A0E" w14:textId="77777777" w:rsidR="00D16D4E" w:rsidRPr="005464FA" w:rsidRDefault="00D16D4E" w:rsidP="00465790">
            <w:pPr>
              <w:pStyle w:val="TableText0"/>
              <w:keepNext w:val="0"/>
              <w:jc w:val="center"/>
              <w:rPr>
                <w:b/>
              </w:rPr>
            </w:pPr>
          </w:p>
        </w:tc>
      </w:tr>
      <w:tr w:rsidR="00D16D4E" w:rsidRPr="005464FA" w14:paraId="79DC634D" w14:textId="77777777" w:rsidTr="003E5223">
        <w:tc>
          <w:tcPr>
            <w:tcW w:w="4668" w:type="dxa"/>
          </w:tcPr>
          <w:p w14:paraId="173C04BB" w14:textId="77777777" w:rsidR="00D16D4E" w:rsidRPr="005464FA" w:rsidRDefault="00D16D4E" w:rsidP="00465790">
            <w:pPr>
              <w:pStyle w:val="TableText0"/>
              <w:keepNext w:val="0"/>
            </w:pPr>
            <w:r w:rsidRPr="005464FA">
              <w:t>Discounting rate (5% in BC)</w:t>
            </w:r>
          </w:p>
        </w:tc>
        <w:tc>
          <w:tcPr>
            <w:tcW w:w="1137" w:type="dxa"/>
            <w:tcBorders>
              <w:bottom w:val="single" w:sz="4" w:space="0" w:color="auto"/>
            </w:tcBorders>
            <w:vAlign w:val="center"/>
          </w:tcPr>
          <w:p w14:paraId="748E25B0" w14:textId="77777777" w:rsidR="00D16D4E" w:rsidRPr="003E5223" w:rsidRDefault="00D16D4E" w:rsidP="00465790">
            <w:pPr>
              <w:pStyle w:val="TableText0"/>
              <w:keepNext w:val="0"/>
              <w:jc w:val="center"/>
              <w:rPr>
                <w:szCs w:val="20"/>
              </w:rPr>
            </w:pPr>
          </w:p>
        </w:tc>
        <w:tc>
          <w:tcPr>
            <w:tcW w:w="1137" w:type="dxa"/>
            <w:vAlign w:val="center"/>
          </w:tcPr>
          <w:p w14:paraId="0C48D424" w14:textId="77777777" w:rsidR="00D16D4E" w:rsidRPr="005464FA" w:rsidRDefault="00D16D4E" w:rsidP="00465790">
            <w:pPr>
              <w:pStyle w:val="TableText0"/>
              <w:keepNext w:val="0"/>
              <w:jc w:val="center"/>
            </w:pPr>
          </w:p>
        </w:tc>
        <w:tc>
          <w:tcPr>
            <w:tcW w:w="1133" w:type="dxa"/>
            <w:vAlign w:val="center"/>
          </w:tcPr>
          <w:p w14:paraId="60FF1EA6" w14:textId="77777777" w:rsidR="00D16D4E" w:rsidRPr="005464FA" w:rsidRDefault="00D16D4E" w:rsidP="00465790">
            <w:pPr>
              <w:pStyle w:val="TableText0"/>
              <w:keepNext w:val="0"/>
              <w:jc w:val="center"/>
            </w:pPr>
          </w:p>
        </w:tc>
        <w:tc>
          <w:tcPr>
            <w:tcW w:w="942" w:type="dxa"/>
            <w:vAlign w:val="center"/>
          </w:tcPr>
          <w:p w14:paraId="3647C1A3" w14:textId="77777777" w:rsidR="00D16D4E" w:rsidRPr="005464FA" w:rsidRDefault="00D16D4E" w:rsidP="00465790">
            <w:pPr>
              <w:pStyle w:val="TableText0"/>
              <w:keepNext w:val="0"/>
              <w:jc w:val="center"/>
            </w:pPr>
          </w:p>
        </w:tc>
      </w:tr>
      <w:tr w:rsidR="00D16D4E" w:rsidRPr="005464FA" w14:paraId="263AAA38" w14:textId="77777777" w:rsidTr="003E5223">
        <w:tc>
          <w:tcPr>
            <w:tcW w:w="4668" w:type="dxa"/>
            <w:tcMar>
              <w:left w:w="255" w:type="dxa"/>
            </w:tcMar>
          </w:tcPr>
          <w:p w14:paraId="2848BE51" w14:textId="77777777" w:rsidR="00D16D4E" w:rsidRPr="005464FA" w:rsidRDefault="00D16D4E" w:rsidP="00465790">
            <w:pPr>
              <w:pStyle w:val="TableText0"/>
              <w:keepNext w:val="0"/>
            </w:pPr>
            <w:r w:rsidRPr="005464FA">
              <w:t>0%</w:t>
            </w:r>
          </w:p>
        </w:tc>
        <w:tc>
          <w:tcPr>
            <w:tcW w:w="1137" w:type="dxa"/>
            <w:shd w:val="clear" w:color="auto" w:fill="auto"/>
            <w:vAlign w:val="center"/>
          </w:tcPr>
          <w:p w14:paraId="09B9FCF9" w14:textId="58A44BA9" w:rsidR="00D16D4E" w:rsidRPr="003E5223" w:rsidRDefault="003E5223" w:rsidP="00465790">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3F2AA43D" w14:textId="77777777" w:rsidR="00D16D4E" w:rsidRPr="005464FA" w:rsidRDefault="00D16D4E" w:rsidP="00465790">
            <w:pPr>
              <w:pStyle w:val="TableText0"/>
              <w:keepNext w:val="0"/>
              <w:jc w:val="center"/>
            </w:pPr>
            <w:r w:rsidRPr="005464FA">
              <w:t>0.439</w:t>
            </w:r>
          </w:p>
        </w:tc>
        <w:tc>
          <w:tcPr>
            <w:tcW w:w="1133" w:type="dxa"/>
            <w:vAlign w:val="center"/>
          </w:tcPr>
          <w:p w14:paraId="61EB9272" w14:textId="5383E463" w:rsidR="00D16D4E" w:rsidRPr="005464FA" w:rsidRDefault="005F522F" w:rsidP="00465790">
            <w:pPr>
              <w:pStyle w:val="TableText0"/>
              <w:keepNext w:val="0"/>
              <w:jc w:val="center"/>
            </w:pPr>
            <w:r w:rsidRPr="003E5223">
              <w:rPr>
                <w:rFonts w:hint="eastAsia"/>
                <w:color w:val="000000"/>
                <w:w w:val="27"/>
                <w:shd w:val="solid" w:color="000000" w:fill="000000"/>
                <w:fitText w:val="120" w:id="-893197041"/>
                <w14:textFill>
                  <w14:solidFill>
                    <w14:srgbClr w14:val="000000">
                      <w14:alpha w14:val="100000"/>
                    </w14:srgbClr>
                  </w14:solidFill>
                </w14:textFill>
              </w:rPr>
              <w:t xml:space="preserve">　</w:t>
            </w:r>
            <w:r w:rsidRPr="003E5223">
              <w:rPr>
                <w:color w:val="000000"/>
                <w:w w:val="27"/>
                <w:shd w:val="solid" w:color="000000" w:fill="000000"/>
                <w:fitText w:val="120" w:id="-893197041"/>
                <w14:textFill>
                  <w14:solidFill>
                    <w14:srgbClr w14:val="000000">
                      <w14:alpha w14:val="100000"/>
                    </w14:srgbClr>
                  </w14:solidFill>
                </w14:textFill>
              </w:rPr>
              <w:t>|</w:t>
            </w:r>
            <w:r w:rsidRPr="003E5223">
              <w:rPr>
                <w:rFonts w:hint="eastAsia"/>
                <w:color w:val="000000"/>
                <w:w w:val="27"/>
                <w:shd w:val="solid" w:color="000000" w:fill="000000"/>
                <w:fitText w:val="120" w:id="-893197041"/>
                <w14:textFill>
                  <w14:solidFill>
                    <w14:srgbClr w14:val="000000">
                      <w14:alpha w14:val="100000"/>
                    </w14:srgbClr>
                  </w14:solidFill>
                </w14:textFill>
              </w:rPr>
              <w:t xml:space="preserve">　</w:t>
            </w:r>
            <w:r w:rsidR="00FB72EF">
              <w:rPr>
                <w:b/>
                <w:vertAlign w:val="superscript"/>
              </w:rPr>
              <w:t>2</w:t>
            </w:r>
          </w:p>
        </w:tc>
        <w:tc>
          <w:tcPr>
            <w:tcW w:w="942" w:type="dxa"/>
            <w:vAlign w:val="center"/>
          </w:tcPr>
          <w:p w14:paraId="255E1AE6" w14:textId="1E881985" w:rsidR="00D16D4E" w:rsidRPr="005464FA" w:rsidRDefault="00D16D4E" w:rsidP="00465790">
            <w:pPr>
              <w:pStyle w:val="TableText0"/>
              <w:keepNext w:val="0"/>
              <w:jc w:val="center"/>
            </w:pPr>
            <w:r w:rsidRPr="005464FA">
              <w:rPr>
                <w:color w:val="000000"/>
                <w:szCs w:val="20"/>
              </w:rPr>
              <w:t>-</w:t>
            </w:r>
            <w:r w:rsidR="005F522F" w:rsidRPr="003E5223">
              <w:rPr>
                <w:color w:val="000000"/>
                <w:spacing w:val="204"/>
                <w:szCs w:val="20"/>
                <w:shd w:val="solid" w:color="000000" w:fill="000000"/>
                <w:fitText w:val="290" w:id="-893197040"/>
                <w14:textFill>
                  <w14:solidFill>
                    <w14:srgbClr w14:val="000000">
                      <w14:alpha w14:val="100000"/>
                    </w14:srgbClr>
                  </w14:solidFill>
                </w14:textFill>
              </w:rPr>
              <w:t>|</w:t>
            </w:r>
            <w:r w:rsidR="005F522F" w:rsidRPr="003E5223">
              <w:rPr>
                <w:color w:val="000000"/>
                <w:szCs w:val="20"/>
                <w:shd w:val="solid" w:color="000000" w:fill="000000"/>
                <w:fitText w:val="290" w:id="-893197040"/>
                <w14:textFill>
                  <w14:solidFill>
                    <w14:srgbClr w14:val="000000">
                      <w14:alpha w14:val="100000"/>
                    </w14:srgbClr>
                  </w14:solidFill>
                </w14:textFill>
              </w:rPr>
              <w:t>|</w:t>
            </w:r>
            <w:r w:rsidRPr="005464FA">
              <w:rPr>
                <w:color w:val="000000"/>
                <w:szCs w:val="20"/>
              </w:rPr>
              <w:t>%</w:t>
            </w:r>
          </w:p>
        </w:tc>
      </w:tr>
      <w:tr w:rsidR="00D16D4E" w:rsidRPr="005464FA" w14:paraId="1A91D916" w14:textId="77777777" w:rsidTr="003E5223">
        <w:tc>
          <w:tcPr>
            <w:tcW w:w="4668" w:type="dxa"/>
          </w:tcPr>
          <w:p w14:paraId="33A0F6D1" w14:textId="77777777" w:rsidR="00D16D4E" w:rsidRPr="005464FA" w:rsidRDefault="00D16D4E" w:rsidP="00465790">
            <w:pPr>
              <w:pStyle w:val="TableText0"/>
              <w:keepNext w:val="0"/>
            </w:pPr>
            <w:r w:rsidRPr="005464FA">
              <w:t>Time horizon (10 years in BC)</w:t>
            </w:r>
          </w:p>
        </w:tc>
        <w:tc>
          <w:tcPr>
            <w:tcW w:w="1137" w:type="dxa"/>
            <w:tcBorders>
              <w:bottom w:val="single" w:sz="4" w:space="0" w:color="auto"/>
            </w:tcBorders>
            <w:shd w:val="clear" w:color="auto" w:fill="auto"/>
            <w:vAlign w:val="center"/>
          </w:tcPr>
          <w:p w14:paraId="41298CE9" w14:textId="77777777" w:rsidR="00D16D4E" w:rsidRPr="003E5223" w:rsidRDefault="00D16D4E" w:rsidP="00465790">
            <w:pPr>
              <w:pStyle w:val="TableText0"/>
              <w:keepNext w:val="0"/>
              <w:jc w:val="center"/>
              <w:rPr>
                <w:szCs w:val="20"/>
              </w:rPr>
            </w:pPr>
          </w:p>
        </w:tc>
        <w:tc>
          <w:tcPr>
            <w:tcW w:w="1137" w:type="dxa"/>
            <w:vAlign w:val="center"/>
          </w:tcPr>
          <w:p w14:paraId="720FB071" w14:textId="77777777" w:rsidR="00D16D4E" w:rsidRPr="005464FA" w:rsidRDefault="00D16D4E" w:rsidP="00465790">
            <w:pPr>
              <w:pStyle w:val="TableText0"/>
              <w:keepNext w:val="0"/>
              <w:jc w:val="center"/>
            </w:pPr>
          </w:p>
        </w:tc>
        <w:tc>
          <w:tcPr>
            <w:tcW w:w="1133" w:type="dxa"/>
            <w:vAlign w:val="center"/>
          </w:tcPr>
          <w:p w14:paraId="5EF0CB2C" w14:textId="77777777" w:rsidR="00D16D4E" w:rsidRPr="005464FA" w:rsidRDefault="00D16D4E" w:rsidP="00465790">
            <w:pPr>
              <w:pStyle w:val="TableText0"/>
              <w:keepNext w:val="0"/>
              <w:jc w:val="center"/>
              <w:rPr>
                <w:szCs w:val="20"/>
              </w:rPr>
            </w:pPr>
          </w:p>
        </w:tc>
        <w:tc>
          <w:tcPr>
            <w:tcW w:w="942" w:type="dxa"/>
            <w:vAlign w:val="center"/>
          </w:tcPr>
          <w:p w14:paraId="56AF3505" w14:textId="77777777" w:rsidR="00D16D4E" w:rsidRPr="005464FA" w:rsidRDefault="00D16D4E" w:rsidP="00465790">
            <w:pPr>
              <w:pStyle w:val="TableText0"/>
              <w:keepNext w:val="0"/>
              <w:jc w:val="center"/>
              <w:rPr>
                <w:szCs w:val="20"/>
              </w:rPr>
            </w:pPr>
          </w:p>
        </w:tc>
      </w:tr>
      <w:tr w:rsidR="00D16D4E" w:rsidRPr="005464FA" w14:paraId="264E1F69" w14:textId="77777777" w:rsidTr="003E5223">
        <w:tc>
          <w:tcPr>
            <w:tcW w:w="4668" w:type="dxa"/>
            <w:tcMar>
              <w:left w:w="255" w:type="dxa"/>
            </w:tcMar>
          </w:tcPr>
          <w:p w14:paraId="6841D36B" w14:textId="77777777" w:rsidR="00D16D4E" w:rsidRPr="005464FA" w:rsidRDefault="00D16D4E" w:rsidP="00465790">
            <w:pPr>
              <w:pStyle w:val="TableText0"/>
              <w:keepNext w:val="0"/>
            </w:pPr>
            <w:r w:rsidRPr="005464FA">
              <w:t>15 years</w:t>
            </w:r>
          </w:p>
        </w:tc>
        <w:tc>
          <w:tcPr>
            <w:tcW w:w="1137" w:type="dxa"/>
            <w:tcBorders>
              <w:bottom w:val="single" w:sz="4" w:space="0" w:color="auto"/>
            </w:tcBorders>
            <w:shd w:val="clear" w:color="auto" w:fill="auto"/>
            <w:vAlign w:val="center"/>
          </w:tcPr>
          <w:p w14:paraId="40589314" w14:textId="7E2AD281" w:rsidR="00D16D4E" w:rsidRPr="003E5223" w:rsidRDefault="003E5223" w:rsidP="00465790">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210F2CA0" w14:textId="77777777" w:rsidR="00D16D4E" w:rsidRPr="005464FA" w:rsidRDefault="00D16D4E" w:rsidP="00465790">
            <w:pPr>
              <w:pStyle w:val="TableText0"/>
              <w:keepNext w:val="0"/>
              <w:jc w:val="center"/>
            </w:pPr>
            <w:r w:rsidRPr="005464FA">
              <w:t>0.430</w:t>
            </w:r>
          </w:p>
        </w:tc>
        <w:tc>
          <w:tcPr>
            <w:tcW w:w="1133" w:type="dxa"/>
            <w:vAlign w:val="center"/>
          </w:tcPr>
          <w:p w14:paraId="5E2FBF1B" w14:textId="1D14E2B7" w:rsidR="00D16D4E" w:rsidRPr="005464FA" w:rsidRDefault="005F522F" w:rsidP="00465790">
            <w:pPr>
              <w:pStyle w:val="TableText0"/>
              <w:keepNext w:val="0"/>
              <w:jc w:val="center"/>
            </w:pPr>
            <w:r w:rsidRPr="003E5223">
              <w:rPr>
                <w:rFonts w:hint="eastAsia"/>
                <w:color w:val="000000"/>
                <w:w w:val="27"/>
                <w:shd w:val="solid" w:color="000000" w:fill="000000"/>
                <w:fitText w:val="120" w:id="-893197055"/>
                <w14:textFill>
                  <w14:solidFill>
                    <w14:srgbClr w14:val="000000">
                      <w14:alpha w14:val="100000"/>
                    </w14:srgbClr>
                  </w14:solidFill>
                </w14:textFill>
              </w:rPr>
              <w:t xml:space="preserve">　</w:t>
            </w:r>
            <w:r w:rsidRPr="003E5223">
              <w:rPr>
                <w:color w:val="000000"/>
                <w:w w:val="27"/>
                <w:shd w:val="solid" w:color="000000" w:fill="000000"/>
                <w:fitText w:val="120" w:id="-893197055"/>
                <w14:textFill>
                  <w14:solidFill>
                    <w14:srgbClr w14:val="000000">
                      <w14:alpha w14:val="100000"/>
                    </w14:srgbClr>
                  </w14:solidFill>
                </w14:textFill>
              </w:rPr>
              <w:t>|</w:t>
            </w:r>
            <w:r w:rsidRPr="003E5223">
              <w:rPr>
                <w:rFonts w:hint="eastAsia"/>
                <w:color w:val="000000"/>
                <w:w w:val="27"/>
                <w:shd w:val="solid" w:color="000000" w:fill="000000"/>
                <w:fitText w:val="120" w:id="-893197055"/>
                <w14:textFill>
                  <w14:solidFill>
                    <w14:srgbClr w14:val="000000">
                      <w14:alpha w14:val="100000"/>
                    </w14:srgbClr>
                  </w14:solidFill>
                </w14:textFill>
              </w:rPr>
              <w:t xml:space="preserve">　</w:t>
            </w:r>
            <w:r w:rsidR="0052699C">
              <w:rPr>
                <w:b/>
                <w:vertAlign w:val="superscript"/>
              </w:rPr>
              <w:t>2</w:t>
            </w:r>
          </w:p>
        </w:tc>
        <w:tc>
          <w:tcPr>
            <w:tcW w:w="942" w:type="dxa"/>
            <w:vAlign w:val="center"/>
          </w:tcPr>
          <w:p w14:paraId="68C34580" w14:textId="72FBC7F2" w:rsidR="00D16D4E" w:rsidRPr="005464FA" w:rsidRDefault="00D16D4E" w:rsidP="00465790">
            <w:pPr>
              <w:pStyle w:val="TableText0"/>
              <w:keepNext w:val="0"/>
              <w:jc w:val="center"/>
            </w:pPr>
            <w:r w:rsidRPr="005464FA">
              <w:rPr>
                <w:color w:val="000000"/>
                <w:szCs w:val="20"/>
              </w:rPr>
              <w:t>-</w:t>
            </w:r>
            <w:r w:rsidR="005F522F" w:rsidRPr="003E5223">
              <w:rPr>
                <w:color w:val="000000"/>
                <w:spacing w:val="204"/>
                <w:szCs w:val="20"/>
                <w:shd w:val="solid" w:color="000000" w:fill="000000"/>
                <w:fitText w:val="290" w:id="-893197054"/>
                <w14:textFill>
                  <w14:solidFill>
                    <w14:srgbClr w14:val="000000">
                      <w14:alpha w14:val="100000"/>
                    </w14:srgbClr>
                  </w14:solidFill>
                </w14:textFill>
              </w:rPr>
              <w:t>|</w:t>
            </w:r>
            <w:r w:rsidR="005F522F" w:rsidRPr="003E5223">
              <w:rPr>
                <w:color w:val="000000"/>
                <w:szCs w:val="20"/>
                <w:shd w:val="solid" w:color="000000" w:fill="000000"/>
                <w:fitText w:val="290" w:id="-893197054"/>
                <w14:textFill>
                  <w14:solidFill>
                    <w14:srgbClr w14:val="000000">
                      <w14:alpha w14:val="100000"/>
                    </w14:srgbClr>
                  </w14:solidFill>
                </w14:textFill>
              </w:rPr>
              <w:t>|</w:t>
            </w:r>
            <w:r w:rsidRPr="005464FA">
              <w:rPr>
                <w:color w:val="000000"/>
                <w:szCs w:val="20"/>
              </w:rPr>
              <w:t>%</w:t>
            </w:r>
          </w:p>
        </w:tc>
      </w:tr>
      <w:tr w:rsidR="003E5223" w:rsidRPr="005464FA" w14:paraId="4DCDFE41" w14:textId="77777777" w:rsidTr="003E5223">
        <w:tc>
          <w:tcPr>
            <w:tcW w:w="4668" w:type="dxa"/>
            <w:tcMar>
              <w:left w:w="255" w:type="dxa"/>
            </w:tcMar>
          </w:tcPr>
          <w:p w14:paraId="1E17C5CE" w14:textId="77777777" w:rsidR="003E5223" w:rsidRPr="005464FA" w:rsidRDefault="003E5223" w:rsidP="003E5223">
            <w:pPr>
              <w:pStyle w:val="TableText0"/>
              <w:keepNext w:val="0"/>
            </w:pPr>
            <w:r w:rsidRPr="005464FA">
              <w:lastRenderedPageBreak/>
              <w:t>7 years</w:t>
            </w:r>
          </w:p>
        </w:tc>
        <w:tc>
          <w:tcPr>
            <w:tcW w:w="1137" w:type="dxa"/>
            <w:tcBorders>
              <w:bottom w:val="single" w:sz="4" w:space="0" w:color="auto"/>
            </w:tcBorders>
            <w:shd w:val="clear" w:color="auto" w:fill="auto"/>
          </w:tcPr>
          <w:p w14:paraId="110C2E54" w14:textId="6F0A3F9B"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1B5A12BA" w14:textId="77777777" w:rsidR="003E5223" w:rsidRPr="005464FA" w:rsidRDefault="003E5223" w:rsidP="003E5223">
            <w:pPr>
              <w:pStyle w:val="TableText0"/>
              <w:keepNext w:val="0"/>
              <w:jc w:val="center"/>
            </w:pPr>
            <w:r w:rsidRPr="005464FA">
              <w:t>0.335</w:t>
            </w:r>
          </w:p>
        </w:tc>
        <w:tc>
          <w:tcPr>
            <w:tcW w:w="1133" w:type="dxa"/>
            <w:vAlign w:val="center"/>
          </w:tcPr>
          <w:p w14:paraId="698D249D" w14:textId="45244752" w:rsidR="003E5223" w:rsidRPr="005464FA" w:rsidRDefault="003E5223" w:rsidP="003E5223">
            <w:pPr>
              <w:pStyle w:val="TableText0"/>
              <w:keepNext w:val="0"/>
              <w:jc w:val="center"/>
              <w:rPr>
                <w:szCs w:val="20"/>
              </w:rPr>
            </w:pPr>
            <w:r w:rsidRPr="009164BC">
              <w:rPr>
                <w:rFonts w:hint="eastAsia"/>
                <w:color w:val="000000"/>
                <w:w w:val="27"/>
                <w:szCs w:val="20"/>
                <w:shd w:val="solid" w:color="000000" w:fill="000000"/>
                <w:fitText w:val="120" w:id="-893197052"/>
                <w14:textFill>
                  <w14:solidFill>
                    <w14:srgbClr w14:val="000000">
                      <w14:alpha w14:val="100000"/>
                    </w14:srgbClr>
                  </w14:solidFill>
                </w14:textFill>
              </w:rPr>
              <w:t xml:space="preserve">　</w:t>
            </w:r>
            <w:r w:rsidRPr="009164BC">
              <w:rPr>
                <w:color w:val="000000"/>
                <w:w w:val="27"/>
                <w:szCs w:val="20"/>
                <w:shd w:val="solid" w:color="000000" w:fill="000000"/>
                <w:fitText w:val="120" w:id="-893197052"/>
                <w14:textFill>
                  <w14:solidFill>
                    <w14:srgbClr w14:val="000000">
                      <w14:alpha w14:val="100000"/>
                    </w14:srgbClr>
                  </w14:solidFill>
                </w14:textFill>
              </w:rPr>
              <w:t>|</w:t>
            </w:r>
            <w:r w:rsidRPr="009164BC">
              <w:rPr>
                <w:rFonts w:hint="eastAsia"/>
                <w:color w:val="000000"/>
                <w:w w:val="27"/>
                <w:szCs w:val="20"/>
                <w:shd w:val="solid" w:color="000000" w:fill="000000"/>
                <w:fitText w:val="120" w:id="-893197052"/>
                <w14:textFill>
                  <w14:solidFill>
                    <w14:srgbClr w14:val="000000">
                      <w14:alpha w14:val="100000"/>
                    </w14:srgbClr>
                  </w14:solidFill>
                </w14:textFill>
              </w:rPr>
              <w:t xml:space="preserve">　</w:t>
            </w:r>
            <w:r>
              <w:rPr>
                <w:b/>
                <w:vertAlign w:val="superscript"/>
              </w:rPr>
              <w:t>1</w:t>
            </w:r>
          </w:p>
        </w:tc>
        <w:tc>
          <w:tcPr>
            <w:tcW w:w="942" w:type="dxa"/>
            <w:vAlign w:val="center"/>
          </w:tcPr>
          <w:p w14:paraId="66C279F8" w14:textId="16B0E7DC" w:rsidR="003E5223" w:rsidRPr="005464FA" w:rsidRDefault="003E5223" w:rsidP="003E5223">
            <w:pPr>
              <w:pStyle w:val="TableText0"/>
              <w:keepNext w:val="0"/>
              <w:jc w:val="center"/>
              <w:rPr>
                <w:szCs w:val="20"/>
              </w:rPr>
            </w:pPr>
            <w:r w:rsidRPr="003E5223">
              <w:rPr>
                <w:color w:val="000000"/>
                <w:spacing w:val="165"/>
                <w:szCs w:val="20"/>
                <w:shd w:val="solid" w:color="000000" w:fill="000000"/>
                <w:fitText w:val="260" w:id="-893197051"/>
                <w14:textFill>
                  <w14:solidFill>
                    <w14:srgbClr w14:val="000000">
                      <w14:alpha w14:val="100000"/>
                    </w14:srgbClr>
                  </w14:solidFill>
                </w14:textFill>
              </w:rPr>
              <w:t>|</w:t>
            </w:r>
            <w:r w:rsidRPr="003E5223">
              <w:rPr>
                <w:color w:val="000000"/>
                <w:szCs w:val="20"/>
                <w:shd w:val="solid" w:color="000000" w:fill="000000"/>
                <w:fitText w:val="260" w:id="-893197051"/>
                <w14:textFill>
                  <w14:solidFill>
                    <w14:srgbClr w14:val="000000">
                      <w14:alpha w14:val="100000"/>
                    </w14:srgbClr>
                  </w14:solidFill>
                </w14:textFill>
              </w:rPr>
              <w:t>|</w:t>
            </w:r>
            <w:r w:rsidRPr="005464FA">
              <w:rPr>
                <w:color w:val="000000"/>
                <w:szCs w:val="20"/>
              </w:rPr>
              <w:t>%</w:t>
            </w:r>
          </w:p>
        </w:tc>
      </w:tr>
      <w:tr w:rsidR="003E5223" w:rsidRPr="005464FA" w14:paraId="78653C70" w14:textId="77777777" w:rsidTr="003E5223">
        <w:tc>
          <w:tcPr>
            <w:tcW w:w="4668" w:type="dxa"/>
            <w:tcMar>
              <w:left w:w="255" w:type="dxa"/>
            </w:tcMar>
          </w:tcPr>
          <w:p w14:paraId="729FD150" w14:textId="77777777" w:rsidR="003E5223" w:rsidRPr="005464FA" w:rsidRDefault="003E5223" w:rsidP="003E5223">
            <w:pPr>
              <w:pStyle w:val="TableText0"/>
              <w:keepNext w:val="0"/>
            </w:pPr>
            <w:r w:rsidRPr="005464FA">
              <w:t>5 years</w:t>
            </w:r>
          </w:p>
        </w:tc>
        <w:tc>
          <w:tcPr>
            <w:tcW w:w="1137" w:type="dxa"/>
            <w:shd w:val="clear" w:color="auto" w:fill="auto"/>
          </w:tcPr>
          <w:p w14:paraId="782DD1C3" w14:textId="15F2F91B"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10D50EAB" w14:textId="77777777" w:rsidR="003E5223" w:rsidRPr="005464FA" w:rsidRDefault="003E5223" w:rsidP="003E5223">
            <w:pPr>
              <w:pStyle w:val="TableText0"/>
              <w:keepNext w:val="0"/>
              <w:jc w:val="center"/>
            </w:pPr>
            <w:r w:rsidRPr="005464FA">
              <w:t>0.293</w:t>
            </w:r>
          </w:p>
        </w:tc>
        <w:tc>
          <w:tcPr>
            <w:tcW w:w="1133" w:type="dxa"/>
            <w:vAlign w:val="center"/>
          </w:tcPr>
          <w:p w14:paraId="58A06E17" w14:textId="2F8A9662" w:rsidR="003E5223" w:rsidRPr="005464FA" w:rsidRDefault="003E5223" w:rsidP="003E5223">
            <w:pPr>
              <w:pStyle w:val="TableText0"/>
              <w:keepNext w:val="0"/>
              <w:jc w:val="center"/>
              <w:rPr>
                <w:szCs w:val="20"/>
              </w:rPr>
            </w:pPr>
            <w:r w:rsidRPr="003E5223">
              <w:rPr>
                <w:rFonts w:hint="eastAsia"/>
                <w:color w:val="000000"/>
                <w:w w:val="27"/>
                <w:szCs w:val="20"/>
                <w:shd w:val="solid" w:color="000000" w:fill="000000"/>
                <w:fitText w:val="120" w:id="-893197049"/>
                <w14:textFill>
                  <w14:solidFill>
                    <w14:srgbClr w14:val="000000">
                      <w14:alpha w14:val="100000"/>
                    </w14:srgbClr>
                  </w14:solidFill>
                </w14:textFill>
              </w:rPr>
              <w:t xml:space="preserve">　</w:t>
            </w:r>
            <w:r w:rsidRPr="003E5223">
              <w:rPr>
                <w:color w:val="000000"/>
                <w:w w:val="27"/>
                <w:szCs w:val="20"/>
                <w:shd w:val="solid" w:color="000000" w:fill="000000"/>
                <w:fitText w:val="120" w:id="-893197049"/>
                <w14:textFill>
                  <w14:solidFill>
                    <w14:srgbClr w14:val="000000">
                      <w14:alpha w14:val="100000"/>
                    </w14:srgbClr>
                  </w14:solidFill>
                </w14:textFill>
              </w:rPr>
              <w:t>|</w:t>
            </w:r>
            <w:r w:rsidRPr="003E5223">
              <w:rPr>
                <w:rFonts w:hint="eastAsia"/>
                <w:color w:val="000000"/>
                <w:w w:val="27"/>
                <w:szCs w:val="20"/>
                <w:shd w:val="solid" w:color="000000" w:fill="000000"/>
                <w:fitText w:val="120" w:id="-893197049"/>
                <w14:textFill>
                  <w14:solidFill>
                    <w14:srgbClr w14:val="000000">
                      <w14:alpha w14:val="100000"/>
                    </w14:srgbClr>
                  </w14:solidFill>
                </w14:textFill>
              </w:rPr>
              <w:t xml:space="preserve">　</w:t>
            </w:r>
            <w:r>
              <w:rPr>
                <w:b/>
                <w:vertAlign w:val="superscript"/>
              </w:rPr>
              <w:t>3</w:t>
            </w:r>
          </w:p>
        </w:tc>
        <w:tc>
          <w:tcPr>
            <w:tcW w:w="942" w:type="dxa"/>
            <w:vAlign w:val="center"/>
          </w:tcPr>
          <w:p w14:paraId="1DAC5C7F" w14:textId="1665387D" w:rsidR="003E5223" w:rsidRPr="005464FA" w:rsidRDefault="003E5223" w:rsidP="003E5223">
            <w:pPr>
              <w:pStyle w:val="TableText0"/>
              <w:keepNext w:val="0"/>
              <w:jc w:val="center"/>
              <w:rPr>
                <w:szCs w:val="20"/>
              </w:rPr>
            </w:pPr>
            <w:r w:rsidRPr="003E5223">
              <w:rPr>
                <w:color w:val="000000"/>
                <w:spacing w:val="174"/>
                <w:szCs w:val="20"/>
                <w:shd w:val="solid" w:color="000000" w:fill="000000"/>
                <w:fitText w:val="260" w:id="-893197048"/>
                <w14:textFill>
                  <w14:solidFill>
                    <w14:srgbClr w14:val="000000">
                      <w14:alpha w14:val="100000"/>
                    </w14:srgbClr>
                  </w14:solidFill>
                </w14:textFill>
              </w:rPr>
              <w:t>|</w:t>
            </w:r>
            <w:r w:rsidRPr="003E5223">
              <w:rPr>
                <w:color w:val="000000"/>
                <w:szCs w:val="20"/>
                <w:shd w:val="solid" w:color="000000" w:fill="000000"/>
                <w:fitText w:val="260" w:id="-893197048"/>
                <w14:textFill>
                  <w14:solidFill>
                    <w14:srgbClr w14:val="000000">
                      <w14:alpha w14:val="100000"/>
                    </w14:srgbClr>
                  </w14:solidFill>
                </w14:textFill>
              </w:rPr>
              <w:t>|</w:t>
            </w:r>
            <w:r w:rsidRPr="005464FA">
              <w:rPr>
                <w:color w:val="000000"/>
                <w:szCs w:val="20"/>
              </w:rPr>
              <w:t>%</w:t>
            </w:r>
          </w:p>
        </w:tc>
      </w:tr>
      <w:tr w:rsidR="00D16D4E" w:rsidRPr="005464FA" w14:paraId="67C21D49" w14:textId="77777777" w:rsidTr="003E5223">
        <w:tc>
          <w:tcPr>
            <w:tcW w:w="4668" w:type="dxa"/>
          </w:tcPr>
          <w:p w14:paraId="158ABA55" w14:textId="77777777" w:rsidR="00D16D4E" w:rsidRPr="005464FA" w:rsidRDefault="00D16D4E" w:rsidP="00465790">
            <w:pPr>
              <w:pStyle w:val="TableText0"/>
              <w:keepNext w:val="0"/>
            </w:pPr>
            <w:r w:rsidRPr="005464FA">
              <w:t>PFS extrapolation both arms (lognormal in BC)</w:t>
            </w:r>
          </w:p>
        </w:tc>
        <w:tc>
          <w:tcPr>
            <w:tcW w:w="1137" w:type="dxa"/>
            <w:tcBorders>
              <w:bottom w:val="single" w:sz="4" w:space="0" w:color="auto"/>
            </w:tcBorders>
            <w:shd w:val="clear" w:color="auto" w:fill="auto"/>
            <w:vAlign w:val="center"/>
          </w:tcPr>
          <w:p w14:paraId="061B067B" w14:textId="77777777" w:rsidR="00D16D4E" w:rsidRPr="003E5223" w:rsidRDefault="00D16D4E" w:rsidP="00465790">
            <w:pPr>
              <w:pStyle w:val="TableText0"/>
              <w:keepNext w:val="0"/>
              <w:jc w:val="center"/>
              <w:rPr>
                <w:szCs w:val="20"/>
              </w:rPr>
            </w:pPr>
          </w:p>
        </w:tc>
        <w:tc>
          <w:tcPr>
            <w:tcW w:w="1137" w:type="dxa"/>
            <w:vAlign w:val="center"/>
          </w:tcPr>
          <w:p w14:paraId="55D4479E" w14:textId="77777777" w:rsidR="00D16D4E" w:rsidRPr="005464FA" w:rsidRDefault="00D16D4E" w:rsidP="00465790">
            <w:pPr>
              <w:pStyle w:val="TableText0"/>
              <w:keepNext w:val="0"/>
              <w:jc w:val="center"/>
            </w:pPr>
          </w:p>
        </w:tc>
        <w:tc>
          <w:tcPr>
            <w:tcW w:w="1133" w:type="dxa"/>
            <w:vAlign w:val="center"/>
          </w:tcPr>
          <w:p w14:paraId="4BCC554F" w14:textId="77777777" w:rsidR="00D16D4E" w:rsidRPr="005464FA" w:rsidRDefault="00D16D4E" w:rsidP="00465790">
            <w:pPr>
              <w:pStyle w:val="TableText0"/>
              <w:keepNext w:val="0"/>
              <w:jc w:val="center"/>
              <w:rPr>
                <w:szCs w:val="20"/>
              </w:rPr>
            </w:pPr>
          </w:p>
        </w:tc>
        <w:tc>
          <w:tcPr>
            <w:tcW w:w="942" w:type="dxa"/>
            <w:vAlign w:val="center"/>
          </w:tcPr>
          <w:p w14:paraId="78F19A87" w14:textId="77777777" w:rsidR="00D16D4E" w:rsidRPr="005464FA" w:rsidRDefault="00D16D4E" w:rsidP="00465790">
            <w:pPr>
              <w:pStyle w:val="TableText0"/>
              <w:keepNext w:val="0"/>
              <w:jc w:val="center"/>
              <w:rPr>
                <w:szCs w:val="20"/>
              </w:rPr>
            </w:pPr>
          </w:p>
        </w:tc>
      </w:tr>
      <w:tr w:rsidR="003E5223" w:rsidRPr="005464FA" w14:paraId="6003C27F" w14:textId="77777777" w:rsidTr="00E03189">
        <w:tc>
          <w:tcPr>
            <w:tcW w:w="4668" w:type="dxa"/>
            <w:tcMar>
              <w:left w:w="255" w:type="dxa"/>
            </w:tcMar>
          </w:tcPr>
          <w:p w14:paraId="1CEA571C" w14:textId="77777777" w:rsidR="003E5223" w:rsidRPr="005464FA" w:rsidRDefault="003E5223" w:rsidP="003E5223">
            <w:pPr>
              <w:pStyle w:val="TableText0"/>
              <w:keepNext w:val="0"/>
            </w:pPr>
            <w:r w:rsidRPr="005464FA">
              <w:t>Weibull used to extrapolate PFS</w:t>
            </w:r>
          </w:p>
        </w:tc>
        <w:tc>
          <w:tcPr>
            <w:tcW w:w="1137" w:type="dxa"/>
            <w:tcBorders>
              <w:bottom w:val="single" w:sz="4" w:space="0" w:color="auto"/>
            </w:tcBorders>
            <w:shd w:val="clear" w:color="auto" w:fill="auto"/>
          </w:tcPr>
          <w:p w14:paraId="651C7BA0" w14:textId="6F8A45F8"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10BF9AA5" w14:textId="77777777" w:rsidR="003E5223" w:rsidRPr="005464FA" w:rsidRDefault="003E5223" w:rsidP="003E5223">
            <w:pPr>
              <w:pStyle w:val="TableText0"/>
              <w:keepNext w:val="0"/>
              <w:jc w:val="center"/>
            </w:pPr>
            <w:r w:rsidRPr="005464FA">
              <w:t>0.378</w:t>
            </w:r>
          </w:p>
        </w:tc>
        <w:tc>
          <w:tcPr>
            <w:tcW w:w="1133" w:type="dxa"/>
            <w:vAlign w:val="center"/>
          </w:tcPr>
          <w:p w14:paraId="219C668A" w14:textId="22F12EC9" w:rsidR="003E5223" w:rsidRPr="005464FA" w:rsidRDefault="003E5223" w:rsidP="003E5223">
            <w:pPr>
              <w:pStyle w:val="TableText0"/>
              <w:keepNext w:val="0"/>
              <w:jc w:val="center"/>
            </w:pPr>
            <w:r w:rsidRPr="003E5223">
              <w:rPr>
                <w:rFonts w:hint="eastAsia"/>
                <w:color w:val="000000"/>
                <w:w w:val="27"/>
                <w:szCs w:val="20"/>
                <w:shd w:val="solid" w:color="000000" w:fill="000000"/>
                <w:fitText w:val="120" w:id="-893197046"/>
                <w14:textFill>
                  <w14:solidFill>
                    <w14:srgbClr w14:val="000000">
                      <w14:alpha w14:val="100000"/>
                    </w14:srgbClr>
                  </w14:solidFill>
                </w14:textFill>
              </w:rPr>
              <w:t xml:space="preserve">　</w:t>
            </w:r>
            <w:r w:rsidRPr="003E5223">
              <w:rPr>
                <w:color w:val="000000"/>
                <w:w w:val="27"/>
                <w:szCs w:val="20"/>
                <w:shd w:val="solid" w:color="000000" w:fill="000000"/>
                <w:fitText w:val="120" w:id="-893197046"/>
                <w14:textFill>
                  <w14:solidFill>
                    <w14:srgbClr w14:val="000000">
                      <w14:alpha w14:val="100000"/>
                    </w14:srgbClr>
                  </w14:solidFill>
                </w14:textFill>
              </w:rPr>
              <w:t>|</w:t>
            </w:r>
            <w:r w:rsidRPr="003E5223">
              <w:rPr>
                <w:rFonts w:hint="eastAsia"/>
                <w:color w:val="000000"/>
                <w:w w:val="27"/>
                <w:szCs w:val="20"/>
                <w:shd w:val="solid" w:color="000000" w:fill="000000"/>
                <w:fitText w:val="120" w:id="-893197046"/>
                <w14:textFill>
                  <w14:solidFill>
                    <w14:srgbClr w14:val="000000">
                      <w14:alpha w14:val="100000"/>
                    </w14:srgbClr>
                  </w14:solidFill>
                </w14:textFill>
              </w:rPr>
              <w:t xml:space="preserve">　</w:t>
            </w:r>
            <w:r>
              <w:rPr>
                <w:b/>
                <w:vertAlign w:val="superscript"/>
              </w:rPr>
              <w:t>1</w:t>
            </w:r>
          </w:p>
        </w:tc>
        <w:tc>
          <w:tcPr>
            <w:tcW w:w="942" w:type="dxa"/>
            <w:vAlign w:val="center"/>
          </w:tcPr>
          <w:p w14:paraId="08167143" w14:textId="60AD9572" w:rsidR="003E5223" w:rsidRPr="005464FA" w:rsidRDefault="003E5223" w:rsidP="003E5223">
            <w:pPr>
              <w:pStyle w:val="TableText0"/>
              <w:keepNext w:val="0"/>
              <w:jc w:val="center"/>
              <w:rPr>
                <w:szCs w:val="20"/>
              </w:rPr>
            </w:pPr>
            <w:r w:rsidRPr="003E5223">
              <w:rPr>
                <w:color w:val="000000"/>
                <w:spacing w:val="174"/>
                <w:szCs w:val="20"/>
                <w:shd w:val="solid" w:color="000000" w:fill="000000"/>
                <w:fitText w:val="260" w:id="-893197045"/>
                <w14:textFill>
                  <w14:solidFill>
                    <w14:srgbClr w14:val="000000">
                      <w14:alpha w14:val="100000"/>
                    </w14:srgbClr>
                  </w14:solidFill>
                </w14:textFill>
              </w:rPr>
              <w:t>|</w:t>
            </w:r>
            <w:r w:rsidRPr="003E5223">
              <w:rPr>
                <w:color w:val="000000"/>
                <w:szCs w:val="20"/>
                <w:shd w:val="solid" w:color="000000" w:fill="000000"/>
                <w:fitText w:val="260" w:id="-893197045"/>
                <w14:textFill>
                  <w14:solidFill>
                    <w14:srgbClr w14:val="000000">
                      <w14:alpha w14:val="100000"/>
                    </w14:srgbClr>
                  </w14:solidFill>
                </w14:textFill>
              </w:rPr>
              <w:t>|</w:t>
            </w:r>
            <w:r w:rsidRPr="005464FA">
              <w:rPr>
                <w:color w:val="000000"/>
                <w:szCs w:val="20"/>
              </w:rPr>
              <w:t>%</w:t>
            </w:r>
          </w:p>
        </w:tc>
      </w:tr>
      <w:tr w:rsidR="003E5223" w:rsidRPr="005464FA" w14:paraId="2D915583" w14:textId="77777777" w:rsidTr="00E03189">
        <w:tc>
          <w:tcPr>
            <w:tcW w:w="4668" w:type="dxa"/>
            <w:tcMar>
              <w:left w:w="255" w:type="dxa"/>
            </w:tcMar>
          </w:tcPr>
          <w:p w14:paraId="0B4973F5" w14:textId="77777777" w:rsidR="003E5223" w:rsidRPr="005464FA" w:rsidRDefault="003E5223" w:rsidP="003E5223">
            <w:pPr>
              <w:pStyle w:val="TableText0"/>
              <w:keepNext w:val="0"/>
            </w:pPr>
            <w:r w:rsidRPr="005464FA">
              <w:t>Exponential used to extrapolate PFS</w:t>
            </w:r>
          </w:p>
        </w:tc>
        <w:tc>
          <w:tcPr>
            <w:tcW w:w="1137" w:type="dxa"/>
            <w:tcBorders>
              <w:bottom w:val="single" w:sz="4" w:space="0" w:color="auto"/>
            </w:tcBorders>
            <w:shd w:val="clear" w:color="auto" w:fill="auto"/>
          </w:tcPr>
          <w:p w14:paraId="1BF22E1C" w14:textId="1153CCD7"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34DFB32D" w14:textId="77777777" w:rsidR="003E5223" w:rsidRPr="005464FA" w:rsidRDefault="003E5223" w:rsidP="003E5223">
            <w:pPr>
              <w:pStyle w:val="TableText0"/>
              <w:keepNext w:val="0"/>
              <w:jc w:val="center"/>
            </w:pPr>
            <w:r w:rsidRPr="005464FA">
              <w:t>0.380</w:t>
            </w:r>
          </w:p>
        </w:tc>
        <w:tc>
          <w:tcPr>
            <w:tcW w:w="1133" w:type="dxa"/>
            <w:vAlign w:val="center"/>
          </w:tcPr>
          <w:p w14:paraId="04E9985F" w14:textId="0CAF22E3" w:rsidR="003E5223" w:rsidRPr="005464FA" w:rsidRDefault="003E5223" w:rsidP="003E5223">
            <w:pPr>
              <w:pStyle w:val="TableText0"/>
              <w:keepNext w:val="0"/>
              <w:jc w:val="center"/>
            </w:pPr>
            <w:r w:rsidRPr="003E5223">
              <w:rPr>
                <w:rFonts w:hint="eastAsia"/>
                <w:color w:val="000000"/>
                <w:w w:val="27"/>
                <w:shd w:val="solid" w:color="000000" w:fill="000000"/>
                <w:fitText w:val="120" w:id="-893197043"/>
                <w14:textFill>
                  <w14:solidFill>
                    <w14:srgbClr w14:val="000000">
                      <w14:alpha w14:val="100000"/>
                    </w14:srgbClr>
                  </w14:solidFill>
                </w14:textFill>
              </w:rPr>
              <w:t xml:space="preserve">　</w:t>
            </w:r>
            <w:r w:rsidRPr="003E5223">
              <w:rPr>
                <w:color w:val="000000"/>
                <w:w w:val="27"/>
                <w:shd w:val="solid" w:color="000000" w:fill="000000"/>
                <w:fitText w:val="120" w:id="-893197043"/>
                <w14:textFill>
                  <w14:solidFill>
                    <w14:srgbClr w14:val="000000">
                      <w14:alpha w14:val="100000"/>
                    </w14:srgbClr>
                  </w14:solidFill>
                </w14:textFill>
              </w:rPr>
              <w:t>|</w:t>
            </w:r>
            <w:r w:rsidRPr="003E5223">
              <w:rPr>
                <w:rFonts w:hint="eastAsia"/>
                <w:color w:val="000000"/>
                <w:w w:val="27"/>
                <w:shd w:val="solid" w:color="000000" w:fill="000000"/>
                <w:fitText w:val="120" w:id="-893197043"/>
                <w14:textFill>
                  <w14:solidFill>
                    <w14:srgbClr w14:val="000000">
                      <w14:alpha w14:val="100000"/>
                    </w14:srgbClr>
                  </w14:solidFill>
                </w14:textFill>
              </w:rPr>
              <w:t xml:space="preserve">　</w:t>
            </w:r>
            <w:r>
              <w:rPr>
                <w:b/>
                <w:vertAlign w:val="superscript"/>
              </w:rPr>
              <w:t>1</w:t>
            </w:r>
          </w:p>
        </w:tc>
        <w:tc>
          <w:tcPr>
            <w:tcW w:w="942" w:type="dxa"/>
            <w:vAlign w:val="center"/>
          </w:tcPr>
          <w:p w14:paraId="108731E2" w14:textId="267C752B" w:rsidR="003E5223" w:rsidRPr="005464FA" w:rsidRDefault="003E5223" w:rsidP="003E5223">
            <w:pPr>
              <w:pStyle w:val="TableText0"/>
              <w:keepNext w:val="0"/>
              <w:jc w:val="center"/>
            </w:pPr>
            <w:r w:rsidRPr="003E5223">
              <w:rPr>
                <w:color w:val="000000"/>
                <w:spacing w:val="174"/>
                <w:szCs w:val="20"/>
                <w:shd w:val="solid" w:color="000000" w:fill="000000"/>
                <w:fitText w:val="260" w:id="-893197042"/>
                <w14:textFill>
                  <w14:solidFill>
                    <w14:srgbClr w14:val="000000">
                      <w14:alpha w14:val="100000"/>
                    </w14:srgbClr>
                  </w14:solidFill>
                </w14:textFill>
              </w:rPr>
              <w:t>|</w:t>
            </w:r>
            <w:r w:rsidRPr="003E5223">
              <w:rPr>
                <w:color w:val="000000"/>
                <w:szCs w:val="20"/>
                <w:shd w:val="solid" w:color="000000" w:fill="000000"/>
                <w:fitText w:val="260" w:id="-893197042"/>
                <w14:textFill>
                  <w14:solidFill>
                    <w14:srgbClr w14:val="000000">
                      <w14:alpha w14:val="100000"/>
                    </w14:srgbClr>
                  </w14:solidFill>
                </w14:textFill>
              </w:rPr>
              <w:t>|</w:t>
            </w:r>
            <w:r w:rsidRPr="005464FA">
              <w:rPr>
                <w:color w:val="000000"/>
                <w:szCs w:val="20"/>
              </w:rPr>
              <w:t>%</w:t>
            </w:r>
          </w:p>
        </w:tc>
      </w:tr>
      <w:tr w:rsidR="003E5223" w:rsidRPr="005464FA" w14:paraId="5710382F" w14:textId="77777777" w:rsidTr="00FA7C10">
        <w:tc>
          <w:tcPr>
            <w:tcW w:w="4668" w:type="dxa"/>
            <w:tcMar>
              <w:left w:w="255" w:type="dxa"/>
            </w:tcMar>
          </w:tcPr>
          <w:p w14:paraId="572935C9" w14:textId="77777777" w:rsidR="003E5223" w:rsidRPr="005464FA" w:rsidRDefault="003E5223" w:rsidP="003E5223">
            <w:pPr>
              <w:pStyle w:val="TableText0"/>
              <w:keepNext w:val="0"/>
            </w:pPr>
            <w:r w:rsidRPr="005464FA">
              <w:t xml:space="preserve">Gen Gamma used to extrapolate PFS </w:t>
            </w:r>
          </w:p>
        </w:tc>
        <w:tc>
          <w:tcPr>
            <w:tcW w:w="1137" w:type="dxa"/>
            <w:shd w:val="clear" w:color="auto" w:fill="auto"/>
            <w:vAlign w:val="center"/>
          </w:tcPr>
          <w:p w14:paraId="63013E81" w14:textId="53A93AAF"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41C7B693" w14:textId="77777777" w:rsidR="003E5223" w:rsidRPr="005464FA" w:rsidRDefault="003E5223" w:rsidP="003E5223">
            <w:pPr>
              <w:pStyle w:val="TableText0"/>
              <w:keepNext w:val="0"/>
              <w:jc w:val="center"/>
            </w:pPr>
            <w:r w:rsidRPr="005464FA">
              <w:t>0.736</w:t>
            </w:r>
          </w:p>
        </w:tc>
        <w:tc>
          <w:tcPr>
            <w:tcW w:w="1133" w:type="dxa"/>
            <w:vAlign w:val="center"/>
          </w:tcPr>
          <w:p w14:paraId="25B40BD5" w14:textId="423DD1BE" w:rsidR="003E5223" w:rsidRPr="005464FA" w:rsidRDefault="003E5223" w:rsidP="003E5223">
            <w:pPr>
              <w:pStyle w:val="TableText0"/>
              <w:keepNext w:val="0"/>
              <w:jc w:val="center"/>
            </w:pPr>
            <w:r w:rsidRPr="003E5223">
              <w:rPr>
                <w:rFonts w:hint="eastAsia"/>
                <w:color w:val="000000"/>
                <w:w w:val="27"/>
                <w:shd w:val="solid" w:color="000000" w:fill="000000"/>
                <w:fitText w:val="120" w:id="-893197040"/>
                <w14:textFill>
                  <w14:solidFill>
                    <w14:srgbClr w14:val="000000">
                      <w14:alpha w14:val="100000"/>
                    </w14:srgbClr>
                  </w14:solidFill>
                </w14:textFill>
              </w:rPr>
              <w:t xml:space="preserve">　</w:t>
            </w:r>
            <w:r w:rsidRPr="003E5223">
              <w:rPr>
                <w:color w:val="000000"/>
                <w:w w:val="27"/>
                <w:shd w:val="solid" w:color="000000" w:fill="000000"/>
                <w:fitText w:val="120" w:id="-893197040"/>
                <w14:textFill>
                  <w14:solidFill>
                    <w14:srgbClr w14:val="000000">
                      <w14:alpha w14:val="100000"/>
                    </w14:srgbClr>
                  </w14:solidFill>
                </w14:textFill>
              </w:rPr>
              <w:t>|</w:t>
            </w:r>
            <w:r w:rsidRPr="003E5223">
              <w:rPr>
                <w:rFonts w:hint="eastAsia"/>
                <w:color w:val="000000"/>
                <w:w w:val="27"/>
                <w:shd w:val="solid" w:color="000000" w:fill="000000"/>
                <w:fitText w:val="120" w:id="-893197040"/>
                <w14:textFill>
                  <w14:solidFill>
                    <w14:srgbClr w14:val="000000">
                      <w14:alpha w14:val="100000"/>
                    </w14:srgbClr>
                  </w14:solidFill>
                </w14:textFill>
              </w:rPr>
              <w:t xml:space="preserve">　</w:t>
            </w:r>
            <w:r>
              <w:rPr>
                <w:b/>
                <w:vertAlign w:val="superscript"/>
              </w:rPr>
              <w:t>4</w:t>
            </w:r>
          </w:p>
        </w:tc>
        <w:tc>
          <w:tcPr>
            <w:tcW w:w="942" w:type="dxa"/>
            <w:vAlign w:val="center"/>
          </w:tcPr>
          <w:p w14:paraId="0736A979" w14:textId="69FE46BC" w:rsidR="003E5223" w:rsidRPr="005464FA" w:rsidRDefault="003E5223" w:rsidP="003E5223">
            <w:pPr>
              <w:pStyle w:val="TableText0"/>
              <w:keepNext w:val="0"/>
              <w:jc w:val="center"/>
            </w:pPr>
            <w:r w:rsidRPr="005464FA">
              <w:rPr>
                <w:color w:val="000000"/>
                <w:szCs w:val="20"/>
              </w:rPr>
              <w:t>-</w:t>
            </w:r>
            <w:r w:rsidRPr="003E5223">
              <w:rPr>
                <w:color w:val="000000"/>
                <w:spacing w:val="204"/>
                <w:szCs w:val="20"/>
                <w:shd w:val="solid" w:color="000000" w:fill="000000"/>
                <w:fitText w:val="290" w:id="-893196800"/>
                <w14:textFill>
                  <w14:solidFill>
                    <w14:srgbClr w14:val="000000">
                      <w14:alpha w14:val="100000"/>
                    </w14:srgbClr>
                  </w14:solidFill>
                </w14:textFill>
              </w:rPr>
              <w:t>|</w:t>
            </w:r>
            <w:r w:rsidRPr="003E5223">
              <w:rPr>
                <w:color w:val="000000"/>
                <w:szCs w:val="20"/>
                <w:shd w:val="solid" w:color="000000" w:fill="000000"/>
                <w:fitText w:val="290" w:id="-893196800"/>
                <w14:textFill>
                  <w14:solidFill>
                    <w14:srgbClr w14:val="000000">
                      <w14:alpha w14:val="100000"/>
                    </w14:srgbClr>
                  </w14:solidFill>
                </w14:textFill>
              </w:rPr>
              <w:t>|</w:t>
            </w:r>
            <w:r w:rsidRPr="005464FA">
              <w:rPr>
                <w:color w:val="000000"/>
                <w:szCs w:val="20"/>
              </w:rPr>
              <w:t>%</w:t>
            </w:r>
          </w:p>
        </w:tc>
      </w:tr>
      <w:tr w:rsidR="00D16D4E" w:rsidRPr="005464FA" w14:paraId="3F1F6874" w14:textId="77777777" w:rsidTr="003E5223">
        <w:tc>
          <w:tcPr>
            <w:tcW w:w="4668" w:type="dxa"/>
          </w:tcPr>
          <w:p w14:paraId="244849E1" w14:textId="77777777" w:rsidR="00D16D4E" w:rsidRPr="005464FA" w:rsidRDefault="00D16D4E" w:rsidP="00465790">
            <w:pPr>
              <w:pStyle w:val="TableText0"/>
              <w:keepNext w:val="0"/>
            </w:pPr>
            <w:r w:rsidRPr="005464FA">
              <w:t>PFS2 extrapolation both arms (Generalised Gamma in BC)</w:t>
            </w:r>
          </w:p>
        </w:tc>
        <w:tc>
          <w:tcPr>
            <w:tcW w:w="1137" w:type="dxa"/>
            <w:tcBorders>
              <w:bottom w:val="single" w:sz="4" w:space="0" w:color="auto"/>
            </w:tcBorders>
            <w:shd w:val="clear" w:color="auto" w:fill="auto"/>
            <w:vAlign w:val="center"/>
          </w:tcPr>
          <w:p w14:paraId="0446F84F" w14:textId="77777777" w:rsidR="00D16D4E" w:rsidRPr="003E5223" w:rsidRDefault="00D16D4E" w:rsidP="00465790">
            <w:pPr>
              <w:pStyle w:val="TableText0"/>
              <w:keepNext w:val="0"/>
              <w:jc w:val="center"/>
              <w:rPr>
                <w:szCs w:val="20"/>
              </w:rPr>
            </w:pPr>
          </w:p>
        </w:tc>
        <w:tc>
          <w:tcPr>
            <w:tcW w:w="1137" w:type="dxa"/>
            <w:vAlign w:val="center"/>
          </w:tcPr>
          <w:p w14:paraId="31B0B1B0" w14:textId="77777777" w:rsidR="00D16D4E" w:rsidRPr="005464FA" w:rsidRDefault="00D16D4E" w:rsidP="00465790">
            <w:pPr>
              <w:pStyle w:val="TableText0"/>
              <w:keepNext w:val="0"/>
              <w:jc w:val="center"/>
            </w:pPr>
          </w:p>
        </w:tc>
        <w:tc>
          <w:tcPr>
            <w:tcW w:w="1133" w:type="dxa"/>
            <w:vAlign w:val="center"/>
          </w:tcPr>
          <w:p w14:paraId="629D6F3F" w14:textId="77777777" w:rsidR="00D16D4E" w:rsidRPr="005464FA" w:rsidRDefault="00D16D4E" w:rsidP="00465790">
            <w:pPr>
              <w:pStyle w:val="TableText0"/>
              <w:keepNext w:val="0"/>
              <w:jc w:val="center"/>
              <w:rPr>
                <w:szCs w:val="20"/>
              </w:rPr>
            </w:pPr>
          </w:p>
        </w:tc>
        <w:tc>
          <w:tcPr>
            <w:tcW w:w="942" w:type="dxa"/>
            <w:vAlign w:val="center"/>
          </w:tcPr>
          <w:p w14:paraId="4CC1BA93" w14:textId="77777777" w:rsidR="00D16D4E" w:rsidRPr="005464FA" w:rsidRDefault="00D16D4E" w:rsidP="00465790">
            <w:pPr>
              <w:pStyle w:val="TableText0"/>
              <w:keepNext w:val="0"/>
              <w:jc w:val="center"/>
              <w:rPr>
                <w:szCs w:val="20"/>
              </w:rPr>
            </w:pPr>
          </w:p>
        </w:tc>
      </w:tr>
      <w:tr w:rsidR="003E5223" w:rsidRPr="005464FA" w14:paraId="6F11930E" w14:textId="77777777" w:rsidTr="003B64CD">
        <w:tc>
          <w:tcPr>
            <w:tcW w:w="4668" w:type="dxa"/>
            <w:tcMar>
              <w:left w:w="255" w:type="dxa"/>
            </w:tcMar>
          </w:tcPr>
          <w:p w14:paraId="32F6F5D2" w14:textId="77777777" w:rsidR="003E5223" w:rsidRPr="005464FA" w:rsidRDefault="003E5223" w:rsidP="003E5223">
            <w:pPr>
              <w:pStyle w:val="TableText0"/>
              <w:keepNext w:val="0"/>
            </w:pPr>
            <w:r w:rsidRPr="005464FA">
              <w:t>Weibull used to extrapolate PFS2</w:t>
            </w:r>
          </w:p>
        </w:tc>
        <w:tc>
          <w:tcPr>
            <w:tcW w:w="1137" w:type="dxa"/>
            <w:tcBorders>
              <w:bottom w:val="single" w:sz="4" w:space="0" w:color="auto"/>
            </w:tcBorders>
            <w:shd w:val="clear" w:color="auto" w:fill="auto"/>
          </w:tcPr>
          <w:p w14:paraId="47413E4C" w14:textId="421E497B"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2CFFCE9D" w14:textId="77777777" w:rsidR="003E5223" w:rsidRPr="005464FA" w:rsidRDefault="003E5223" w:rsidP="003E5223">
            <w:pPr>
              <w:pStyle w:val="TableText0"/>
              <w:keepNext w:val="0"/>
              <w:jc w:val="center"/>
            </w:pPr>
            <w:r w:rsidRPr="005464FA">
              <w:t>0.304</w:t>
            </w:r>
          </w:p>
        </w:tc>
        <w:tc>
          <w:tcPr>
            <w:tcW w:w="1133" w:type="dxa"/>
            <w:vAlign w:val="center"/>
          </w:tcPr>
          <w:p w14:paraId="6CA6312D" w14:textId="30016E3D" w:rsidR="003E5223" w:rsidRPr="005464FA" w:rsidRDefault="003E5223" w:rsidP="003E5223">
            <w:pPr>
              <w:pStyle w:val="TableText0"/>
              <w:keepNext w:val="0"/>
              <w:jc w:val="center"/>
            </w:pPr>
            <w:r w:rsidRPr="003E5223">
              <w:rPr>
                <w:rFonts w:hint="eastAsia"/>
                <w:color w:val="000000"/>
                <w:w w:val="27"/>
                <w:shd w:val="solid" w:color="000000" w:fill="000000"/>
                <w:fitText w:val="120" w:id="-893196798"/>
                <w14:textFill>
                  <w14:solidFill>
                    <w14:srgbClr w14:val="000000">
                      <w14:alpha w14:val="100000"/>
                    </w14:srgbClr>
                  </w14:solidFill>
                </w14:textFill>
              </w:rPr>
              <w:t xml:space="preserve">　</w:t>
            </w:r>
            <w:r w:rsidRPr="003E5223">
              <w:rPr>
                <w:color w:val="000000"/>
                <w:w w:val="27"/>
                <w:shd w:val="solid" w:color="000000" w:fill="000000"/>
                <w:fitText w:val="120" w:id="-893196798"/>
                <w14:textFill>
                  <w14:solidFill>
                    <w14:srgbClr w14:val="000000">
                      <w14:alpha w14:val="100000"/>
                    </w14:srgbClr>
                  </w14:solidFill>
                </w14:textFill>
              </w:rPr>
              <w:t>|</w:t>
            </w:r>
            <w:r w:rsidRPr="003E5223">
              <w:rPr>
                <w:rFonts w:hint="eastAsia"/>
                <w:color w:val="000000"/>
                <w:w w:val="27"/>
                <w:shd w:val="solid" w:color="000000" w:fill="000000"/>
                <w:fitText w:val="120" w:id="-893196798"/>
                <w14:textFill>
                  <w14:solidFill>
                    <w14:srgbClr w14:val="000000">
                      <w14:alpha w14:val="100000"/>
                    </w14:srgbClr>
                  </w14:solidFill>
                </w14:textFill>
              </w:rPr>
              <w:t xml:space="preserve">　</w:t>
            </w:r>
            <w:r>
              <w:rPr>
                <w:b/>
                <w:vertAlign w:val="superscript"/>
              </w:rPr>
              <w:t>3</w:t>
            </w:r>
          </w:p>
        </w:tc>
        <w:tc>
          <w:tcPr>
            <w:tcW w:w="942" w:type="dxa"/>
            <w:vAlign w:val="center"/>
          </w:tcPr>
          <w:p w14:paraId="3EB98AE0" w14:textId="21EF0195" w:rsidR="003E5223" w:rsidRPr="005464FA" w:rsidRDefault="003E5223" w:rsidP="003E5223">
            <w:pPr>
              <w:pStyle w:val="TableText0"/>
              <w:keepNext w:val="0"/>
              <w:jc w:val="center"/>
            </w:pPr>
            <w:r w:rsidRPr="003E5223">
              <w:rPr>
                <w:color w:val="000000"/>
                <w:spacing w:val="174"/>
                <w:szCs w:val="20"/>
                <w:shd w:val="solid" w:color="000000" w:fill="000000"/>
                <w:fitText w:val="260" w:id="-893196797"/>
                <w14:textFill>
                  <w14:solidFill>
                    <w14:srgbClr w14:val="000000">
                      <w14:alpha w14:val="100000"/>
                    </w14:srgbClr>
                  </w14:solidFill>
                </w14:textFill>
              </w:rPr>
              <w:t>|</w:t>
            </w:r>
            <w:r w:rsidRPr="003E5223">
              <w:rPr>
                <w:color w:val="000000"/>
                <w:szCs w:val="20"/>
                <w:shd w:val="solid" w:color="000000" w:fill="000000"/>
                <w:fitText w:val="260" w:id="-893196797"/>
                <w14:textFill>
                  <w14:solidFill>
                    <w14:srgbClr w14:val="000000">
                      <w14:alpha w14:val="100000"/>
                    </w14:srgbClr>
                  </w14:solidFill>
                </w14:textFill>
              </w:rPr>
              <w:t>|</w:t>
            </w:r>
            <w:r w:rsidRPr="005464FA">
              <w:rPr>
                <w:color w:val="000000"/>
                <w:szCs w:val="20"/>
              </w:rPr>
              <w:t>%</w:t>
            </w:r>
          </w:p>
        </w:tc>
      </w:tr>
      <w:tr w:rsidR="003E5223" w:rsidRPr="005464FA" w14:paraId="792C0EA9" w14:textId="77777777" w:rsidTr="003B64CD">
        <w:tc>
          <w:tcPr>
            <w:tcW w:w="4668" w:type="dxa"/>
            <w:tcMar>
              <w:left w:w="255" w:type="dxa"/>
            </w:tcMar>
          </w:tcPr>
          <w:p w14:paraId="10437E91" w14:textId="77777777" w:rsidR="003E5223" w:rsidRPr="005464FA" w:rsidRDefault="003E5223" w:rsidP="003E5223">
            <w:pPr>
              <w:pStyle w:val="TableText0"/>
              <w:keepNext w:val="0"/>
            </w:pPr>
            <w:r w:rsidRPr="005464FA">
              <w:t>Exponential used to extrapolate PFS2</w:t>
            </w:r>
          </w:p>
        </w:tc>
        <w:tc>
          <w:tcPr>
            <w:tcW w:w="1137" w:type="dxa"/>
            <w:tcBorders>
              <w:bottom w:val="single" w:sz="4" w:space="0" w:color="auto"/>
            </w:tcBorders>
            <w:shd w:val="clear" w:color="auto" w:fill="auto"/>
          </w:tcPr>
          <w:p w14:paraId="085B4B88" w14:textId="54EBF598"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316D657E" w14:textId="77777777" w:rsidR="003E5223" w:rsidRPr="005464FA" w:rsidRDefault="003E5223" w:rsidP="003E5223">
            <w:pPr>
              <w:pStyle w:val="TableText0"/>
              <w:keepNext w:val="0"/>
              <w:jc w:val="center"/>
            </w:pPr>
            <w:r w:rsidRPr="005464FA">
              <w:t>0.319</w:t>
            </w:r>
          </w:p>
        </w:tc>
        <w:tc>
          <w:tcPr>
            <w:tcW w:w="1133" w:type="dxa"/>
            <w:vAlign w:val="center"/>
          </w:tcPr>
          <w:p w14:paraId="4CDB5862" w14:textId="78499E31" w:rsidR="003E5223" w:rsidRPr="005464FA" w:rsidRDefault="003E5223" w:rsidP="003E5223">
            <w:pPr>
              <w:pStyle w:val="TableText0"/>
              <w:keepNext w:val="0"/>
              <w:jc w:val="center"/>
            </w:pPr>
            <w:r w:rsidRPr="003E5223">
              <w:rPr>
                <w:rFonts w:hint="eastAsia"/>
                <w:color w:val="000000"/>
                <w:w w:val="27"/>
                <w:shd w:val="solid" w:color="000000" w:fill="000000"/>
                <w:fitText w:val="120" w:id="-893196795"/>
                <w14:textFill>
                  <w14:solidFill>
                    <w14:srgbClr w14:val="000000">
                      <w14:alpha w14:val="100000"/>
                    </w14:srgbClr>
                  </w14:solidFill>
                </w14:textFill>
              </w:rPr>
              <w:t xml:space="preserve">　</w:t>
            </w:r>
            <w:r w:rsidRPr="003E5223">
              <w:rPr>
                <w:color w:val="000000"/>
                <w:w w:val="27"/>
                <w:shd w:val="solid" w:color="000000" w:fill="000000"/>
                <w:fitText w:val="120" w:id="-893196795"/>
                <w14:textFill>
                  <w14:solidFill>
                    <w14:srgbClr w14:val="000000">
                      <w14:alpha w14:val="100000"/>
                    </w14:srgbClr>
                  </w14:solidFill>
                </w14:textFill>
              </w:rPr>
              <w:t>|</w:t>
            </w:r>
            <w:r w:rsidRPr="003E5223">
              <w:rPr>
                <w:rFonts w:hint="eastAsia"/>
                <w:color w:val="000000"/>
                <w:w w:val="27"/>
                <w:shd w:val="solid" w:color="000000" w:fill="000000"/>
                <w:fitText w:val="120" w:id="-893196795"/>
                <w14:textFill>
                  <w14:solidFill>
                    <w14:srgbClr w14:val="000000">
                      <w14:alpha w14:val="100000"/>
                    </w14:srgbClr>
                  </w14:solidFill>
                </w14:textFill>
              </w:rPr>
              <w:t xml:space="preserve">　</w:t>
            </w:r>
            <w:r>
              <w:rPr>
                <w:b/>
                <w:vertAlign w:val="superscript"/>
              </w:rPr>
              <w:t>3</w:t>
            </w:r>
          </w:p>
        </w:tc>
        <w:tc>
          <w:tcPr>
            <w:tcW w:w="942" w:type="dxa"/>
            <w:vAlign w:val="center"/>
          </w:tcPr>
          <w:p w14:paraId="15DA77A1" w14:textId="3E8E9857" w:rsidR="003E5223" w:rsidRPr="005464FA" w:rsidRDefault="003E5223" w:rsidP="003E5223">
            <w:pPr>
              <w:pStyle w:val="TableText0"/>
              <w:keepNext w:val="0"/>
              <w:jc w:val="center"/>
            </w:pPr>
            <w:r w:rsidRPr="003E5223">
              <w:rPr>
                <w:color w:val="000000"/>
                <w:spacing w:val="174"/>
                <w:szCs w:val="20"/>
                <w:shd w:val="solid" w:color="000000" w:fill="000000"/>
                <w:fitText w:val="260" w:id="-893196794"/>
                <w14:textFill>
                  <w14:solidFill>
                    <w14:srgbClr w14:val="000000">
                      <w14:alpha w14:val="100000"/>
                    </w14:srgbClr>
                  </w14:solidFill>
                </w14:textFill>
              </w:rPr>
              <w:t>|</w:t>
            </w:r>
            <w:r w:rsidRPr="003E5223">
              <w:rPr>
                <w:color w:val="000000"/>
                <w:szCs w:val="20"/>
                <w:shd w:val="solid" w:color="000000" w:fill="000000"/>
                <w:fitText w:val="260" w:id="-893196794"/>
                <w14:textFill>
                  <w14:solidFill>
                    <w14:srgbClr w14:val="000000">
                      <w14:alpha w14:val="100000"/>
                    </w14:srgbClr>
                  </w14:solidFill>
                </w14:textFill>
              </w:rPr>
              <w:t>|</w:t>
            </w:r>
            <w:r w:rsidRPr="005464FA">
              <w:rPr>
                <w:color w:val="000000"/>
                <w:szCs w:val="20"/>
              </w:rPr>
              <w:t>%</w:t>
            </w:r>
          </w:p>
        </w:tc>
      </w:tr>
      <w:tr w:rsidR="003E5223" w:rsidRPr="005464FA" w14:paraId="7B4C0D9E" w14:textId="77777777" w:rsidTr="00BC1676">
        <w:tc>
          <w:tcPr>
            <w:tcW w:w="4668" w:type="dxa"/>
            <w:tcMar>
              <w:left w:w="255" w:type="dxa"/>
            </w:tcMar>
          </w:tcPr>
          <w:p w14:paraId="2A3B6BEC" w14:textId="77777777" w:rsidR="003E5223" w:rsidRPr="005464FA" w:rsidRDefault="003E5223" w:rsidP="003E5223">
            <w:pPr>
              <w:pStyle w:val="TableText0"/>
              <w:keepNext w:val="0"/>
            </w:pPr>
            <w:r w:rsidRPr="005464FA">
              <w:t>Loglogistic used to extrapolate PFS2</w:t>
            </w:r>
          </w:p>
        </w:tc>
        <w:tc>
          <w:tcPr>
            <w:tcW w:w="1137" w:type="dxa"/>
            <w:tcBorders>
              <w:bottom w:val="single" w:sz="4" w:space="0" w:color="auto"/>
            </w:tcBorders>
            <w:shd w:val="clear" w:color="auto" w:fill="auto"/>
            <w:vAlign w:val="center"/>
          </w:tcPr>
          <w:p w14:paraId="44A8003F" w14:textId="6FB70C57"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7C1E3D9C" w14:textId="77777777" w:rsidR="003E5223" w:rsidRPr="005464FA" w:rsidRDefault="003E5223" w:rsidP="003E5223">
            <w:pPr>
              <w:pStyle w:val="TableText0"/>
              <w:keepNext w:val="0"/>
              <w:jc w:val="center"/>
            </w:pPr>
            <w:r w:rsidRPr="005464FA">
              <w:t>0.316</w:t>
            </w:r>
          </w:p>
        </w:tc>
        <w:tc>
          <w:tcPr>
            <w:tcW w:w="1133" w:type="dxa"/>
            <w:vAlign w:val="center"/>
          </w:tcPr>
          <w:p w14:paraId="2F2E89E0" w14:textId="6176CFE4" w:rsidR="003E5223" w:rsidRPr="005464FA" w:rsidRDefault="003E5223" w:rsidP="003E5223">
            <w:pPr>
              <w:pStyle w:val="TableText0"/>
              <w:keepNext w:val="0"/>
              <w:jc w:val="center"/>
            </w:pPr>
            <w:r w:rsidRPr="003E5223">
              <w:rPr>
                <w:rFonts w:hint="eastAsia"/>
                <w:color w:val="000000"/>
                <w:w w:val="27"/>
                <w:shd w:val="solid" w:color="000000" w:fill="000000"/>
                <w:fitText w:val="120" w:id="-893196792"/>
                <w14:textFill>
                  <w14:solidFill>
                    <w14:srgbClr w14:val="000000">
                      <w14:alpha w14:val="100000"/>
                    </w14:srgbClr>
                  </w14:solidFill>
                </w14:textFill>
              </w:rPr>
              <w:t xml:space="preserve">　</w:t>
            </w:r>
            <w:r w:rsidRPr="003E5223">
              <w:rPr>
                <w:color w:val="000000"/>
                <w:w w:val="27"/>
                <w:shd w:val="solid" w:color="000000" w:fill="000000"/>
                <w:fitText w:val="120" w:id="-893196792"/>
                <w14:textFill>
                  <w14:solidFill>
                    <w14:srgbClr w14:val="000000">
                      <w14:alpha w14:val="100000"/>
                    </w14:srgbClr>
                  </w14:solidFill>
                </w14:textFill>
              </w:rPr>
              <w:t>|</w:t>
            </w:r>
            <w:r w:rsidRPr="003E5223">
              <w:rPr>
                <w:rFonts w:hint="eastAsia"/>
                <w:color w:val="000000"/>
                <w:w w:val="27"/>
                <w:shd w:val="solid" w:color="000000" w:fill="000000"/>
                <w:fitText w:val="120" w:id="-893196792"/>
                <w14:textFill>
                  <w14:solidFill>
                    <w14:srgbClr w14:val="000000">
                      <w14:alpha w14:val="100000"/>
                    </w14:srgbClr>
                  </w14:solidFill>
                </w14:textFill>
              </w:rPr>
              <w:t xml:space="preserve">　</w:t>
            </w:r>
            <w:r>
              <w:rPr>
                <w:b/>
                <w:vertAlign w:val="superscript"/>
              </w:rPr>
              <w:t>3</w:t>
            </w:r>
          </w:p>
        </w:tc>
        <w:tc>
          <w:tcPr>
            <w:tcW w:w="942" w:type="dxa"/>
            <w:vAlign w:val="center"/>
          </w:tcPr>
          <w:p w14:paraId="276C2820" w14:textId="4D7D7504" w:rsidR="003E5223" w:rsidRPr="005464FA" w:rsidRDefault="003E5223" w:rsidP="003E5223">
            <w:pPr>
              <w:pStyle w:val="TableText0"/>
              <w:keepNext w:val="0"/>
              <w:jc w:val="center"/>
            </w:pPr>
            <w:r w:rsidRPr="003E5223">
              <w:rPr>
                <w:color w:val="000000"/>
                <w:spacing w:val="174"/>
                <w:szCs w:val="20"/>
                <w:shd w:val="solid" w:color="000000" w:fill="000000"/>
                <w:fitText w:val="260" w:id="-893196791"/>
                <w14:textFill>
                  <w14:solidFill>
                    <w14:srgbClr w14:val="000000">
                      <w14:alpha w14:val="100000"/>
                    </w14:srgbClr>
                  </w14:solidFill>
                </w14:textFill>
              </w:rPr>
              <w:t>|</w:t>
            </w:r>
            <w:r w:rsidRPr="003E5223">
              <w:rPr>
                <w:color w:val="000000"/>
                <w:szCs w:val="20"/>
                <w:shd w:val="solid" w:color="000000" w:fill="000000"/>
                <w:fitText w:val="260" w:id="-893196791"/>
                <w14:textFill>
                  <w14:solidFill>
                    <w14:srgbClr w14:val="000000">
                      <w14:alpha w14:val="100000"/>
                    </w14:srgbClr>
                  </w14:solidFill>
                </w14:textFill>
              </w:rPr>
              <w:t>|</w:t>
            </w:r>
            <w:r w:rsidRPr="005464FA">
              <w:rPr>
                <w:color w:val="000000"/>
                <w:szCs w:val="20"/>
              </w:rPr>
              <w:t>%</w:t>
            </w:r>
          </w:p>
        </w:tc>
      </w:tr>
      <w:tr w:rsidR="003E5223" w:rsidRPr="005464FA" w14:paraId="3F34FE97" w14:textId="77777777" w:rsidTr="003B64CD">
        <w:tc>
          <w:tcPr>
            <w:tcW w:w="4668" w:type="dxa"/>
            <w:tcMar>
              <w:left w:w="255" w:type="dxa"/>
            </w:tcMar>
          </w:tcPr>
          <w:p w14:paraId="2FB356DE" w14:textId="77777777" w:rsidR="003E5223" w:rsidRPr="005464FA" w:rsidRDefault="003E5223" w:rsidP="003E5223">
            <w:pPr>
              <w:pStyle w:val="TableText0"/>
              <w:keepNext w:val="0"/>
            </w:pPr>
            <w:r w:rsidRPr="005464FA">
              <w:t>Gompertz used to extrapolate PFS2</w:t>
            </w:r>
          </w:p>
        </w:tc>
        <w:tc>
          <w:tcPr>
            <w:tcW w:w="1137" w:type="dxa"/>
            <w:tcBorders>
              <w:bottom w:val="single" w:sz="4" w:space="0" w:color="auto"/>
            </w:tcBorders>
            <w:shd w:val="clear" w:color="auto" w:fill="auto"/>
          </w:tcPr>
          <w:p w14:paraId="0E184EDB" w14:textId="1C38AE3B"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5595D09E" w14:textId="77777777" w:rsidR="003E5223" w:rsidRPr="005464FA" w:rsidRDefault="003E5223" w:rsidP="003E5223">
            <w:pPr>
              <w:pStyle w:val="TableText0"/>
              <w:keepNext w:val="0"/>
              <w:jc w:val="center"/>
            </w:pPr>
            <w:r w:rsidRPr="005464FA">
              <w:t>0.303</w:t>
            </w:r>
          </w:p>
        </w:tc>
        <w:tc>
          <w:tcPr>
            <w:tcW w:w="1133" w:type="dxa"/>
            <w:vAlign w:val="center"/>
          </w:tcPr>
          <w:p w14:paraId="6F712BEA" w14:textId="110B4230" w:rsidR="003E5223" w:rsidRPr="005464FA" w:rsidRDefault="003E5223" w:rsidP="003E5223">
            <w:pPr>
              <w:pStyle w:val="TableText0"/>
              <w:keepNext w:val="0"/>
              <w:jc w:val="center"/>
            </w:pPr>
            <w:r w:rsidRPr="003E5223">
              <w:rPr>
                <w:rFonts w:hint="eastAsia"/>
                <w:color w:val="000000"/>
                <w:w w:val="27"/>
                <w:shd w:val="solid" w:color="000000" w:fill="000000"/>
                <w:fitText w:val="120" w:id="-893196789"/>
                <w14:textFill>
                  <w14:solidFill>
                    <w14:srgbClr w14:val="000000">
                      <w14:alpha w14:val="100000"/>
                    </w14:srgbClr>
                  </w14:solidFill>
                </w14:textFill>
              </w:rPr>
              <w:t xml:space="preserve">　</w:t>
            </w:r>
            <w:r w:rsidRPr="003E5223">
              <w:rPr>
                <w:color w:val="000000"/>
                <w:w w:val="27"/>
                <w:shd w:val="solid" w:color="000000" w:fill="000000"/>
                <w:fitText w:val="120" w:id="-893196789"/>
                <w14:textFill>
                  <w14:solidFill>
                    <w14:srgbClr w14:val="000000">
                      <w14:alpha w14:val="100000"/>
                    </w14:srgbClr>
                  </w14:solidFill>
                </w14:textFill>
              </w:rPr>
              <w:t>|</w:t>
            </w:r>
            <w:r w:rsidRPr="003E5223">
              <w:rPr>
                <w:rFonts w:hint="eastAsia"/>
                <w:color w:val="000000"/>
                <w:w w:val="27"/>
                <w:shd w:val="solid" w:color="000000" w:fill="000000"/>
                <w:fitText w:val="120" w:id="-893196789"/>
                <w14:textFill>
                  <w14:solidFill>
                    <w14:srgbClr w14:val="000000">
                      <w14:alpha w14:val="100000"/>
                    </w14:srgbClr>
                  </w14:solidFill>
                </w14:textFill>
              </w:rPr>
              <w:t xml:space="preserve">　</w:t>
            </w:r>
            <w:r>
              <w:rPr>
                <w:b/>
                <w:vertAlign w:val="superscript"/>
              </w:rPr>
              <w:t>3</w:t>
            </w:r>
          </w:p>
        </w:tc>
        <w:tc>
          <w:tcPr>
            <w:tcW w:w="942" w:type="dxa"/>
            <w:vAlign w:val="center"/>
          </w:tcPr>
          <w:p w14:paraId="63AEAD23" w14:textId="0AEB78C3" w:rsidR="003E5223" w:rsidRPr="005464FA" w:rsidRDefault="003E5223" w:rsidP="003E5223">
            <w:pPr>
              <w:pStyle w:val="TableText0"/>
              <w:keepNext w:val="0"/>
              <w:jc w:val="center"/>
            </w:pPr>
            <w:r w:rsidRPr="003E5223">
              <w:rPr>
                <w:color w:val="000000"/>
                <w:spacing w:val="174"/>
                <w:szCs w:val="20"/>
                <w:shd w:val="solid" w:color="000000" w:fill="000000"/>
                <w:fitText w:val="260" w:id="-893196788"/>
                <w14:textFill>
                  <w14:solidFill>
                    <w14:srgbClr w14:val="000000">
                      <w14:alpha w14:val="100000"/>
                    </w14:srgbClr>
                  </w14:solidFill>
                </w14:textFill>
              </w:rPr>
              <w:t>|</w:t>
            </w:r>
            <w:r w:rsidRPr="003E5223">
              <w:rPr>
                <w:color w:val="000000"/>
                <w:szCs w:val="20"/>
                <w:shd w:val="solid" w:color="000000" w:fill="000000"/>
                <w:fitText w:val="260" w:id="-893196788"/>
                <w14:textFill>
                  <w14:solidFill>
                    <w14:srgbClr w14:val="000000">
                      <w14:alpha w14:val="100000"/>
                    </w14:srgbClr>
                  </w14:solidFill>
                </w14:textFill>
              </w:rPr>
              <w:t>|</w:t>
            </w:r>
            <w:r w:rsidRPr="005464FA">
              <w:rPr>
                <w:color w:val="000000"/>
                <w:szCs w:val="20"/>
              </w:rPr>
              <w:t>%</w:t>
            </w:r>
          </w:p>
        </w:tc>
      </w:tr>
      <w:tr w:rsidR="003E5223" w:rsidRPr="005464FA" w14:paraId="1CB833F4" w14:textId="77777777" w:rsidTr="003B64CD">
        <w:tc>
          <w:tcPr>
            <w:tcW w:w="4668" w:type="dxa"/>
            <w:tcMar>
              <w:left w:w="255" w:type="dxa"/>
            </w:tcMar>
          </w:tcPr>
          <w:p w14:paraId="6F17CFC1" w14:textId="77777777" w:rsidR="003E5223" w:rsidRPr="005464FA" w:rsidRDefault="003E5223" w:rsidP="003E5223">
            <w:pPr>
              <w:pStyle w:val="TableText0"/>
              <w:keepNext w:val="0"/>
            </w:pPr>
            <w:r w:rsidRPr="005464FA">
              <w:t xml:space="preserve">Lognormal used to extrapolate PFS2 </w:t>
            </w:r>
          </w:p>
        </w:tc>
        <w:tc>
          <w:tcPr>
            <w:tcW w:w="1137" w:type="dxa"/>
            <w:shd w:val="clear" w:color="auto" w:fill="auto"/>
          </w:tcPr>
          <w:p w14:paraId="7F8A0456" w14:textId="77449E83"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6CD566BA" w14:textId="77777777" w:rsidR="003E5223" w:rsidRPr="005464FA" w:rsidRDefault="003E5223" w:rsidP="003E5223">
            <w:pPr>
              <w:pStyle w:val="TableText0"/>
              <w:keepNext w:val="0"/>
              <w:jc w:val="center"/>
            </w:pPr>
            <w:r w:rsidRPr="005464FA">
              <w:t>0.312</w:t>
            </w:r>
          </w:p>
        </w:tc>
        <w:tc>
          <w:tcPr>
            <w:tcW w:w="1133" w:type="dxa"/>
            <w:vAlign w:val="center"/>
          </w:tcPr>
          <w:p w14:paraId="51D2E7C7" w14:textId="070F862D" w:rsidR="003E5223" w:rsidRPr="005464FA" w:rsidRDefault="003E5223" w:rsidP="003E5223">
            <w:pPr>
              <w:pStyle w:val="TableText0"/>
              <w:keepNext w:val="0"/>
              <w:jc w:val="center"/>
            </w:pPr>
            <w:r w:rsidRPr="003E5223">
              <w:rPr>
                <w:rFonts w:hint="eastAsia"/>
                <w:color w:val="000000"/>
                <w:w w:val="27"/>
                <w:shd w:val="solid" w:color="000000" w:fill="000000"/>
                <w:fitText w:val="120" w:id="-893196786"/>
                <w14:textFill>
                  <w14:solidFill>
                    <w14:srgbClr w14:val="000000">
                      <w14:alpha w14:val="100000"/>
                    </w14:srgbClr>
                  </w14:solidFill>
                </w14:textFill>
              </w:rPr>
              <w:t xml:space="preserve">　</w:t>
            </w:r>
            <w:r w:rsidRPr="003E5223">
              <w:rPr>
                <w:color w:val="000000"/>
                <w:w w:val="27"/>
                <w:shd w:val="solid" w:color="000000" w:fill="000000"/>
                <w:fitText w:val="120" w:id="-893196786"/>
                <w14:textFill>
                  <w14:solidFill>
                    <w14:srgbClr w14:val="000000">
                      <w14:alpha w14:val="100000"/>
                    </w14:srgbClr>
                  </w14:solidFill>
                </w14:textFill>
              </w:rPr>
              <w:t>|</w:t>
            </w:r>
            <w:r w:rsidRPr="003E5223">
              <w:rPr>
                <w:rFonts w:hint="eastAsia"/>
                <w:color w:val="000000"/>
                <w:w w:val="27"/>
                <w:shd w:val="solid" w:color="000000" w:fill="000000"/>
                <w:fitText w:val="120" w:id="-893196786"/>
                <w14:textFill>
                  <w14:solidFill>
                    <w14:srgbClr w14:val="000000">
                      <w14:alpha w14:val="100000"/>
                    </w14:srgbClr>
                  </w14:solidFill>
                </w14:textFill>
              </w:rPr>
              <w:t xml:space="preserve">　</w:t>
            </w:r>
            <w:r>
              <w:rPr>
                <w:b/>
                <w:vertAlign w:val="superscript"/>
              </w:rPr>
              <w:t>3</w:t>
            </w:r>
          </w:p>
        </w:tc>
        <w:tc>
          <w:tcPr>
            <w:tcW w:w="942" w:type="dxa"/>
            <w:vAlign w:val="center"/>
          </w:tcPr>
          <w:p w14:paraId="2312A106" w14:textId="7BAD5D74" w:rsidR="003E5223" w:rsidRPr="005464FA" w:rsidRDefault="003E5223" w:rsidP="003E5223">
            <w:pPr>
              <w:pStyle w:val="TableText0"/>
              <w:keepNext w:val="0"/>
              <w:jc w:val="center"/>
            </w:pPr>
            <w:r w:rsidRPr="003E5223">
              <w:rPr>
                <w:color w:val="000000"/>
                <w:spacing w:val="174"/>
                <w:szCs w:val="20"/>
                <w:shd w:val="solid" w:color="000000" w:fill="000000"/>
                <w:fitText w:val="260" w:id="-893196785"/>
                <w14:textFill>
                  <w14:solidFill>
                    <w14:srgbClr w14:val="000000">
                      <w14:alpha w14:val="100000"/>
                    </w14:srgbClr>
                  </w14:solidFill>
                </w14:textFill>
              </w:rPr>
              <w:t>|</w:t>
            </w:r>
            <w:r w:rsidRPr="003E5223">
              <w:rPr>
                <w:color w:val="000000"/>
                <w:szCs w:val="20"/>
                <w:shd w:val="solid" w:color="000000" w:fill="000000"/>
                <w:fitText w:val="260" w:id="-893196785"/>
                <w14:textFill>
                  <w14:solidFill>
                    <w14:srgbClr w14:val="000000">
                      <w14:alpha w14:val="100000"/>
                    </w14:srgbClr>
                  </w14:solidFill>
                </w14:textFill>
              </w:rPr>
              <w:t>|</w:t>
            </w:r>
            <w:r w:rsidRPr="005464FA">
              <w:rPr>
                <w:color w:val="000000"/>
                <w:szCs w:val="20"/>
              </w:rPr>
              <w:t>%</w:t>
            </w:r>
          </w:p>
        </w:tc>
      </w:tr>
      <w:tr w:rsidR="00D16D4E" w:rsidRPr="005464FA" w14:paraId="2E2F3B0C" w14:textId="77777777" w:rsidTr="003E5223">
        <w:tc>
          <w:tcPr>
            <w:tcW w:w="4668" w:type="dxa"/>
          </w:tcPr>
          <w:p w14:paraId="61ADEA23" w14:textId="77777777" w:rsidR="00D16D4E" w:rsidRPr="005464FA" w:rsidRDefault="00D16D4E" w:rsidP="00465790">
            <w:pPr>
              <w:pStyle w:val="TableText0"/>
              <w:keepNext w:val="0"/>
            </w:pPr>
            <w:r w:rsidRPr="005464FA">
              <w:t>OS extrapolation both arms (log normal in BC)</w:t>
            </w:r>
          </w:p>
        </w:tc>
        <w:tc>
          <w:tcPr>
            <w:tcW w:w="1137" w:type="dxa"/>
            <w:tcBorders>
              <w:bottom w:val="single" w:sz="4" w:space="0" w:color="auto"/>
            </w:tcBorders>
            <w:shd w:val="clear" w:color="auto" w:fill="auto"/>
            <w:vAlign w:val="center"/>
          </w:tcPr>
          <w:p w14:paraId="67FC1A07" w14:textId="77777777" w:rsidR="00D16D4E" w:rsidRPr="003E5223" w:rsidRDefault="00D16D4E" w:rsidP="00465790">
            <w:pPr>
              <w:pStyle w:val="TableText0"/>
              <w:keepNext w:val="0"/>
              <w:jc w:val="center"/>
              <w:rPr>
                <w:szCs w:val="20"/>
              </w:rPr>
            </w:pPr>
          </w:p>
        </w:tc>
        <w:tc>
          <w:tcPr>
            <w:tcW w:w="1137" w:type="dxa"/>
            <w:vAlign w:val="center"/>
          </w:tcPr>
          <w:p w14:paraId="4D7F6C2A" w14:textId="77777777" w:rsidR="00D16D4E" w:rsidRPr="005464FA" w:rsidRDefault="00D16D4E" w:rsidP="00465790">
            <w:pPr>
              <w:pStyle w:val="TableText0"/>
              <w:keepNext w:val="0"/>
              <w:jc w:val="center"/>
            </w:pPr>
          </w:p>
        </w:tc>
        <w:tc>
          <w:tcPr>
            <w:tcW w:w="1133" w:type="dxa"/>
            <w:vAlign w:val="center"/>
          </w:tcPr>
          <w:p w14:paraId="2C655722" w14:textId="77777777" w:rsidR="00D16D4E" w:rsidRPr="005464FA" w:rsidRDefault="00D16D4E" w:rsidP="00465790">
            <w:pPr>
              <w:pStyle w:val="TableText0"/>
              <w:keepNext w:val="0"/>
              <w:jc w:val="center"/>
              <w:rPr>
                <w:szCs w:val="20"/>
              </w:rPr>
            </w:pPr>
          </w:p>
        </w:tc>
        <w:tc>
          <w:tcPr>
            <w:tcW w:w="942" w:type="dxa"/>
            <w:vAlign w:val="center"/>
          </w:tcPr>
          <w:p w14:paraId="46CC7EF4" w14:textId="77777777" w:rsidR="00D16D4E" w:rsidRPr="005464FA" w:rsidRDefault="00D16D4E" w:rsidP="00465790">
            <w:pPr>
              <w:pStyle w:val="TableText0"/>
              <w:keepNext w:val="0"/>
              <w:jc w:val="center"/>
              <w:rPr>
                <w:szCs w:val="20"/>
              </w:rPr>
            </w:pPr>
          </w:p>
        </w:tc>
      </w:tr>
      <w:tr w:rsidR="003E5223" w:rsidRPr="005464FA" w14:paraId="04278A0A" w14:textId="77777777" w:rsidTr="00684C15">
        <w:tc>
          <w:tcPr>
            <w:tcW w:w="4668" w:type="dxa"/>
            <w:tcMar>
              <w:left w:w="255" w:type="dxa"/>
            </w:tcMar>
          </w:tcPr>
          <w:p w14:paraId="64F8FE1E" w14:textId="77777777" w:rsidR="003E5223" w:rsidRPr="005464FA" w:rsidRDefault="003E5223" w:rsidP="003E5223">
            <w:pPr>
              <w:pStyle w:val="TableText0"/>
              <w:keepNext w:val="0"/>
            </w:pPr>
            <w:r w:rsidRPr="005464FA">
              <w:t>Weibull used to extrapolate OS</w:t>
            </w:r>
          </w:p>
        </w:tc>
        <w:tc>
          <w:tcPr>
            <w:tcW w:w="1137" w:type="dxa"/>
            <w:tcBorders>
              <w:bottom w:val="single" w:sz="4" w:space="0" w:color="auto"/>
            </w:tcBorders>
            <w:shd w:val="clear" w:color="auto" w:fill="auto"/>
          </w:tcPr>
          <w:p w14:paraId="3F39BF08" w14:textId="16DD82AA"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25627298" w14:textId="77777777" w:rsidR="003E5223" w:rsidRPr="005464FA" w:rsidRDefault="003E5223" w:rsidP="003E5223">
            <w:pPr>
              <w:pStyle w:val="TableText0"/>
              <w:keepNext w:val="0"/>
              <w:jc w:val="center"/>
            </w:pPr>
            <w:r w:rsidRPr="005464FA">
              <w:t>0.372</w:t>
            </w:r>
          </w:p>
        </w:tc>
        <w:tc>
          <w:tcPr>
            <w:tcW w:w="1133" w:type="dxa"/>
            <w:vAlign w:val="center"/>
          </w:tcPr>
          <w:p w14:paraId="4CD2FF25" w14:textId="236977E3" w:rsidR="003E5223" w:rsidRPr="005464FA" w:rsidRDefault="003E5223" w:rsidP="003E5223">
            <w:pPr>
              <w:pStyle w:val="TableText0"/>
              <w:keepNext w:val="0"/>
              <w:jc w:val="center"/>
            </w:pPr>
            <w:r w:rsidRPr="003E5223">
              <w:rPr>
                <w:rFonts w:hint="eastAsia"/>
                <w:color w:val="000000"/>
                <w:w w:val="27"/>
                <w:shd w:val="solid" w:color="000000" w:fill="000000"/>
                <w:fitText w:val="120" w:id="-893196800"/>
                <w14:textFill>
                  <w14:solidFill>
                    <w14:srgbClr w14:val="000000">
                      <w14:alpha w14:val="100000"/>
                    </w14:srgbClr>
                  </w14:solidFill>
                </w14:textFill>
              </w:rPr>
              <w:t xml:space="preserve">　</w:t>
            </w:r>
            <w:r w:rsidRPr="003E5223">
              <w:rPr>
                <w:color w:val="000000"/>
                <w:w w:val="27"/>
                <w:shd w:val="solid" w:color="000000" w:fill="000000"/>
                <w:fitText w:val="120" w:id="-893196800"/>
                <w14:textFill>
                  <w14:solidFill>
                    <w14:srgbClr w14:val="000000">
                      <w14:alpha w14:val="100000"/>
                    </w14:srgbClr>
                  </w14:solidFill>
                </w14:textFill>
              </w:rPr>
              <w:t>|</w:t>
            </w:r>
            <w:r w:rsidRPr="003E5223">
              <w:rPr>
                <w:rFonts w:hint="eastAsia"/>
                <w:color w:val="000000"/>
                <w:w w:val="27"/>
                <w:shd w:val="solid" w:color="000000" w:fill="000000"/>
                <w:fitText w:val="120" w:id="-893196800"/>
                <w14:textFill>
                  <w14:solidFill>
                    <w14:srgbClr w14:val="000000">
                      <w14:alpha w14:val="100000"/>
                    </w14:srgbClr>
                  </w14:solidFill>
                </w14:textFill>
              </w:rPr>
              <w:t xml:space="preserve">　</w:t>
            </w:r>
            <w:r>
              <w:rPr>
                <w:b/>
                <w:vertAlign w:val="superscript"/>
              </w:rPr>
              <w:t>1</w:t>
            </w:r>
          </w:p>
        </w:tc>
        <w:tc>
          <w:tcPr>
            <w:tcW w:w="942" w:type="dxa"/>
            <w:vAlign w:val="center"/>
          </w:tcPr>
          <w:p w14:paraId="559304AF" w14:textId="067BDA32" w:rsidR="003E5223" w:rsidRPr="005464FA" w:rsidRDefault="003E5223" w:rsidP="003E5223">
            <w:pPr>
              <w:pStyle w:val="TableText0"/>
              <w:keepNext w:val="0"/>
              <w:jc w:val="center"/>
            </w:pPr>
            <w:r w:rsidRPr="003E5223">
              <w:rPr>
                <w:color w:val="000000"/>
                <w:spacing w:val="174"/>
                <w:szCs w:val="20"/>
                <w:shd w:val="solid" w:color="000000" w:fill="000000"/>
                <w:fitText w:val="260" w:id="-893196799"/>
                <w14:textFill>
                  <w14:solidFill>
                    <w14:srgbClr w14:val="000000">
                      <w14:alpha w14:val="100000"/>
                    </w14:srgbClr>
                  </w14:solidFill>
                </w14:textFill>
              </w:rPr>
              <w:t>|</w:t>
            </w:r>
            <w:r w:rsidRPr="003E5223">
              <w:rPr>
                <w:color w:val="000000"/>
                <w:szCs w:val="20"/>
                <w:shd w:val="solid" w:color="000000" w:fill="000000"/>
                <w:fitText w:val="260" w:id="-893196799"/>
                <w14:textFill>
                  <w14:solidFill>
                    <w14:srgbClr w14:val="000000">
                      <w14:alpha w14:val="100000"/>
                    </w14:srgbClr>
                  </w14:solidFill>
                </w14:textFill>
              </w:rPr>
              <w:t>|</w:t>
            </w:r>
            <w:r w:rsidRPr="005464FA">
              <w:rPr>
                <w:color w:val="000000"/>
                <w:szCs w:val="20"/>
              </w:rPr>
              <w:t>%</w:t>
            </w:r>
          </w:p>
        </w:tc>
      </w:tr>
      <w:tr w:rsidR="003E5223" w:rsidRPr="005464FA" w14:paraId="63CA5BAC" w14:textId="77777777" w:rsidTr="00684C15">
        <w:tc>
          <w:tcPr>
            <w:tcW w:w="4668" w:type="dxa"/>
            <w:tcMar>
              <w:left w:w="255" w:type="dxa"/>
            </w:tcMar>
          </w:tcPr>
          <w:p w14:paraId="5968F39C" w14:textId="77777777" w:rsidR="003E5223" w:rsidRPr="005464FA" w:rsidRDefault="003E5223" w:rsidP="003E5223">
            <w:pPr>
              <w:pStyle w:val="TableText0"/>
              <w:keepNext w:val="0"/>
            </w:pPr>
            <w:r w:rsidRPr="005464FA">
              <w:t>Loglogistic used to extrapolate OS</w:t>
            </w:r>
          </w:p>
        </w:tc>
        <w:tc>
          <w:tcPr>
            <w:tcW w:w="1137" w:type="dxa"/>
            <w:tcBorders>
              <w:bottom w:val="single" w:sz="4" w:space="0" w:color="auto"/>
            </w:tcBorders>
            <w:shd w:val="clear" w:color="auto" w:fill="auto"/>
          </w:tcPr>
          <w:p w14:paraId="2A56A062" w14:textId="1165DBF6"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58539AFA" w14:textId="77777777" w:rsidR="003E5223" w:rsidRPr="005464FA" w:rsidRDefault="003E5223" w:rsidP="003E5223">
            <w:pPr>
              <w:pStyle w:val="TableText0"/>
              <w:keepNext w:val="0"/>
              <w:jc w:val="center"/>
            </w:pPr>
            <w:r w:rsidRPr="005464FA">
              <w:t>0.361</w:t>
            </w:r>
          </w:p>
        </w:tc>
        <w:tc>
          <w:tcPr>
            <w:tcW w:w="1133" w:type="dxa"/>
            <w:vAlign w:val="center"/>
          </w:tcPr>
          <w:p w14:paraId="1A6D5EAF" w14:textId="11BE7632" w:rsidR="003E5223" w:rsidRPr="005464FA" w:rsidRDefault="003E5223" w:rsidP="003E5223">
            <w:pPr>
              <w:pStyle w:val="TableText0"/>
              <w:keepNext w:val="0"/>
              <w:jc w:val="center"/>
            </w:pPr>
            <w:r w:rsidRPr="003E5223">
              <w:rPr>
                <w:rFonts w:hint="eastAsia"/>
                <w:color w:val="000000"/>
                <w:w w:val="27"/>
                <w:shd w:val="solid" w:color="000000" w:fill="000000"/>
                <w:fitText w:val="120" w:id="-893196797"/>
                <w14:textFill>
                  <w14:solidFill>
                    <w14:srgbClr w14:val="000000">
                      <w14:alpha w14:val="100000"/>
                    </w14:srgbClr>
                  </w14:solidFill>
                </w14:textFill>
              </w:rPr>
              <w:t xml:space="preserve">　</w:t>
            </w:r>
            <w:r w:rsidRPr="003E5223">
              <w:rPr>
                <w:color w:val="000000"/>
                <w:w w:val="27"/>
                <w:shd w:val="solid" w:color="000000" w:fill="000000"/>
                <w:fitText w:val="120" w:id="-893196797"/>
                <w14:textFill>
                  <w14:solidFill>
                    <w14:srgbClr w14:val="000000">
                      <w14:alpha w14:val="100000"/>
                    </w14:srgbClr>
                  </w14:solidFill>
                </w14:textFill>
              </w:rPr>
              <w:t>|</w:t>
            </w:r>
            <w:r w:rsidRPr="003E5223">
              <w:rPr>
                <w:rFonts w:hint="eastAsia"/>
                <w:color w:val="000000"/>
                <w:w w:val="27"/>
                <w:shd w:val="solid" w:color="000000" w:fill="000000"/>
                <w:fitText w:val="120" w:id="-893196797"/>
                <w14:textFill>
                  <w14:solidFill>
                    <w14:srgbClr w14:val="000000">
                      <w14:alpha w14:val="100000"/>
                    </w14:srgbClr>
                  </w14:solidFill>
                </w14:textFill>
              </w:rPr>
              <w:t xml:space="preserve">　</w:t>
            </w:r>
            <w:r>
              <w:rPr>
                <w:b/>
                <w:vertAlign w:val="superscript"/>
              </w:rPr>
              <w:t>1</w:t>
            </w:r>
          </w:p>
        </w:tc>
        <w:tc>
          <w:tcPr>
            <w:tcW w:w="942" w:type="dxa"/>
            <w:vAlign w:val="center"/>
          </w:tcPr>
          <w:p w14:paraId="70D62EB2" w14:textId="344DBF1B" w:rsidR="003E5223" w:rsidRPr="005464FA" w:rsidRDefault="003E5223" w:rsidP="003E5223">
            <w:pPr>
              <w:pStyle w:val="TableText0"/>
              <w:keepNext w:val="0"/>
              <w:jc w:val="center"/>
            </w:pPr>
            <w:r w:rsidRPr="003E5223">
              <w:rPr>
                <w:color w:val="000000"/>
                <w:spacing w:val="174"/>
                <w:szCs w:val="20"/>
                <w:shd w:val="solid" w:color="000000" w:fill="000000"/>
                <w:fitText w:val="260" w:id="-893196796"/>
                <w14:textFill>
                  <w14:solidFill>
                    <w14:srgbClr w14:val="000000">
                      <w14:alpha w14:val="100000"/>
                    </w14:srgbClr>
                  </w14:solidFill>
                </w14:textFill>
              </w:rPr>
              <w:t>|</w:t>
            </w:r>
            <w:r w:rsidRPr="003E5223">
              <w:rPr>
                <w:color w:val="000000"/>
                <w:szCs w:val="20"/>
                <w:shd w:val="solid" w:color="000000" w:fill="000000"/>
                <w:fitText w:val="260" w:id="-893196796"/>
                <w14:textFill>
                  <w14:solidFill>
                    <w14:srgbClr w14:val="000000">
                      <w14:alpha w14:val="100000"/>
                    </w14:srgbClr>
                  </w14:solidFill>
                </w14:textFill>
              </w:rPr>
              <w:t>|</w:t>
            </w:r>
            <w:r w:rsidRPr="005464FA">
              <w:rPr>
                <w:color w:val="000000"/>
                <w:szCs w:val="20"/>
              </w:rPr>
              <w:t>%</w:t>
            </w:r>
          </w:p>
        </w:tc>
      </w:tr>
      <w:tr w:rsidR="00D16D4E" w:rsidRPr="005464FA" w14:paraId="4AFB886D" w14:textId="77777777" w:rsidTr="003E5223">
        <w:tc>
          <w:tcPr>
            <w:tcW w:w="4668" w:type="dxa"/>
            <w:tcMar>
              <w:left w:w="255" w:type="dxa"/>
            </w:tcMar>
          </w:tcPr>
          <w:p w14:paraId="68705F29" w14:textId="77777777" w:rsidR="00D16D4E" w:rsidRPr="005464FA" w:rsidRDefault="00D16D4E" w:rsidP="00465790">
            <w:pPr>
              <w:pStyle w:val="TableText0"/>
              <w:keepNext w:val="0"/>
            </w:pPr>
            <w:r w:rsidRPr="005464FA">
              <w:t>Extended OS follow-up (Robson 2023) used to extrapolate OS</w:t>
            </w:r>
          </w:p>
        </w:tc>
        <w:tc>
          <w:tcPr>
            <w:tcW w:w="1137" w:type="dxa"/>
            <w:shd w:val="clear" w:color="auto" w:fill="auto"/>
            <w:vAlign w:val="center"/>
          </w:tcPr>
          <w:p w14:paraId="39FF8CC0" w14:textId="4D541417" w:rsidR="00D16D4E" w:rsidRPr="003E5223" w:rsidRDefault="003E5223" w:rsidP="00465790">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1BC767F6" w14:textId="77777777" w:rsidR="00D16D4E" w:rsidRPr="005464FA" w:rsidRDefault="00D16D4E" w:rsidP="00465790">
            <w:pPr>
              <w:pStyle w:val="TableText0"/>
              <w:keepNext w:val="0"/>
              <w:jc w:val="center"/>
            </w:pPr>
            <w:r w:rsidRPr="005464FA">
              <w:t>0.397</w:t>
            </w:r>
          </w:p>
        </w:tc>
        <w:tc>
          <w:tcPr>
            <w:tcW w:w="1133" w:type="dxa"/>
            <w:vAlign w:val="center"/>
          </w:tcPr>
          <w:p w14:paraId="4BEC0369" w14:textId="2E71F2DD" w:rsidR="00D16D4E" w:rsidRPr="005464FA" w:rsidRDefault="005F522F" w:rsidP="00465790">
            <w:pPr>
              <w:pStyle w:val="TableText0"/>
              <w:keepNext w:val="0"/>
              <w:jc w:val="center"/>
            </w:pPr>
            <w:r w:rsidRPr="003E5223">
              <w:rPr>
                <w:rFonts w:hint="eastAsia"/>
                <w:color w:val="000000"/>
                <w:w w:val="27"/>
                <w:shd w:val="solid" w:color="000000" w:fill="000000"/>
                <w:fitText w:val="120" w:id="-893196794"/>
                <w14:textFill>
                  <w14:solidFill>
                    <w14:srgbClr w14:val="000000">
                      <w14:alpha w14:val="100000"/>
                    </w14:srgbClr>
                  </w14:solidFill>
                </w14:textFill>
              </w:rPr>
              <w:t xml:space="preserve">　</w:t>
            </w:r>
            <w:r w:rsidRPr="003E5223">
              <w:rPr>
                <w:color w:val="000000"/>
                <w:w w:val="27"/>
                <w:shd w:val="solid" w:color="000000" w:fill="000000"/>
                <w:fitText w:val="120" w:id="-893196794"/>
                <w14:textFill>
                  <w14:solidFill>
                    <w14:srgbClr w14:val="000000">
                      <w14:alpha w14:val="100000"/>
                    </w14:srgbClr>
                  </w14:solidFill>
                </w14:textFill>
              </w:rPr>
              <w:t>|</w:t>
            </w:r>
            <w:r w:rsidRPr="003E5223">
              <w:rPr>
                <w:rFonts w:hint="eastAsia"/>
                <w:color w:val="000000"/>
                <w:w w:val="27"/>
                <w:shd w:val="solid" w:color="000000" w:fill="000000"/>
                <w:fitText w:val="120" w:id="-893196794"/>
                <w14:textFill>
                  <w14:solidFill>
                    <w14:srgbClr w14:val="000000">
                      <w14:alpha w14:val="100000"/>
                    </w14:srgbClr>
                  </w14:solidFill>
                </w14:textFill>
              </w:rPr>
              <w:t xml:space="preserve">　</w:t>
            </w:r>
            <w:r w:rsidR="0015679A">
              <w:rPr>
                <w:b/>
                <w:vertAlign w:val="superscript"/>
              </w:rPr>
              <w:t>1</w:t>
            </w:r>
          </w:p>
        </w:tc>
        <w:tc>
          <w:tcPr>
            <w:tcW w:w="942" w:type="dxa"/>
            <w:vAlign w:val="center"/>
          </w:tcPr>
          <w:p w14:paraId="384BB214" w14:textId="68851285" w:rsidR="00D16D4E" w:rsidRPr="005464FA" w:rsidRDefault="00D16D4E" w:rsidP="00465790">
            <w:pPr>
              <w:pStyle w:val="TableText0"/>
              <w:keepNext w:val="0"/>
              <w:jc w:val="center"/>
            </w:pPr>
            <w:r w:rsidRPr="005464FA">
              <w:rPr>
                <w:color w:val="000000"/>
                <w:szCs w:val="20"/>
              </w:rPr>
              <w:t>-</w:t>
            </w:r>
            <w:r w:rsidR="005F522F" w:rsidRPr="003E5223">
              <w:rPr>
                <w:color w:val="000000"/>
                <w:spacing w:val="204"/>
                <w:szCs w:val="20"/>
                <w:shd w:val="solid" w:color="000000" w:fill="000000"/>
                <w:fitText w:val="290" w:id="-893196793"/>
                <w14:textFill>
                  <w14:solidFill>
                    <w14:srgbClr w14:val="000000">
                      <w14:alpha w14:val="100000"/>
                    </w14:srgbClr>
                  </w14:solidFill>
                </w14:textFill>
              </w:rPr>
              <w:t>|</w:t>
            </w:r>
            <w:r w:rsidR="005F522F" w:rsidRPr="003E5223">
              <w:rPr>
                <w:color w:val="000000"/>
                <w:szCs w:val="20"/>
                <w:shd w:val="solid" w:color="000000" w:fill="000000"/>
                <w:fitText w:val="290" w:id="-893196793"/>
                <w14:textFill>
                  <w14:solidFill>
                    <w14:srgbClr w14:val="000000">
                      <w14:alpha w14:val="100000"/>
                    </w14:srgbClr>
                  </w14:solidFill>
                </w14:textFill>
              </w:rPr>
              <w:t>|</w:t>
            </w:r>
            <w:r w:rsidRPr="005464FA">
              <w:rPr>
                <w:color w:val="000000"/>
                <w:szCs w:val="20"/>
              </w:rPr>
              <w:t>%</w:t>
            </w:r>
          </w:p>
        </w:tc>
      </w:tr>
      <w:tr w:rsidR="00D16D4E" w:rsidRPr="005464FA" w14:paraId="6F021123" w14:textId="77777777" w:rsidTr="003E5223">
        <w:tc>
          <w:tcPr>
            <w:tcW w:w="4668" w:type="dxa"/>
          </w:tcPr>
          <w:p w14:paraId="4FE03929" w14:textId="77777777" w:rsidR="00D16D4E" w:rsidRPr="005464FA" w:rsidRDefault="00D16D4E" w:rsidP="00465790">
            <w:pPr>
              <w:pStyle w:val="TableText0"/>
              <w:keepNext w:val="0"/>
            </w:pPr>
            <w:r w:rsidRPr="005464FA">
              <w:t>Utilities</w:t>
            </w:r>
          </w:p>
        </w:tc>
        <w:tc>
          <w:tcPr>
            <w:tcW w:w="1137" w:type="dxa"/>
            <w:tcBorders>
              <w:bottom w:val="single" w:sz="4" w:space="0" w:color="auto"/>
            </w:tcBorders>
            <w:shd w:val="clear" w:color="auto" w:fill="auto"/>
            <w:vAlign w:val="center"/>
          </w:tcPr>
          <w:p w14:paraId="67FDBC0C" w14:textId="77777777" w:rsidR="00D16D4E" w:rsidRPr="003E5223" w:rsidRDefault="00D16D4E" w:rsidP="00465790">
            <w:pPr>
              <w:pStyle w:val="TableText0"/>
              <w:keepNext w:val="0"/>
              <w:jc w:val="center"/>
              <w:rPr>
                <w:szCs w:val="20"/>
              </w:rPr>
            </w:pPr>
          </w:p>
        </w:tc>
        <w:tc>
          <w:tcPr>
            <w:tcW w:w="1137" w:type="dxa"/>
            <w:vAlign w:val="center"/>
          </w:tcPr>
          <w:p w14:paraId="0C24169E" w14:textId="77777777" w:rsidR="00D16D4E" w:rsidRPr="005464FA" w:rsidRDefault="00D16D4E" w:rsidP="00465790">
            <w:pPr>
              <w:pStyle w:val="TableText0"/>
              <w:keepNext w:val="0"/>
              <w:jc w:val="center"/>
            </w:pPr>
          </w:p>
        </w:tc>
        <w:tc>
          <w:tcPr>
            <w:tcW w:w="1133" w:type="dxa"/>
            <w:vAlign w:val="center"/>
          </w:tcPr>
          <w:p w14:paraId="5F846158" w14:textId="77777777" w:rsidR="00D16D4E" w:rsidRPr="005464FA" w:rsidRDefault="00D16D4E" w:rsidP="00465790">
            <w:pPr>
              <w:pStyle w:val="TableText0"/>
              <w:keepNext w:val="0"/>
              <w:jc w:val="center"/>
              <w:rPr>
                <w:szCs w:val="20"/>
              </w:rPr>
            </w:pPr>
          </w:p>
        </w:tc>
        <w:tc>
          <w:tcPr>
            <w:tcW w:w="942" w:type="dxa"/>
            <w:vAlign w:val="center"/>
          </w:tcPr>
          <w:p w14:paraId="749764C7" w14:textId="77777777" w:rsidR="00D16D4E" w:rsidRPr="005464FA" w:rsidRDefault="00D16D4E" w:rsidP="00465790">
            <w:pPr>
              <w:pStyle w:val="TableText0"/>
              <w:keepNext w:val="0"/>
              <w:jc w:val="center"/>
              <w:rPr>
                <w:szCs w:val="20"/>
              </w:rPr>
            </w:pPr>
          </w:p>
        </w:tc>
      </w:tr>
      <w:tr w:rsidR="003E5223" w:rsidRPr="005464FA" w14:paraId="76D1E5FE" w14:textId="77777777" w:rsidTr="003D794F">
        <w:tc>
          <w:tcPr>
            <w:tcW w:w="4668" w:type="dxa"/>
            <w:tcMar>
              <w:left w:w="255" w:type="dxa"/>
            </w:tcMar>
          </w:tcPr>
          <w:p w14:paraId="3D586CAB" w14:textId="7BBF9DE4" w:rsidR="003E5223" w:rsidRPr="005464FA" w:rsidRDefault="003E5223" w:rsidP="003E5223">
            <w:pPr>
              <w:pStyle w:val="TableText0"/>
              <w:keepNext w:val="0"/>
            </w:pPr>
            <w:r w:rsidRPr="005464FA">
              <w:t xml:space="preserve">Removal of treatment-specific utility scores in both PFS1 and PFS2 </w:t>
            </w:r>
            <w:r w:rsidRPr="005464FA">
              <w:rPr>
                <w:i/>
                <w:iCs/>
              </w:rPr>
              <w:t>#1</w:t>
            </w:r>
          </w:p>
        </w:tc>
        <w:tc>
          <w:tcPr>
            <w:tcW w:w="1137" w:type="dxa"/>
            <w:tcBorders>
              <w:bottom w:val="single" w:sz="4" w:space="0" w:color="auto"/>
            </w:tcBorders>
            <w:shd w:val="clear" w:color="auto" w:fill="auto"/>
          </w:tcPr>
          <w:p w14:paraId="044DA6D4" w14:textId="45CFBE36"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3205CA2A" w14:textId="77777777" w:rsidR="003E5223" w:rsidRPr="005464FA" w:rsidRDefault="003E5223" w:rsidP="003E5223">
            <w:pPr>
              <w:pStyle w:val="TableText0"/>
              <w:keepNext w:val="0"/>
              <w:jc w:val="center"/>
            </w:pPr>
            <w:r w:rsidRPr="005464FA">
              <w:t>0.311</w:t>
            </w:r>
          </w:p>
        </w:tc>
        <w:tc>
          <w:tcPr>
            <w:tcW w:w="1133" w:type="dxa"/>
            <w:vAlign w:val="center"/>
          </w:tcPr>
          <w:p w14:paraId="23297B1C" w14:textId="5D695AF2" w:rsidR="003E5223" w:rsidRPr="005464FA" w:rsidRDefault="003E5223" w:rsidP="003E5223">
            <w:pPr>
              <w:pStyle w:val="TableText0"/>
              <w:keepNext w:val="0"/>
              <w:jc w:val="center"/>
            </w:pPr>
            <w:r w:rsidRPr="003E5223">
              <w:rPr>
                <w:rFonts w:hint="eastAsia"/>
                <w:color w:val="000000"/>
                <w:w w:val="27"/>
                <w:shd w:val="solid" w:color="000000" w:fill="000000"/>
                <w:fitText w:val="120" w:id="-893196791"/>
                <w14:textFill>
                  <w14:solidFill>
                    <w14:srgbClr w14:val="000000">
                      <w14:alpha w14:val="100000"/>
                    </w14:srgbClr>
                  </w14:solidFill>
                </w14:textFill>
              </w:rPr>
              <w:t xml:space="preserve">　</w:t>
            </w:r>
            <w:r w:rsidRPr="003E5223">
              <w:rPr>
                <w:color w:val="000000"/>
                <w:w w:val="27"/>
                <w:shd w:val="solid" w:color="000000" w:fill="000000"/>
                <w:fitText w:val="120" w:id="-893196791"/>
                <w14:textFill>
                  <w14:solidFill>
                    <w14:srgbClr w14:val="000000">
                      <w14:alpha w14:val="100000"/>
                    </w14:srgbClr>
                  </w14:solidFill>
                </w14:textFill>
              </w:rPr>
              <w:t>|</w:t>
            </w:r>
            <w:r w:rsidRPr="003E5223">
              <w:rPr>
                <w:rFonts w:hint="eastAsia"/>
                <w:color w:val="000000"/>
                <w:w w:val="27"/>
                <w:shd w:val="solid" w:color="000000" w:fill="000000"/>
                <w:fitText w:val="120" w:id="-893196791"/>
                <w14:textFill>
                  <w14:solidFill>
                    <w14:srgbClr w14:val="000000">
                      <w14:alpha w14:val="100000"/>
                    </w14:srgbClr>
                  </w14:solidFill>
                </w14:textFill>
              </w:rPr>
              <w:t xml:space="preserve">　</w:t>
            </w:r>
            <w:r>
              <w:rPr>
                <w:b/>
                <w:vertAlign w:val="superscript"/>
              </w:rPr>
              <w:t>3</w:t>
            </w:r>
          </w:p>
        </w:tc>
        <w:tc>
          <w:tcPr>
            <w:tcW w:w="942" w:type="dxa"/>
            <w:vAlign w:val="center"/>
          </w:tcPr>
          <w:p w14:paraId="0964B073" w14:textId="64EA6E5D" w:rsidR="003E5223" w:rsidRPr="005464FA" w:rsidRDefault="003E5223" w:rsidP="003E5223">
            <w:pPr>
              <w:pStyle w:val="TableText0"/>
              <w:keepNext w:val="0"/>
              <w:jc w:val="center"/>
            </w:pPr>
            <w:r w:rsidRPr="003E5223">
              <w:rPr>
                <w:color w:val="000000"/>
                <w:spacing w:val="174"/>
                <w:szCs w:val="20"/>
                <w:shd w:val="solid" w:color="000000" w:fill="000000"/>
                <w:fitText w:val="260" w:id="-893196790"/>
                <w14:textFill>
                  <w14:solidFill>
                    <w14:srgbClr w14:val="000000">
                      <w14:alpha w14:val="100000"/>
                    </w14:srgbClr>
                  </w14:solidFill>
                </w14:textFill>
              </w:rPr>
              <w:t>|</w:t>
            </w:r>
            <w:r w:rsidRPr="003E5223">
              <w:rPr>
                <w:color w:val="000000"/>
                <w:szCs w:val="20"/>
                <w:shd w:val="solid" w:color="000000" w:fill="000000"/>
                <w:fitText w:val="260" w:id="-893196790"/>
                <w14:textFill>
                  <w14:solidFill>
                    <w14:srgbClr w14:val="000000">
                      <w14:alpha w14:val="100000"/>
                    </w14:srgbClr>
                  </w14:solidFill>
                </w14:textFill>
              </w:rPr>
              <w:t>|</w:t>
            </w:r>
            <w:r w:rsidRPr="005464FA">
              <w:rPr>
                <w:color w:val="000000"/>
                <w:szCs w:val="20"/>
              </w:rPr>
              <w:t>%</w:t>
            </w:r>
          </w:p>
        </w:tc>
      </w:tr>
      <w:tr w:rsidR="003E5223" w:rsidRPr="005464FA" w14:paraId="5D1383B2" w14:textId="77777777" w:rsidTr="003D794F">
        <w:tc>
          <w:tcPr>
            <w:tcW w:w="4668" w:type="dxa"/>
            <w:tcMar>
              <w:left w:w="255" w:type="dxa"/>
            </w:tcMar>
          </w:tcPr>
          <w:p w14:paraId="6D7146A5" w14:textId="77777777" w:rsidR="003E5223" w:rsidRPr="005464FA" w:rsidRDefault="003E5223" w:rsidP="003E5223">
            <w:pPr>
              <w:pStyle w:val="TableText0"/>
              <w:keepNext w:val="0"/>
            </w:pPr>
            <w:r w:rsidRPr="005464FA">
              <w:t>Removal of treatment-specific utility scores in PFS2 only</w:t>
            </w:r>
          </w:p>
        </w:tc>
        <w:tc>
          <w:tcPr>
            <w:tcW w:w="1137" w:type="dxa"/>
            <w:tcBorders>
              <w:bottom w:val="single" w:sz="4" w:space="0" w:color="auto"/>
            </w:tcBorders>
            <w:shd w:val="clear" w:color="auto" w:fill="auto"/>
          </w:tcPr>
          <w:p w14:paraId="2DB00E12" w14:textId="7C7810FA"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56189231" w14:textId="77777777" w:rsidR="003E5223" w:rsidRPr="005464FA" w:rsidRDefault="003E5223" w:rsidP="003E5223">
            <w:pPr>
              <w:pStyle w:val="TableText0"/>
              <w:keepNext w:val="0"/>
              <w:jc w:val="center"/>
            </w:pPr>
            <w:r w:rsidRPr="005464FA">
              <w:t>0.355</w:t>
            </w:r>
          </w:p>
        </w:tc>
        <w:tc>
          <w:tcPr>
            <w:tcW w:w="1133" w:type="dxa"/>
            <w:vAlign w:val="center"/>
          </w:tcPr>
          <w:p w14:paraId="07AD50D9" w14:textId="297B703A" w:rsidR="003E5223" w:rsidRPr="005464FA" w:rsidRDefault="003E5223" w:rsidP="003E5223">
            <w:pPr>
              <w:pStyle w:val="TableText0"/>
              <w:keepNext w:val="0"/>
              <w:jc w:val="center"/>
            </w:pPr>
            <w:r w:rsidRPr="003E5223">
              <w:rPr>
                <w:rFonts w:hint="eastAsia"/>
                <w:color w:val="000000"/>
                <w:w w:val="27"/>
                <w:shd w:val="solid" w:color="000000" w:fill="000000"/>
                <w:fitText w:val="120" w:id="-893196788"/>
                <w14:textFill>
                  <w14:solidFill>
                    <w14:srgbClr w14:val="000000">
                      <w14:alpha w14:val="100000"/>
                    </w14:srgbClr>
                  </w14:solidFill>
                </w14:textFill>
              </w:rPr>
              <w:t xml:space="preserve">　</w:t>
            </w:r>
            <w:r w:rsidRPr="003E5223">
              <w:rPr>
                <w:color w:val="000000"/>
                <w:w w:val="27"/>
                <w:shd w:val="solid" w:color="000000" w:fill="000000"/>
                <w:fitText w:val="120" w:id="-893196788"/>
                <w14:textFill>
                  <w14:solidFill>
                    <w14:srgbClr w14:val="000000">
                      <w14:alpha w14:val="100000"/>
                    </w14:srgbClr>
                  </w14:solidFill>
                </w14:textFill>
              </w:rPr>
              <w:t>|</w:t>
            </w:r>
            <w:r w:rsidRPr="003E5223">
              <w:rPr>
                <w:rFonts w:hint="eastAsia"/>
                <w:color w:val="000000"/>
                <w:w w:val="27"/>
                <w:shd w:val="solid" w:color="000000" w:fill="000000"/>
                <w:fitText w:val="120" w:id="-893196788"/>
                <w14:textFill>
                  <w14:solidFill>
                    <w14:srgbClr w14:val="000000">
                      <w14:alpha w14:val="100000"/>
                    </w14:srgbClr>
                  </w14:solidFill>
                </w14:textFill>
              </w:rPr>
              <w:t xml:space="preserve">　</w:t>
            </w:r>
            <w:r>
              <w:rPr>
                <w:b/>
                <w:vertAlign w:val="superscript"/>
              </w:rPr>
              <w:t>1</w:t>
            </w:r>
          </w:p>
        </w:tc>
        <w:tc>
          <w:tcPr>
            <w:tcW w:w="942" w:type="dxa"/>
            <w:vAlign w:val="center"/>
          </w:tcPr>
          <w:p w14:paraId="1F034FA7" w14:textId="77AE2490" w:rsidR="003E5223" w:rsidRPr="005464FA" w:rsidRDefault="003E5223" w:rsidP="003E5223">
            <w:pPr>
              <w:pStyle w:val="TableText0"/>
              <w:keepNext w:val="0"/>
              <w:jc w:val="center"/>
            </w:pPr>
            <w:r w:rsidRPr="003E5223">
              <w:rPr>
                <w:color w:val="000000"/>
                <w:spacing w:val="174"/>
                <w:szCs w:val="20"/>
                <w:shd w:val="solid" w:color="000000" w:fill="000000"/>
                <w:fitText w:val="260" w:id="-893196787"/>
                <w14:textFill>
                  <w14:solidFill>
                    <w14:srgbClr w14:val="000000">
                      <w14:alpha w14:val="100000"/>
                    </w14:srgbClr>
                  </w14:solidFill>
                </w14:textFill>
              </w:rPr>
              <w:t>|</w:t>
            </w:r>
            <w:r w:rsidRPr="003E5223">
              <w:rPr>
                <w:color w:val="000000"/>
                <w:szCs w:val="20"/>
                <w:shd w:val="solid" w:color="000000" w:fill="000000"/>
                <w:fitText w:val="260" w:id="-893196787"/>
                <w14:textFill>
                  <w14:solidFill>
                    <w14:srgbClr w14:val="000000">
                      <w14:alpha w14:val="100000"/>
                    </w14:srgbClr>
                  </w14:solidFill>
                </w14:textFill>
              </w:rPr>
              <w:t>|</w:t>
            </w:r>
            <w:r w:rsidRPr="005464FA">
              <w:rPr>
                <w:color w:val="000000"/>
                <w:szCs w:val="20"/>
              </w:rPr>
              <w:t>%</w:t>
            </w:r>
          </w:p>
        </w:tc>
      </w:tr>
      <w:tr w:rsidR="003E5223" w:rsidRPr="005464FA" w14:paraId="7305AF59" w14:textId="77777777" w:rsidTr="003E5223">
        <w:tc>
          <w:tcPr>
            <w:tcW w:w="4668" w:type="dxa"/>
            <w:tcMar>
              <w:left w:w="255" w:type="dxa"/>
            </w:tcMar>
          </w:tcPr>
          <w:p w14:paraId="50B02F2F" w14:textId="77777777" w:rsidR="003E5223" w:rsidRPr="005464FA" w:rsidRDefault="003E5223" w:rsidP="003E5223">
            <w:pPr>
              <w:pStyle w:val="TableText0"/>
              <w:keepNext w:val="0"/>
            </w:pPr>
            <w:r w:rsidRPr="005464FA">
              <w:t>Utility in PFS2 set to same as PD</w:t>
            </w:r>
          </w:p>
        </w:tc>
        <w:tc>
          <w:tcPr>
            <w:tcW w:w="1137" w:type="dxa"/>
            <w:shd w:val="clear" w:color="auto" w:fill="auto"/>
            <w:vAlign w:val="center"/>
          </w:tcPr>
          <w:p w14:paraId="120F1104" w14:textId="489D1D71"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670C925A" w14:textId="77777777" w:rsidR="003E5223" w:rsidRPr="005464FA" w:rsidRDefault="003E5223" w:rsidP="003E5223">
            <w:pPr>
              <w:pStyle w:val="TableText0"/>
              <w:keepNext w:val="0"/>
              <w:jc w:val="center"/>
            </w:pPr>
            <w:r w:rsidRPr="005464FA">
              <w:t>0.308</w:t>
            </w:r>
          </w:p>
        </w:tc>
        <w:tc>
          <w:tcPr>
            <w:tcW w:w="1133" w:type="dxa"/>
            <w:vAlign w:val="center"/>
          </w:tcPr>
          <w:p w14:paraId="685786F8" w14:textId="30F07579" w:rsidR="003E5223" w:rsidRPr="005464FA" w:rsidRDefault="003E5223" w:rsidP="003E5223">
            <w:pPr>
              <w:pStyle w:val="TableText0"/>
              <w:keepNext w:val="0"/>
              <w:jc w:val="center"/>
            </w:pPr>
            <w:r w:rsidRPr="003E5223">
              <w:rPr>
                <w:rFonts w:hint="eastAsia"/>
                <w:color w:val="000000"/>
                <w:w w:val="27"/>
                <w:shd w:val="solid" w:color="000000" w:fill="000000"/>
                <w:fitText w:val="120" w:id="-893196785"/>
                <w14:textFill>
                  <w14:solidFill>
                    <w14:srgbClr w14:val="000000">
                      <w14:alpha w14:val="100000"/>
                    </w14:srgbClr>
                  </w14:solidFill>
                </w14:textFill>
              </w:rPr>
              <w:t xml:space="preserve">　</w:t>
            </w:r>
            <w:r w:rsidRPr="003E5223">
              <w:rPr>
                <w:color w:val="000000"/>
                <w:w w:val="27"/>
                <w:shd w:val="solid" w:color="000000" w:fill="000000"/>
                <w:fitText w:val="120" w:id="-893196785"/>
                <w14:textFill>
                  <w14:solidFill>
                    <w14:srgbClr w14:val="000000">
                      <w14:alpha w14:val="100000"/>
                    </w14:srgbClr>
                  </w14:solidFill>
                </w14:textFill>
              </w:rPr>
              <w:t>|</w:t>
            </w:r>
            <w:r w:rsidRPr="003E5223">
              <w:rPr>
                <w:rFonts w:hint="eastAsia"/>
                <w:color w:val="000000"/>
                <w:w w:val="27"/>
                <w:shd w:val="solid" w:color="000000" w:fill="000000"/>
                <w:fitText w:val="120" w:id="-893196785"/>
                <w14:textFill>
                  <w14:solidFill>
                    <w14:srgbClr w14:val="000000">
                      <w14:alpha w14:val="100000"/>
                    </w14:srgbClr>
                  </w14:solidFill>
                </w14:textFill>
              </w:rPr>
              <w:t xml:space="preserve">　</w:t>
            </w:r>
            <w:r>
              <w:rPr>
                <w:b/>
                <w:vertAlign w:val="superscript"/>
              </w:rPr>
              <w:t>3</w:t>
            </w:r>
          </w:p>
        </w:tc>
        <w:tc>
          <w:tcPr>
            <w:tcW w:w="942" w:type="dxa"/>
            <w:vAlign w:val="center"/>
          </w:tcPr>
          <w:p w14:paraId="00E1D71A" w14:textId="4A2DD9AE" w:rsidR="003E5223" w:rsidRPr="005464FA" w:rsidRDefault="003E5223" w:rsidP="003E5223">
            <w:pPr>
              <w:pStyle w:val="TableText0"/>
              <w:keepNext w:val="0"/>
              <w:jc w:val="center"/>
            </w:pPr>
            <w:r w:rsidRPr="003E5223">
              <w:rPr>
                <w:color w:val="000000"/>
                <w:spacing w:val="174"/>
                <w:szCs w:val="20"/>
                <w:shd w:val="solid" w:color="000000" w:fill="000000"/>
                <w:fitText w:val="260" w:id="-893196784"/>
                <w14:textFill>
                  <w14:solidFill>
                    <w14:srgbClr w14:val="000000">
                      <w14:alpha w14:val="100000"/>
                    </w14:srgbClr>
                  </w14:solidFill>
                </w14:textFill>
              </w:rPr>
              <w:t>|</w:t>
            </w:r>
            <w:r w:rsidRPr="003E5223">
              <w:rPr>
                <w:color w:val="000000"/>
                <w:szCs w:val="20"/>
                <w:shd w:val="solid" w:color="000000" w:fill="000000"/>
                <w:fitText w:val="260" w:id="-893196784"/>
                <w14:textFill>
                  <w14:solidFill>
                    <w14:srgbClr w14:val="000000">
                      <w14:alpha w14:val="100000"/>
                    </w14:srgbClr>
                  </w14:solidFill>
                </w14:textFill>
              </w:rPr>
              <w:t>|</w:t>
            </w:r>
            <w:r w:rsidRPr="005464FA">
              <w:rPr>
                <w:color w:val="000000"/>
                <w:szCs w:val="20"/>
              </w:rPr>
              <w:t>%</w:t>
            </w:r>
          </w:p>
        </w:tc>
      </w:tr>
      <w:tr w:rsidR="00D16D4E" w:rsidRPr="005464FA" w14:paraId="355C4854" w14:textId="77777777" w:rsidTr="003E5223">
        <w:tc>
          <w:tcPr>
            <w:tcW w:w="4668" w:type="dxa"/>
          </w:tcPr>
          <w:p w14:paraId="3C24DE4C" w14:textId="77777777" w:rsidR="00D16D4E" w:rsidRPr="005464FA" w:rsidRDefault="00D16D4E" w:rsidP="00465790">
            <w:pPr>
              <w:pStyle w:val="TableText0"/>
              <w:keepNext w:val="0"/>
            </w:pPr>
            <w:r w:rsidRPr="005464FA">
              <w:t>Costs</w:t>
            </w:r>
          </w:p>
        </w:tc>
        <w:tc>
          <w:tcPr>
            <w:tcW w:w="1137" w:type="dxa"/>
            <w:tcBorders>
              <w:bottom w:val="single" w:sz="4" w:space="0" w:color="auto"/>
            </w:tcBorders>
            <w:shd w:val="clear" w:color="auto" w:fill="auto"/>
            <w:vAlign w:val="center"/>
          </w:tcPr>
          <w:p w14:paraId="6D70DD4D" w14:textId="77777777" w:rsidR="00D16D4E" w:rsidRPr="003E5223" w:rsidRDefault="00D16D4E" w:rsidP="00465790">
            <w:pPr>
              <w:pStyle w:val="TableText0"/>
              <w:keepNext w:val="0"/>
              <w:jc w:val="center"/>
              <w:rPr>
                <w:szCs w:val="20"/>
              </w:rPr>
            </w:pPr>
          </w:p>
        </w:tc>
        <w:tc>
          <w:tcPr>
            <w:tcW w:w="1137" w:type="dxa"/>
            <w:vAlign w:val="center"/>
          </w:tcPr>
          <w:p w14:paraId="1DE6CF0E" w14:textId="77777777" w:rsidR="00D16D4E" w:rsidRPr="005464FA" w:rsidRDefault="00D16D4E" w:rsidP="00465790">
            <w:pPr>
              <w:pStyle w:val="TableText0"/>
              <w:keepNext w:val="0"/>
              <w:jc w:val="center"/>
            </w:pPr>
          </w:p>
        </w:tc>
        <w:tc>
          <w:tcPr>
            <w:tcW w:w="1133" w:type="dxa"/>
            <w:vAlign w:val="center"/>
          </w:tcPr>
          <w:p w14:paraId="3AA21E22" w14:textId="77777777" w:rsidR="00D16D4E" w:rsidRPr="005464FA" w:rsidRDefault="00D16D4E" w:rsidP="00465790">
            <w:pPr>
              <w:pStyle w:val="TableText0"/>
              <w:keepNext w:val="0"/>
              <w:jc w:val="center"/>
              <w:rPr>
                <w:szCs w:val="20"/>
              </w:rPr>
            </w:pPr>
          </w:p>
        </w:tc>
        <w:tc>
          <w:tcPr>
            <w:tcW w:w="942" w:type="dxa"/>
            <w:vAlign w:val="center"/>
          </w:tcPr>
          <w:p w14:paraId="786AD437" w14:textId="77777777" w:rsidR="00D16D4E" w:rsidRPr="005464FA" w:rsidRDefault="00D16D4E" w:rsidP="00465790">
            <w:pPr>
              <w:pStyle w:val="TableText0"/>
              <w:keepNext w:val="0"/>
              <w:jc w:val="center"/>
              <w:rPr>
                <w:szCs w:val="20"/>
              </w:rPr>
            </w:pPr>
          </w:p>
        </w:tc>
      </w:tr>
      <w:tr w:rsidR="003E5223" w:rsidRPr="005464FA" w14:paraId="6F31D9E7" w14:textId="77777777" w:rsidTr="00AE41B8">
        <w:tc>
          <w:tcPr>
            <w:tcW w:w="4668" w:type="dxa"/>
            <w:tcMar>
              <w:left w:w="255" w:type="dxa"/>
            </w:tcMar>
          </w:tcPr>
          <w:p w14:paraId="5AD49050" w14:textId="2F8C9235" w:rsidR="003E5223" w:rsidRPr="005464FA" w:rsidRDefault="003E5223" w:rsidP="003E5223">
            <w:pPr>
              <w:pStyle w:val="TableText0"/>
              <w:keepNext w:val="0"/>
            </w:pPr>
            <w:r w:rsidRPr="005464FA">
              <w:t xml:space="preserve">Account for </w:t>
            </w:r>
            <w:r w:rsidRPr="005464FA">
              <w:rPr>
                <w:i/>
              </w:rPr>
              <w:t>BRCA</w:t>
            </w:r>
            <w:r w:rsidRPr="005464FA">
              <w:t xml:space="preserve">m prevalence in testing </w:t>
            </w:r>
            <w:r w:rsidRPr="005464FA">
              <w:rPr>
                <w:vertAlign w:val="superscript"/>
              </w:rPr>
              <w:t>a</w:t>
            </w:r>
          </w:p>
        </w:tc>
        <w:tc>
          <w:tcPr>
            <w:tcW w:w="1137" w:type="dxa"/>
            <w:tcBorders>
              <w:bottom w:val="single" w:sz="4" w:space="0" w:color="auto"/>
            </w:tcBorders>
            <w:shd w:val="clear" w:color="auto" w:fill="auto"/>
          </w:tcPr>
          <w:p w14:paraId="27B12BB3" w14:textId="579C725D"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52E63550" w14:textId="510E4D24" w:rsidR="003E5223" w:rsidRPr="005464FA" w:rsidRDefault="003E5223" w:rsidP="003E5223">
            <w:pPr>
              <w:pStyle w:val="TableText0"/>
              <w:keepNext w:val="0"/>
              <w:jc w:val="center"/>
            </w:pPr>
            <w:r w:rsidRPr="005464FA">
              <w:t>0.383</w:t>
            </w:r>
          </w:p>
        </w:tc>
        <w:tc>
          <w:tcPr>
            <w:tcW w:w="1133" w:type="dxa"/>
            <w:vAlign w:val="center"/>
          </w:tcPr>
          <w:p w14:paraId="64981C3F" w14:textId="4540D648" w:rsidR="003E5223" w:rsidRPr="005464FA" w:rsidRDefault="003E5223" w:rsidP="003E5223">
            <w:pPr>
              <w:pStyle w:val="TableText0"/>
              <w:keepNext w:val="0"/>
              <w:jc w:val="center"/>
            </w:pPr>
            <w:r w:rsidRPr="003E5223">
              <w:rPr>
                <w:rFonts w:hint="eastAsia"/>
                <w:color w:val="000000"/>
                <w:w w:val="27"/>
                <w:szCs w:val="20"/>
                <w:shd w:val="solid" w:color="000000" w:fill="000000"/>
                <w:fitText w:val="120" w:id="-893196799"/>
                <w14:textFill>
                  <w14:solidFill>
                    <w14:srgbClr w14:val="000000">
                      <w14:alpha w14:val="100000"/>
                    </w14:srgbClr>
                  </w14:solidFill>
                </w14:textFill>
              </w:rPr>
              <w:t xml:space="preserve">　</w:t>
            </w:r>
            <w:r w:rsidRPr="003E5223">
              <w:rPr>
                <w:color w:val="000000"/>
                <w:w w:val="27"/>
                <w:szCs w:val="20"/>
                <w:shd w:val="solid" w:color="000000" w:fill="000000"/>
                <w:fitText w:val="120" w:id="-893196799"/>
                <w14:textFill>
                  <w14:solidFill>
                    <w14:srgbClr w14:val="000000">
                      <w14:alpha w14:val="100000"/>
                    </w14:srgbClr>
                  </w14:solidFill>
                </w14:textFill>
              </w:rPr>
              <w:t>|</w:t>
            </w:r>
            <w:r w:rsidRPr="003E5223">
              <w:rPr>
                <w:rFonts w:hint="eastAsia"/>
                <w:color w:val="000000"/>
                <w:w w:val="27"/>
                <w:szCs w:val="20"/>
                <w:shd w:val="solid" w:color="000000" w:fill="000000"/>
                <w:fitText w:val="120" w:id="-893196799"/>
                <w14:textFill>
                  <w14:solidFill>
                    <w14:srgbClr w14:val="000000">
                      <w14:alpha w14:val="100000"/>
                    </w14:srgbClr>
                  </w14:solidFill>
                </w14:textFill>
              </w:rPr>
              <w:t xml:space="preserve">　</w:t>
            </w:r>
            <w:r>
              <w:rPr>
                <w:b/>
                <w:vertAlign w:val="superscript"/>
              </w:rPr>
              <w:t>1</w:t>
            </w:r>
          </w:p>
        </w:tc>
        <w:tc>
          <w:tcPr>
            <w:tcW w:w="942" w:type="dxa"/>
            <w:vAlign w:val="center"/>
          </w:tcPr>
          <w:p w14:paraId="3A808317" w14:textId="029BE675" w:rsidR="003E5223" w:rsidRPr="005464FA" w:rsidRDefault="003E5223" w:rsidP="003E5223">
            <w:pPr>
              <w:pStyle w:val="TableText0"/>
              <w:keepNext w:val="0"/>
              <w:jc w:val="center"/>
            </w:pPr>
            <w:r w:rsidRPr="003E5223">
              <w:rPr>
                <w:color w:val="000000"/>
                <w:spacing w:val="174"/>
                <w:szCs w:val="20"/>
                <w:shd w:val="solid" w:color="000000" w:fill="000000"/>
                <w:fitText w:val="260" w:id="-893196798"/>
                <w14:textFill>
                  <w14:solidFill>
                    <w14:srgbClr w14:val="000000">
                      <w14:alpha w14:val="100000"/>
                    </w14:srgbClr>
                  </w14:solidFill>
                </w14:textFill>
              </w:rPr>
              <w:t>|</w:t>
            </w:r>
            <w:r w:rsidRPr="003E5223">
              <w:rPr>
                <w:color w:val="000000"/>
                <w:szCs w:val="20"/>
                <w:shd w:val="solid" w:color="000000" w:fill="000000"/>
                <w:fitText w:val="260" w:id="-893196798"/>
                <w14:textFill>
                  <w14:solidFill>
                    <w14:srgbClr w14:val="000000">
                      <w14:alpha w14:val="100000"/>
                    </w14:srgbClr>
                  </w14:solidFill>
                </w14:textFill>
              </w:rPr>
              <w:t>|</w:t>
            </w:r>
            <w:r w:rsidRPr="005464FA">
              <w:rPr>
                <w:color w:val="000000"/>
                <w:szCs w:val="20"/>
              </w:rPr>
              <w:t>%</w:t>
            </w:r>
          </w:p>
        </w:tc>
      </w:tr>
      <w:tr w:rsidR="003E5223" w:rsidRPr="005464FA" w14:paraId="4DDA98E6" w14:textId="77777777" w:rsidTr="00AE41B8">
        <w:tc>
          <w:tcPr>
            <w:tcW w:w="4668" w:type="dxa"/>
            <w:tcMar>
              <w:left w:w="255" w:type="dxa"/>
            </w:tcMar>
          </w:tcPr>
          <w:p w14:paraId="231C6C14" w14:textId="4479B9A7" w:rsidR="003E5223" w:rsidRPr="005464FA" w:rsidRDefault="003E5223" w:rsidP="003E5223">
            <w:pPr>
              <w:pStyle w:val="TableText0"/>
              <w:keepNext w:val="0"/>
            </w:pPr>
            <w:r w:rsidRPr="005464FA">
              <w:rPr>
                <w:i/>
              </w:rPr>
              <w:t>BRCA</w:t>
            </w:r>
            <w:r w:rsidRPr="005464FA">
              <w:t xml:space="preserve"> testing rates/costs consistent with proportion of de novo patients in financial estimates, accounting for the number of tests required to identify one </w:t>
            </w:r>
            <w:r w:rsidRPr="005464FA">
              <w:rPr>
                <w:i/>
              </w:rPr>
              <w:t>BRCA</w:t>
            </w:r>
            <w:r w:rsidRPr="005464FA">
              <w:t xml:space="preserve">m patient and removing </w:t>
            </w:r>
            <w:r w:rsidRPr="005464FA">
              <w:rPr>
                <w:i/>
              </w:rPr>
              <w:t>BRCA</w:t>
            </w:r>
            <w:r w:rsidRPr="005464FA">
              <w:t xml:space="preserve"> testing costs from the comparator </w:t>
            </w:r>
            <w:r w:rsidRPr="005464FA">
              <w:rPr>
                <w:vertAlign w:val="superscript"/>
              </w:rPr>
              <w:t xml:space="preserve">b </w:t>
            </w:r>
            <w:r w:rsidRPr="005464FA">
              <w:t>#2</w:t>
            </w:r>
          </w:p>
        </w:tc>
        <w:tc>
          <w:tcPr>
            <w:tcW w:w="1137" w:type="dxa"/>
            <w:tcBorders>
              <w:bottom w:val="single" w:sz="4" w:space="0" w:color="auto"/>
            </w:tcBorders>
            <w:shd w:val="clear" w:color="auto" w:fill="auto"/>
          </w:tcPr>
          <w:p w14:paraId="146AF0EB" w14:textId="475EBFA8"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65A91CF1" w14:textId="512DCA3A" w:rsidR="003E5223" w:rsidRPr="005464FA" w:rsidRDefault="003E5223" w:rsidP="003E5223">
            <w:pPr>
              <w:pStyle w:val="TableText0"/>
              <w:keepNext w:val="0"/>
              <w:jc w:val="center"/>
            </w:pPr>
            <w:r w:rsidRPr="005464FA">
              <w:t>0.383</w:t>
            </w:r>
          </w:p>
        </w:tc>
        <w:tc>
          <w:tcPr>
            <w:tcW w:w="1133" w:type="dxa"/>
            <w:vAlign w:val="center"/>
          </w:tcPr>
          <w:p w14:paraId="23C844E3" w14:textId="7D84F195" w:rsidR="003E5223" w:rsidRPr="005464FA" w:rsidRDefault="003E5223" w:rsidP="003E5223">
            <w:pPr>
              <w:pStyle w:val="TableText0"/>
              <w:keepNext w:val="0"/>
              <w:jc w:val="center"/>
            </w:pPr>
            <w:r w:rsidRPr="003E5223">
              <w:rPr>
                <w:rFonts w:hint="eastAsia"/>
                <w:color w:val="000000"/>
                <w:w w:val="27"/>
                <w:shd w:val="solid" w:color="000000" w:fill="000000"/>
                <w:fitText w:val="120" w:id="-893196796"/>
                <w14:textFill>
                  <w14:solidFill>
                    <w14:srgbClr w14:val="000000">
                      <w14:alpha w14:val="100000"/>
                    </w14:srgbClr>
                  </w14:solidFill>
                </w14:textFill>
              </w:rPr>
              <w:t xml:space="preserve">　</w:t>
            </w:r>
            <w:r w:rsidRPr="003E5223">
              <w:rPr>
                <w:color w:val="000000"/>
                <w:w w:val="27"/>
                <w:shd w:val="solid" w:color="000000" w:fill="000000"/>
                <w:fitText w:val="120" w:id="-893196796"/>
                <w14:textFill>
                  <w14:solidFill>
                    <w14:srgbClr w14:val="000000">
                      <w14:alpha w14:val="100000"/>
                    </w14:srgbClr>
                  </w14:solidFill>
                </w14:textFill>
              </w:rPr>
              <w:t>|</w:t>
            </w:r>
            <w:r w:rsidRPr="003E5223">
              <w:rPr>
                <w:rFonts w:hint="eastAsia"/>
                <w:color w:val="000000"/>
                <w:w w:val="27"/>
                <w:shd w:val="solid" w:color="000000" w:fill="000000"/>
                <w:fitText w:val="120" w:id="-893196796"/>
                <w14:textFill>
                  <w14:solidFill>
                    <w14:srgbClr w14:val="000000">
                      <w14:alpha w14:val="100000"/>
                    </w14:srgbClr>
                  </w14:solidFill>
                </w14:textFill>
              </w:rPr>
              <w:t xml:space="preserve">　</w:t>
            </w:r>
            <w:r>
              <w:rPr>
                <w:b/>
                <w:vertAlign w:val="superscript"/>
              </w:rPr>
              <w:t>1</w:t>
            </w:r>
          </w:p>
        </w:tc>
        <w:tc>
          <w:tcPr>
            <w:tcW w:w="942" w:type="dxa"/>
            <w:vAlign w:val="center"/>
          </w:tcPr>
          <w:p w14:paraId="55076B31" w14:textId="08DF8CFA" w:rsidR="003E5223" w:rsidRPr="005464FA" w:rsidRDefault="003E5223" w:rsidP="003E5223">
            <w:pPr>
              <w:pStyle w:val="TableText0"/>
              <w:keepNext w:val="0"/>
              <w:jc w:val="center"/>
            </w:pPr>
            <w:r w:rsidRPr="003E5223">
              <w:rPr>
                <w:color w:val="000000"/>
                <w:spacing w:val="174"/>
                <w:shd w:val="solid" w:color="000000" w:fill="000000"/>
                <w:fitText w:val="260" w:id="-893196795"/>
                <w14:textFill>
                  <w14:solidFill>
                    <w14:srgbClr w14:val="000000">
                      <w14:alpha w14:val="100000"/>
                    </w14:srgbClr>
                  </w14:solidFill>
                </w14:textFill>
              </w:rPr>
              <w:t>|</w:t>
            </w:r>
            <w:r w:rsidRPr="003E5223">
              <w:rPr>
                <w:color w:val="000000"/>
                <w:shd w:val="solid" w:color="000000" w:fill="000000"/>
                <w:fitText w:val="260" w:id="-893196795"/>
                <w14:textFill>
                  <w14:solidFill>
                    <w14:srgbClr w14:val="000000">
                      <w14:alpha w14:val="100000"/>
                    </w14:srgbClr>
                  </w14:solidFill>
                </w14:textFill>
              </w:rPr>
              <w:t>|</w:t>
            </w:r>
            <w:r w:rsidRPr="005464FA">
              <w:t>%</w:t>
            </w:r>
          </w:p>
        </w:tc>
      </w:tr>
      <w:tr w:rsidR="003E5223" w:rsidRPr="005464FA" w14:paraId="4332D47C" w14:textId="77777777" w:rsidTr="003E5223">
        <w:tc>
          <w:tcPr>
            <w:tcW w:w="4668" w:type="dxa"/>
            <w:tcMar>
              <w:left w:w="255" w:type="dxa"/>
            </w:tcMar>
          </w:tcPr>
          <w:p w14:paraId="66514DDC" w14:textId="77777777" w:rsidR="003E5223" w:rsidRPr="005464FA" w:rsidRDefault="003E5223" w:rsidP="003E5223">
            <w:pPr>
              <w:pStyle w:val="TableText0"/>
              <w:keepNext w:val="0"/>
            </w:pPr>
            <w:r w:rsidRPr="005464FA">
              <w:t>Using time in PFS1 to inform treatment duration (olaparib: 11.85 months, chemotherapy: 8.81cycles/6.08 months)</w:t>
            </w:r>
          </w:p>
        </w:tc>
        <w:tc>
          <w:tcPr>
            <w:tcW w:w="1137" w:type="dxa"/>
            <w:shd w:val="clear" w:color="auto" w:fill="auto"/>
            <w:vAlign w:val="center"/>
          </w:tcPr>
          <w:p w14:paraId="5824E74F" w14:textId="1ACD9BBD" w:rsidR="003E5223" w:rsidRPr="003E5223" w:rsidRDefault="003E5223" w:rsidP="003E5223">
            <w:pPr>
              <w:pStyle w:val="TableText0"/>
              <w:keepNext w:val="0"/>
              <w:jc w:val="center"/>
              <w:rPr>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1ACA9B3E" w14:textId="77777777" w:rsidR="003E5223" w:rsidRPr="005464FA" w:rsidRDefault="003E5223" w:rsidP="003E5223">
            <w:pPr>
              <w:pStyle w:val="TableText0"/>
              <w:keepNext w:val="0"/>
              <w:jc w:val="center"/>
            </w:pPr>
            <w:r w:rsidRPr="005464FA">
              <w:t>0.282</w:t>
            </w:r>
          </w:p>
        </w:tc>
        <w:tc>
          <w:tcPr>
            <w:tcW w:w="1133" w:type="dxa"/>
            <w:vAlign w:val="center"/>
          </w:tcPr>
          <w:p w14:paraId="69B24F52" w14:textId="3DD8B092" w:rsidR="003E5223" w:rsidRPr="005464FA" w:rsidRDefault="003E5223" w:rsidP="003E5223">
            <w:pPr>
              <w:pStyle w:val="TableText0"/>
              <w:keepNext w:val="0"/>
              <w:jc w:val="center"/>
            </w:pPr>
            <w:r w:rsidRPr="003E5223">
              <w:rPr>
                <w:rFonts w:hint="eastAsia"/>
                <w:color w:val="000000"/>
                <w:w w:val="27"/>
                <w:szCs w:val="20"/>
                <w:shd w:val="solid" w:color="000000" w:fill="000000"/>
                <w:fitText w:val="120" w:id="-893196793"/>
                <w14:textFill>
                  <w14:solidFill>
                    <w14:srgbClr w14:val="000000">
                      <w14:alpha w14:val="100000"/>
                    </w14:srgbClr>
                  </w14:solidFill>
                </w14:textFill>
              </w:rPr>
              <w:t xml:space="preserve">　</w:t>
            </w:r>
            <w:r w:rsidRPr="003E5223">
              <w:rPr>
                <w:color w:val="000000"/>
                <w:w w:val="27"/>
                <w:szCs w:val="20"/>
                <w:shd w:val="solid" w:color="000000" w:fill="000000"/>
                <w:fitText w:val="120" w:id="-893196793"/>
                <w14:textFill>
                  <w14:solidFill>
                    <w14:srgbClr w14:val="000000">
                      <w14:alpha w14:val="100000"/>
                    </w14:srgbClr>
                  </w14:solidFill>
                </w14:textFill>
              </w:rPr>
              <w:t>|</w:t>
            </w:r>
            <w:r w:rsidRPr="003E5223">
              <w:rPr>
                <w:rFonts w:hint="eastAsia"/>
                <w:color w:val="000000"/>
                <w:w w:val="27"/>
                <w:szCs w:val="20"/>
                <w:shd w:val="solid" w:color="000000" w:fill="000000"/>
                <w:fitText w:val="120" w:id="-893196793"/>
                <w14:textFill>
                  <w14:solidFill>
                    <w14:srgbClr w14:val="000000">
                      <w14:alpha w14:val="100000"/>
                    </w14:srgbClr>
                  </w14:solidFill>
                </w14:textFill>
              </w:rPr>
              <w:t xml:space="preserve">　</w:t>
            </w:r>
            <w:r>
              <w:rPr>
                <w:b/>
                <w:vertAlign w:val="superscript"/>
              </w:rPr>
              <w:t>1</w:t>
            </w:r>
          </w:p>
        </w:tc>
        <w:tc>
          <w:tcPr>
            <w:tcW w:w="942" w:type="dxa"/>
            <w:vAlign w:val="center"/>
          </w:tcPr>
          <w:p w14:paraId="7899E6A9" w14:textId="633C4DC7" w:rsidR="003E5223" w:rsidRPr="005464FA" w:rsidRDefault="003E5223" w:rsidP="003E5223">
            <w:pPr>
              <w:pStyle w:val="TableText0"/>
              <w:keepNext w:val="0"/>
              <w:jc w:val="center"/>
              <w:rPr>
                <w:color w:val="000000"/>
                <w:szCs w:val="20"/>
              </w:rPr>
            </w:pPr>
            <w:r w:rsidRPr="003E5223">
              <w:rPr>
                <w:color w:val="000000"/>
                <w:spacing w:val="174"/>
                <w:szCs w:val="20"/>
                <w:shd w:val="solid" w:color="000000" w:fill="000000"/>
                <w:fitText w:val="260" w:id="-893196792"/>
                <w14:textFill>
                  <w14:solidFill>
                    <w14:srgbClr w14:val="000000">
                      <w14:alpha w14:val="100000"/>
                    </w14:srgbClr>
                  </w14:solidFill>
                </w14:textFill>
              </w:rPr>
              <w:t>|</w:t>
            </w:r>
            <w:r w:rsidRPr="003E5223">
              <w:rPr>
                <w:color w:val="000000"/>
                <w:szCs w:val="20"/>
                <w:shd w:val="solid" w:color="000000" w:fill="000000"/>
                <w:fitText w:val="260" w:id="-893196792"/>
                <w14:textFill>
                  <w14:solidFill>
                    <w14:srgbClr w14:val="000000">
                      <w14:alpha w14:val="100000"/>
                    </w14:srgbClr>
                  </w14:solidFill>
                </w14:textFill>
              </w:rPr>
              <w:t>|</w:t>
            </w:r>
            <w:r w:rsidRPr="005464FA">
              <w:rPr>
                <w:color w:val="000000"/>
                <w:szCs w:val="20"/>
              </w:rPr>
              <w:t>%</w:t>
            </w:r>
          </w:p>
        </w:tc>
      </w:tr>
      <w:tr w:rsidR="00D16D4E" w:rsidRPr="005464FA" w14:paraId="10650529" w14:textId="77777777" w:rsidTr="003E5223">
        <w:tc>
          <w:tcPr>
            <w:tcW w:w="4668" w:type="dxa"/>
            <w:tcMar>
              <w:left w:w="255" w:type="dxa"/>
            </w:tcMar>
          </w:tcPr>
          <w:p w14:paraId="100E72E4" w14:textId="77777777" w:rsidR="00D16D4E" w:rsidRPr="005464FA" w:rsidRDefault="00D16D4E" w:rsidP="00465790">
            <w:pPr>
              <w:pStyle w:val="TableText0"/>
              <w:keepNext w:val="0"/>
            </w:pPr>
            <w:r w:rsidRPr="005464FA">
              <w:t>Post progression targeted therapy use set to 0%</w:t>
            </w:r>
          </w:p>
        </w:tc>
        <w:tc>
          <w:tcPr>
            <w:tcW w:w="1137" w:type="dxa"/>
            <w:tcBorders>
              <w:bottom w:val="single" w:sz="4" w:space="0" w:color="auto"/>
            </w:tcBorders>
            <w:vAlign w:val="center"/>
          </w:tcPr>
          <w:p w14:paraId="155A4024" w14:textId="57A7ED5B" w:rsidR="00D16D4E" w:rsidRPr="003E5223" w:rsidRDefault="005F522F" w:rsidP="00465790">
            <w:pPr>
              <w:pStyle w:val="TableText0"/>
              <w:keepNext w:val="0"/>
              <w:jc w:val="center"/>
              <w:rPr>
                <w:rStyle w:val="CommentReference"/>
                <w:rFonts w:eastAsia="Times New Roman" w:cs="Times New Roman"/>
                <w:b w:val="0"/>
                <w:szCs w:val="20"/>
              </w:rPr>
            </w:pPr>
            <w:r w:rsidRPr="003E5223">
              <w:rPr>
                <w:rStyle w:val="CommentReference"/>
                <w:rFonts w:ascii="MS Gothic" w:eastAsia="MS Gothic" w:hAnsi="MS Gothic" w:cs="MS Gothic" w:hint="eastAsia"/>
                <w:b w:val="0"/>
                <w:color w:val="000000"/>
                <w:w w:val="20"/>
                <w:szCs w:val="20"/>
                <w:shd w:val="solid" w:color="000000" w:fill="000000"/>
                <w:fitText w:val="90" w:id="-893196791"/>
                <w14:textFill>
                  <w14:solidFill>
                    <w14:srgbClr w14:val="000000">
                      <w14:alpha w14:val="100000"/>
                    </w14:srgbClr>
                  </w14:solidFill>
                </w14:textFill>
              </w:rPr>
              <w:t xml:space="preserve">　</w:t>
            </w:r>
            <w:r w:rsidRPr="003E5223">
              <w:rPr>
                <w:rStyle w:val="CommentReference"/>
                <w:rFonts w:eastAsia="Times New Roman" w:cs="Times New Roman"/>
                <w:b w:val="0"/>
                <w:color w:val="000000"/>
                <w:w w:val="20"/>
                <w:szCs w:val="20"/>
                <w:shd w:val="solid" w:color="000000" w:fill="000000"/>
                <w:fitText w:val="90" w:id="-893196791"/>
                <w14:textFill>
                  <w14:solidFill>
                    <w14:srgbClr w14:val="000000">
                      <w14:alpha w14:val="100000"/>
                    </w14:srgbClr>
                  </w14:solidFill>
                </w14:textFill>
              </w:rPr>
              <w:t>|</w:t>
            </w:r>
            <w:r w:rsidRPr="003E5223">
              <w:rPr>
                <w:rStyle w:val="CommentReference"/>
                <w:rFonts w:ascii="MS Gothic" w:eastAsia="MS Gothic" w:hAnsi="MS Gothic" w:cs="MS Gothic" w:hint="eastAsia"/>
                <w:b w:val="0"/>
                <w:color w:val="000000"/>
                <w:w w:val="20"/>
                <w:szCs w:val="20"/>
                <w:shd w:val="solid" w:color="000000" w:fill="000000"/>
                <w:fitText w:val="90" w:id="-893196791"/>
                <w14:textFill>
                  <w14:solidFill>
                    <w14:srgbClr w14:val="000000">
                      <w14:alpha w14:val="100000"/>
                    </w14:srgbClr>
                  </w14:solidFill>
                </w14:textFill>
              </w:rPr>
              <w:t xml:space="preserve">　</w:t>
            </w:r>
            <w:r w:rsidR="00BD2F17" w:rsidRPr="003E5223">
              <w:rPr>
                <w:rStyle w:val="CommentReference"/>
                <w:b w:val="0"/>
                <w:szCs w:val="20"/>
              </w:rPr>
              <w:t xml:space="preserve"> </w:t>
            </w:r>
          </w:p>
        </w:tc>
        <w:tc>
          <w:tcPr>
            <w:tcW w:w="1137" w:type="dxa"/>
            <w:vAlign w:val="center"/>
          </w:tcPr>
          <w:p w14:paraId="425B581B" w14:textId="77777777" w:rsidR="00D16D4E" w:rsidRPr="005464FA" w:rsidRDefault="00D16D4E" w:rsidP="00465790">
            <w:pPr>
              <w:pStyle w:val="TableText0"/>
              <w:keepNext w:val="0"/>
              <w:jc w:val="center"/>
            </w:pPr>
            <w:r w:rsidRPr="005464FA">
              <w:t>0.383</w:t>
            </w:r>
          </w:p>
        </w:tc>
        <w:tc>
          <w:tcPr>
            <w:tcW w:w="1133" w:type="dxa"/>
            <w:vAlign w:val="center"/>
          </w:tcPr>
          <w:p w14:paraId="454FD209" w14:textId="05508EB2" w:rsidR="00D16D4E" w:rsidRPr="005464FA" w:rsidRDefault="005F522F" w:rsidP="00465790">
            <w:pPr>
              <w:pStyle w:val="TableText0"/>
              <w:keepNext w:val="0"/>
              <w:jc w:val="center"/>
              <w:rPr>
                <w:szCs w:val="20"/>
              </w:rPr>
            </w:pPr>
            <w:r w:rsidRPr="003E5223">
              <w:rPr>
                <w:rFonts w:hint="eastAsia"/>
                <w:color w:val="000000"/>
                <w:w w:val="27"/>
                <w:szCs w:val="20"/>
                <w:shd w:val="solid" w:color="000000" w:fill="000000"/>
                <w:fitText w:val="120" w:id="-893196790"/>
                <w14:textFill>
                  <w14:solidFill>
                    <w14:srgbClr w14:val="000000">
                      <w14:alpha w14:val="100000"/>
                    </w14:srgbClr>
                  </w14:solidFill>
                </w14:textFill>
              </w:rPr>
              <w:t xml:space="preserve">　</w:t>
            </w:r>
            <w:r w:rsidRPr="003E5223">
              <w:rPr>
                <w:color w:val="000000"/>
                <w:w w:val="27"/>
                <w:szCs w:val="20"/>
                <w:shd w:val="solid" w:color="000000" w:fill="000000"/>
                <w:fitText w:val="120" w:id="-893196790"/>
                <w14:textFill>
                  <w14:solidFill>
                    <w14:srgbClr w14:val="000000">
                      <w14:alpha w14:val="100000"/>
                    </w14:srgbClr>
                  </w14:solidFill>
                </w14:textFill>
              </w:rPr>
              <w:t>|</w:t>
            </w:r>
            <w:r w:rsidRPr="003E5223">
              <w:rPr>
                <w:rFonts w:hint="eastAsia"/>
                <w:color w:val="000000"/>
                <w:w w:val="27"/>
                <w:szCs w:val="20"/>
                <w:shd w:val="solid" w:color="000000" w:fill="000000"/>
                <w:fitText w:val="120" w:id="-893196790"/>
                <w14:textFill>
                  <w14:solidFill>
                    <w14:srgbClr w14:val="000000">
                      <w14:alpha w14:val="100000"/>
                    </w14:srgbClr>
                  </w14:solidFill>
                </w14:textFill>
              </w:rPr>
              <w:t xml:space="preserve">　</w:t>
            </w:r>
            <w:r w:rsidR="00AB3502">
              <w:rPr>
                <w:b/>
                <w:vertAlign w:val="superscript"/>
              </w:rPr>
              <w:t>1</w:t>
            </w:r>
          </w:p>
        </w:tc>
        <w:tc>
          <w:tcPr>
            <w:tcW w:w="942" w:type="dxa"/>
            <w:vAlign w:val="center"/>
          </w:tcPr>
          <w:p w14:paraId="22396F06" w14:textId="0B639175" w:rsidR="00D16D4E" w:rsidRPr="005464FA" w:rsidRDefault="005F522F" w:rsidP="00465790">
            <w:pPr>
              <w:pStyle w:val="TableText0"/>
              <w:keepNext w:val="0"/>
              <w:jc w:val="center"/>
              <w:rPr>
                <w:szCs w:val="20"/>
              </w:rPr>
            </w:pPr>
            <w:r w:rsidRPr="003E5223">
              <w:rPr>
                <w:color w:val="000000"/>
                <w:spacing w:val="174"/>
                <w:szCs w:val="20"/>
                <w:shd w:val="solid" w:color="000000" w:fill="000000"/>
                <w:fitText w:val="260" w:id="-893196789"/>
                <w14:textFill>
                  <w14:solidFill>
                    <w14:srgbClr w14:val="000000">
                      <w14:alpha w14:val="100000"/>
                    </w14:srgbClr>
                  </w14:solidFill>
                </w14:textFill>
              </w:rPr>
              <w:t>|</w:t>
            </w:r>
            <w:r w:rsidRPr="003E5223">
              <w:rPr>
                <w:color w:val="000000"/>
                <w:szCs w:val="20"/>
                <w:shd w:val="solid" w:color="000000" w:fill="000000"/>
                <w:fitText w:val="260" w:id="-893196789"/>
                <w14:textFill>
                  <w14:solidFill>
                    <w14:srgbClr w14:val="000000">
                      <w14:alpha w14:val="100000"/>
                    </w14:srgbClr>
                  </w14:solidFill>
                </w14:textFill>
              </w:rPr>
              <w:t>|</w:t>
            </w:r>
            <w:r w:rsidR="00D16D4E" w:rsidRPr="005464FA">
              <w:rPr>
                <w:color w:val="000000"/>
                <w:szCs w:val="20"/>
              </w:rPr>
              <w:t>%</w:t>
            </w:r>
          </w:p>
        </w:tc>
      </w:tr>
      <w:tr w:rsidR="003E5223" w:rsidRPr="005464FA" w14:paraId="0BBE69F9" w14:textId="77777777" w:rsidTr="003E5223">
        <w:tc>
          <w:tcPr>
            <w:tcW w:w="4668" w:type="dxa"/>
            <w:tcMar>
              <w:left w:w="255" w:type="dxa"/>
            </w:tcMar>
          </w:tcPr>
          <w:p w14:paraId="21126562" w14:textId="2B7EF49E" w:rsidR="003E5223" w:rsidRPr="005464FA" w:rsidRDefault="003E5223" w:rsidP="003E5223">
            <w:pPr>
              <w:pStyle w:val="TableText0"/>
              <w:keepNext w:val="0"/>
            </w:pPr>
            <w:r w:rsidRPr="005464FA">
              <w:t xml:space="preserve">Removal of sacituzumab govitecan from post-progression costs #3 </w:t>
            </w:r>
          </w:p>
        </w:tc>
        <w:tc>
          <w:tcPr>
            <w:tcW w:w="1137" w:type="dxa"/>
            <w:shd w:val="clear" w:color="auto" w:fill="auto"/>
            <w:vAlign w:val="center"/>
          </w:tcPr>
          <w:p w14:paraId="59C81B92" w14:textId="69B8E660" w:rsidR="003E5223" w:rsidRPr="003E5223" w:rsidRDefault="003E5223" w:rsidP="003E5223">
            <w:pPr>
              <w:pStyle w:val="TableText0"/>
              <w:keepNext w:val="0"/>
              <w:jc w:val="center"/>
              <w:rPr>
                <w:rStyle w:val="CommentReference"/>
                <w:rFonts w:eastAsia="Times New Roman" w:cs="Times New Roman"/>
                <w:b w:val="0"/>
                <w:szCs w:val="20"/>
              </w:rPr>
            </w:pPr>
            <w:r w:rsidRPr="003E5223">
              <w:rPr>
                <w:b/>
                <w:bCs w:val="0"/>
                <w:color w:val="000000"/>
                <w:spacing w:val="125"/>
                <w:w w:val="31"/>
                <w:szCs w:val="20"/>
                <w:shd w:val="solid" w:color="000000" w:fill="000000"/>
                <w:fitText w:val="140" w:id="-893197044"/>
                <w14:textFill>
                  <w14:solidFill>
                    <w14:srgbClr w14:val="000000">
                      <w14:alpha w14:val="100000"/>
                    </w14:srgbClr>
                  </w14:solidFill>
                </w14:textFill>
              </w:rPr>
              <w:t>|</w:t>
            </w:r>
          </w:p>
        </w:tc>
        <w:tc>
          <w:tcPr>
            <w:tcW w:w="1137" w:type="dxa"/>
            <w:vAlign w:val="center"/>
          </w:tcPr>
          <w:p w14:paraId="6CD68801" w14:textId="358AAA52" w:rsidR="003E5223" w:rsidRPr="005464FA" w:rsidRDefault="003E5223" w:rsidP="003E5223">
            <w:pPr>
              <w:pStyle w:val="TableText0"/>
              <w:keepNext w:val="0"/>
              <w:jc w:val="center"/>
            </w:pPr>
            <w:r w:rsidRPr="005464FA">
              <w:rPr>
                <w:rStyle w:val="CommentReference"/>
                <w:rFonts w:eastAsia="Times New Roman" w:cs="Times New Roman"/>
                <w:b w:val="0"/>
              </w:rPr>
              <w:t>0.383</w:t>
            </w:r>
          </w:p>
        </w:tc>
        <w:tc>
          <w:tcPr>
            <w:tcW w:w="1133" w:type="dxa"/>
            <w:vAlign w:val="center"/>
          </w:tcPr>
          <w:p w14:paraId="7D2C71A4" w14:textId="4A960690" w:rsidR="003E5223" w:rsidRPr="005464FA" w:rsidRDefault="003E5223" w:rsidP="003E5223">
            <w:pPr>
              <w:pStyle w:val="TableText0"/>
              <w:keepNext w:val="0"/>
              <w:jc w:val="center"/>
              <w:rPr>
                <w:szCs w:val="20"/>
              </w:rPr>
            </w:pPr>
            <w:r w:rsidRPr="003E5223">
              <w:rPr>
                <w:rStyle w:val="CommentReference"/>
                <w:rFonts w:eastAsia="Times New Roman" w:cs="Times New Roman" w:hint="eastAsia"/>
                <w:b w:val="0"/>
                <w:color w:val="000000"/>
                <w:w w:val="27"/>
                <w:shd w:val="solid" w:color="000000" w:fill="000000"/>
                <w:fitText w:val="120" w:id="-893196787"/>
                <w14:textFill>
                  <w14:solidFill>
                    <w14:srgbClr w14:val="000000">
                      <w14:alpha w14:val="100000"/>
                    </w14:srgbClr>
                  </w14:solidFill>
                </w14:textFill>
              </w:rPr>
              <w:t xml:space="preserve">　</w:t>
            </w:r>
            <w:r w:rsidRPr="003E5223">
              <w:rPr>
                <w:rStyle w:val="CommentReference"/>
                <w:rFonts w:eastAsia="Times New Roman" w:cs="Times New Roman"/>
                <w:b w:val="0"/>
                <w:color w:val="000000"/>
                <w:w w:val="27"/>
                <w:shd w:val="solid" w:color="000000" w:fill="000000"/>
                <w:fitText w:val="120" w:id="-893196787"/>
                <w14:textFill>
                  <w14:solidFill>
                    <w14:srgbClr w14:val="000000">
                      <w14:alpha w14:val="100000"/>
                    </w14:srgbClr>
                  </w14:solidFill>
                </w14:textFill>
              </w:rPr>
              <w:t>|</w:t>
            </w:r>
            <w:r w:rsidRPr="003E5223">
              <w:rPr>
                <w:rStyle w:val="CommentReference"/>
                <w:rFonts w:eastAsia="Times New Roman" w:cs="Times New Roman" w:hint="eastAsia"/>
                <w:b w:val="0"/>
                <w:color w:val="000000"/>
                <w:w w:val="27"/>
                <w:shd w:val="solid" w:color="000000" w:fill="000000"/>
                <w:fitText w:val="120" w:id="-893196787"/>
                <w14:textFill>
                  <w14:solidFill>
                    <w14:srgbClr w14:val="000000">
                      <w14:alpha w14:val="100000"/>
                    </w14:srgbClr>
                  </w14:solidFill>
                </w14:textFill>
              </w:rPr>
              <w:t xml:space="preserve">　</w:t>
            </w:r>
            <w:r>
              <w:rPr>
                <w:b/>
                <w:vertAlign w:val="superscript"/>
              </w:rPr>
              <w:t>1</w:t>
            </w:r>
          </w:p>
        </w:tc>
        <w:tc>
          <w:tcPr>
            <w:tcW w:w="942" w:type="dxa"/>
            <w:vAlign w:val="center"/>
          </w:tcPr>
          <w:p w14:paraId="2D109458" w14:textId="47F11AE5" w:rsidR="003E5223" w:rsidRPr="005464FA" w:rsidRDefault="003E5223" w:rsidP="003E5223">
            <w:pPr>
              <w:pStyle w:val="TableText0"/>
              <w:keepNext w:val="0"/>
              <w:jc w:val="center"/>
              <w:rPr>
                <w:color w:val="000000"/>
                <w:szCs w:val="20"/>
              </w:rPr>
            </w:pPr>
            <w:r w:rsidRPr="005464FA">
              <w:rPr>
                <w:rStyle w:val="CommentReference"/>
                <w:rFonts w:eastAsia="Times New Roman" w:cs="Times New Roman"/>
                <w:b w:val="0"/>
              </w:rPr>
              <w:t>&lt;</w:t>
            </w:r>
            <w:r w:rsidRPr="003E5223">
              <w:rPr>
                <w:rStyle w:val="CommentReference"/>
                <w:rFonts w:eastAsia="Times New Roman" w:cs="Times New Roman"/>
                <w:b w:val="0"/>
                <w:color w:val="000000"/>
                <w:spacing w:val="46"/>
                <w:shd w:val="solid" w:color="000000" w:fill="000000"/>
                <w:fitText w:val="310" w:id="-893196786"/>
                <w14:textFill>
                  <w14:solidFill>
                    <w14:srgbClr w14:val="000000">
                      <w14:alpha w14:val="100000"/>
                    </w14:srgbClr>
                  </w14:solidFill>
                </w14:textFill>
              </w:rPr>
              <w:t>|||</w:t>
            </w:r>
            <w:r w:rsidRPr="003E5223">
              <w:rPr>
                <w:rStyle w:val="CommentReference"/>
                <w:rFonts w:eastAsia="Times New Roman" w:cs="Times New Roman"/>
                <w:b w:val="0"/>
                <w:color w:val="000000"/>
                <w:spacing w:val="2"/>
                <w:shd w:val="solid" w:color="000000" w:fill="000000"/>
                <w:fitText w:val="310" w:id="-893196786"/>
                <w14:textFill>
                  <w14:solidFill>
                    <w14:srgbClr w14:val="000000">
                      <w14:alpha w14:val="100000"/>
                    </w14:srgbClr>
                  </w14:solidFill>
                </w14:textFill>
              </w:rPr>
              <w:t>|</w:t>
            </w:r>
            <w:r w:rsidRPr="005464FA">
              <w:rPr>
                <w:rStyle w:val="CommentReference"/>
                <w:rFonts w:eastAsia="Times New Roman" w:cs="Times New Roman"/>
                <w:b w:val="0"/>
              </w:rPr>
              <w:t>%</w:t>
            </w:r>
          </w:p>
        </w:tc>
      </w:tr>
      <w:tr w:rsidR="003E5223" w:rsidRPr="005464FA" w14:paraId="08733E28" w14:textId="77777777" w:rsidTr="003E5223">
        <w:tc>
          <w:tcPr>
            <w:tcW w:w="4668" w:type="dxa"/>
            <w:tcMar>
              <w:left w:w="255" w:type="dxa"/>
            </w:tcMar>
          </w:tcPr>
          <w:p w14:paraId="35CFD7EB" w14:textId="1F16911E" w:rsidR="003E5223" w:rsidRPr="005464FA" w:rsidRDefault="003E5223" w:rsidP="003E5223">
            <w:pPr>
              <w:pStyle w:val="TableText0"/>
              <w:keepNext w:val="0"/>
            </w:pPr>
            <w:r w:rsidRPr="005464FA">
              <w:t>Olaparib DPMQ $2,581.31 ($1,209.59 AEMP, price in eBC) #5</w:t>
            </w:r>
          </w:p>
        </w:tc>
        <w:tc>
          <w:tcPr>
            <w:tcW w:w="1137" w:type="dxa"/>
            <w:vAlign w:val="center"/>
          </w:tcPr>
          <w:p w14:paraId="019B337B" w14:textId="221704CB" w:rsidR="003E5223" w:rsidRPr="003E5223" w:rsidRDefault="003E5223" w:rsidP="003E5223">
            <w:pPr>
              <w:pStyle w:val="TableText0"/>
              <w:keepNext w:val="0"/>
              <w:jc w:val="center"/>
              <w:rPr>
                <w:rStyle w:val="CommentReference"/>
                <w:rFonts w:eastAsia="Times New Roman" w:cs="Times New Roman"/>
                <w:b w:val="0"/>
                <w:bCs w:val="0"/>
                <w:szCs w:val="20"/>
              </w:rPr>
            </w:pPr>
            <w:r w:rsidRPr="003E5223">
              <w:rPr>
                <w:b/>
                <w:bCs w:val="0"/>
                <w:color w:val="000000"/>
                <w:spacing w:val="125"/>
                <w:w w:val="31"/>
                <w:szCs w:val="20"/>
                <w:shd w:val="solid" w:color="000000" w:fill="000000"/>
                <w:fitText w:val="140" w:id="-893197044"/>
                <w14:textFill>
                  <w14:solidFill>
                    <w14:srgbClr w14:val="000000">
                      <w14:alpha w14:val="100000"/>
                    </w14:srgbClr>
                  </w14:solidFill>
                </w14:textFill>
              </w:rPr>
              <w:t>|</w:t>
            </w:r>
          </w:p>
        </w:tc>
        <w:tc>
          <w:tcPr>
            <w:tcW w:w="1137" w:type="dxa"/>
            <w:vAlign w:val="center"/>
          </w:tcPr>
          <w:p w14:paraId="3A12B8BF" w14:textId="589268BF" w:rsidR="003E5223" w:rsidRPr="005464FA" w:rsidRDefault="003E5223" w:rsidP="003E5223">
            <w:pPr>
              <w:pStyle w:val="TableText0"/>
              <w:keepNext w:val="0"/>
              <w:jc w:val="center"/>
              <w:rPr>
                <w:rStyle w:val="CommentReference"/>
                <w:rFonts w:eastAsia="Times New Roman" w:cs="Times New Roman"/>
                <w:b w:val="0"/>
                <w:bCs w:val="0"/>
              </w:rPr>
            </w:pPr>
            <w:r w:rsidRPr="005464FA">
              <w:rPr>
                <w:rStyle w:val="CommentReference"/>
                <w:rFonts w:eastAsia="Times New Roman" w:cs="Times New Roman"/>
                <w:b w:val="0"/>
                <w:bCs w:val="0"/>
              </w:rPr>
              <w:t>0.383</w:t>
            </w:r>
          </w:p>
        </w:tc>
        <w:tc>
          <w:tcPr>
            <w:tcW w:w="1133" w:type="dxa"/>
            <w:vAlign w:val="center"/>
          </w:tcPr>
          <w:p w14:paraId="7B4640AA" w14:textId="78F8EF7F" w:rsidR="003E5223" w:rsidRPr="005464FA" w:rsidRDefault="003E5223" w:rsidP="003E5223">
            <w:pPr>
              <w:pStyle w:val="TableText0"/>
              <w:keepNext w:val="0"/>
              <w:jc w:val="center"/>
              <w:rPr>
                <w:rStyle w:val="CommentReference"/>
                <w:rFonts w:eastAsia="Times New Roman" w:cs="Times New Roman"/>
                <w:b w:val="0"/>
                <w:bCs w:val="0"/>
              </w:rPr>
            </w:pPr>
            <w:r w:rsidRPr="003E5223">
              <w:rPr>
                <w:rStyle w:val="CommentReference"/>
                <w:rFonts w:eastAsia="Times New Roman" w:cs="Times New Roman" w:hint="eastAsia"/>
                <w:b w:val="0"/>
                <w:bCs w:val="0"/>
                <w:color w:val="000000"/>
                <w:w w:val="27"/>
                <w:shd w:val="solid" w:color="000000" w:fill="000000"/>
                <w:fitText w:val="120" w:id="-893196784"/>
                <w14:textFill>
                  <w14:solidFill>
                    <w14:srgbClr w14:val="000000">
                      <w14:alpha w14:val="100000"/>
                    </w14:srgbClr>
                  </w14:solidFill>
                </w14:textFill>
              </w:rPr>
              <w:t xml:space="preserve">　</w:t>
            </w:r>
            <w:r w:rsidRPr="003E5223">
              <w:rPr>
                <w:rStyle w:val="CommentReference"/>
                <w:rFonts w:eastAsia="Times New Roman" w:cs="Times New Roman"/>
                <w:b w:val="0"/>
                <w:bCs w:val="0"/>
                <w:color w:val="000000"/>
                <w:w w:val="27"/>
                <w:shd w:val="solid" w:color="000000" w:fill="000000"/>
                <w:fitText w:val="120" w:id="-893196784"/>
                <w14:textFill>
                  <w14:solidFill>
                    <w14:srgbClr w14:val="000000">
                      <w14:alpha w14:val="100000"/>
                    </w14:srgbClr>
                  </w14:solidFill>
                </w14:textFill>
              </w:rPr>
              <w:t>|</w:t>
            </w:r>
            <w:r w:rsidRPr="003E5223">
              <w:rPr>
                <w:rStyle w:val="CommentReference"/>
                <w:rFonts w:eastAsia="Times New Roman" w:cs="Times New Roman" w:hint="eastAsia"/>
                <w:b w:val="0"/>
                <w:bCs w:val="0"/>
                <w:color w:val="000000"/>
                <w:w w:val="27"/>
                <w:shd w:val="solid" w:color="000000" w:fill="000000"/>
                <w:fitText w:val="120" w:id="-893196784"/>
                <w14:textFill>
                  <w14:solidFill>
                    <w14:srgbClr w14:val="000000">
                      <w14:alpha w14:val="100000"/>
                    </w14:srgbClr>
                  </w14:solidFill>
                </w14:textFill>
              </w:rPr>
              <w:t xml:space="preserve">　</w:t>
            </w:r>
            <w:r>
              <w:rPr>
                <w:b/>
                <w:vertAlign w:val="superscript"/>
              </w:rPr>
              <w:t>4</w:t>
            </w:r>
          </w:p>
        </w:tc>
        <w:tc>
          <w:tcPr>
            <w:tcW w:w="942" w:type="dxa"/>
            <w:vAlign w:val="center"/>
          </w:tcPr>
          <w:p w14:paraId="512BB7C9" w14:textId="065C86A3" w:rsidR="003E5223" w:rsidRPr="005464FA" w:rsidRDefault="003E5223" w:rsidP="003E5223">
            <w:pPr>
              <w:pStyle w:val="TableText0"/>
              <w:keepNext w:val="0"/>
              <w:jc w:val="center"/>
              <w:rPr>
                <w:rStyle w:val="CommentReference"/>
                <w:rFonts w:eastAsia="Times New Roman" w:cs="Times New Roman"/>
                <w:b w:val="0"/>
                <w:bCs w:val="0"/>
              </w:rPr>
            </w:pPr>
            <w:r w:rsidRPr="005464FA">
              <w:rPr>
                <w:rStyle w:val="CommentReference"/>
                <w:rFonts w:eastAsia="Times New Roman" w:cs="Times New Roman"/>
                <w:b w:val="0"/>
                <w:bCs w:val="0"/>
              </w:rPr>
              <w:t>-</w:t>
            </w:r>
            <w:r w:rsidRPr="003E5223">
              <w:rPr>
                <w:rStyle w:val="CommentReference"/>
                <w:rFonts w:eastAsia="Times New Roman" w:cs="Times New Roman"/>
                <w:b w:val="0"/>
                <w:bCs w:val="0"/>
                <w:color w:val="000000"/>
                <w:spacing w:val="204"/>
                <w:shd w:val="solid" w:color="000000" w:fill="000000"/>
                <w:fitText w:val="290" w:id="-893196800"/>
                <w14:textFill>
                  <w14:solidFill>
                    <w14:srgbClr w14:val="000000">
                      <w14:alpha w14:val="100000"/>
                    </w14:srgbClr>
                  </w14:solidFill>
                </w14:textFill>
              </w:rPr>
              <w:t>|</w:t>
            </w:r>
            <w:r w:rsidRPr="003E5223">
              <w:rPr>
                <w:rStyle w:val="CommentReference"/>
                <w:rFonts w:eastAsia="Times New Roman" w:cs="Times New Roman"/>
                <w:b w:val="0"/>
                <w:bCs w:val="0"/>
                <w:color w:val="000000"/>
                <w:shd w:val="solid" w:color="000000" w:fill="000000"/>
                <w:fitText w:val="290" w:id="-893196800"/>
                <w14:textFill>
                  <w14:solidFill>
                    <w14:srgbClr w14:val="000000">
                      <w14:alpha w14:val="100000"/>
                    </w14:srgbClr>
                  </w14:solidFill>
                </w14:textFill>
              </w:rPr>
              <w:t>|</w:t>
            </w:r>
            <w:r w:rsidRPr="005464FA">
              <w:rPr>
                <w:rStyle w:val="CommentReference"/>
                <w:rFonts w:eastAsia="Times New Roman" w:cs="Times New Roman"/>
                <w:b w:val="0"/>
                <w:bCs w:val="0"/>
              </w:rPr>
              <w:t>%</w:t>
            </w:r>
          </w:p>
        </w:tc>
      </w:tr>
      <w:tr w:rsidR="003E5223" w:rsidRPr="005464FA" w14:paraId="3F06810D" w14:textId="77777777" w:rsidTr="006D724E">
        <w:tc>
          <w:tcPr>
            <w:tcW w:w="4668" w:type="dxa"/>
          </w:tcPr>
          <w:p w14:paraId="0E83B06B" w14:textId="5177073D" w:rsidR="003E5223" w:rsidRPr="005464FA" w:rsidRDefault="003E5223" w:rsidP="003E5223">
            <w:pPr>
              <w:pStyle w:val="TableText0"/>
              <w:keepNext w:val="0"/>
              <w:rPr>
                <w:vertAlign w:val="superscript"/>
              </w:rPr>
            </w:pPr>
            <w:r w:rsidRPr="005464FA">
              <w:t>OS (based on extrapolated KM curves in BC)</w:t>
            </w:r>
          </w:p>
        </w:tc>
        <w:tc>
          <w:tcPr>
            <w:tcW w:w="1137" w:type="dxa"/>
            <w:vAlign w:val="center"/>
          </w:tcPr>
          <w:p w14:paraId="6D13A706" w14:textId="7F359714" w:rsidR="003E5223" w:rsidRPr="003E5223" w:rsidRDefault="003E5223" w:rsidP="003E5223">
            <w:pPr>
              <w:pStyle w:val="TableText0"/>
              <w:keepNext w:val="0"/>
              <w:jc w:val="center"/>
              <w:rPr>
                <w:rStyle w:val="CommentReference"/>
                <w:rFonts w:eastAsia="Times New Roman" w:cs="Times New Roman"/>
                <w:b w:val="0"/>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25FB8D30" w14:textId="5766D6D6" w:rsidR="003E5223" w:rsidRPr="005464FA" w:rsidRDefault="003E5223" w:rsidP="003E5223">
            <w:pPr>
              <w:pStyle w:val="TableText0"/>
              <w:keepNext w:val="0"/>
              <w:jc w:val="center"/>
            </w:pPr>
          </w:p>
        </w:tc>
        <w:tc>
          <w:tcPr>
            <w:tcW w:w="1133" w:type="dxa"/>
            <w:vAlign w:val="center"/>
          </w:tcPr>
          <w:p w14:paraId="3E643597" w14:textId="1F4CA709" w:rsidR="003E5223" w:rsidRPr="005464FA" w:rsidRDefault="003E5223" w:rsidP="003E5223">
            <w:pPr>
              <w:pStyle w:val="TableText0"/>
              <w:keepNext w:val="0"/>
              <w:jc w:val="center"/>
              <w:rPr>
                <w:szCs w:val="20"/>
              </w:rPr>
            </w:pPr>
          </w:p>
        </w:tc>
        <w:tc>
          <w:tcPr>
            <w:tcW w:w="942" w:type="dxa"/>
            <w:vAlign w:val="center"/>
          </w:tcPr>
          <w:p w14:paraId="2568C2D1" w14:textId="5AB0CF32" w:rsidR="003E5223" w:rsidRPr="005464FA" w:rsidRDefault="003E5223" w:rsidP="003E5223">
            <w:pPr>
              <w:pStyle w:val="TableText0"/>
              <w:keepNext w:val="0"/>
              <w:jc w:val="center"/>
              <w:rPr>
                <w:color w:val="000000"/>
                <w:szCs w:val="20"/>
              </w:rPr>
            </w:pPr>
          </w:p>
        </w:tc>
      </w:tr>
      <w:tr w:rsidR="003E5223" w:rsidRPr="005464FA" w14:paraId="4C610C77" w14:textId="77777777" w:rsidTr="003E5223">
        <w:tc>
          <w:tcPr>
            <w:tcW w:w="4668" w:type="dxa"/>
            <w:tcMar>
              <w:left w:w="255" w:type="dxa"/>
            </w:tcMar>
          </w:tcPr>
          <w:p w14:paraId="3DBB1156" w14:textId="1C29C489" w:rsidR="003E5223" w:rsidRPr="005464FA" w:rsidRDefault="003E5223" w:rsidP="003E5223">
            <w:pPr>
              <w:pStyle w:val="TableText0"/>
              <w:keepNext w:val="0"/>
            </w:pPr>
            <w:r w:rsidRPr="005464FA">
              <w:t xml:space="preserve">OS in chemotherapy set equal to OS in Olaparib arm </w:t>
            </w:r>
            <w:r w:rsidRPr="005464FA">
              <w:rPr>
                <w:vertAlign w:val="superscript"/>
              </w:rPr>
              <w:t xml:space="preserve">c </w:t>
            </w:r>
            <w:r w:rsidRPr="005464FA">
              <w:rPr>
                <w:i/>
                <w:iCs/>
              </w:rPr>
              <w:t>#4</w:t>
            </w:r>
          </w:p>
        </w:tc>
        <w:tc>
          <w:tcPr>
            <w:tcW w:w="1137" w:type="dxa"/>
            <w:vAlign w:val="center"/>
          </w:tcPr>
          <w:p w14:paraId="4C94D447" w14:textId="5B526295" w:rsidR="003E5223" w:rsidRPr="003E5223" w:rsidRDefault="003E5223" w:rsidP="003E5223">
            <w:pPr>
              <w:pStyle w:val="TableText0"/>
              <w:keepNext w:val="0"/>
              <w:jc w:val="center"/>
              <w:rPr>
                <w:rStyle w:val="CommentReference"/>
                <w:rFonts w:eastAsia="Times New Roman" w:cs="Times New Roman"/>
                <w:b w:val="0"/>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04A07EF0" w14:textId="3178EB44" w:rsidR="003E5223" w:rsidRPr="005464FA" w:rsidRDefault="003E5223" w:rsidP="003E5223">
            <w:pPr>
              <w:pStyle w:val="TableText0"/>
              <w:keepNext w:val="0"/>
              <w:jc w:val="center"/>
            </w:pPr>
            <w:r w:rsidRPr="005464FA">
              <w:t>0.241</w:t>
            </w:r>
          </w:p>
        </w:tc>
        <w:tc>
          <w:tcPr>
            <w:tcW w:w="1133" w:type="dxa"/>
            <w:vAlign w:val="center"/>
          </w:tcPr>
          <w:p w14:paraId="1C327A2F" w14:textId="1EC2BB0C" w:rsidR="003E5223" w:rsidRPr="005464FA" w:rsidRDefault="003E5223" w:rsidP="003E5223">
            <w:pPr>
              <w:pStyle w:val="TableText0"/>
              <w:keepNext w:val="0"/>
              <w:jc w:val="center"/>
              <w:rPr>
                <w:color w:val="000000"/>
                <w:szCs w:val="20"/>
              </w:rPr>
            </w:pPr>
            <w:r w:rsidRPr="003E5223">
              <w:rPr>
                <w:rFonts w:hint="eastAsia"/>
                <w:color w:val="000000"/>
                <w:w w:val="27"/>
                <w:szCs w:val="20"/>
                <w:shd w:val="solid" w:color="000000" w:fill="000000"/>
                <w:fitText w:val="120" w:id="-893196798"/>
                <w14:textFill>
                  <w14:solidFill>
                    <w14:srgbClr w14:val="000000">
                      <w14:alpha w14:val="100000"/>
                    </w14:srgbClr>
                  </w14:solidFill>
                </w14:textFill>
              </w:rPr>
              <w:t xml:space="preserve">　</w:t>
            </w:r>
            <w:r w:rsidRPr="003E5223">
              <w:rPr>
                <w:color w:val="000000"/>
                <w:w w:val="27"/>
                <w:szCs w:val="20"/>
                <w:shd w:val="solid" w:color="000000" w:fill="000000"/>
                <w:fitText w:val="120" w:id="-893196798"/>
                <w14:textFill>
                  <w14:solidFill>
                    <w14:srgbClr w14:val="000000">
                      <w14:alpha w14:val="100000"/>
                    </w14:srgbClr>
                  </w14:solidFill>
                </w14:textFill>
              </w:rPr>
              <w:t>|</w:t>
            </w:r>
            <w:r w:rsidRPr="003E5223">
              <w:rPr>
                <w:rFonts w:hint="eastAsia"/>
                <w:color w:val="000000"/>
                <w:w w:val="27"/>
                <w:szCs w:val="20"/>
                <w:shd w:val="solid" w:color="000000" w:fill="000000"/>
                <w:fitText w:val="120" w:id="-893196798"/>
                <w14:textFill>
                  <w14:solidFill>
                    <w14:srgbClr w14:val="000000">
                      <w14:alpha w14:val="100000"/>
                    </w14:srgbClr>
                  </w14:solidFill>
                </w14:textFill>
              </w:rPr>
              <w:t xml:space="preserve">　</w:t>
            </w:r>
            <w:r>
              <w:rPr>
                <w:b/>
                <w:vertAlign w:val="superscript"/>
              </w:rPr>
              <w:t>3</w:t>
            </w:r>
          </w:p>
        </w:tc>
        <w:tc>
          <w:tcPr>
            <w:tcW w:w="942" w:type="dxa"/>
            <w:vAlign w:val="center"/>
          </w:tcPr>
          <w:p w14:paraId="57860B01" w14:textId="14410A81" w:rsidR="003E5223" w:rsidRPr="005464FA" w:rsidRDefault="003E5223" w:rsidP="003E5223">
            <w:pPr>
              <w:pStyle w:val="TableText0"/>
              <w:keepNext w:val="0"/>
              <w:jc w:val="center"/>
              <w:rPr>
                <w:color w:val="000000"/>
                <w:szCs w:val="20"/>
              </w:rPr>
            </w:pPr>
            <w:r w:rsidRPr="003E5223">
              <w:rPr>
                <w:color w:val="000000"/>
                <w:spacing w:val="174"/>
                <w:szCs w:val="20"/>
                <w:shd w:val="solid" w:color="000000" w:fill="000000"/>
                <w:fitText w:val="260" w:id="-893196797"/>
                <w14:textFill>
                  <w14:solidFill>
                    <w14:srgbClr w14:val="000000">
                      <w14:alpha w14:val="100000"/>
                    </w14:srgbClr>
                  </w14:solidFill>
                </w14:textFill>
              </w:rPr>
              <w:t>|</w:t>
            </w:r>
            <w:r w:rsidRPr="003E5223">
              <w:rPr>
                <w:color w:val="000000"/>
                <w:szCs w:val="20"/>
                <w:shd w:val="solid" w:color="000000" w:fill="000000"/>
                <w:fitText w:val="260" w:id="-893196797"/>
                <w14:textFill>
                  <w14:solidFill>
                    <w14:srgbClr w14:val="000000">
                      <w14:alpha w14:val="100000"/>
                    </w14:srgbClr>
                  </w14:solidFill>
                </w14:textFill>
              </w:rPr>
              <w:t>|</w:t>
            </w:r>
            <w:r w:rsidRPr="005464FA">
              <w:rPr>
                <w:color w:val="000000"/>
                <w:szCs w:val="20"/>
              </w:rPr>
              <w:t>%</w:t>
            </w:r>
          </w:p>
        </w:tc>
      </w:tr>
      <w:tr w:rsidR="003E5223" w:rsidRPr="005464FA" w14:paraId="67C464E4" w14:textId="77777777" w:rsidTr="003E5223">
        <w:tc>
          <w:tcPr>
            <w:tcW w:w="4668" w:type="dxa"/>
            <w:tcMar>
              <w:left w:w="255" w:type="dxa"/>
            </w:tcMar>
          </w:tcPr>
          <w:p w14:paraId="0D779CF2" w14:textId="5E97B70B" w:rsidR="003E5223" w:rsidRPr="005464FA" w:rsidRDefault="003E5223" w:rsidP="003E5223">
            <w:pPr>
              <w:pStyle w:val="TableText0"/>
              <w:keepNext w:val="0"/>
            </w:pPr>
            <w:bookmarkStart w:id="83" w:name="_Hlk173314782"/>
            <w:r w:rsidRPr="005464FA">
              <w:t>OS for olaparib estimated by applying the trial-based HR (0.9) to the chemotherapy OS curve (as per pre-PBAC response).</w:t>
            </w:r>
            <w:bookmarkEnd w:id="83"/>
          </w:p>
        </w:tc>
        <w:tc>
          <w:tcPr>
            <w:tcW w:w="1137" w:type="dxa"/>
            <w:vAlign w:val="center"/>
          </w:tcPr>
          <w:p w14:paraId="40CCB213" w14:textId="4585E5C0" w:rsidR="003E5223" w:rsidRPr="003E5223" w:rsidRDefault="003E5223" w:rsidP="003E5223">
            <w:pPr>
              <w:pStyle w:val="TableText0"/>
              <w:keepNext w:val="0"/>
              <w:jc w:val="center"/>
              <w:rPr>
                <w:rStyle w:val="CommentReference"/>
                <w:rFonts w:eastAsia="Times New Roman" w:cs="Times New Roman"/>
                <w:b w:val="0"/>
                <w:szCs w:val="20"/>
              </w:rPr>
            </w:pPr>
            <w:r w:rsidRPr="003E5223">
              <w:rPr>
                <w:rStyle w:val="CommentReference"/>
                <w:rFonts w:ascii="MS Gothic" w:eastAsia="MS Gothic" w:hAnsi="MS Gothic" w:cs="MS Gothic" w:hint="eastAsia"/>
                <w:b w:val="0"/>
                <w:color w:val="000000"/>
                <w:w w:val="20"/>
                <w:szCs w:val="20"/>
                <w:shd w:val="solid" w:color="000000" w:fill="000000"/>
                <w:fitText w:val="90" w:id="-893196796"/>
                <w14:textFill>
                  <w14:solidFill>
                    <w14:srgbClr w14:val="000000">
                      <w14:alpha w14:val="100000"/>
                    </w14:srgbClr>
                  </w14:solidFill>
                </w14:textFill>
              </w:rPr>
              <w:t xml:space="preserve">　</w:t>
            </w:r>
            <w:r w:rsidRPr="003E5223">
              <w:rPr>
                <w:rStyle w:val="CommentReference"/>
                <w:rFonts w:eastAsia="Times New Roman" w:cs="Times New Roman"/>
                <w:b w:val="0"/>
                <w:color w:val="000000"/>
                <w:w w:val="20"/>
                <w:szCs w:val="20"/>
                <w:shd w:val="solid" w:color="000000" w:fill="000000"/>
                <w:fitText w:val="90" w:id="-893196796"/>
                <w14:textFill>
                  <w14:solidFill>
                    <w14:srgbClr w14:val="000000">
                      <w14:alpha w14:val="100000"/>
                    </w14:srgbClr>
                  </w14:solidFill>
                </w14:textFill>
              </w:rPr>
              <w:t>|</w:t>
            </w:r>
            <w:r w:rsidRPr="003E5223">
              <w:rPr>
                <w:rStyle w:val="CommentReference"/>
                <w:rFonts w:ascii="MS Gothic" w:eastAsia="MS Gothic" w:hAnsi="MS Gothic" w:cs="MS Gothic" w:hint="eastAsia"/>
                <w:b w:val="0"/>
                <w:color w:val="000000"/>
                <w:w w:val="20"/>
                <w:szCs w:val="20"/>
                <w:shd w:val="solid" w:color="000000" w:fill="000000"/>
                <w:fitText w:val="90" w:id="-893196796"/>
                <w14:textFill>
                  <w14:solidFill>
                    <w14:srgbClr w14:val="000000">
                      <w14:alpha w14:val="100000"/>
                    </w14:srgbClr>
                  </w14:solidFill>
                </w14:textFill>
              </w:rPr>
              <w:t xml:space="preserve">　</w:t>
            </w:r>
            <w:r w:rsidRPr="003E5223">
              <w:rPr>
                <w:rStyle w:val="CommentReference"/>
                <w:b w:val="0"/>
                <w:szCs w:val="20"/>
              </w:rPr>
              <w:t xml:space="preserve"> </w:t>
            </w:r>
          </w:p>
        </w:tc>
        <w:tc>
          <w:tcPr>
            <w:tcW w:w="1137" w:type="dxa"/>
            <w:vAlign w:val="center"/>
          </w:tcPr>
          <w:p w14:paraId="07D86BA8" w14:textId="4BB840C1" w:rsidR="003E5223" w:rsidRPr="005464FA" w:rsidRDefault="003E5223" w:rsidP="003E5223">
            <w:pPr>
              <w:pStyle w:val="TableText0"/>
              <w:keepNext w:val="0"/>
              <w:jc w:val="center"/>
            </w:pPr>
            <w:r w:rsidRPr="005464FA">
              <w:t>0.334</w:t>
            </w:r>
          </w:p>
        </w:tc>
        <w:tc>
          <w:tcPr>
            <w:tcW w:w="1133" w:type="dxa"/>
            <w:vAlign w:val="center"/>
          </w:tcPr>
          <w:p w14:paraId="14A6BCF6" w14:textId="72CA2242" w:rsidR="003E5223" w:rsidRPr="005464FA" w:rsidRDefault="003E5223" w:rsidP="003E5223">
            <w:pPr>
              <w:pStyle w:val="TableText0"/>
              <w:keepNext w:val="0"/>
              <w:jc w:val="center"/>
              <w:rPr>
                <w:color w:val="000000"/>
                <w:szCs w:val="20"/>
              </w:rPr>
            </w:pPr>
            <w:r w:rsidRPr="003E5223">
              <w:rPr>
                <w:rFonts w:hint="eastAsia"/>
                <w:color w:val="000000"/>
                <w:w w:val="27"/>
                <w:szCs w:val="20"/>
                <w:shd w:val="solid" w:color="000000" w:fill="000000"/>
                <w:fitText w:val="120" w:id="-893196795"/>
                <w14:textFill>
                  <w14:solidFill>
                    <w14:srgbClr w14:val="000000">
                      <w14:alpha w14:val="100000"/>
                    </w14:srgbClr>
                  </w14:solidFill>
                </w14:textFill>
              </w:rPr>
              <w:t xml:space="preserve">　</w:t>
            </w:r>
            <w:r w:rsidRPr="003E5223">
              <w:rPr>
                <w:color w:val="000000"/>
                <w:w w:val="27"/>
                <w:szCs w:val="20"/>
                <w:shd w:val="solid" w:color="000000" w:fill="000000"/>
                <w:fitText w:val="120" w:id="-893196795"/>
                <w14:textFill>
                  <w14:solidFill>
                    <w14:srgbClr w14:val="000000">
                      <w14:alpha w14:val="100000"/>
                    </w14:srgbClr>
                  </w14:solidFill>
                </w14:textFill>
              </w:rPr>
              <w:t>|</w:t>
            </w:r>
            <w:r w:rsidRPr="003E5223">
              <w:rPr>
                <w:rFonts w:hint="eastAsia"/>
                <w:color w:val="000000"/>
                <w:w w:val="27"/>
                <w:szCs w:val="20"/>
                <w:shd w:val="solid" w:color="000000" w:fill="000000"/>
                <w:fitText w:val="120" w:id="-893196795"/>
                <w14:textFill>
                  <w14:solidFill>
                    <w14:srgbClr w14:val="000000">
                      <w14:alpha w14:val="100000"/>
                    </w14:srgbClr>
                  </w14:solidFill>
                </w14:textFill>
              </w:rPr>
              <w:t xml:space="preserve">　</w:t>
            </w:r>
            <w:r>
              <w:rPr>
                <w:b/>
                <w:vertAlign w:val="superscript"/>
              </w:rPr>
              <w:t>1</w:t>
            </w:r>
          </w:p>
        </w:tc>
        <w:tc>
          <w:tcPr>
            <w:tcW w:w="942" w:type="dxa"/>
            <w:vAlign w:val="center"/>
          </w:tcPr>
          <w:p w14:paraId="5BABF44B" w14:textId="670AA837" w:rsidR="003E5223" w:rsidRPr="005464FA" w:rsidRDefault="003E5223" w:rsidP="003E5223">
            <w:pPr>
              <w:pStyle w:val="TableText0"/>
              <w:keepNext w:val="0"/>
              <w:jc w:val="center"/>
              <w:rPr>
                <w:color w:val="000000"/>
                <w:szCs w:val="20"/>
              </w:rPr>
            </w:pPr>
            <w:r w:rsidRPr="003E5223">
              <w:rPr>
                <w:color w:val="000000"/>
                <w:spacing w:val="174"/>
                <w:szCs w:val="20"/>
                <w:shd w:val="solid" w:color="000000" w:fill="000000"/>
                <w:fitText w:val="260" w:id="-893196794"/>
                <w14:textFill>
                  <w14:solidFill>
                    <w14:srgbClr w14:val="000000">
                      <w14:alpha w14:val="100000"/>
                    </w14:srgbClr>
                  </w14:solidFill>
                </w14:textFill>
              </w:rPr>
              <w:t>|</w:t>
            </w:r>
            <w:r w:rsidRPr="003E5223">
              <w:rPr>
                <w:color w:val="000000"/>
                <w:szCs w:val="20"/>
                <w:shd w:val="solid" w:color="000000" w:fill="000000"/>
                <w:fitText w:val="260" w:id="-893196794"/>
                <w14:textFill>
                  <w14:solidFill>
                    <w14:srgbClr w14:val="000000">
                      <w14:alpha w14:val="100000"/>
                    </w14:srgbClr>
                  </w14:solidFill>
                </w14:textFill>
              </w:rPr>
              <w:t>|</w:t>
            </w:r>
            <w:r w:rsidRPr="005464FA">
              <w:rPr>
                <w:color w:val="000000"/>
                <w:szCs w:val="20"/>
              </w:rPr>
              <w:t>%</w:t>
            </w:r>
          </w:p>
        </w:tc>
      </w:tr>
      <w:tr w:rsidR="003E5223" w:rsidRPr="005464FA" w14:paraId="1E4F2A4D" w14:textId="77777777" w:rsidTr="003E5223">
        <w:tc>
          <w:tcPr>
            <w:tcW w:w="4668" w:type="dxa"/>
            <w:tcMar>
              <w:left w:w="108" w:type="dxa"/>
            </w:tcMar>
          </w:tcPr>
          <w:p w14:paraId="310CB22F" w14:textId="59B91A11" w:rsidR="003E5223" w:rsidRPr="005464FA" w:rsidRDefault="003E5223" w:rsidP="003E5223">
            <w:pPr>
              <w:pStyle w:val="TableText0"/>
              <w:keepNext w:val="0"/>
              <w:rPr>
                <w:b/>
                <w:bCs w:val="0"/>
              </w:rPr>
            </w:pPr>
            <w:r w:rsidRPr="005464FA">
              <w:rPr>
                <w:b/>
                <w:bCs w:val="0"/>
              </w:rPr>
              <w:t>Multivariate Sensitivity analyses (conducted for ESC) – corrected</w:t>
            </w:r>
          </w:p>
        </w:tc>
        <w:tc>
          <w:tcPr>
            <w:tcW w:w="1137" w:type="dxa"/>
            <w:tcBorders>
              <w:bottom w:val="single" w:sz="4" w:space="0" w:color="auto"/>
            </w:tcBorders>
            <w:tcMar>
              <w:left w:w="108" w:type="dxa"/>
            </w:tcMar>
            <w:vAlign w:val="center"/>
          </w:tcPr>
          <w:p w14:paraId="4F1C75E3" w14:textId="77777777" w:rsidR="003E5223" w:rsidRPr="003E5223" w:rsidRDefault="003E5223" w:rsidP="003E5223">
            <w:pPr>
              <w:pStyle w:val="TableText0"/>
              <w:keepNext w:val="0"/>
              <w:jc w:val="center"/>
              <w:rPr>
                <w:rStyle w:val="CommentReference"/>
                <w:rFonts w:eastAsia="Times New Roman" w:cs="Times New Roman"/>
                <w:bCs w:val="0"/>
                <w:szCs w:val="20"/>
              </w:rPr>
            </w:pPr>
          </w:p>
        </w:tc>
        <w:tc>
          <w:tcPr>
            <w:tcW w:w="1137" w:type="dxa"/>
            <w:tcMar>
              <w:left w:w="108" w:type="dxa"/>
            </w:tcMar>
            <w:vAlign w:val="center"/>
          </w:tcPr>
          <w:p w14:paraId="11E363E1" w14:textId="77777777" w:rsidR="003E5223" w:rsidRPr="005464FA" w:rsidRDefault="003E5223" w:rsidP="003E5223">
            <w:pPr>
              <w:pStyle w:val="TableText0"/>
              <w:keepNext w:val="0"/>
              <w:jc w:val="center"/>
              <w:rPr>
                <w:b/>
                <w:bCs w:val="0"/>
              </w:rPr>
            </w:pPr>
          </w:p>
        </w:tc>
        <w:tc>
          <w:tcPr>
            <w:tcW w:w="1133" w:type="dxa"/>
            <w:tcMar>
              <w:left w:w="108" w:type="dxa"/>
            </w:tcMar>
            <w:vAlign w:val="center"/>
          </w:tcPr>
          <w:p w14:paraId="5B7B5D1E" w14:textId="77777777" w:rsidR="003E5223" w:rsidRPr="005464FA" w:rsidRDefault="003E5223" w:rsidP="003E5223">
            <w:pPr>
              <w:pStyle w:val="TableText0"/>
              <w:keepNext w:val="0"/>
              <w:jc w:val="center"/>
              <w:rPr>
                <w:b/>
                <w:bCs w:val="0"/>
                <w:color w:val="000000"/>
                <w:szCs w:val="20"/>
              </w:rPr>
            </w:pPr>
          </w:p>
        </w:tc>
        <w:tc>
          <w:tcPr>
            <w:tcW w:w="942" w:type="dxa"/>
            <w:tcMar>
              <w:left w:w="108" w:type="dxa"/>
            </w:tcMar>
            <w:vAlign w:val="center"/>
          </w:tcPr>
          <w:p w14:paraId="26B03273" w14:textId="77777777" w:rsidR="003E5223" w:rsidRPr="005464FA" w:rsidRDefault="003E5223" w:rsidP="003E5223">
            <w:pPr>
              <w:pStyle w:val="TableText0"/>
              <w:keepNext w:val="0"/>
              <w:jc w:val="center"/>
              <w:rPr>
                <w:b/>
                <w:bCs w:val="0"/>
                <w:color w:val="000000"/>
                <w:szCs w:val="20"/>
              </w:rPr>
            </w:pPr>
          </w:p>
        </w:tc>
      </w:tr>
      <w:tr w:rsidR="003E5223" w:rsidRPr="005464FA" w14:paraId="120F1A39" w14:textId="77777777" w:rsidTr="003E5223">
        <w:tc>
          <w:tcPr>
            <w:tcW w:w="4668" w:type="dxa"/>
            <w:tcMar>
              <w:left w:w="255" w:type="dxa"/>
            </w:tcMar>
          </w:tcPr>
          <w:p w14:paraId="3FF0B165" w14:textId="50A2CB46" w:rsidR="003E5223" w:rsidRPr="005464FA" w:rsidRDefault="003E5223" w:rsidP="003E5223">
            <w:pPr>
              <w:pStyle w:val="TableText0"/>
              <w:keepNext w:val="0"/>
            </w:pPr>
            <w:r w:rsidRPr="005464FA">
              <w:t>#1 and #2</w:t>
            </w:r>
          </w:p>
        </w:tc>
        <w:tc>
          <w:tcPr>
            <w:tcW w:w="1137" w:type="dxa"/>
            <w:tcBorders>
              <w:bottom w:val="single" w:sz="4" w:space="0" w:color="auto"/>
            </w:tcBorders>
            <w:shd w:val="clear" w:color="auto" w:fill="auto"/>
            <w:vAlign w:val="center"/>
          </w:tcPr>
          <w:p w14:paraId="0FD243B0" w14:textId="5ECCC575" w:rsidR="003E5223" w:rsidRPr="003E5223" w:rsidRDefault="003E5223" w:rsidP="003E5223">
            <w:pPr>
              <w:pStyle w:val="TableText0"/>
              <w:keepNext w:val="0"/>
              <w:jc w:val="center"/>
              <w:rPr>
                <w:rStyle w:val="CommentReference"/>
                <w:rFonts w:eastAsia="Times New Roman" w:cs="Times New Roman"/>
                <w:b w:val="0"/>
                <w:bCs w:val="0"/>
                <w:szCs w:val="20"/>
              </w:rPr>
            </w:pP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r w:rsidRPr="003E5223">
              <w:rPr>
                <w:b/>
                <w:bCs w:val="0"/>
                <w:color w:val="000000"/>
                <w:w w:val="31"/>
                <w:szCs w:val="20"/>
                <w:shd w:val="solid" w:color="000000" w:fill="000000"/>
                <w:fitText w:val="140" w:id="-893197044"/>
                <w14:textFill>
                  <w14:solidFill>
                    <w14:srgbClr w14:val="000000">
                      <w14:alpha w14:val="100000"/>
                    </w14:srgbClr>
                  </w14:solidFill>
                </w14:textFill>
              </w:rPr>
              <w:t>|</w:t>
            </w:r>
            <w:r w:rsidRPr="003E5223">
              <w:rPr>
                <w:b/>
                <w:bCs w:val="0"/>
                <w:color w:val="000000"/>
                <w:w w:val="31"/>
                <w:szCs w:val="20"/>
                <w:shd w:val="solid" w:color="000000" w:fill="000000"/>
                <w:fitText w:val="140" w:id="-893197044"/>
                <w14:textFill>
                  <w14:solidFill>
                    <w14:srgbClr w14:val="000000">
                      <w14:alpha w14:val="100000"/>
                    </w14:srgbClr>
                  </w14:solidFill>
                </w14:textFill>
              </w:rPr>
              <w:t xml:space="preserve">　</w:t>
            </w:r>
          </w:p>
        </w:tc>
        <w:tc>
          <w:tcPr>
            <w:tcW w:w="1137" w:type="dxa"/>
            <w:vAlign w:val="center"/>
          </w:tcPr>
          <w:p w14:paraId="107B822B" w14:textId="33C7A3A7" w:rsidR="003E5223" w:rsidRPr="005464FA" w:rsidRDefault="003E5223" w:rsidP="003E5223">
            <w:pPr>
              <w:pStyle w:val="TableText0"/>
              <w:keepNext w:val="0"/>
              <w:jc w:val="center"/>
              <w:rPr>
                <w:rStyle w:val="CommentReference"/>
                <w:rFonts w:eastAsia="Times New Roman" w:cs="Times New Roman"/>
                <w:b w:val="0"/>
                <w:bCs w:val="0"/>
              </w:rPr>
            </w:pPr>
            <w:r w:rsidRPr="005464FA">
              <w:rPr>
                <w:rStyle w:val="CommentReference"/>
                <w:rFonts w:eastAsia="Times New Roman" w:cs="Times New Roman"/>
                <w:b w:val="0"/>
                <w:bCs w:val="0"/>
              </w:rPr>
              <w:t>0.311</w:t>
            </w:r>
          </w:p>
        </w:tc>
        <w:tc>
          <w:tcPr>
            <w:tcW w:w="1133" w:type="dxa"/>
            <w:vAlign w:val="center"/>
          </w:tcPr>
          <w:p w14:paraId="6D3D6D2E" w14:textId="63161011" w:rsidR="003E5223" w:rsidRPr="005464FA" w:rsidRDefault="003E5223" w:rsidP="003E5223">
            <w:pPr>
              <w:pStyle w:val="TableText0"/>
              <w:keepNext w:val="0"/>
              <w:jc w:val="center"/>
              <w:rPr>
                <w:rStyle w:val="CommentReference"/>
                <w:rFonts w:eastAsia="Times New Roman" w:cs="Times New Roman"/>
                <w:b w:val="0"/>
                <w:bCs w:val="0"/>
              </w:rPr>
            </w:pPr>
            <w:r w:rsidRPr="003E5223">
              <w:rPr>
                <w:rStyle w:val="CommentReference"/>
                <w:rFonts w:eastAsia="Times New Roman" w:cs="Times New Roman" w:hint="eastAsia"/>
                <w:b w:val="0"/>
                <w:bCs w:val="0"/>
                <w:color w:val="000000"/>
                <w:w w:val="27"/>
                <w:shd w:val="solid" w:color="000000" w:fill="000000"/>
                <w:fitText w:val="120" w:id="-893196792"/>
                <w14:textFill>
                  <w14:solidFill>
                    <w14:srgbClr w14:val="000000">
                      <w14:alpha w14:val="100000"/>
                    </w14:srgbClr>
                  </w14:solidFill>
                </w14:textFill>
              </w:rPr>
              <w:t xml:space="preserve">　</w:t>
            </w:r>
            <w:r w:rsidRPr="003E5223">
              <w:rPr>
                <w:rStyle w:val="CommentReference"/>
                <w:rFonts w:eastAsia="Times New Roman" w:cs="Times New Roman"/>
                <w:b w:val="0"/>
                <w:bCs w:val="0"/>
                <w:color w:val="000000"/>
                <w:w w:val="27"/>
                <w:shd w:val="solid" w:color="000000" w:fill="000000"/>
                <w:fitText w:val="120" w:id="-893196792"/>
                <w14:textFill>
                  <w14:solidFill>
                    <w14:srgbClr w14:val="000000">
                      <w14:alpha w14:val="100000"/>
                    </w14:srgbClr>
                  </w14:solidFill>
                </w14:textFill>
              </w:rPr>
              <w:t>|</w:t>
            </w:r>
            <w:r w:rsidRPr="003E5223">
              <w:rPr>
                <w:rStyle w:val="CommentReference"/>
                <w:rFonts w:eastAsia="Times New Roman" w:cs="Times New Roman" w:hint="eastAsia"/>
                <w:b w:val="0"/>
                <w:bCs w:val="0"/>
                <w:color w:val="000000"/>
                <w:w w:val="27"/>
                <w:shd w:val="solid" w:color="000000" w:fill="000000"/>
                <w:fitText w:val="120" w:id="-893196792"/>
                <w14:textFill>
                  <w14:solidFill>
                    <w14:srgbClr w14:val="000000">
                      <w14:alpha w14:val="100000"/>
                    </w14:srgbClr>
                  </w14:solidFill>
                </w14:textFill>
              </w:rPr>
              <w:t xml:space="preserve">　</w:t>
            </w:r>
            <w:r>
              <w:rPr>
                <w:b/>
                <w:vertAlign w:val="superscript"/>
              </w:rPr>
              <w:t>3</w:t>
            </w:r>
          </w:p>
        </w:tc>
        <w:tc>
          <w:tcPr>
            <w:tcW w:w="942" w:type="dxa"/>
            <w:vAlign w:val="center"/>
          </w:tcPr>
          <w:p w14:paraId="68927B70" w14:textId="6566B157" w:rsidR="003E5223" w:rsidRPr="005464FA" w:rsidRDefault="003E5223" w:rsidP="003E5223">
            <w:pPr>
              <w:pStyle w:val="TableText0"/>
              <w:keepNext w:val="0"/>
              <w:jc w:val="center"/>
              <w:rPr>
                <w:rStyle w:val="CommentReference"/>
                <w:rFonts w:eastAsia="Times New Roman" w:cs="Times New Roman"/>
                <w:b w:val="0"/>
                <w:bCs w:val="0"/>
              </w:rPr>
            </w:pPr>
            <w:r w:rsidRPr="003E5223">
              <w:rPr>
                <w:rStyle w:val="CommentReference"/>
                <w:rFonts w:eastAsia="Times New Roman" w:cs="Times New Roman"/>
                <w:b w:val="0"/>
                <w:bCs w:val="0"/>
                <w:color w:val="000000"/>
                <w:spacing w:val="174"/>
                <w:shd w:val="solid" w:color="000000" w:fill="000000"/>
                <w:fitText w:val="260" w:id="-893196791"/>
                <w14:textFill>
                  <w14:solidFill>
                    <w14:srgbClr w14:val="000000">
                      <w14:alpha w14:val="100000"/>
                    </w14:srgbClr>
                  </w14:solidFill>
                </w14:textFill>
              </w:rPr>
              <w:t>|</w:t>
            </w:r>
            <w:r w:rsidRPr="003E5223">
              <w:rPr>
                <w:rStyle w:val="CommentReference"/>
                <w:rFonts w:eastAsia="Times New Roman" w:cs="Times New Roman"/>
                <w:b w:val="0"/>
                <w:bCs w:val="0"/>
                <w:color w:val="000000"/>
                <w:shd w:val="solid" w:color="000000" w:fill="000000"/>
                <w:fitText w:val="260" w:id="-893196791"/>
                <w14:textFill>
                  <w14:solidFill>
                    <w14:srgbClr w14:val="000000">
                      <w14:alpha w14:val="100000"/>
                    </w14:srgbClr>
                  </w14:solidFill>
                </w14:textFill>
              </w:rPr>
              <w:t>|</w:t>
            </w:r>
            <w:r w:rsidRPr="005464FA">
              <w:rPr>
                <w:rStyle w:val="CommentReference"/>
                <w:rFonts w:eastAsia="Times New Roman" w:cs="Times New Roman"/>
                <w:b w:val="0"/>
                <w:bCs w:val="0"/>
              </w:rPr>
              <w:t>%</w:t>
            </w:r>
          </w:p>
        </w:tc>
      </w:tr>
      <w:tr w:rsidR="003E5223" w:rsidRPr="005464FA" w14:paraId="79A225F4" w14:textId="77777777" w:rsidTr="003E5223">
        <w:tc>
          <w:tcPr>
            <w:tcW w:w="4668" w:type="dxa"/>
            <w:tcMar>
              <w:left w:w="255" w:type="dxa"/>
            </w:tcMar>
          </w:tcPr>
          <w:p w14:paraId="3A9329F7" w14:textId="763E7445" w:rsidR="003E5223" w:rsidRPr="005464FA" w:rsidRDefault="003E5223" w:rsidP="003E5223">
            <w:pPr>
              <w:pStyle w:val="TableText0"/>
              <w:keepNext w:val="0"/>
            </w:pPr>
            <w:r w:rsidRPr="005464FA">
              <w:t xml:space="preserve">#1, #2 and #3 </w:t>
            </w:r>
          </w:p>
        </w:tc>
        <w:tc>
          <w:tcPr>
            <w:tcW w:w="1137" w:type="dxa"/>
            <w:tcBorders>
              <w:bottom w:val="single" w:sz="4" w:space="0" w:color="auto"/>
            </w:tcBorders>
            <w:shd w:val="clear" w:color="auto" w:fill="auto"/>
            <w:vAlign w:val="center"/>
          </w:tcPr>
          <w:p w14:paraId="3ABDB0BD" w14:textId="0F2C458A" w:rsidR="003E5223" w:rsidRPr="003E5223" w:rsidRDefault="003E5223" w:rsidP="003E5223">
            <w:pPr>
              <w:pStyle w:val="TableText0"/>
              <w:keepNext w:val="0"/>
              <w:jc w:val="center"/>
              <w:rPr>
                <w:rStyle w:val="CommentReference"/>
                <w:rFonts w:eastAsia="Times New Roman" w:cs="Times New Roman"/>
                <w:b w:val="0"/>
                <w:szCs w:val="20"/>
              </w:rPr>
            </w:pPr>
            <w:r w:rsidRPr="003E5223">
              <w:rPr>
                <w:rStyle w:val="CommentReference"/>
                <w:rFonts w:ascii="MS Gothic" w:eastAsia="MS Gothic" w:hAnsi="MS Gothic" w:cs="MS Gothic" w:hint="eastAsia"/>
                <w:b w:val="0"/>
                <w:color w:val="000000"/>
                <w:w w:val="20"/>
                <w:szCs w:val="20"/>
                <w:shd w:val="solid" w:color="000000" w:fill="000000"/>
                <w:fitText w:val="90" w:id="-893196791"/>
                <w14:textFill>
                  <w14:solidFill>
                    <w14:srgbClr w14:val="000000">
                      <w14:alpha w14:val="100000"/>
                    </w14:srgbClr>
                  </w14:solidFill>
                </w14:textFill>
              </w:rPr>
              <w:t xml:space="preserve">　</w:t>
            </w:r>
            <w:r w:rsidRPr="003E5223">
              <w:rPr>
                <w:rStyle w:val="CommentReference"/>
                <w:rFonts w:eastAsia="Times New Roman" w:cs="Times New Roman"/>
                <w:b w:val="0"/>
                <w:color w:val="000000"/>
                <w:w w:val="20"/>
                <w:szCs w:val="20"/>
                <w:shd w:val="solid" w:color="000000" w:fill="000000"/>
                <w:fitText w:val="90" w:id="-893196791"/>
                <w14:textFill>
                  <w14:solidFill>
                    <w14:srgbClr w14:val="000000">
                      <w14:alpha w14:val="100000"/>
                    </w14:srgbClr>
                  </w14:solidFill>
                </w14:textFill>
              </w:rPr>
              <w:t>|</w:t>
            </w:r>
            <w:r w:rsidRPr="003E5223">
              <w:rPr>
                <w:rStyle w:val="CommentReference"/>
                <w:rFonts w:ascii="MS Gothic" w:eastAsia="MS Gothic" w:hAnsi="MS Gothic" w:cs="MS Gothic" w:hint="eastAsia"/>
                <w:b w:val="0"/>
                <w:color w:val="000000"/>
                <w:w w:val="20"/>
                <w:szCs w:val="20"/>
                <w:shd w:val="solid" w:color="000000" w:fill="000000"/>
                <w:fitText w:val="90" w:id="-893196791"/>
                <w14:textFill>
                  <w14:solidFill>
                    <w14:srgbClr w14:val="000000">
                      <w14:alpha w14:val="100000"/>
                    </w14:srgbClr>
                  </w14:solidFill>
                </w14:textFill>
              </w:rPr>
              <w:t xml:space="preserve">　</w:t>
            </w:r>
            <w:r w:rsidRPr="003E5223">
              <w:rPr>
                <w:rStyle w:val="CommentReference"/>
                <w:b w:val="0"/>
                <w:szCs w:val="20"/>
              </w:rPr>
              <w:t xml:space="preserve"> </w:t>
            </w:r>
          </w:p>
        </w:tc>
        <w:tc>
          <w:tcPr>
            <w:tcW w:w="1137" w:type="dxa"/>
            <w:vAlign w:val="center"/>
          </w:tcPr>
          <w:p w14:paraId="1A320B7E" w14:textId="38D3CC2C" w:rsidR="003E5223" w:rsidRPr="005464FA" w:rsidRDefault="003E5223" w:rsidP="003E5223">
            <w:pPr>
              <w:pStyle w:val="TableText0"/>
              <w:keepNext w:val="0"/>
              <w:jc w:val="center"/>
              <w:rPr>
                <w:rStyle w:val="CommentReference"/>
                <w:rFonts w:eastAsia="Times New Roman" w:cs="Times New Roman"/>
                <w:b w:val="0"/>
              </w:rPr>
            </w:pPr>
            <w:r w:rsidRPr="005464FA">
              <w:rPr>
                <w:rStyle w:val="CommentReference"/>
                <w:rFonts w:eastAsia="Times New Roman" w:cs="Times New Roman"/>
                <w:b w:val="0"/>
              </w:rPr>
              <w:t>0.311</w:t>
            </w:r>
          </w:p>
        </w:tc>
        <w:tc>
          <w:tcPr>
            <w:tcW w:w="1133" w:type="dxa"/>
            <w:vAlign w:val="center"/>
          </w:tcPr>
          <w:p w14:paraId="0CEFA988" w14:textId="6B5FE50C" w:rsidR="003E5223" w:rsidRPr="005464FA" w:rsidRDefault="003E5223" w:rsidP="003E5223">
            <w:pPr>
              <w:pStyle w:val="TableText0"/>
              <w:keepNext w:val="0"/>
              <w:jc w:val="center"/>
              <w:rPr>
                <w:rStyle w:val="CommentReference"/>
                <w:rFonts w:eastAsia="Times New Roman" w:cs="Times New Roman"/>
                <w:b w:val="0"/>
              </w:rPr>
            </w:pPr>
            <w:r w:rsidRPr="003E5223">
              <w:rPr>
                <w:rStyle w:val="CommentReference"/>
                <w:rFonts w:eastAsia="Times New Roman" w:cs="Times New Roman" w:hint="eastAsia"/>
                <w:b w:val="0"/>
                <w:color w:val="000000"/>
                <w:w w:val="27"/>
                <w:shd w:val="solid" w:color="000000" w:fill="000000"/>
                <w:fitText w:val="120" w:id="-893196789"/>
                <w14:textFill>
                  <w14:solidFill>
                    <w14:srgbClr w14:val="000000">
                      <w14:alpha w14:val="100000"/>
                    </w14:srgbClr>
                  </w14:solidFill>
                </w14:textFill>
              </w:rPr>
              <w:t xml:space="preserve">　</w:t>
            </w:r>
            <w:r w:rsidRPr="003E5223">
              <w:rPr>
                <w:rStyle w:val="CommentReference"/>
                <w:rFonts w:eastAsia="Times New Roman" w:cs="Times New Roman"/>
                <w:b w:val="0"/>
                <w:color w:val="000000"/>
                <w:w w:val="27"/>
                <w:shd w:val="solid" w:color="000000" w:fill="000000"/>
                <w:fitText w:val="120" w:id="-893196789"/>
                <w14:textFill>
                  <w14:solidFill>
                    <w14:srgbClr w14:val="000000">
                      <w14:alpha w14:val="100000"/>
                    </w14:srgbClr>
                  </w14:solidFill>
                </w14:textFill>
              </w:rPr>
              <w:t>|</w:t>
            </w:r>
            <w:r w:rsidRPr="003E5223">
              <w:rPr>
                <w:rStyle w:val="CommentReference"/>
                <w:rFonts w:eastAsia="Times New Roman" w:cs="Times New Roman" w:hint="eastAsia"/>
                <w:b w:val="0"/>
                <w:color w:val="000000"/>
                <w:w w:val="27"/>
                <w:shd w:val="solid" w:color="000000" w:fill="000000"/>
                <w:fitText w:val="120" w:id="-893196789"/>
                <w14:textFill>
                  <w14:solidFill>
                    <w14:srgbClr w14:val="000000">
                      <w14:alpha w14:val="100000"/>
                    </w14:srgbClr>
                  </w14:solidFill>
                </w14:textFill>
              </w:rPr>
              <w:t xml:space="preserve">　</w:t>
            </w:r>
            <w:r>
              <w:rPr>
                <w:b/>
                <w:vertAlign w:val="superscript"/>
              </w:rPr>
              <w:t>3</w:t>
            </w:r>
          </w:p>
        </w:tc>
        <w:tc>
          <w:tcPr>
            <w:tcW w:w="942" w:type="dxa"/>
            <w:vAlign w:val="center"/>
          </w:tcPr>
          <w:p w14:paraId="61478831" w14:textId="723F5D21" w:rsidR="003E5223" w:rsidRPr="005464FA" w:rsidRDefault="003E5223" w:rsidP="003E5223">
            <w:pPr>
              <w:pStyle w:val="TableText0"/>
              <w:keepNext w:val="0"/>
              <w:jc w:val="center"/>
              <w:rPr>
                <w:rStyle w:val="CommentReference"/>
                <w:rFonts w:eastAsia="Times New Roman" w:cs="Times New Roman"/>
                <w:b w:val="0"/>
              </w:rPr>
            </w:pPr>
            <w:r w:rsidRPr="003E5223">
              <w:rPr>
                <w:rStyle w:val="CommentReference"/>
                <w:rFonts w:eastAsia="Times New Roman" w:cs="Times New Roman"/>
                <w:b w:val="0"/>
                <w:color w:val="000000"/>
                <w:spacing w:val="174"/>
                <w:shd w:val="solid" w:color="000000" w:fill="000000"/>
                <w:fitText w:val="260" w:id="-893196788"/>
                <w14:textFill>
                  <w14:solidFill>
                    <w14:srgbClr w14:val="000000">
                      <w14:alpha w14:val="100000"/>
                    </w14:srgbClr>
                  </w14:solidFill>
                </w14:textFill>
              </w:rPr>
              <w:t>|</w:t>
            </w:r>
            <w:r w:rsidRPr="003E5223">
              <w:rPr>
                <w:rStyle w:val="CommentReference"/>
                <w:rFonts w:eastAsia="Times New Roman" w:cs="Times New Roman"/>
                <w:b w:val="0"/>
                <w:color w:val="000000"/>
                <w:shd w:val="solid" w:color="000000" w:fill="000000"/>
                <w:fitText w:val="260" w:id="-893196788"/>
                <w14:textFill>
                  <w14:solidFill>
                    <w14:srgbClr w14:val="000000">
                      <w14:alpha w14:val="100000"/>
                    </w14:srgbClr>
                  </w14:solidFill>
                </w14:textFill>
              </w:rPr>
              <w:t>|</w:t>
            </w:r>
            <w:r w:rsidRPr="005464FA">
              <w:rPr>
                <w:rStyle w:val="CommentReference"/>
                <w:rFonts w:eastAsia="Times New Roman" w:cs="Times New Roman"/>
                <w:b w:val="0"/>
              </w:rPr>
              <w:t>%</w:t>
            </w:r>
          </w:p>
        </w:tc>
      </w:tr>
      <w:tr w:rsidR="003E5223" w:rsidRPr="005464FA" w14:paraId="4EE6166A" w14:textId="77777777" w:rsidTr="003E5223">
        <w:tc>
          <w:tcPr>
            <w:tcW w:w="4668" w:type="dxa"/>
            <w:tcMar>
              <w:left w:w="255" w:type="dxa"/>
            </w:tcMar>
          </w:tcPr>
          <w:p w14:paraId="54A9521F" w14:textId="5F691E65" w:rsidR="003E5223" w:rsidRPr="005464FA" w:rsidRDefault="003E5223" w:rsidP="003E5223">
            <w:pPr>
              <w:pStyle w:val="TableText0"/>
              <w:keepNext w:val="0"/>
            </w:pPr>
            <w:r w:rsidRPr="005464FA">
              <w:t>#1, #2, #3 and #4</w:t>
            </w:r>
          </w:p>
        </w:tc>
        <w:tc>
          <w:tcPr>
            <w:tcW w:w="1137" w:type="dxa"/>
            <w:tcBorders>
              <w:bottom w:val="single" w:sz="4" w:space="0" w:color="auto"/>
            </w:tcBorders>
            <w:shd w:val="clear" w:color="auto" w:fill="auto"/>
            <w:vAlign w:val="center"/>
          </w:tcPr>
          <w:p w14:paraId="7EC05E65" w14:textId="00BF00EE" w:rsidR="003E5223" w:rsidRPr="003E5223" w:rsidRDefault="003E5223" w:rsidP="003E5223">
            <w:pPr>
              <w:jc w:val="center"/>
              <w:rPr>
                <w:rFonts w:ascii="Arial Narrow" w:eastAsiaTheme="majorEastAsia" w:hAnsi="Arial Narrow" w:cstheme="majorBidi"/>
                <w:bCs/>
                <w:sz w:val="20"/>
                <w:szCs w:val="20"/>
              </w:rPr>
            </w:pPr>
            <w:r w:rsidRPr="003E5223">
              <w:rPr>
                <w:rFonts w:ascii="Arial Narrow" w:hAnsi="Arial Narrow"/>
                <w:b/>
                <w:color w:val="000000"/>
                <w:spacing w:val="94"/>
                <w:sz w:val="20"/>
                <w:szCs w:val="20"/>
                <w:shd w:val="solid" w:color="000000" w:fill="000000"/>
                <w:fitText w:val="140" w:id="-893197044"/>
                <w14:textFill>
                  <w14:solidFill>
                    <w14:srgbClr w14:val="000000">
                      <w14:alpha w14:val="100000"/>
                    </w14:srgbClr>
                  </w14:solidFill>
                </w14:textFill>
              </w:rPr>
              <w:t>|</w:t>
            </w:r>
          </w:p>
        </w:tc>
        <w:tc>
          <w:tcPr>
            <w:tcW w:w="1137" w:type="dxa"/>
            <w:vAlign w:val="center"/>
          </w:tcPr>
          <w:p w14:paraId="34F24F57" w14:textId="60AA55F8" w:rsidR="003E5223" w:rsidRPr="005464FA" w:rsidRDefault="003E5223" w:rsidP="003E5223">
            <w:pPr>
              <w:jc w:val="center"/>
              <w:rPr>
                <w:rFonts w:ascii="Arial Narrow" w:eastAsiaTheme="majorEastAsia" w:hAnsi="Arial Narrow" w:cstheme="majorBidi"/>
                <w:bCs/>
              </w:rPr>
            </w:pPr>
            <w:r w:rsidRPr="005464FA">
              <w:rPr>
                <w:rFonts w:ascii="Arial Narrow" w:eastAsiaTheme="majorEastAsia" w:hAnsi="Arial Narrow" w:cstheme="majorBidi"/>
                <w:bCs/>
                <w:sz w:val="20"/>
              </w:rPr>
              <w:t>0.169</w:t>
            </w:r>
          </w:p>
        </w:tc>
        <w:tc>
          <w:tcPr>
            <w:tcW w:w="1133" w:type="dxa"/>
            <w:vAlign w:val="center"/>
          </w:tcPr>
          <w:p w14:paraId="4EDA7FD1" w14:textId="613CFC52" w:rsidR="003E5223" w:rsidRPr="005464FA" w:rsidRDefault="003E5223" w:rsidP="003E5223">
            <w:pPr>
              <w:jc w:val="center"/>
              <w:rPr>
                <w:rFonts w:ascii="Arial Narrow" w:eastAsiaTheme="majorEastAsia" w:hAnsi="Arial Narrow" w:cstheme="majorBidi"/>
                <w:bCs/>
              </w:rPr>
            </w:pPr>
            <w:r w:rsidRPr="003E5223">
              <w:rPr>
                <w:rFonts w:ascii="Arial Narrow" w:eastAsiaTheme="majorEastAsia" w:hAnsi="Arial Narrow" w:cstheme="majorBidi" w:hint="eastAsia"/>
                <w:bCs/>
                <w:color w:val="000000"/>
                <w:w w:val="27"/>
                <w:sz w:val="20"/>
                <w:shd w:val="solid" w:color="000000" w:fill="000000"/>
                <w:fitText w:val="120" w:id="-893196786"/>
                <w14:textFill>
                  <w14:solidFill>
                    <w14:srgbClr w14:val="000000">
                      <w14:alpha w14:val="100000"/>
                    </w14:srgbClr>
                  </w14:solidFill>
                </w14:textFill>
              </w:rPr>
              <w:t xml:space="preserve">　</w:t>
            </w:r>
            <w:r w:rsidRPr="003E5223">
              <w:rPr>
                <w:rFonts w:ascii="Arial Narrow" w:eastAsiaTheme="majorEastAsia" w:hAnsi="Arial Narrow" w:cstheme="majorBidi"/>
                <w:bCs/>
                <w:color w:val="000000"/>
                <w:w w:val="27"/>
                <w:sz w:val="20"/>
                <w:shd w:val="solid" w:color="000000" w:fill="000000"/>
                <w:fitText w:val="120" w:id="-893196786"/>
                <w14:textFill>
                  <w14:solidFill>
                    <w14:srgbClr w14:val="000000">
                      <w14:alpha w14:val="100000"/>
                    </w14:srgbClr>
                  </w14:solidFill>
                </w14:textFill>
              </w:rPr>
              <w:t>|</w:t>
            </w:r>
            <w:r w:rsidRPr="003E5223">
              <w:rPr>
                <w:rFonts w:ascii="Arial Narrow" w:eastAsiaTheme="majorEastAsia" w:hAnsi="Arial Narrow" w:cstheme="majorBidi" w:hint="eastAsia"/>
                <w:bCs/>
                <w:color w:val="000000"/>
                <w:w w:val="27"/>
                <w:sz w:val="20"/>
                <w:shd w:val="solid" w:color="000000" w:fill="000000"/>
                <w:fitText w:val="120" w:id="-893196786"/>
                <w14:textFill>
                  <w14:solidFill>
                    <w14:srgbClr w14:val="000000">
                      <w14:alpha w14:val="100000"/>
                    </w14:srgbClr>
                  </w14:solidFill>
                </w14:textFill>
              </w:rPr>
              <w:t xml:space="preserve">　</w:t>
            </w:r>
            <w:r w:rsidRPr="005F522F">
              <w:rPr>
                <w:rFonts w:ascii="Arial Narrow" w:hAnsi="Arial Narrow"/>
                <w:b/>
                <w:sz w:val="20"/>
                <w:szCs w:val="20"/>
                <w:vertAlign w:val="superscript"/>
              </w:rPr>
              <w:t>5</w:t>
            </w:r>
          </w:p>
        </w:tc>
        <w:tc>
          <w:tcPr>
            <w:tcW w:w="942" w:type="dxa"/>
            <w:vAlign w:val="center"/>
          </w:tcPr>
          <w:p w14:paraId="2F664C25" w14:textId="68B22CF6" w:rsidR="003E5223" w:rsidRPr="005464FA" w:rsidRDefault="003E5223" w:rsidP="003E5223">
            <w:pPr>
              <w:pStyle w:val="TableText0"/>
              <w:keepNext w:val="0"/>
              <w:jc w:val="center"/>
            </w:pPr>
            <w:r w:rsidRPr="003E5223">
              <w:rPr>
                <w:color w:val="000000"/>
                <w:spacing w:val="174"/>
                <w:shd w:val="solid" w:color="000000" w:fill="000000"/>
                <w:fitText w:val="260" w:id="-893196785"/>
                <w14:textFill>
                  <w14:solidFill>
                    <w14:srgbClr w14:val="000000">
                      <w14:alpha w14:val="100000"/>
                    </w14:srgbClr>
                  </w14:solidFill>
                </w14:textFill>
              </w:rPr>
              <w:t>|</w:t>
            </w:r>
            <w:r w:rsidRPr="003E5223">
              <w:rPr>
                <w:color w:val="000000"/>
                <w:shd w:val="solid" w:color="000000" w:fill="000000"/>
                <w:fitText w:val="260" w:id="-893196785"/>
                <w14:textFill>
                  <w14:solidFill>
                    <w14:srgbClr w14:val="000000">
                      <w14:alpha w14:val="100000"/>
                    </w14:srgbClr>
                  </w14:solidFill>
                </w14:textFill>
              </w:rPr>
              <w:t>|</w:t>
            </w:r>
            <w:r w:rsidRPr="005464FA">
              <w:t>%</w:t>
            </w:r>
          </w:p>
        </w:tc>
      </w:tr>
      <w:tr w:rsidR="003E5223" w:rsidRPr="005464FA" w14:paraId="2B0824C0" w14:textId="77777777" w:rsidTr="003E5223">
        <w:tc>
          <w:tcPr>
            <w:tcW w:w="4668" w:type="dxa"/>
            <w:tcMar>
              <w:left w:w="255" w:type="dxa"/>
            </w:tcMar>
          </w:tcPr>
          <w:p w14:paraId="0E150129" w14:textId="182FC5D4" w:rsidR="003E5223" w:rsidRPr="005464FA" w:rsidRDefault="003E5223" w:rsidP="003E5223">
            <w:pPr>
              <w:pStyle w:val="TableText0"/>
              <w:keepNext w:val="0"/>
            </w:pPr>
            <w:r w:rsidRPr="005464FA">
              <w:t>#1, #2, #3, #4 and #5</w:t>
            </w:r>
          </w:p>
        </w:tc>
        <w:tc>
          <w:tcPr>
            <w:tcW w:w="1137" w:type="dxa"/>
            <w:shd w:val="clear" w:color="auto" w:fill="auto"/>
            <w:vAlign w:val="center"/>
          </w:tcPr>
          <w:p w14:paraId="56DA3D76" w14:textId="43C3C3A2" w:rsidR="003E5223" w:rsidRPr="003E5223" w:rsidRDefault="003E5223" w:rsidP="003E5223">
            <w:pPr>
              <w:jc w:val="center"/>
              <w:rPr>
                <w:rFonts w:ascii="Arial Narrow" w:eastAsiaTheme="majorEastAsia" w:hAnsi="Arial Narrow" w:cstheme="majorBidi"/>
                <w:bCs/>
                <w:sz w:val="20"/>
                <w:szCs w:val="20"/>
              </w:rPr>
            </w:pPr>
            <w:r w:rsidRPr="003E5223">
              <w:rPr>
                <w:rFonts w:ascii="Arial Narrow" w:hAnsi="Arial Narrow"/>
                <w:b/>
                <w:color w:val="000000"/>
                <w:spacing w:val="94"/>
                <w:sz w:val="20"/>
                <w:szCs w:val="20"/>
                <w:shd w:val="solid" w:color="000000" w:fill="000000"/>
                <w:fitText w:val="140" w:id="-893197044"/>
                <w14:textFill>
                  <w14:solidFill>
                    <w14:srgbClr w14:val="000000">
                      <w14:alpha w14:val="100000"/>
                    </w14:srgbClr>
                  </w14:solidFill>
                </w14:textFill>
              </w:rPr>
              <w:t>|</w:t>
            </w:r>
          </w:p>
        </w:tc>
        <w:tc>
          <w:tcPr>
            <w:tcW w:w="1137" w:type="dxa"/>
            <w:vAlign w:val="center"/>
          </w:tcPr>
          <w:p w14:paraId="0D74C138" w14:textId="592A08C8" w:rsidR="003E5223" w:rsidRPr="005464FA" w:rsidRDefault="003E5223" w:rsidP="003E5223">
            <w:pPr>
              <w:jc w:val="center"/>
              <w:rPr>
                <w:rFonts w:ascii="Arial Narrow" w:eastAsiaTheme="majorEastAsia" w:hAnsi="Arial Narrow" w:cstheme="majorBidi"/>
                <w:bCs/>
                <w:sz w:val="20"/>
              </w:rPr>
            </w:pPr>
            <w:r w:rsidRPr="005464FA">
              <w:rPr>
                <w:rFonts w:ascii="Arial Narrow" w:eastAsiaTheme="majorEastAsia" w:hAnsi="Arial Narrow" w:cstheme="majorBidi"/>
                <w:bCs/>
                <w:sz w:val="20"/>
              </w:rPr>
              <w:t>0.169</w:t>
            </w:r>
          </w:p>
        </w:tc>
        <w:tc>
          <w:tcPr>
            <w:tcW w:w="1133" w:type="dxa"/>
            <w:vAlign w:val="center"/>
          </w:tcPr>
          <w:p w14:paraId="532543A8" w14:textId="419ACFEF" w:rsidR="003E5223" w:rsidRPr="007F17AC" w:rsidRDefault="003E5223" w:rsidP="003E5223">
            <w:pPr>
              <w:jc w:val="center"/>
              <w:rPr>
                <w:rFonts w:ascii="Arial Narrow" w:eastAsiaTheme="majorEastAsia" w:hAnsi="Arial Narrow" w:cstheme="majorBidi"/>
                <w:bCs/>
                <w:sz w:val="20"/>
              </w:rPr>
            </w:pPr>
            <w:r w:rsidRPr="003E5223">
              <w:rPr>
                <w:rFonts w:ascii="Arial Narrow" w:eastAsiaTheme="majorEastAsia" w:hAnsi="Arial Narrow" w:cstheme="majorBidi" w:hint="eastAsia"/>
                <w:bCs/>
                <w:color w:val="000000"/>
                <w:w w:val="27"/>
                <w:sz w:val="20"/>
                <w:shd w:val="solid" w:color="000000" w:fill="000000"/>
                <w:fitText w:val="120" w:id="-893196800"/>
                <w14:textFill>
                  <w14:solidFill>
                    <w14:srgbClr w14:val="000000">
                      <w14:alpha w14:val="100000"/>
                    </w14:srgbClr>
                  </w14:solidFill>
                </w14:textFill>
              </w:rPr>
              <w:t xml:space="preserve">　</w:t>
            </w:r>
            <w:r w:rsidRPr="003E5223">
              <w:rPr>
                <w:rFonts w:ascii="Arial Narrow" w:eastAsiaTheme="majorEastAsia" w:hAnsi="Arial Narrow" w:cstheme="majorBidi"/>
                <w:bCs/>
                <w:color w:val="000000"/>
                <w:w w:val="27"/>
                <w:sz w:val="20"/>
                <w:shd w:val="solid" w:color="000000" w:fill="000000"/>
                <w:fitText w:val="120" w:id="-893196800"/>
                <w14:textFill>
                  <w14:solidFill>
                    <w14:srgbClr w14:val="000000">
                      <w14:alpha w14:val="100000"/>
                    </w14:srgbClr>
                  </w14:solidFill>
                </w14:textFill>
              </w:rPr>
              <w:t>|</w:t>
            </w:r>
            <w:r w:rsidRPr="003E5223">
              <w:rPr>
                <w:rFonts w:ascii="Arial Narrow" w:eastAsiaTheme="majorEastAsia" w:hAnsi="Arial Narrow" w:cstheme="majorBidi" w:hint="eastAsia"/>
                <w:bCs/>
                <w:color w:val="000000"/>
                <w:w w:val="27"/>
                <w:sz w:val="20"/>
                <w:shd w:val="solid" w:color="000000" w:fill="000000"/>
                <w:fitText w:val="120" w:id="-893196800"/>
                <w14:textFill>
                  <w14:solidFill>
                    <w14:srgbClr w14:val="000000">
                      <w14:alpha w14:val="100000"/>
                    </w14:srgbClr>
                  </w14:solidFill>
                </w14:textFill>
              </w:rPr>
              <w:t xml:space="preserve">　</w:t>
            </w:r>
            <w:r w:rsidRPr="005F522F">
              <w:rPr>
                <w:rFonts w:ascii="Arial Narrow" w:hAnsi="Arial Narrow"/>
                <w:b/>
                <w:sz w:val="20"/>
                <w:szCs w:val="20"/>
                <w:vertAlign w:val="superscript"/>
              </w:rPr>
              <w:t>3</w:t>
            </w:r>
          </w:p>
        </w:tc>
        <w:tc>
          <w:tcPr>
            <w:tcW w:w="942" w:type="dxa"/>
            <w:vAlign w:val="center"/>
          </w:tcPr>
          <w:p w14:paraId="57A1545A" w14:textId="342C09E1" w:rsidR="003E5223" w:rsidRPr="005464FA" w:rsidRDefault="003E5223" w:rsidP="003E5223">
            <w:pPr>
              <w:pStyle w:val="TableText0"/>
              <w:keepNext w:val="0"/>
              <w:jc w:val="center"/>
            </w:pPr>
            <w:r w:rsidRPr="003E5223">
              <w:rPr>
                <w:color w:val="000000"/>
                <w:spacing w:val="174"/>
                <w:shd w:val="solid" w:color="000000" w:fill="000000"/>
                <w:fitText w:val="260" w:id="-893196799"/>
                <w14:textFill>
                  <w14:solidFill>
                    <w14:srgbClr w14:val="000000">
                      <w14:alpha w14:val="100000"/>
                    </w14:srgbClr>
                  </w14:solidFill>
                </w14:textFill>
              </w:rPr>
              <w:t>|</w:t>
            </w:r>
            <w:r w:rsidRPr="003E5223">
              <w:rPr>
                <w:color w:val="000000"/>
                <w:shd w:val="solid" w:color="000000" w:fill="000000"/>
                <w:fitText w:val="260" w:id="-893196799"/>
                <w14:textFill>
                  <w14:solidFill>
                    <w14:srgbClr w14:val="000000">
                      <w14:alpha w14:val="100000"/>
                    </w14:srgbClr>
                  </w14:solidFill>
                </w14:textFill>
              </w:rPr>
              <w:t>|</w:t>
            </w:r>
            <w:r w:rsidRPr="005464FA">
              <w:t>%</w:t>
            </w:r>
          </w:p>
        </w:tc>
      </w:tr>
    </w:tbl>
    <w:p w14:paraId="7791A13E" w14:textId="18CBAD35" w:rsidR="00D16D4E" w:rsidRPr="005464FA" w:rsidRDefault="00D16D4E" w:rsidP="00465790">
      <w:pPr>
        <w:pStyle w:val="FooterTableFigure"/>
      </w:pPr>
      <w:r w:rsidRPr="005464FA">
        <w:t xml:space="preserve">Source: Calculated during the evaluation using the </w:t>
      </w:r>
      <w:r w:rsidR="006254E8" w:rsidRPr="005464FA">
        <w:t xml:space="preserve">submission’s </w:t>
      </w:r>
      <w:r w:rsidRPr="005464FA">
        <w:t xml:space="preserve">economic model. </w:t>
      </w:r>
    </w:p>
    <w:p w14:paraId="28E3B957" w14:textId="349EADA2" w:rsidR="00D16D4E" w:rsidRPr="005464FA" w:rsidRDefault="00D16D4E" w:rsidP="00465790">
      <w:pPr>
        <w:pStyle w:val="FooterTableFigure"/>
      </w:pPr>
      <w:r w:rsidRPr="005464FA">
        <w:t xml:space="preserve">BC = base case; </w:t>
      </w:r>
      <w:r w:rsidR="000D5E52" w:rsidRPr="005464FA">
        <w:t xml:space="preserve">DCO = data cutoff; </w:t>
      </w:r>
      <w:r w:rsidRPr="005464FA">
        <w:t>eBC = early breast cancer; ICER = incremental cost effectiveness ratio; OS = overall survival; PD = progressed disease</w:t>
      </w:r>
      <w:r w:rsidR="000D5E52" w:rsidRPr="005464FA">
        <w:t xml:space="preserve"> </w:t>
      </w:r>
      <w:r w:rsidRPr="005464FA">
        <w:t xml:space="preserve">PFS1 = progression free survival 1: PFS2 = progression free survival 2; QALY = quality adjusted </w:t>
      </w:r>
      <w:r w:rsidR="00CC280C" w:rsidRPr="005464FA">
        <w:t>life year</w:t>
      </w:r>
    </w:p>
    <w:p w14:paraId="2ED872BC" w14:textId="77777777" w:rsidR="00F738F0" w:rsidRPr="005464FA" w:rsidRDefault="00F738F0" w:rsidP="00465790">
      <w:pPr>
        <w:pStyle w:val="FooterTableFigure"/>
      </w:pPr>
      <w:r w:rsidRPr="005464FA">
        <w:rPr>
          <w:vertAlign w:val="superscript"/>
        </w:rPr>
        <w:t>a</w:t>
      </w:r>
      <w:r w:rsidRPr="005464FA">
        <w:t xml:space="preserve"> Assuming 5% prevalence (20 tests per patient treated) for HR+ mBC and 13.25% prevalence (7.5 tests per patient treated) for TNBC, and 13 tests (weighted prevalence based on 8% HR+ mBC and 10% TNBC as assumed for de novo mBC patients) for patients who progressed from eBC. </w:t>
      </w:r>
    </w:p>
    <w:p w14:paraId="168D6E0F" w14:textId="4677E2D6" w:rsidR="001628A2" w:rsidRPr="005464FA" w:rsidRDefault="001628A2" w:rsidP="00465790">
      <w:pPr>
        <w:pStyle w:val="FooterTableFigure"/>
      </w:pPr>
      <w:r w:rsidRPr="005464FA">
        <w:rPr>
          <w:vertAlign w:val="superscript"/>
        </w:rPr>
        <w:lastRenderedPageBreak/>
        <w:t>b</w:t>
      </w:r>
      <w:r w:rsidRPr="005464FA">
        <w:t xml:space="preserve"> Assuming 20.5% HR+ patients </w:t>
      </w:r>
      <w:r w:rsidR="006336EF" w:rsidRPr="005464FA">
        <w:t xml:space="preserve">de novo </w:t>
      </w:r>
      <w:r w:rsidRPr="005464FA">
        <w:t>and 34.0% TNBC patients</w:t>
      </w:r>
      <w:r w:rsidR="006336EF" w:rsidRPr="005464FA">
        <w:t xml:space="preserve"> de novo (consistent with financial estimates)</w:t>
      </w:r>
      <w:r w:rsidRPr="005464FA">
        <w:t xml:space="preserve">, assumes 95% of de novo patients receive testing and 10% of patients progressed from eBC receive testing. </w:t>
      </w:r>
      <w:r w:rsidR="00134922" w:rsidRPr="005464FA">
        <w:t>A</w:t>
      </w:r>
      <w:r w:rsidRPr="005464FA">
        <w:t>ccount</w:t>
      </w:r>
      <w:r w:rsidR="00134922" w:rsidRPr="005464FA">
        <w:t>ing</w:t>
      </w:r>
      <w:r w:rsidRPr="005464FA">
        <w:t xml:space="preserve"> for </w:t>
      </w:r>
      <w:r w:rsidR="005464FA" w:rsidRPr="005464FA">
        <w:rPr>
          <w:i/>
        </w:rPr>
        <w:t>BRCA</w:t>
      </w:r>
      <w:r w:rsidRPr="005464FA">
        <w:t>m prevalence</w:t>
      </w:r>
      <w:r w:rsidR="00134922" w:rsidRPr="005464FA">
        <w:t xml:space="preserve"> (5% de novo HR+, 13.25% de novo TNBC and 9.</w:t>
      </w:r>
      <w:r w:rsidR="006336EF" w:rsidRPr="005464FA">
        <w:t>6</w:t>
      </w:r>
      <w:r w:rsidR="00134922" w:rsidRPr="005464FA">
        <w:t>% eBC (weighted)</w:t>
      </w:r>
      <w:r w:rsidR="006336EF" w:rsidRPr="005464FA">
        <w:t>)</w:t>
      </w:r>
      <w:r w:rsidR="00134922" w:rsidRPr="005464FA">
        <w:t xml:space="preserve">, </w:t>
      </w:r>
      <w:r w:rsidR="006336EF" w:rsidRPr="005464FA">
        <w:t>3.82</w:t>
      </w:r>
      <w:r w:rsidR="00134922" w:rsidRPr="005464FA">
        <w:t xml:space="preserve"> patients would be tested to identify one patient for olaparib treatment. </w:t>
      </w:r>
    </w:p>
    <w:p w14:paraId="44414FE7" w14:textId="6D0A66AD" w:rsidR="00D16D4E" w:rsidRPr="005464FA" w:rsidRDefault="004D6ECA" w:rsidP="005F522F">
      <w:pPr>
        <w:pStyle w:val="FooterTableFigure"/>
        <w:spacing w:after="0"/>
      </w:pPr>
      <w:r w:rsidRPr="005464FA">
        <w:rPr>
          <w:vertAlign w:val="superscript"/>
        </w:rPr>
        <w:t>c</w:t>
      </w:r>
      <w:r w:rsidR="001D16B8" w:rsidRPr="005464FA">
        <w:t xml:space="preserve"> </w:t>
      </w:r>
      <w:r w:rsidR="00D16D4E" w:rsidRPr="005464FA">
        <w:t>calculated during the evaluation by pasting values from Column H of ‘olaparib trace’ to Column H of ‘chemo trace’</w:t>
      </w:r>
      <w:r w:rsidRPr="005464FA">
        <w:t>.</w:t>
      </w:r>
    </w:p>
    <w:p w14:paraId="6B797068" w14:textId="77777777" w:rsidR="00835D22" w:rsidRPr="009A6D58" w:rsidRDefault="00835D22" w:rsidP="00835D22">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CDA3653" w14:textId="3B8AB1FD" w:rsidR="00835D22" w:rsidRPr="009A6D58" w:rsidRDefault="00835D22" w:rsidP="00CC6E3D">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84" w:name="_Hlk176427082"/>
      <w:r w:rsidR="00CC6E3D" w:rsidRPr="008F6F20">
        <w:rPr>
          <w:rFonts w:ascii="Arial Narrow" w:hAnsi="Arial Narrow"/>
          <w:i/>
          <w:sz w:val="18"/>
          <w:szCs w:val="18"/>
        </w:rPr>
        <w:t>$75,000 to &lt; $95,000</w:t>
      </w:r>
      <w:bookmarkEnd w:id="84"/>
    </w:p>
    <w:p w14:paraId="4A62E166" w14:textId="2B5FF46D" w:rsidR="00835D22" w:rsidRPr="004E7AEA" w:rsidRDefault="00835D22" w:rsidP="005F522F">
      <w:pPr>
        <w:keepNext/>
        <w:keepLines/>
        <w:rPr>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CC6E3D" w:rsidRPr="008F6F20">
        <w:rPr>
          <w:rFonts w:ascii="Arial Narrow" w:hAnsi="Arial Narrow"/>
          <w:i/>
          <w:sz w:val="18"/>
          <w:szCs w:val="18"/>
        </w:rPr>
        <w:t>$</w:t>
      </w:r>
      <w:r w:rsidR="00CC6E3D">
        <w:rPr>
          <w:rFonts w:ascii="Arial Narrow" w:hAnsi="Arial Narrow"/>
          <w:i/>
          <w:sz w:val="18"/>
          <w:szCs w:val="18"/>
        </w:rPr>
        <w:t>5</w:t>
      </w:r>
      <w:r w:rsidR="00CC6E3D" w:rsidRPr="008F6F20">
        <w:rPr>
          <w:rFonts w:ascii="Arial Narrow" w:hAnsi="Arial Narrow"/>
          <w:i/>
          <w:sz w:val="18"/>
          <w:szCs w:val="18"/>
        </w:rPr>
        <w:t>5,000 to &lt; $</w:t>
      </w:r>
      <w:r w:rsidR="00CC6E3D">
        <w:rPr>
          <w:rFonts w:ascii="Arial Narrow" w:hAnsi="Arial Narrow"/>
          <w:i/>
          <w:sz w:val="18"/>
          <w:szCs w:val="18"/>
        </w:rPr>
        <w:t>7</w:t>
      </w:r>
      <w:r w:rsidR="00CC6E3D" w:rsidRPr="008F6F20">
        <w:rPr>
          <w:rFonts w:ascii="Arial Narrow" w:hAnsi="Arial Narrow"/>
          <w:i/>
          <w:sz w:val="18"/>
          <w:szCs w:val="18"/>
        </w:rPr>
        <w:t>5,000</w:t>
      </w:r>
    </w:p>
    <w:p w14:paraId="3A51B04A" w14:textId="14496787" w:rsidR="00835D22" w:rsidRPr="009A6D58" w:rsidRDefault="00835D22" w:rsidP="00CC6E3D">
      <w:pPr>
        <w:keepNext/>
        <w:keepLines/>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C004F7">
        <w:rPr>
          <w:rFonts w:ascii="Arial Narrow" w:hAnsi="Arial Narrow"/>
          <w:i/>
          <w:sz w:val="18"/>
          <w:szCs w:val="18"/>
        </w:rPr>
        <w:t>$95,000 to &lt; $115,000</w:t>
      </w:r>
    </w:p>
    <w:p w14:paraId="6AE4D807" w14:textId="3754C522" w:rsidR="00835D22" w:rsidRPr="004E7AEA" w:rsidRDefault="00835D22" w:rsidP="005F522F">
      <w:pPr>
        <w:keepNext/>
        <w:keepLines/>
        <w:rPr>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8F6F20">
        <w:rPr>
          <w:rFonts w:ascii="Arial Narrow" w:hAnsi="Arial Narrow"/>
          <w:i/>
          <w:sz w:val="18"/>
          <w:szCs w:val="18"/>
        </w:rPr>
        <w:t>$</w:t>
      </w:r>
      <w:r w:rsidR="00CC6E3D">
        <w:rPr>
          <w:rFonts w:ascii="Arial Narrow" w:hAnsi="Arial Narrow"/>
          <w:i/>
          <w:sz w:val="18"/>
          <w:szCs w:val="18"/>
        </w:rPr>
        <w:t>3</w:t>
      </w:r>
      <w:r w:rsidRPr="008F6F20">
        <w:rPr>
          <w:rFonts w:ascii="Arial Narrow" w:hAnsi="Arial Narrow"/>
          <w:i/>
          <w:sz w:val="18"/>
          <w:szCs w:val="18"/>
        </w:rPr>
        <w:t>5,000 to &lt; $</w:t>
      </w:r>
      <w:r w:rsidR="00CC6E3D">
        <w:rPr>
          <w:rFonts w:ascii="Arial Narrow" w:hAnsi="Arial Narrow"/>
          <w:i/>
          <w:sz w:val="18"/>
          <w:szCs w:val="18"/>
        </w:rPr>
        <w:t>4</w:t>
      </w:r>
      <w:r w:rsidRPr="008F6F20">
        <w:rPr>
          <w:rFonts w:ascii="Arial Narrow" w:hAnsi="Arial Narrow"/>
          <w:i/>
          <w:sz w:val="18"/>
          <w:szCs w:val="18"/>
        </w:rPr>
        <w:t>5,000</w:t>
      </w:r>
    </w:p>
    <w:p w14:paraId="2BB7F23D" w14:textId="4E2AA1C4" w:rsidR="001E0104" w:rsidRPr="005F522F" w:rsidRDefault="00835D22" w:rsidP="005F522F">
      <w:pPr>
        <w:spacing w:after="120"/>
        <w:rPr>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8F6F20">
        <w:rPr>
          <w:rFonts w:ascii="Arial Narrow" w:hAnsi="Arial Narrow"/>
          <w:i/>
          <w:sz w:val="18"/>
          <w:szCs w:val="18"/>
        </w:rPr>
        <w:t>$</w:t>
      </w:r>
      <w:r>
        <w:rPr>
          <w:rFonts w:ascii="Arial Narrow" w:hAnsi="Arial Narrow"/>
          <w:i/>
          <w:sz w:val="18"/>
          <w:szCs w:val="18"/>
        </w:rPr>
        <w:t>15</w:t>
      </w:r>
      <w:r w:rsidRPr="008F6F20">
        <w:rPr>
          <w:rFonts w:ascii="Arial Narrow" w:hAnsi="Arial Narrow"/>
          <w:i/>
          <w:sz w:val="18"/>
          <w:szCs w:val="18"/>
        </w:rPr>
        <w:t>5,000 to &lt; $</w:t>
      </w:r>
      <w:r>
        <w:rPr>
          <w:rFonts w:ascii="Arial Narrow" w:hAnsi="Arial Narrow"/>
          <w:i/>
          <w:sz w:val="18"/>
          <w:szCs w:val="18"/>
        </w:rPr>
        <w:t>25</w:t>
      </w:r>
      <w:r w:rsidRPr="008F6F20">
        <w:rPr>
          <w:rFonts w:ascii="Arial Narrow" w:hAnsi="Arial Narrow"/>
          <w:i/>
          <w:sz w:val="18"/>
          <w:szCs w:val="18"/>
        </w:rPr>
        <w:t>5,000</w:t>
      </w:r>
    </w:p>
    <w:p w14:paraId="66EC57FD" w14:textId="49A658E6" w:rsidR="00D16D4E" w:rsidRPr="005464FA" w:rsidRDefault="00D16D4E" w:rsidP="002D1F13">
      <w:pPr>
        <w:pStyle w:val="3-BodyText"/>
      </w:pPr>
      <w:r w:rsidRPr="005464FA">
        <w:t xml:space="preserve">Overall, the ITT model was highly sensitive to the choice of extrapolation of PFS2. Though the Generalised gamma extrapolation was the best fitting by total AIC and BIC score, the others were also well fitting and the generalised gamma extrapolation reported the most optimistic ICER. Additionally, the model was sensitive to the utility in PFS2 and setting disease monitoring costs in PFS2 equal to PD, suggesting that the modelling of benefit associated with PFS2 may be uncertain and overestimated. Using time in PFS1 to inform treatment duration also increased the ICER by </w:t>
      </w:r>
      <w:r w:rsidR="00C82FF1" w:rsidRPr="00C82FF1">
        <w:rPr>
          <w:color w:val="000000"/>
          <w:spacing w:val="38"/>
          <w:szCs w:val="20"/>
          <w:shd w:val="solid" w:color="000000" w:fill="000000"/>
          <w:fitText w:val="260" w:id="-893105152"/>
          <w14:textFill>
            <w14:solidFill>
              <w14:srgbClr w14:val="000000">
                <w14:alpha w14:val="100000"/>
              </w14:srgbClr>
            </w14:solidFill>
          </w14:textFill>
        </w:rPr>
        <w:t>|</w:t>
      </w:r>
      <w:r w:rsidR="00C82FF1" w:rsidRPr="00C82FF1">
        <w:rPr>
          <w:color w:val="000000"/>
          <w:spacing w:val="1"/>
          <w:szCs w:val="20"/>
          <w:shd w:val="solid" w:color="000000" w:fill="000000"/>
          <w:fitText w:val="260" w:id="-893105152"/>
          <w14:textFill>
            <w14:solidFill>
              <w14:srgbClr w14:val="000000">
                <w14:alpha w14:val="100000"/>
              </w14:srgbClr>
            </w14:solidFill>
          </w14:textFill>
        </w:rPr>
        <w:t>|</w:t>
      </w:r>
      <w:r w:rsidRPr="005464FA">
        <w:t xml:space="preserve">%. Assuming OS </w:t>
      </w:r>
      <w:r w:rsidR="004C5BF0" w:rsidRPr="005464FA">
        <w:t xml:space="preserve">in </w:t>
      </w:r>
      <w:r w:rsidRPr="005464FA">
        <w:t xml:space="preserve">the chemotherapy arm to be the same as that </w:t>
      </w:r>
      <w:r w:rsidR="004C5BF0" w:rsidRPr="005464FA">
        <w:t xml:space="preserve">in </w:t>
      </w:r>
      <w:r w:rsidRPr="005464FA">
        <w:t xml:space="preserve">the olaparib arm, consistent with the lack of statistically significant improvement in the OlympiAD trial, increased the ICER by </w:t>
      </w:r>
      <w:r w:rsidR="00C82FF1" w:rsidRPr="00C82FF1">
        <w:rPr>
          <w:color w:val="000000"/>
          <w:spacing w:val="38"/>
          <w:szCs w:val="20"/>
          <w:shd w:val="solid" w:color="000000" w:fill="000000"/>
          <w:fitText w:val="260" w:id="-893105151"/>
          <w14:textFill>
            <w14:solidFill>
              <w14:srgbClr w14:val="000000">
                <w14:alpha w14:val="100000"/>
              </w14:srgbClr>
            </w14:solidFill>
          </w14:textFill>
        </w:rPr>
        <w:t>|</w:t>
      </w:r>
      <w:r w:rsidR="00C82FF1" w:rsidRPr="00C82FF1">
        <w:rPr>
          <w:color w:val="000000"/>
          <w:spacing w:val="1"/>
          <w:szCs w:val="20"/>
          <w:shd w:val="solid" w:color="000000" w:fill="000000"/>
          <w:fitText w:val="260" w:id="-893105151"/>
          <w14:textFill>
            <w14:solidFill>
              <w14:srgbClr w14:val="000000">
                <w14:alpha w14:val="100000"/>
              </w14:srgbClr>
            </w14:solidFill>
          </w14:textFill>
        </w:rPr>
        <w:t>|</w:t>
      </w:r>
      <w:r w:rsidRPr="005464FA">
        <w:t xml:space="preserve">%. </w:t>
      </w:r>
    </w:p>
    <w:p w14:paraId="0ADCF8D2" w14:textId="7D6D49E6" w:rsidR="00A1135A" w:rsidRPr="005464FA" w:rsidRDefault="00D16D4E" w:rsidP="000D5E52">
      <w:pPr>
        <w:pStyle w:val="3-BodyText"/>
      </w:pPr>
      <w:r w:rsidRPr="005464FA">
        <w:t xml:space="preserve">Overall, the </w:t>
      </w:r>
      <w:r w:rsidR="003A34A1" w:rsidRPr="005464FA">
        <w:t xml:space="preserve">commentary considered the </w:t>
      </w:r>
      <w:r w:rsidRPr="005464FA">
        <w:t>ITT model’s ICER appear</w:t>
      </w:r>
      <w:r w:rsidR="008112AA" w:rsidRPr="005464FA">
        <w:t>ed</w:t>
      </w:r>
      <w:r w:rsidRPr="005464FA">
        <w:t xml:space="preserve"> underestimated</w:t>
      </w:r>
      <w:r w:rsidR="002860E9" w:rsidRPr="005464FA">
        <w:t xml:space="preserve"> and may be optimistic, </w:t>
      </w:r>
      <w:r w:rsidR="001D16B8" w:rsidRPr="005464FA">
        <w:t xml:space="preserve">particularly because </w:t>
      </w:r>
      <w:r w:rsidR="004C5BF0" w:rsidRPr="005464FA">
        <w:t xml:space="preserve">an </w:t>
      </w:r>
      <w:r w:rsidR="002860E9" w:rsidRPr="005464FA">
        <w:t xml:space="preserve">OS benefit </w:t>
      </w:r>
      <w:r w:rsidR="004C5BF0" w:rsidRPr="005464FA">
        <w:t xml:space="preserve">was </w:t>
      </w:r>
      <w:r w:rsidR="002860E9" w:rsidRPr="005464FA">
        <w:t>modelled even though it was not reported in OlympiAD, and differential utilities by treatment arm were applied</w:t>
      </w:r>
      <w:r w:rsidRPr="005464FA">
        <w:t xml:space="preserve">. </w:t>
      </w:r>
    </w:p>
    <w:p w14:paraId="56E35A48" w14:textId="685884BC" w:rsidR="003A34A1" w:rsidRPr="005464FA" w:rsidRDefault="003A34A1" w:rsidP="000D5E52">
      <w:pPr>
        <w:pStyle w:val="3-BodyText"/>
      </w:pPr>
      <w:bookmarkStart w:id="85" w:name="_Ref169770187"/>
      <w:r w:rsidRPr="005464FA">
        <w:t>The ESC considered that a respecified base case using the ITT model should be considered, applying the following changes to model inputs:</w:t>
      </w:r>
      <w:bookmarkEnd w:id="85"/>
    </w:p>
    <w:p w14:paraId="14D9453D" w14:textId="28523E8F" w:rsidR="003A34A1" w:rsidRPr="005464FA" w:rsidRDefault="003A34A1" w:rsidP="003A34A1">
      <w:pPr>
        <w:pStyle w:val="3-BodyText"/>
        <w:numPr>
          <w:ilvl w:val="2"/>
          <w:numId w:val="1"/>
        </w:numPr>
        <w:ind w:left="1134" w:hanging="357"/>
      </w:pPr>
      <w:r w:rsidRPr="005464FA">
        <w:t>Non</w:t>
      </w:r>
      <w:r w:rsidR="000F059A" w:rsidRPr="005464FA">
        <w:t xml:space="preserve"> </w:t>
      </w:r>
      <w:r w:rsidRPr="005464FA">
        <w:t>treatment</w:t>
      </w:r>
      <w:r w:rsidR="000F059A" w:rsidRPr="005464FA">
        <w:t>-</w:t>
      </w:r>
      <w:r w:rsidRPr="005464FA">
        <w:t xml:space="preserve">specific utility values for each PFS1 and PSF2 health states (see paragraph </w:t>
      </w:r>
      <w:r w:rsidRPr="005464FA">
        <w:fldChar w:fldCharType="begin" w:fldLock="1"/>
      </w:r>
      <w:r w:rsidRPr="005464FA">
        <w:instrText xml:space="preserve"> REF _Ref169710759 \r \h  \* MERGEFORMAT </w:instrText>
      </w:r>
      <w:r w:rsidRPr="005464FA">
        <w:fldChar w:fldCharType="separate"/>
      </w:r>
      <w:r w:rsidR="00122E11" w:rsidRPr="005464FA">
        <w:t>6.53</w:t>
      </w:r>
      <w:r w:rsidRPr="005464FA">
        <w:fldChar w:fldCharType="end"/>
      </w:r>
      <w:r w:rsidRPr="005464FA">
        <w:t>-</w:t>
      </w:r>
      <w:r w:rsidRPr="005464FA">
        <w:fldChar w:fldCharType="begin" w:fldLock="1"/>
      </w:r>
      <w:r w:rsidRPr="005464FA">
        <w:instrText xml:space="preserve"> REF _Ref169710903 \r \h  \* MERGEFORMAT </w:instrText>
      </w:r>
      <w:r w:rsidRPr="005464FA">
        <w:fldChar w:fldCharType="separate"/>
      </w:r>
      <w:r w:rsidR="00122E11" w:rsidRPr="005464FA">
        <w:t>6.56</w:t>
      </w:r>
      <w:r w:rsidRPr="005464FA">
        <w:fldChar w:fldCharType="end"/>
      </w:r>
      <w:r w:rsidRPr="005464FA">
        <w:t>)</w:t>
      </w:r>
    </w:p>
    <w:p w14:paraId="1AB1341E" w14:textId="5C6AF718" w:rsidR="003A34A1" w:rsidRPr="005464FA" w:rsidRDefault="005464FA" w:rsidP="003A34A1">
      <w:pPr>
        <w:pStyle w:val="3-BodyText"/>
        <w:numPr>
          <w:ilvl w:val="2"/>
          <w:numId w:val="1"/>
        </w:numPr>
        <w:ind w:left="1134" w:hanging="357"/>
      </w:pPr>
      <w:r w:rsidRPr="005464FA">
        <w:rPr>
          <w:i/>
        </w:rPr>
        <w:t>BRCA</w:t>
      </w:r>
      <w:r w:rsidR="003A34A1" w:rsidRPr="005464FA">
        <w:t xml:space="preserve"> testing rates/costs consistent with approach in financial estimates (accounting for the number of tests required to identify one </w:t>
      </w:r>
      <w:r w:rsidRPr="005464FA">
        <w:rPr>
          <w:i/>
        </w:rPr>
        <w:t>BRCA</w:t>
      </w:r>
      <w:r w:rsidR="003A34A1" w:rsidRPr="005464FA">
        <w:t xml:space="preserve">m patient and removing </w:t>
      </w:r>
      <w:r w:rsidRPr="005464FA">
        <w:rPr>
          <w:i/>
        </w:rPr>
        <w:t>BRCA</w:t>
      </w:r>
      <w:r w:rsidR="003A34A1" w:rsidRPr="005464FA">
        <w:t xml:space="preserve"> testing costs from the comparator) (see paragraph </w:t>
      </w:r>
      <w:r w:rsidR="003A34A1" w:rsidRPr="005464FA">
        <w:fldChar w:fldCharType="begin" w:fldLock="1"/>
      </w:r>
      <w:r w:rsidR="003A34A1" w:rsidRPr="005464FA">
        <w:instrText xml:space="preserve"> REF _Ref169710803 \r \h  \* MERGEFORMAT </w:instrText>
      </w:r>
      <w:r w:rsidR="003A34A1" w:rsidRPr="005464FA">
        <w:fldChar w:fldCharType="separate"/>
      </w:r>
      <w:r w:rsidR="00122E11" w:rsidRPr="005464FA">
        <w:t>6.61</w:t>
      </w:r>
      <w:r w:rsidR="003A34A1" w:rsidRPr="005464FA">
        <w:fldChar w:fldCharType="end"/>
      </w:r>
      <w:r w:rsidR="003A34A1" w:rsidRPr="005464FA">
        <w:t xml:space="preserve">). </w:t>
      </w:r>
    </w:p>
    <w:p w14:paraId="1E11B983" w14:textId="1E68B304" w:rsidR="003A34A1" w:rsidRPr="005464FA" w:rsidRDefault="003A34A1" w:rsidP="003A34A1">
      <w:pPr>
        <w:pStyle w:val="3-BodyText"/>
        <w:numPr>
          <w:ilvl w:val="2"/>
          <w:numId w:val="1"/>
        </w:numPr>
        <w:ind w:left="1134" w:hanging="357"/>
      </w:pPr>
      <w:r w:rsidRPr="005464FA">
        <w:t>Remov</w:t>
      </w:r>
      <w:r w:rsidR="00917D39" w:rsidRPr="005464FA">
        <w:t>al of</w:t>
      </w:r>
      <w:r w:rsidRPr="005464FA">
        <w:t xml:space="preserve"> costs for subsequent use of sacituzumab </w:t>
      </w:r>
      <w:r w:rsidR="001218FD" w:rsidRPr="005464FA">
        <w:t>govitecan</w:t>
      </w:r>
      <w:r w:rsidR="00917D39" w:rsidRPr="005464FA">
        <w:t xml:space="preserve"> (see paragraph </w:t>
      </w:r>
      <w:r w:rsidR="00917D39" w:rsidRPr="005464FA">
        <w:fldChar w:fldCharType="begin" w:fldLock="1"/>
      </w:r>
      <w:r w:rsidR="00917D39" w:rsidRPr="005464FA">
        <w:instrText xml:space="preserve"> REF _Ref169710969 \r \h </w:instrText>
      </w:r>
      <w:r w:rsidR="00BC083E" w:rsidRPr="005464FA">
        <w:instrText xml:space="preserve"> \* MERGEFORMAT </w:instrText>
      </w:r>
      <w:r w:rsidR="00917D39" w:rsidRPr="005464FA">
        <w:fldChar w:fldCharType="separate"/>
      </w:r>
      <w:r w:rsidR="00122E11" w:rsidRPr="005464FA">
        <w:t>6.59</w:t>
      </w:r>
      <w:r w:rsidR="00917D39" w:rsidRPr="005464FA">
        <w:fldChar w:fldCharType="end"/>
      </w:r>
      <w:r w:rsidR="00917D39" w:rsidRPr="005464FA">
        <w:t>)</w:t>
      </w:r>
    </w:p>
    <w:p w14:paraId="4B917F04" w14:textId="2562F833" w:rsidR="003A34A1" w:rsidRPr="005464FA" w:rsidRDefault="003A34A1" w:rsidP="003A34A1">
      <w:pPr>
        <w:pStyle w:val="3-BodyText"/>
        <w:numPr>
          <w:ilvl w:val="2"/>
          <w:numId w:val="1"/>
        </w:numPr>
        <w:ind w:left="1134" w:hanging="357"/>
      </w:pPr>
      <w:r w:rsidRPr="005464FA">
        <w:t>No difference in OS rates (OS in chemotherapy set equal to OS in olaparib)</w:t>
      </w:r>
      <w:r w:rsidR="00917D39" w:rsidRPr="005464FA">
        <w:t xml:space="preserve"> (see paragraph </w:t>
      </w:r>
      <w:r w:rsidR="00917D39" w:rsidRPr="005464FA">
        <w:fldChar w:fldCharType="begin" w:fldLock="1"/>
      </w:r>
      <w:r w:rsidR="00917D39" w:rsidRPr="005464FA">
        <w:instrText xml:space="preserve"> REF _Ref169711002 \r \h </w:instrText>
      </w:r>
      <w:r w:rsidR="00BC083E" w:rsidRPr="005464FA">
        <w:instrText xml:space="preserve"> \* MERGEFORMAT </w:instrText>
      </w:r>
      <w:r w:rsidR="00917D39" w:rsidRPr="005464FA">
        <w:fldChar w:fldCharType="separate"/>
      </w:r>
      <w:r w:rsidR="00122E11" w:rsidRPr="005464FA">
        <w:t>6.52</w:t>
      </w:r>
      <w:r w:rsidR="00917D39" w:rsidRPr="005464FA">
        <w:fldChar w:fldCharType="end"/>
      </w:r>
      <w:r w:rsidR="00917D39" w:rsidRPr="005464FA">
        <w:t>)</w:t>
      </w:r>
      <w:r w:rsidRPr="005464FA">
        <w:t>.</w:t>
      </w:r>
    </w:p>
    <w:p w14:paraId="1DA1D466" w14:textId="7829F5B3" w:rsidR="00917D39" w:rsidRPr="005464FA" w:rsidRDefault="00917D39" w:rsidP="00917D39">
      <w:pPr>
        <w:pStyle w:val="3-BodyText"/>
        <w:numPr>
          <w:ilvl w:val="0"/>
          <w:numId w:val="0"/>
        </w:numPr>
        <w:ind w:left="720"/>
      </w:pPr>
      <w:r w:rsidRPr="005464FA">
        <w:t xml:space="preserve">The ESC noted that these changes increased the ICER by </w:t>
      </w:r>
      <w:r w:rsidR="00C82FF1" w:rsidRPr="00C82FF1">
        <w:rPr>
          <w:color w:val="000000"/>
          <w:spacing w:val="38"/>
          <w:szCs w:val="20"/>
          <w:shd w:val="solid" w:color="000000" w:fill="000000"/>
          <w:fitText w:val="260" w:id="-893105150"/>
          <w14:textFill>
            <w14:solidFill>
              <w14:srgbClr w14:val="000000">
                <w14:alpha w14:val="100000"/>
              </w14:srgbClr>
            </w14:solidFill>
          </w14:textFill>
        </w:rPr>
        <w:t>|</w:t>
      </w:r>
      <w:r w:rsidR="00C82FF1" w:rsidRPr="00C82FF1">
        <w:rPr>
          <w:color w:val="000000"/>
          <w:spacing w:val="1"/>
          <w:szCs w:val="20"/>
          <w:shd w:val="solid" w:color="000000" w:fill="000000"/>
          <w:fitText w:val="260" w:id="-893105150"/>
          <w14:textFill>
            <w14:solidFill>
              <w14:srgbClr w14:val="000000">
                <w14:alpha w14:val="100000"/>
              </w14:srgbClr>
            </w14:solidFill>
          </w14:textFill>
        </w:rPr>
        <w:t>|</w:t>
      </w:r>
      <w:r w:rsidRPr="005464FA">
        <w:t>%, from $</w:t>
      </w:r>
      <w:r w:rsidR="00CC6E3D" w:rsidRPr="005F522F">
        <w:rPr>
          <w:iCs/>
        </w:rPr>
        <w:t>75,000 to &lt; $95,000</w:t>
      </w:r>
      <w:r w:rsidR="00C82FF1">
        <w:rPr>
          <w:iCs/>
        </w:rPr>
        <w:t xml:space="preserve"> </w:t>
      </w:r>
      <w:r w:rsidRPr="005464FA">
        <w:t>to $</w:t>
      </w:r>
      <w:r w:rsidR="0021163D">
        <w:t>15</w:t>
      </w:r>
      <w:r w:rsidR="0021163D" w:rsidRPr="004E7AEA">
        <w:rPr>
          <w:iCs/>
        </w:rPr>
        <w:t>5,000 to &lt; $</w:t>
      </w:r>
      <w:r w:rsidR="0021163D">
        <w:rPr>
          <w:iCs/>
        </w:rPr>
        <w:t>25</w:t>
      </w:r>
      <w:r w:rsidR="0021163D" w:rsidRPr="004E7AEA">
        <w:rPr>
          <w:iCs/>
        </w:rPr>
        <w:t>5,000</w:t>
      </w:r>
      <w:r w:rsidR="00F515BC" w:rsidRPr="005464FA">
        <w:rPr>
          <w:rStyle w:val="FootnoteReference"/>
        </w:rPr>
        <w:footnoteReference w:id="9"/>
      </w:r>
      <w:r w:rsidRPr="005464FA">
        <w:t xml:space="preserve"> per QALY. </w:t>
      </w:r>
    </w:p>
    <w:p w14:paraId="6C88BBFF" w14:textId="7E007BF9" w:rsidR="009F1F95" w:rsidRPr="005464FA" w:rsidRDefault="009F1F95" w:rsidP="00917D39">
      <w:pPr>
        <w:pStyle w:val="3-BodyText"/>
      </w:pPr>
      <w:r w:rsidRPr="005464FA">
        <w:t xml:space="preserve">The pre-PBAC response argued that while there was no statistically significant difference in OS, there was a clear </w:t>
      </w:r>
      <w:r w:rsidR="000751C0" w:rsidRPr="005464FA">
        <w:t>separation of</w:t>
      </w:r>
      <w:r w:rsidRPr="005464FA">
        <w:t xml:space="preserve"> OS</w:t>
      </w:r>
      <w:r w:rsidR="000751C0" w:rsidRPr="005464FA">
        <w:t xml:space="preserve"> curves</w:t>
      </w:r>
      <w:r w:rsidRPr="005464FA">
        <w:t xml:space="preserve"> in the trial and </w:t>
      </w:r>
      <w:r w:rsidR="000751C0" w:rsidRPr="005464FA">
        <w:t xml:space="preserve">attributed </w:t>
      </w:r>
      <w:r w:rsidR="000751C0" w:rsidRPr="005464FA">
        <w:lastRenderedPageBreak/>
        <w:t xml:space="preserve">the lack of statistical difference in </w:t>
      </w:r>
      <w:r w:rsidRPr="005464FA">
        <w:t xml:space="preserve">OS </w:t>
      </w:r>
      <w:r w:rsidR="000751C0" w:rsidRPr="005464FA">
        <w:t>to the use of</w:t>
      </w:r>
      <w:r w:rsidRPr="005464FA">
        <w:t xml:space="preserve"> subsequent </w:t>
      </w:r>
      <w:r w:rsidR="000751C0" w:rsidRPr="005464FA">
        <w:t xml:space="preserve">anti-cancer </w:t>
      </w:r>
      <w:r w:rsidRPr="005464FA">
        <w:t>treatments. The PBAC acknowledged the challenge of demonstrating OS benefit in this setting and the limitations of the trial, which was not powered to detect a difference in OS. The PBAC considered that although OS in the base case model was likely to be overestimated, it was reasonable for the model to assume some difference in survival given the PFS1 and PFS2 benefit, the divergence in OS curves which was maintained in the longer follow-up data, and because OS in the trial was likely to be impacted by subsequent treatments not available in Australian clinical practice.</w:t>
      </w:r>
    </w:p>
    <w:p w14:paraId="4574FBE9" w14:textId="0545E4A2" w:rsidR="008112AA" w:rsidRPr="005464FA" w:rsidRDefault="008112AA" w:rsidP="00917D39">
      <w:pPr>
        <w:pStyle w:val="3-BodyText"/>
      </w:pPr>
      <w:r w:rsidRPr="005464FA">
        <w:t>The PBAC noted that the pre-PBAC response proposed a revised base case, applying the following changes</w:t>
      </w:r>
      <w:r w:rsidR="002011CE" w:rsidRPr="005464FA">
        <w:t xml:space="preserve"> to the ITT model</w:t>
      </w:r>
      <w:r w:rsidRPr="005464FA">
        <w:t>:</w:t>
      </w:r>
    </w:p>
    <w:p w14:paraId="139AB795" w14:textId="29C998A4" w:rsidR="008112AA" w:rsidRPr="005464FA" w:rsidRDefault="000F059A" w:rsidP="008112AA">
      <w:pPr>
        <w:pStyle w:val="3-BodyText"/>
        <w:numPr>
          <w:ilvl w:val="2"/>
          <w:numId w:val="1"/>
        </w:numPr>
        <w:ind w:left="1134" w:hanging="357"/>
      </w:pPr>
      <w:r w:rsidRPr="005464FA">
        <w:t>A r</w:t>
      </w:r>
      <w:r w:rsidR="008112AA" w:rsidRPr="005464FA">
        <w:t>evised DPMQ ($</w:t>
      </w:r>
      <w:r w:rsidR="005F522F" w:rsidRPr="006A43A5">
        <w:rPr>
          <w:color w:val="000000"/>
          <w:w w:val="15"/>
          <w:shd w:val="solid" w:color="000000" w:fill="000000"/>
          <w:fitText w:val="-20" w:id="-893196798"/>
          <w14:textFill>
            <w14:solidFill>
              <w14:srgbClr w14:val="000000">
                <w14:alpha w14:val="100000"/>
              </w14:srgbClr>
            </w14:solidFill>
          </w14:textFill>
        </w:rPr>
        <w:t xml:space="preserve">|  </w:t>
      </w:r>
      <w:r w:rsidR="005F522F" w:rsidRPr="006A43A5">
        <w:rPr>
          <w:color w:val="000000"/>
          <w:spacing w:val="-69"/>
          <w:w w:val="15"/>
          <w:shd w:val="solid" w:color="000000" w:fill="000000"/>
          <w:fitText w:val="-20" w:id="-893196798"/>
          <w14:textFill>
            <w14:solidFill>
              <w14:srgbClr w14:val="000000">
                <w14:alpha w14:val="100000"/>
              </w14:srgbClr>
            </w14:solidFill>
          </w14:textFill>
        </w:rPr>
        <w:t>|</w:t>
      </w:r>
      <w:r w:rsidR="008112AA" w:rsidRPr="005464FA">
        <w:t>)</w:t>
      </w:r>
      <w:r w:rsidRPr="005464FA">
        <w:t>.</w:t>
      </w:r>
    </w:p>
    <w:p w14:paraId="5759187C" w14:textId="34DF9BC8" w:rsidR="008112AA" w:rsidRPr="005464FA" w:rsidRDefault="005464FA" w:rsidP="008112AA">
      <w:pPr>
        <w:pStyle w:val="3-BodyText"/>
        <w:numPr>
          <w:ilvl w:val="2"/>
          <w:numId w:val="1"/>
        </w:numPr>
        <w:ind w:left="1134" w:hanging="357"/>
      </w:pPr>
      <w:r w:rsidRPr="005464FA">
        <w:rPr>
          <w:i/>
        </w:rPr>
        <w:t>BRCA</w:t>
      </w:r>
      <w:r w:rsidR="008112AA" w:rsidRPr="005464FA">
        <w:t xml:space="preserve"> testing costs assuming a higher proportion of de novo patients (</w:t>
      </w:r>
      <w:r w:rsidR="008112AA" w:rsidRPr="005464FA">
        <w:rPr>
          <w:rFonts w:ascii="Calibri" w:eastAsia="Calibri" w:hAnsi="Calibri" w:cs="Calibri"/>
        </w:rPr>
        <w:t>20.5% of TNBC and 34% of HR+)</w:t>
      </w:r>
      <w:r w:rsidR="000F059A" w:rsidRPr="005464FA">
        <w:rPr>
          <w:rFonts w:ascii="Calibri" w:eastAsia="Calibri" w:hAnsi="Calibri" w:cs="Calibri"/>
        </w:rPr>
        <w:t>.</w:t>
      </w:r>
    </w:p>
    <w:p w14:paraId="440E51AC" w14:textId="77777777" w:rsidR="000F059A" w:rsidRPr="005464FA" w:rsidRDefault="000F059A" w:rsidP="008112AA">
      <w:pPr>
        <w:pStyle w:val="3-BodyText"/>
        <w:numPr>
          <w:ilvl w:val="2"/>
          <w:numId w:val="1"/>
        </w:numPr>
        <w:ind w:left="1134" w:hanging="357"/>
      </w:pPr>
      <w:r w:rsidRPr="005464FA">
        <w:t>Pooled utility value for both arms for PFS2 (differential utility values maintained for PFS1).</w:t>
      </w:r>
    </w:p>
    <w:p w14:paraId="1EC7B557" w14:textId="77777777" w:rsidR="002011CE" w:rsidRPr="005464FA" w:rsidRDefault="000F059A" w:rsidP="008112AA">
      <w:pPr>
        <w:pStyle w:val="3-BodyText"/>
        <w:numPr>
          <w:ilvl w:val="2"/>
          <w:numId w:val="1"/>
        </w:numPr>
        <w:ind w:left="1134" w:hanging="357"/>
      </w:pPr>
      <w:r w:rsidRPr="005464FA">
        <w:t>OS curve for olaparib estimated by applying the trial-based HR (0.9) to the OS curve for chemotherapy.</w:t>
      </w:r>
    </w:p>
    <w:p w14:paraId="687A8857" w14:textId="13114A86" w:rsidR="000F059A" w:rsidRPr="005464FA" w:rsidRDefault="002011CE" w:rsidP="008112AA">
      <w:pPr>
        <w:pStyle w:val="3-BodyText"/>
        <w:numPr>
          <w:ilvl w:val="2"/>
          <w:numId w:val="1"/>
        </w:numPr>
        <w:ind w:left="1134" w:hanging="357"/>
      </w:pPr>
      <w:r w:rsidRPr="005464FA">
        <w:t xml:space="preserve">Updated PBS mark-ups and MBS unit costs as at </w:t>
      </w:r>
      <w:r w:rsidR="00773D3C">
        <w:t xml:space="preserve">1 </w:t>
      </w:r>
      <w:r w:rsidRPr="005464FA">
        <w:t>July 2024.</w:t>
      </w:r>
      <w:r w:rsidR="000F059A" w:rsidRPr="005464FA">
        <w:t xml:space="preserve"> </w:t>
      </w:r>
    </w:p>
    <w:p w14:paraId="519BAE2E" w14:textId="7DA684B7" w:rsidR="002011CE" w:rsidRPr="005464FA" w:rsidRDefault="002011CE" w:rsidP="009164BC">
      <w:pPr>
        <w:pStyle w:val="3-BodyText"/>
        <w:numPr>
          <w:ilvl w:val="0"/>
          <w:numId w:val="0"/>
        </w:numPr>
        <w:ind w:left="720"/>
      </w:pPr>
      <w:r w:rsidRPr="005464FA">
        <w:t>The pre-PBAC response stated that this resulted in an ICER or $</w:t>
      </w:r>
      <w:r w:rsidR="0021163D">
        <w:t>4</w:t>
      </w:r>
      <w:r w:rsidR="0021163D" w:rsidRPr="004E7AEA">
        <w:rPr>
          <w:iCs/>
        </w:rPr>
        <w:t>5,000 to &lt; $</w:t>
      </w:r>
      <w:r w:rsidR="0021163D">
        <w:rPr>
          <w:iCs/>
        </w:rPr>
        <w:t>5</w:t>
      </w:r>
      <w:r w:rsidR="0021163D" w:rsidRPr="004E7AEA">
        <w:rPr>
          <w:iCs/>
        </w:rPr>
        <w:t>5,000</w:t>
      </w:r>
      <w:r w:rsidR="00C82FF1">
        <w:rPr>
          <w:iCs/>
        </w:rPr>
        <w:t xml:space="preserve"> </w:t>
      </w:r>
      <w:r w:rsidRPr="005464FA">
        <w:t>per QALY (or $</w:t>
      </w:r>
      <w:r w:rsidR="0021163D">
        <w:t>4</w:t>
      </w:r>
      <w:r w:rsidR="0021163D" w:rsidRPr="004E7AEA">
        <w:rPr>
          <w:iCs/>
        </w:rPr>
        <w:t>5,000 to &lt; $</w:t>
      </w:r>
      <w:r w:rsidR="0021163D">
        <w:rPr>
          <w:iCs/>
        </w:rPr>
        <w:t>5</w:t>
      </w:r>
      <w:r w:rsidR="0021163D" w:rsidRPr="004E7AEA">
        <w:rPr>
          <w:iCs/>
        </w:rPr>
        <w:t>5,000</w:t>
      </w:r>
      <w:r w:rsidR="00C82FF1">
        <w:rPr>
          <w:iCs/>
        </w:rPr>
        <w:t xml:space="preserve"> </w:t>
      </w:r>
      <w:r w:rsidRPr="005464FA">
        <w:t>per QALY using the Robson 2023 extended follow-up data).</w:t>
      </w:r>
    </w:p>
    <w:p w14:paraId="1C4532E5" w14:textId="783E560A" w:rsidR="000F059A" w:rsidRPr="005464FA" w:rsidRDefault="009F1F95" w:rsidP="002011CE">
      <w:pPr>
        <w:pStyle w:val="3-BodyText"/>
      </w:pPr>
      <w:bookmarkStart w:id="86" w:name="_Ref173159129"/>
      <w:r w:rsidRPr="005464FA">
        <w:t xml:space="preserve">The PBAC considered </w:t>
      </w:r>
      <w:r w:rsidR="00CF45C0" w:rsidRPr="005464FA">
        <w:t xml:space="preserve">ESC’s respecified base case was appropriately conservative, given the uncertainty in the PFS and OS benefit for olaparib, especially as the trial comparator does not fully represent standard of care. </w:t>
      </w:r>
      <w:r w:rsidR="00935AC4" w:rsidRPr="005464FA">
        <w:t xml:space="preserve">However, although a statistically significant difference in OS was not demonstrated in the trial the PBAC considered a survival benefit was plausible as a trend to improved OS was shown in the trial. </w:t>
      </w:r>
      <w:r w:rsidR="00CF45C0" w:rsidRPr="005464FA">
        <w:t xml:space="preserve">The PBAC noted that when the pre-PBAC </w:t>
      </w:r>
      <w:r w:rsidR="00E645C7" w:rsidRPr="005464FA">
        <w:t xml:space="preserve">price and </w:t>
      </w:r>
      <w:r w:rsidR="00935AC4" w:rsidRPr="005464FA">
        <w:t xml:space="preserve">pre-PBAC </w:t>
      </w:r>
      <w:r w:rsidR="00CF45C0" w:rsidRPr="005464FA">
        <w:t>approach to modelling OS was applied to the ESC respecified base case</w:t>
      </w:r>
      <w:r w:rsidR="00E645C7" w:rsidRPr="005464FA">
        <w:t xml:space="preserve"> </w:t>
      </w:r>
      <w:r w:rsidR="00935AC4" w:rsidRPr="005464FA">
        <w:t xml:space="preserve">(as per paragraph </w:t>
      </w:r>
      <w:r w:rsidR="00935AC4" w:rsidRPr="005464FA">
        <w:fldChar w:fldCharType="begin" w:fldLock="1"/>
      </w:r>
      <w:r w:rsidR="00935AC4" w:rsidRPr="005464FA">
        <w:instrText xml:space="preserve"> REF _Ref169770187 \r \h </w:instrText>
      </w:r>
      <w:r w:rsidR="00935AC4" w:rsidRPr="005464FA">
        <w:fldChar w:fldCharType="separate"/>
      </w:r>
      <w:r w:rsidR="00122E11" w:rsidRPr="005464FA">
        <w:t>6.69</w:t>
      </w:r>
      <w:r w:rsidR="00935AC4" w:rsidRPr="005464FA">
        <w:fldChar w:fldCharType="end"/>
      </w:r>
      <w:r w:rsidR="00935AC4" w:rsidRPr="005464FA">
        <w:t xml:space="preserve">) </w:t>
      </w:r>
      <w:r w:rsidR="00CF45C0" w:rsidRPr="005464FA">
        <w:t xml:space="preserve">the ICER was </w:t>
      </w:r>
      <w:r w:rsidR="00E645C7" w:rsidRPr="005464FA">
        <w:t>reduced to $</w:t>
      </w:r>
      <w:r w:rsidR="0021163D">
        <w:t>7</w:t>
      </w:r>
      <w:r w:rsidR="0021163D" w:rsidRPr="004E7AEA">
        <w:rPr>
          <w:iCs/>
        </w:rPr>
        <w:t>5,000 to &lt; $</w:t>
      </w:r>
      <w:r w:rsidR="0021163D">
        <w:rPr>
          <w:iCs/>
        </w:rPr>
        <w:t>9</w:t>
      </w:r>
      <w:r w:rsidR="0021163D" w:rsidRPr="004E7AEA">
        <w:rPr>
          <w:iCs/>
        </w:rPr>
        <w:t>5,000</w:t>
      </w:r>
      <w:r w:rsidR="00C82FF1">
        <w:rPr>
          <w:iCs/>
        </w:rPr>
        <w:t xml:space="preserve"> </w:t>
      </w:r>
      <w:r w:rsidR="00E645C7" w:rsidRPr="005464FA">
        <w:t>per QALY.</w:t>
      </w:r>
      <w:bookmarkEnd w:id="86"/>
      <w:r w:rsidR="00E645C7" w:rsidRPr="005464FA">
        <w:t xml:space="preserve"> </w:t>
      </w:r>
    </w:p>
    <w:p w14:paraId="3CF4B371" w14:textId="5681DDC2" w:rsidR="00A1135A" w:rsidRPr="005464FA" w:rsidRDefault="00A1135A" w:rsidP="000D5E52">
      <w:pPr>
        <w:pStyle w:val="4-SubsectionHeading"/>
      </w:pPr>
      <w:bookmarkStart w:id="87" w:name="_Toc22897646"/>
      <w:bookmarkStart w:id="88" w:name="_Toc167278288"/>
      <w:r w:rsidRPr="005464FA">
        <w:t>Drug cost/patient</w:t>
      </w:r>
      <w:r w:rsidR="000D5E52" w:rsidRPr="005464FA">
        <w:t>/</w:t>
      </w:r>
      <w:r w:rsidRPr="005464FA">
        <w:t>course</w:t>
      </w:r>
      <w:bookmarkStart w:id="89" w:name="_Ref104805102"/>
      <w:bookmarkEnd w:id="87"/>
      <w:bookmarkEnd w:id="88"/>
    </w:p>
    <w:p w14:paraId="3846CA10" w14:textId="70626E6F" w:rsidR="00D16D4E" w:rsidRPr="005464FA" w:rsidRDefault="002860E9" w:rsidP="000D5E52">
      <w:pPr>
        <w:pStyle w:val="3-BodyText"/>
      </w:pPr>
      <w:r w:rsidRPr="005464FA">
        <w:fldChar w:fldCharType="begin" w:fldLock="1"/>
      </w:r>
      <w:r w:rsidRPr="005464FA">
        <w:instrText xml:space="preserve"> REF _Ref164728572 \h </w:instrText>
      </w:r>
      <w:r w:rsidRPr="005464FA">
        <w:fldChar w:fldCharType="separate"/>
      </w:r>
      <w:r w:rsidR="00122E11" w:rsidRPr="005464FA">
        <w:t>Table 15</w:t>
      </w:r>
      <w:r w:rsidRPr="005464FA">
        <w:fldChar w:fldCharType="end"/>
      </w:r>
      <w:r w:rsidR="006C2677" w:rsidRPr="005464FA">
        <w:t xml:space="preserve"> </w:t>
      </w:r>
      <w:r w:rsidR="00D16D4E" w:rsidRPr="005464FA">
        <w:t>present</w:t>
      </w:r>
      <w:r w:rsidRPr="005464FA">
        <w:t>s</w:t>
      </w:r>
      <w:r w:rsidR="00D16D4E" w:rsidRPr="005464FA">
        <w:t xml:space="preserve"> the cost per patient for olaparib and chemotherapy</w:t>
      </w:r>
      <w:r w:rsidR="007B3C1B" w:rsidRPr="005464FA">
        <w:t xml:space="preserve"> at the revised price from the pre-PBAC response</w:t>
      </w:r>
      <w:r w:rsidR="00D16D4E" w:rsidRPr="005464FA">
        <w:t xml:space="preserve">. </w:t>
      </w:r>
    </w:p>
    <w:p w14:paraId="1294D07E" w14:textId="2D359943" w:rsidR="00A1135A" w:rsidRPr="005464FA" w:rsidRDefault="00A1135A" w:rsidP="00A1135A">
      <w:pPr>
        <w:pStyle w:val="Caption"/>
        <w:rPr>
          <w:rStyle w:val="CommentReference"/>
          <w:b/>
          <w:szCs w:val="24"/>
        </w:rPr>
      </w:pPr>
      <w:bookmarkStart w:id="90" w:name="_Ref164728572"/>
      <w:r w:rsidRPr="005464FA">
        <w:lastRenderedPageBreak/>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15</w:t>
      </w:r>
      <w:r w:rsidR="00935AC4" w:rsidRPr="005464FA">
        <w:fldChar w:fldCharType="end"/>
      </w:r>
      <w:bookmarkEnd w:id="89"/>
      <w:bookmarkEnd w:id="90"/>
      <w:r w:rsidRPr="005464FA">
        <w:t>:</w:t>
      </w:r>
      <w:r w:rsidRPr="005464FA">
        <w:rPr>
          <w:rStyle w:val="CommentReference"/>
          <w:b/>
          <w:szCs w:val="24"/>
        </w:rPr>
        <w:t xml:space="preserve"> Drug cost per </w:t>
      </w:r>
      <w:r w:rsidR="00D16D4E" w:rsidRPr="005464FA">
        <w:rPr>
          <w:rStyle w:val="CommentReference"/>
          <w:b/>
          <w:szCs w:val="24"/>
        </w:rPr>
        <w:t xml:space="preserve">patient for olaparib and chemotherapy </w:t>
      </w:r>
      <w:r w:rsidR="00E645C7" w:rsidRPr="005464FA">
        <w:rPr>
          <w:rStyle w:val="CommentReference"/>
          <w:b/>
          <w:szCs w:val="24"/>
        </w:rPr>
        <w:t>(whole trial)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Drug cost per patient for olaparib and chemotherapy (whole trial)"/>
      </w:tblPr>
      <w:tblGrid>
        <w:gridCol w:w="1556"/>
        <w:gridCol w:w="849"/>
        <w:gridCol w:w="992"/>
        <w:gridCol w:w="918"/>
        <w:gridCol w:w="1208"/>
        <w:gridCol w:w="2233"/>
        <w:gridCol w:w="1261"/>
      </w:tblGrid>
      <w:tr w:rsidR="00A1135A" w:rsidRPr="005464FA" w14:paraId="0FAF322E" w14:textId="77777777" w:rsidTr="006C2677">
        <w:trPr>
          <w:cantSplit/>
          <w:tblHeader/>
          <w:jc w:val="center"/>
        </w:trPr>
        <w:tc>
          <w:tcPr>
            <w:tcW w:w="862" w:type="pct"/>
            <w:shd w:val="clear" w:color="auto" w:fill="auto"/>
            <w:vAlign w:val="center"/>
          </w:tcPr>
          <w:p w14:paraId="720F2E76" w14:textId="77777777" w:rsidR="00A1135A" w:rsidRPr="005464FA" w:rsidRDefault="00A1135A" w:rsidP="003A0777">
            <w:pPr>
              <w:pStyle w:val="In-tableHeading"/>
              <w:jc w:val="center"/>
              <w:rPr>
                <w:lang w:val="en-AU"/>
              </w:rPr>
            </w:pPr>
          </w:p>
        </w:tc>
        <w:tc>
          <w:tcPr>
            <w:tcW w:w="471" w:type="pct"/>
            <w:shd w:val="clear" w:color="auto" w:fill="auto"/>
            <w:vAlign w:val="center"/>
          </w:tcPr>
          <w:p w14:paraId="4B766A04" w14:textId="62DB3C5F" w:rsidR="00A1135A" w:rsidRPr="005464FA" w:rsidRDefault="00D16D4E" w:rsidP="003A0777">
            <w:pPr>
              <w:pStyle w:val="In-tableHeading"/>
              <w:jc w:val="center"/>
              <w:rPr>
                <w:lang w:val="en-AU"/>
              </w:rPr>
            </w:pPr>
            <w:r w:rsidRPr="005464FA">
              <w:rPr>
                <w:lang w:val="en-AU"/>
              </w:rPr>
              <w:t>olaparib</w:t>
            </w:r>
          </w:p>
          <w:p w14:paraId="18CDECC1" w14:textId="77777777" w:rsidR="00A1135A" w:rsidRPr="005464FA" w:rsidRDefault="00A1135A" w:rsidP="003A0777">
            <w:pPr>
              <w:pStyle w:val="In-tableHeading"/>
              <w:jc w:val="center"/>
              <w:rPr>
                <w:lang w:val="en-AU"/>
              </w:rPr>
            </w:pPr>
            <w:r w:rsidRPr="005464FA">
              <w:rPr>
                <w:lang w:val="en-AU"/>
              </w:rPr>
              <w:t>Trial dose and duration</w:t>
            </w:r>
          </w:p>
        </w:tc>
        <w:tc>
          <w:tcPr>
            <w:tcW w:w="550" w:type="pct"/>
            <w:shd w:val="clear" w:color="auto" w:fill="auto"/>
            <w:vAlign w:val="center"/>
          </w:tcPr>
          <w:p w14:paraId="2F005EAA" w14:textId="0564545B" w:rsidR="00A1135A" w:rsidRPr="005464FA" w:rsidRDefault="00D16D4E" w:rsidP="003A0777">
            <w:pPr>
              <w:pStyle w:val="In-tableHeading"/>
              <w:jc w:val="center"/>
              <w:rPr>
                <w:lang w:val="en-AU"/>
              </w:rPr>
            </w:pPr>
            <w:r w:rsidRPr="005464FA">
              <w:rPr>
                <w:lang w:val="en-AU"/>
              </w:rPr>
              <w:t>olaparib</w:t>
            </w:r>
          </w:p>
          <w:p w14:paraId="3C3C5C3A" w14:textId="77777777" w:rsidR="00A1135A" w:rsidRPr="005464FA" w:rsidRDefault="00A1135A" w:rsidP="003A0777">
            <w:pPr>
              <w:pStyle w:val="In-tableHeading"/>
              <w:jc w:val="center"/>
              <w:rPr>
                <w:lang w:val="en-AU"/>
              </w:rPr>
            </w:pPr>
            <w:r w:rsidRPr="005464FA">
              <w:rPr>
                <w:lang w:val="en-AU"/>
              </w:rPr>
              <w:t>Model</w:t>
            </w:r>
          </w:p>
        </w:tc>
        <w:tc>
          <w:tcPr>
            <w:tcW w:w="509" w:type="pct"/>
            <w:shd w:val="clear" w:color="auto" w:fill="auto"/>
            <w:vAlign w:val="center"/>
          </w:tcPr>
          <w:p w14:paraId="72AAE6F2" w14:textId="5A4B59A7" w:rsidR="00A1135A" w:rsidRPr="005464FA" w:rsidRDefault="00D16D4E" w:rsidP="003A0777">
            <w:pPr>
              <w:pStyle w:val="In-tableHeading"/>
              <w:jc w:val="center"/>
              <w:rPr>
                <w:lang w:val="en-AU"/>
              </w:rPr>
            </w:pPr>
            <w:r w:rsidRPr="005464FA">
              <w:rPr>
                <w:lang w:val="en-AU"/>
              </w:rPr>
              <w:t>olaparib</w:t>
            </w:r>
          </w:p>
          <w:p w14:paraId="216AD5DD" w14:textId="77777777" w:rsidR="00A1135A" w:rsidRPr="005464FA" w:rsidRDefault="00A1135A" w:rsidP="003A0777">
            <w:pPr>
              <w:pStyle w:val="In-tableHeading"/>
              <w:jc w:val="center"/>
              <w:rPr>
                <w:lang w:val="en-AU"/>
              </w:rPr>
            </w:pPr>
            <w:r w:rsidRPr="005464FA">
              <w:rPr>
                <w:lang w:val="en-AU"/>
              </w:rPr>
              <w:t>Financial estimates</w:t>
            </w:r>
          </w:p>
        </w:tc>
        <w:tc>
          <w:tcPr>
            <w:tcW w:w="670" w:type="pct"/>
            <w:shd w:val="clear" w:color="auto" w:fill="auto"/>
            <w:vAlign w:val="center"/>
          </w:tcPr>
          <w:p w14:paraId="1A9B542E" w14:textId="61FF468C" w:rsidR="00A1135A" w:rsidRPr="005464FA" w:rsidRDefault="00D16D4E" w:rsidP="003A0777">
            <w:pPr>
              <w:pStyle w:val="In-tableHeading"/>
              <w:jc w:val="center"/>
              <w:rPr>
                <w:lang w:val="en-AU"/>
              </w:rPr>
            </w:pPr>
            <w:r w:rsidRPr="005464FA">
              <w:rPr>
                <w:lang w:val="en-AU"/>
              </w:rPr>
              <w:t>chemotherapy</w:t>
            </w:r>
          </w:p>
          <w:p w14:paraId="53F93AD5" w14:textId="77777777" w:rsidR="00A1135A" w:rsidRPr="005464FA" w:rsidRDefault="00A1135A" w:rsidP="003A0777">
            <w:pPr>
              <w:pStyle w:val="In-tableHeading"/>
              <w:jc w:val="center"/>
              <w:rPr>
                <w:lang w:val="en-AU"/>
              </w:rPr>
            </w:pPr>
            <w:r w:rsidRPr="005464FA">
              <w:rPr>
                <w:lang w:val="en-AU"/>
              </w:rPr>
              <w:t>Trial dose and duration</w:t>
            </w:r>
          </w:p>
        </w:tc>
        <w:tc>
          <w:tcPr>
            <w:tcW w:w="1238" w:type="pct"/>
            <w:shd w:val="clear" w:color="auto" w:fill="auto"/>
            <w:vAlign w:val="center"/>
          </w:tcPr>
          <w:p w14:paraId="1B52DA38" w14:textId="166AA643" w:rsidR="00A1135A" w:rsidRPr="005464FA" w:rsidRDefault="00D16D4E" w:rsidP="003A0777">
            <w:pPr>
              <w:pStyle w:val="In-tableHeading"/>
              <w:jc w:val="center"/>
              <w:rPr>
                <w:lang w:val="en-AU"/>
              </w:rPr>
            </w:pPr>
            <w:r w:rsidRPr="005464FA">
              <w:rPr>
                <w:lang w:val="en-AU"/>
              </w:rPr>
              <w:t>chemotherapy</w:t>
            </w:r>
          </w:p>
          <w:p w14:paraId="548A4BD7" w14:textId="77777777" w:rsidR="00A1135A" w:rsidRPr="005464FA" w:rsidRDefault="00A1135A" w:rsidP="003A0777">
            <w:pPr>
              <w:pStyle w:val="In-tableHeading"/>
              <w:jc w:val="center"/>
              <w:rPr>
                <w:lang w:val="en-AU"/>
              </w:rPr>
            </w:pPr>
            <w:r w:rsidRPr="005464FA">
              <w:rPr>
                <w:lang w:val="en-AU"/>
              </w:rPr>
              <w:t>Model</w:t>
            </w:r>
          </w:p>
        </w:tc>
        <w:tc>
          <w:tcPr>
            <w:tcW w:w="699" w:type="pct"/>
            <w:vAlign w:val="center"/>
          </w:tcPr>
          <w:p w14:paraId="588C6B78" w14:textId="2DB9702F" w:rsidR="00A1135A" w:rsidRPr="005464FA" w:rsidRDefault="00D16D4E" w:rsidP="00BF3823">
            <w:pPr>
              <w:pStyle w:val="In-tableHeading"/>
              <w:jc w:val="center"/>
              <w:rPr>
                <w:lang w:val="en-AU"/>
              </w:rPr>
            </w:pPr>
            <w:r w:rsidRPr="005464FA">
              <w:rPr>
                <w:lang w:val="en-AU"/>
              </w:rPr>
              <w:t>chemotherapy</w:t>
            </w:r>
          </w:p>
          <w:p w14:paraId="1E03B7CF" w14:textId="77777777" w:rsidR="00A1135A" w:rsidRPr="005464FA" w:rsidRDefault="00A1135A" w:rsidP="00BF3823">
            <w:pPr>
              <w:pStyle w:val="In-tableHeading"/>
              <w:jc w:val="center"/>
              <w:rPr>
                <w:lang w:val="en-AU"/>
              </w:rPr>
            </w:pPr>
            <w:r w:rsidRPr="005464FA">
              <w:rPr>
                <w:lang w:val="en-AU"/>
              </w:rPr>
              <w:t>Financial estimates</w:t>
            </w:r>
          </w:p>
        </w:tc>
      </w:tr>
      <w:tr w:rsidR="00D16D4E" w:rsidRPr="005464FA" w14:paraId="134CE23C" w14:textId="77777777" w:rsidTr="006C2677">
        <w:trPr>
          <w:cantSplit/>
          <w:jc w:val="center"/>
        </w:trPr>
        <w:tc>
          <w:tcPr>
            <w:tcW w:w="862" w:type="pct"/>
            <w:shd w:val="clear" w:color="auto" w:fill="auto"/>
            <w:vAlign w:val="center"/>
          </w:tcPr>
          <w:p w14:paraId="4F24C81B" w14:textId="77777777" w:rsidR="00D16D4E" w:rsidRPr="005464FA" w:rsidRDefault="00D16D4E" w:rsidP="003A0777">
            <w:pPr>
              <w:pStyle w:val="TableText0"/>
            </w:pPr>
            <w:r w:rsidRPr="005464FA">
              <w:t>Mean dose</w:t>
            </w:r>
          </w:p>
        </w:tc>
        <w:tc>
          <w:tcPr>
            <w:tcW w:w="471" w:type="pct"/>
            <w:shd w:val="clear" w:color="auto" w:fill="auto"/>
            <w:vAlign w:val="center"/>
          </w:tcPr>
          <w:p w14:paraId="511D92E4" w14:textId="4B4E8BBD" w:rsidR="00D16D4E" w:rsidRPr="005464FA" w:rsidRDefault="00D16D4E" w:rsidP="003A0777">
            <w:pPr>
              <w:pStyle w:val="TableText0"/>
              <w:jc w:val="center"/>
              <w:rPr>
                <w:bCs w:val="0"/>
                <w:vertAlign w:val="superscript"/>
              </w:rPr>
            </w:pPr>
            <w:r w:rsidRPr="005464FA">
              <w:rPr>
                <w:bCs w:val="0"/>
              </w:rPr>
              <w:t>NR</w:t>
            </w:r>
            <w:r w:rsidRPr="005464FA">
              <w:rPr>
                <w:bCs w:val="0"/>
                <w:vertAlign w:val="superscript"/>
              </w:rPr>
              <w:t>a</w:t>
            </w:r>
          </w:p>
        </w:tc>
        <w:tc>
          <w:tcPr>
            <w:tcW w:w="1059" w:type="pct"/>
            <w:gridSpan w:val="2"/>
            <w:shd w:val="clear" w:color="auto" w:fill="auto"/>
            <w:vAlign w:val="center"/>
          </w:tcPr>
          <w:p w14:paraId="6BB7468E" w14:textId="1EA22399" w:rsidR="00D16D4E" w:rsidRPr="005464FA" w:rsidRDefault="00D16D4E" w:rsidP="003A0777">
            <w:pPr>
              <w:pStyle w:val="TableText0"/>
              <w:jc w:val="center"/>
              <w:rPr>
                <w:bCs w:val="0"/>
              </w:rPr>
            </w:pPr>
            <w:r w:rsidRPr="005464FA">
              <w:rPr>
                <w:bCs w:val="0"/>
              </w:rPr>
              <w:t>600mg</w:t>
            </w:r>
          </w:p>
        </w:tc>
        <w:tc>
          <w:tcPr>
            <w:tcW w:w="670" w:type="pct"/>
            <w:shd w:val="clear" w:color="auto" w:fill="auto"/>
            <w:vAlign w:val="center"/>
          </w:tcPr>
          <w:p w14:paraId="711A9E1C" w14:textId="78947757" w:rsidR="00D16D4E" w:rsidRPr="005464FA" w:rsidRDefault="00D16D4E" w:rsidP="003A0777">
            <w:pPr>
              <w:pStyle w:val="TableText0"/>
              <w:jc w:val="center"/>
              <w:rPr>
                <w:bCs w:val="0"/>
              </w:rPr>
            </w:pPr>
            <w:r w:rsidRPr="005464FA">
              <w:rPr>
                <w:bCs w:val="0"/>
              </w:rPr>
              <w:t>NR</w:t>
            </w:r>
          </w:p>
        </w:tc>
        <w:tc>
          <w:tcPr>
            <w:tcW w:w="1238" w:type="pct"/>
            <w:shd w:val="clear" w:color="auto" w:fill="auto"/>
            <w:vAlign w:val="center"/>
          </w:tcPr>
          <w:p w14:paraId="5F2C4E99" w14:textId="77777777" w:rsidR="00D16D4E" w:rsidRPr="005464FA" w:rsidRDefault="00D16D4E" w:rsidP="003A0777">
            <w:pPr>
              <w:pStyle w:val="TableText0"/>
              <w:jc w:val="center"/>
              <w:rPr>
                <w:bCs w:val="0"/>
              </w:rPr>
            </w:pPr>
            <w:r w:rsidRPr="005464FA">
              <w:rPr>
                <w:bCs w:val="0"/>
              </w:rPr>
              <w:t>Capecitabine: 4,500mg/day</w:t>
            </w:r>
          </w:p>
          <w:p w14:paraId="5330FFA7" w14:textId="77777777" w:rsidR="00D16D4E" w:rsidRPr="005464FA" w:rsidRDefault="00D16D4E" w:rsidP="003A0777">
            <w:pPr>
              <w:pStyle w:val="TableText0"/>
              <w:jc w:val="center"/>
              <w:rPr>
                <w:bCs w:val="0"/>
              </w:rPr>
            </w:pPr>
            <w:r w:rsidRPr="005464FA">
              <w:rPr>
                <w:bCs w:val="0"/>
              </w:rPr>
              <w:t>Eribulin: 2.52mg/ infusion</w:t>
            </w:r>
          </w:p>
          <w:p w14:paraId="25308100" w14:textId="60C62648" w:rsidR="00D16D4E" w:rsidRPr="005464FA" w:rsidRDefault="00D16D4E" w:rsidP="003A0777">
            <w:pPr>
              <w:pStyle w:val="TableText0"/>
              <w:jc w:val="center"/>
              <w:rPr>
                <w:bCs w:val="0"/>
              </w:rPr>
            </w:pPr>
            <w:r w:rsidRPr="005464FA">
              <w:rPr>
                <w:bCs w:val="0"/>
              </w:rPr>
              <w:t>Vinorelbine: 54mg/ infusion</w:t>
            </w:r>
          </w:p>
        </w:tc>
        <w:tc>
          <w:tcPr>
            <w:tcW w:w="699" w:type="pct"/>
            <w:vMerge w:val="restart"/>
            <w:vAlign w:val="center"/>
          </w:tcPr>
          <w:p w14:paraId="50D194F9" w14:textId="6A84CCE4" w:rsidR="00D16D4E" w:rsidRPr="005464FA" w:rsidRDefault="00D16D4E" w:rsidP="00BF3823">
            <w:pPr>
              <w:pStyle w:val="TableText0"/>
              <w:jc w:val="center"/>
              <w:rPr>
                <w:bCs w:val="0"/>
              </w:rPr>
            </w:pPr>
            <w:r w:rsidRPr="005464FA">
              <w:rPr>
                <w:bCs w:val="0"/>
              </w:rPr>
              <w:t>Cost offsets not included</w:t>
            </w:r>
          </w:p>
        </w:tc>
      </w:tr>
      <w:tr w:rsidR="00D16D4E" w:rsidRPr="005464FA" w14:paraId="347C3CC6" w14:textId="77777777" w:rsidTr="006C2677">
        <w:trPr>
          <w:cantSplit/>
          <w:jc w:val="center"/>
        </w:trPr>
        <w:tc>
          <w:tcPr>
            <w:tcW w:w="862" w:type="pct"/>
            <w:shd w:val="clear" w:color="auto" w:fill="auto"/>
            <w:vAlign w:val="center"/>
          </w:tcPr>
          <w:p w14:paraId="078FE01B" w14:textId="77777777" w:rsidR="00D16D4E" w:rsidRPr="005464FA" w:rsidRDefault="00D16D4E" w:rsidP="003A0777">
            <w:pPr>
              <w:pStyle w:val="TableText0"/>
            </w:pPr>
            <w:r w:rsidRPr="005464FA">
              <w:t>Mean duration</w:t>
            </w:r>
          </w:p>
        </w:tc>
        <w:tc>
          <w:tcPr>
            <w:tcW w:w="1530" w:type="pct"/>
            <w:gridSpan w:val="3"/>
            <w:shd w:val="clear" w:color="auto" w:fill="auto"/>
            <w:vAlign w:val="center"/>
          </w:tcPr>
          <w:p w14:paraId="3A5BFC56" w14:textId="61F80E0A" w:rsidR="00B53B7E" w:rsidRPr="005464FA" w:rsidRDefault="00B53B7E" w:rsidP="003A0777">
            <w:pPr>
              <w:pStyle w:val="TableText0"/>
              <w:jc w:val="center"/>
              <w:rPr>
                <w:bCs w:val="0"/>
              </w:rPr>
            </w:pPr>
            <w:r w:rsidRPr="005464FA">
              <w:rPr>
                <w:bCs w:val="0"/>
              </w:rPr>
              <w:t>10 months</w:t>
            </w:r>
          </w:p>
        </w:tc>
        <w:tc>
          <w:tcPr>
            <w:tcW w:w="1908" w:type="pct"/>
            <w:gridSpan w:val="2"/>
            <w:shd w:val="clear" w:color="auto" w:fill="auto"/>
            <w:vAlign w:val="center"/>
          </w:tcPr>
          <w:p w14:paraId="056334CE" w14:textId="5746F32E" w:rsidR="00D16D4E" w:rsidRPr="005464FA" w:rsidRDefault="00D16D4E" w:rsidP="003A0777">
            <w:pPr>
              <w:pStyle w:val="TableText0"/>
              <w:jc w:val="center"/>
              <w:rPr>
                <w:bCs w:val="0"/>
              </w:rPr>
            </w:pPr>
            <w:r w:rsidRPr="005464FA">
              <w:rPr>
                <w:bCs w:val="0"/>
              </w:rPr>
              <w:t>4.9 months</w:t>
            </w:r>
          </w:p>
        </w:tc>
        <w:tc>
          <w:tcPr>
            <w:tcW w:w="699" w:type="pct"/>
            <w:vMerge/>
            <w:vAlign w:val="center"/>
          </w:tcPr>
          <w:p w14:paraId="49ED6D05" w14:textId="77777777" w:rsidR="00D16D4E" w:rsidRPr="005464FA" w:rsidRDefault="00D16D4E" w:rsidP="00BF3823">
            <w:pPr>
              <w:pStyle w:val="TableText0"/>
              <w:jc w:val="center"/>
              <w:rPr>
                <w:b/>
              </w:rPr>
            </w:pPr>
          </w:p>
        </w:tc>
      </w:tr>
      <w:tr w:rsidR="00D16D4E" w:rsidRPr="005464FA" w14:paraId="0EED4608" w14:textId="77777777" w:rsidTr="006C2677">
        <w:trPr>
          <w:cantSplit/>
          <w:jc w:val="center"/>
        </w:trPr>
        <w:tc>
          <w:tcPr>
            <w:tcW w:w="862" w:type="pct"/>
            <w:shd w:val="clear" w:color="auto" w:fill="auto"/>
            <w:vAlign w:val="center"/>
          </w:tcPr>
          <w:p w14:paraId="1D34373F" w14:textId="77777777" w:rsidR="00D16D4E" w:rsidRPr="005464FA" w:rsidRDefault="00D16D4E" w:rsidP="003A0777">
            <w:pPr>
              <w:pStyle w:val="TableText0"/>
            </w:pPr>
            <w:r w:rsidRPr="005464FA">
              <w:t>Cost/patient/month</w:t>
            </w:r>
          </w:p>
        </w:tc>
        <w:tc>
          <w:tcPr>
            <w:tcW w:w="1530" w:type="pct"/>
            <w:gridSpan w:val="3"/>
            <w:shd w:val="clear" w:color="auto" w:fill="auto"/>
            <w:vAlign w:val="center"/>
          </w:tcPr>
          <w:p w14:paraId="59ECD4BE" w14:textId="08B88B5B" w:rsidR="00D16D4E" w:rsidRPr="005464FA" w:rsidRDefault="00D16D4E" w:rsidP="003A0777">
            <w:pPr>
              <w:pStyle w:val="TableText0"/>
              <w:jc w:val="center"/>
              <w:rPr>
                <w:bCs w:val="0"/>
                <w:vertAlign w:val="superscript"/>
              </w:rPr>
            </w:pPr>
            <w:r w:rsidRPr="005464FA">
              <w:rPr>
                <w:bCs w:val="0"/>
              </w:rPr>
              <w:t>$</w:t>
            </w:r>
            <w:r w:rsidR="005F522F" w:rsidRPr="005F522F">
              <w:rPr>
                <w:bCs w:val="0"/>
                <w:color w:val="000000"/>
                <w:shd w:val="solid" w:color="000000" w:fill="000000"/>
                <w14:textFill>
                  <w14:solidFill>
                    <w14:srgbClr w14:val="000000">
                      <w14:alpha w14:val="100000"/>
                    </w14:srgbClr>
                  </w14:solidFill>
                </w14:textFill>
              </w:rPr>
              <w:t>|</w:t>
            </w:r>
            <w:r w:rsidRPr="005464FA">
              <w:rPr>
                <w:bCs w:val="0"/>
                <w:vertAlign w:val="superscript"/>
              </w:rPr>
              <w:t>b</w:t>
            </w:r>
          </w:p>
        </w:tc>
        <w:tc>
          <w:tcPr>
            <w:tcW w:w="1908" w:type="pct"/>
            <w:gridSpan w:val="2"/>
            <w:shd w:val="clear" w:color="auto" w:fill="auto"/>
            <w:vAlign w:val="center"/>
          </w:tcPr>
          <w:p w14:paraId="3C9C3965" w14:textId="1885ED5D" w:rsidR="00D16D4E" w:rsidRPr="005464FA" w:rsidRDefault="00D16D4E" w:rsidP="003A0777">
            <w:pPr>
              <w:pStyle w:val="TableText0"/>
              <w:jc w:val="center"/>
              <w:rPr>
                <w:bCs w:val="0"/>
                <w:vertAlign w:val="superscript"/>
              </w:rPr>
            </w:pPr>
            <w:r w:rsidRPr="005464FA">
              <w:rPr>
                <w:bCs w:val="0"/>
              </w:rPr>
              <w:t>$1,188.38</w:t>
            </w:r>
            <w:r w:rsidRPr="005464FA">
              <w:rPr>
                <w:bCs w:val="0"/>
                <w:vertAlign w:val="superscript"/>
              </w:rPr>
              <w:t>c</w:t>
            </w:r>
          </w:p>
        </w:tc>
        <w:tc>
          <w:tcPr>
            <w:tcW w:w="699" w:type="pct"/>
            <w:vMerge/>
            <w:vAlign w:val="center"/>
          </w:tcPr>
          <w:p w14:paraId="5052AE15" w14:textId="77777777" w:rsidR="00D16D4E" w:rsidRPr="005464FA" w:rsidRDefault="00D16D4E" w:rsidP="00BF3823">
            <w:pPr>
              <w:pStyle w:val="TableText0"/>
              <w:jc w:val="center"/>
            </w:pPr>
          </w:p>
        </w:tc>
      </w:tr>
      <w:tr w:rsidR="00D16D4E" w:rsidRPr="005464FA" w14:paraId="1D410637" w14:textId="77777777" w:rsidTr="006C2677">
        <w:trPr>
          <w:cantSplit/>
          <w:jc w:val="center"/>
        </w:trPr>
        <w:tc>
          <w:tcPr>
            <w:tcW w:w="862" w:type="pct"/>
            <w:shd w:val="clear" w:color="auto" w:fill="auto"/>
            <w:vAlign w:val="center"/>
          </w:tcPr>
          <w:p w14:paraId="3FA451AF" w14:textId="2AF61929" w:rsidR="00D16D4E" w:rsidRPr="005464FA" w:rsidRDefault="00D16D4E" w:rsidP="003A0777">
            <w:pPr>
              <w:pStyle w:val="TableText0"/>
            </w:pPr>
            <w:r w:rsidRPr="005464FA">
              <w:t>Cost/patient/course</w:t>
            </w:r>
          </w:p>
        </w:tc>
        <w:tc>
          <w:tcPr>
            <w:tcW w:w="1530" w:type="pct"/>
            <w:gridSpan w:val="3"/>
            <w:shd w:val="clear" w:color="auto" w:fill="auto"/>
            <w:vAlign w:val="center"/>
          </w:tcPr>
          <w:p w14:paraId="245A2A37" w14:textId="4F896969" w:rsidR="00D16D4E" w:rsidRPr="005464FA" w:rsidRDefault="00B53B7E" w:rsidP="00B53B7E">
            <w:pPr>
              <w:pStyle w:val="TableText0"/>
              <w:jc w:val="center"/>
              <w:rPr>
                <w:bCs w:val="0"/>
              </w:rPr>
            </w:pPr>
            <w:r w:rsidRPr="005464FA">
              <w:rPr>
                <w:bCs w:val="0"/>
              </w:rPr>
              <w:t>$</w:t>
            </w:r>
            <w:r w:rsidR="005F522F" w:rsidRPr="005F522F">
              <w:rPr>
                <w:bCs w:val="0"/>
                <w:color w:val="000000"/>
                <w:shd w:val="solid" w:color="000000" w:fill="000000"/>
                <w14:textFill>
                  <w14:solidFill>
                    <w14:srgbClr w14:val="000000">
                      <w14:alpha w14:val="100000"/>
                    </w14:srgbClr>
                  </w14:solidFill>
                </w14:textFill>
              </w:rPr>
              <w:t>|</w:t>
            </w:r>
          </w:p>
        </w:tc>
        <w:tc>
          <w:tcPr>
            <w:tcW w:w="1908" w:type="pct"/>
            <w:gridSpan w:val="2"/>
            <w:shd w:val="clear" w:color="auto" w:fill="auto"/>
            <w:vAlign w:val="center"/>
          </w:tcPr>
          <w:p w14:paraId="04B0A31A" w14:textId="49D900F3" w:rsidR="00D16D4E" w:rsidRPr="005464FA" w:rsidRDefault="00D16D4E" w:rsidP="003A0777">
            <w:pPr>
              <w:pStyle w:val="TableText0"/>
              <w:jc w:val="center"/>
              <w:rPr>
                <w:bCs w:val="0"/>
                <w:vertAlign w:val="superscript"/>
              </w:rPr>
            </w:pPr>
            <w:r w:rsidRPr="005464FA">
              <w:rPr>
                <w:bCs w:val="0"/>
              </w:rPr>
              <w:t>$5,823.06</w:t>
            </w:r>
            <w:r w:rsidRPr="005464FA">
              <w:rPr>
                <w:bCs w:val="0"/>
                <w:vertAlign w:val="superscript"/>
              </w:rPr>
              <w:t>d</w:t>
            </w:r>
          </w:p>
        </w:tc>
        <w:tc>
          <w:tcPr>
            <w:tcW w:w="699" w:type="pct"/>
            <w:vMerge/>
            <w:vAlign w:val="center"/>
          </w:tcPr>
          <w:p w14:paraId="076DE042" w14:textId="77777777" w:rsidR="00D16D4E" w:rsidRPr="005464FA" w:rsidRDefault="00D16D4E" w:rsidP="00BF3823">
            <w:pPr>
              <w:pStyle w:val="TableText0"/>
              <w:jc w:val="center"/>
            </w:pPr>
          </w:p>
        </w:tc>
      </w:tr>
    </w:tbl>
    <w:p w14:paraId="62983555" w14:textId="2D0FB2E8" w:rsidR="00A1135A" w:rsidRPr="005464FA" w:rsidRDefault="00A1135A" w:rsidP="00A1135A">
      <w:pPr>
        <w:pStyle w:val="FooterTableFigure"/>
      </w:pPr>
      <w:r w:rsidRPr="005464FA">
        <w:t xml:space="preserve">Source: </w:t>
      </w:r>
      <w:r w:rsidR="00D16D4E" w:rsidRPr="005464FA">
        <w:t xml:space="preserve">Attached economic evaluation and attached financial model. </w:t>
      </w:r>
    </w:p>
    <w:p w14:paraId="69CD0051" w14:textId="65560379" w:rsidR="00D16D4E" w:rsidRPr="005464FA" w:rsidRDefault="00D16D4E" w:rsidP="00A1135A">
      <w:pPr>
        <w:pStyle w:val="FooterTableFigure"/>
      </w:pPr>
      <w:r w:rsidRPr="005464FA">
        <w:rPr>
          <w:vertAlign w:val="superscript"/>
        </w:rPr>
        <w:t>a</w:t>
      </w:r>
      <w:r w:rsidR="0022102A" w:rsidRPr="005464FA">
        <w:rPr>
          <w:vertAlign w:val="superscript"/>
        </w:rPr>
        <w:t xml:space="preserve"> </w:t>
      </w:r>
      <w:r w:rsidRPr="005464FA">
        <w:t xml:space="preserve">Mean dose was not reported for the subgroup population. </w:t>
      </w:r>
      <w:r w:rsidR="00DA6A37" w:rsidRPr="005464FA">
        <w:t>T</w:t>
      </w:r>
      <w:r w:rsidRPr="005464FA">
        <w:t xml:space="preserve">his would have no impact on costs as both 100mg and 150mgs have the same requested price. </w:t>
      </w:r>
    </w:p>
    <w:p w14:paraId="368BBBFF" w14:textId="0A768151" w:rsidR="00D16D4E" w:rsidRPr="005464FA" w:rsidRDefault="00D16D4E" w:rsidP="00A1135A">
      <w:pPr>
        <w:pStyle w:val="FooterTableFigure"/>
      </w:pPr>
      <w:r w:rsidRPr="005464FA">
        <w:rPr>
          <w:vertAlign w:val="superscript"/>
        </w:rPr>
        <w:t>b</w:t>
      </w:r>
      <w:r w:rsidR="0022102A" w:rsidRPr="005464FA">
        <w:rPr>
          <w:vertAlign w:val="superscript"/>
        </w:rPr>
        <w:t xml:space="preserve"> </w:t>
      </w:r>
      <w:r w:rsidRPr="005464FA">
        <w:t>Based on a prorated effective DPMQ for 28 days of $</w:t>
      </w:r>
      <w:r w:rsidR="005F522F" w:rsidRPr="00773D3C">
        <w:rPr>
          <w:color w:val="000000"/>
          <w:spacing w:val="40"/>
          <w:shd w:val="solid" w:color="000000" w:fill="000000"/>
          <w:fitText w:val="280" w:id="-893196797"/>
          <w14:textFill>
            <w14:solidFill>
              <w14:srgbClr w14:val="000000">
                <w14:alpha w14:val="100000"/>
              </w14:srgbClr>
            </w14:solidFill>
          </w14:textFill>
        </w:rPr>
        <w:t xml:space="preserve">|  </w:t>
      </w:r>
      <w:r w:rsidR="005F522F" w:rsidRPr="00773D3C">
        <w:rPr>
          <w:color w:val="000000"/>
          <w:spacing w:val="2"/>
          <w:shd w:val="solid" w:color="000000" w:fill="000000"/>
          <w:fitText w:val="280" w:id="-893196797"/>
          <w14:textFill>
            <w14:solidFill>
              <w14:srgbClr w14:val="000000">
                <w14:alpha w14:val="100000"/>
              </w14:srgbClr>
            </w14:solidFill>
          </w14:textFill>
        </w:rPr>
        <w:t>|</w:t>
      </w:r>
      <w:r w:rsidRPr="005464FA">
        <w:t>.</w:t>
      </w:r>
    </w:p>
    <w:p w14:paraId="5F2CA472" w14:textId="499B9792" w:rsidR="00D16D4E" w:rsidRPr="005464FA" w:rsidRDefault="00D16D4E" w:rsidP="00A1135A">
      <w:pPr>
        <w:pStyle w:val="FooterTableFigure"/>
      </w:pPr>
      <w:r w:rsidRPr="005464FA">
        <w:rPr>
          <w:vertAlign w:val="superscript"/>
        </w:rPr>
        <w:t>c</w:t>
      </w:r>
      <w:r w:rsidR="0022102A" w:rsidRPr="005464FA">
        <w:rPr>
          <w:vertAlign w:val="superscript"/>
        </w:rPr>
        <w:t xml:space="preserve"> </w:t>
      </w:r>
      <w:r w:rsidRPr="005464FA">
        <w:t>prorated from total cost per course</w:t>
      </w:r>
    </w:p>
    <w:p w14:paraId="5518FE73" w14:textId="549A987E" w:rsidR="00D16D4E" w:rsidRPr="005464FA" w:rsidRDefault="00D16D4E" w:rsidP="00A1135A">
      <w:pPr>
        <w:pStyle w:val="FooterTableFigure"/>
      </w:pPr>
      <w:r w:rsidRPr="005464FA">
        <w:rPr>
          <w:vertAlign w:val="superscript"/>
        </w:rPr>
        <w:t xml:space="preserve">d </w:t>
      </w:r>
      <w:r w:rsidRPr="005464FA">
        <w:t>Based 7.1 21 days cycle (equating to 4.9 months) of Eribulin costed at $12,040.24, vinorelbine costed at $3,998.85, and 4.9 months of capecitabine costed at $549.96, with proportional use of 37.36%, 17.58% and 45.05%, respectively.</w:t>
      </w:r>
    </w:p>
    <w:p w14:paraId="1AEA7D1E" w14:textId="340BA31A" w:rsidR="00A1135A" w:rsidRPr="005464FA" w:rsidRDefault="00D16D4E" w:rsidP="00A1135A">
      <w:pPr>
        <w:pStyle w:val="3-BodyText"/>
        <w:rPr>
          <w:snapToGrid/>
          <w:color w:val="0066FF"/>
        </w:rPr>
      </w:pPr>
      <w:bookmarkStart w:id="91" w:name="_Hlk107307804"/>
      <w:r w:rsidRPr="005464FA">
        <w:rPr>
          <w:color w:val="000000" w:themeColor="text1"/>
        </w:rPr>
        <w:t>A mean cost per course of olaparib was estimated at $</w:t>
      </w:r>
      <w:r w:rsidR="005F522F" w:rsidRPr="00773D3C">
        <w:rPr>
          <w:color w:val="000000" w:themeColor="text1"/>
          <w:w w:val="60"/>
          <w:shd w:val="solid" w:color="000000" w:fill="000000"/>
          <w:fitText w:val="470" w:id="-893196796"/>
          <w14:textFill>
            <w14:solidFill>
              <w14:schemeClr w14:val="tx1">
                <w14:alpha w14:val="100000"/>
              </w14:schemeClr>
            </w14:solidFill>
          </w14:textFill>
        </w:rPr>
        <w:t>|||  ||</w:t>
      </w:r>
      <w:r w:rsidR="005F522F" w:rsidRPr="00773D3C">
        <w:rPr>
          <w:color w:val="000000" w:themeColor="text1"/>
          <w:spacing w:val="6"/>
          <w:w w:val="60"/>
          <w:shd w:val="solid" w:color="000000" w:fill="000000"/>
          <w:fitText w:val="470" w:id="-893196796"/>
          <w14:textFill>
            <w14:solidFill>
              <w14:schemeClr w14:val="tx1">
                <w14:alpha w14:val="100000"/>
              </w14:schemeClr>
            </w14:solidFill>
          </w14:textFill>
        </w:rPr>
        <w:t>|</w:t>
      </w:r>
      <w:r w:rsidRPr="005464FA">
        <w:rPr>
          <w:color w:val="000000" w:themeColor="text1"/>
        </w:rPr>
        <w:t xml:space="preserve"> based on a DPMQ of $</w:t>
      </w:r>
      <w:r w:rsidR="005F522F" w:rsidRPr="006A43A5">
        <w:rPr>
          <w:color w:val="000000" w:themeColor="text1"/>
          <w:w w:val="15"/>
          <w:shd w:val="solid" w:color="000000" w:fill="000000"/>
          <w:fitText w:val="-20" w:id="-893196795"/>
          <w14:textFill>
            <w14:solidFill>
              <w14:schemeClr w14:val="tx1">
                <w14:alpha w14:val="100000"/>
              </w14:schemeClr>
            </w14:solidFill>
          </w14:textFill>
        </w:rPr>
        <w:t xml:space="preserve">|  </w:t>
      </w:r>
      <w:r w:rsidR="005F522F" w:rsidRPr="006A43A5">
        <w:rPr>
          <w:color w:val="000000" w:themeColor="text1"/>
          <w:spacing w:val="-69"/>
          <w:w w:val="15"/>
          <w:shd w:val="solid" w:color="000000" w:fill="000000"/>
          <w:fitText w:val="-20" w:id="-893196795"/>
          <w14:textFill>
            <w14:solidFill>
              <w14:schemeClr w14:val="tx1">
                <w14:alpha w14:val="100000"/>
              </w14:schemeClr>
            </w14:solidFill>
          </w14:textFill>
        </w:rPr>
        <w:t>|</w:t>
      </w:r>
      <w:r w:rsidRPr="005464FA">
        <w:rPr>
          <w:color w:val="000000" w:themeColor="text1"/>
        </w:rPr>
        <w:t xml:space="preserve"> for 28 days of treatment and </w:t>
      </w:r>
      <w:r w:rsidR="00DE1F1C" w:rsidRPr="005464FA">
        <w:rPr>
          <w:color w:val="000000" w:themeColor="text1"/>
        </w:rPr>
        <w:t>10</w:t>
      </w:r>
      <w:r w:rsidRPr="005464FA">
        <w:rPr>
          <w:color w:val="000000" w:themeColor="text1"/>
        </w:rPr>
        <w:t xml:space="preserve"> months treatment duration in the </w:t>
      </w:r>
      <w:r w:rsidR="00DE1F1C" w:rsidRPr="005464FA">
        <w:rPr>
          <w:color w:val="000000" w:themeColor="text1"/>
        </w:rPr>
        <w:t>whole trial population</w:t>
      </w:r>
      <w:r w:rsidRPr="005464FA">
        <w:rPr>
          <w:color w:val="000000" w:themeColor="text1"/>
        </w:rPr>
        <w:t>. A mean cost per course of the weighted chemotherapy comparator was estimated as $5,823.06 based on 4.9 months of treatment.</w:t>
      </w:r>
    </w:p>
    <w:p w14:paraId="30CE9E13" w14:textId="77777777" w:rsidR="00A1135A" w:rsidRPr="005464FA" w:rsidRDefault="00A1135A" w:rsidP="00A1135A">
      <w:pPr>
        <w:pStyle w:val="4-SubsectionHeading"/>
      </w:pPr>
      <w:bookmarkStart w:id="92" w:name="_Toc22897647"/>
      <w:bookmarkStart w:id="93" w:name="_Toc167278289"/>
      <w:bookmarkEnd w:id="91"/>
      <w:r w:rsidRPr="005464FA">
        <w:t>Estimated PBS usage &amp; financial implications</w:t>
      </w:r>
      <w:bookmarkEnd w:id="92"/>
      <w:bookmarkEnd w:id="93"/>
    </w:p>
    <w:p w14:paraId="64519DCB" w14:textId="70BB1A56" w:rsidR="000D5E52" w:rsidRPr="005464FA" w:rsidRDefault="00A1135A" w:rsidP="00A1135A">
      <w:pPr>
        <w:pStyle w:val="3-BodyText"/>
        <w:rPr>
          <w:color w:val="0066FF"/>
        </w:rPr>
      </w:pPr>
      <w:r w:rsidRPr="005464FA">
        <w:t xml:space="preserve">This submission </w:t>
      </w:r>
      <w:r w:rsidR="00DE1F1C" w:rsidRPr="005464FA">
        <w:t xml:space="preserve">was </w:t>
      </w:r>
      <w:r w:rsidR="00A84166" w:rsidRPr="005464FA">
        <w:t>not</w:t>
      </w:r>
      <w:r w:rsidRPr="005464FA">
        <w:t xml:space="preserve"> considered by DUSC</w:t>
      </w:r>
      <w:r w:rsidR="000D5E52" w:rsidRPr="005464FA">
        <w:t xml:space="preserve">. The submission </w:t>
      </w:r>
      <w:r w:rsidR="00A84166" w:rsidRPr="005464FA">
        <w:t>took</w:t>
      </w:r>
      <w:r w:rsidR="000D5E52" w:rsidRPr="005464FA">
        <w:t xml:space="preserve"> an epidemiological approach to estimating use and financial implications. </w:t>
      </w:r>
      <w:r w:rsidR="00FD3A0B" w:rsidRPr="005464FA">
        <w:t xml:space="preserve">The pre-PBAC response noted that the financial estimates provided in the submission were based on the ‘no prior chemotherapy’ subgroup. The PBAC considered it would be appropriate for the estimates to be amended to reflect the broader population, including patients with </w:t>
      </w:r>
      <w:r w:rsidR="00557951" w:rsidRPr="005464FA">
        <w:t xml:space="preserve">HER2-negative mBC with a confirmed </w:t>
      </w:r>
      <w:r w:rsidR="00557951" w:rsidRPr="005464FA">
        <w:rPr>
          <w:i/>
          <w:iCs/>
        </w:rPr>
        <w:t>BRCA</w:t>
      </w:r>
      <w:r w:rsidR="00557951" w:rsidRPr="005464FA">
        <w:t xml:space="preserve"> mutation, who have received chemotherapy in the adjuvant/neoadjuvant or metastatic setting.</w:t>
      </w:r>
    </w:p>
    <w:p w14:paraId="48843257" w14:textId="1472BAD0" w:rsidR="000D5E52" w:rsidRPr="005464FA" w:rsidRDefault="00A1135A" w:rsidP="000D5E52">
      <w:pPr>
        <w:pStyle w:val="3-BodyText"/>
      </w:pPr>
      <w:r w:rsidRPr="005464FA">
        <w:fldChar w:fldCharType="begin" w:fldLock="1"/>
      </w:r>
      <w:r w:rsidRPr="005464FA">
        <w:instrText xml:space="preserve"> REF _Ref104805262 \h  \* MERGEFORMAT </w:instrText>
      </w:r>
      <w:r w:rsidRPr="005464FA">
        <w:fldChar w:fldCharType="separate"/>
      </w:r>
      <w:r w:rsidR="00122E11" w:rsidRPr="005464FA">
        <w:t>Table 16</w:t>
      </w:r>
      <w:r w:rsidRPr="005464FA">
        <w:fldChar w:fldCharType="end"/>
      </w:r>
      <w:r w:rsidRPr="005464FA">
        <w:t xml:space="preserve"> </w:t>
      </w:r>
      <w:r w:rsidR="000D5E52" w:rsidRPr="005464FA">
        <w:t xml:space="preserve">presents the key inputs relied on in the financial estimates. </w:t>
      </w:r>
    </w:p>
    <w:p w14:paraId="0ACC409B" w14:textId="6C7B36E4" w:rsidR="000D5E52" w:rsidRPr="005464FA" w:rsidRDefault="00A1135A" w:rsidP="000D5E52">
      <w:pPr>
        <w:pStyle w:val="Caption"/>
        <w:rPr>
          <w:rStyle w:val="CommentReference"/>
          <w:b/>
          <w:szCs w:val="24"/>
        </w:rPr>
      </w:pPr>
      <w:bookmarkStart w:id="94" w:name="_Ref104805262"/>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16</w:t>
      </w:r>
      <w:r w:rsidR="00935AC4" w:rsidRPr="005464FA">
        <w:fldChar w:fldCharType="end"/>
      </w:r>
      <w:bookmarkEnd w:id="94"/>
      <w:r w:rsidRPr="005464FA">
        <w:t>:</w:t>
      </w:r>
      <w:r w:rsidRPr="005464FA">
        <w:rPr>
          <w:rStyle w:val="CommentReference"/>
          <w:b/>
          <w:szCs w:val="24"/>
        </w:rPr>
        <w:t xml:space="preserve"> </w:t>
      </w:r>
      <w:r w:rsidR="000D5E52" w:rsidRPr="005464FA">
        <w:rPr>
          <w:rStyle w:val="CommentReference"/>
          <w:b/>
          <w:szCs w:val="24"/>
        </w:rPr>
        <w:t>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16: Data sources and parameter values applied in the utilisation and financial estimates"/>
      </w:tblPr>
      <w:tblGrid>
        <w:gridCol w:w="1853"/>
        <w:gridCol w:w="1262"/>
        <w:gridCol w:w="2364"/>
        <w:gridCol w:w="3538"/>
      </w:tblGrid>
      <w:tr w:rsidR="000D5E52" w:rsidRPr="005464FA" w14:paraId="163C5B04" w14:textId="77777777" w:rsidTr="00827A3C">
        <w:trPr>
          <w:tblHeader/>
        </w:trPr>
        <w:tc>
          <w:tcPr>
            <w:tcW w:w="1027" w:type="pct"/>
            <w:vAlign w:val="center"/>
          </w:tcPr>
          <w:p w14:paraId="58D7404A" w14:textId="77777777" w:rsidR="000D5E52" w:rsidRPr="005464FA" w:rsidRDefault="000D5E52" w:rsidP="00562B10">
            <w:pPr>
              <w:pStyle w:val="In-tableHeading"/>
              <w:keepNext w:val="0"/>
              <w:jc w:val="center"/>
              <w:rPr>
                <w:lang w:val="en-AU"/>
              </w:rPr>
            </w:pPr>
            <w:r w:rsidRPr="005464FA">
              <w:rPr>
                <w:lang w:val="en-AU"/>
              </w:rPr>
              <w:t>Data</w:t>
            </w:r>
          </w:p>
        </w:tc>
        <w:tc>
          <w:tcPr>
            <w:tcW w:w="700" w:type="pct"/>
            <w:vAlign w:val="center"/>
          </w:tcPr>
          <w:p w14:paraId="54CA49BF" w14:textId="77777777" w:rsidR="000D5E52" w:rsidRPr="005464FA" w:rsidRDefault="000D5E52" w:rsidP="00562B10">
            <w:pPr>
              <w:pStyle w:val="In-tableHeading"/>
              <w:keepNext w:val="0"/>
              <w:jc w:val="center"/>
              <w:rPr>
                <w:lang w:val="en-AU"/>
              </w:rPr>
            </w:pPr>
            <w:r w:rsidRPr="005464FA">
              <w:rPr>
                <w:lang w:val="en-AU"/>
              </w:rPr>
              <w:t>Value</w:t>
            </w:r>
          </w:p>
        </w:tc>
        <w:tc>
          <w:tcPr>
            <w:tcW w:w="1311" w:type="pct"/>
            <w:vAlign w:val="center"/>
          </w:tcPr>
          <w:p w14:paraId="6F7C0FAE" w14:textId="77777777" w:rsidR="000D5E52" w:rsidRPr="005464FA" w:rsidRDefault="000D5E52" w:rsidP="00562B10">
            <w:pPr>
              <w:pStyle w:val="In-tableHeading"/>
              <w:keepNext w:val="0"/>
              <w:jc w:val="center"/>
              <w:rPr>
                <w:lang w:val="en-AU"/>
              </w:rPr>
            </w:pPr>
            <w:r w:rsidRPr="005464FA">
              <w:rPr>
                <w:lang w:val="en-AU"/>
              </w:rPr>
              <w:t>Source</w:t>
            </w:r>
          </w:p>
        </w:tc>
        <w:tc>
          <w:tcPr>
            <w:tcW w:w="1962" w:type="pct"/>
            <w:vAlign w:val="center"/>
          </w:tcPr>
          <w:p w14:paraId="05728A9D" w14:textId="77777777" w:rsidR="000D5E52" w:rsidRPr="005464FA" w:rsidRDefault="000D5E52" w:rsidP="00562B10">
            <w:pPr>
              <w:pStyle w:val="In-tableHeading"/>
              <w:keepNext w:val="0"/>
              <w:jc w:val="center"/>
              <w:rPr>
                <w:lang w:val="en-AU"/>
              </w:rPr>
            </w:pPr>
            <w:r w:rsidRPr="005464FA">
              <w:rPr>
                <w:lang w:val="en-AU"/>
              </w:rPr>
              <w:t>Comment</w:t>
            </w:r>
          </w:p>
        </w:tc>
      </w:tr>
      <w:tr w:rsidR="000D5E52" w:rsidRPr="005464FA" w14:paraId="52C2A0EA" w14:textId="77777777" w:rsidTr="00E360F4">
        <w:tc>
          <w:tcPr>
            <w:tcW w:w="5000" w:type="pct"/>
            <w:gridSpan w:val="4"/>
            <w:vAlign w:val="center"/>
          </w:tcPr>
          <w:p w14:paraId="247C61DA" w14:textId="77777777" w:rsidR="000D5E52" w:rsidRPr="005464FA" w:rsidRDefault="000D5E52" w:rsidP="00562B10">
            <w:pPr>
              <w:pStyle w:val="In-tableHeading"/>
              <w:keepNext w:val="0"/>
              <w:rPr>
                <w:lang w:val="en-AU"/>
              </w:rPr>
            </w:pPr>
            <w:r w:rsidRPr="005464FA">
              <w:rPr>
                <w:lang w:val="en-AU"/>
              </w:rPr>
              <w:t>Eligible population</w:t>
            </w:r>
          </w:p>
        </w:tc>
      </w:tr>
      <w:tr w:rsidR="000D5E52" w:rsidRPr="005464FA" w14:paraId="320420FC" w14:textId="77777777" w:rsidTr="00827A3C">
        <w:tc>
          <w:tcPr>
            <w:tcW w:w="1027" w:type="pct"/>
            <w:vAlign w:val="center"/>
          </w:tcPr>
          <w:p w14:paraId="2595C2D5" w14:textId="77777777" w:rsidR="000D5E52" w:rsidRPr="005464FA" w:rsidRDefault="000D5E52" w:rsidP="00562B10">
            <w:pPr>
              <w:pStyle w:val="TableText0"/>
              <w:keepNext w:val="0"/>
            </w:pPr>
            <w:r w:rsidRPr="005464FA">
              <w:t>% of patients with recurrent mBC</w:t>
            </w:r>
          </w:p>
        </w:tc>
        <w:tc>
          <w:tcPr>
            <w:tcW w:w="700" w:type="pct"/>
            <w:vAlign w:val="center"/>
          </w:tcPr>
          <w:p w14:paraId="7D601F25" w14:textId="77777777" w:rsidR="000D5E52" w:rsidRPr="005464FA" w:rsidRDefault="000D5E52" w:rsidP="00562B10">
            <w:pPr>
              <w:pStyle w:val="TableText0"/>
              <w:keepNext w:val="0"/>
            </w:pPr>
            <w:r w:rsidRPr="005464FA">
              <w:t>66%</w:t>
            </w:r>
          </w:p>
        </w:tc>
        <w:tc>
          <w:tcPr>
            <w:tcW w:w="1311" w:type="pct"/>
            <w:vAlign w:val="center"/>
          </w:tcPr>
          <w:p w14:paraId="6B97D05D" w14:textId="2521E6E0" w:rsidR="000D5E52" w:rsidRPr="005464FA" w:rsidRDefault="000D5E52" w:rsidP="00562B10">
            <w:pPr>
              <w:pStyle w:val="TableText0"/>
              <w:keepNext w:val="0"/>
            </w:pPr>
            <w:r w:rsidRPr="005464FA">
              <w:t xml:space="preserve">Average of </w:t>
            </w:r>
            <w:r w:rsidR="00562B10" w:rsidRPr="005464FA">
              <w:t>Kisqali Access Registry for Metastatic Breast Cancer in Australia (KARMA, n=160) registry</w:t>
            </w:r>
            <w:r w:rsidRPr="005464FA">
              <w:t xml:space="preserve"> and ARORA registry.</w:t>
            </w:r>
          </w:p>
        </w:tc>
        <w:tc>
          <w:tcPr>
            <w:tcW w:w="1962" w:type="pct"/>
            <w:vAlign w:val="center"/>
          </w:tcPr>
          <w:p w14:paraId="3A217EA4" w14:textId="31F49C97" w:rsidR="000D5E52" w:rsidRPr="005464FA" w:rsidRDefault="000D5E52" w:rsidP="00562B10">
            <w:pPr>
              <w:pStyle w:val="TableText0"/>
              <w:keepNext w:val="0"/>
            </w:pPr>
            <w:r w:rsidRPr="005464FA">
              <w:t xml:space="preserve">The ARORA registry considered that 59% of HR+ patients had relapsed as opposed to de novo metastatic disease and the KARMA registry considered that 74% would have relapsed or recurrent disease. </w:t>
            </w:r>
          </w:p>
        </w:tc>
      </w:tr>
      <w:tr w:rsidR="000D5E52" w:rsidRPr="005464FA" w14:paraId="2CA957B3" w14:textId="77777777" w:rsidTr="00827A3C">
        <w:tc>
          <w:tcPr>
            <w:tcW w:w="1027" w:type="pct"/>
            <w:vAlign w:val="center"/>
          </w:tcPr>
          <w:p w14:paraId="6372415B" w14:textId="77777777" w:rsidR="000D5E52" w:rsidRPr="005464FA" w:rsidRDefault="000D5E52" w:rsidP="00562B10">
            <w:pPr>
              <w:pStyle w:val="TableText0"/>
              <w:keepNext w:val="0"/>
            </w:pPr>
            <w:r w:rsidRPr="005464FA">
              <w:t>% of HR + patients with prior (neo)adjuvant chemotherapy</w:t>
            </w:r>
          </w:p>
        </w:tc>
        <w:tc>
          <w:tcPr>
            <w:tcW w:w="700" w:type="pct"/>
            <w:vAlign w:val="center"/>
          </w:tcPr>
          <w:p w14:paraId="314229C9" w14:textId="77777777" w:rsidR="000D5E52" w:rsidRPr="005464FA" w:rsidRDefault="000D5E52" w:rsidP="00562B10">
            <w:pPr>
              <w:pStyle w:val="TableText0"/>
              <w:keepNext w:val="0"/>
            </w:pPr>
            <w:r w:rsidRPr="005464FA">
              <w:t>63%</w:t>
            </w:r>
          </w:p>
        </w:tc>
        <w:tc>
          <w:tcPr>
            <w:tcW w:w="1311" w:type="pct"/>
            <w:vAlign w:val="center"/>
          </w:tcPr>
          <w:p w14:paraId="5249C2CF" w14:textId="564613C5" w:rsidR="000D5E52" w:rsidRPr="005464FA" w:rsidRDefault="000D5E52" w:rsidP="00562B10">
            <w:pPr>
              <w:pStyle w:val="TableText0"/>
              <w:keepNext w:val="0"/>
            </w:pPr>
            <w:r w:rsidRPr="005464FA">
              <w:t>Taken from KARMA registry</w:t>
            </w:r>
          </w:p>
        </w:tc>
        <w:tc>
          <w:tcPr>
            <w:tcW w:w="1962" w:type="pct"/>
            <w:vAlign w:val="center"/>
          </w:tcPr>
          <w:p w14:paraId="4C77D814" w14:textId="5F93E365" w:rsidR="000D5E52" w:rsidRPr="005464FA" w:rsidRDefault="003A3D0D" w:rsidP="005F522F">
            <w:pPr>
              <w:pStyle w:val="TableText0"/>
              <w:keepNext w:val="0"/>
              <w:keepLines/>
            </w:pPr>
            <w:r w:rsidRPr="005464FA">
              <w:t xml:space="preserve">The PBAC </w:t>
            </w:r>
            <w:r w:rsidR="00E645C7" w:rsidRPr="005464FA">
              <w:t xml:space="preserve">previously </w:t>
            </w:r>
            <w:r w:rsidRPr="005464FA">
              <w:t>considered that 25% would be more appropriate. (Table 19, olaparib PSD, November 2023 PBAC meeting)</w:t>
            </w:r>
            <w:r w:rsidR="00557951" w:rsidRPr="005464FA">
              <w:t xml:space="preserve">. The pre-PBAC response clarified that this was the proportion of patients meeting PBS criteria for high risk of disease recurrence. </w:t>
            </w:r>
            <w:r w:rsidR="00933E24" w:rsidRPr="005464FA">
              <w:t>The pre-PBAC considered this should be increased to 95% to reflect the broader population to include patients with prior chemotherapy in any setting.</w:t>
            </w:r>
          </w:p>
        </w:tc>
      </w:tr>
      <w:tr w:rsidR="000D5E52" w:rsidRPr="005464FA" w14:paraId="13B741AE" w14:textId="77777777" w:rsidTr="00827A3C">
        <w:tc>
          <w:tcPr>
            <w:tcW w:w="1027" w:type="pct"/>
            <w:vAlign w:val="center"/>
          </w:tcPr>
          <w:p w14:paraId="77963F19" w14:textId="1B434B3C" w:rsidR="000D5E52" w:rsidRPr="005464FA" w:rsidRDefault="000D5E52" w:rsidP="00562B10">
            <w:pPr>
              <w:pStyle w:val="TableText0"/>
              <w:keepNext w:val="0"/>
            </w:pPr>
            <w:r w:rsidRPr="005464FA">
              <w:lastRenderedPageBreak/>
              <w:t xml:space="preserve">Germline </w:t>
            </w:r>
            <w:r w:rsidR="009F5B43" w:rsidRPr="005464FA">
              <w:rPr>
                <w:i/>
                <w:iCs/>
              </w:rPr>
              <w:t>BRCA</w:t>
            </w:r>
            <w:r w:rsidRPr="005464FA">
              <w:t xml:space="preserve"> mutation testing rates</w:t>
            </w:r>
          </w:p>
        </w:tc>
        <w:tc>
          <w:tcPr>
            <w:tcW w:w="700" w:type="pct"/>
            <w:vAlign w:val="center"/>
          </w:tcPr>
          <w:p w14:paraId="59FF9073" w14:textId="77777777" w:rsidR="000D5E52" w:rsidRPr="005464FA" w:rsidRDefault="000D5E52" w:rsidP="00562B10">
            <w:pPr>
              <w:pStyle w:val="TableText0"/>
              <w:keepNext w:val="0"/>
            </w:pPr>
            <w:r w:rsidRPr="005464FA">
              <w:t>TNBC: 75-90%</w:t>
            </w:r>
          </w:p>
          <w:p w14:paraId="3C557B0C" w14:textId="77777777" w:rsidR="000D5E52" w:rsidRPr="005464FA" w:rsidRDefault="000D5E52" w:rsidP="00562B10">
            <w:pPr>
              <w:pStyle w:val="TableText0"/>
              <w:keepNext w:val="0"/>
            </w:pPr>
            <w:r w:rsidRPr="005464FA">
              <w:t>HR+: 50-90%</w:t>
            </w:r>
          </w:p>
        </w:tc>
        <w:tc>
          <w:tcPr>
            <w:tcW w:w="1311" w:type="pct"/>
            <w:vAlign w:val="center"/>
          </w:tcPr>
          <w:p w14:paraId="365E4B16" w14:textId="77777777" w:rsidR="000D5E52" w:rsidRPr="005464FA" w:rsidRDefault="000D5E52" w:rsidP="00562B10">
            <w:pPr>
              <w:pStyle w:val="TableText0"/>
              <w:keepNext w:val="0"/>
            </w:pPr>
            <w:r w:rsidRPr="005464FA">
              <w:t>Olaparib March 2023 PSD Table 20</w:t>
            </w:r>
          </w:p>
        </w:tc>
        <w:tc>
          <w:tcPr>
            <w:tcW w:w="1962" w:type="pct"/>
            <w:vAlign w:val="center"/>
          </w:tcPr>
          <w:p w14:paraId="5A7348A8" w14:textId="77777777" w:rsidR="000D5E52" w:rsidRPr="005464FA" w:rsidRDefault="000D5E52" w:rsidP="00562B10">
            <w:pPr>
              <w:pStyle w:val="TableText0"/>
              <w:keepNext w:val="0"/>
            </w:pPr>
            <w:r w:rsidRPr="005464FA">
              <w:t>In the eBC setting, DUSC had considered rates ranging from 80% to 95% to be appropriate, but that initially uptake may be higher. It was unclear how applicable uptake rates from the eBC setting would be to the metastatic setting.</w:t>
            </w:r>
          </w:p>
        </w:tc>
      </w:tr>
      <w:tr w:rsidR="000D5E52" w:rsidRPr="005464FA" w14:paraId="1B33C279" w14:textId="77777777" w:rsidTr="00827A3C">
        <w:tc>
          <w:tcPr>
            <w:tcW w:w="1027" w:type="pct"/>
            <w:vAlign w:val="center"/>
          </w:tcPr>
          <w:p w14:paraId="785F7238" w14:textId="1F169193" w:rsidR="000D5E52" w:rsidRPr="005464FA" w:rsidRDefault="000D5E52" w:rsidP="00562B10">
            <w:pPr>
              <w:pStyle w:val="TableText0"/>
              <w:keepNext w:val="0"/>
            </w:pPr>
            <w:r w:rsidRPr="005464FA">
              <w:t xml:space="preserve">Germline </w:t>
            </w:r>
            <w:r w:rsidR="009F5B43" w:rsidRPr="005464FA">
              <w:rPr>
                <w:i/>
                <w:iCs/>
              </w:rPr>
              <w:t>BRCA</w:t>
            </w:r>
            <w:r w:rsidRPr="005464FA">
              <w:t xml:space="preserve"> mutation test positive to </w:t>
            </w:r>
            <w:r w:rsidRPr="005464FA">
              <w:rPr>
                <w:i/>
                <w:iCs/>
              </w:rPr>
              <w:t>BRCA1</w:t>
            </w:r>
            <w:r w:rsidRPr="005464FA">
              <w:t xml:space="preserve"> or </w:t>
            </w:r>
            <w:r w:rsidRPr="005464FA">
              <w:rPr>
                <w:i/>
                <w:iCs/>
              </w:rPr>
              <w:t>BRCA2</w:t>
            </w:r>
            <w:r w:rsidRPr="005464FA">
              <w:t xml:space="preserve"> mutation, TNBC</w:t>
            </w:r>
          </w:p>
        </w:tc>
        <w:tc>
          <w:tcPr>
            <w:tcW w:w="700" w:type="pct"/>
            <w:vAlign w:val="center"/>
          </w:tcPr>
          <w:p w14:paraId="00ADCF86" w14:textId="77777777" w:rsidR="000D5E52" w:rsidRPr="005464FA" w:rsidRDefault="000D5E52" w:rsidP="00562B10">
            <w:pPr>
              <w:pStyle w:val="TableText0"/>
              <w:keepNext w:val="0"/>
            </w:pPr>
            <w:r w:rsidRPr="005464FA">
              <w:t>13.25%</w:t>
            </w:r>
          </w:p>
        </w:tc>
        <w:tc>
          <w:tcPr>
            <w:tcW w:w="1311" w:type="pct"/>
            <w:vAlign w:val="center"/>
          </w:tcPr>
          <w:p w14:paraId="26FF00DA" w14:textId="77777777" w:rsidR="000D5E52" w:rsidRPr="005464FA" w:rsidRDefault="000D5E52" w:rsidP="00562B10">
            <w:pPr>
              <w:pStyle w:val="TableText0"/>
              <w:keepNext w:val="0"/>
            </w:pPr>
            <w:r w:rsidRPr="005464FA">
              <w:t>Olaparib March 2023 PSD Table 20</w:t>
            </w:r>
          </w:p>
        </w:tc>
        <w:tc>
          <w:tcPr>
            <w:tcW w:w="1962" w:type="pct"/>
            <w:vAlign w:val="center"/>
          </w:tcPr>
          <w:p w14:paraId="1FD07561" w14:textId="5B5B2314" w:rsidR="000D5E52" w:rsidRPr="005464FA" w:rsidRDefault="00E645C7" w:rsidP="00562B10">
            <w:pPr>
              <w:pStyle w:val="TableText0"/>
              <w:keepNext w:val="0"/>
            </w:pPr>
            <w:r w:rsidRPr="005464FA">
              <w:t>Consistent with previous consideration.</w:t>
            </w:r>
          </w:p>
        </w:tc>
      </w:tr>
      <w:tr w:rsidR="000D5E52" w:rsidRPr="005464FA" w14:paraId="6A5603EA" w14:textId="77777777" w:rsidTr="00827A3C">
        <w:tc>
          <w:tcPr>
            <w:tcW w:w="1027" w:type="pct"/>
            <w:vAlign w:val="center"/>
          </w:tcPr>
          <w:p w14:paraId="2BB86EF1" w14:textId="0BAF98E0" w:rsidR="000D5E52" w:rsidRPr="005464FA" w:rsidRDefault="000D5E52" w:rsidP="00562B10">
            <w:pPr>
              <w:pStyle w:val="TableText0"/>
              <w:keepNext w:val="0"/>
            </w:pPr>
            <w:r w:rsidRPr="005464FA">
              <w:t xml:space="preserve">Germline </w:t>
            </w:r>
            <w:r w:rsidR="009F5B43" w:rsidRPr="005464FA">
              <w:rPr>
                <w:i/>
                <w:iCs/>
              </w:rPr>
              <w:t>BRCA</w:t>
            </w:r>
            <w:r w:rsidRPr="005464FA">
              <w:t xml:space="preserve"> mutation test positive to </w:t>
            </w:r>
            <w:r w:rsidRPr="005464FA">
              <w:rPr>
                <w:i/>
                <w:iCs/>
              </w:rPr>
              <w:t>BRCA1</w:t>
            </w:r>
            <w:r w:rsidRPr="005464FA">
              <w:t xml:space="preserve"> or </w:t>
            </w:r>
            <w:r w:rsidRPr="005464FA">
              <w:rPr>
                <w:i/>
                <w:iCs/>
              </w:rPr>
              <w:t>BRCA2</w:t>
            </w:r>
            <w:r w:rsidRPr="005464FA">
              <w:t xml:space="preserve"> mutation, HR+</w:t>
            </w:r>
          </w:p>
        </w:tc>
        <w:tc>
          <w:tcPr>
            <w:tcW w:w="700" w:type="pct"/>
            <w:vAlign w:val="center"/>
          </w:tcPr>
          <w:p w14:paraId="5D84E09D" w14:textId="77777777" w:rsidR="000D5E52" w:rsidRPr="005464FA" w:rsidRDefault="000D5E52" w:rsidP="00562B10">
            <w:pPr>
              <w:pStyle w:val="TableText0"/>
              <w:keepNext w:val="0"/>
            </w:pPr>
            <w:r w:rsidRPr="005464FA">
              <w:t>5%</w:t>
            </w:r>
          </w:p>
        </w:tc>
        <w:tc>
          <w:tcPr>
            <w:tcW w:w="1311" w:type="pct"/>
            <w:vAlign w:val="center"/>
          </w:tcPr>
          <w:p w14:paraId="4DA9CD0D" w14:textId="10280A13" w:rsidR="000D5E52" w:rsidRPr="005464FA" w:rsidRDefault="000D5E52" w:rsidP="00562B10">
            <w:pPr>
              <w:pStyle w:val="TableText0"/>
              <w:keepNext w:val="0"/>
            </w:pPr>
            <w:r w:rsidRPr="005464FA">
              <w:t>Assumption to align with in the OlympiA trial, estimates from population based studies (Armstrong 2019) and IPSOS report, showing that testing is less established in this population</w:t>
            </w:r>
          </w:p>
        </w:tc>
        <w:tc>
          <w:tcPr>
            <w:tcW w:w="1962" w:type="pct"/>
            <w:vAlign w:val="center"/>
          </w:tcPr>
          <w:p w14:paraId="062C3E13" w14:textId="21D858CD" w:rsidR="000D5E52" w:rsidRPr="005464FA" w:rsidRDefault="00F4631E" w:rsidP="00562B10">
            <w:pPr>
              <w:pStyle w:val="TableText0"/>
              <w:keepNext w:val="0"/>
            </w:pPr>
            <w:r w:rsidRPr="005464FA">
              <w:t>This was consistent with previous MSAC considerations (Table 1and 6, 1716 PSD November 2023 MSAC meeting).</w:t>
            </w:r>
          </w:p>
        </w:tc>
      </w:tr>
      <w:tr w:rsidR="000D5E52" w:rsidRPr="005464FA" w14:paraId="10179014" w14:textId="77777777" w:rsidTr="00827A3C">
        <w:tc>
          <w:tcPr>
            <w:tcW w:w="1027" w:type="pct"/>
            <w:vAlign w:val="center"/>
          </w:tcPr>
          <w:p w14:paraId="00E11DE0" w14:textId="77777777" w:rsidR="000D5E52" w:rsidRPr="005464FA" w:rsidRDefault="000D5E52" w:rsidP="00562B10">
            <w:pPr>
              <w:pStyle w:val="TableText0"/>
              <w:keepNext w:val="0"/>
            </w:pPr>
            <w:r w:rsidRPr="005464FA">
              <w:t>Proportion of TNBC patients</w:t>
            </w:r>
          </w:p>
        </w:tc>
        <w:tc>
          <w:tcPr>
            <w:tcW w:w="700" w:type="pct"/>
            <w:vAlign w:val="center"/>
          </w:tcPr>
          <w:p w14:paraId="5743C323" w14:textId="77777777" w:rsidR="000D5E52" w:rsidRPr="005464FA" w:rsidRDefault="000D5E52" w:rsidP="00562B10">
            <w:pPr>
              <w:pStyle w:val="TableText0"/>
              <w:keepNext w:val="0"/>
            </w:pPr>
            <w:r w:rsidRPr="005464FA">
              <w:t>15%</w:t>
            </w:r>
          </w:p>
        </w:tc>
        <w:tc>
          <w:tcPr>
            <w:tcW w:w="1311" w:type="pct"/>
            <w:vAlign w:val="center"/>
          </w:tcPr>
          <w:p w14:paraId="5DA1E85C" w14:textId="23DEDAE8" w:rsidR="000D5E52" w:rsidRPr="005464FA" w:rsidRDefault="000D5E52" w:rsidP="00562B10">
            <w:pPr>
              <w:pStyle w:val="TableText0"/>
              <w:keepNext w:val="0"/>
            </w:pPr>
            <w:r w:rsidRPr="005464FA">
              <w:t xml:space="preserve">Sacituzumab </w:t>
            </w:r>
            <w:r w:rsidR="001218FD" w:rsidRPr="005464FA">
              <w:t>Govitecan</w:t>
            </w:r>
            <w:r w:rsidRPr="005464FA">
              <w:t xml:space="preserve"> March 2022 PSD Table 6.70</w:t>
            </w:r>
          </w:p>
        </w:tc>
        <w:tc>
          <w:tcPr>
            <w:tcW w:w="1962" w:type="pct"/>
            <w:vAlign w:val="center"/>
          </w:tcPr>
          <w:p w14:paraId="275C0424" w14:textId="07703210" w:rsidR="000D5E52" w:rsidRPr="005464FA" w:rsidRDefault="000D5E52" w:rsidP="00562B10">
            <w:pPr>
              <w:pStyle w:val="TableText0"/>
              <w:keepNext w:val="0"/>
            </w:pPr>
            <w:r w:rsidRPr="005464FA">
              <w:t xml:space="preserve">Reasonable. This was consistent with DUSC recommendations in the </w:t>
            </w:r>
            <w:r w:rsidR="003D0388" w:rsidRPr="005464FA">
              <w:t>sacituzumab</w:t>
            </w:r>
            <w:r w:rsidRPr="005464FA">
              <w:t xml:space="preserve"> </w:t>
            </w:r>
            <w:r w:rsidR="001218FD" w:rsidRPr="005464FA">
              <w:t>govitecan</w:t>
            </w:r>
            <w:r w:rsidRPr="005464FA">
              <w:t xml:space="preserve"> November 2021 PSD. </w:t>
            </w:r>
          </w:p>
        </w:tc>
      </w:tr>
      <w:tr w:rsidR="000D5E52" w:rsidRPr="005464FA" w14:paraId="6FABA511" w14:textId="77777777" w:rsidTr="00827A3C">
        <w:tc>
          <w:tcPr>
            <w:tcW w:w="1027" w:type="pct"/>
            <w:vAlign w:val="center"/>
          </w:tcPr>
          <w:p w14:paraId="72FF0F2D" w14:textId="77777777" w:rsidR="000D5E52" w:rsidRPr="005464FA" w:rsidRDefault="000D5E52" w:rsidP="00562B10">
            <w:pPr>
              <w:pStyle w:val="TableText0"/>
              <w:keepNext w:val="0"/>
            </w:pPr>
            <w:r w:rsidRPr="005464FA">
              <w:t>Estimate of TNBC patients that are metastatic</w:t>
            </w:r>
          </w:p>
        </w:tc>
        <w:tc>
          <w:tcPr>
            <w:tcW w:w="700" w:type="pct"/>
            <w:vAlign w:val="center"/>
          </w:tcPr>
          <w:p w14:paraId="3DF62F3A" w14:textId="77777777" w:rsidR="000D5E52" w:rsidRPr="005464FA" w:rsidRDefault="000D5E52" w:rsidP="00562B10">
            <w:pPr>
              <w:pStyle w:val="TableText0"/>
              <w:keepNext w:val="0"/>
            </w:pPr>
            <w:r w:rsidRPr="005464FA">
              <w:t>54.80%</w:t>
            </w:r>
          </w:p>
        </w:tc>
        <w:tc>
          <w:tcPr>
            <w:tcW w:w="1311" w:type="pct"/>
            <w:vAlign w:val="center"/>
          </w:tcPr>
          <w:p w14:paraId="287EA3E8" w14:textId="6B173DBC" w:rsidR="000D5E52" w:rsidRPr="005F522F" w:rsidRDefault="000D5E52" w:rsidP="00562B10">
            <w:pPr>
              <w:pStyle w:val="TableText0"/>
              <w:keepNext w:val="0"/>
              <w:rPr>
                <w:lang w:val="de-DE"/>
              </w:rPr>
            </w:pPr>
            <w:r w:rsidRPr="005F522F">
              <w:rPr>
                <w:lang w:val="de-DE"/>
              </w:rPr>
              <w:t>Trastuzumab deruxtecan November 2023 PSD Table 16</w:t>
            </w:r>
          </w:p>
        </w:tc>
        <w:tc>
          <w:tcPr>
            <w:tcW w:w="1962" w:type="pct"/>
            <w:vAlign w:val="center"/>
          </w:tcPr>
          <w:p w14:paraId="1D62BAF9" w14:textId="7A37FCE4" w:rsidR="000D5E52" w:rsidRPr="005464FA" w:rsidRDefault="000D5E52" w:rsidP="00562B10">
            <w:pPr>
              <w:pStyle w:val="TableText0"/>
              <w:keepNext w:val="0"/>
            </w:pPr>
            <w:r w:rsidRPr="005464FA">
              <w:t xml:space="preserve">In its consideration of </w:t>
            </w:r>
            <w:r w:rsidR="00E645C7" w:rsidRPr="005464FA">
              <w:t>t</w:t>
            </w:r>
            <w:r w:rsidRPr="005464FA">
              <w:t xml:space="preserve">rastuzumab deruxtecan at the July 2022 PBAC meeting DUSC had stated: “DUSC agrees with the commentary that this is likely an overestimate. However, DUSC noted that this employs similar rationale to other submissions (atezolizumab March 2020 and SG for triple negative breast cancer). In prior submissions, for atezolizumab March 2020 and pembrolizumab March 2023, this has also </w:t>
            </w:r>
            <w:proofErr w:type="gramStart"/>
            <w:r w:rsidRPr="005464FA">
              <w:t>taken into account</w:t>
            </w:r>
            <w:proofErr w:type="gramEnd"/>
            <w:r w:rsidRPr="005464FA">
              <w:t xml:space="preserve"> the mortality rate of (44% for all stages of breast cancer from Lin 2012</w:t>
            </w:r>
            <w:r w:rsidRPr="005464FA">
              <w:rPr>
                <w:vertAlign w:val="superscript"/>
              </w:rPr>
              <w:t>e</w:t>
            </w:r>
            <w:r w:rsidRPr="005464FA">
              <w:t>) into the estimates” (Table 14, trastuzumab deru</w:t>
            </w:r>
            <w:r w:rsidR="003D0388" w:rsidRPr="005464FA">
              <w:t>x</w:t>
            </w:r>
            <w:r w:rsidRPr="005464FA">
              <w:t>tecan PSD, November 2023 PBAC meeting)</w:t>
            </w:r>
          </w:p>
        </w:tc>
      </w:tr>
      <w:tr w:rsidR="000D5E52" w:rsidRPr="005464FA" w14:paraId="5D6D175E" w14:textId="77777777" w:rsidTr="00827A3C">
        <w:tc>
          <w:tcPr>
            <w:tcW w:w="1027" w:type="pct"/>
            <w:vAlign w:val="center"/>
          </w:tcPr>
          <w:p w14:paraId="26E86960" w14:textId="67317437" w:rsidR="000D5E52" w:rsidRPr="005464FA" w:rsidRDefault="000D5E52" w:rsidP="00562B10">
            <w:pPr>
              <w:pStyle w:val="TableText0"/>
              <w:keepNext w:val="0"/>
            </w:pPr>
            <w:r w:rsidRPr="005464FA">
              <w:t xml:space="preserve">Proportion of </w:t>
            </w:r>
            <w:r w:rsidR="00A84C5A" w:rsidRPr="005464FA">
              <w:t>d</w:t>
            </w:r>
            <w:r w:rsidRPr="005464FA">
              <w:t xml:space="preserve">e </w:t>
            </w:r>
            <w:r w:rsidR="00A84C5A" w:rsidRPr="005464FA">
              <w:t>n</w:t>
            </w:r>
            <w:r w:rsidRPr="005464FA">
              <w:t xml:space="preserve">ovo / recurrent </w:t>
            </w:r>
            <w:r w:rsidR="00A84C5A" w:rsidRPr="005464FA">
              <w:t>p</w:t>
            </w:r>
            <w:r w:rsidRPr="005464FA">
              <w:t>atients in HER2-/HR+</w:t>
            </w:r>
          </w:p>
        </w:tc>
        <w:tc>
          <w:tcPr>
            <w:tcW w:w="700" w:type="pct"/>
            <w:vAlign w:val="center"/>
          </w:tcPr>
          <w:p w14:paraId="3D1F4671" w14:textId="77777777" w:rsidR="000D5E52" w:rsidRPr="005464FA" w:rsidRDefault="000D5E52" w:rsidP="00562B10">
            <w:pPr>
              <w:pStyle w:val="TableText0"/>
              <w:keepNext w:val="0"/>
            </w:pPr>
            <w:r w:rsidRPr="005464FA">
              <w:t>34%</w:t>
            </w:r>
          </w:p>
        </w:tc>
        <w:tc>
          <w:tcPr>
            <w:tcW w:w="1311" w:type="pct"/>
            <w:vAlign w:val="center"/>
          </w:tcPr>
          <w:p w14:paraId="73DE2A39" w14:textId="77777777" w:rsidR="000D5E52" w:rsidRPr="005464FA" w:rsidRDefault="000D5E52" w:rsidP="00562B10">
            <w:pPr>
              <w:pStyle w:val="TableText0"/>
              <w:keepNext w:val="0"/>
            </w:pPr>
            <w:r w:rsidRPr="005464FA">
              <w:t xml:space="preserve">Average of ARORA registry and Karma Registry average </w:t>
            </w:r>
          </w:p>
        </w:tc>
        <w:tc>
          <w:tcPr>
            <w:tcW w:w="1962" w:type="pct"/>
            <w:vAlign w:val="center"/>
          </w:tcPr>
          <w:p w14:paraId="74F45BA7" w14:textId="2BA5CBB3" w:rsidR="000D5E52" w:rsidRPr="005464FA" w:rsidRDefault="00000946" w:rsidP="00000946">
            <w:pPr>
              <w:pStyle w:val="TableText0"/>
              <w:keepNext w:val="0"/>
            </w:pPr>
            <w:r w:rsidRPr="005464FA">
              <w:t>S</w:t>
            </w:r>
            <w:r w:rsidR="000D5E52" w:rsidRPr="005464FA">
              <w:t xml:space="preserve">ubstantially greater than the 12.6% de novo patients in the OlympiAD trial. </w:t>
            </w:r>
          </w:p>
        </w:tc>
      </w:tr>
      <w:tr w:rsidR="000D5E52" w:rsidRPr="005464FA" w14:paraId="229909F4" w14:textId="77777777" w:rsidTr="00827A3C">
        <w:tc>
          <w:tcPr>
            <w:tcW w:w="1027" w:type="pct"/>
            <w:vAlign w:val="center"/>
          </w:tcPr>
          <w:p w14:paraId="3D265B2C" w14:textId="09D85652" w:rsidR="000D5E52" w:rsidRPr="005464FA" w:rsidRDefault="000D5E52" w:rsidP="00562B10">
            <w:pPr>
              <w:pStyle w:val="TableText0"/>
              <w:keepNext w:val="0"/>
            </w:pPr>
            <w:r w:rsidRPr="005464FA">
              <w:t xml:space="preserve">Proportion of </w:t>
            </w:r>
            <w:r w:rsidR="00A84C5A" w:rsidRPr="005464FA">
              <w:t>d</w:t>
            </w:r>
            <w:r w:rsidRPr="005464FA">
              <w:t xml:space="preserve">e </w:t>
            </w:r>
            <w:r w:rsidR="00A84C5A" w:rsidRPr="005464FA">
              <w:t>n</w:t>
            </w:r>
            <w:r w:rsidRPr="005464FA">
              <w:t>ovo TNBC patients</w:t>
            </w:r>
          </w:p>
        </w:tc>
        <w:tc>
          <w:tcPr>
            <w:tcW w:w="700" w:type="pct"/>
            <w:vAlign w:val="center"/>
          </w:tcPr>
          <w:p w14:paraId="038481A7" w14:textId="77777777" w:rsidR="000D5E52" w:rsidRPr="005464FA" w:rsidRDefault="000D5E52" w:rsidP="00562B10">
            <w:pPr>
              <w:pStyle w:val="TableText0"/>
              <w:keepNext w:val="0"/>
            </w:pPr>
            <w:r w:rsidRPr="005464FA">
              <w:t>20.5%</w:t>
            </w:r>
          </w:p>
        </w:tc>
        <w:tc>
          <w:tcPr>
            <w:tcW w:w="1311" w:type="pct"/>
            <w:vAlign w:val="center"/>
          </w:tcPr>
          <w:p w14:paraId="0D6E8EE8" w14:textId="0204E601" w:rsidR="000D5E52" w:rsidRPr="005464FA" w:rsidRDefault="000D5E52" w:rsidP="00562B10">
            <w:pPr>
              <w:pStyle w:val="TableText0"/>
            </w:pPr>
            <w:r w:rsidRPr="005464FA">
              <w:t xml:space="preserve">Midpoint of North Carolina mBC registry (File 2022) and PRAEGNANT (Muller 2022), a German prospective breast cancer registry to assess treatment patterns and quality of life and to identify patients who may be eligible for clinical trials or specific targeted treatments. </w:t>
            </w:r>
          </w:p>
        </w:tc>
        <w:tc>
          <w:tcPr>
            <w:tcW w:w="1962" w:type="pct"/>
            <w:vAlign w:val="center"/>
          </w:tcPr>
          <w:p w14:paraId="656D0656" w14:textId="0E3A2F17" w:rsidR="000D5E52" w:rsidRPr="005464FA" w:rsidRDefault="000D5E52" w:rsidP="005F522F">
            <w:pPr>
              <w:pStyle w:val="TableText0"/>
              <w:keepNext w:val="0"/>
              <w:keepLines/>
            </w:pPr>
            <w:r w:rsidRPr="005464FA">
              <w:t xml:space="preserve">It was unclear to what extent these estimates would be applicable to the Australian setting. In the </w:t>
            </w:r>
            <w:r w:rsidR="00A84C5A" w:rsidRPr="005464FA">
              <w:t>s</w:t>
            </w:r>
            <w:r w:rsidRPr="005464FA">
              <w:t xml:space="preserve">acituzumab </w:t>
            </w:r>
            <w:r w:rsidR="001218FD" w:rsidRPr="005464FA">
              <w:t>govitecan</w:t>
            </w:r>
            <w:r w:rsidRPr="005464FA">
              <w:t xml:space="preserve"> November 2021 PSD</w:t>
            </w:r>
            <w:r w:rsidR="00D76ABA" w:rsidRPr="005464FA">
              <w:t xml:space="preserve"> </w:t>
            </w:r>
            <w:r w:rsidR="00F41ECA" w:rsidRPr="005464FA">
              <w:t>(Table 15</w:t>
            </w:r>
            <w:r w:rsidRPr="005464FA">
              <w:t>), 34.8% of TNBC patients were assumed to be diagnosed with unresectable locally advanced or de novo metastatic TNBC</w:t>
            </w:r>
            <w:r w:rsidR="00C62DF4" w:rsidRPr="005464FA">
              <w:t xml:space="preserve">. In the KN-355 trial, which was considered by the PBAC </w:t>
            </w:r>
            <w:r w:rsidR="00EE3AF2" w:rsidRPr="005464FA">
              <w:t xml:space="preserve">at the March 2023 PBAC meeting, there was 30% de novo </w:t>
            </w:r>
            <w:r w:rsidR="00B42D39" w:rsidRPr="005464FA">
              <w:t xml:space="preserve">metastatic </w:t>
            </w:r>
            <w:r w:rsidR="00EE3AF2" w:rsidRPr="005464FA">
              <w:t>TNBC patients. (paragraph 6.6, pembrolizumab PSD, March 2023</w:t>
            </w:r>
            <w:r w:rsidR="00A53469" w:rsidRPr="005464FA">
              <w:t xml:space="preserve"> PBAC meeting).</w:t>
            </w:r>
          </w:p>
        </w:tc>
      </w:tr>
      <w:tr w:rsidR="000D5E52" w:rsidRPr="005464FA" w14:paraId="2C710C51" w14:textId="77777777" w:rsidTr="00E360F4">
        <w:tc>
          <w:tcPr>
            <w:tcW w:w="5000" w:type="pct"/>
            <w:gridSpan w:val="4"/>
            <w:vAlign w:val="center"/>
          </w:tcPr>
          <w:p w14:paraId="641FA104" w14:textId="77777777" w:rsidR="000D5E52" w:rsidRPr="005464FA" w:rsidRDefault="000D5E52" w:rsidP="00562B10">
            <w:pPr>
              <w:pStyle w:val="TableText0"/>
              <w:keepNext w:val="0"/>
              <w:rPr>
                <w:b/>
              </w:rPr>
            </w:pPr>
            <w:r w:rsidRPr="005464FA">
              <w:rPr>
                <w:b/>
              </w:rPr>
              <w:t>Treatment utilisation</w:t>
            </w:r>
          </w:p>
        </w:tc>
      </w:tr>
      <w:tr w:rsidR="000D5E52" w:rsidRPr="005464FA" w14:paraId="15C13D73" w14:textId="77777777" w:rsidTr="00827A3C">
        <w:tc>
          <w:tcPr>
            <w:tcW w:w="1027" w:type="pct"/>
            <w:vAlign w:val="center"/>
          </w:tcPr>
          <w:p w14:paraId="07F24E8E" w14:textId="758E9F9B" w:rsidR="000D5E52" w:rsidRPr="005464FA" w:rsidRDefault="000D5E52" w:rsidP="00562B10">
            <w:pPr>
              <w:pStyle w:val="TableText0"/>
              <w:keepNext w:val="0"/>
            </w:pPr>
            <w:r w:rsidRPr="005464FA">
              <w:t xml:space="preserve">Average duration of </w:t>
            </w:r>
            <w:r w:rsidR="00A84C5A" w:rsidRPr="005464FA">
              <w:t>o</w:t>
            </w:r>
            <w:r w:rsidRPr="005464FA">
              <w:t>laparib treatment</w:t>
            </w:r>
          </w:p>
        </w:tc>
        <w:tc>
          <w:tcPr>
            <w:tcW w:w="700" w:type="pct"/>
            <w:vAlign w:val="center"/>
          </w:tcPr>
          <w:p w14:paraId="182BE248" w14:textId="7B8DF3EB" w:rsidR="00827A3C" w:rsidRPr="005464FA" w:rsidRDefault="00827A3C" w:rsidP="00562B10">
            <w:pPr>
              <w:pStyle w:val="TableText0"/>
              <w:keepNext w:val="0"/>
            </w:pPr>
            <w:r w:rsidRPr="005464FA">
              <w:t xml:space="preserve">13 months (de novo), </w:t>
            </w:r>
          </w:p>
          <w:p w14:paraId="75BC49DE" w14:textId="283519CF" w:rsidR="000D5E52" w:rsidRPr="005464FA" w:rsidRDefault="00827A3C" w:rsidP="00562B10">
            <w:pPr>
              <w:pStyle w:val="TableText0"/>
              <w:keepNext w:val="0"/>
            </w:pPr>
            <w:r w:rsidRPr="005464FA">
              <w:t>12 months (recurrent)</w:t>
            </w:r>
          </w:p>
        </w:tc>
        <w:tc>
          <w:tcPr>
            <w:tcW w:w="1311" w:type="pct"/>
            <w:vAlign w:val="center"/>
          </w:tcPr>
          <w:p w14:paraId="536AB0E6" w14:textId="446F3997" w:rsidR="000D5E52" w:rsidRPr="005464FA" w:rsidRDefault="000D5E52" w:rsidP="00562B10">
            <w:pPr>
              <w:pStyle w:val="TableText0"/>
              <w:keepNext w:val="0"/>
            </w:pPr>
            <w:r w:rsidRPr="005464FA">
              <w:t>Submission economic evaluation</w:t>
            </w:r>
          </w:p>
        </w:tc>
        <w:tc>
          <w:tcPr>
            <w:tcW w:w="1962" w:type="pct"/>
            <w:vAlign w:val="center"/>
          </w:tcPr>
          <w:p w14:paraId="3F114CEF" w14:textId="67D58836" w:rsidR="000D5E52" w:rsidRPr="005464FA" w:rsidRDefault="000D5E52" w:rsidP="00562B10">
            <w:pPr>
              <w:pStyle w:val="TableText0"/>
              <w:keepNext w:val="0"/>
            </w:pPr>
            <w:r w:rsidRPr="005464FA">
              <w:t>This was consistent with the economic evaluation</w:t>
            </w:r>
            <w:r w:rsidR="00000946" w:rsidRPr="005464FA">
              <w:t xml:space="preserve"> for the no prior chemotherapy subgroup</w:t>
            </w:r>
            <w:r w:rsidR="00827A3C" w:rsidRPr="005464FA">
              <w:t xml:space="preserve"> (mean duration of treatment of 12.3 months)</w:t>
            </w:r>
            <w:r w:rsidRPr="005464FA">
              <w:t>.</w:t>
            </w:r>
            <w:r w:rsidR="00000946" w:rsidRPr="005464FA">
              <w:t xml:space="preserve"> </w:t>
            </w:r>
            <w:r w:rsidR="00CE1D77" w:rsidRPr="005464FA">
              <w:t>However, for the ITT population the duration of treatment is likely to be shorter (10 months in the economic model).</w:t>
            </w:r>
          </w:p>
        </w:tc>
      </w:tr>
      <w:tr w:rsidR="000D5E52" w:rsidRPr="005464FA" w14:paraId="05ABB5C4" w14:textId="77777777" w:rsidTr="00827A3C">
        <w:tc>
          <w:tcPr>
            <w:tcW w:w="1027" w:type="pct"/>
            <w:vAlign w:val="center"/>
          </w:tcPr>
          <w:p w14:paraId="4E2ECD17" w14:textId="77777777" w:rsidR="000D5E52" w:rsidRPr="005464FA" w:rsidRDefault="000D5E52" w:rsidP="00562B10">
            <w:pPr>
              <w:pStyle w:val="TableText0"/>
              <w:keepNext w:val="0"/>
            </w:pPr>
            <w:r w:rsidRPr="005464FA">
              <w:lastRenderedPageBreak/>
              <w:t xml:space="preserve">Cost of germline </w:t>
            </w:r>
            <w:r w:rsidRPr="005464FA">
              <w:rPr>
                <w:i/>
                <w:iCs/>
              </w:rPr>
              <w:t xml:space="preserve">BRCA1 </w:t>
            </w:r>
            <w:r w:rsidRPr="005464FA">
              <w:t xml:space="preserve">or </w:t>
            </w:r>
            <w:r w:rsidRPr="005464FA">
              <w:rPr>
                <w:i/>
                <w:iCs/>
              </w:rPr>
              <w:t xml:space="preserve">BRCA2 </w:t>
            </w:r>
            <w:r w:rsidRPr="005464FA">
              <w:t>mutation testing</w:t>
            </w:r>
          </w:p>
        </w:tc>
        <w:tc>
          <w:tcPr>
            <w:tcW w:w="700" w:type="pct"/>
            <w:vAlign w:val="center"/>
          </w:tcPr>
          <w:p w14:paraId="747EBF59" w14:textId="77777777" w:rsidR="000D5E52" w:rsidRPr="005464FA" w:rsidRDefault="000D5E52" w:rsidP="00562B10">
            <w:pPr>
              <w:pStyle w:val="TableText0"/>
              <w:keepNext w:val="0"/>
            </w:pPr>
            <w:r w:rsidRPr="005464FA">
              <w:t>$1,200</w:t>
            </w:r>
          </w:p>
        </w:tc>
        <w:tc>
          <w:tcPr>
            <w:tcW w:w="1311" w:type="pct"/>
            <w:vAlign w:val="center"/>
          </w:tcPr>
          <w:p w14:paraId="3D7FAAEC" w14:textId="77777777" w:rsidR="000D5E52" w:rsidRPr="005464FA" w:rsidRDefault="000D5E52" w:rsidP="00562B10">
            <w:pPr>
              <w:pStyle w:val="TableText0"/>
              <w:keepNext w:val="0"/>
            </w:pPr>
            <w:r w:rsidRPr="005464FA">
              <w:t>MBS item 73295</w:t>
            </w:r>
          </w:p>
        </w:tc>
        <w:tc>
          <w:tcPr>
            <w:tcW w:w="1962" w:type="pct"/>
            <w:vAlign w:val="center"/>
          </w:tcPr>
          <w:p w14:paraId="65CD07A8" w14:textId="77777777" w:rsidR="000D5E52" w:rsidRPr="005464FA" w:rsidRDefault="000D5E52" w:rsidP="00562B10">
            <w:pPr>
              <w:pStyle w:val="TableText0"/>
              <w:keepNext w:val="0"/>
            </w:pPr>
            <w:r w:rsidRPr="005464FA">
              <w:t>Consistent with existing MBS item</w:t>
            </w:r>
          </w:p>
        </w:tc>
      </w:tr>
    </w:tbl>
    <w:p w14:paraId="2768CBBD" w14:textId="77777777" w:rsidR="000D5E52" w:rsidRPr="005464FA" w:rsidRDefault="000D5E52" w:rsidP="000D5E52">
      <w:pPr>
        <w:pStyle w:val="FooterTableFigure"/>
      </w:pPr>
      <w:r w:rsidRPr="005464FA">
        <w:t>Source: Tables 4.1, p157 of the submission.</w:t>
      </w:r>
    </w:p>
    <w:p w14:paraId="7A5CD997" w14:textId="53EE69FB" w:rsidR="000D5E52" w:rsidRPr="005464FA" w:rsidRDefault="000D5E52" w:rsidP="000D5E52">
      <w:pPr>
        <w:pStyle w:val="FooterTableFigure"/>
        <w:rPr>
          <w:sz w:val="20"/>
        </w:rPr>
      </w:pPr>
      <w:r w:rsidRPr="005464FA">
        <w:t xml:space="preserve">AIHW = Australian Institute for Health and Wellness; CDK = cyclin-dependent kinase; DPMQ = dispensed price per maximum quantity; DUSC = Drug utilisation </w:t>
      </w:r>
      <w:r w:rsidR="00F27CBA" w:rsidRPr="005464FA">
        <w:t>S</w:t>
      </w:r>
      <w:r w:rsidRPr="005464FA">
        <w:t xml:space="preserve">ub </w:t>
      </w:r>
      <w:r w:rsidR="00F27CBA" w:rsidRPr="005464FA">
        <w:t>C</w:t>
      </w:r>
      <w:r w:rsidRPr="005464FA">
        <w:t>ommittee; eBC = early breast cancer; HER2 = Human epidermal growth factor receptor; HR + = hormone receptor positive; mBC = metastatic breast cancer; MBS = Medicare benefits schedule; PBS = Pharmaceutical Benefits Scheme; PSD = Public Summary Document; TNBC = triple negative breast cancer;</w:t>
      </w:r>
    </w:p>
    <w:p w14:paraId="00F63E94" w14:textId="56075FB2" w:rsidR="00B26ED8" w:rsidRPr="005464FA" w:rsidRDefault="00A52221" w:rsidP="003A0777">
      <w:pPr>
        <w:pStyle w:val="3-BodyText"/>
        <w:rPr>
          <w:color w:val="3366FF"/>
        </w:rPr>
      </w:pPr>
      <w:r w:rsidRPr="005464FA">
        <w:rPr>
          <w:color w:val="000000" w:themeColor="text1"/>
        </w:rPr>
        <w:fldChar w:fldCharType="begin" w:fldLock="1"/>
      </w:r>
      <w:r w:rsidRPr="005464FA">
        <w:rPr>
          <w:color w:val="000000" w:themeColor="text1"/>
        </w:rPr>
        <w:instrText xml:space="preserve"> REF _Ref165479405 \h </w:instrText>
      </w:r>
      <w:r w:rsidRPr="005464FA">
        <w:rPr>
          <w:color w:val="000000" w:themeColor="text1"/>
        </w:rPr>
      </w:r>
      <w:r w:rsidRPr="005464FA">
        <w:rPr>
          <w:color w:val="000000" w:themeColor="text1"/>
        </w:rPr>
        <w:fldChar w:fldCharType="separate"/>
      </w:r>
      <w:r w:rsidR="00122E11" w:rsidRPr="005464FA">
        <w:t>Table 17</w:t>
      </w:r>
      <w:r w:rsidRPr="005464FA">
        <w:rPr>
          <w:color w:val="000000" w:themeColor="text1"/>
        </w:rPr>
        <w:fldChar w:fldCharType="end"/>
      </w:r>
      <w:r w:rsidRPr="005464FA">
        <w:rPr>
          <w:color w:val="000000" w:themeColor="text1"/>
        </w:rPr>
        <w:t xml:space="preserve"> </w:t>
      </w:r>
      <w:r w:rsidR="00716FEE" w:rsidRPr="005464FA">
        <w:rPr>
          <w:color w:val="000000" w:themeColor="text1"/>
        </w:rPr>
        <w:t xml:space="preserve">presents the </w:t>
      </w:r>
      <w:r w:rsidRPr="005464FA">
        <w:rPr>
          <w:color w:val="000000" w:themeColor="text1"/>
        </w:rPr>
        <w:t>estimated number of patients eligible for olaparib</w:t>
      </w:r>
      <w:r w:rsidR="005E7B3E" w:rsidRPr="005464FA">
        <w:rPr>
          <w:color w:val="000000" w:themeColor="text1"/>
        </w:rPr>
        <w:t xml:space="preserve">, which ranged from </w:t>
      </w:r>
      <w:r w:rsidR="0021163D">
        <w:rPr>
          <w:color w:val="000000" w:themeColor="text1"/>
        </w:rPr>
        <w:t>&lt; 500</w:t>
      </w:r>
      <w:r w:rsidR="0021163D" w:rsidRPr="005464FA">
        <w:rPr>
          <w:color w:val="000000" w:themeColor="text1"/>
        </w:rPr>
        <w:t xml:space="preserve"> </w:t>
      </w:r>
      <w:r w:rsidR="005E7B3E" w:rsidRPr="005464FA">
        <w:rPr>
          <w:color w:val="000000" w:themeColor="text1"/>
        </w:rPr>
        <w:t xml:space="preserve">in Year 1 to </w:t>
      </w:r>
      <w:r w:rsidR="0021163D">
        <w:rPr>
          <w:color w:val="000000" w:themeColor="text1"/>
        </w:rPr>
        <w:t>&lt; 500</w:t>
      </w:r>
      <w:r w:rsidR="0021163D" w:rsidRPr="005464FA">
        <w:rPr>
          <w:color w:val="000000" w:themeColor="text1"/>
        </w:rPr>
        <w:t xml:space="preserve"> </w:t>
      </w:r>
      <w:r w:rsidR="005E7B3E" w:rsidRPr="005464FA">
        <w:rPr>
          <w:color w:val="000000" w:themeColor="text1"/>
        </w:rPr>
        <w:t xml:space="preserve">in Year 6. The submission assumed that 100% of </w:t>
      </w:r>
      <w:r w:rsidR="007422D8" w:rsidRPr="005464FA">
        <w:rPr>
          <w:color w:val="000000" w:themeColor="text1"/>
        </w:rPr>
        <w:t xml:space="preserve">eligible </w:t>
      </w:r>
      <w:r w:rsidR="005E7B3E" w:rsidRPr="005464FA">
        <w:rPr>
          <w:color w:val="000000" w:themeColor="text1"/>
        </w:rPr>
        <w:t xml:space="preserve">patients would receive treatment with olaparib. </w:t>
      </w:r>
    </w:p>
    <w:p w14:paraId="1E19466A" w14:textId="75D2342A" w:rsidR="0023360D" w:rsidRPr="005464FA" w:rsidRDefault="0023360D" w:rsidP="0023360D">
      <w:pPr>
        <w:pStyle w:val="Caption"/>
      </w:pPr>
      <w:bookmarkStart w:id="95" w:name="_Ref165479405"/>
      <w:bookmarkStart w:id="96" w:name="_Hlk165630502"/>
      <w:r w:rsidRPr="005464FA">
        <w:lastRenderedPageBreak/>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17</w:t>
      </w:r>
      <w:r w:rsidR="00935AC4" w:rsidRPr="005464FA">
        <w:fldChar w:fldCharType="end"/>
      </w:r>
      <w:bookmarkEnd w:id="95"/>
      <w:r w:rsidRPr="005464FA">
        <w:t>:</w:t>
      </w:r>
      <w:r w:rsidRPr="005464FA">
        <w:rPr>
          <w:rStyle w:val="CommentReference"/>
          <w:b/>
          <w:szCs w:val="24"/>
        </w:rPr>
        <w:t xml:space="preserve"> Estimated number of </w:t>
      </w:r>
      <w:r w:rsidRPr="005464FA">
        <w:t>TNBC and HR+ HER2-negative patients eligible for olaparib</w:t>
      </w:r>
    </w:p>
    <w:tbl>
      <w:tblPr>
        <w:tblStyle w:val="TableGrid"/>
        <w:tblW w:w="8925" w:type="dxa"/>
        <w:tblLook w:val="04A0" w:firstRow="1" w:lastRow="0" w:firstColumn="1" w:lastColumn="0" w:noHBand="0" w:noVBand="1"/>
        <w:tblCaption w:val="Table 17: Estimated number of TNBC and HR+ HER2-negative patients eligible for olaparib"/>
      </w:tblPr>
      <w:tblGrid>
        <w:gridCol w:w="3397"/>
        <w:gridCol w:w="851"/>
        <w:gridCol w:w="992"/>
        <w:gridCol w:w="992"/>
        <w:gridCol w:w="851"/>
        <w:gridCol w:w="992"/>
        <w:gridCol w:w="850"/>
      </w:tblGrid>
      <w:tr w:rsidR="00C43087" w:rsidRPr="005464FA" w14:paraId="5388DB16" w14:textId="77777777" w:rsidTr="009164BC">
        <w:tc>
          <w:tcPr>
            <w:tcW w:w="3397" w:type="dxa"/>
          </w:tcPr>
          <w:p w14:paraId="4AAF215B" w14:textId="77777777" w:rsidR="0023360D" w:rsidRPr="005464FA" w:rsidRDefault="0023360D" w:rsidP="003A0777">
            <w:pPr>
              <w:pStyle w:val="TableText0"/>
              <w:rPr>
                <w:b/>
              </w:rPr>
            </w:pPr>
          </w:p>
        </w:tc>
        <w:tc>
          <w:tcPr>
            <w:tcW w:w="851" w:type="dxa"/>
            <w:vAlign w:val="center"/>
          </w:tcPr>
          <w:p w14:paraId="3B9F7986" w14:textId="77777777" w:rsidR="0023360D" w:rsidRPr="005464FA" w:rsidRDefault="0023360D" w:rsidP="003A0777">
            <w:pPr>
              <w:pStyle w:val="TableText0"/>
              <w:jc w:val="center"/>
              <w:rPr>
                <w:b/>
              </w:rPr>
            </w:pPr>
            <w:r w:rsidRPr="005464FA">
              <w:rPr>
                <w:b/>
              </w:rPr>
              <w:t>2025</w:t>
            </w:r>
          </w:p>
        </w:tc>
        <w:tc>
          <w:tcPr>
            <w:tcW w:w="992" w:type="dxa"/>
            <w:vAlign w:val="center"/>
          </w:tcPr>
          <w:p w14:paraId="7005DEDF" w14:textId="77777777" w:rsidR="0023360D" w:rsidRPr="005464FA" w:rsidRDefault="0023360D" w:rsidP="003A0777">
            <w:pPr>
              <w:pStyle w:val="TableText0"/>
              <w:jc w:val="center"/>
              <w:rPr>
                <w:b/>
              </w:rPr>
            </w:pPr>
            <w:r w:rsidRPr="005464FA">
              <w:rPr>
                <w:b/>
              </w:rPr>
              <w:t>2026</w:t>
            </w:r>
          </w:p>
        </w:tc>
        <w:tc>
          <w:tcPr>
            <w:tcW w:w="992" w:type="dxa"/>
            <w:vAlign w:val="center"/>
          </w:tcPr>
          <w:p w14:paraId="2C43FF02" w14:textId="77777777" w:rsidR="0023360D" w:rsidRPr="005464FA" w:rsidRDefault="0023360D" w:rsidP="003A0777">
            <w:pPr>
              <w:pStyle w:val="TableText0"/>
              <w:jc w:val="center"/>
              <w:rPr>
                <w:b/>
              </w:rPr>
            </w:pPr>
            <w:r w:rsidRPr="005464FA">
              <w:rPr>
                <w:b/>
              </w:rPr>
              <w:t>2027</w:t>
            </w:r>
          </w:p>
        </w:tc>
        <w:tc>
          <w:tcPr>
            <w:tcW w:w="851" w:type="dxa"/>
            <w:vAlign w:val="center"/>
          </w:tcPr>
          <w:p w14:paraId="479ABC14" w14:textId="77777777" w:rsidR="0023360D" w:rsidRPr="005464FA" w:rsidRDefault="0023360D" w:rsidP="003A0777">
            <w:pPr>
              <w:pStyle w:val="TableText0"/>
              <w:jc w:val="center"/>
              <w:rPr>
                <w:b/>
              </w:rPr>
            </w:pPr>
            <w:r w:rsidRPr="005464FA">
              <w:rPr>
                <w:b/>
              </w:rPr>
              <w:t>2028</w:t>
            </w:r>
          </w:p>
        </w:tc>
        <w:tc>
          <w:tcPr>
            <w:tcW w:w="992" w:type="dxa"/>
            <w:vAlign w:val="center"/>
          </w:tcPr>
          <w:p w14:paraId="162E28A1" w14:textId="77777777" w:rsidR="0023360D" w:rsidRPr="005464FA" w:rsidRDefault="0023360D" w:rsidP="003A0777">
            <w:pPr>
              <w:pStyle w:val="TableText0"/>
              <w:jc w:val="center"/>
              <w:rPr>
                <w:b/>
              </w:rPr>
            </w:pPr>
            <w:r w:rsidRPr="005464FA">
              <w:rPr>
                <w:b/>
              </w:rPr>
              <w:t>2029</w:t>
            </w:r>
          </w:p>
        </w:tc>
        <w:tc>
          <w:tcPr>
            <w:tcW w:w="850" w:type="dxa"/>
            <w:vAlign w:val="center"/>
          </w:tcPr>
          <w:p w14:paraId="03D96868" w14:textId="77777777" w:rsidR="0023360D" w:rsidRPr="005464FA" w:rsidRDefault="0023360D" w:rsidP="003A0777">
            <w:pPr>
              <w:pStyle w:val="TableText0"/>
              <w:jc w:val="center"/>
              <w:rPr>
                <w:b/>
              </w:rPr>
            </w:pPr>
            <w:r w:rsidRPr="005464FA">
              <w:rPr>
                <w:b/>
              </w:rPr>
              <w:t>2030</w:t>
            </w:r>
          </w:p>
        </w:tc>
      </w:tr>
      <w:tr w:rsidR="0023360D" w:rsidRPr="005464FA" w14:paraId="3D560116" w14:textId="77777777" w:rsidTr="00C43087">
        <w:tc>
          <w:tcPr>
            <w:tcW w:w="8925" w:type="dxa"/>
            <w:gridSpan w:val="7"/>
            <w:shd w:val="clear" w:color="auto" w:fill="BFBFBF" w:themeFill="background1" w:themeFillShade="BF"/>
          </w:tcPr>
          <w:p w14:paraId="4654C6A8" w14:textId="77777777" w:rsidR="0023360D" w:rsidRPr="005464FA" w:rsidRDefault="0023360D" w:rsidP="003A0777">
            <w:pPr>
              <w:pStyle w:val="TableText0"/>
              <w:rPr>
                <w:b/>
              </w:rPr>
            </w:pPr>
            <w:r w:rsidRPr="005464FA">
              <w:rPr>
                <w:b/>
              </w:rPr>
              <w:t>TNBC patients</w:t>
            </w:r>
          </w:p>
        </w:tc>
      </w:tr>
      <w:tr w:rsidR="00C43087" w:rsidRPr="005464FA" w14:paraId="22F2BFB1" w14:textId="77777777" w:rsidTr="009164BC">
        <w:tc>
          <w:tcPr>
            <w:tcW w:w="3397" w:type="dxa"/>
          </w:tcPr>
          <w:p w14:paraId="27746B9B" w14:textId="77777777" w:rsidR="0023360D" w:rsidRPr="005464FA" w:rsidRDefault="0023360D" w:rsidP="003A0777">
            <w:pPr>
              <w:pStyle w:val="TableText0"/>
            </w:pPr>
            <w:r w:rsidRPr="005464FA">
              <w:t>Incident population</w:t>
            </w:r>
          </w:p>
        </w:tc>
        <w:tc>
          <w:tcPr>
            <w:tcW w:w="851" w:type="dxa"/>
            <w:vAlign w:val="center"/>
          </w:tcPr>
          <w:p w14:paraId="3850DF24" w14:textId="13CB369C" w:rsidR="0023360D" w:rsidRPr="005F522F" w:rsidRDefault="005F522F" w:rsidP="003A0777">
            <w:pPr>
              <w:pStyle w:val="TableText0"/>
              <w:jc w:val="center"/>
              <w:rPr>
                <w:highlight w:val="darkGray"/>
                <w:vertAlign w:val="superscript"/>
              </w:rPr>
            </w:pPr>
            <w:r w:rsidRPr="005F522F">
              <w:rPr>
                <w:color w:val="000000"/>
                <w:spacing w:val="41"/>
                <w:shd w:val="solid" w:color="000000" w:fill="000000"/>
                <w:fitText w:val="210" w:id="-893196794"/>
                <w14:textFill>
                  <w14:solidFill>
                    <w14:srgbClr w14:val="000000">
                      <w14:alpha w14:val="100000"/>
                    </w14:srgbClr>
                  </w14:solidFill>
                </w14:textFill>
              </w:rPr>
              <w:t>||</w:t>
            </w:r>
            <w:r w:rsidRPr="005F522F">
              <w:rPr>
                <w:color w:val="000000"/>
                <w:spacing w:val="1"/>
                <w:shd w:val="solid" w:color="000000" w:fill="000000"/>
                <w:fitText w:val="210" w:id="-893196794"/>
                <w14:textFill>
                  <w14:solidFill>
                    <w14:srgbClr w14:val="000000">
                      <w14:alpha w14:val="100000"/>
                    </w14:srgbClr>
                  </w14:solidFill>
                </w14:textFill>
              </w:rPr>
              <w:t>|</w:t>
            </w:r>
            <w:r w:rsidR="007563E8" w:rsidRPr="005F522F">
              <w:rPr>
                <w:vertAlign w:val="superscript"/>
              </w:rPr>
              <w:t>1</w:t>
            </w:r>
          </w:p>
        </w:tc>
        <w:tc>
          <w:tcPr>
            <w:tcW w:w="992" w:type="dxa"/>
            <w:vAlign w:val="center"/>
          </w:tcPr>
          <w:p w14:paraId="118D4D02" w14:textId="0B27D740" w:rsidR="0023360D" w:rsidRPr="005F522F" w:rsidRDefault="005F522F" w:rsidP="003A0777">
            <w:pPr>
              <w:pStyle w:val="TableText0"/>
              <w:jc w:val="center"/>
              <w:rPr>
                <w:highlight w:val="darkGray"/>
              </w:rPr>
            </w:pPr>
            <w:r w:rsidRPr="005F522F">
              <w:rPr>
                <w:color w:val="000000"/>
                <w:spacing w:val="41"/>
                <w:shd w:val="solid" w:color="000000" w:fill="000000"/>
                <w:fitText w:val="210" w:id="-893196793"/>
                <w14:textFill>
                  <w14:solidFill>
                    <w14:srgbClr w14:val="000000">
                      <w14:alpha w14:val="100000"/>
                    </w14:srgbClr>
                  </w14:solidFill>
                </w14:textFill>
              </w:rPr>
              <w:t>||</w:t>
            </w:r>
            <w:r w:rsidRPr="005F522F">
              <w:rPr>
                <w:color w:val="000000"/>
                <w:spacing w:val="1"/>
                <w:shd w:val="solid" w:color="000000" w:fill="000000"/>
                <w:fitText w:val="210" w:id="-893196793"/>
                <w14:textFill>
                  <w14:solidFill>
                    <w14:srgbClr w14:val="000000">
                      <w14:alpha w14:val="100000"/>
                    </w14:srgbClr>
                  </w14:solidFill>
                </w14:textFill>
              </w:rPr>
              <w:t>|</w:t>
            </w:r>
            <w:r w:rsidR="00345FE8" w:rsidRPr="004E7AEA">
              <w:rPr>
                <w:vertAlign w:val="superscript"/>
              </w:rPr>
              <w:t>1</w:t>
            </w:r>
          </w:p>
        </w:tc>
        <w:tc>
          <w:tcPr>
            <w:tcW w:w="992" w:type="dxa"/>
            <w:vAlign w:val="center"/>
          </w:tcPr>
          <w:p w14:paraId="74D012E6" w14:textId="3266F3AA" w:rsidR="0023360D" w:rsidRPr="005F522F" w:rsidRDefault="005F522F" w:rsidP="003A0777">
            <w:pPr>
              <w:pStyle w:val="TableText0"/>
              <w:jc w:val="center"/>
              <w:rPr>
                <w:highlight w:val="darkGray"/>
              </w:rPr>
            </w:pPr>
            <w:r w:rsidRPr="005F522F">
              <w:rPr>
                <w:color w:val="000000"/>
                <w:spacing w:val="41"/>
                <w:shd w:val="solid" w:color="000000" w:fill="000000"/>
                <w:fitText w:val="210" w:id="-893196792"/>
                <w14:textFill>
                  <w14:solidFill>
                    <w14:srgbClr w14:val="000000">
                      <w14:alpha w14:val="100000"/>
                    </w14:srgbClr>
                  </w14:solidFill>
                </w14:textFill>
              </w:rPr>
              <w:t>||</w:t>
            </w:r>
            <w:r w:rsidRPr="005F522F">
              <w:rPr>
                <w:color w:val="000000"/>
                <w:spacing w:val="1"/>
                <w:shd w:val="solid" w:color="000000" w:fill="000000"/>
                <w:fitText w:val="210" w:id="-893196792"/>
                <w14:textFill>
                  <w14:solidFill>
                    <w14:srgbClr w14:val="000000">
                      <w14:alpha w14:val="100000"/>
                    </w14:srgbClr>
                  </w14:solidFill>
                </w14:textFill>
              </w:rPr>
              <w:t>|</w:t>
            </w:r>
            <w:r w:rsidR="00345FE8" w:rsidRPr="004E7AEA">
              <w:rPr>
                <w:vertAlign w:val="superscript"/>
              </w:rPr>
              <w:t>1</w:t>
            </w:r>
          </w:p>
        </w:tc>
        <w:tc>
          <w:tcPr>
            <w:tcW w:w="851" w:type="dxa"/>
            <w:vAlign w:val="center"/>
          </w:tcPr>
          <w:p w14:paraId="6D720534" w14:textId="23499407" w:rsidR="0023360D" w:rsidRPr="005F522F" w:rsidRDefault="005F522F" w:rsidP="003A0777">
            <w:pPr>
              <w:pStyle w:val="TableText0"/>
              <w:jc w:val="center"/>
              <w:rPr>
                <w:highlight w:val="darkGray"/>
              </w:rPr>
            </w:pPr>
            <w:r w:rsidRPr="005F522F">
              <w:rPr>
                <w:color w:val="000000"/>
                <w:spacing w:val="41"/>
                <w:shd w:val="solid" w:color="000000" w:fill="000000"/>
                <w:fitText w:val="210" w:id="-893196791"/>
                <w14:textFill>
                  <w14:solidFill>
                    <w14:srgbClr w14:val="000000">
                      <w14:alpha w14:val="100000"/>
                    </w14:srgbClr>
                  </w14:solidFill>
                </w14:textFill>
              </w:rPr>
              <w:t>||</w:t>
            </w:r>
            <w:r w:rsidRPr="005F522F">
              <w:rPr>
                <w:color w:val="000000"/>
                <w:spacing w:val="1"/>
                <w:shd w:val="solid" w:color="000000" w:fill="000000"/>
                <w:fitText w:val="210" w:id="-893196791"/>
                <w14:textFill>
                  <w14:solidFill>
                    <w14:srgbClr w14:val="000000">
                      <w14:alpha w14:val="100000"/>
                    </w14:srgbClr>
                  </w14:solidFill>
                </w14:textFill>
              </w:rPr>
              <w:t>|</w:t>
            </w:r>
            <w:r w:rsidR="00345FE8" w:rsidRPr="004E7AEA">
              <w:rPr>
                <w:vertAlign w:val="superscript"/>
              </w:rPr>
              <w:t>1</w:t>
            </w:r>
          </w:p>
        </w:tc>
        <w:tc>
          <w:tcPr>
            <w:tcW w:w="992" w:type="dxa"/>
            <w:vAlign w:val="center"/>
          </w:tcPr>
          <w:p w14:paraId="4A3E7B46" w14:textId="3FD93145" w:rsidR="0023360D" w:rsidRPr="005F522F" w:rsidRDefault="005F522F" w:rsidP="003A0777">
            <w:pPr>
              <w:pStyle w:val="TableText0"/>
              <w:jc w:val="center"/>
              <w:rPr>
                <w:highlight w:val="darkGray"/>
              </w:rPr>
            </w:pPr>
            <w:r w:rsidRPr="005F522F">
              <w:rPr>
                <w:color w:val="000000"/>
                <w:spacing w:val="41"/>
                <w:shd w:val="solid" w:color="000000" w:fill="000000"/>
                <w:fitText w:val="210" w:id="-893196790"/>
                <w14:textFill>
                  <w14:solidFill>
                    <w14:srgbClr w14:val="000000">
                      <w14:alpha w14:val="100000"/>
                    </w14:srgbClr>
                  </w14:solidFill>
                </w14:textFill>
              </w:rPr>
              <w:t>||</w:t>
            </w:r>
            <w:r w:rsidRPr="005F522F">
              <w:rPr>
                <w:color w:val="000000"/>
                <w:spacing w:val="1"/>
                <w:shd w:val="solid" w:color="000000" w:fill="000000"/>
                <w:fitText w:val="210" w:id="-893196790"/>
                <w14:textFill>
                  <w14:solidFill>
                    <w14:srgbClr w14:val="000000">
                      <w14:alpha w14:val="100000"/>
                    </w14:srgbClr>
                  </w14:solidFill>
                </w14:textFill>
              </w:rPr>
              <w:t>|</w:t>
            </w:r>
            <w:r w:rsidR="00345FE8" w:rsidRPr="004E7AEA">
              <w:rPr>
                <w:vertAlign w:val="superscript"/>
              </w:rPr>
              <w:t>1</w:t>
            </w:r>
          </w:p>
        </w:tc>
        <w:tc>
          <w:tcPr>
            <w:tcW w:w="850" w:type="dxa"/>
            <w:vAlign w:val="center"/>
          </w:tcPr>
          <w:p w14:paraId="5A0C0F1C" w14:textId="609F1E77" w:rsidR="0023360D" w:rsidRPr="005F522F" w:rsidRDefault="005F522F" w:rsidP="003A0777">
            <w:pPr>
              <w:pStyle w:val="TableText0"/>
              <w:jc w:val="center"/>
              <w:rPr>
                <w:highlight w:val="darkGray"/>
              </w:rPr>
            </w:pPr>
            <w:r w:rsidRPr="005F522F">
              <w:rPr>
                <w:color w:val="000000"/>
                <w:spacing w:val="41"/>
                <w:shd w:val="solid" w:color="000000" w:fill="000000"/>
                <w:fitText w:val="210" w:id="-893196789"/>
                <w14:textFill>
                  <w14:solidFill>
                    <w14:srgbClr w14:val="000000">
                      <w14:alpha w14:val="100000"/>
                    </w14:srgbClr>
                  </w14:solidFill>
                </w14:textFill>
              </w:rPr>
              <w:t>||</w:t>
            </w:r>
            <w:r w:rsidRPr="005F522F">
              <w:rPr>
                <w:color w:val="000000"/>
                <w:spacing w:val="1"/>
                <w:shd w:val="solid" w:color="000000" w:fill="000000"/>
                <w:fitText w:val="210" w:id="-893196789"/>
                <w14:textFill>
                  <w14:solidFill>
                    <w14:srgbClr w14:val="000000">
                      <w14:alpha w14:val="100000"/>
                    </w14:srgbClr>
                  </w14:solidFill>
                </w14:textFill>
              </w:rPr>
              <w:t>|</w:t>
            </w:r>
            <w:r w:rsidR="00345FE8" w:rsidRPr="004E7AEA">
              <w:rPr>
                <w:vertAlign w:val="superscript"/>
              </w:rPr>
              <w:t>1</w:t>
            </w:r>
          </w:p>
        </w:tc>
      </w:tr>
      <w:tr w:rsidR="00C43087" w:rsidRPr="005464FA" w14:paraId="3C2963F4" w14:textId="77777777" w:rsidTr="009164BC">
        <w:tc>
          <w:tcPr>
            <w:tcW w:w="3397" w:type="dxa"/>
          </w:tcPr>
          <w:p w14:paraId="44D63926" w14:textId="77777777" w:rsidR="0023360D" w:rsidRPr="005464FA" w:rsidRDefault="0023360D" w:rsidP="003A0777">
            <w:pPr>
              <w:pStyle w:val="TableText0"/>
            </w:pPr>
            <w:r w:rsidRPr="005464FA">
              <w:t>Triple negative patients (15%)</w:t>
            </w:r>
          </w:p>
        </w:tc>
        <w:tc>
          <w:tcPr>
            <w:tcW w:w="851" w:type="dxa"/>
            <w:vAlign w:val="center"/>
          </w:tcPr>
          <w:p w14:paraId="695B3ADF" w14:textId="2A9E281A" w:rsidR="0023360D" w:rsidRPr="005F522F" w:rsidRDefault="005F522F" w:rsidP="003A0777">
            <w:pPr>
              <w:pStyle w:val="TableText0"/>
              <w:jc w:val="center"/>
              <w:rPr>
                <w:highlight w:val="darkGray"/>
              </w:rPr>
            </w:pPr>
            <w:r w:rsidRPr="005F522F">
              <w:rPr>
                <w:color w:val="000000"/>
                <w:spacing w:val="41"/>
                <w:shd w:val="solid" w:color="000000" w:fill="000000"/>
                <w:fitText w:val="210" w:id="-893196788"/>
                <w14:textFill>
                  <w14:solidFill>
                    <w14:srgbClr w14:val="000000">
                      <w14:alpha w14:val="100000"/>
                    </w14:srgbClr>
                  </w14:solidFill>
                </w14:textFill>
              </w:rPr>
              <w:t>||</w:t>
            </w:r>
            <w:r w:rsidRPr="005F522F">
              <w:rPr>
                <w:color w:val="000000"/>
                <w:spacing w:val="1"/>
                <w:shd w:val="solid" w:color="000000" w:fill="000000"/>
                <w:fitText w:val="210" w:id="-893196788"/>
                <w14:textFill>
                  <w14:solidFill>
                    <w14:srgbClr w14:val="000000">
                      <w14:alpha w14:val="100000"/>
                    </w14:srgbClr>
                  </w14:solidFill>
                </w14:textFill>
              </w:rPr>
              <w:t>|</w:t>
            </w:r>
            <w:r w:rsidR="00345FE8">
              <w:rPr>
                <w:vertAlign w:val="superscript"/>
              </w:rPr>
              <w:t>2</w:t>
            </w:r>
          </w:p>
        </w:tc>
        <w:tc>
          <w:tcPr>
            <w:tcW w:w="992" w:type="dxa"/>
            <w:vAlign w:val="center"/>
          </w:tcPr>
          <w:p w14:paraId="6BEE7592" w14:textId="6A2F91C7" w:rsidR="0023360D" w:rsidRPr="005F522F" w:rsidRDefault="005F522F" w:rsidP="003A0777">
            <w:pPr>
              <w:pStyle w:val="TableText0"/>
              <w:jc w:val="center"/>
              <w:rPr>
                <w:highlight w:val="darkGray"/>
              </w:rPr>
            </w:pPr>
            <w:r w:rsidRPr="005F522F">
              <w:rPr>
                <w:color w:val="000000"/>
                <w:spacing w:val="41"/>
                <w:shd w:val="solid" w:color="000000" w:fill="000000"/>
                <w:fitText w:val="210" w:id="-893196787"/>
                <w14:textFill>
                  <w14:solidFill>
                    <w14:srgbClr w14:val="000000">
                      <w14:alpha w14:val="100000"/>
                    </w14:srgbClr>
                  </w14:solidFill>
                </w14:textFill>
              </w:rPr>
              <w:t>||</w:t>
            </w:r>
            <w:r w:rsidRPr="005F522F">
              <w:rPr>
                <w:color w:val="000000"/>
                <w:spacing w:val="1"/>
                <w:shd w:val="solid" w:color="000000" w:fill="000000"/>
                <w:fitText w:val="210" w:id="-893196787"/>
                <w14:textFill>
                  <w14:solidFill>
                    <w14:srgbClr w14:val="000000">
                      <w14:alpha w14:val="100000"/>
                    </w14:srgbClr>
                  </w14:solidFill>
                </w14:textFill>
              </w:rPr>
              <w:t>|</w:t>
            </w:r>
            <w:r w:rsidR="00345FE8">
              <w:rPr>
                <w:vertAlign w:val="superscript"/>
              </w:rPr>
              <w:t>2</w:t>
            </w:r>
          </w:p>
        </w:tc>
        <w:tc>
          <w:tcPr>
            <w:tcW w:w="992" w:type="dxa"/>
            <w:vAlign w:val="center"/>
          </w:tcPr>
          <w:p w14:paraId="362145D8" w14:textId="3F92A299" w:rsidR="0023360D" w:rsidRPr="005F522F" w:rsidRDefault="005F522F" w:rsidP="003A0777">
            <w:pPr>
              <w:pStyle w:val="TableText0"/>
              <w:jc w:val="center"/>
              <w:rPr>
                <w:highlight w:val="darkGray"/>
              </w:rPr>
            </w:pPr>
            <w:r w:rsidRPr="005F522F">
              <w:rPr>
                <w:color w:val="000000"/>
                <w:spacing w:val="41"/>
                <w:shd w:val="solid" w:color="000000" w:fill="000000"/>
                <w:fitText w:val="210" w:id="-893196786"/>
                <w14:textFill>
                  <w14:solidFill>
                    <w14:srgbClr w14:val="000000">
                      <w14:alpha w14:val="100000"/>
                    </w14:srgbClr>
                  </w14:solidFill>
                </w14:textFill>
              </w:rPr>
              <w:t>||</w:t>
            </w:r>
            <w:r w:rsidRPr="005F522F">
              <w:rPr>
                <w:color w:val="000000"/>
                <w:spacing w:val="1"/>
                <w:shd w:val="solid" w:color="000000" w:fill="000000"/>
                <w:fitText w:val="210" w:id="-893196786"/>
                <w14:textFill>
                  <w14:solidFill>
                    <w14:srgbClr w14:val="000000">
                      <w14:alpha w14:val="100000"/>
                    </w14:srgbClr>
                  </w14:solidFill>
                </w14:textFill>
              </w:rPr>
              <w:t>|</w:t>
            </w:r>
            <w:r w:rsidR="00345FE8">
              <w:rPr>
                <w:vertAlign w:val="superscript"/>
              </w:rPr>
              <w:t>2</w:t>
            </w:r>
          </w:p>
        </w:tc>
        <w:tc>
          <w:tcPr>
            <w:tcW w:w="851" w:type="dxa"/>
            <w:vAlign w:val="center"/>
          </w:tcPr>
          <w:p w14:paraId="35814736" w14:textId="784682D5" w:rsidR="0023360D" w:rsidRPr="005F522F" w:rsidRDefault="005F522F" w:rsidP="003A0777">
            <w:pPr>
              <w:pStyle w:val="TableText0"/>
              <w:jc w:val="center"/>
              <w:rPr>
                <w:highlight w:val="darkGray"/>
              </w:rPr>
            </w:pPr>
            <w:r w:rsidRPr="005F522F">
              <w:rPr>
                <w:color w:val="000000"/>
                <w:spacing w:val="41"/>
                <w:shd w:val="solid" w:color="000000" w:fill="000000"/>
                <w:fitText w:val="210" w:id="-893196785"/>
                <w14:textFill>
                  <w14:solidFill>
                    <w14:srgbClr w14:val="000000">
                      <w14:alpha w14:val="100000"/>
                    </w14:srgbClr>
                  </w14:solidFill>
                </w14:textFill>
              </w:rPr>
              <w:t>||</w:t>
            </w:r>
            <w:r w:rsidRPr="005F522F">
              <w:rPr>
                <w:color w:val="000000"/>
                <w:spacing w:val="1"/>
                <w:shd w:val="solid" w:color="000000" w:fill="000000"/>
                <w:fitText w:val="210" w:id="-893196785"/>
                <w14:textFill>
                  <w14:solidFill>
                    <w14:srgbClr w14:val="000000">
                      <w14:alpha w14:val="100000"/>
                    </w14:srgbClr>
                  </w14:solidFill>
                </w14:textFill>
              </w:rPr>
              <w:t>|</w:t>
            </w:r>
            <w:r w:rsidR="00345FE8">
              <w:rPr>
                <w:vertAlign w:val="superscript"/>
              </w:rPr>
              <w:t>2</w:t>
            </w:r>
          </w:p>
        </w:tc>
        <w:tc>
          <w:tcPr>
            <w:tcW w:w="992" w:type="dxa"/>
            <w:vAlign w:val="center"/>
          </w:tcPr>
          <w:p w14:paraId="3B95B0FE" w14:textId="7BC3CC17" w:rsidR="0023360D" w:rsidRPr="005F522F" w:rsidRDefault="005F522F" w:rsidP="003A0777">
            <w:pPr>
              <w:pStyle w:val="TableText0"/>
              <w:jc w:val="center"/>
              <w:rPr>
                <w:highlight w:val="darkGray"/>
              </w:rPr>
            </w:pPr>
            <w:r w:rsidRPr="005F522F">
              <w:rPr>
                <w:color w:val="000000"/>
                <w:spacing w:val="41"/>
                <w:shd w:val="solid" w:color="000000" w:fill="000000"/>
                <w:fitText w:val="210" w:id="-893196784"/>
                <w14:textFill>
                  <w14:solidFill>
                    <w14:srgbClr w14:val="000000">
                      <w14:alpha w14:val="100000"/>
                    </w14:srgbClr>
                  </w14:solidFill>
                </w14:textFill>
              </w:rPr>
              <w:t>||</w:t>
            </w:r>
            <w:r w:rsidRPr="005F522F">
              <w:rPr>
                <w:color w:val="000000"/>
                <w:spacing w:val="1"/>
                <w:shd w:val="solid" w:color="000000" w:fill="000000"/>
                <w:fitText w:val="210" w:id="-893196784"/>
                <w14:textFill>
                  <w14:solidFill>
                    <w14:srgbClr w14:val="000000">
                      <w14:alpha w14:val="100000"/>
                    </w14:srgbClr>
                  </w14:solidFill>
                </w14:textFill>
              </w:rPr>
              <w:t>|</w:t>
            </w:r>
            <w:r w:rsidR="00345FE8">
              <w:rPr>
                <w:vertAlign w:val="superscript"/>
              </w:rPr>
              <w:t>2</w:t>
            </w:r>
          </w:p>
        </w:tc>
        <w:tc>
          <w:tcPr>
            <w:tcW w:w="850" w:type="dxa"/>
            <w:vAlign w:val="center"/>
          </w:tcPr>
          <w:p w14:paraId="78B3D9F6" w14:textId="3260772D" w:rsidR="0023360D" w:rsidRPr="005F522F" w:rsidRDefault="005F522F" w:rsidP="003A0777">
            <w:pPr>
              <w:pStyle w:val="TableText0"/>
              <w:jc w:val="center"/>
              <w:rPr>
                <w:highlight w:val="darkGray"/>
              </w:rPr>
            </w:pPr>
            <w:r w:rsidRPr="005F522F">
              <w:rPr>
                <w:color w:val="000000"/>
                <w:spacing w:val="41"/>
                <w:shd w:val="solid" w:color="000000" w:fill="000000"/>
                <w:fitText w:val="210" w:id="-893196800"/>
                <w14:textFill>
                  <w14:solidFill>
                    <w14:srgbClr w14:val="000000">
                      <w14:alpha w14:val="100000"/>
                    </w14:srgbClr>
                  </w14:solidFill>
                </w14:textFill>
              </w:rPr>
              <w:t>||</w:t>
            </w:r>
            <w:r w:rsidRPr="005F522F">
              <w:rPr>
                <w:color w:val="000000"/>
                <w:spacing w:val="1"/>
                <w:shd w:val="solid" w:color="000000" w:fill="000000"/>
                <w:fitText w:val="210" w:id="-893196800"/>
                <w14:textFill>
                  <w14:solidFill>
                    <w14:srgbClr w14:val="000000">
                      <w14:alpha w14:val="100000"/>
                    </w14:srgbClr>
                  </w14:solidFill>
                </w14:textFill>
              </w:rPr>
              <w:t>|</w:t>
            </w:r>
            <w:r w:rsidR="00345FE8">
              <w:rPr>
                <w:vertAlign w:val="superscript"/>
              </w:rPr>
              <w:t>2</w:t>
            </w:r>
          </w:p>
        </w:tc>
      </w:tr>
      <w:tr w:rsidR="00C43087" w:rsidRPr="005464FA" w14:paraId="39C9E0E2" w14:textId="77777777" w:rsidTr="009164BC">
        <w:tc>
          <w:tcPr>
            <w:tcW w:w="3397" w:type="dxa"/>
          </w:tcPr>
          <w:p w14:paraId="532862DC" w14:textId="77777777" w:rsidR="0023360D" w:rsidRPr="005464FA" w:rsidRDefault="0023360D" w:rsidP="003A0777">
            <w:pPr>
              <w:pStyle w:val="TableText0"/>
            </w:pPr>
            <w:r w:rsidRPr="005464FA">
              <w:t>Metastatic/ unresectable (54.8%)</w:t>
            </w:r>
          </w:p>
        </w:tc>
        <w:tc>
          <w:tcPr>
            <w:tcW w:w="851" w:type="dxa"/>
            <w:vAlign w:val="center"/>
          </w:tcPr>
          <w:p w14:paraId="4F6585C3" w14:textId="701DEA7E" w:rsidR="0023360D" w:rsidRPr="005F522F" w:rsidRDefault="005F522F" w:rsidP="003A0777">
            <w:pPr>
              <w:pStyle w:val="TableText0"/>
              <w:jc w:val="center"/>
              <w:rPr>
                <w:highlight w:val="darkGray"/>
              </w:rPr>
            </w:pPr>
            <w:r w:rsidRPr="005F522F">
              <w:rPr>
                <w:color w:val="000000"/>
                <w:spacing w:val="41"/>
                <w:shd w:val="solid" w:color="000000" w:fill="000000"/>
                <w:fitText w:val="210" w:id="-893196799"/>
                <w14:textFill>
                  <w14:solidFill>
                    <w14:srgbClr w14:val="000000">
                      <w14:alpha w14:val="100000"/>
                    </w14:srgbClr>
                  </w14:solidFill>
                </w14:textFill>
              </w:rPr>
              <w:t>||</w:t>
            </w:r>
            <w:r w:rsidRPr="005F522F">
              <w:rPr>
                <w:color w:val="000000"/>
                <w:spacing w:val="1"/>
                <w:shd w:val="solid" w:color="000000" w:fill="000000"/>
                <w:fitText w:val="210" w:id="-893196799"/>
                <w14:textFill>
                  <w14:solidFill>
                    <w14:srgbClr w14:val="000000">
                      <w14:alpha w14:val="100000"/>
                    </w14:srgbClr>
                  </w14:solidFill>
                </w14:textFill>
              </w:rPr>
              <w:t>|</w:t>
            </w:r>
            <w:r w:rsidR="00345FE8">
              <w:rPr>
                <w:vertAlign w:val="superscript"/>
              </w:rPr>
              <w:t>2</w:t>
            </w:r>
          </w:p>
        </w:tc>
        <w:tc>
          <w:tcPr>
            <w:tcW w:w="992" w:type="dxa"/>
            <w:vAlign w:val="center"/>
          </w:tcPr>
          <w:p w14:paraId="04C95CA4" w14:textId="0C9E30E8" w:rsidR="0023360D" w:rsidRPr="005F522F" w:rsidRDefault="005F522F" w:rsidP="003A0777">
            <w:pPr>
              <w:pStyle w:val="TableText0"/>
              <w:jc w:val="center"/>
              <w:rPr>
                <w:highlight w:val="darkGray"/>
              </w:rPr>
            </w:pPr>
            <w:r w:rsidRPr="005F522F">
              <w:rPr>
                <w:color w:val="000000"/>
                <w:spacing w:val="41"/>
                <w:shd w:val="solid" w:color="000000" w:fill="000000"/>
                <w:fitText w:val="210" w:id="-893196798"/>
                <w14:textFill>
                  <w14:solidFill>
                    <w14:srgbClr w14:val="000000">
                      <w14:alpha w14:val="100000"/>
                    </w14:srgbClr>
                  </w14:solidFill>
                </w14:textFill>
              </w:rPr>
              <w:t>||</w:t>
            </w:r>
            <w:r w:rsidRPr="005F522F">
              <w:rPr>
                <w:color w:val="000000"/>
                <w:spacing w:val="1"/>
                <w:shd w:val="solid" w:color="000000" w:fill="000000"/>
                <w:fitText w:val="210" w:id="-893196798"/>
                <w14:textFill>
                  <w14:solidFill>
                    <w14:srgbClr w14:val="000000">
                      <w14:alpha w14:val="100000"/>
                    </w14:srgbClr>
                  </w14:solidFill>
                </w14:textFill>
              </w:rPr>
              <w:t>|</w:t>
            </w:r>
            <w:r w:rsidR="00345FE8">
              <w:rPr>
                <w:vertAlign w:val="superscript"/>
              </w:rPr>
              <w:t>2</w:t>
            </w:r>
          </w:p>
        </w:tc>
        <w:tc>
          <w:tcPr>
            <w:tcW w:w="992" w:type="dxa"/>
            <w:vAlign w:val="center"/>
          </w:tcPr>
          <w:p w14:paraId="3BF3A80A" w14:textId="3686AA12" w:rsidR="0023360D" w:rsidRPr="005F522F" w:rsidRDefault="005F522F" w:rsidP="003A0777">
            <w:pPr>
              <w:pStyle w:val="TableText0"/>
              <w:jc w:val="center"/>
              <w:rPr>
                <w:highlight w:val="darkGray"/>
              </w:rPr>
            </w:pPr>
            <w:r w:rsidRPr="005F522F">
              <w:rPr>
                <w:color w:val="000000"/>
                <w:spacing w:val="41"/>
                <w:shd w:val="solid" w:color="000000" w:fill="000000"/>
                <w:fitText w:val="210" w:id="-893196797"/>
                <w14:textFill>
                  <w14:solidFill>
                    <w14:srgbClr w14:val="000000">
                      <w14:alpha w14:val="100000"/>
                    </w14:srgbClr>
                  </w14:solidFill>
                </w14:textFill>
              </w:rPr>
              <w:t>||</w:t>
            </w:r>
            <w:r w:rsidRPr="005F522F">
              <w:rPr>
                <w:color w:val="000000"/>
                <w:spacing w:val="1"/>
                <w:shd w:val="solid" w:color="000000" w:fill="000000"/>
                <w:fitText w:val="210" w:id="-893196797"/>
                <w14:textFill>
                  <w14:solidFill>
                    <w14:srgbClr w14:val="000000">
                      <w14:alpha w14:val="100000"/>
                    </w14:srgbClr>
                  </w14:solidFill>
                </w14:textFill>
              </w:rPr>
              <w:t>|</w:t>
            </w:r>
            <w:r w:rsidR="00345FE8">
              <w:rPr>
                <w:vertAlign w:val="superscript"/>
              </w:rPr>
              <w:t>2</w:t>
            </w:r>
          </w:p>
        </w:tc>
        <w:tc>
          <w:tcPr>
            <w:tcW w:w="851" w:type="dxa"/>
            <w:vAlign w:val="center"/>
          </w:tcPr>
          <w:p w14:paraId="0D8264C6" w14:textId="203EB5FE" w:rsidR="0023360D" w:rsidRPr="005F522F" w:rsidRDefault="005F522F" w:rsidP="003A0777">
            <w:pPr>
              <w:pStyle w:val="TableText0"/>
              <w:jc w:val="center"/>
              <w:rPr>
                <w:highlight w:val="darkGray"/>
              </w:rPr>
            </w:pPr>
            <w:r w:rsidRPr="005F522F">
              <w:rPr>
                <w:color w:val="000000"/>
                <w:spacing w:val="41"/>
                <w:shd w:val="solid" w:color="000000" w:fill="000000"/>
                <w:fitText w:val="210" w:id="-893196796"/>
                <w14:textFill>
                  <w14:solidFill>
                    <w14:srgbClr w14:val="000000">
                      <w14:alpha w14:val="100000"/>
                    </w14:srgbClr>
                  </w14:solidFill>
                </w14:textFill>
              </w:rPr>
              <w:t>||</w:t>
            </w:r>
            <w:r w:rsidRPr="005F522F">
              <w:rPr>
                <w:color w:val="000000"/>
                <w:spacing w:val="1"/>
                <w:shd w:val="solid" w:color="000000" w:fill="000000"/>
                <w:fitText w:val="210" w:id="-893196796"/>
                <w14:textFill>
                  <w14:solidFill>
                    <w14:srgbClr w14:val="000000">
                      <w14:alpha w14:val="100000"/>
                    </w14:srgbClr>
                  </w14:solidFill>
                </w14:textFill>
              </w:rPr>
              <w:t>|</w:t>
            </w:r>
            <w:r w:rsidR="00345FE8">
              <w:rPr>
                <w:vertAlign w:val="superscript"/>
              </w:rPr>
              <w:t>2</w:t>
            </w:r>
          </w:p>
        </w:tc>
        <w:tc>
          <w:tcPr>
            <w:tcW w:w="992" w:type="dxa"/>
            <w:vAlign w:val="center"/>
          </w:tcPr>
          <w:p w14:paraId="5E60AAF0" w14:textId="47000669" w:rsidR="0023360D" w:rsidRPr="005F522F" w:rsidRDefault="005F522F" w:rsidP="003A0777">
            <w:pPr>
              <w:pStyle w:val="TableText0"/>
              <w:jc w:val="center"/>
              <w:rPr>
                <w:highlight w:val="darkGray"/>
              </w:rPr>
            </w:pPr>
            <w:r w:rsidRPr="005F522F">
              <w:rPr>
                <w:color w:val="000000"/>
                <w:spacing w:val="41"/>
                <w:shd w:val="solid" w:color="000000" w:fill="000000"/>
                <w:fitText w:val="210" w:id="-893196795"/>
                <w14:textFill>
                  <w14:solidFill>
                    <w14:srgbClr w14:val="000000">
                      <w14:alpha w14:val="100000"/>
                    </w14:srgbClr>
                  </w14:solidFill>
                </w14:textFill>
              </w:rPr>
              <w:t>||</w:t>
            </w:r>
            <w:r w:rsidRPr="005F522F">
              <w:rPr>
                <w:color w:val="000000"/>
                <w:spacing w:val="1"/>
                <w:shd w:val="solid" w:color="000000" w:fill="000000"/>
                <w:fitText w:val="210" w:id="-893196795"/>
                <w14:textFill>
                  <w14:solidFill>
                    <w14:srgbClr w14:val="000000">
                      <w14:alpha w14:val="100000"/>
                    </w14:srgbClr>
                  </w14:solidFill>
                </w14:textFill>
              </w:rPr>
              <w:t>|</w:t>
            </w:r>
            <w:r w:rsidR="00345FE8">
              <w:rPr>
                <w:vertAlign w:val="superscript"/>
              </w:rPr>
              <w:t>2</w:t>
            </w:r>
          </w:p>
        </w:tc>
        <w:tc>
          <w:tcPr>
            <w:tcW w:w="850" w:type="dxa"/>
            <w:vAlign w:val="center"/>
          </w:tcPr>
          <w:p w14:paraId="3D8A9D11" w14:textId="0BC560E3" w:rsidR="0023360D" w:rsidRPr="005F522F" w:rsidRDefault="005F522F" w:rsidP="003A0777">
            <w:pPr>
              <w:pStyle w:val="TableText0"/>
              <w:jc w:val="center"/>
              <w:rPr>
                <w:highlight w:val="darkGray"/>
              </w:rPr>
            </w:pPr>
            <w:r w:rsidRPr="005F522F">
              <w:rPr>
                <w:color w:val="000000"/>
                <w:spacing w:val="41"/>
                <w:shd w:val="solid" w:color="000000" w:fill="000000"/>
                <w:fitText w:val="210" w:id="-893196794"/>
                <w14:textFill>
                  <w14:solidFill>
                    <w14:srgbClr w14:val="000000">
                      <w14:alpha w14:val="100000"/>
                    </w14:srgbClr>
                  </w14:solidFill>
                </w14:textFill>
              </w:rPr>
              <w:t>||</w:t>
            </w:r>
            <w:r w:rsidRPr="005F522F">
              <w:rPr>
                <w:color w:val="000000"/>
                <w:spacing w:val="1"/>
                <w:shd w:val="solid" w:color="000000" w:fill="000000"/>
                <w:fitText w:val="210" w:id="-893196794"/>
                <w14:textFill>
                  <w14:solidFill>
                    <w14:srgbClr w14:val="000000">
                      <w14:alpha w14:val="100000"/>
                    </w14:srgbClr>
                  </w14:solidFill>
                </w14:textFill>
              </w:rPr>
              <w:t>|</w:t>
            </w:r>
            <w:r w:rsidR="00345FE8">
              <w:rPr>
                <w:vertAlign w:val="superscript"/>
              </w:rPr>
              <w:t>2</w:t>
            </w:r>
          </w:p>
        </w:tc>
      </w:tr>
      <w:tr w:rsidR="00C43087" w:rsidRPr="005464FA" w14:paraId="10A55B2D" w14:textId="77777777" w:rsidTr="009164BC">
        <w:tc>
          <w:tcPr>
            <w:tcW w:w="3397" w:type="dxa"/>
          </w:tcPr>
          <w:p w14:paraId="044295B9" w14:textId="77777777" w:rsidR="0023360D" w:rsidRPr="005464FA" w:rsidRDefault="0023360D" w:rsidP="003A0777">
            <w:pPr>
              <w:pStyle w:val="TableText0"/>
              <w:ind w:left="318" w:hanging="318"/>
            </w:pPr>
            <w:r w:rsidRPr="005464FA">
              <w:t>Recurrent population (79.5%)</w:t>
            </w:r>
          </w:p>
        </w:tc>
        <w:tc>
          <w:tcPr>
            <w:tcW w:w="851" w:type="dxa"/>
            <w:vAlign w:val="center"/>
          </w:tcPr>
          <w:p w14:paraId="09768DE9" w14:textId="525476A9" w:rsidR="0023360D" w:rsidRPr="005F522F" w:rsidRDefault="005F522F" w:rsidP="003A0777">
            <w:pPr>
              <w:pStyle w:val="TableText0"/>
              <w:jc w:val="center"/>
              <w:rPr>
                <w:highlight w:val="darkGray"/>
              </w:rPr>
            </w:pPr>
            <w:r w:rsidRPr="00C82FF1">
              <w:rPr>
                <w:color w:val="000000"/>
                <w:spacing w:val="30"/>
                <w:shd w:val="solid" w:color="000000" w:fill="000000"/>
                <w:fitText w:val="210" w:id="-893196793"/>
                <w14:textFill>
                  <w14:solidFill>
                    <w14:srgbClr w14:val="000000">
                      <w14:alpha w14:val="100000"/>
                    </w14:srgbClr>
                  </w14:solidFill>
                </w14:textFill>
              </w:rPr>
              <w:t>||</w:t>
            </w:r>
            <w:r w:rsidRPr="00C82FF1">
              <w:rPr>
                <w:color w:val="000000"/>
                <w:spacing w:val="15"/>
                <w:shd w:val="solid" w:color="000000" w:fill="000000"/>
                <w:fitText w:val="210" w:id="-893196793"/>
                <w14:textFill>
                  <w14:solidFill>
                    <w14:srgbClr w14:val="000000">
                      <w14:alpha w14:val="100000"/>
                    </w14:srgbClr>
                  </w14:solidFill>
                </w14:textFill>
              </w:rPr>
              <w:t>|</w:t>
            </w:r>
            <w:r w:rsidR="00345FE8">
              <w:rPr>
                <w:vertAlign w:val="superscript"/>
              </w:rPr>
              <w:t>2</w:t>
            </w:r>
          </w:p>
        </w:tc>
        <w:tc>
          <w:tcPr>
            <w:tcW w:w="992" w:type="dxa"/>
            <w:vAlign w:val="center"/>
          </w:tcPr>
          <w:p w14:paraId="242EE3DC" w14:textId="16200827" w:rsidR="0023360D" w:rsidRPr="005F522F" w:rsidRDefault="005F522F" w:rsidP="003A0777">
            <w:pPr>
              <w:pStyle w:val="TableText0"/>
              <w:jc w:val="center"/>
              <w:rPr>
                <w:highlight w:val="darkGray"/>
              </w:rPr>
            </w:pPr>
            <w:r w:rsidRPr="005F522F">
              <w:rPr>
                <w:color w:val="000000"/>
                <w:spacing w:val="41"/>
                <w:shd w:val="solid" w:color="000000" w:fill="000000"/>
                <w:fitText w:val="210" w:id="-893196792"/>
                <w14:textFill>
                  <w14:solidFill>
                    <w14:srgbClr w14:val="000000">
                      <w14:alpha w14:val="100000"/>
                    </w14:srgbClr>
                  </w14:solidFill>
                </w14:textFill>
              </w:rPr>
              <w:t>||</w:t>
            </w:r>
            <w:r w:rsidRPr="005F522F">
              <w:rPr>
                <w:color w:val="000000"/>
                <w:spacing w:val="1"/>
                <w:shd w:val="solid" w:color="000000" w:fill="000000"/>
                <w:fitText w:val="210" w:id="-893196792"/>
                <w14:textFill>
                  <w14:solidFill>
                    <w14:srgbClr w14:val="000000">
                      <w14:alpha w14:val="100000"/>
                    </w14:srgbClr>
                  </w14:solidFill>
                </w14:textFill>
              </w:rPr>
              <w:t>|</w:t>
            </w:r>
            <w:r w:rsidR="00345FE8">
              <w:rPr>
                <w:vertAlign w:val="superscript"/>
              </w:rPr>
              <w:t>2</w:t>
            </w:r>
          </w:p>
        </w:tc>
        <w:tc>
          <w:tcPr>
            <w:tcW w:w="992" w:type="dxa"/>
            <w:vAlign w:val="center"/>
          </w:tcPr>
          <w:p w14:paraId="35E83BF3" w14:textId="292EBC09" w:rsidR="0023360D" w:rsidRPr="005F522F" w:rsidRDefault="005F522F" w:rsidP="003A0777">
            <w:pPr>
              <w:pStyle w:val="TableText0"/>
              <w:jc w:val="center"/>
              <w:rPr>
                <w:highlight w:val="darkGray"/>
              </w:rPr>
            </w:pPr>
            <w:r w:rsidRPr="005F522F">
              <w:rPr>
                <w:color w:val="000000"/>
                <w:spacing w:val="41"/>
                <w:shd w:val="solid" w:color="000000" w:fill="000000"/>
                <w:fitText w:val="210" w:id="-893196791"/>
                <w14:textFill>
                  <w14:solidFill>
                    <w14:srgbClr w14:val="000000">
                      <w14:alpha w14:val="100000"/>
                    </w14:srgbClr>
                  </w14:solidFill>
                </w14:textFill>
              </w:rPr>
              <w:t>||</w:t>
            </w:r>
            <w:r w:rsidRPr="005F522F">
              <w:rPr>
                <w:color w:val="000000"/>
                <w:spacing w:val="1"/>
                <w:shd w:val="solid" w:color="000000" w:fill="000000"/>
                <w:fitText w:val="210" w:id="-893196791"/>
                <w14:textFill>
                  <w14:solidFill>
                    <w14:srgbClr w14:val="000000">
                      <w14:alpha w14:val="100000"/>
                    </w14:srgbClr>
                  </w14:solidFill>
                </w14:textFill>
              </w:rPr>
              <w:t>|</w:t>
            </w:r>
            <w:r w:rsidR="00345FE8">
              <w:rPr>
                <w:vertAlign w:val="superscript"/>
              </w:rPr>
              <w:t>2</w:t>
            </w:r>
          </w:p>
        </w:tc>
        <w:tc>
          <w:tcPr>
            <w:tcW w:w="851" w:type="dxa"/>
            <w:vAlign w:val="center"/>
          </w:tcPr>
          <w:p w14:paraId="2950A8A1" w14:textId="05A5BAA2" w:rsidR="0023360D" w:rsidRPr="005F522F" w:rsidRDefault="005F522F" w:rsidP="003A0777">
            <w:pPr>
              <w:pStyle w:val="TableText0"/>
              <w:jc w:val="center"/>
              <w:rPr>
                <w:highlight w:val="darkGray"/>
              </w:rPr>
            </w:pPr>
            <w:r w:rsidRPr="005F522F">
              <w:rPr>
                <w:color w:val="000000"/>
                <w:spacing w:val="41"/>
                <w:shd w:val="solid" w:color="000000" w:fill="000000"/>
                <w:fitText w:val="210" w:id="-893196790"/>
                <w14:textFill>
                  <w14:solidFill>
                    <w14:srgbClr w14:val="000000">
                      <w14:alpha w14:val="100000"/>
                    </w14:srgbClr>
                  </w14:solidFill>
                </w14:textFill>
              </w:rPr>
              <w:t>||</w:t>
            </w:r>
            <w:r w:rsidRPr="005F522F">
              <w:rPr>
                <w:color w:val="000000"/>
                <w:spacing w:val="1"/>
                <w:shd w:val="solid" w:color="000000" w:fill="000000"/>
                <w:fitText w:val="210" w:id="-893196790"/>
                <w14:textFill>
                  <w14:solidFill>
                    <w14:srgbClr w14:val="000000">
                      <w14:alpha w14:val="100000"/>
                    </w14:srgbClr>
                  </w14:solidFill>
                </w14:textFill>
              </w:rPr>
              <w:t>|</w:t>
            </w:r>
            <w:r w:rsidR="00345FE8">
              <w:rPr>
                <w:vertAlign w:val="superscript"/>
              </w:rPr>
              <w:t>2</w:t>
            </w:r>
          </w:p>
        </w:tc>
        <w:tc>
          <w:tcPr>
            <w:tcW w:w="992" w:type="dxa"/>
            <w:vAlign w:val="center"/>
          </w:tcPr>
          <w:p w14:paraId="1661E9AE" w14:textId="10EBDBA6" w:rsidR="0023360D" w:rsidRPr="005F522F" w:rsidRDefault="005F522F" w:rsidP="003A0777">
            <w:pPr>
              <w:pStyle w:val="TableText0"/>
              <w:jc w:val="center"/>
              <w:rPr>
                <w:highlight w:val="darkGray"/>
              </w:rPr>
            </w:pPr>
            <w:r w:rsidRPr="005F522F">
              <w:rPr>
                <w:color w:val="000000"/>
                <w:spacing w:val="41"/>
                <w:shd w:val="solid" w:color="000000" w:fill="000000"/>
                <w:fitText w:val="210" w:id="-893196789"/>
                <w14:textFill>
                  <w14:solidFill>
                    <w14:srgbClr w14:val="000000">
                      <w14:alpha w14:val="100000"/>
                    </w14:srgbClr>
                  </w14:solidFill>
                </w14:textFill>
              </w:rPr>
              <w:t>||</w:t>
            </w:r>
            <w:r w:rsidRPr="005F522F">
              <w:rPr>
                <w:color w:val="000000"/>
                <w:spacing w:val="1"/>
                <w:shd w:val="solid" w:color="000000" w:fill="000000"/>
                <w:fitText w:val="210" w:id="-893196789"/>
                <w14:textFill>
                  <w14:solidFill>
                    <w14:srgbClr w14:val="000000">
                      <w14:alpha w14:val="100000"/>
                    </w14:srgbClr>
                  </w14:solidFill>
                </w14:textFill>
              </w:rPr>
              <w:t>|</w:t>
            </w:r>
            <w:r w:rsidR="00345FE8">
              <w:rPr>
                <w:vertAlign w:val="superscript"/>
              </w:rPr>
              <w:t>2</w:t>
            </w:r>
          </w:p>
        </w:tc>
        <w:tc>
          <w:tcPr>
            <w:tcW w:w="850" w:type="dxa"/>
            <w:vAlign w:val="center"/>
          </w:tcPr>
          <w:p w14:paraId="454E6CBC" w14:textId="14B67C30" w:rsidR="0023360D" w:rsidRPr="005F522F" w:rsidRDefault="005F522F" w:rsidP="003A0777">
            <w:pPr>
              <w:pStyle w:val="TableText0"/>
              <w:jc w:val="center"/>
              <w:rPr>
                <w:highlight w:val="darkGray"/>
              </w:rPr>
            </w:pPr>
            <w:r w:rsidRPr="005F522F">
              <w:rPr>
                <w:color w:val="000000"/>
                <w:spacing w:val="41"/>
                <w:shd w:val="solid" w:color="000000" w:fill="000000"/>
                <w:fitText w:val="210" w:id="-893196788"/>
                <w14:textFill>
                  <w14:solidFill>
                    <w14:srgbClr w14:val="000000">
                      <w14:alpha w14:val="100000"/>
                    </w14:srgbClr>
                  </w14:solidFill>
                </w14:textFill>
              </w:rPr>
              <w:t>||</w:t>
            </w:r>
            <w:r w:rsidRPr="005F522F">
              <w:rPr>
                <w:color w:val="000000"/>
                <w:spacing w:val="1"/>
                <w:shd w:val="solid" w:color="000000" w:fill="000000"/>
                <w:fitText w:val="210" w:id="-893196788"/>
                <w14:textFill>
                  <w14:solidFill>
                    <w14:srgbClr w14:val="000000">
                      <w14:alpha w14:val="100000"/>
                    </w14:srgbClr>
                  </w14:solidFill>
                </w14:textFill>
              </w:rPr>
              <w:t>|</w:t>
            </w:r>
            <w:r w:rsidR="00345FE8">
              <w:rPr>
                <w:vertAlign w:val="superscript"/>
              </w:rPr>
              <w:t>2</w:t>
            </w:r>
          </w:p>
        </w:tc>
      </w:tr>
      <w:tr w:rsidR="00C43087" w:rsidRPr="005464FA" w14:paraId="175508EA" w14:textId="77777777" w:rsidTr="009164BC">
        <w:tc>
          <w:tcPr>
            <w:tcW w:w="3397" w:type="dxa"/>
          </w:tcPr>
          <w:p w14:paraId="7611D487" w14:textId="64566C42" w:rsidR="00953E3C" w:rsidRPr="005464FA" w:rsidRDefault="00953E3C" w:rsidP="00953E3C">
            <w:pPr>
              <w:pStyle w:val="TableText0"/>
              <w:ind w:left="176"/>
            </w:pPr>
            <w:r w:rsidRPr="005464FA">
              <w:t xml:space="preserve">Proportion tested for </w:t>
            </w:r>
            <w:r w:rsidR="009F5B43" w:rsidRPr="005464FA">
              <w:rPr>
                <w:i/>
                <w:iCs/>
              </w:rPr>
              <w:t>BRCA</w:t>
            </w:r>
          </w:p>
        </w:tc>
        <w:tc>
          <w:tcPr>
            <w:tcW w:w="851" w:type="dxa"/>
          </w:tcPr>
          <w:p w14:paraId="251338F4" w14:textId="0DD77C29" w:rsidR="00953E3C" w:rsidRPr="005464FA" w:rsidRDefault="00C82FF1" w:rsidP="00953E3C">
            <w:pPr>
              <w:pStyle w:val="TableText0"/>
              <w:jc w:val="center"/>
            </w:pPr>
            <w:r w:rsidRPr="00C82FF1">
              <w:rPr>
                <w:color w:val="000000"/>
                <w:spacing w:val="30"/>
                <w:shd w:val="solid" w:color="000000" w:fill="000000"/>
                <w:fitText w:val="210" w:id="-893196793"/>
                <w14:textFill>
                  <w14:solidFill>
                    <w14:srgbClr w14:val="000000">
                      <w14:alpha w14:val="100000"/>
                    </w14:srgbClr>
                  </w14:solidFill>
                </w14:textFill>
              </w:rPr>
              <w:t>||</w:t>
            </w:r>
            <w:r w:rsidRPr="00C82FF1">
              <w:rPr>
                <w:color w:val="000000"/>
                <w:spacing w:val="15"/>
                <w:shd w:val="solid" w:color="000000" w:fill="000000"/>
                <w:fitText w:val="210" w:id="-893196793"/>
                <w14:textFill>
                  <w14:solidFill>
                    <w14:srgbClr w14:val="000000">
                      <w14:alpha w14:val="100000"/>
                    </w14:srgbClr>
                  </w14:solidFill>
                </w14:textFill>
              </w:rPr>
              <w:t>|</w:t>
            </w:r>
            <w:r w:rsidR="00953E3C" w:rsidRPr="005464FA">
              <w:t>%</w:t>
            </w:r>
          </w:p>
        </w:tc>
        <w:tc>
          <w:tcPr>
            <w:tcW w:w="992" w:type="dxa"/>
          </w:tcPr>
          <w:p w14:paraId="6D7CB07F" w14:textId="24CABC72" w:rsidR="00953E3C" w:rsidRPr="005464FA" w:rsidRDefault="00C82FF1" w:rsidP="00953E3C">
            <w:pPr>
              <w:pStyle w:val="TableText0"/>
              <w:jc w:val="center"/>
              <w:rPr>
                <w:vertAlign w:val="superscript"/>
              </w:rP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c>
          <w:tcPr>
            <w:tcW w:w="992" w:type="dxa"/>
          </w:tcPr>
          <w:p w14:paraId="638BD964" w14:textId="0E28C9E8" w:rsidR="00953E3C" w:rsidRPr="005464FA" w:rsidRDefault="00C82FF1" w:rsidP="00953E3C">
            <w:pPr>
              <w:pStyle w:val="TableText0"/>
              <w:jc w:val="cente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c>
          <w:tcPr>
            <w:tcW w:w="851" w:type="dxa"/>
          </w:tcPr>
          <w:p w14:paraId="071FC8D8" w14:textId="634244A9" w:rsidR="00953E3C" w:rsidRPr="005464FA" w:rsidRDefault="00C82FF1" w:rsidP="00953E3C">
            <w:pPr>
              <w:pStyle w:val="TableText0"/>
              <w:jc w:val="cente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c>
          <w:tcPr>
            <w:tcW w:w="992" w:type="dxa"/>
          </w:tcPr>
          <w:p w14:paraId="6968AF14" w14:textId="51166963" w:rsidR="00953E3C" w:rsidRPr="005464FA" w:rsidRDefault="00C82FF1" w:rsidP="00953E3C">
            <w:pPr>
              <w:pStyle w:val="TableText0"/>
              <w:jc w:val="center"/>
              <w:rPr>
                <w:vertAlign w:val="superscript"/>
              </w:rP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c>
          <w:tcPr>
            <w:tcW w:w="850" w:type="dxa"/>
          </w:tcPr>
          <w:p w14:paraId="70117D56" w14:textId="69355B97" w:rsidR="00953E3C" w:rsidRPr="005464FA" w:rsidRDefault="00C82FF1" w:rsidP="00953E3C">
            <w:pPr>
              <w:pStyle w:val="TableText0"/>
              <w:jc w:val="cente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r>
      <w:tr w:rsidR="00C43087" w:rsidRPr="005464FA" w14:paraId="13C55813" w14:textId="77777777" w:rsidTr="009164BC">
        <w:tc>
          <w:tcPr>
            <w:tcW w:w="3397" w:type="dxa"/>
          </w:tcPr>
          <w:p w14:paraId="72BA7FEC" w14:textId="7B844E85" w:rsidR="0023360D" w:rsidRPr="005464FA" w:rsidRDefault="0023360D" w:rsidP="003A0777">
            <w:pPr>
              <w:pStyle w:val="TableText0"/>
              <w:ind w:left="176"/>
            </w:pPr>
            <w:r w:rsidRPr="005464FA">
              <w:t xml:space="preserve">Recurrent population tested for </w:t>
            </w:r>
            <w:r w:rsidR="009F5B43" w:rsidRPr="005464FA">
              <w:rPr>
                <w:i/>
                <w:iCs/>
              </w:rPr>
              <w:t>BRCA</w:t>
            </w:r>
          </w:p>
        </w:tc>
        <w:tc>
          <w:tcPr>
            <w:tcW w:w="851" w:type="dxa"/>
            <w:vAlign w:val="center"/>
          </w:tcPr>
          <w:p w14:paraId="77CA7EC3" w14:textId="0B349A9D" w:rsidR="0023360D" w:rsidRPr="005F522F" w:rsidRDefault="005F522F" w:rsidP="003A0777">
            <w:pPr>
              <w:pStyle w:val="TableText0"/>
              <w:jc w:val="center"/>
              <w:rPr>
                <w:highlight w:val="darkGray"/>
              </w:rPr>
            </w:pPr>
            <w:r w:rsidRPr="005F522F">
              <w:rPr>
                <w:color w:val="000000"/>
                <w:spacing w:val="41"/>
                <w:shd w:val="solid" w:color="000000" w:fill="000000"/>
                <w:fitText w:val="210" w:id="-893196787"/>
                <w14:textFill>
                  <w14:solidFill>
                    <w14:srgbClr w14:val="000000">
                      <w14:alpha w14:val="100000"/>
                    </w14:srgbClr>
                  </w14:solidFill>
                </w14:textFill>
              </w:rPr>
              <w:t>||</w:t>
            </w:r>
            <w:r w:rsidRPr="005F522F">
              <w:rPr>
                <w:color w:val="000000"/>
                <w:spacing w:val="1"/>
                <w:shd w:val="solid" w:color="000000" w:fill="000000"/>
                <w:fitText w:val="210" w:id="-893196787"/>
                <w14:textFill>
                  <w14:solidFill>
                    <w14:srgbClr w14:val="000000">
                      <w14:alpha w14:val="100000"/>
                    </w14:srgbClr>
                  </w14:solidFill>
                </w14:textFill>
              </w:rPr>
              <w:t>|</w:t>
            </w:r>
            <w:r w:rsidR="00345FE8">
              <w:rPr>
                <w:vertAlign w:val="superscript"/>
              </w:rPr>
              <w:t>2</w:t>
            </w:r>
          </w:p>
        </w:tc>
        <w:tc>
          <w:tcPr>
            <w:tcW w:w="992" w:type="dxa"/>
            <w:vAlign w:val="center"/>
          </w:tcPr>
          <w:p w14:paraId="2E6DECC3" w14:textId="5870A769" w:rsidR="0023360D" w:rsidRPr="005F522F" w:rsidRDefault="005F522F" w:rsidP="003A0777">
            <w:pPr>
              <w:pStyle w:val="TableText0"/>
              <w:jc w:val="center"/>
              <w:rPr>
                <w:highlight w:val="darkGray"/>
              </w:rPr>
            </w:pPr>
            <w:r w:rsidRPr="00C82FF1">
              <w:rPr>
                <w:color w:val="000000"/>
                <w:spacing w:val="154"/>
                <w:shd w:val="solid" w:color="000000" w:fill="000000"/>
                <w:fitText w:val="240" w:id="-893196786"/>
                <w14:textFill>
                  <w14:solidFill>
                    <w14:srgbClr w14:val="000000">
                      <w14:alpha w14:val="100000"/>
                    </w14:srgbClr>
                  </w14:solidFill>
                </w14:textFill>
              </w:rPr>
              <w:t>|</w:t>
            </w:r>
            <w:r w:rsidRPr="00C82FF1">
              <w:rPr>
                <w:color w:val="000000"/>
                <w:shd w:val="solid" w:color="000000" w:fill="000000"/>
                <w:fitText w:val="240" w:id="-893196786"/>
                <w14:textFill>
                  <w14:solidFill>
                    <w14:srgbClr w14:val="000000">
                      <w14:alpha w14:val="100000"/>
                    </w14:srgbClr>
                  </w14:solidFill>
                </w14:textFill>
              </w:rPr>
              <w:t>|</w:t>
            </w:r>
            <w:r w:rsidR="0023360D" w:rsidRPr="007563E8">
              <w:rPr>
                <w:vertAlign w:val="superscript"/>
              </w:rPr>
              <w:t>b</w:t>
            </w:r>
            <w:r w:rsidR="00345FE8">
              <w:rPr>
                <w:vertAlign w:val="superscript"/>
              </w:rPr>
              <w:t>2</w:t>
            </w:r>
          </w:p>
        </w:tc>
        <w:tc>
          <w:tcPr>
            <w:tcW w:w="992" w:type="dxa"/>
            <w:vAlign w:val="center"/>
          </w:tcPr>
          <w:p w14:paraId="4A20BA4C" w14:textId="73EEFF5D" w:rsidR="0023360D" w:rsidRPr="005F522F" w:rsidRDefault="005F522F" w:rsidP="003A0777">
            <w:pPr>
              <w:pStyle w:val="TableText0"/>
              <w:jc w:val="center"/>
              <w:rPr>
                <w:highlight w:val="darkGray"/>
              </w:rPr>
            </w:pPr>
            <w:r w:rsidRPr="005F522F">
              <w:rPr>
                <w:color w:val="000000"/>
                <w:spacing w:val="41"/>
                <w:shd w:val="solid" w:color="000000" w:fill="000000"/>
                <w:fitText w:val="210" w:id="-893196785"/>
                <w14:textFill>
                  <w14:solidFill>
                    <w14:srgbClr w14:val="000000">
                      <w14:alpha w14:val="100000"/>
                    </w14:srgbClr>
                  </w14:solidFill>
                </w14:textFill>
              </w:rPr>
              <w:t>||</w:t>
            </w:r>
            <w:r w:rsidRPr="005F522F">
              <w:rPr>
                <w:color w:val="000000"/>
                <w:spacing w:val="1"/>
                <w:shd w:val="solid" w:color="000000" w:fill="000000"/>
                <w:fitText w:val="210" w:id="-893196785"/>
                <w14:textFill>
                  <w14:solidFill>
                    <w14:srgbClr w14:val="000000">
                      <w14:alpha w14:val="100000"/>
                    </w14:srgbClr>
                  </w14:solidFill>
                </w14:textFill>
              </w:rPr>
              <w:t>|</w:t>
            </w:r>
            <w:r w:rsidR="00345FE8">
              <w:rPr>
                <w:vertAlign w:val="superscript"/>
              </w:rPr>
              <w:t>2</w:t>
            </w:r>
          </w:p>
        </w:tc>
        <w:tc>
          <w:tcPr>
            <w:tcW w:w="851" w:type="dxa"/>
            <w:vAlign w:val="center"/>
          </w:tcPr>
          <w:p w14:paraId="6497DE0F" w14:textId="3304BEDA" w:rsidR="0023360D" w:rsidRPr="005F522F" w:rsidRDefault="005F522F" w:rsidP="003A0777">
            <w:pPr>
              <w:pStyle w:val="TableText0"/>
              <w:jc w:val="center"/>
              <w:rPr>
                <w:highlight w:val="darkGray"/>
              </w:rPr>
            </w:pPr>
            <w:r w:rsidRPr="005F522F">
              <w:rPr>
                <w:color w:val="000000"/>
                <w:spacing w:val="41"/>
                <w:shd w:val="solid" w:color="000000" w:fill="000000"/>
                <w:fitText w:val="210" w:id="-893196784"/>
                <w14:textFill>
                  <w14:solidFill>
                    <w14:srgbClr w14:val="000000">
                      <w14:alpha w14:val="100000"/>
                    </w14:srgbClr>
                  </w14:solidFill>
                </w14:textFill>
              </w:rPr>
              <w:t>||</w:t>
            </w:r>
            <w:r w:rsidRPr="005F522F">
              <w:rPr>
                <w:color w:val="000000"/>
                <w:spacing w:val="1"/>
                <w:shd w:val="solid" w:color="000000" w:fill="000000"/>
                <w:fitText w:val="210" w:id="-893196784"/>
                <w14:textFill>
                  <w14:solidFill>
                    <w14:srgbClr w14:val="000000">
                      <w14:alpha w14:val="100000"/>
                    </w14:srgbClr>
                  </w14:solidFill>
                </w14:textFill>
              </w:rPr>
              <w:t>|</w:t>
            </w:r>
            <w:r w:rsidR="00345FE8">
              <w:rPr>
                <w:vertAlign w:val="superscript"/>
              </w:rPr>
              <w:t>2</w:t>
            </w:r>
          </w:p>
        </w:tc>
        <w:tc>
          <w:tcPr>
            <w:tcW w:w="992" w:type="dxa"/>
            <w:vAlign w:val="center"/>
          </w:tcPr>
          <w:p w14:paraId="312EC73B" w14:textId="48C7F41C" w:rsidR="0023360D" w:rsidRPr="005F522F" w:rsidRDefault="005F522F" w:rsidP="003A0777">
            <w:pPr>
              <w:pStyle w:val="TableText0"/>
              <w:jc w:val="center"/>
              <w:rPr>
                <w:highlight w:val="darkGray"/>
              </w:rPr>
            </w:pPr>
            <w:r w:rsidRPr="005F522F">
              <w:rPr>
                <w:color w:val="000000"/>
                <w:spacing w:val="154"/>
                <w:shd w:val="solid" w:color="000000" w:fill="000000"/>
                <w:fitText w:val="240" w:id="-893196800"/>
                <w14:textFill>
                  <w14:solidFill>
                    <w14:srgbClr w14:val="000000">
                      <w14:alpha w14:val="100000"/>
                    </w14:srgbClr>
                  </w14:solidFill>
                </w14:textFill>
              </w:rPr>
              <w:t>|</w:t>
            </w:r>
            <w:r w:rsidRPr="005F522F">
              <w:rPr>
                <w:color w:val="000000"/>
                <w:spacing w:val="1"/>
                <w:shd w:val="solid" w:color="000000" w:fill="000000"/>
                <w:fitText w:val="240" w:id="-893196800"/>
                <w14:textFill>
                  <w14:solidFill>
                    <w14:srgbClr w14:val="000000">
                      <w14:alpha w14:val="100000"/>
                    </w14:srgbClr>
                  </w14:solidFill>
                </w14:textFill>
              </w:rPr>
              <w:t>|</w:t>
            </w:r>
            <w:r w:rsidR="0023360D" w:rsidRPr="007563E8">
              <w:rPr>
                <w:vertAlign w:val="superscript"/>
              </w:rPr>
              <w:t>c</w:t>
            </w:r>
            <w:r w:rsidR="00345FE8">
              <w:rPr>
                <w:vertAlign w:val="superscript"/>
              </w:rPr>
              <w:t>2</w:t>
            </w:r>
          </w:p>
        </w:tc>
        <w:tc>
          <w:tcPr>
            <w:tcW w:w="850" w:type="dxa"/>
            <w:vAlign w:val="center"/>
          </w:tcPr>
          <w:p w14:paraId="6A9DFDD8" w14:textId="4D101378" w:rsidR="0023360D" w:rsidRPr="005F522F" w:rsidRDefault="005F522F" w:rsidP="003A0777">
            <w:pPr>
              <w:pStyle w:val="TableText0"/>
              <w:jc w:val="center"/>
              <w:rPr>
                <w:highlight w:val="darkGray"/>
              </w:rPr>
            </w:pPr>
            <w:r w:rsidRPr="005F522F">
              <w:rPr>
                <w:color w:val="000000"/>
                <w:spacing w:val="41"/>
                <w:shd w:val="solid" w:color="000000" w:fill="000000"/>
                <w:fitText w:val="210" w:id="-893196799"/>
                <w14:textFill>
                  <w14:solidFill>
                    <w14:srgbClr w14:val="000000">
                      <w14:alpha w14:val="100000"/>
                    </w14:srgbClr>
                  </w14:solidFill>
                </w14:textFill>
              </w:rPr>
              <w:t>||</w:t>
            </w:r>
            <w:r w:rsidRPr="005F522F">
              <w:rPr>
                <w:color w:val="000000"/>
                <w:spacing w:val="1"/>
                <w:shd w:val="solid" w:color="000000" w:fill="000000"/>
                <w:fitText w:val="210" w:id="-893196799"/>
                <w14:textFill>
                  <w14:solidFill>
                    <w14:srgbClr w14:val="000000">
                      <w14:alpha w14:val="100000"/>
                    </w14:srgbClr>
                  </w14:solidFill>
                </w14:textFill>
              </w:rPr>
              <w:t>|</w:t>
            </w:r>
            <w:r w:rsidR="00345FE8">
              <w:rPr>
                <w:vertAlign w:val="superscript"/>
              </w:rPr>
              <w:t>2</w:t>
            </w:r>
          </w:p>
        </w:tc>
      </w:tr>
      <w:tr w:rsidR="00C43087" w:rsidRPr="005464FA" w14:paraId="5BEC8FBE" w14:textId="77777777" w:rsidTr="009164BC">
        <w:tc>
          <w:tcPr>
            <w:tcW w:w="3397" w:type="dxa"/>
          </w:tcPr>
          <w:p w14:paraId="511FFD8A" w14:textId="602DFAD7" w:rsidR="0023360D" w:rsidRPr="005464FA" w:rsidRDefault="0023360D" w:rsidP="003A0777">
            <w:pPr>
              <w:pStyle w:val="TableText0"/>
              <w:ind w:left="176"/>
            </w:pPr>
            <w:r w:rsidRPr="005464FA">
              <w:t xml:space="preserve">Recurrent </w:t>
            </w:r>
            <w:r w:rsidR="009F5B43" w:rsidRPr="005464FA">
              <w:rPr>
                <w:i/>
                <w:iCs/>
              </w:rPr>
              <w:t>BRCA</w:t>
            </w:r>
            <w:r w:rsidRPr="005464FA">
              <w:t>m (13.25%)</w:t>
            </w:r>
          </w:p>
        </w:tc>
        <w:tc>
          <w:tcPr>
            <w:tcW w:w="851" w:type="dxa"/>
            <w:vAlign w:val="center"/>
          </w:tcPr>
          <w:p w14:paraId="534E6D39" w14:textId="48407E2D" w:rsidR="0023360D" w:rsidRPr="005F522F" w:rsidRDefault="005F522F" w:rsidP="003A0777">
            <w:pPr>
              <w:pStyle w:val="TableText0"/>
              <w:jc w:val="center"/>
              <w:rPr>
                <w:highlight w:val="darkGray"/>
              </w:rPr>
            </w:pPr>
            <w:r w:rsidRPr="005F522F">
              <w:rPr>
                <w:color w:val="000000"/>
                <w:spacing w:val="41"/>
                <w:shd w:val="solid" w:color="000000" w:fill="000000"/>
                <w:fitText w:val="210" w:id="-893196798"/>
                <w14:textFill>
                  <w14:solidFill>
                    <w14:srgbClr w14:val="000000">
                      <w14:alpha w14:val="100000"/>
                    </w14:srgbClr>
                  </w14:solidFill>
                </w14:textFill>
              </w:rPr>
              <w:t>||</w:t>
            </w:r>
            <w:r w:rsidRPr="005F522F">
              <w:rPr>
                <w:color w:val="000000"/>
                <w:spacing w:val="1"/>
                <w:shd w:val="solid" w:color="000000" w:fill="000000"/>
                <w:fitText w:val="210" w:id="-893196798"/>
                <w14:textFill>
                  <w14:solidFill>
                    <w14:srgbClr w14:val="000000">
                      <w14:alpha w14:val="100000"/>
                    </w14:srgbClr>
                  </w14:solidFill>
                </w14:textFill>
              </w:rPr>
              <w:t>|</w:t>
            </w:r>
            <w:r w:rsidR="00345FE8">
              <w:rPr>
                <w:vertAlign w:val="superscript"/>
              </w:rPr>
              <w:t>3</w:t>
            </w:r>
          </w:p>
        </w:tc>
        <w:tc>
          <w:tcPr>
            <w:tcW w:w="992" w:type="dxa"/>
            <w:vAlign w:val="center"/>
          </w:tcPr>
          <w:p w14:paraId="02C11899" w14:textId="6A8C3659" w:rsidR="0023360D" w:rsidRPr="005F522F" w:rsidRDefault="005F522F" w:rsidP="003A0777">
            <w:pPr>
              <w:pStyle w:val="TableText0"/>
              <w:jc w:val="center"/>
              <w:rPr>
                <w:highlight w:val="darkGray"/>
              </w:rPr>
            </w:pPr>
            <w:r w:rsidRPr="005F522F">
              <w:rPr>
                <w:color w:val="000000"/>
                <w:spacing w:val="41"/>
                <w:shd w:val="solid" w:color="000000" w:fill="000000"/>
                <w:fitText w:val="210" w:id="-893196797"/>
                <w14:textFill>
                  <w14:solidFill>
                    <w14:srgbClr w14:val="000000">
                      <w14:alpha w14:val="100000"/>
                    </w14:srgbClr>
                  </w14:solidFill>
                </w14:textFill>
              </w:rPr>
              <w:t>||</w:t>
            </w:r>
            <w:r w:rsidRPr="005F522F">
              <w:rPr>
                <w:color w:val="000000"/>
                <w:spacing w:val="1"/>
                <w:shd w:val="solid" w:color="000000" w:fill="000000"/>
                <w:fitText w:val="210" w:id="-893196797"/>
                <w14:textFill>
                  <w14:solidFill>
                    <w14:srgbClr w14:val="000000">
                      <w14:alpha w14:val="100000"/>
                    </w14:srgbClr>
                  </w14:solidFill>
                </w14:textFill>
              </w:rPr>
              <w:t>|</w:t>
            </w:r>
            <w:r w:rsidR="00345FE8">
              <w:rPr>
                <w:vertAlign w:val="superscript"/>
              </w:rPr>
              <w:t>3</w:t>
            </w:r>
          </w:p>
        </w:tc>
        <w:tc>
          <w:tcPr>
            <w:tcW w:w="992" w:type="dxa"/>
            <w:vAlign w:val="center"/>
          </w:tcPr>
          <w:p w14:paraId="44D966D8" w14:textId="1B3CAE51" w:rsidR="0023360D" w:rsidRPr="005F522F" w:rsidRDefault="005F522F" w:rsidP="003A0777">
            <w:pPr>
              <w:pStyle w:val="TableText0"/>
              <w:jc w:val="center"/>
              <w:rPr>
                <w:highlight w:val="darkGray"/>
              </w:rPr>
            </w:pPr>
            <w:r w:rsidRPr="005F522F">
              <w:rPr>
                <w:color w:val="000000"/>
                <w:spacing w:val="41"/>
                <w:shd w:val="solid" w:color="000000" w:fill="000000"/>
                <w:fitText w:val="210" w:id="-893196796"/>
                <w14:textFill>
                  <w14:solidFill>
                    <w14:srgbClr w14:val="000000">
                      <w14:alpha w14:val="100000"/>
                    </w14:srgbClr>
                  </w14:solidFill>
                </w14:textFill>
              </w:rPr>
              <w:t>||</w:t>
            </w:r>
            <w:r w:rsidRPr="005F522F">
              <w:rPr>
                <w:color w:val="000000"/>
                <w:spacing w:val="1"/>
                <w:shd w:val="solid" w:color="000000" w:fill="000000"/>
                <w:fitText w:val="210" w:id="-893196796"/>
                <w14:textFill>
                  <w14:solidFill>
                    <w14:srgbClr w14:val="000000">
                      <w14:alpha w14:val="100000"/>
                    </w14:srgbClr>
                  </w14:solidFill>
                </w14:textFill>
              </w:rPr>
              <w:t>|</w:t>
            </w:r>
            <w:r w:rsidR="00345FE8">
              <w:rPr>
                <w:vertAlign w:val="superscript"/>
              </w:rPr>
              <w:t>3</w:t>
            </w:r>
          </w:p>
        </w:tc>
        <w:tc>
          <w:tcPr>
            <w:tcW w:w="851" w:type="dxa"/>
            <w:vAlign w:val="center"/>
          </w:tcPr>
          <w:p w14:paraId="634B4E53" w14:textId="06202F0E" w:rsidR="0023360D" w:rsidRPr="005F522F" w:rsidRDefault="005F522F" w:rsidP="003A0777">
            <w:pPr>
              <w:pStyle w:val="TableText0"/>
              <w:jc w:val="center"/>
              <w:rPr>
                <w:highlight w:val="darkGray"/>
              </w:rPr>
            </w:pPr>
            <w:r w:rsidRPr="005F522F">
              <w:rPr>
                <w:color w:val="000000"/>
                <w:spacing w:val="41"/>
                <w:shd w:val="solid" w:color="000000" w:fill="000000"/>
                <w:fitText w:val="210" w:id="-893196795"/>
                <w14:textFill>
                  <w14:solidFill>
                    <w14:srgbClr w14:val="000000">
                      <w14:alpha w14:val="100000"/>
                    </w14:srgbClr>
                  </w14:solidFill>
                </w14:textFill>
              </w:rPr>
              <w:t>||</w:t>
            </w:r>
            <w:r w:rsidRPr="005F522F">
              <w:rPr>
                <w:color w:val="000000"/>
                <w:spacing w:val="1"/>
                <w:shd w:val="solid" w:color="000000" w:fill="000000"/>
                <w:fitText w:val="210" w:id="-893196795"/>
                <w14:textFill>
                  <w14:solidFill>
                    <w14:srgbClr w14:val="000000">
                      <w14:alpha w14:val="100000"/>
                    </w14:srgbClr>
                  </w14:solidFill>
                </w14:textFill>
              </w:rPr>
              <w:t>|</w:t>
            </w:r>
            <w:r w:rsidR="00345FE8">
              <w:rPr>
                <w:vertAlign w:val="superscript"/>
              </w:rPr>
              <w:t>3</w:t>
            </w:r>
          </w:p>
        </w:tc>
        <w:tc>
          <w:tcPr>
            <w:tcW w:w="992" w:type="dxa"/>
            <w:vAlign w:val="center"/>
          </w:tcPr>
          <w:p w14:paraId="5B08BF89" w14:textId="2F46BBF1" w:rsidR="0023360D" w:rsidRPr="005F522F" w:rsidRDefault="005F522F" w:rsidP="003A0777">
            <w:pPr>
              <w:pStyle w:val="TableText0"/>
              <w:jc w:val="center"/>
              <w:rPr>
                <w:highlight w:val="darkGray"/>
              </w:rPr>
            </w:pPr>
            <w:r w:rsidRPr="005F522F">
              <w:rPr>
                <w:color w:val="000000"/>
                <w:spacing w:val="41"/>
                <w:shd w:val="solid" w:color="000000" w:fill="000000"/>
                <w:fitText w:val="210" w:id="-893196794"/>
                <w14:textFill>
                  <w14:solidFill>
                    <w14:srgbClr w14:val="000000">
                      <w14:alpha w14:val="100000"/>
                    </w14:srgbClr>
                  </w14:solidFill>
                </w14:textFill>
              </w:rPr>
              <w:t>||</w:t>
            </w:r>
            <w:r w:rsidRPr="005F522F">
              <w:rPr>
                <w:color w:val="000000"/>
                <w:spacing w:val="1"/>
                <w:shd w:val="solid" w:color="000000" w:fill="000000"/>
                <w:fitText w:val="210" w:id="-893196794"/>
                <w14:textFill>
                  <w14:solidFill>
                    <w14:srgbClr w14:val="000000">
                      <w14:alpha w14:val="100000"/>
                    </w14:srgbClr>
                  </w14:solidFill>
                </w14:textFill>
              </w:rPr>
              <w:t>|</w:t>
            </w:r>
            <w:r w:rsidR="00345FE8">
              <w:rPr>
                <w:vertAlign w:val="superscript"/>
              </w:rPr>
              <w:t>3</w:t>
            </w:r>
          </w:p>
        </w:tc>
        <w:tc>
          <w:tcPr>
            <w:tcW w:w="850" w:type="dxa"/>
            <w:vAlign w:val="center"/>
          </w:tcPr>
          <w:p w14:paraId="79A8CE7F" w14:textId="0B04E9F3" w:rsidR="0023360D" w:rsidRPr="005F522F" w:rsidRDefault="005F522F" w:rsidP="003A0777">
            <w:pPr>
              <w:pStyle w:val="TableText0"/>
              <w:jc w:val="center"/>
              <w:rPr>
                <w:highlight w:val="darkGray"/>
              </w:rPr>
            </w:pPr>
            <w:r w:rsidRPr="005F522F">
              <w:rPr>
                <w:color w:val="000000"/>
                <w:spacing w:val="41"/>
                <w:shd w:val="solid" w:color="000000" w:fill="000000"/>
                <w:fitText w:val="210" w:id="-893196793"/>
                <w14:textFill>
                  <w14:solidFill>
                    <w14:srgbClr w14:val="000000">
                      <w14:alpha w14:val="100000"/>
                    </w14:srgbClr>
                  </w14:solidFill>
                </w14:textFill>
              </w:rPr>
              <w:t>||</w:t>
            </w:r>
            <w:r w:rsidRPr="005F522F">
              <w:rPr>
                <w:color w:val="000000"/>
                <w:spacing w:val="1"/>
                <w:shd w:val="solid" w:color="000000" w:fill="000000"/>
                <w:fitText w:val="210" w:id="-893196793"/>
                <w14:textFill>
                  <w14:solidFill>
                    <w14:srgbClr w14:val="000000">
                      <w14:alpha w14:val="100000"/>
                    </w14:srgbClr>
                  </w14:solidFill>
                </w14:textFill>
              </w:rPr>
              <w:t>|</w:t>
            </w:r>
            <w:r w:rsidR="00345FE8">
              <w:rPr>
                <w:vertAlign w:val="superscript"/>
              </w:rPr>
              <w:t>3</w:t>
            </w:r>
          </w:p>
        </w:tc>
      </w:tr>
      <w:tr w:rsidR="00C43087" w:rsidRPr="005464FA" w14:paraId="725C7CC5" w14:textId="77777777" w:rsidTr="009164BC">
        <w:tc>
          <w:tcPr>
            <w:tcW w:w="3397" w:type="dxa"/>
          </w:tcPr>
          <w:p w14:paraId="0D30B114" w14:textId="77777777" w:rsidR="0023360D" w:rsidRPr="005464FA" w:rsidRDefault="0023360D" w:rsidP="003A0777">
            <w:pPr>
              <w:pStyle w:val="TableText0"/>
            </w:pPr>
            <w:r w:rsidRPr="005464FA">
              <w:t>De Novo Metastatic breast cancer (20.5%)</w:t>
            </w:r>
          </w:p>
        </w:tc>
        <w:tc>
          <w:tcPr>
            <w:tcW w:w="851" w:type="dxa"/>
            <w:vAlign w:val="center"/>
          </w:tcPr>
          <w:p w14:paraId="20060D28" w14:textId="27B0B23C" w:rsidR="0023360D" w:rsidRPr="005F522F" w:rsidRDefault="005F522F" w:rsidP="003A0777">
            <w:pPr>
              <w:pStyle w:val="TableText0"/>
              <w:jc w:val="center"/>
              <w:rPr>
                <w:highlight w:val="darkGray"/>
              </w:rPr>
            </w:pPr>
            <w:r w:rsidRPr="005F522F">
              <w:rPr>
                <w:color w:val="000000"/>
                <w:spacing w:val="41"/>
                <w:shd w:val="solid" w:color="000000" w:fill="000000"/>
                <w:fitText w:val="210" w:id="-893196792"/>
                <w14:textFill>
                  <w14:solidFill>
                    <w14:srgbClr w14:val="000000">
                      <w14:alpha w14:val="100000"/>
                    </w14:srgbClr>
                  </w14:solidFill>
                </w14:textFill>
              </w:rPr>
              <w:t>||</w:t>
            </w:r>
            <w:r w:rsidRPr="005F522F">
              <w:rPr>
                <w:color w:val="000000"/>
                <w:spacing w:val="1"/>
                <w:shd w:val="solid" w:color="000000" w:fill="000000"/>
                <w:fitText w:val="210" w:id="-893196792"/>
                <w14:textFill>
                  <w14:solidFill>
                    <w14:srgbClr w14:val="000000">
                      <w14:alpha w14:val="100000"/>
                    </w14:srgbClr>
                  </w14:solidFill>
                </w14:textFill>
              </w:rPr>
              <w:t>|</w:t>
            </w:r>
            <w:r w:rsidR="00345FE8">
              <w:rPr>
                <w:vertAlign w:val="superscript"/>
              </w:rPr>
              <w:t>3</w:t>
            </w:r>
          </w:p>
        </w:tc>
        <w:tc>
          <w:tcPr>
            <w:tcW w:w="992" w:type="dxa"/>
            <w:vAlign w:val="center"/>
          </w:tcPr>
          <w:p w14:paraId="2333768C" w14:textId="44D17613" w:rsidR="0023360D" w:rsidRPr="005F522F" w:rsidRDefault="005F522F" w:rsidP="003A0777">
            <w:pPr>
              <w:pStyle w:val="TableText0"/>
              <w:jc w:val="center"/>
              <w:rPr>
                <w:highlight w:val="darkGray"/>
              </w:rPr>
            </w:pPr>
            <w:r w:rsidRPr="005F522F">
              <w:rPr>
                <w:color w:val="000000"/>
                <w:spacing w:val="41"/>
                <w:shd w:val="solid" w:color="000000" w:fill="000000"/>
                <w:fitText w:val="210" w:id="-893196791"/>
                <w14:textFill>
                  <w14:solidFill>
                    <w14:srgbClr w14:val="000000">
                      <w14:alpha w14:val="100000"/>
                    </w14:srgbClr>
                  </w14:solidFill>
                </w14:textFill>
              </w:rPr>
              <w:t>||</w:t>
            </w:r>
            <w:r w:rsidRPr="005F522F">
              <w:rPr>
                <w:color w:val="000000"/>
                <w:spacing w:val="1"/>
                <w:shd w:val="solid" w:color="000000" w:fill="000000"/>
                <w:fitText w:val="210" w:id="-893196791"/>
                <w14:textFill>
                  <w14:solidFill>
                    <w14:srgbClr w14:val="000000">
                      <w14:alpha w14:val="100000"/>
                    </w14:srgbClr>
                  </w14:solidFill>
                </w14:textFill>
              </w:rPr>
              <w:t>|</w:t>
            </w:r>
            <w:r w:rsidR="00345FE8">
              <w:rPr>
                <w:vertAlign w:val="superscript"/>
              </w:rPr>
              <w:t>3</w:t>
            </w:r>
          </w:p>
        </w:tc>
        <w:tc>
          <w:tcPr>
            <w:tcW w:w="992" w:type="dxa"/>
            <w:vAlign w:val="center"/>
          </w:tcPr>
          <w:p w14:paraId="0857A97C" w14:textId="16BD2129" w:rsidR="0023360D" w:rsidRPr="005F522F" w:rsidRDefault="005F522F" w:rsidP="003A0777">
            <w:pPr>
              <w:pStyle w:val="TableText0"/>
              <w:jc w:val="center"/>
              <w:rPr>
                <w:highlight w:val="darkGray"/>
              </w:rPr>
            </w:pPr>
            <w:r w:rsidRPr="005F522F">
              <w:rPr>
                <w:color w:val="000000"/>
                <w:spacing w:val="41"/>
                <w:shd w:val="solid" w:color="000000" w:fill="000000"/>
                <w:fitText w:val="210" w:id="-893196790"/>
                <w14:textFill>
                  <w14:solidFill>
                    <w14:srgbClr w14:val="000000">
                      <w14:alpha w14:val="100000"/>
                    </w14:srgbClr>
                  </w14:solidFill>
                </w14:textFill>
              </w:rPr>
              <w:t>||</w:t>
            </w:r>
            <w:r w:rsidRPr="005F522F">
              <w:rPr>
                <w:color w:val="000000"/>
                <w:spacing w:val="1"/>
                <w:shd w:val="solid" w:color="000000" w:fill="000000"/>
                <w:fitText w:val="210" w:id="-893196790"/>
                <w14:textFill>
                  <w14:solidFill>
                    <w14:srgbClr w14:val="000000">
                      <w14:alpha w14:val="100000"/>
                    </w14:srgbClr>
                  </w14:solidFill>
                </w14:textFill>
              </w:rPr>
              <w:t>|</w:t>
            </w:r>
            <w:r w:rsidR="00345FE8">
              <w:rPr>
                <w:vertAlign w:val="superscript"/>
              </w:rPr>
              <w:t>3</w:t>
            </w:r>
          </w:p>
        </w:tc>
        <w:tc>
          <w:tcPr>
            <w:tcW w:w="851" w:type="dxa"/>
            <w:vAlign w:val="center"/>
          </w:tcPr>
          <w:p w14:paraId="260DBE9C" w14:textId="1DE3953E" w:rsidR="0023360D" w:rsidRPr="005F522F" w:rsidRDefault="005F522F" w:rsidP="003A0777">
            <w:pPr>
              <w:pStyle w:val="TableText0"/>
              <w:jc w:val="center"/>
              <w:rPr>
                <w:highlight w:val="darkGray"/>
              </w:rPr>
            </w:pPr>
            <w:r w:rsidRPr="005F522F">
              <w:rPr>
                <w:color w:val="000000"/>
                <w:spacing w:val="41"/>
                <w:shd w:val="solid" w:color="000000" w:fill="000000"/>
                <w:fitText w:val="210" w:id="-893196789"/>
                <w14:textFill>
                  <w14:solidFill>
                    <w14:srgbClr w14:val="000000">
                      <w14:alpha w14:val="100000"/>
                    </w14:srgbClr>
                  </w14:solidFill>
                </w14:textFill>
              </w:rPr>
              <w:t>||</w:t>
            </w:r>
            <w:r w:rsidRPr="005F522F">
              <w:rPr>
                <w:color w:val="000000"/>
                <w:spacing w:val="1"/>
                <w:shd w:val="solid" w:color="000000" w:fill="000000"/>
                <w:fitText w:val="210" w:id="-893196789"/>
                <w14:textFill>
                  <w14:solidFill>
                    <w14:srgbClr w14:val="000000">
                      <w14:alpha w14:val="100000"/>
                    </w14:srgbClr>
                  </w14:solidFill>
                </w14:textFill>
              </w:rPr>
              <w:t>|</w:t>
            </w:r>
            <w:r w:rsidR="00345FE8">
              <w:rPr>
                <w:vertAlign w:val="superscript"/>
              </w:rPr>
              <w:t>3</w:t>
            </w:r>
          </w:p>
        </w:tc>
        <w:tc>
          <w:tcPr>
            <w:tcW w:w="992" w:type="dxa"/>
            <w:vAlign w:val="center"/>
          </w:tcPr>
          <w:p w14:paraId="785621DD" w14:textId="17C86DC1" w:rsidR="0023360D" w:rsidRPr="005F522F" w:rsidRDefault="005F522F" w:rsidP="003A0777">
            <w:pPr>
              <w:pStyle w:val="TableText0"/>
              <w:jc w:val="center"/>
              <w:rPr>
                <w:highlight w:val="darkGray"/>
              </w:rPr>
            </w:pPr>
            <w:r w:rsidRPr="005F522F">
              <w:rPr>
                <w:color w:val="000000"/>
                <w:spacing w:val="41"/>
                <w:shd w:val="solid" w:color="000000" w:fill="000000"/>
                <w:fitText w:val="210" w:id="-893196788"/>
                <w14:textFill>
                  <w14:solidFill>
                    <w14:srgbClr w14:val="000000">
                      <w14:alpha w14:val="100000"/>
                    </w14:srgbClr>
                  </w14:solidFill>
                </w14:textFill>
              </w:rPr>
              <w:t>||</w:t>
            </w:r>
            <w:r w:rsidRPr="005F522F">
              <w:rPr>
                <w:color w:val="000000"/>
                <w:spacing w:val="1"/>
                <w:shd w:val="solid" w:color="000000" w:fill="000000"/>
                <w:fitText w:val="210" w:id="-893196788"/>
                <w14:textFill>
                  <w14:solidFill>
                    <w14:srgbClr w14:val="000000">
                      <w14:alpha w14:val="100000"/>
                    </w14:srgbClr>
                  </w14:solidFill>
                </w14:textFill>
              </w:rPr>
              <w:t>|</w:t>
            </w:r>
            <w:r w:rsidR="00345FE8">
              <w:rPr>
                <w:vertAlign w:val="superscript"/>
              </w:rPr>
              <w:t>3</w:t>
            </w:r>
          </w:p>
        </w:tc>
        <w:tc>
          <w:tcPr>
            <w:tcW w:w="850" w:type="dxa"/>
            <w:vAlign w:val="center"/>
          </w:tcPr>
          <w:p w14:paraId="1B5E0829" w14:textId="1F87E13B" w:rsidR="0023360D" w:rsidRPr="005F522F" w:rsidRDefault="005F522F" w:rsidP="003A0777">
            <w:pPr>
              <w:pStyle w:val="TableText0"/>
              <w:jc w:val="center"/>
              <w:rPr>
                <w:highlight w:val="darkGray"/>
              </w:rPr>
            </w:pPr>
            <w:r w:rsidRPr="005F522F">
              <w:rPr>
                <w:color w:val="000000"/>
                <w:spacing w:val="41"/>
                <w:shd w:val="solid" w:color="000000" w:fill="000000"/>
                <w:fitText w:val="210" w:id="-893196787"/>
                <w14:textFill>
                  <w14:solidFill>
                    <w14:srgbClr w14:val="000000">
                      <w14:alpha w14:val="100000"/>
                    </w14:srgbClr>
                  </w14:solidFill>
                </w14:textFill>
              </w:rPr>
              <w:t>||</w:t>
            </w:r>
            <w:r w:rsidRPr="005F522F">
              <w:rPr>
                <w:color w:val="000000"/>
                <w:spacing w:val="1"/>
                <w:shd w:val="solid" w:color="000000" w:fill="000000"/>
                <w:fitText w:val="210" w:id="-893196787"/>
                <w14:textFill>
                  <w14:solidFill>
                    <w14:srgbClr w14:val="000000">
                      <w14:alpha w14:val="100000"/>
                    </w14:srgbClr>
                  </w14:solidFill>
                </w14:textFill>
              </w:rPr>
              <w:t>|</w:t>
            </w:r>
            <w:r w:rsidR="00345FE8">
              <w:rPr>
                <w:vertAlign w:val="superscript"/>
              </w:rPr>
              <w:t>3</w:t>
            </w:r>
          </w:p>
        </w:tc>
      </w:tr>
      <w:tr w:rsidR="00C82FF1" w:rsidRPr="005464FA" w14:paraId="1A9613E0" w14:textId="77777777" w:rsidTr="009164BC">
        <w:tc>
          <w:tcPr>
            <w:tcW w:w="3397" w:type="dxa"/>
          </w:tcPr>
          <w:p w14:paraId="1D52931A" w14:textId="09BF0437" w:rsidR="00C82FF1" w:rsidRPr="005464FA" w:rsidRDefault="00C82FF1" w:rsidP="00C82FF1">
            <w:pPr>
              <w:pStyle w:val="TableText0"/>
              <w:ind w:left="176"/>
            </w:pPr>
            <w:r w:rsidRPr="005464FA">
              <w:t xml:space="preserve">Proportion tested for </w:t>
            </w:r>
            <w:r w:rsidRPr="005464FA">
              <w:rPr>
                <w:i/>
                <w:iCs/>
              </w:rPr>
              <w:t>BRCA</w:t>
            </w:r>
          </w:p>
        </w:tc>
        <w:tc>
          <w:tcPr>
            <w:tcW w:w="851" w:type="dxa"/>
          </w:tcPr>
          <w:p w14:paraId="03E202A0" w14:textId="5500F3A4" w:rsidR="00C82FF1" w:rsidRPr="005464FA" w:rsidRDefault="00C82FF1" w:rsidP="00C82FF1">
            <w:pPr>
              <w:pStyle w:val="TableText0"/>
              <w:jc w:val="center"/>
              <w:rPr>
                <w:vertAlign w:val="superscript"/>
              </w:rPr>
            </w:pPr>
            <w:r w:rsidRPr="00C82FF1">
              <w:rPr>
                <w:color w:val="000000"/>
                <w:spacing w:val="30"/>
                <w:shd w:val="solid" w:color="000000" w:fill="000000"/>
                <w:fitText w:val="210" w:id="-893196793"/>
                <w14:textFill>
                  <w14:solidFill>
                    <w14:srgbClr w14:val="000000">
                      <w14:alpha w14:val="100000"/>
                    </w14:srgbClr>
                  </w14:solidFill>
                </w14:textFill>
              </w:rPr>
              <w:t>||</w:t>
            </w:r>
            <w:r w:rsidRPr="00C82FF1">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992" w:type="dxa"/>
          </w:tcPr>
          <w:p w14:paraId="108B5941" w14:textId="439C0375" w:rsidR="00C82FF1" w:rsidRPr="005464FA" w:rsidRDefault="00C82FF1" w:rsidP="00C82FF1">
            <w:pPr>
              <w:pStyle w:val="TableText0"/>
              <w:jc w:val="cente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992" w:type="dxa"/>
          </w:tcPr>
          <w:p w14:paraId="4CEBD962" w14:textId="78CC71FB" w:rsidR="00C82FF1" w:rsidRPr="005464FA" w:rsidRDefault="00C82FF1" w:rsidP="00C82FF1">
            <w:pPr>
              <w:pStyle w:val="TableText0"/>
              <w:jc w:val="cente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851" w:type="dxa"/>
          </w:tcPr>
          <w:p w14:paraId="0EFF60BB" w14:textId="1770A1B2" w:rsidR="00C82FF1" w:rsidRPr="005464FA" w:rsidRDefault="00C82FF1" w:rsidP="00C82FF1">
            <w:pPr>
              <w:pStyle w:val="TableText0"/>
              <w:jc w:val="cente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992" w:type="dxa"/>
          </w:tcPr>
          <w:p w14:paraId="762E92BD" w14:textId="00D9BE00" w:rsidR="00C82FF1" w:rsidRPr="005464FA" w:rsidRDefault="00C82FF1" w:rsidP="00C82FF1">
            <w:pPr>
              <w:pStyle w:val="TableText0"/>
              <w:jc w:val="cente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850" w:type="dxa"/>
          </w:tcPr>
          <w:p w14:paraId="73C04E53" w14:textId="7F427239" w:rsidR="00C82FF1" w:rsidRPr="005464FA" w:rsidRDefault="00C82FF1" w:rsidP="00C82FF1">
            <w:pPr>
              <w:pStyle w:val="TableText0"/>
              <w:jc w:val="cente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r>
      <w:tr w:rsidR="00C43087" w:rsidRPr="005464FA" w14:paraId="1A875F51" w14:textId="77777777" w:rsidTr="009164BC">
        <w:tc>
          <w:tcPr>
            <w:tcW w:w="3397" w:type="dxa"/>
          </w:tcPr>
          <w:p w14:paraId="44F6408D" w14:textId="27E4A4FC" w:rsidR="0023360D" w:rsidRPr="005464FA" w:rsidRDefault="0023360D" w:rsidP="003A0777">
            <w:pPr>
              <w:pStyle w:val="TableText0"/>
              <w:ind w:left="176"/>
            </w:pPr>
            <w:r w:rsidRPr="005464FA">
              <w:t xml:space="preserve">De novo population tested for </w:t>
            </w:r>
            <w:r w:rsidR="009F5B43" w:rsidRPr="005464FA">
              <w:rPr>
                <w:i/>
                <w:iCs/>
              </w:rPr>
              <w:t>BRCA</w:t>
            </w:r>
          </w:p>
        </w:tc>
        <w:tc>
          <w:tcPr>
            <w:tcW w:w="851" w:type="dxa"/>
            <w:vAlign w:val="center"/>
          </w:tcPr>
          <w:p w14:paraId="36173658" w14:textId="0D9A0BA6" w:rsidR="0023360D" w:rsidRPr="005464FA" w:rsidRDefault="005F522F" w:rsidP="003A0777">
            <w:pPr>
              <w:pStyle w:val="TableText0"/>
              <w:jc w:val="center"/>
            </w:pPr>
            <w:r w:rsidRPr="005F522F">
              <w:rPr>
                <w:color w:val="000000"/>
                <w:spacing w:val="154"/>
                <w:shd w:val="solid" w:color="000000" w:fill="000000"/>
                <w:fitText w:val="240" w:id="-893196544"/>
                <w14:textFill>
                  <w14:solidFill>
                    <w14:srgbClr w14:val="000000">
                      <w14:alpha w14:val="100000"/>
                    </w14:srgbClr>
                  </w14:solidFill>
                </w14:textFill>
              </w:rPr>
              <w:t>|</w:t>
            </w:r>
            <w:r w:rsidRPr="005F522F">
              <w:rPr>
                <w:color w:val="000000"/>
                <w:spacing w:val="1"/>
                <w:shd w:val="solid" w:color="000000" w:fill="000000"/>
                <w:fitText w:val="240" w:id="-893196544"/>
                <w14:textFill>
                  <w14:solidFill>
                    <w14:srgbClr w14:val="000000">
                      <w14:alpha w14:val="100000"/>
                    </w14:srgbClr>
                  </w14:solidFill>
                </w14:textFill>
              </w:rPr>
              <w:t>|</w:t>
            </w:r>
            <w:r w:rsidR="0023360D" w:rsidRPr="005464FA">
              <w:rPr>
                <w:vertAlign w:val="superscript"/>
              </w:rPr>
              <w:t>a</w:t>
            </w:r>
            <w:r w:rsidR="00345FE8">
              <w:rPr>
                <w:vertAlign w:val="superscript"/>
              </w:rPr>
              <w:t>3</w:t>
            </w:r>
          </w:p>
        </w:tc>
        <w:tc>
          <w:tcPr>
            <w:tcW w:w="992" w:type="dxa"/>
            <w:vAlign w:val="center"/>
          </w:tcPr>
          <w:p w14:paraId="338C8EA2" w14:textId="05E25A5C" w:rsidR="0023360D" w:rsidRPr="005F522F" w:rsidRDefault="005F522F" w:rsidP="003A0777">
            <w:pPr>
              <w:pStyle w:val="TableText0"/>
              <w:jc w:val="center"/>
              <w:rPr>
                <w:highlight w:val="darkGray"/>
              </w:rPr>
            </w:pPr>
            <w:r w:rsidRPr="005F522F">
              <w:rPr>
                <w:color w:val="000000"/>
                <w:spacing w:val="41"/>
                <w:shd w:val="solid" w:color="000000" w:fill="000000"/>
                <w:fitText w:val="210" w:id="-893196543"/>
                <w14:textFill>
                  <w14:solidFill>
                    <w14:srgbClr w14:val="000000">
                      <w14:alpha w14:val="100000"/>
                    </w14:srgbClr>
                  </w14:solidFill>
                </w14:textFill>
              </w:rPr>
              <w:t>||</w:t>
            </w:r>
            <w:r w:rsidRPr="005F522F">
              <w:rPr>
                <w:color w:val="000000"/>
                <w:spacing w:val="1"/>
                <w:shd w:val="solid" w:color="000000" w:fill="000000"/>
                <w:fitText w:val="210" w:id="-893196543"/>
                <w14:textFill>
                  <w14:solidFill>
                    <w14:srgbClr w14:val="000000">
                      <w14:alpha w14:val="100000"/>
                    </w14:srgbClr>
                  </w14:solidFill>
                </w14:textFill>
              </w:rPr>
              <w:t>|</w:t>
            </w:r>
            <w:r w:rsidR="00345FE8">
              <w:rPr>
                <w:vertAlign w:val="superscript"/>
              </w:rPr>
              <w:t>3</w:t>
            </w:r>
          </w:p>
        </w:tc>
        <w:tc>
          <w:tcPr>
            <w:tcW w:w="992" w:type="dxa"/>
            <w:vAlign w:val="center"/>
          </w:tcPr>
          <w:p w14:paraId="3248AD53" w14:textId="35FF824C" w:rsidR="0023360D" w:rsidRPr="005F522F" w:rsidRDefault="005F522F" w:rsidP="003A0777">
            <w:pPr>
              <w:pStyle w:val="TableText0"/>
              <w:jc w:val="center"/>
              <w:rPr>
                <w:highlight w:val="darkGray"/>
              </w:rPr>
            </w:pPr>
            <w:r w:rsidRPr="005F522F">
              <w:rPr>
                <w:color w:val="000000"/>
                <w:spacing w:val="41"/>
                <w:shd w:val="solid" w:color="000000" w:fill="000000"/>
                <w:fitText w:val="210" w:id="-893196542"/>
                <w14:textFill>
                  <w14:solidFill>
                    <w14:srgbClr w14:val="000000">
                      <w14:alpha w14:val="100000"/>
                    </w14:srgbClr>
                  </w14:solidFill>
                </w14:textFill>
              </w:rPr>
              <w:t>||</w:t>
            </w:r>
            <w:r w:rsidRPr="005F522F">
              <w:rPr>
                <w:color w:val="000000"/>
                <w:spacing w:val="1"/>
                <w:shd w:val="solid" w:color="000000" w:fill="000000"/>
                <w:fitText w:val="210" w:id="-893196542"/>
                <w14:textFill>
                  <w14:solidFill>
                    <w14:srgbClr w14:val="000000">
                      <w14:alpha w14:val="100000"/>
                    </w14:srgbClr>
                  </w14:solidFill>
                </w14:textFill>
              </w:rPr>
              <w:t>|</w:t>
            </w:r>
            <w:r w:rsidR="00345FE8">
              <w:rPr>
                <w:vertAlign w:val="superscript"/>
              </w:rPr>
              <w:t>3</w:t>
            </w:r>
          </w:p>
        </w:tc>
        <w:tc>
          <w:tcPr>
            <w:tcW w:w="851" w:type="dxa"/>
            <w:vAlign w:val="center"/>
          </w:tcPr>
          <w:p w14:paraId="292E2624" w14:textId="54B4B305" w:rsidR="0023360D" w:rsidRPr="005F522F" w:rsidRDefault="005F522F" w:rsidP="003A0777">
            <w:pPr>
              <w:pStyle w:val="TableText0"/>
              <w:jc w:val="center"/>
              <w:rPr>
                <w:highlight w:val="darkGray"/>
              </w:rPr>
            </w:pPr>
            <w:r w:rsidRPr="005F522F">
              <w:rPr>
                <w:color w:val="000000"/>
                <w:spacing w:val="41"/>
                <w:shd w:val="solid" w:color="000000" w:fill="000000"/>
                <w:fitText w:val="210" w:id="-893196541"/>
                <w14:textFill>
                  <w14:solidFill>
                    <w14:srgbClr w14:val="000000">
                      <w14:alpha w14:val="100000"/>
                    </w14:srgbClr>
                  </w14:solidFill>
                </w14:textFill>
              </w:rPr>
              <w:t>||</w:t>
            </w:r>
            <w:r w:rsidRPr="005F522F">
              <w:rPr>
                <w:color w:val="000000"/>
                <w:spacing w:val="1"/>
                <w:shd w:val="solid" w:color="000000" w:fill="000000"/>
                <w:fitText w:val="210" w:id="-893196541"/>
                <w14:textFill>
                  <w14:solidFill>
                    <w14:srgbClr w14:val="000000">
                      <w14:alpha w14:val="100000"/>
                    </w14:srgbClr>
                  </w14:solidFill>
                </w14:textFill>
              </w:rPr>
              <w:t>|</w:t>
            </w:r>
            <w:r w:rsidR="00345FE8">
              <w:rPr>
                <w:vertAlign w:val="superscript"/>
              </w:rPr>
              <w:t>3</w:t>
            </w:r>
          </w:p>
        </w:tc>
        <w:tc>
          <w:tcPr>
            <w:tcW w:w="992" w:type="dxa"/>
            <w:vAlign w:val="center"/>
          </w:tcPr>
          <w:p w14:paraId="6A79F683" w14:textId="2420B3C4" w:rsidR="0023360D" w:rsidRPr="005F522F" w:rsidRDefault="005F522F" w:rsidP="003A0777">
            <w:pPr>
              <w:pStyle w:val="TableText0"/>
              <w:jc w:val="center"/>
              <w:rPr>
                <w:highlight w:val="darkGray"/>
              </w:rPr>
            </w:pPr>
            <w:r w:rsidRPr="005F522F">
              <w:rPr>
                <w:color w:val="000000"/>
                <w:spacing w:val="41"/>
                <w:shd w:val="solid" w:color="000000" w:fill="000000"/>
                <w:fitText w:val="210" w:id="-893196540"/>
                <w14:textFill>
                  <w14:solidFill>
                    <w14:srgbClr w14:val="000000">
                      <w14:alpha w14:val="100000"/>
                    </w14:srgbClr>
                  </w14:solidFill>
                </w14:textFill>
              </w:rPr>
              <w:t>||</w:t>
            </w:r>
            <w:r w:rsidRPr="005F522F">
              <w:rPr>
                <w:color w:val="000000"/>
                <w:spacing w:val="1"/>
                <w:shd w:val="solid" w:color="000000" w:fill="000000"/>
                <w:fitText w:val="210" w:id="-893196540"/>
                <w14:textFill>
                  <w14:solidFill>
                    <w14:srgbClr w14:val="000000">
                      <w14:alpha w14:val="100000"/>
                    </w14:srgbClr>
                  </w14:solidFill>
                </w14:textFill>
              </w:rPr>
              <w:t>|</w:t>
            </w:r>
            <w:r w:rsidR="00345FE8">
              <w:rPr>
                <w:vertAlign w:val="superscript"/>
              </w:rPr>
              <w:t>3</w:t>
            </w:r>
          </w:p>
        </w:tc>
        <w:tc>
          <w:tcPr>
            <w:tcW w:w="850" w:type="dxa"/>
            <w:vAlign w:val="center"/>
          </w:tcPr>
          <w:p w14:paraId="63F2EBB6" w14:textId="533BE5A2" w:rsidR="0023360D" w:rsidRPr="005F522F" w:rsidRDefault="005F522F" w:rsidP="003A0777">
            <w:pPr>
              <w:pStyle w:val="TableText0"/>
              <w:jc w:val="center"/>
              <w:rPr>
                <w:highlight w:val="darkGray"/>
              </w:rPr>
            </w:pPr>
            <w:r w:rsidRPr="005F522F">
              <w:rPr>
                <w:color w:val="000000"/>
                <w:spacing w:val="41"/>
                <w:shd w:val="solid" w:color="000000" w:fill="000000"/>
                <w:fitText w:val="210" w:id="-893196539"/>
                <w14:textFill>
                  <w14:solidFill>
                    <w14:srgbClr w14:val="000000">
                      <w14:alpha w14:val="100000"/>
                    </w14:srgbClr>
                  </w14:solidFill>
                </w14:textFill>
              </w:rPr>
              <w:t>||</w:t>
            </w:r>
            <w:r w:rsidRPr="005F522F">
              <w:rPr>
                <w:color w:val="000000"/>
                <w:spacing w:val="1"/>
                <w:shd w:val="solid" w:color="000000" w:fill="000000"/>
                <w:fitText w:val="210" w:id="-893196539"/>
                <w14:textFill>
                  <w14:solidFill>
                    <w14:srgbClr w14:val="000000">
                      <w14:alpha w14:val="100000"/>
                    </w14:srgbClr>
                  </w14:solidFill>
                </w14:textFill>
              </w:rPr>
              <w:t>|</w:t>
            </w:r>
            <w:r w:rsidR="00345FE8">
              <w:rPr>
                <w:vertAlign w:val="superscript"/>
              </w:rPr>
              <w:t>3</w:t>
            </w:r>
          </w:p>
        </w:tc>
      </w:tr>
      <w:tr w:rsidR="00C43087" w:rsidRPr="005464FA" w14:paraId="34353034" w14:textId="77777777" w:rsidTr="009164BC">
        <w:tc>
          <w:tcPr>
            <w:tcW w:w="3397" w:type="dxa"/>
          </w:tcPr>
          <w:p w14:paraId="14366791" w14:textId="099A3164" w:rsidR="0023360D" w:rsidRPr="005464FA" w:rsidRDefault="0023360D" w:rsidP="003A0777">
            <w:pPr>
              <w:pStyle w:val="TableText0"/>
              <w:ind w:left="176"/>
            </w:pPr>
            <w:r w:rsidRPr="005464FA">
              <w:t xml:space="preserve">De novo </w:t>
            </w:r>
            <w:r w:rsidR="009F5B43" w:rsidRPr="005464FA">
              <w:rPr>
                <w:i/>
                <w:iCs/>
              </w:rPr>
              <w:t>BRCA</w:t>
            </w:r>
            <w:r w:rsidRPr="005464FA">
              <w:t>m (13.25%)</w:t>
            </w:r>
          </w:p>
        </w:tc>
        <w:tc>
          <w:tcPr>
            <w:tcW w:w="851" w:type="dxa"/>
            <w:vAlign w:val="center"/>
          </w:tcPr>
          <w:p w14:paraId="062FDC4D" w14:textId="58398E52" w:rsidR="0023360D" w:rsidRPr="005F522F" w:rsidRDefault="005F522F" w:rsidP="003A0777">
            <w:pPr>
              <w:pStyle w:val="TableText0"/>
              <w:jc w:val="center"/>
              <w:rPr>
                <w:highlight w:val="darkGray"/>
              </w:rPr>
            </w:pPr>
            <w:r w:rsidRPr="005F522F">
              <w:rPr>
                <w:color w:val="000000"/>
                <w:spacing w:val="41"/>
                <w:shd w:val="solid" w:color="000000" w:fill="000000"/>
                <w:fitText w:val="210" w:id="-893196538"/>
                <w14:textFill>
                  <w14:solidFill>
                    <w14:srgbClr w14:val="000000">
                      <w14:alpha w14:val="100000"/>
                    </w14:srgbClr>
                  </w14:solidFill>
                </w14:textFill>
              </w:rPr>
              <w:t>||</w:t>
            </w:r>
            <w:r w:rsidRPr="005F522F">
              <w:rPr>
                <w:color w:val="000000"/>
                <w:spacing w:val="1"/>
                <w:shd w:val="solid" w:color="000000" w:fill="000000"/>
                <w:fitText w:val="210" w:id="-893196538"/>
                <w14:textFill>
                  <w14:solidFill>
                    <w14:srgbClr w14:val="000000">
                      <w14:alpha w14:val="100000"/>
                    </w14:srgbClr>
                  </w14:solidFill>
                </w14:textFill>
              </w:rPr>
              <w:t>|</w:t>
            </w:r>
            <w:r w:rsidR="00345FE8">
              <w:rPr>
                <w:vertAlign w:val="superscript"/>
              </w:rPr>
              <w:t>3</w:t>
            </w:r>
          </w:p>
        </w:tc>
        <w:tc>
          <w:tcPr>
            <w:tcW w:w="992" w:type="dxa"/>
            <w:vAlign w:val="center"/>
          </w:tcPr>
          <w:p w14:paraId="75233968" w14:textId="173C8266" w:rsidR="0023360D" w:rsidRPr="005F522F" w:rsidRDefault="005F522F" w:rsidP="003A0777">
            <w:pPr>
              <w:pStyle w:val="TableText0"/>
              <w:jc w:val="center"/>
              <w:rPr>
                <w:highlight w:val="darkGray"/>
              </w:rPr>
            </w:pPr>
            <w:r w:rsidRPr="005F522F">
              <w:rPr>
                <w:color w:val="000000"/>
                <w:spacing w:val="41"/>
                <w:shd w:val="solid" w:color="000000" w:fill="000000"/>
                <w:fitText w:val="210" w:id="-893196537"/>
                <w14:textFill>
                  <w14:solidFill>
                    <w14:srgbClr w14:val="000000">
                      <w14:alpha w14:val="100000"/>
                    </w14:srgbClr>
                  </w14:solidFill>
                </w14:textFill>
              </w:rPr>
              <w:t>||</w:t>
            </w:r>
            <w:r w:rsidRPr="005F522F">
              <w:rPr>
                <w:color w:val="000000"/>
                <w:spacing w:val="1"/>
                <w:shd w:val="solid" w:color="000000" w:fill="000000"/>
                <w:fitText w:val="210" w:id="-893196537"/>
                <w14:textFill>
                  <w14:solidFill>
                    <w14:srgbClr w14:val="000000">
                      <w14:alpha w14:val="100000"/>
                    </w14:srgbClr>
                  </w14:solidFill>
                </w14:textFill>
              </w:rPr>
              <w:t>|</w:t>
            </w:r>
            <w:r w:rsidR="00345FE8">
              <w:rPr>
                <w:vertAlign w:val="superscript"/>
              </w:rPr>
              <w:t>3</w:t>
            </w:r>
          </w:p>
        </w:tc>
        <w:tc>
          <w:tcPr>
            <w:tcW w:w="992" w:type="dxa"/>
            <w:vAlign w:val="center"/>
          </w:tcPr>
          <w:p w14:paraId="635E36E7" w14:textId="491A59B0" w:rsidR="0023360D" w:rsidRPr="005F522F" w:rsidRDefault="005F522F" w:rsidP="003A0777">
            <w:pPr>
              <w:pStyle w:val="TableText0"/>
              <w:jc w:val="center"/>
              <w:rPr>
                <w:highlight w:val="darkGray"/>
              </w:rPr>
            </w:pPr>
            <w:r w:rsidRPr="005F522F">
              <w:rPr>
                <w:color w:val="000000"/>
                <w:spacing w:val="41"/>
                <w:shd w:val="solid" w:color="000000" w:fill="000000"/>
                <w:fitText w:val="210" w:id="-893196536"/>
                <w14:textFill>
                  <w14:solidFill>
                    <w14:srgbClr w14:val="000000">
                      <w14:alpha w14:val="100000"/>
                    </w14:srgbClr>
                  </w14:solidFill>
                </w14:textFill>
              </w:rPr>
              <w:t>||</w:t>
            </w:r>
            <w:r w:rsidRPr="005F522F">
              <w:rPr>
                <w:color w:val="000000"/>
                <w:spacing w:val="1"/>
                <w:shd w:val="solid" w:color="000000" w:fill="000000"/>
                <w:fitText w:val="210" w:id="-893196536"/>
                <w14:textFill>
                  <w14:solidFill>
                    <w14:srgbClr w14:val="000000">
                      <w14:alpha w14:val="100000"/>
                    </w14:srgbClr>
                  </w14:solidFill>
                </w14:textFill>
              </w:rPr>
              <w:t>|</w:t>
            </w:r>
            <w:r w:rsidR="00345FE8">
              <w:rPr>
                <w:vertAlign w:val="superscript"/>
              </w:rPr>
              <w:t>3</w:t>
            </w:r>
          </w:p>
        </w:tc>
        <w:tc>
          <w:tcPr>
            <w:tcW w:w="851" w:type="dxa"/>
            <w:vAlign w:val="center"/>
          </w:tcPr>
          <w:p w14:paraId="306D19F4" w14:textId="709383FA" w:rsidR="0023360D" w:rsidRPr="005F522F" w:rsidRDefault="005F522F" w:rsidP="003A0777">
            <w:pPr>
              <w:pStyle w:val="TableText0"/>
              <w:jc w:val="center"/>
              <w:rPr>
                <w:highlight w:val="darkGray"/>
              </w:rPr>
            </w:pPr>
            <w:r w:rsidRPr="005F522F">
              <w:rPr>
                <w:color w:val="000000"/>
                <w:spacing w:val="41"/>
                <w:shd w:val="solid" w:color="000000" w:fill="000000"/>
                <w:fitText w:val="210" w:id="-893196535"/>
                <w14:textFill>
                  <w14:solidFill>
                    <w14:srgbClr w14:val="000000">
                      <w14:alpha w14:val="100000"/>
                    </w14:srgbClr>
                  </w14:solidFill>
                </w14:textFill>
              </w:rPr>
              <w:t>||</w:t>
            </w:r>
            <w:r w:rsidRPr="005F522F">
              <w:rPr>
                <w:color w:val="000000"/>
                <w:spacing w:val="1"/>
                <w:shd w:val="solid" w:color="000000" w:fill="000000"/>
                <w:fitText w:val="210" w:id="-893196535"/>
                <w14:textFill>
                  <w14:solidFill>
                    <w14:srgbClr w14:val="000000">
                      <w14:alpha w14:val="100000"/>
                    </w14:srgbClr>
                  </w14:solidFill>
                </w14:textFill>
              </w:rPr>
              <w:t>|</w:t>
            </w:r>
            <w:r w:rsidR="00345FE8">
              <w:rPr>
                <w:vertAlign w:val="superscript"/>
              </w:rPr>
              <w:t>3</w:t>
            </w:r>
          </w:p>
        </w:tc>
        <w:tc>
          <w:tcPr>
            <w:tcW w:w="992" w:type="dxa"/>
            <w:vAlign w:val="center"/>
          </w:tcPr>
          <w:p w14:paraId="64897DE7" w14:textId="22AE0ED9" w:rsidR="0023360D" w:rsidRPr="005F522F" w:rsidRDefault="005F522F" w:rsidP="003A0777">
            <w:pPr>
              <w:pStyle w:val="TableText0"/>
              <w:jc w:val="center"/>
              <w:rPr>
                <w:highlight w:val="darkGray"/>
              </w:rPr>
            </w:pPr>
            <w:r w:rsidRPr="005F522F">
              <w:rPr>
                <w:color w:val="000000"/>
                <w:spacing w:val="41"/>
                <w:shd w:val="solid" w:color="000000" w:fill="000000"/>
                <w:fitText w:val="210" w:id="-893196534"/>
                <w14:textFill>
                  <w14:solidFill>
                    <w14:srgbClr w14:val="000000">
                      <w14:alpha w14:val="100000"/>
                    </w14:srgbClr>
                  </w14:solidFill>
                </w14:textFill>
              </w:rPr>
              <w:t>||</w:t>
            </w:r>
            <w:r w:rsidRPr="005F522F">
              <w:rPr>
                <w:color w:val="000000"/>
                <w:spacing w:val="1"/>
                <w:shd w:val="solid" w:color="000000" w:fill="000000"/>
                <w:fitText w:val="210" w:id="-893196534"/>
                <w14:textFill>
                  <w14:solidFill>
                    <w14:srgbClr w14:val="000000">
                      <w14:alpha w14:val="100000"/>
                    </w14:srgbClr>
                  </w14:solidFill>
                </w14:textFill>
              </w:rPr>
              <w:t>|</w:t>
            </w:r>
            <w:r w:rsidR="00345FE8">
              <w:rPr>
                <w:vertAlign w:val="superscript"/>
              </w:rPr>
              <w:t>3</w:t>
            </w:r>
          </w:p>
        </w:tc>
        <w:tc>
          <w:tcPr>
            <w:tcW w:w="850" w:type="dxa"/>
            <w:vAlign w:val="center"/>
          </w:tcPr>
          <w:p w14:paraId="09B00613" w14:textId="6906923D" w:rsidR="0023360D" w:rsidRPr="005F522F" w:rsidRDefault="005F522F" w:rsidP="003A0777">
            <w:pPr>
              <w:pStyle w:val="TableText0"/>
              <w:jc w:val="center"/>
              <w:rPr>
                <w:highlight w:val="darkGray"/>
              </w:rPr>
            </w:pPr>
            <w:r w:rsidRPr="005F522F">
              <w:rPr>
                <w:color w:val="000000"/>
                <w:spacing w:val="41"/>
                <w:shd w:val="solid" w:color="000000" w:fill="000000"/>
                <w:fitText w:val="210" w:id="-893196533"/>
                <w14:textFill>
                  <w14:solidFill>
                    <w14:srgbClr w14:val="000000">
                      <w14:alpha w14:val="100000"/>
                    </w14:srgbClr>
                  </w14:solidFill>
                </w14:textFill>
              </w:rPr>
              <w:t>||</w:t>
            </w:r>
            <w:r w:rsidRPr="005F522F">
              <w:rPr>
                <w:color w:val="000000"/>
                <w:spacing w:val="1"/>
                <w:shd w:val="solid" w:color="000000" w:fill="000000"/>
                <w:fitText w:val="210" w:id="-893196533"/>
                <w14:textFill>
                  <w14:solidFill>
                    <w14:srgbClr w14:val="000000">
                      <w14:alpha w14:val="100000"/>
                    </w14:srgbClr>
                  </w14:solidFill>
                </w14:textFill>
              </w:rPr>
              <w:t>|</w:t>
            </w:r>
            <w:r w:rsidR="00345FE8">
              <w:rPr>
                <w:vertAlign w:val="superscript"/>
              </w:rPr>
              <w:t>3</w:t>
            </w:r>
          </w:p>
        </w:tc>
      </w:tr>
      <w:tr w:rsidR="00C43087" w:rsidRPr="005464FA" w14:paraId="06DA6AAB" w14:textId="77777777" w:rsidTr="009164BC">
        <w:tc>
          <w:tcPr>
            <w:tcW w:w="3397" w:type="dxa"/>
          </w:tcPr>
          <w:p w14:paraId="49933CBE" w14:textId="77777777" w:rsidR="0023360D" w:rsidRPr="005464FA" w:rsidRDefault="0023360D" w:rsidP="003A0777">
            <w:pPr>
              <w:pStyle w:val="TableText0"/>
              <w:rPr>
                <w:b/>
                <w:bCs w:val="0"/>
              </w:rPr>
            </w:pPr>
            <w:r w:rsidRPr="005464FA">
              <w:rPr>
                <w:b/>
                <w:bCs w:val="0"/>
              </w:rPr>
              <w:t>Total eligible TNBC patients</w:t>
            </w:r>
          </w:p>
        </w:tc>
        <w:tc>
          <w:tcPr>
            <w:tcW w:w="851" w:type="dxa"/>
            <w:vAlign w:val="center"/>
          </w:tcPr>
          <w:p w14:paraId="308E345E" w14:textId="00AC7E64" w:rsidR="0023360D" w:rsidRPr="005F522F" w:rsidRDefault="005F522F" w:rsidP="003A0777">
            <w:pPr>
              <w:pStyle w:val="TableText0"/>
              <w:jc w:val="center"/>
              <w:rPr>
                <w:b/>
                <w:bCs w:val="0"/>
                <w:highlight w:val="darkGray"/>
              </w:rPr>
            </w:pPr>
            <w:r w:rsidRPr="005F522F">
              <w:rPr>
                <w:b/>
                <w:bCs w:val="0"/>
                <w:snapToGrid w:val="0"/>
                <w:color w:val="000000"/>
                <w:spacing w:val="168"/>
                <w:shd w:val="solid" w:color="000000" w:fill="000000"/>
                <w:fitText w:val="260" w:id="-893196532"/>
                <w14:textFill>
                  <w14:solidFill>
                    <w14:srgbClr w14:val="000000">
                      <w14:alpha w14:val="100000"/>
                    </w14:srgbClr>
                  </w14:solidFill>
                </w14:textFill>
              </w:rPr>
              <w:t>|</w:t>
            </w:r>
            <w:r w:rsidRPr="005F522F">
              <w:rPr>
                <w:b/>
                <w:bCs w:val="0"/>
                <w:snapToGrid w:val="0"/>
                <w:color w:val="000000"/>
                <w:spacing w:val="1"/>
                <w:shd w:val="solid" w:color="000000" w:fill="000000"/>
                <w:fitText w:val="260" w:id="-893196532"/>
                <w14:textFill>
                  <w14:solidFill>
                    <w14:srgbClr w14:val="000000">
                      <w14:alpha w14:val="100000"/>
                    </w14:srgbClr>
                  </w14:solidFill>
                </w14:textFill>
              </w:rPr>
              <w:t>|</w:t>
            </w:r>
            <w:r w:rsidR="00345FE8">
              <w:rPr>
                <w:vertAlign w:val="superscript"/>
              </w:rPr>
              <w:t>3</w:t>
            </w:r>
          </w:p>
        </w:tc>
        <w:tc>
          <w:tcPr>
            <w:tcW w:w="992" w:type="dxa"/>
            <w:vAlign w:val="center"/>
          </w:tcPr>
          <w:p w14:paraId="5A7BD0D7" w14:textId="4F1D6688" w:rsidR="0023360D" w:rsidRPr="005F522F" w:rsidRDefault="005F522F" w:rsidP="003A0777">
            <w:pPr>
              <w:pStyle w:val="TableText0"/>
              <w:jc w:val="center"/>
              <w:rPr>
                <w:b/>
                <w:bCs w:val="0"/>
                <w:highlight w:val="darkGray"/>
              </w:rPr>
            </w:pPr>
            <w:r w:rsidRPr="005F522F">
              <w:rPr>
                <w:b/>
                <w:bCs w:val="0"/>
                <w:snapToGrid w:val="0"/>
                <w:color w:val="000000"/>
                <w:spacing w:val="168"/>
                <w:shd w:val="solid" w:color="000000" w:fill="000000"/>
                <w:fitText w:val="260" w:id="-893196531"/>
                <w14:textFill>
                  <w14:solidFill>
                    <w14:srgbClr w14:val="000000">
                      <w14:alpha w14:val="100000"/>
                    </w14:srgbClr>
                  </w14:solidFill>
                </w14:textFill>
              </w:rPr>
              <w:t>|</w:t>
            </w:r>
            <w:r w:rsidRPr="005F522F">
              <w:rPr>
                <w:b/>
                <w:bCs w:val="0"/>
                <w:snapToGrid w:val="0"/>
                <w:color w:val="000000"/>
                <w:spacing w:val="1"/>
                <w:shd w:val="solid" w:color="000000" w:fill="000000"/>
                <w:fitText w:val="260" w:id="-893196531"/>
                <w14:textFill>
                  <w14:solidFill>
                    <w14:srgbClr w14:val="000000">
                      <w14:alpha w14:val="100000"/>
                    </w14:srgbClr>
                  </w14:solidFill>
                </w14:textFill>
              </w:rPr>
              <w:t>|</w:t>
            </w:r>
            <w:r w:rsidR="00345FE8">
              <w:rPr>
                <w:vertAlign w:val="superscript"/>
              </w:rPr>
              <w:t>3</w:t>
            </w:r>
          </w:p>
        </w:tc>
        <w:tc>
          <w:tcPr>
            <w:tcW w:w="992" w:type="dxa"/>
            <w:vAlign w:val="center"/>
          </w:tcPr>
          <w:p w14:paraId="5B07A803" w14:textId="7FA51FB0" w:rsidR="0023360D" w:rsidRPr="005F522F" w:rsidRDefault="005F522F" w:rsidP="003A0777">
            <w:pPr>
              <w:pStyle w:val="TableText0"/>
              <w:jc w:val="center"/>
              <w:rPr>
                <w:b/>
                <w:bCs w:val="0"/>
                <w:highlight w:val="darkGray"/>
              </w:rPr>
            </w:pPr>
            <w:r w:rsidRPr="005F522F">
              <w:rPr>
                <w:b/>
                <w:bCs w:val="0"/>
                <w:snapToGrid w:val="0"/>
                <w:color w:val="000000"/>
                <w:spacing w:val="168"/>
                <w:shd w:val="solid" w:color="000000" w:fill="000000"/>
                <w:fitText w:val="260" w:id="-893196530"/>
                <w14:textFill>
                  <w14:solidFill>
                    <w14:srgbClr w14:val="000000">
                      <w14:alpha w14:val="100000"/>
                    </w14:srgbClr>
                  </w14:solidFill>
                </w14:textFill>
              </w:rPr>
              <w:t>|</w:t>
            </w:r>
            <w:r w:rsidRPr="005F522F">
              <w:rPr>
                <w:b/>
                <w:bCs w:val="0"/>
                <w:snapToGrid w:val="0"/>
                <w:color w:val="000000"/>
                <w:spacing w:val="1"/>
                <w:shd w:val="solid" w:color="000000" w:fill="000000"/>
                <w:fitText w:val="260" w:id="-893196530"/>
                <w14:textFill>
                  <w14:solidFill>
                    <w14:srgbClr w14:val="000000">
                      <w14:alpha w14:val="100000"/>
                    </w14:srgbClr>
                  </w14:solidFill>
                </w14:textFill>
              </w:rPr>
              <w:t>|</w:t>
            </w:r>
            <w:r w:rsidR="00345FE8">
              <w:rPr>
                <w:vertAlign w:val="superscript"/>
              </w:rPr>
              <w:t>3</w:t>
            </w:r>
          </w:p>
        </w:tc>
        <w:tc>
          <w:tcPr>
            <w:tcW w:w="851" w:type="dxa"/>
            <w:vAlign w:val="center"/>
          </w:tcPr>
          <w:p w14:paraId="4FC5681C" w14:textId="0ECF0297" w:rsidR="0023360D" w:rsidRPr="005F522F" w:rsidRDefault="005F522F" w:rsidP="003A0777">
            <w:pPr>
              <w:pStyle w:val="TableText0"/>
              <w:jc w:val="center"/>
              <w:rPr>
                <w:b/>
                <w:bCs w:val="0"/>
                <w:highlight w:val="darkGray"/>
              </w:rPr>
            </w:pPr>
            <w:r w:rsidRPr="005F522F">
              <w:rPr>
                <w:b/>
                <w:bCs w:val="0"/>
                <w:snapToGrid w:val="0"/>
                <w:color w:val="000000"/>
                <w:spacing w:val="168"/>
                <w:shd w:val="solid" w:color="000000" w:fill="000000"/>
                <w:fitText w:val="260" w:id="-893196529"/>
                <w14:textFill>
                  <w14:solidFill>
                    <w14:srgbClr w14:val="000000">
                      <w14:alpha w14:val="100000"/>
                    </w14:srgbClr>
                  </w14:solidFill>
                </w14:textFill>
              </w:rPr>
              <w:t>|</w:t>
            </w:r>
            <w:r w:rsidRPr="005F522F">
              <w:rPr>
                <w:b/>
                <w:bCs w:val="0"/>
                <w:snapToGrid w:val="0"/>
                <w:color w:val="000000"/>
                <w:spacing w:val="1"/>
                <w:shd w:val="solid" w:color="000000" w:fill="000000"/>
                <w:fitText w:val="260" w:id="-893196529"/>
                <w14:textFill>
                  <w14:solidFill>
                    <w14:srgbClr w14:val="000000">
                      <w14:alpha w14:val="100000"/>
                    </w14:srgbClr>
                  </w14:solidFill>
                </w14:textFill>
              </w:rPr>
              <w:t>|</w:t>
            </w:r>
            <w:r w:rsidR="00345FE8">
              <w:rPr>
                <w:vertAlign w:val="superscript"/>
              </w:rPr>
              <w:t>3</w:t>
            </w:r>
          </w:p>
        </w:tc>
        <w:tc>
          <w:tcPr>
            <w:tcW w:w="992" w:type="dxa"/>
            <w:vAlign w:val="center"/>
          </w:tcPr>
          <w:p w14:paraId="6337DF06" w14:textId="231D6DF3" w:rsidR="0023360D" w:rsidRPr="005F522F" w:rsidRDefault="005F522F" w:rsidP="003A0777">
            <w:pPr>
              <w:pStyle w:val="TableText0"/>
              <w:jc w:val="center"/>
              <w:rPr>
                <w:b/>
                <w:bCs w:val="0"/>
                <w:highlight w:val="darkGray"/>
              </w:rPr>
            </w:pPr>
            <w:r w:rsidRPr="005F522F">
              <w:rPr>
                <w:b/>
                <w:bCs w:val="0"/>
                <w:snapToGrid w:val="0"/>
                <w:color w:val="000000"/>
                <w:spacing w:val="168"/>
                <w:shd w:val="solid" w:color="000000" w:fill="000000"/>
                <w:fitText w:val="260" w:id="-893196528"/>
                <w14:textFill>
                  <w14:solidFill>
                    <w14:srgbClr w14:val="000000">
                      <w14:alpha w14:val="100000"/>
                    </w14:srgbClr>
                  </w14:solidFill>
                </w14:textFill>
              </w:rPr>
              <w:t>|</w:t>
            </w:r>
            <w:r w:rsidRPr="005F522F">
              <w:rPr>
                <w:b/>
                <w:bCs w:val="0"/>
                <w:snapToGrid w:val="0"/>
                <w:color w:val="000000"/>
                <w:spacing w:val="1"/>
                <w:shd w:val="solid" w:color="000000" w:fill="000000"/>
                <w:fitText w:val="260" w:id="-893196528"/>
                <w14:textFill>
                  <w14:solidFill>
                    <w14:srgbClr w14:val="000000">
                      <w14:alpha w14:val="100000"/>
                    </w14:srgbClr>
                  </w14:solidFill>
                </w14:textFill>
              </w:rPr>
              <w:t>|</w:t>
            </w:r>
            <w:r w:rsidR="00345FE8">
              <w:rPr>
                <w:vertAlign w:val="superscript"/>
              </w:rPr>
              <w:t>3</w:t>
            </w:r>
          </w:p>
        </w:tc>
        <w:tc>
          <w:tcPr>
            <w:tcW w:w="850" w:type="dxa"/>
            <w:vAlign w:val="center"/>
          </w:tcPr>
          <w:p w14:paraId="7173D5C0" w14:textId="123D806E" w:rsidR="0023360D" w:rsidRPr="005F522F" w:rsidRDefault="005F522F" w:rsidP="003A0777">
            <w:pPr>
              <w:pStyle w:val="TableText0"/>
              <w:jc w:val="center"/>
              <w:rPr>
                <w:b/>
                <w:bCs w:val="0"/>
                <w:highlight w:val="darkGray"/>
              </w:rPr>
            </w:pPr>
            <w:r w:rsidRPr="005F522F">
              <w:rPr>
                <w:b/>
                <w:bCs w:val="0"/>
                <w:snapToGrid w:val="0"/>
                <w:color w:val="000000"/>
                <w:spacing w:val="168"/>
                <w:shd w:val="solid" w:color="000000" w:fill="000000"/>
                <w:fitText w:val="260" w:id="-893196544"/>
                <w14:textFill>
                  <w14:solidFill>
                    <w14:srgbClr w14:val="000000">
                      <w14:alpha w14:val="100000"/>
                    </w14:srgbClr>
                  </w14:solidFill>
                </w14:textFill>
              </w:rPr>
              <w:t>|</w:t>
            </w:r>
            <w:r w:rsidRPr="005F522F">
              <w:rPr>
                <w:b/>
                <w:bCs w:val="0"/>
                <w:snapToGrid w:val="0"/>
                <w:color w:val="000000"/>
                <w:spacing w:val="1"/>
                <w:shd w:val="solid" w:color="000000" w:fill="000000"/>
                <w:fitText w:val="260" w:id="-893196544"/>
                <w14:textFill>
                  <w14:solidFill>
                    <w14:srgbClr w14:val="000000">
                      <w14:alpha w14:val="100000"/>
                    </w14:srgbClr>
                  </w14:solidFill>
                </w14:textFill>
              </w:rPr>
              <w:t>|</w:t>
            </w:r>
            <w:r w:rsidR="00345FE8">
              <w:rPr>
                <w:vertAlign w:val="superscript"/>
              </w:rPr>
              <w:t>3</w:t>
            </w:r>
          </w:p>
        </w:tc>
      </w:tr>
      <w:tr w:rsidR="0023360D" w:rsidRPr="005464FA" w14:paraId="2F714564" w14:textId="77777777" w:rsidTr="00C43087">
        <w:tc>
          <w:tcPr>
            <w:tcW w:w="8925" w:type="dxa"/>
            <w:gridSpan w:val="7"/>
            <w:shd w:val="clear" w:color="auto" w:fill="BFBFBF" w:themeFill="background1" w:themeFillShade="BF"/>
          </w:tcPr>
          <w:p w14:paraId="2B31C578" w14:textId="77777777" w:rsidR="0023360D" w:rsidRPr="005464FA" w:rsidRDefault="0023360D" w:rsidP="003A0777">
            <w:pPr>
              <w:pStyle w:val="TableText0"/>
            </w:pPr>
            <w:r w:rsidRPr="005464FA">
              <w:rPr>
                <w:b/>
                <w:bCs w:val="0"/>
              </w:rPr>
              <w:t>HR+ HER2-negative patients</w:t>
            </w:r>
          </w:p>
        </w:tc>
      </w:tr>
      <w:tr w:rsidR="00C43087" w:rsidRPr="005464FA" w14:paraId="48A65F3C" w14:textId="77777777" w:rsidTr="009164BC">
        <w:tc>
          <w:tcPr>
            <w:tcW w:w="3397" w:type="dxa"/>
          </w:tcPr>
          <w:p w14:paraId="277FDB08" w14:textId="77777777" w:rsidR="0023360D" w:rsidRPr="005464FA" w:rsidRDefault="0023360D" w:rsidP="003A0777">
            <w:pPr>
              <w:pStyle w:val="TableText0"/>
            </w:pPr>
            <w:r w:rsidRPr="005464FA">
              <w:t>Incident population (CDK 4/6 inhibitor population)</w:t>
            </w:r>
          </w:p>
        </w:tc>
        <w:tc>
          <w:tcPr>
            <w:tcW w:w="851" w:type="dxa"/>
            <w:vAlign w:val="center"/>
          </w:tcPr>
          <w:p w14:paraId="6F02833E" w14:textId="4577FF77" w:rsidR="0023360D" w:rsidRPr="005F522F" w:rsidRDefault="005F522F" w:rsidP="003A0777">
            <w:pPr>
              <w:pStyle w:val="TableText0"/>
              <w:jc w:val="center"/>
              <w:rPr>
                <w:highlight w:val="darkGray"/>
              </w:rPr>
            </w:pPr>
            <w:r w:rsidRPr="005F522F">
              <w:rPr>
                <w:color w:val="000000"/>
                <w:spacing w:val="41"/>
                <w:shd w:val="solid" w:color="000000" w:fill="000000"/>
                <w:fitText w:val="210" w:id="-893196543"/>
                <w14:textFill>
                  <w14:solidFill>
                    <w14:srgbClr w14:val="000000">
                      <w14:alpha w14:val="100000"/>
                    </w14:srgbClr>
                  </w14:solidFill>
                </w14:textFill>
              </w:rPr>
              <w:t>||</w:t>
            </w:r>
            <w:r w:rsidRPr="005F522F">
              <w:rPr>
                <w:color w:val="000000"/>
                <w:spacing w:val="1"/>
                <w:shd w:val="solid" w:color="000000" w:fill="000000"/>
                <w:fitText w:val="210" w:id="-893196543"/>
                <w14:textFill>
                  <w14:solidFill>
                    <w14:srgbClr w14:val="000000">
                      <w14:alpha w14:val="100000"/>
                    </w14:srgbClr>
                  </w14:solidFill>
                </w14:textFill>
              </w:rPr>
              <w:t>|</w:t>
            </w:r>
            <w:r w:rsidR="0028023C">
              <w:rPr>
                <w:vertAlign w:val="superscript"/>
              </w:rPr>
              <w:t>2</w:t>
            </w:r>
          </w:p>
        </w:tc>
        <w:tc>
          <w:tcPr>
            <w:tcW w:w="992" w:type="dxa"/>
            <w:vAlign w:val="center"/>
          </w:tcPr>
          <w:p w14:paraId="4E71CA59" w14:textId="2C342B38" w:rsidR="0023360D" w:rsidRPr="005F522F" w:rsidRDefault="005F522F" w:rsidP="003A0777">
            <w:pPr>
              <w:pStyle w:val="TableText0"/>
              <w:jc w:val="center"/>
              <w:rPr>
                <w:highlight w:val="darkGray"/>
              </w:rPr>
            </w:pPr>
            <w:r w:rsidRPr="005F522F">
              <w:rPr>
                <w:color w:val="000000"/>
                <w:spacing w:val="41"/>
                <w:shd w:val="solid" w:color="000000" w:fill="000000"/>
                <w:fitText w:val="210" w:id="-893196542"/>
                <w14:textFill>
                  <w14:solidFill>
                    <w14:srgbClr w14:val="000000">
                      <w14:alpha w14:val="100000"/>
                    </w14:srgbClr>
                  </w14:solidFill>
                </w14:textFill>
              </w:rPr>
              <w:t>||</w:t>
            </w:r>
            <w:r w:rsidRPr="005F522F">
              <w:rPr>
                <w:color w:val="000000"/>
                <w:spacing w:val="1"/>
                <w:shd w:val="solid" w:color="000000" w:fill="000000"/>
                <w:fitText w:val="210" w:id="-893196542"/>
                <w14:textFill>
                  <w14:solidFill>
                    <w14:srgbClr w14:val="000000">
                      <w14:alpha w14:val="100000"/>
                    </w14:srgbClr>
                  </w14:solidFill>
                </w14:textFill>
              </w:rPr>
              <w:t>|</w:t>
            </w:r>
            <w:r w:rsidR="0028023C">
              <w:rPr>
                <w:vertAlign w:val="superscript"/>
              </w:rPr>
              <w:t>2</w:t>
            </w:r>
          </w:p>
        </w:tc>
        <w:tc>
          <w:tcPr>
            <w:tcW w:w="992" w:type="dxa"/>
            <w:vAlign w:val="center"/>
          </w:tcPr>
          <w:p w14:paraId="7E6C96AA" w14:textId="383B187E" w:rsidR="0023360D" w:rsidRPr="005F522F" w:rsidRDefault="005F522F" w:rsidP="003A0777">
            <w:pPr>
              <w:pStyle w:val="TableText0"/>
              <w:jc w:val="center"/>
              <w:rPr>
                <w:highlight w:val="darkGray"/>
              </w:rPr>
            </w:pPr>
            <w:r w:rsidRPr="005F522F">
              <w:rPr>
                <w:color w:val="000000"/>
                <w:spacing w:val="41"/>
                <w:shd w:val="solid" w:color="000000" w:fill="000000"/>
                <w:fitText w:val="210" w:id="-893196541"/>
                <w14:textFill>
                  <w14:solidFill>
                    <w14:srgbClr w14:val="000000">
                      <w14:alpha w14:val="100000"/>
                    </w14:srgbClr>
                  </w14:solidFill>
                </w14:textFill>
              </w:rPr>
              <w:t>||</w:t>
            </w:r>
            <w:r w:rsidRPr="005F522F">
              <w:rPr>
                <w:color w:val="000000"/>
                <w:spacing w:val="1"/>
                <w:shd w:val="solid" w:color="000000" w:fill="000000"/>
                <w:fitText w:val="210" w:id="-893196541"/>
                <w14:textFill>
                  <w14:solidFill>
                    <w14:srgbClr w14:val="000000">
                      <w14:alpha w14:val="100000"/>
                    </w14:srgbClr>
                  </w14:solidFill>
                </w14:textFill>
              </w:rPr>
              <w:t>|</w:t>
            </w:r>
            <w:r w:rsidR="0028023C">
              <w:rPr>
                <w:vertAlign w:val="superscript"/>
              </w:rPr>
              <w:t>2</w:t>
            </w:r>
          </w:p>
        </w:tc>
        <w:tc>
          <w:tcPr>
            <w:tcW w:w="851" w:type="dxa"/>
            <w:vAlign w:val="center"/>
          </w:tcPr>
          <w:p w14:paraId="26DCEBE6" w14:textId="65699E47" w:rsidR="0023360D" w:rsidRPr="005F522F" w:rsidRDefault="005F522F" w:rsidP="003A0777">
            <w:pPr>
              <w:pStyle w:val="TableText0"/>
              <w:jc w:val="center"/>
              <w:rPr>
                <w:highlight w:val="darkGray"/>
              </w:rPr>
            </w:pPr>
            <w:r w:rsidRPr="005F522F">
              <w:rPr>
                <w:color w:val="000000"/>
                <w:spacing w:val="41"/>
                <w:shd w:val="solid" w:color="000000" w:fill="000000"/>
                <w:fitText w:val="210" w:id="-893196540"/>
                <w14:textFill>
                  <w14:solidFill>
                    <w14:srgbClr w14:val="000000">
                      <w14:alpha w14:val="100000"/>
                    </w14:srgbClr>
                  </w14:solidFill>
                </w14:textFill>
              </w:rPr>
              <w:t>||</w:t>
            </w:r>
            <w:r w:rsidRPr="005F522F">
              <w:rPr>
                <w:color w:val="000000"/>
                <w:spacing w:val="1"/>
                <w:shd w:val="solid" w:color="000000" w:fill="000000"/>
                <w:fitText w:val="210" w:id="-893196540"/>
                <w14:textFill>
                  <w14:solidFill>
                    <w14:srgbClr w14:val="000000">
                      <w14:alpha w14:val="100000"/>
                    </w14:srgbClr>
                  </w14:solidFill>
                </w14:textFill>
              </w:rPr>
              <w:t>|</w:t>
            </w:r>
            <w:r w:rsidR="0028023C">
              <w:rPr>
                <w:vertAlign w:val="superscript"/>
              </w:rPr>
              <w:t>2</w:t>
            </w:r>
          </w:p>
        </w:tc>
        <w:tc>
          <w:tcPr>
            <w:tcW w:w="992" w:type="dxa"/>
            <w:vAlign w:val="center"/>
          </w:tcPr>
          <w:p w14:paraId="04529F04" w14:textId="4AE64B3F" w:rsidR="0023360D" w:rsidRPr="005F522F" w:rsidRDefault="005F522F" w:rsidP="003A0777">
            <w:pPr>
              <w:pStyle w:val="TableText0"/>
              <w:jc w:val="center"/>
              <w:rPr>
                <w:highlight w:val="darkGray"/>
              </w:rPr>
            </w:pPr>
            <w:r w:rsidRPr="005F522F">
              <w:rPr>
                <w:color w:val="000000"/>
                <w:spacing w:val="41"/>
                <w:shd w:val="solid" w:color="000000" w:fill="000000"/>
                <w:fitText w:val="210" w:id="-893196539"/>
                <w14:textFill>
                  <w14:solidFill>
                    <w14:srgbClr w14:val="000000">
                      <w14:alpha w14:val="100000"/>
                    </w14:srgbClr>
                  </w14:solidFill>
                </w14:textFill>
              </w:rPr>
              <w:t>||</w:t>
            </w:r>
            <w:r w:rsidRPr="005F522F">
              <w:rPr>
                <w:color w:val="000000"/>
                <w:spacing w:val="1"/>
                <w:shd w:val="solid" w:color="000000" w:fill="000000"/>
                <w:fitText w:val="210" w:id="-893196539"/>
                <w14:textFill>
                  <w14:solidFill>
                    <w14:srgbClr w14:val="000000">
                      <w14:alpha w14:val="100000"/>
                    </w14:srgbClr>
                  </w14:solidFill>
                </w14:textFill>
              </w:rPr>
              <w:t>|</w:t>
            </w:r>
            <w:r w:rsidR="0028023C">
              <w:rPr>
                <w:vertAlign w:val="superscript"/>
              </w:rPr>
              <w:t>2</w:t>
            </w:r>
          </w:p>
        </w:tc>
        <w:tc>
          <w:tcPr>
            <w:tcW w:w="850" w:type="dxa"/>
            <w:vAlign w:val="center"/>
          </w:tcPr>
          <w:p w14:paraId="70AB025D" w14:textId="57AE5BC9" w:rsidR="0023360D" w:rsidRPr="005F522F" w:rsidRDefault="005F522F" w:rsidP="003A0777">
            <w:pPr>
              <w:pStyle w:val="TableText0"/>
              <w:jc w:val="center"/>
              <w:rPr>
                <w:highlight w:val="darkGray"/>
              </w:rPr>
            </w:pPr>
            <w:r w:rsidRPr="005F522F">
              <w:rPr>
                <w:color w:val="000000"/>
                <w:spacing w:val="41"/>
                <w:shd w:val="solid" w:color="000000" w:fill="000000"/>
                <w:fitText w:val="210" w:id="-893196538"/>
                <w14:textFill>
                  <w14:solidFill>
                    <w14:srgbClr w14:val="000000">
                      <w14:alpha w14:val="100000"/>
                    </w14:srgbClr>
                  </w14:solidFill>
                </w14:textFill>
              </w:rPr>
              <w:t>||</w:t>
            </w:r>
            <w:r w:rsidRPr="005F522F">
              <w:rPr>
                <w:color w:val="000000"/>
                <w:spacing w:val="1"/>
                <w:shd w:val="solid" w:color="000000" w:fill="000000"/>
                <w:fitText w:val="210" w:id="-893196538"/>
                <w14:textFill>
                  <w14:solidFill>
                    <w14:srgbClr w14:val="000000">
                      <w14:alpha w14:val="100000"/>
                    </w14:srgbClr>
                  </w14:solidFill>
                </w14:textFill>
              </w:rPr>
              <w:t>|</w:t>
            </w:r>
            <w:r w:rsidR="0028023C">
              <w:rPr>
                <w:vertAlign w:val="superscript"/>
              </w:rPr>
              <w:t>2</w:t>
            </w:r>
          </w:p>
        </w:tc>
      </w:tr>
      <w:tr w:rsidR="00C43087" w:rsidRPr="005464FA" w14:paraId="52578373" w14:textId="77777777" w:rsidTr="009164BC">
        <w:tc>
          <w:tcPr>
            <w:tcW w:w="3397" w:type="dxa"/>
          </w:tcPr>
          <w:p w14:paraId="3CFB396F" w14:textId="77777777" w:rsidR="0023360D" w:rsidRPr="005464FA" w:rsidRDefault="0023360D" w:rsidP="003A0777">
            <w:pPr>
              <w:pStyle w:val="TableText0"/>
            </w:pPr>
            <w:r w:rsidRPr="005464FA">
              <w:t>Recurrent population (66%)</w:t>
            </w:r>
          </w:p>
        </w:tc>
        <w:tc>
          <w:tcPr>
            <w:tcW w:w="851" w:type="dxa"/>
            <w:vAlign w:val="center"/>
          </w:tcPr>
          <w:p w14:paraId="0CD72182" w14:textId="5ECEB37E" w:rsidR="0023360D" w:rsidRPr="005F522F" w:rsidRDefault="005F522F" w:rsidP="003A0777">
            <w:pPr>
              <w:pStyle w:val="TableText0"/>
              <w:jc w:val="center"/>
              <w:rPr>
                <w:highlight w:val="darkGray"/>
              </w:rPr>
            </w:pPr>
            <w:r w:rsidRPr="005F522F">
              <w:rPr>
                <w:color w:val="000000"/>
                <w:spacing w:val="41"/>
                <w:shd w:val="solid" w:color="000000" w:fill="000000"/>
                <w:fitText w:val="210" w:id="-893196537"/>
                <w14:textFill>
                  <w14:solidFill>
                    <w14:srgbClr w14:val="000000">
                      <w14:alpha w14:val="100000"/>
                    </w14:srgbClr>
                  </w14:solidFill>
                </w14:textFill>
              </w:rPr>
              <w:t>||</w:t>
            </w:r>
            <w:r w:rsidRPr="005F522F">
              <w:rPr>
                <w:color w:val="000000"/>
                <w:spacing w:val="1"/>
                <w:shd w:val="solid" w:color="000000" w:fill="000000"/>
                <w:fitText w:val="210" w:id="-893196537"/>
                <w14:textFill>
                  <w14:solidFill>
                    <w14:srgbClr w14:val="000000">
                      <w14:alpha w14:val="100000"/>
                    </w14:srgbClr>
                  </w14:solidFill>
                </w14:textFill>
              </w:rPr>
              <w:t>|</w:t>
            </w:r>
            <w:r w:rsidR="0028023C">
              <w:rPr>
                <w:vertAlign w:val="superscript"/>
              </w:rPr>
              <w:t>2</w:t>
            </w:r>
          </w:p>
        </w:tc>
        <w:tc>
          <w:tcPr>
            <w:tcW w:w="992" w:type="dxa"/>
            <w:vAlign w:val="center"/>
          </w:tcPr>
          <w:p w14:paraId="342D24F6" w14:textId="07DACF5E" w:rsidR="0023360D" w:rsidRPr="005F522F" w:rsidRDefault="005F522F" w:rsidP="003A0777">
            <w:pPr>
              <w:pStyle w:val="TableText0"/>
              <w:jc w:val="center"/>
              <w:rPr>
                <w:highlight w:val="darkGray"/>
              </w:rPr>
            </w:pPr>
            <w:r w:rsidRPr="005F522F">
              <w:rPr>
                <w:color w:val="000000"/>
                <w:spacing w:val="41"/>
                <w:shd w:val="solid" w:color="000000" w:fill="000000"/>
                <w:fitText w:val="210" w:id="-893196536"/>
                <w14:textFill>
                  <w14:solidFill>
                    <w14:srgbClr w14:val="000000">
                      <w14:alpha w14:val="100000"/>
                    </w14:srgbClr>
                  </w14:solidFill>
                </w14:textFill>
              </w:rPr>
              <w:t>||</w:t>
            </w:r>
            <w:r w:rsidRPr="005F522F">
              <w:rPr>
                <w:color w:val="000000"/>
                <w:spacing w:val="1"/>
                <w:shd w:val="solid" w:color="000000" w:fill="000000"/>
                <w:fitText w:val="210" w:id="-893196536"/>
                <w14:textFill>
                  <w14:solidFill>
                    <w14:srgbClr w14:val="000000">
                      <w14:alpha w14:val="100000"/>
                    </w14:srgbClr>
                  </w14:solidFill>
                </w14:textFill>
              </w:rPr>
              <w:t>|</w:t>
            </w:r>
            <w:r w:rsidR="0028023C">
              <w:rPr>
                <w:vertAlign w:val="superscript"/>
              </w:rPr>
              <w:t>2</w:t>
            </w:r>
          </w:p>
        </w:tc>
        <w:tc>
          <w:tcPr>
            <w:tcW w:w="992" w:type="dxa"/>
            <w:vAlign w:val="center"/>
          </w:tcPr>
          <w:p w14:paraId="42EFB5B4" w14:textId="5AC9E0AC" w:rsidR="0023360D" w:rsidRPr="005F522F" w:rsidRDefault="005F522F" w:rsidP="003A0777">
            <w:pPr>
              <w:pStyle w:val="TableText0"/>
              <w:jc w:val="center"/>
              <w:rPr>
                <w:highlight w:val="darkGray"/>
              </w:rPr>
            </w:pPr>
            <w:r w:rsidRPr="005F522F">
              <w:rPr>
                <w:color w:val="000000"/>
                <w:spacing w:val="41"/>
                <w:shd w:val="solid" w:color="000000" w:fill="000000"/>
                <w:fitText w:val="210" w:id="-893196535"/>
                <w14:textFill>
                  <w14:solidFill>
                    <w14:srgbClr w14:val="000000">
                      <w14:alpha w14:val="100000"/>
                    </w14:srgbClr>
                  </w14:solidFill>
                </w14:textFill>
              </w:rPr>
              <w:t>||</w:t>
            </w:r>
            <w:r w:rsidRPr="005F522F">
              <w:rPr>
                <w:color w:val="000000"/>
                <w:spacing w:val="1"/>
                <w:shd w:val="solid" w:color="000000" w:fill="000000"/>
                <w:fitText w:val="210" w:id="-893196535"/>
                <w14:textFill>
                  <w14:solidFill>
                    <w14:srgbClr w14:val="000000">
                      <w14:alpha w14:val="100000"/>
                    </w14:srgbClr>
                  </w14:solidFill>
                </w14:textFill>
              </w:rPr>
              <w:t>|</w:t>
            </w:r>
            <w:r w:rsidR="0028023C">
              <w:rPr>
                <w:vertAlign w:val="superscript"/>
              </w:rPr>
              <w:t>2</w:t>
            </w:r>
          </w:p>
        </w:tc>
        <w:tc>
          <w:tcPr>
            <w:tcW w:w="851" w:type="dxa"/>
            <w:vAlign w:val="center"/>
          </w:tcPr>
          <w:p w14:paraId="011A870C" w14:textId="1DA1E88D" w:rsidR="0023360D" w:rsidRPr="005F522F" w:rsidRDefault="005F522F" w:rsidP="003A0777">
            <w:pPr>
              <w:pStyle w:val="TableText0"/>
              <w:jc w:val="center"/>
              <w:rPr>
                <w:highlight w:val="darkGray"/>
              </w:rPr>
            </w:pPr>
            <w:r w:rsidRPr="005F522F">
              <w:rPr>
                <w:color w:val="000000"/>
                <w:spacing w:val="41"/>
                <w:shd w:val="solid" w:color="000000" w:fill="000000"/>
                <w:fitText w:val="210" w:id="-893196534"/>
                <w14:textFill>
                  <w14:solidFill>
                    <w14:srgbClr w14:val="000000">
                      <w14:alpha w14:val="100000"/>
                    </w14:srgbClr>
                  </w14:solidFill>
                </w14:textFill>
              </w:rPr>
              <w:t>||</w:t>
            </w:r>
            <w:r w:rsidRPr="005F522F">
              <w:rPr>
                <w:color w:val="000000"/>
                <w:spacing w:val="1"/>
                <w:shd w:val="solid" w:color="000000" w:fill="000000"/>
                <w:fitText w:val="210" w:id="-893196534"/>
                <w14:textFill>
                  <w14:solidFill>
                    <w14:srgbClr w14:val="000000">
                      <w14:alpha w14:val="100000"/>
                    </w14:srgbClr>
                  </w14:solidFill>
                </w14:textFill>
              </w:rPr>
              <w:t>|</w:t>
            </w:r>
            <w:r w:rsidR="0028023C">
              <w:rPr>
                <w:vertAlign w:val="superscript"/>
              </w:rPr>
              <w:t>2</w:t>
            </w:r>
          </w:p>
        </w:tc>
        <w:tc>
          <w:tcPr>
            <w:tcW w:w="992" w:type="dxa"/>
            <w:vAlign w:val="center"/>
          </w:tcPr>
          <w:p w14:paraId="71BB83DD" w14:textId="1A14DFB1" w:rsidR="0023360D" w:rsidRPr="005F522F" w:rsidRDefault="005F522F" w:rsidP="003A0777">
            <w:pPr>
              <w:pStyle w:val="TableText0"/>
              <w:jc w:val="center"/>
              <w:rPr>
                <w:highlight w:val="darkGray"/>
              </w:rPr>
            </w:pPr>
            <w:r w:rsidRPr="005F522F">
              <w:rPr>
                <w:color w:val="000000"/>
                <w:spacing w:val="41"/>
                <w:shd w:val="solid" w:color="000000" w:fill="000000"/>
                <w:fitText w:val="210" w:id="-893196533"/>
                <w14:textFill>
                  <w14:solidFill>
                    <w14:srgbClr w14:val="000000">
                      <w14:alpha w14:val="100000"/>
                    </w14:srgbClr>
                  </w14:solidFill>
                </w14:textFill>
              </w:rPr>
              <w:t>||</w:t>
            </w:r>
            <w:r w:rsidRPr="005F522F">
              <w:rPr>
                <w:color w:val="000000"/>
                <w:spacing w:val="1"/>
                <w:shd w:val="solid" w:color="000000" w:fill="000000"/>
                <w:fitText w:val="210" w:id="-893196533"/>
                <w14:textFill>
                  <w14:solidFill>
                    <w14:srgbClr w14:val="000000">
                      <w14:alpha w14:val="100000"/>
                    </w14:srgbClr>
                  </w14:solidFill>
                </w14:textFill>
              </w:rPr>
              <w:t>|</w:t>
            </w:r>
            <w:r w:rsidR="0028023C">
              <w:rPr>
                <w:vertAlign w:val="superscript"/>
              </w:rPr>
              <w:t>2</w:t>
            </w:r>
          </w:p>
        </w:tc>
        <w:tc>
          <w:tcPr>
            <w:tcW w:w="850" w:type="dxa"/>
            <w:vAlign w:val="center"/>
          </w:tcPr>
          <w:p w14:paraId="41BEB171" w14:textId="1AD38BF9" w:rsidR="0023360D" w:rsidRPr="005F522F" w:rsidRDefault="005F522F" w:rsidP="003A0777">
            <w:pPr>
              <w:pStyle w:val="TableText0"/>
              <w:jc w:val="center"/>
              <w:rPr>
                <w:highlight w:val="darkGray"/>
              </w:rPr>
            </w:pPr>
            <w:r w:rsidRPr="005F522F">
              <w:rPr>
                <w:color w:val="000000"/>
                <w:spacing w:val="41"/>
                <w:shd w:val="solid" w:color="000000" w:fill="000000"/>
                <w:fitText w:val="210" w:id="-893196532"/>
                <w14:textFill>
                  <w14:solidFill>
                    <w14:srgbClr w14:val="000000">
                      <w14:alpha w14:val="100000"/>
                    </w14:srgbClr>
                  </w14:solidFill>
                </w14:textFill>
              </w:rPr>
              <w:t>||</w:t>
            </w:r>
            <w:r w:rsidRPr="005F522F">
              <w:rPr>
                <w:color w:val="000000"/>
                <w:spacing w:val="1"/>
                <w:shd w:val="solid" w:color="000000" w:fill="000000"/>
                <w:fitText w:val="210" w:id="-893196532"/>
                <w14:textFill>
                  <w14:solidFill>
                    <w14:srgbClr w14:val="000000">
                      <w14:alpha w14:val="100000"/>
                    </w14:srgbClr>
                  </w14:solidFill>
                </w14:textFill>
              </w:rPr>
              <w:t>|</w:t>
            </w:r>
            <w:r w:rsidR="0028023C">
              <w:rPr>
                <w:vertAlign w:val="superscript"/>
              </w:rPr>
              <w:t>2</w:t>
            </w:r>
          </w:p>
        </w:tc>
      </w:tr>
      <w:tr w:rsidR="00C43087" w:rsidRPr="005464FA" w14:paraId="6A35B347" w14:textId="77777777" w:rsidTr="009164BC">
        <w:tc>
          <w:tcPr>
            <w:tcW w:w="3397" w:type="dxa"/>
          </w:tcPr>
          <w:p w14:paraId="1D31C8F5" w14:textId="4AF6579E" w:rsidR="00F548DB" w:rsidRPr="005464FA" w:rsidDel="00734552" w:rsidRDefault="00F548DB" w:rsidP="00F548DB">
            <w:pPr>
              <w:pStyle w:val="TableText0"/>
              <w:ind w:left="176"/>
              <w:rPr>
                <w:highlight w:val="yellow"/>
              </w:rPr>
            </w:pPr>
            <w:r w:rsidRPr="005464FA">
              <w:t xml:space="preserve">Proportion tested for </w:t>
            </w:r>
            <w:r w:rsidR="009F5B43" w:rsidRPr="005464FA">
              <w:rPr>
                <w:i/>
                <w:iCs/>
              </w:rPr>
              <w:t>BRCA</w:t>
            </w:r>
          </w:p>
        </w:tc>
        <w:tc>
          <w:tcPr>
            <w:tcW w:w="851" w:type="dxa"/>
          </w:tcPr>
          <w:p w14:paraId="19F72045" w14:textId="433ED786" w:rsidR="00F548DB" w:rsidRPr="005464FA" w:rsidRDefault="00C82FF1" w:rsidP="00F548DB">
            <w:pPr>
              <w:pStyle w:val="TableText0"/>
              <w:jc w:val="center"/>
              <w:rPr>
                <w:color w:val="000000"/>
                <w:highlight w:val="yellow"/>
              </w:rP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c>
          <w:tcPr>
            <w:tcW w:w="992" w:type="dxa"/>
          </w:tcPr>
          <w:p w14:paraId="389DB28F" w14:textId="2E9153F0" w:rsidR="00F548DB" w:rsidRPr="005464FA" w:rsidRDefault="00C82FF1" w:rsidP="00F548DB">
            <w:pPr>
              <w:pStyle w:val="TableText0"/>
              <w:jc w:val="center"/>
              <w:rPr>
                <w:color w:val="000000"/>
                <w:highlight w:val="yellow"/>
              </w:rP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c>
          <w:tcPr>
            <w:tcW w:w="992" w:type="dxa"/>
          </w:tcPr>
          <w:p w14:paraId="14D7FA55" w14:textId="6540999C" w:rsidR="00F548DB" w:rsidRPr="005464FA" w:rsidRDefault="00C82FF1" w:rsidP="00F548DB">
            <w:pPr>
              <w:pStyle w:val="TableText0"/>
              <w:jc w:val="center"/>
              <w:rPr>
                <w:color w:val="000000"/>
                <w:highlight w:val="yellow"/>
              </w:rP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c>
          <w:tcPr>
            <w:tcW w:w="851" w:type="dxa"/>
          </w:tcPr>
          <w:p w14:paraId="3CAB5550" w14:textId="15333BFB" w:rsidR="00F548DB" w:rsidRPr="005464FA" w:rsidRDefault="00C82FF1" w:rsidP="00F548DB">
            <w:pPr>
              <w:pStyle w:val="TableText0"/>
              <w:jc w:val="center"/>
              <w:rPr>
                <w:color w:val="000000"/>
                <w:highlight w:val="yellow"/>
              </w:rP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c>
          <w:tcPr>
            <w:tcW w:w="992" w:type="dxa"/>
          </w:tcPr>
          <w:p w14:paraId="13F4AE04" w14:textId="7005E012" w:rsidR="00F548DB" w:rsidRPr="005464FA" w:rsidRDefault="00C82FF1" w:rsidP="00F548DB">
            <w:pPr>
              <w:pStyle w:val="TableText0"/>
              <w:jc w:val="center"/>
              <w:rPr>
                <w:color w:val="000000"/>
                <w:highlight w:val="yellow"/>
              </w:rP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c>
          <w:tcPr>
            <w:tcW w:w="850" w:type="dxa"/>
          </w:tcPr>
          <w:p w14:paraId="2CC47BAA" w14:textId="752748F8" w:rsidR="00F548DB" w:rsidRPr="005464FA" w:rsidRDefault="00C82FF1" w:rsidP="00F548DB">
            <w:pPr>
              <w:pStyle w:val="TableText0"/>
              <w:jc w:val="center"/>
              <w:rPr>
                <w:color w:val="000000"/>
                <w:highlight w:val="yellow"/>
              </w:rPr>
            </w:pPr>
            <w:r w:rsidRPr="00C82FF1">
              <w:rPr>
                <w:color w:val="000000"/>
                <w:spacing w:val="41"/>
                <w:shd w:val="solid" w:color="000000" w:fill="000000"/>
                <w:fitText w:val="210" w:id="-893196793"/>
                <w14:textFill>
                  <w14:solidFill>
                    <w14:srgbClr w14:val="000000">
                      <w14:alpha w14:val="100000"/>
                    </w14:srgbClr>
                  </w14:solidFill>
                </w14:textFill>
              </w:rPr>
              <w:t>||</w:t>
            </w:r>
            <w:r w:rsidRPr="00C82FF1">
              <w:rPr>
                <w:color w:val="000000"/>
                <w:spacing w:val="1"/>
                <w:shd w:val="solid" w:color="000000" w:fill="000000"/>
                <w:fitText w:val="210" w:id="-893196793"/>
                <w14:textFill>
                  <w14:solidFill>
                    <w14:srgbClr w14:val="000000">
                      <w14:alpha w14:val="100000"/>
                    </w14:srgbClr>
                  </w14:solidFill>
                </w14:textFill>
              </w:rPr>
              <w:t>|</w:t>
            </w:r>
            <w:r w:rsidRPr="005464FA">
              <w:t>%</w:t>
            </w:r>
          </w:p>
        </w:tc>
      </w:tr>
      <w:tr w:rsidR="00C43087" w:rsidRPr="005464FA" w14:paraId="49182B2B" w14:textId="77777777" w:rsidTr="009164BC">
        <w:tc>
          <w:tcPr>
            <w:tcW w:w="3397" w:type="dxa"/>
          </w:tcPr>
          <w:p w14:paraId="58B48AE0" w14:textId="1BE0C5C5" w:rsidR="00F548DB" w:rsidRPr="005464FA" w:rsidRDefault="00F548DB" w:rsidP="00F548DB">
            <w:pPr>
              <w:pStyle w:val="TableText0"/>
              <w:ind w:left="176"/>
            </w:pPr>
            <w:bookmarkStart w:id="97" w:name="_Hlk166426356"/>
            <w:r w:rsidRPr="005464FA">
              <w:t xml:space="preserve">Recurrent metastatic cancer tested for </w:t>
            </w:r>
            <w:r w:rsidR="009F5B43" w:rsidRPr="005464FA">
              <w:rPr>
                <w:i/>
                <w:iCs/>
              </w:rPr>
              <w:t>BRCA</w:t>
            </w:r>
          </w:p>
        </w:tc>
        <w:tc>
          <w:tcPr>
            <w:tcW w:w="851" w:type="dxa"/>
            <w:vAlign w:val="center"/>
          </w:tcPr>
          <w:p w14:paraId="2140A126" w14:textId="10351246" w:rsidR="00F548DB" w:rsidRPr="005F522F" w:rsidRDefault="005F522F" w:rsidP="00F548DB">
            <w:pPr>
              <w:pStyle w:val="TableText0"/>
              <w:jc w:val="center"/>
              <w:rPr>
                <w:highlight w:val="darkGray"/>
              </w:rPr>
            </w:pPr>
            <w:r w:rsidRPr="005F522F">
              <w:rPr>
                <w:color w:val="000000"/>
                <w:spacing w:val="41"/>
                <w:shd w:val="solid" w:color="000000" w:fill="000000"/>
                <w:fitText w:val="210" w:id="-893196531"/>
                <w14:textFill>
                  <w14:solidFill>
                    <w14:srgbClr w14:val="000000">
                      <w14:alpha w14:val="100000"/>
                    </w14:srgbClr>
                  </w14:solidFill>
                </w14:textFill>
              </w:rPr>
              <w:t>||</w:t>
            </w:r>
            <w:r w:rsidRPr="005F522F">
              <w:rPr>
                <w:color w:val="000000"/>
                <w:spacing w:val="1"/>
                <w:shd w:val="solid" w:color="000000" w:fill="000000"/>
                <w:fitText w:val="210" w:id="-893196531"/>
                <w14:textFill>
                  <w14:solidFill>
                    <w14:srgbClr w14:val="000000">
                      <w14:alpha w14:val="100000"/>
                    </w14:srgbClr>
                  </w14:solidFill>
                </w14:textFill>
              </w:rPr>
              <w:t>|</w:t>
            </w:r>
            <w:r w:rsidR="0028023C">
              <w:rPr>
                <w:vertAlign w:val="superscript"/>
              </w:rPr>
              <w:t>2</w:t>
            </w:r>
          </w:p>
        </w:tc>
        <w:tc>
          <w:tcPr>
            <w:tcW w:w="992" w:type="dxa"/>
            <w:vAlign w:val="center"/>
          </w:tcPr>
          <w:p w14:paraId="4772E640" w14:textId="3545AF67" w:rsidR="00F548DB" w:rsidRPr="005F522F" w:rsidRDefault="005F522F" w:rsidP="00F548DB">
            <w:pPr>
              <w:pStyle w:val="TableText0"/>
              <w:jc w:val="center"/>
              <w:rPr>
                <w:highlight w:val="darkGray"/>
              </w:rPr>
            </w:pPr>
            <w:r w:rsidRPr="005F522F">
              <w:rPr>
                <w:color w:val="000000"/>
                <w:spacing w:val="41"/>
                <w:shd w:val="solid" w:color="000000" w:fill="000000"/>
                <w:fitText w:val="210" w:id="-893196530"/>
                <w14:textFill>
                  <w14:solidFill>
                    <w14:srgbClr w14:val="000000">
                      <w14:alpha w14:val="100000"/>
                    </w14:srgbClr>
                  </w14:solidFill>
                </w14:textFill>
              </w:rPr>
              <w:t>||</w:t>
            </w:r>
            <w:r w:rsidRPr="005F522F">
              <w:rPr>
                <w:color w:val="000000"/>
                <w:spacing w:val="1"/>
                <w:shd w:val="solid" w:color="000000" w:fill="000000"/>
                <w:fitText w:val="210" w:id="-893196530"/>
                <w14:textFill>
                  <w14:solidFill>
                    <w14:srgbClr w14:val="000000">
                      <w14:alpha w14:val="100000"/>
                    </w14:srgbClr>
                  </w14:solidFill>
                </w14:textFill>
              </w:rPr>
              <w:t>|</w:t>
            </w:r>
            <w:r w:rsidR="0028023C">
              <w:rPr>
                <w:vertAlign w:val="superscript"/>
              </w:rPr>
              <w:t>2</w:t>
            </w:r>
          </w:p>
        </w:tc>
        <w:tc>
          <w:tcPr>
            <w:tcW w:w="992" w:type="dxa"/>
            <w:vAlign w:val="center"/>
          </w:tcPr>
          <w:p w14:paraId="1DF80EFA" w14:textId="6BE0E9E2" w:rsidR="00F548DB" w:rsidRPr="005F522F" w:rsidRDefault="005F522F" w:rsidP="00F548DB">
            <w:pPr>
              <w:pStyle w:val="TableText0"/>
              <w:jc w:val="center"/>
              <w:rPr>
                <w:highlight w:val="darkGray"/>
              </w:rPr>
            </w:pPr>
            <w:r w:rsidRPr="005F522F">
              <w:rPr>
                <w:color w:val="000000"/>
                <w:spacing w:val="41"/>
                <w:shd w:val="solid" w:color="000000" w:fill="000000"/>
                <w:fitText w:val="210" w:id="-893196529"/>
                <w14:textFill>
                  <w14:solidFill>
                    <w14:srgbClr w14:val="000000">
                      <w14:alpha w14:val="100000"/>
                    </w14:srgbClr>
                  </w14:solidFill>
                </w14:textFill>
              </w:rPr>
              <w:t>||</w:t>
            </w:r>
            <w:r w:rsidRPr="005F522F">
              <w:rPr>
                <w:color w:val="000000"/>
                <w:spacing w:val="1"/>
                <w:shd w:val="solid" w:color="000000" w:fill="000000"/>
                <w:fitText w:val="210" w:id="-893196529"/>
                <w14:textFill>
                  <w14:solidFill>
                    <w14:srgbClr w14:val="000000">
                      <w14:alpha w14:val="100000"/>
                    </w14:srgbClr>
                  </w14:solidFill>
                </w14:textFill>
              </w:rPr>
              <w:t>|</w:t>
            </w:r>
            <w:r w:rsidR="0028023C">
              <w:rPr>
                <w:vertAlign w:val="superscript"/>
              </w:rPr>
              <w:t>2</w:t>
            </w:r>
          </w:p>
        </w:tc>
        <w:tc>
          <w:tcPr>
            <w:tcW w:w="851" w:type="dxa"/>
            <w:vAlign w:val="center"/>
          </w:tcPr>
          <w:p w14:paraId="50634B9C" w14:textId="5EFD8C68" w:rsidR="00F548DB" w:rsidRPr="005F522F" w:rsidRDefault="005F522F" w:rsidP="00F548DB">
            <w:pPr>
              <w:pStyle w:val="TableText0"/>
              <w:jc w:val="center"/>
              <w:rPr>
                <w:highlight w:val="darkGray"/>
              </w:rPr>
            </w:pPr>
            <w:r w:rsidRPr="005F522F">
              <w:rPr>
                <w:color w:val="000000"/>
                <w:spacing w:val="41"/>
                <w:shd w:val="solid" w:color="000000" w:fill="000000"/>
                <w:fitText w:val="210" w:id="-893196528"/>
                <w14:textFill>
                  <w14:solidFill>
                    <w14:srgbClr w14:val="000000">
                      <w14:alpha w14:val="100000"/>
                    </w14:srgbClr>
                  </w14:solidFill>
                </w14:textFill>
              </w:rPr>
              <w:t>||</w:t>
            </w:r>
            <w:r w:rsidRPr="005F522F">
              <w:rPr>
                <w:color w:val="000000"/>
                <w:spacing w:val="1"/>
                <w:shd w:val="solid" w:color="000000" w:fill="000000"/>
                <w:fitText w:val="210" w:id="-893196528"/>
                <w14:textFill>
                  <w14:solidFill>
                    <w14:srgbClr w14:val="000000">
                      <w14:alpha w14:val="100000"/>
                    </w14:srgbClr>
                  </w14:solidFill>
                </w14:textFill>
              </w:rPr>
              <w:t>|</w:t>
            </w:r>
            <w:r w:rsidR="0028023C">
              <w:rPr>
                <w:vertAlign w:val="superscript"/>
              </w:rPr>
              <w:t>2</w:t>
            </w:r>
          </w:p>
        </w:tc>
        <w:tc>
          <w:tcPr>
            <w:tcW w:w="992" w:type="dxa"/>
            <w:vAlign w:val="center"/>
          </w:tcPr>
          <w:p w14:paraId="0C5881C2" w14:textId="56DE4603" w:rsidR="00F548DB" w:rsidRPr="005F522F" w:rsidRDefault="005F522F" w:rsidP="00F548DB">
            <w:pPr>
              <w:pStyle w:val="TableText0"/>
              <w:jc w:val="center"/>
              <w:rPr>
                <w:highlight w:val="darkGray"/>
              </w:rPr>
            </w:pPr>
            <w:r w:rsidRPr="005F522F">
              <w:rPr>
                <w:color w:val="000000"/>
                <w:spacing w:val="41"/>
                <w:shd w:val="solid" w:color="000000" w:fill="000000"/>
                <w:fitText w:val="210" w:id="-893196544"/>
                <w14:textFill>
                  <w14:solidFill>
                    <w14:srgbClr w14:val="000000">
                      <w14:alpha w14:val="100000"/>
                    </w14:srgbClr>
                  </w14:solidFill>
                </w14:textFill>
              </w:rPr>
              <w:t>||</w:t>
            </w:r>
            <w:r w:rsidRPr="005F522F">
              <w:rPr>
                <w:color w:val="000000"/>
                <w:spacing w:val="1"/>
                <w:shd w:val="solid" w:color="000000" w:fill="000000"/>
                <w:fitText w:val="210" w:id="-893196544"/>
                <w14:textFill>
                  <w14:solidFill>
                    <w14:srgbClr w14:val="000000">
                      <w14:alpha w14:val="100000"/>
                    </w14:srgbClr>
                  </w14:solidFill>
                </w14:textFill>
              </w:rPr>
              <w:t>|</w:t>
            </w:r>
            <w:r w:rsidR="0028023C">
              <w:rPr>
                <w:vertAlign w:val="superscript"/>
              </w:rPr>
              <w:t>2</w:t>
            </w:r>
          </w:p>
        </w:tc>
        <w:tc>
          <w:tcPr>
            <w:tcW w:w="850" w:type="dxa"/>
            <w:vAlign w:val="center"/>
          </w:tcPr>
          <w:p w14:paraId="3A769A09" w14:textId="4B462336" w:rsidR="00F548DB" w:rsidRPr="005F522F" w:rsidRDefault="005F522F" w:rsidP="00F548DB">
            <w:pPr>
              <w:pStyle w:val="TableText0"/>
              <w:jc w:val="center"/>
              <w:rPr>
                <w:highlight w:val="darkGray"/>
              </w:rPr>
            </w:pPr>
            <w:r w:rsidRPr="005F522F">
              <w:rPr>
                <w:color w:val="000000"/>
                <w:spacing w:val="41"/>
                <w:shd w:val="solid" w:color="000000" w:fill="000000"/>
                <w:fitText w:val="210" w:id="-893196543"/>
                <w14:textFill>
                  <w14:solidFill>
                    <w14:srgbClr w14:val="000000">
                      <w14:alpha w14:val="100000"/>
                    </w14:srgbClr>
                  </w14:solidFill>
                </w14:textFill>
              </w:rPr>
              <w:t>||</w:t>
            </w:r>
            <w:r w:rsidRPr="005F522F">
              <w:rPr>
                <w:color w:val="000000"/>
                <w:spacing w:val="1"/>
                <w:shd w:val="solid" w:color="000000" w:fill="000000"/>
                <w:fitText w:val="210" w:id="-893196543"/>
                <w14:textFill>
                  <w14:solidFill>
                    <w14:srgbClr w14:val="000000">
                      <w14:alpha w14:val="100000"/>
                    </w14:srgbClr>
                  </w14:solidFill>
                </w14:textFill>
              </w:rPr>
              <w:t>|</w:t>
            </w:r>
            <w:r w:rsidR="0028023C">
              <w:rPr>
                <w:vertAlign w:val="superscript"/>
              </w:rPr>
              <w:t>2</w:t>
            </w:r>
          </w:p>
        </w:tc>
      </w:tr>
      <w:bookmarkEnd w:id="97"/>
      <w:tr w:rsidR="00C43087" w:rsidRPr="005464FA" w14:paraId="73B62463" w14:textId="77777777" w:rsidTr="009164BC">
        <w:tc>
          <w:tcPr>
            <w:tcW w:w="3397" w:type="dxa"/>
          </w:tcPr>
          <w:p w14:paraId="7E2076C5" w14:textId="7E9302EE" w:rsidR="00F548DB" w:rsidRPr="005464FA" w:rsidRDefault="00F548DB" w:rsidP="00F548DB">
            <w:pPr>
              <w:pStyle w:val="TableText0"/>
              <w:ind w:left="176"/>
            </w:pPr>
            <w:r w:rsidRPr="005464FA">
              <w:t xml:space="preserve"> Recurrent metastatic cancer who have received (neo)adjuvant chemotherapy (63%), and tested for </w:t>
            </w:r>
            <w:r w:rsidR="009F5B43" w:rsidRPr="005464FA">
              <w:rPr>
                <w:i/>
                <w:iCs/>
              </w:rPr>
              <w:t>BRCA</w:t>
            </w:r>
          </w:p>
        </w:tc>
        <w:tc>
          <w:tcPr>
            <w:tcW w:w="851" w:type="dxa"/>
            <w:vAlign w:val="center"/>
          </w:tcPr>
          <w:p w14:paraId="3E794F3D" w14:textId="67C70171" w:rsidR="00F548DB" w:rsidRPr="005F522F" w:rsidRDefault="005F522F" w:rsidP="00F548DB">
            <w:pPr>
              <w:pStyle w:val="TableText0"/>
              <w:jc w:val="center"/>
              <w:rPr>
                <w:highlight w:val="darkGray"/>
              </w:rPr>
            </w:pPr>
            <w:r w:rsidRPr="005F522F">
              <w:rPr>
                <w:color w:val="000000"/>
                <w:spacing w:val="41"/>
                <w:shd w:val="solid" w:color="000000" w:fill="000000"/>
                <w:fitText w:val="210" w:id="-893196542"/>
                <w14:textFill>
                  <w14:solidFill>
                    <w14:srgbClr w14:val="000000">
                      <w14:alpha w14:val="100000"/>
                    </w14:srgbClr>
                  </w14:solidFill>
                </w14:textFill>
              </w:rPr>
              <w:t>||</w:t>
            </w:r>
            <w:r w:rsidRPr="005F522F">
              <w:rPr>
                <w:color w:val="000000"/>
                <w:spacing w:val="1"/>
                <w:shd w:val="solid" w:color="000000" w:fill="000000"/>
                <w:fitText w:val="210" w:id="-893196542"/>
                <w14:textFill>
                  <w14:solidFill>
                    <w14:srgbClr w14:val="000000">
                      <w14:alpha w14:val="100000"/>
                    </w14:srgbClr>
                  </w14:solidFill>
                </w14:textFill>
              </w:rPr>
              <w:t>|</w:t>
            </w:r>
            <w:r w:rsidR="00345FE8">
              <w:rPr>
                <w:vertAlign w:val="superscript"/>
              </w:rPr>
              <w:t>3</w:t>
            </w:r>
          </w:p>
        </w:tc>
        <w:tc>
          <w:tcPr>
            <w:tcW w:w="992" w:type="dxa"/>
            <w:vAlign w:val="center"/>
          </w:tcPr>
          <w:p w14:paraId="4EE1BD49" w14:textId="096B8A26" w:rsidR="00F548DB" w:rsidRPr="005F522F" w:rsidRDefault="005F522F" w:rsidP="00F548DB">
            <w:pPr>
              <w:pStyle w:val="TableText0"/>
              <w:jc w:val="center"/>
              <w:rPr>
                <w:highlight w:val="darkGray"/>
              </w:rPr>
            </w:pPr>
            <w:r w:rsidRPr="00321BD9">
              <w:rPr>
                <w:color w:val="000000"/>
                <w:spacing w:val="41"/>
                <w:shd w:val="solid" w:color="000000" w:fill="000000"/>
                <w:fitText w:val="210" w:id="-893196541"/>
                <w14:textFill>
                  <w14:solidFill>
                    <w14:srgbClr w14:val="000000">
                      <w14:alpha w14:val="100000"/>
                    </w14:srgbClr>
                  </w14:solidFill>
                </w14:textFill>
              </w:rPr>
              <w:t>||</w:t>
            </w:r>
            <w:r w:rsidRPr="00321BD9">
              <w:rPr>
                <w:color w:val="000000"/>
                <w:spacing w:val="1"/>
                <w:shd w:val="solid" w:color="000000" w:fill="000000"/>
                <w:fitText w:val="210" w:id="-893196541"/>
                <w14:textFill>
                  <w14:solidFill>
                    <w14:srgbClr w14:val="000000">
                      <w14:alpha w14:val="100000"/>
                    </w14:srgbClr>
                  </w14:solidFill>
                </w14:textFill>
              </w:rPr>
              <w:t>|</w:t>
            </w:r>
            <w:r w:rsidR="0028023C">
              <w:rPr>
                <w:vertAlign w:val="superscript"/>
              </w:rPr>
              <w:t>2</w:t>
            </w:r>
          </w:p>
        </w:tc>
        <w:tc>
          <w:tcPr>
            <w:tcW w:w="992" w:type="dxa"/>
            <w:vAlign w:val="center"/>
          </w:tcPr>
          <w:p w14:paraId="45278976" w14:textId="73C737C4" w:rsidR="00F548DB" w:rsidRPr="005F522F" w:rsidRDefault="005F522F" w:rsidP="00F548DB">
            <w:pPr>
              <w:pStyle w:val="TableText0"/>
              <w:jc w:val="center"/>
              <w:rPr>
                <w:highlight w:val="darkGray"/>
              </w:rPr>
            </w:pPr>
            <w:r w:rsidRPr="005F522F">
              <w:rPr>
                <w:color w:val="000000"/>
                <w:spacing w:val="41"/>
                <w:shd w:val="solid" w:color="000000" w:fill="000000"/>
                <w:fitText w:val="210" w:id="-893196540"/>
                <w14:textFill>
                  <w14:solidFill>
                    <w14:srgbClr w14:val="000000">
                      <w14:alpha w14:val="100000"/>
                    </w14:srgbClr>
                  </w14:solidFill>
                </w14:textFill>
              </w:rPr>
              <w:t>||</w:t>
            </w:r>
            <w:r w:rsidRPr="005F522F">
              <w:rPr>
                <w:color w:val="000000"/>
                <w:spacing w:val="1"/>
                <w:shd w:val="solid" w:color="000000" w:fill="000000"/>
                <w:fitText w:val="210" w:id="-893196540"/>
                <w14:textFill>
                  <w14:solidFill>
                    <w14:srgbClr w14:val="000000">
                      <w14:alpha w14:val="100000"/>
                    </w14:srgbClr>
                  </w14:solidFill>
                </w14:textFill>
              </w:rPr>
              <w:t>|</w:t>
            </w:r>
            <w:r w:rsidR="0028023C">
              <w:rPr>
                <w:vertAlign w:val="superscript"/>
              </w:rPr>
              <w:t>2</w:t>
            </w:r>
          </w:p>
        </w:tc>
        <w:tc>
          <w:tcPr>
            <w:tcW w:w="851" w:type="dxa"/>
            <w:vAlign w:val="center"/>
          </w:tcPr>
          <w:p w14:paraId="18D15BF2" w14:textId="4F0DFF53" w:rsidR="00F548DB" w:rsidRPr="005F522F" w:rsidRDefault="005F522F" w:rsidP="00F548DB">
            <w:pPr>
              <w:pStyle w:val="TableText0"/>
              <w:jc w:val="center"/>
              <w:rPr>
                <w:highlight w:val="darkGray"/>
              </w:rPr>
            </w:pPr>
            <w:r w:rsidRPr="005F522F">
              <w:rPr>
                <w:color w:val="000000"/>
                <w:spacing w:val="41"/>
                <w:shd w:val="solid" w:color="000000" w:fill="000000"/>
                <w:fitText w:val="210" w:id="-893196539"/>
                <w14:textFill>
                  <w14:solidFill>
                    <w14:srgbClr w14:val="000000">
                      <w14:alpha w14:val="100000"/>
                    </w14:srgbClr>
                  </w14:solidFill>
                </w14:textFill>
              </w:rPr>
              <w:t>||</w:t>
            </w:r>
            <w:r w:rsidRPr="005F522F">
              <w:rPr>
                <w:color w:val="000000"/>
                <w:spacing w:val="1"/>
                <w:shd w:val="solid" w:color="000000" w:fill="000000"/>
                <w:fitText w:val="210" w:id="-893196539"/>
                <w14:textFill>
                  <w14:solidFill>
                    <w14:srgbClr w14:val="000000">
                      <w14:alpha w14:val="100000"/>
                    </w14:srgbClr>
                  </w14:solidFill>
                </w14:textFill>
              </w:rPr>
              <w:t>|</w:t>
            </w:r>
            <w:r w:rsidR="0028023C">
              <w:rPr>
                <w:vertAlign w:val="superscript"/>
              </w:rPr>
              <w:t>2</w:t>
            </w:r>
          </w:p>
        </w:tc>
        <w:tc>
          <w:tcPr>
            <w:tcW w:w="992" w:type="dxa"/>
            <w:vAlign w:val="center"/>
          </w:tcPr>
          <w:p w14:paraId="32C111DB" w14:textId="387D5801" w:rsidR="00F548DB" w:rsidRPr="005F522F" w:rsidRDefault="005F522F" w:rsidP="00F548DB">
            <w:pPr>
              <w:pStyle w:val="TableText0"/>
              <w:jc w:val="center"/>
              <w:rPr>
                <w:highlight w:val="darkGray"/>
              </w:rPr>
            </w:pPr>
            <w:r w:rsidRPr="005F522F">
              <w:rPr>
                <w:color w:val="000000"/>
                <w:spacing w:val="41"/>
                <w:shd w:val="solid" w:color="000000" w:fill="000000"/>
                <w:fitText w:val="210" w:id="-893196538"/>
                <w14:textFill>
                  <w14:solidFill>
                    <w14:srgbClr w14:val="000000">
                      <w14:alpha w14:val="100000"/>
                    </w14:srgbClr>
                  </w14:solidFill>
                </w14:textFill>
              </w:rPr>
              <w:t>||</w:t>
            </w:r>
            <w:r w:rsidRPr="005F522F">
              <w:rPr>
                <w:color w:val="000000"/>
                <w:spacing w:val="1"/>
                <w:shd w:val="solid" w:color="000000" w:fill="000000"/>
                <w:fitText w:val="210" w:id="-893196538"/>
                <w14:textFill>
                  <w14:solidFill>
                    <w14:srgbClr w14:val="000000">
                      <w14:alpha w14:val="100000"/>
                    </w14:srgbClr>
                  </w14:solidFill>
                </w14:textFill>
              </w:rPr>
              <w:t>|</w:t>
            </w:r>
            <w:r w:rsidR="0028023C">
              <w:rPr>
                <w:vertAlign w:val="superscript"/>
              </w:rPr>
              <w:t>2</w:t>
            </w:r>
          </w:p>
        </w:tc>
        <w:tc>
          <w:tcPr>
            <w:tcW w:w="850" w:type="dxa"/>
            <w:vAlign w:val="center"/>
          </w:tcPr>
          <w:p w14:paraId="33D6C837" w14:textId="50788A71" w:rsidR="00F548DB" w:rsidRPr="005F522F" w:rsidRDefault="005F522F" w:rsidP="00F548DB">
            <w:pPr>
              <w:pStyle w:val="TableText0"/>
              <w:jc w:val="center"/>
              <w:rPr>
                <w:highlight w:val="darkGray"/>
              </w:rPr>
            </w:pPr>
            <w:r w:rsidRPr="005F522F">
              <w:rPr>
                <w:color w:val="000000"/>
                <w:spacing w:val="41"/>
                <w:shd w:val="solid" w:color="000000" w:fill="000000"/>
                <w:fitText w:val="210" w:id="-893196537"/>
                <w14:textFill>
                  <w14:solidFill>
                    <w14:srgbClr w14:val="000000">
                      <w14:alpha w14:val="100000"/>
                    </w14:srgbClr>
                  </w14:solidFill>
                </w14:textFill>
              </w:rPr>
              <w:t>||</w:t>
            </w:r>
            <w:r w:rsidRPr="005F522F">
              <w:rPr>
                <w:color w:val="000000"/>
                <w:spacing w:val="1"/>
                <w:shd w:val="solid" w:color="000000" w:fill="000000"/>
                <w:fitText w:val="210" w:id="-893196537"/>
                <w14:textFill>
                  <w14:solidFill>
                    <w14:srgbClr w14:val="000000">
                      <w14:alpha w14:val="100000"/>
                    </w14:srgbClr>
                  </w14:solidFill>
                </w14:textFill>
              </w:rPr>
              <w:t>|</w:t>
            </w:r>
            <w:r w:rsidR="0028023C">
              <w:rPr>
                <w:vertAlign w:val="superscript"/>
              </w:rPr>
              <w:t>2</w:t>
            </w:r>
          </w:p>
        </w:tc>
      </w:tr>
      <w:tr w:rsidR="00C43087" w:rsidRPr="005464FA" w14:paraId="0FB15B51" w14:textId="77777777" w:rsidTr="009164BC">
        <w:tc>
          <w:tcPr>
            <w:tcW w:w="3397" w:type="dxa"/>
          </w:tcPr>
          <w:p w14:paraId="0DF86A94" w14:textId="680DED03" w:rsidR="00F548DB" w:rsidRPr="005464FA" w:rsidRDefault="00F548DB" w:rsidP="00F548DB">
            <w:pPr>
              <w:pStyle w:val="TableText0"/>
              <w:ind w:left="176"/>
            </w:pPr>
            <w:r w:rsidRPr="005464FA">
              <w:t xml:space="preserve">Recurrent metastatic cancer who have received (neo)adjuvant chemotherapy, and </w:t>
            </w:r>
            <w:r w:rsidR="009F5B43" w:rsidRPr="005464FA">
              <w:rPr>
                <w:i/>
                <w:iCs/>
              </w:rPr>
              <w:t>BRCA</w:t>
            </w:r>
            <w:r w:rsidRPr="005464FA">
              <w:t>m (5%)</w:t>
            </w:r>
          </w:p>
        </w:tc>
        <w:tc>
          <w:tcPr>
            <w:tcW w:w="851" w:type="dxa"/>
            <w:vAlign w:val="center"/>
          </w:tcPr>
          <w:p w14:paraId="0E1D79CC" w14:textId="1106081F" w:rsidR="00F548DB" w:rsidRPr="005F522F" w:rsidRDefault="005F522F" w:rsidP="00F548DB">
            <w:pPr>
              <w:pStyle w:val="TableText0"/>
              <w:jc w:val="center"/>
              <w:rPr>
                <w:highlight w:val="darkGray"/>
              </w:rPr>
            </w:pPr>
            <w:r w:rsidRPr="005F522F">
              <w:rPr>
                <w:color w:val="000000"/>
                <w:spacing w:val="41"/>
                <w:shd w:val="solid" w:color="000000" w:fill="000000"/>
                <w:fitText w:val="210" w:id="-893196536"/>
                <w14:textFill>
                  <w14:solidFill>
                    <w14:srgbClr w14:val="000000">
                      <w14:alpha w14:val="100000"/>
                    </w14:srgbClr>
                  </w14:solidFill>
                </w14:textFill>
              </w:rPr>
              <w:t>||</w:t>
            </w:r>
            <w:r w:rsidRPr="005F522F">
              <w:rPr>
                <w:color w:val="000000"/>
                <w:spacing w:val="1"/>
                <w:shd w:val="solid" w:color="000000" w:fill="000000"/>
                <w:fitText w:val="210" w:id="-893196536"/>
                <w14:textFill>
                  <w14:solidFill>
                    <w14:srgbClr w14:val="000000">
                      <w14:alpha w14:val="100000"/>
                    </w14:srgbClr>
                  </w14:solidFill>
                </w14:textFill>
              </w:rPr>
              <w:t>|</w:t>
            </w:r>
            <w:r w:rsidR="0028023C">
              <w:rPr>
                <w:vertAlign w:val="superscript"/>
              </w:rPr>
              <w:t>3</w:t>
            </w:r>
          </w:p>
        </w:tc>
        <w:tc>
          <w:tcPr>
            <w:tcW w:w="992" w:type="dxa"/>
            <w:vAlign w:val="center"/>
          </w:tcPr>
          <w:p w14:paraId="1BD64C45" w14:textId="222DF51C" w:rsidR="00F548DB" w:rsidRPr="005F522F" w:rsidRDefault="005F522F" w:rsidP="00F548DB">
            <w:pPr>
              <w:pStyle w:val="TableText0"/>
              <w:jc w:val="center"/>
              <w:rPr>
                <w:highlight w:val="darkGray"/>
              </w:rPr>
            </w:pPr>
            <w:r w:rsidRPr="005F522F">
              <w:rPr>
                <w:color w:val="000000"/>
                <w:spacing w:val="41"/>
                <w:shd w:val="solid" w:color="000000" w:fill="000000"/>
                <w:fitText w:val="210" w:id="-893196535"/>
                <w14:textFill>
                  <w14:solidFill>
                    <w14:srgbClr w14:val="000000">
                      <w14:alpha w14:val="100000"/>
                    </w14:srgbClr>
                  </w14:solidFill>
                </w14:textFill>
              </w:rPr>
              <w:t>||</w:t>
            </w:r>
            <w:r w:rsidRPr="005F522F">
              <w:rPr>
                <w:color w:val="000000"/>
                <w:spacing w:val="1"/>
                <w:shd w:val="solid" w:color="000000" w:fill="000000"/>
                <w:fitText w:val="210" w:id="-893196535"/>
                <w14:textFill>
                  <w14:solidFill>
                    <w14:srgbClr w14:val="000000">
                      <w14:alpha w14:val="100000"/>
                    </w14:srgbClr>
                  </w14:solidFill>
                </w14:textFill>
              </w:rPr>
              <w:t>|</w:t>
            </w:r>
            <w:r w:rsidR="0028023C">
              <w:rPr>
                <w:vertAlign w:val="superscript"/>
              </w:rPr>
              <w:t>3</w:t>
            </w:r>
          </w:p>
        </w:tc>
        <w:tc>
          <w:tcPr>
            <w:tcW w:w="992" w:type="dxa"/>
            <w:vAlign w:val="center"/>
          </w:tcPr>
          <w:p w14:paraId="0738BFA6" w14:textId="3FE8E42D" w:rsidR="00F548DB" w:rsidRPr="005F522F" w:rsidRDefault="005F522F" w:rsidP="00F548DB">
            <w:pPr>
              <w:pStyle w:val="TableText0"/>
              <w:jc w:val="center"/>
              <w:rPr>
                <w:highlight w:val="darkGray"/>
              </w:rPr>
            </w:pPr>
            <w:r w:rsidRPr="005F522F">
              <w:rPr>
                <w:color w:val="000000"/>
                <w:spacing w:val="41"/>
                <w:shd w:val="solid" w:color="000000" w:fill="000000"/>
                <w:fitText w:val="210" w:id="-893196534"/>
                <w14:textFill>
                  <w14:solidFill>
                    <w14:srgbClr w14:val="000000">
                      <w14:alpha w14:val="100000"/>
                    </w14:srgbClr>
                  </w14:solidFill>
                </w14:textFill>
              </w:rPr>
              <w:t>||</w:t>
            </w:r>
            <w:r w:rsidRPr="005F522F">
              <w:rPr>
                <w:color w:val="000000"/>
                <w:spacing w:val="1"/>
                <w:shd w:val="solid" w:color="000000" w:fill="000000"/>
                <w:fitText w:val="210" w:id="-893196534"/>
                <w14:textFill>
                  <w14:solidFill>
                    <w14:srgbClr w14:val="000000">
                      <w14:alpha w14:val="100000"/>
                    </w14:srgbClr>
                  </w14:solidFill>
                </w14:textFill>
              </w:rPr>
              <w:t>|</w:t>
            </w:r>
            <w:r w:rsidR="0028023C">
              <w:rPr>
                <w:vertAlign w:val="superscript"/>
              </w:rPr>
              <w:t>3</w:t>
            </w:r>
          </w:p>
        </w:tc>
        <w:tc>
          <w:tcPr>
            <w:tcW w:w="851" w:type="dxa"/>
            <w:vAlign w:val="center"/>
          </w:tcPr>
          <w:p w14:paraId="271CE8D8" w14:textId="6BD9BD72" w:rsidR="00F548DB" w:rsidRPr="005F522F" w:rsidRDefault="005F522F" w:rsidP="00F548DB">
            <w:pPr>
              <w:pStyle w:val="TableText0"/>
              <w:jc w:val="center"/>
              <w:rPr>
                <w:highlight w:val="darkGray"/>
              </w:rPr>
            </w:pPr>
            <w:r w:rsidRPr="005F522F">
              <w:rPr>
                <w:color w:val="000000"/>
                <w:spacing w:val="41"/>
                <w:shd w:val="solid" w:color="000000" w:fill="000000"/>
                <w:fitText w:val="210" w:id="-893196533"/>
                <w14:textFill>
                  <w14:solidFill>
                    <w14:srgbClr w14:val="000000">
                      <w14:alpha w14:val="100000"/>
                    </w14:srgbClr>
                  </w14:solidFill>
                </w14:textFill>
              </w:rPr>
              <w:t>||</w:t>
            </w:r>
            <w:r w:rsidRPr="005F522F">
              <w:rPr>
                <w:color w:val="000000"/>
                <w:spacing w:val="1"/>
                <w:shd w:val="solid" w:color="000000" w:fill="000000"/>
                <w:fitText w:val="210" w:id="-893196533"/>
                <w14:textFill>
                  <w14:solidFill>
                    <w14:srgbClr w14:val="000000">
                      <w14:alpha w14:val="100000"/>
                    </w14:srgbClr>
                  </w14:solidFill>
                </w14:textFill>
              </w:rPr>
              <w:t>|</w:t>
            </w:r>
            <w:r w:rsidR="0028023C">
              <w:rPr>
                <w:vertAlign w:val="superscript"/>
              </w:rPr>
              <w:t>3</w:t>
            </w:r>
          </w:p>
        </w:tc>
        <w:tc>
          <w:tcPr>
            <w:tcW w:w="992" w:type="dxa"/>
            <w:vAlign w:val="center"/>
          </w:tcPr>
          <w:p w14:paraId="1B1D8063" w14:textId="6A926DC8" w:rsidR="00F548DB" w:rsidRPr="005F522F" w:rsidRDefault="005F522F" w:rsidP="00F548DB">
            <w:pPr>
              <w:pStyle w:val="TableText0"/>
              <w:jc w:val="center"/>
              <w:rPr>
                <w:highlight w:val="darkGray"/>
              </w:rPr>
            </w:pPr>
            <w:r w:rsidRPr="005F522F">
              <w:rPr>
                <w:color w:val="000000"/>
                <w:spacing w:val="41"/>
                <w:shd w:val="solid" w:color="000000" w:fill="000000"/>
                <w:fitText w:val="210" w:id="-893196532"/>
                <w14:textFill>
                  <w14:solidFill>
                    <w14:srgbClr w14:val="000000">
                      <w14:alpha w14:val="100000"/>
                    </w14:srgbClr>
                  </w14:solidFill>
                </w14:textFill>
              </w:rPr>
              <w:t>||</w:t>
            </w:r>
            <w:r w:rsidRPr="005F522F">
              <w:rPr>
                <w:color w:val="000000"/>
                <w:spacing w:val="1"/>
                <w:shd w:val="solid" w:color="000000" w:fill="000000"/>
                <w:fitText w:val="210" w:id="-893196532"/>
                <w14:textFill>
                  <w14:solidFill>
                    <w14:srgbClr w14:val="000000">
                      <w14:alpha w14:val="100000"/>
                    </w14:srgbClr>
                  </w14:solidFill>
                </w14:textFill>
              </w:rPr>
              <w:t>|</w:t>
            </w:r>
            <w:r w:rsidR="0028023C">
              <w:rPr>
                <w:vertAlign w:val="superscript"/>
              </w:rPr>
              <w:t>3</w:t>
            </w:r>
          </w:p>
        </w:tc>
        <w:tc>
          <w:tcPr>
            <w:tcW w:w="850" w:type="dxa"/>
            <w:vAlign w:val="center"/>
          </w:tcPr>
          <w:p w14:paraId="55D3083E" w14:textId="7DE9D682" w:rsidR="00F548DB" w:rsidRPr="005F522F" w:rsidRDefault="005F522F" w:rsidP="00F548DB">
            <w:pPr>
              <w:pStyle w:val="TableText0"/>
              <w:jc w:val="center"/>
              <w:rPr>
                <w:highlight w:val="darkGray"/>
              </w:rPr>
            </w:pPr>
            <w:r w:rsidRPr="005F522F">
              <w:rPr>
                <w:color w:val="000000"/>
                <w:spacing w:val="41"/>
                <w:shd w:val="solid" w:color="000000" w:fill="000000"/>
                <w:fitText w:val="210" w:id="-893196531"/>
                <w14:textFill>
                  <w14:solidFill>
                    <w14:srgbClr w14:val="000000">
                      <w14:alpha w14:val="100000"/>
                    </w14:srgbClr>
                  </w14:solidFill>
                </w14:textFill>
              </w:rPr>
              <w:t>||</w:t>
            </w:r>
            <w:r w:rsidRPr="005F522F">
              <w:rPr>
                <w:color w:val="000000"/>
                <w:spacing w:val="1"/>
                <w:shd w:val="solid" w:color="000000" w:fill="000000"/>
                <w:fitText w:val="210" w:id="-893196531"/>
                <w14:textFill>
                  <w14:solidFill>
                    <w14:srgbClr w14:val="000000">
                      <w14:alpha w14:val="100000"/>
                    </w14:srgbClr>
                  </w14:solidFill>
                </w14:textFill>
              </w:rPr>
              <w:t>|</w:t>
            </w:r>
            <w:r w:rsidR="0028023C">
              <w:rPr>
                <w:vertAlign w:val="superscript"/>
              </w:rPr>
              <w:t>3</w:t>
            </w:r>
          </w:p>
        </w:tc>
      </w:tr>
      <w:tr w:rsidR="00C43087" w:rsidRPr="005464FA" w14:paraId="3C25D6DE" w14:textId="77777777" w:rsidTr="009164BC">
        <w:tc>
          <w:tcPr>
            <w:tcW w:w="3397" w:type="dxa"/>
          </w:tcPr>
          <w:p w14:paraId="6267C558" w14:textId="77777777" w:rsidR="00F548DB" w:rsidRPr="005464FA" w:rsidRDefault="00F548DB" w:rsidP="00F548DB">
            <w:pPr>
              <w:pStyle w:val="TableText0"/>
            </w:pPr>
            <w:r w:rsidRPr="005464FA">
              <w:t>De Novo Metastatic breast cancer (34%)</w:t>
            </w:r>
          </w:p>
        </w:tc>
        <w:tc>
          <w:tcPr>
            <w:tcW w:w="851" w:type="dxa"/>
            <w:vAlign w:val="center"/>
          </w:tcPr>
          <w:p w14:paraId="420AAF90" w14:textId="3BBA506A" w:rsidR="00F548DB" w:rsidRPr="005F522F" w:rsidRDefault="005F522F" w:rsidP="00F548DB">
            <w:pPr>
              <w:pStyle w:val="TableText0"/>
              <w:jc w:val="center"/>
              <w:rPr>
                <w:highlight w:val="darkGray"/>
              </w:rPr>
            </w:pPr>
            <w:r w:rsidRPr="005F522F">
              <w:rPr>
                <w:color w:val="000000"/>
                <w:spacing w:val="41"/>
                <w:shd w:val="solid" w:color="000000" w:fill="000000"/>
                <w:fitText w:val="210" w:id="-893196530"/>
                <w14:textFill>
                  <w14:solidFill>
                    <w14:srgbClr w14:val="000000">
                      <w14:alpha w14:val="100000"/>
                    </w14:srgbClr>
                  </w14:solidFill>
                </w14:textFill>
              </w:rPr>
              <w:t>||</w:t>
            </w:r>
            <w:r w:rsidRPr="005F522F">
              <w:rPr>
                <w:color w:val="000000"/>
                <w:spacing w:val="1"/>
                <w:shd w:val="solid" w:color="000000" w:fill="000000"/>
                <w:fitText w:val="210" w:id="-893196530"/>
                <w14:textFill>
                  <w14:solidFill>
                    <w14:srgbClr w14:val="000000">
                      <w14:alpha w14:val="100000"/>
                    </w14:srgbClr>
                  </w14:solidFill>
                </w14:textFill>
              </w:rPr>
              <w:t>|</w:t>
            </w:r>
            <w:r w:rsidR="0028023C">
              <w:rPr>
                <w:vertAlign w:val="superscript"/>
              </w:rPr>
              <w:t>2</w:t>
            </w:r>
          </w:p>
        </w:tc>
        <w:tc>
          <w:tcPr>
            <w:tcW w:w="992" w:type="dxa"/>
            <w:vAlign w:val="center"/>
          </w:tcPr>
          <w:p w14:paraId="2EFE050D" w14:textId="75B361FB" w:rsidR="00F548DB" w:rsidRPr="005F522F" w:rsidRDefault="005F522F" w:rsidP="00F548DB">
            <w:pPr>
              <w:pStyle w:val="TableText0"/>
              <w:jc w:val="center"/>
              <w:rPr>
                <w:highlight w:val="darkGray"/>
              </w:rPr>
            </w:pPr>
            <w:r w:rsidRPr="005F522F">
              <w:rPr>
                <w:color w:val="000000"/>
                <w:spacing w:val="41"/>
                <w:shd w:val="solid" w:color="000000" w:fill="000000"/>
                <w:fitText w:val="210" w:id="-893196529"/>
                <w14:textFill>
                  <w14:solidFill>
                    <w14:srgbClr w14:val="000000">
                      <w14:alpha w14:val="100000"/>
                    </w14:srgbClr>
                  </w14:solidFill>
                </w14:textFill>
              </w:rPr>
              <w:t>||</w:t>
            </w:r>
            <w:r w:rsidRPr="005F522F">
              <w:rPr>
                <w:color w:val="000000"/>
                <w:spacing w:val="1"/>
                <w:shd w:val="solid" w:color="000000" w:fill="000000"/>
                <w:fitText w:val="210" w:id="-893196529"/>
                <w14:textFill>
                  <w14:solidFill>
                    <w14:srgbClr w14:val="000000">
                      <w14:alpha w14:val="100000"/>
                    </w14:srgbClr>
                  </w14:solidFill>
                </w14:textFill>
              </w:rPr>
              <w:t>|</w:t>
            </w:r>
            <w:r w:rsidR="0028023C">
              <w:rPr>
                <w:vertAlign w:val="superscript"/>
              </w:rPr>
              <w:t>2</w:t>
            </w:r>
          </w:p>
        </w:tc>
        <w:tc>
          <w:tcPr>
            <w:tcW w:w="992" w:type="dxa"/>
            <w:vAlign w:val="center"/>
          </w:tcPr>
          <w:p w14:paraId="6214801D" w14:textId="5C1ACF7E" w:rsidR="00F548DB" w:rsidRPr="005F522F" w:rsidRDefault="005F522F" w:rsidP="00F548DB">
            <w:pPr>
              <w:pStyle w:val="TableText0"/>
              <w:jc w:val="center"/>
              <w:rPr>
                <w:highlight w:val="darkGray"/>
              </w:rPr>
            </w:pPr>
            <w:r w:rsidRPr="005F522F">
              <w:rPr>
                <w:color w:val="000000"/>
                <w:spacing w:val="41"/>
                <w:shd w:val="solid" w:color="000000" w:fill="000000"/>
                <w:fitText w:val="210" w:id="-893196528"/>
                <w14:textFill>
                  <w14:solidFill>
                    <w14:srgbClr w14:val="000000">
                      <w14:alpha w14:val="100000"/>
                    </w14:srgbClr>
                  </w14:solidFill>
                </w14:textFill>
              </w:rPr>
              <w:t>||</w:t>
            </w:r>
            <w:r w:rsidRPr="005F522F">
              <w:rPr>
                <w:color w:val="000000"/>
                <w:spacing w:val="1"/>
                <w:shd w:val="solid" w:color="000000" w:fill="000000"/>
                <w:fitText w:val="210" w:id="-893196528"/>
                <w14:textFill>
                  <w14:solidFill>
                    <w14:srgbClr w14:val="000000">
                      <w14:alpha w14:val="100000"/>
                    </w14:srgbClr>
                  </w14:solidFill>
                </w14:textFill>
              </w:rPr>
              <w:t>|</w:t>
            </w:r>
            <w:r w:rsidR="0028023C">
              <w:rPr>
                <w:vertAlign w:val="superscript"/>
              </w:rPr>
              <w:t>2</w:t>
            </w:r>
          </w:p>
        </w:tc>
        <w:tc>
          <w:tcPr>
            <w:tcW w:w="851" w:type="dxa"/>
            <w:vAlign w:val="center"/>
          </w:tcPr>
          <w:p w14:paraId="4783C1CF" w14:textId="29699110" w:rsidR="00F548DB" w:rsidRPr="005F522F" w:rsidRDefault="005F522F" w:rsidP="00F548DB">
            <w:pPr>
              <w:pStyle w:val="TableText0"/>
              <w:jc w:val="center"/>
              <w:rPr>
                <w:highlight w:val="darkGray"/>
              </w:rPr>
            </w:pPr>
            <w:r w:rsidRPr="005F522F">
              <w:rPr>
                <w:color w:val="000000"/>
                <w:spacing w:val="41"/>
                <w:shd w:val="solid" w:color="000000" w:fill="000000"/>
                <w:fitText w:val="210" w:id="-893196544"/>
                <w14:textFill>
                  <w14:solidFill>
                    <w14:srgbClr w14:val="000000">
                      <w14:alpha w14:val="100000"/>
                    </w14:srgbClr>
                  </w14:solidFill>
                </w14:textFill>
              </w:rPr>
              <w:t>||</w:t>
            </w:r>
            <w:r w:rsidRPr="005F522F">
              <w:rPr>
                <w:color w:val="000000"/>
                <w:spacing w:val="1"/>
                <w:shd w:val="solid" w:color="000000" w:fill="000000"/>
                <w:fitText w:val="210" w:id="-893196544"/>
                <w14:textFill>
                  <w14:solidFill>
                    <w14:srgbClr w14:val="000000">
                      <w14:alpha w14:val="100000"/>
                    </w14:srgbClr>
                  </w14:solidFill>
                </w14:textFill>
              </w:rPr>
              <w:t>|</w:t>
            </w:r>
            <w:r w:rsidR="0028023C">
              <w:rPr>
                <w:vertAlign w:val="superscript"/>
              </w:rPr>
              <w:t>2</w:t>
            </w:r>
          </w:p>
        </w:tc>
        <w:tc>
          <w:tcPr>
            <w:tcW w:w="992" w:type="dxa"/>
            <w:vAlign w:val="center"/>
          </w:tcPr>
          <w:p w14:paraId="24AF03E8" w14:textId="7281367C" w:rsidR="00F548DB" w:rsidRPr="005F522F" w:rsidRDefault="005F522F" w:rsidP="00F548DB">
            <w:pPr>
              <w:pStyle w:val="TableText0"/>
              <w:jc w:val="center"/>
              <w:rPr>
                <w:highlight w:val="darkGray"/>
              </w:rPr>
            </w:pPr>
            <w:r w:rsidRPr="005F522F">
              <w:rPr>
                <w:color w:val="000000"/>
                <w:spacing w:val="41"/>
                <w:shd w:val="solid" w:color="000000" w:fill="000000"/>
                <w:fitText w:val="210" w:id="-893196543"/>
                <w14:textFill>
                  <w14:solidFill>
                    <w14:srgbClr w14:val="000000">
                      <w14:alpha w14:val="100000"/>
                    </w14:srgbClr>
                  </w14:solidFill>
                </w14:textFill>
              </w:rPr>
              <w:t>||</w:t>
            </w:r>
            <w:r w:rsidRPr="005F522F">
              <w:rPr>
                <w:color w:val="000000"/>
                <w:spacing w:val="1"/>
                <w:shd w:val="solid" w:color="000000" w:fill="000000"/>
                <w:fitText w:val="210" w:id="-893196543"/>
                <w14:textFill>
                  <w14:solidFill>
                    <w14:srgbClr w14:val="000000">
                      <w14:alpha w14:val="100000"/>
                    </w14:srgbClr>
                  </w14:solidFill>
                </w14:textFill>
              </w:rPr>
              <w:t>|</w:t>
            </w:r>
            <w:r w:rsidR="0028023C">
              <w:rPr>
                <w:vertAlign w:val="superscript"/>
              </w:rPr>
              <w:t>2</w:t>
            </w:r>
          </w:p>
        </w:tc>
        <w:tc>
          <w:tcPr>
            <w:tcW w:w="850" w:type="dxa"/>
            <w:vAlign w:val="center"/>
          </w:tcPr>
          <w:p w14:paraId="6935AFB9" w14:textId="2AFBA154" w:rsidR="00F548DB" w:rsidRPr="005F522F" w:rsidRDefault="005F522F" w:rsidP="00F548DB">
            <w:pPr>
              <w:pStyle w:val="TableText0"/>
              <w:jc w:val="center"/>
              <w:rPr>
                <w:highlight w:val="darkGray"/>
              </w:rPr>
            </w:pPr>
            <w:r w:rsidRPr="005F522F">
              <w:rPr>
                <w:color w:val="000000"/>
                <w:spacing w:val="41"/>
                <w:shd w:val="solid" w:color="000000" w:fill="000000"/>
                <w:fitText w:val="210" w:id="-893196542"/>
                <w14:textFill>
                  <w14:solidFill>
                    <w14:srgbClr w14:val="000000">
                      <w14:alpha w14:val="100000"/>
                    </w14:srgbClr>
                  </w14:solidFill>
                </w14:textFill>
              </w:rPr>
              <w:t>||</w:t>
            </w:r>
            <w:r w:rsidRPr="005F522F">
              <w:rPr>
                <w:color w:val="000000"/>
                <w:spacing w:val="1"/>
                <w:shd w:val="solid" w:color="000000" w:fill="000000"/>
                <w:fitText w:val="210" w:id="-893196542"/>
                <w14:textFill>
                  <w14:solidFill>
                    <w14:srgbClr w14:val="000000">
                      <w14:alpha w14:val="100000"/>
                    </w14:srgbClr>
                  </w14:solidFill>
                </w14:textFill>
              </w:rPr>
              <w:t>|</w:t>
            </w:r>
            <w:r w:rsidR="0028023C">
              <w:rPr>
                <w:vertAlign w:val="superscript"/>
              </w:rPr>
              <w:t>2</w:t>
            </w:r>
          </w:p>
        </w:tc>
      </w:tr>
      <w:tr w:rsidR="00C82FF1" w:rsidRPr="005464FA" w14:paraId="5AC6ED0F" w14:textId="77777777" w:rsidTr="009164BC">
        <w:tc>
          <w:tcPr>
            <w:tcW w:w="3397" w:type="dxa"/>
          </w:tcPr>
          <w:p w14:paraId="510ADD16" w14:textId="794A7F07" w:rsidR="00C82FF1" w:rsidRPr="005464FA" w:rsidRDefault="00C82FF1" w:rsidP="00C82FF1">
            <w:pPr>
              <w:pStyle w:val="TableText0"/>
              <w:ind w:left="318" w:hanging="142"/>
            </w:pPr>
            <w:r w:rsidRPr="005464FA">
              <w:t xml:space="preserve">Proportion tested for </w:t>
            </w:r>
            <w:r w:rsidRPr="005464FA">
              <w:rPr>
                <w:i/>
                <w:iCs/>
              </w:rPr>
              <w:t>BRCA</w:t>
            </w:r>
          </w:p>
        </w:tc>
        <w:tc>
          <w:tcPr>
            <w:tcW w:w="851" w:type="dxa"/>
          </w:tcPr>
          <w:p w14:paraId="28D06E9C" w14:textId="27BD03BF" w:rsidR="00C82FF1" w:rsidRPr="005464FA" w:rsidRDefault="00C82FF1" w:rsidP="00C82FF1">
            <w:pPr>
              <w:pStyle w:val="TableText0"/>
              <w:jc w:val="center"/>
              <w:rPr>
                <w:color w:val="000000"/>
              </w:rPr>
            </w:pPr>
            <w:r w:rsidRPr="00C82FF1">
              <w:rPr>
                <w:color w:val="000000"/>
                <w:spacing w:val="30"/>
                <w:shd w:val="solid" w:color="000000" w:fill="000000"/>
                <w:fitText w:val="210" w:id="-893196793"/>
                <w14:textFill>
                  <w14:solidFill>
                    <w14:srgbClr w14:val="000000">
                      <w14:alpha w14:val="100000"/>
                    </w14:srgbClr>
                  </w14:solidFill>
                </w14:textFill>
              </w:rPr>
              <w:t>||</w:t>
            </w:r>
            <w:r w:rsidRPr="00C82FF1">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992" w:type="dxa"/>
            <w:tcBorders>
              <w:bottom w:val="single" w:sz="4" w:space="0" w:color="auto"/>
            </w:tcBorders>
          </w:tcPr>
          <w:p w14:paraId="5F301370" w14:textId="18E97EB7" w:rsidR="00C82FF1" w:rsidRPr="005464FA" w:rsidRDefault="00C82FF1" w:rsidP="00C82FF1">
            <w:pPr>
              <w:pStyle w:val="TableText0"/>
              <w:jc w:val="center"/>
              <w:rPr>
                <w:color w:val="000000"/>
              </w:rP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992" w:type="dxa"/>
            <w:tcBorders>
              <w:bottom w:val="single" w:sz="4" w:space="0" w:color="auto"/>
            </w:tcBorders>
          </w:tcPr>
          <w:p w14:paraId="52669570" w14:textId="63A9D7CA" w:rsidR="00C82FF1" w:rsidRPr="005464FA" w:rsidRDefault="00C82FF1" w:rsidP="00C82FF1">
            <w:pPr>
              <w:pStyle w:val="TableText0"/>
              <w:jc w:val="center"/>
              <w:rPr>
                <w:color w:val="000000"/>
              </w:rP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851" w:type="dxa"/>
            <w:tcBorders>
              <w:bottom w:val="single" w:sz="4" w:space="0" w:color="auto"/>
            </w:tcBorders>
          </w:tcPr>
          <w:p w14:paraId="447FDD27" w14:textId="72483682" w:rsidR="00C82FF1" w:rsidRPr="005464FA" w:rsidRDefault="00C82FF1" w:rsidP="00C82FF1">
            <w:pPr>
              <w:pStyle w:val="TableText0"/>
              <w:jc w:val="center"/>
              <w:rPr>
                <w:color w:val="000000"/>
              </w:rP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992" w:type="dxa"/>
            <w:tcBorders>
              <w:bottom w:val="single" w:sz="4" w:space="0" w:color="auto"/>
            </w:tcBorders>
          </w:tcPr>
          <w:p w14:paraId="7853F77B" w14:textId="1A553E63" w:rsidR="00C82FF1" w:rsidRPr="005464FA" w:rsidRDefault="00C82FF1" w:rsidP="00C82FF1">
            <w:pPr>
              <w:pStyle w:val="TableText0"/>
              <w:jc w:val="center"/>
              <w:rPr>
                <w:color w:val="000000"/>
              </w:rP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850" w:type="dxa"/>
            <w:tcBorders>
              <w:bottom w:val="single" w:sz="4" w:space="0" w:color="auto"/>
            </w:tcBorders>
          </w:tcPr>
          <w:p w14:paraId="484A337A" w14:textId="6911093F" w:rsidR="00C82FF1" w:rsidRPr="005464FA" w:rsidRDefault="00C82FF1" w:rsidP="00C82FF1">
            <w:pPr>
              <w:pStyle w:val="TableText0"/>
              <w:jc w:val="center"/>
              <w:rPr>
                <w:color w:val="000000"/>
              </w:rP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r>
      <w:tr w:rsidR="00321BD9" w:rsidRPr="005464FA" w14:paraId="477D93AA" w14:textId="77777777" w:rsidTr="009164BC">
        <w:tc>
          <w:tcPr>
            <w:tcW w:w="3397" w:type="dxa"/>
          </w:tcPr>
          <w:p w14:paraId="4D523E0F" w14:textId="740B01A9" w:rsidR="00321BD9" w:rsidRPr="005464FA" w:rsidRDefault="00321BD9" w:rsidP="00321BD9">
            <w:pPr>
              <w:pStyle w:val="TableText0"/>
              <w:ind w:left="318" w:hanging="142"/>
            </w:pPr>
            <w:r w:rsidRPr="005464FA">
              <w:t xml:space="preserve">De novo population tested for </w:t>
            </w:r>
            <w:r w:rsidRPr="005464FA">
              <w:rPr>
                <w:i/>
                <w:iCs/>
              </w:rPr>
              <w:t>BRCA</w:t>
            </w:r>
          </w:p>
        </w:tc>
        <w:tc>
          <w:tcPr>
            <w:tcW w:w="851" w:type="dxa"/>
            <w:vAlign w:val="center"/>
          </w:tcPr>
          <w:p w14:paraId="6723AD73" w14:textId="2A3F82A4" w:rsidR="00321BD9" w:rsidRPr="00321BD9" w:rsidRDefault="00321BD9" w:rsidP="00321BD9">
            <w:pPr>
              <w:pStyle w:val="TableText0"/>
              <w:jc w:val="center"/>
              <w:rPr>
                <w:color w:val="000000"/>
                <w:shd w:val="solid" w:color="000000" w:fill="000000"/>
                <w14:textFill>
                  <w14:solidFill>
                    <w14:srgbClr w14:val="000000">
                      <w14:alpha w14:val="100000"/>
                    </w14:srgbClr>
                  </w14:solidFill>
                </w14:textFill>
              </w:rPr>
            </w:pPr>
            <w:r w:rsidRPr="0008347D">
              <w:rPr>
                <w:color w:val="000000"/>
                <w:spacing w:val="30"/>
                <w:shd w:val="solid" w:color="000000" w:fill="000000"/>
                <w:fitText w:val="210" w:id="-893196535"/>
                <w14:textFill>
                  <w14:solidFill>
                    <w14:srgbClr w14:val="000000">
                      <w14:alpha w14:val="100000"/>
                    </w14:srgbClr>
                  </w14:solidFill>
                </w14:textFill>
              </w:rPr>
              <w:t>||</w:t>
            </w:r>
            <w:r w:rsidRPr="0008347D">
              <w:rPr>
                <w:color w:val="000000"/>
                <w:spacing w:val="15"/>
                <w:shd w:val="solid" w:color="000000" w:fill="000000"/>
                <w:fitText w:val="210" w:id="-893196535"/>
                <w14:textFill>
                  <w14:solidFill>
                    <w14:srgbClr w14:val="000000">
                      <w14:alpha w14:val="100000"/>
                    </w14:srgbClr>
                  </w14:solidFill>
                </w14:textFill>
              </w:rPr>
              <w:t>|</w:t>
            </w:r>
            <w:r>
              <w:rPr>
                <w:vertAlign w:val="superscript"/>
              </w:rPr>
              <w:t>3</w:t>
            </w:r>
          </w:p>
        </w:tc>
        <w:tc>
          <w:tcPr>
            <w:tcW w:w="992" w:type="dxa"/>
            <w:vAlign w:val="center"/>
          </w:tcPr>
          <w:p w14:paraId="5EC1F31C" w14:textId="4C616302" w:rsidR="00321BD9" w:rsidRPr="005F522F" w:rsidRDefault="00321BD9" w:rsidP="00321BD9">
            <w:pPr>
              <w:pStyle w:val="TableText0"/>
              <w:jc w:val="center"/>
              <w:rPr>
                <w:color w:val="000000"/>
                <w:shd w:val="solid" w:color="000000" w:fill="000000"/>
                <w14:textFill>
                  <w14:solidFill>
                    <w14:srgbClr w14:val="000000">
                      <w14:alpha w14:val="100000"/>
                    </w14:srgbClr>
                  </w14:solidFill>
                </w14:textFill>
              </w:rPr>
            </w:pPr>
            <w:r w:rsidRPr="0008347D">
              <w:rPr>
                <w:color w:val="000000"/>
                <w:spacing w:val="30"/>
                <w:shd w:val="solid" w:color="000000" w:fill="000000"/>
                <w:fitText w:val="210" w:id="-893196541"/>
                <w14:textFill>
                  <w14:solidFill>
                    <w14:srgbClr w14:val="000000">
                      <w14:alpha w14:val="100000"/>
                    </w14:srgbClr>
                  </w14:solidFill>
                </w14:textFill>
              </w:rPr>
              <w:t>||</w:t>
            </w:r>
            <w:r w:rsidRPr="0008347D">
              <w:rPr>
                <w:color w:val="000000"/>
                <w:spacing w:val="15"/>
                <w:shd w:val="solid" w:color="000000" w:fill="000000"/>
                <w:fitText w:val="210" w:id="-893196541"/>
                <w14:textFill>
                  <w14:solidFill>
                    <w14:srgbClr w14:val="000000">
                      <w14:alpha w14:val="100000"/>
                    </w14:srgbClr>
                  </w14:solidFill>
                </w14:textFill>
              </w:rPr>
              <w:t>|</w:t>
            </w:r>
            <w:r>
              <w:rPr>
                <w:vertAlign w:val="superscript"/>
              </w:rPr>
              <w:t>2</w:t>
            </w:r>
          </w:p>
        </w:tc>
        <w:tc>
          <w:tcPr>
            <w:tcW w:w="992" w:type="dxa"/>
            <w:vAlign w:val="center"/>
          </w:tcPr>
          <w:p w14:paraId="51986D4F" w14:textId="1D4EFE88" w:rsidR="00321BD9" w:rsidRPr="005F522F" w:rsidRDefault="00321BD9" w:rsidP="00321BD9">
            <w:pPr>
              <w:pStyle w:val="TableText0"/>
              <w:jc w:val="center"/>
              <w:rPr>
                <w:color w:val="000000"/>
                <w:shd w:val="solid" w:color="000000" w:fill="000000"/>
                <w14:textFill>
                  <w14:solidFill>
                    <w14:srgbClr w14:val="000000">
                      <w14:alpha w14:val="100000"/>
                    </w14:srgbClr>
                  </w14:solidFill>
                </w14:textFill>
              </w:rPr>
            </w:pPr>
            <w:r w:rsidRPr="0008347D">
              <w:rPr>
                <w:color w:val="000000"/>
                <w:spacing w:val="30"/>
                <w:shd w:val="solid" w:color="000000" w:fill="000000"/>
                <w:fitText w:val="210" w:id="-893196540"/>
                <w14:textFill>
                  <w14:solidFill>
                    <w14:srgbClr w14:val="000000">
                      <w14:alpha w14:val="100000"/>
                    </w14:srgbClr>
                  </w14:solidFill>
                </w14:textFill>
              </w:rPr>
              <w:t>||</w:t>
            </w:r>
            <w:r w:rsidRPr="0008347D">
              <w:rPr>
                <w:color w:val="000000"/>
                <w:spacing w:val="15"/>
                <w:shd w:val="solid" w:color="000000" w:fill="000000"/>
                <w:fitText w:val="210" w:id="-893196540"/>
                <w14:textFill>
                  <w14:solidFill>
                    <w14:srgbClr w14:val="000000">
                      <w14:alpha w14:val="100000"/>
                    </w14:srgbClr>
                  </w14:solidFill>
                </w14:textFill>
              </w:rPr>
              <w:t>|</w:t>
            </w:r>
            <w:r>
              <w:rPr>
                <w:vertAlign w:val="superscript"/>
              </w:rPr>
              <w:t>2</w:t>
            </w:r>
          </w:p>
        </w:tc>
        <w:tc>
          <w:tcPr>
            <w:tcW w:w="851" w:type="dxa"/>
            <w:vAlign w:val="center"/>
          </w:tcPr>
          <w:p w14:paraId="5FA65E5E" w14:textId="393FD909" w:rsidR="00321BD9" w:rsidRPr="005F522F" w:rsidRDefault="00321BD9" w:rsidP="00321BD9">
            <w:pPr>
              <w:pStyle w:val="TableText0"/>
              <w:jc w:val="center"/>
              <w:rPr>
                <w:color w:val="000000"/>
                <w:shd w:val="solid" w:color="000000" w:fill="000000"/>
                <w14:textFill>
                  <w14:solidFill>
                    <w14:srgbClr w14:val="000000">
                      <w14:alpha w14:val="100000"/>
                    </w14:srgbClr>
                  </w14:solidFill>
                </w14:textFill>
              </w:rPr>
            </w:pPr>
            <w:r w:rsidRPr="0008347D">
              <w:rPr>
                <w:color w:val="000000"/>
                <w:spacing w:val="30"/>
                <w:shd w:val="solid" w:color="000000" w:fill="000000"/>
                <w:fitText w:val="210" w:id="-893196539"/>
                <w14:textFill>
                  <w14:solidFill>
                    <w14:srgbClr w14:val="000000">
                      <w14:alpha w14:val="100000"/>
                    </w14:srgbClr>
                  </w14:solidFill>
                </w14:textFill>
              </w:rPr>
              <w:t>||</w:t>
            </w:r>
            <w:r w:rsidRPr="0008347D">
              <w:rPr>
                <w:color w:val="000000"/>
                <w:spacing w:val="15"/>
                <w:shd w:val="solid" w:color="000000" w:fill="000000"/>
                <w:fitText w:val="210" w:id="-893196539"/>
                <w14:textFill>
                  <w14:solidFill>
                    <w14:srgbClr w14:val="000000">
                      <w14:alpha w14:val="100000"/>
                    </w14:srgbClr>
                  </w14:solidFill>
                </w14:textFill>
              </w:rPr>
              <w:t>|</w:t>
            </w:r>
            <w:r>
              <w:rPr>
                <w:vertAlign w:val="superscript"/>
              </w:rPr>
              <w:t>2</w:t>
            </w:r>
          </w:p>
        </w:tc>
        <w:tc>
          <w:tcPr>
            <w:tcW w:w="992" w:type="dxa"/>
            <w:vAlign w:val="center"/>
          </w:tcPr>
          <w:p w14:paraId="0C7F20DB" w14:textId="090221C3" w:rsidR="00321BD9" w:rsidRPr="005F522F" w:rsidRDefault="00321BD9" w:rsidP="00321BD9">
            <w:pPr>
              <w:pStyle w:val="TableText0"/>
              <w:jc w:val="center"/>
              <w:rPr>
                <w:color w:val="000000"/>
                <w:shd w:val="solid" w:color="000000" w:fill="000000"/>
                <w14:textFill>
                  <w14:solidFill>
                    <w14:srgbClr w14:val="000000">
                      <w14:alpha w14:val="100000"/>
                    </w14:srgbClr>
                  </w14:solidFill>
                </w14:textFill>
              </w:rPr>
            </w:pPr>
            <w:r w:rsidRPr="0008347D">
              <w:rPr>
                <w:color w:val="000000"/>
                <w:spacing w:val="30"/>
                <w:shd w:val="solid" w:color="000000" w:fill="000000"/>
                <w:fitText w:val="210" w:id="-893196538"/>
                <w14:textFill>
                  <w14:solidFill>
                    <w14:srgbClr w14:val="000000">
                      <w14:alpha w14:val="100000"/>
                    </w14:srgbClr>
                  </w14:solidFill>
                </w14:textFill>
              </w:rPr>
              <w:t>||</w:t>
            </w:r>
            <w:r w:rsidRPr="0008347D">
              <w:rPr>
                <w:color w:val="000000"/>
                <w:spacing w:val="15"/>
                <w:shd w:val="solid" w:color="000000" w:fill="000000"/>
                <w:fitText w:val="210" w:id="-893196538"/>
                <w14:textFill>
                  <w14:solidFill>
                    <w14:srgbClr w14:val="000000">
                      <w14:alpha w14:val="100000"/>
                    </w14:srgbClr>
                  </w14:solidFill>
                </w14:textFill>
              </w:rPr>
              <w:t>|</w:t>
            </w:r>
            <w:r>
              <w:rPr>
                <w:vertAlign w:val="superscript"/>
              </w:rPr>
              <w:t>2</w:t>
            </w:r>
          </w:p>
        </w:tc>
        <w:tc>
          <w:tcPr>
            <w:tcW w:w="850" w:type="dxa"/>
            <w:vAlign w:val="center"/>
          </w:tcPr>
          <w:p w14:paraId="041C29D5" w14:textId="7425B3F6" w:rsidR="00321BD9" w:rsidRPr="005F522F" w:rsidRDefault="00321BD9" w:rsidP="00321BD9">
            <w:pPr>
              <w:pStyle w:val="TableText0"/>
              <w:jc w:val="center"/>
              <w:rPr>
                <w:color w:val="000000"/>
                <w:shd w:val="solid" w:color="000000" w:fill="000000"/>
                <w14:textFill>
                  <w14:solidFill>
                    <w14:srgbClr w14:val="000000">
                      <w14:alpha w14:val="100000"/>
                    </w14:srgbClr>
                  </w14:solidFill>
                </w14:textFill>
              </w:rPr>
            </w:pPr>
            <w:r w:rsidRPr="0008347D">
              <w:rPr>
                <w:color w:val="000000"/>
                <w:spacing w:val="30"/>
                <w:shd w:val="solid" w:color="000000" w:fill="000000"/>
                <w:fitText w:val="210" w:id="-893196537"/>
                <w14:textFill>
                  <w14:solidFill>
                    <w14:srgbClr w14:val="000000">
                      <w14:alpha w14:val="100000"/>
                    </w14:srgbClr>
                  </w14:solidFill>
                </w14:textFill>
              </w:rPr>
              <w:t>||</w:t>
            </w:r>
            <w:r w:rsidRPr="0008347D">
              <w:rPr>
                <w:color w:val="000000"/>
                <w:spacing w:val="15"/>
                <w:shd w:val="solid" w:color="000000" w:fill="000000"/>
                <w:fitText w:val="210" w:id="-893196537"/>
                <w14:textFill>
                  <w14:solidFill>
                    <w14:srgbClr w14:val="000000">
                      <w14:alpha w14:val="100000"/>
                    </w14:srgbClr>
                  </w14:solidFill>
                </w14:textFill>
              </w:rPr>
              <w:t>|</w:t>
            </w:r>
            <w:r>
              <w:rPr>
                <w:vertAlign w:val="superscript"/>
              </w:rPr>
              <w:t>2</w:t>
            </w:r>
          </w:p>
        </w:tc>
      </w:tr>
      <w:tr w:rsidR="00321BD9" w:rsidRPr="005464FA" w14:paraId="317CC729" w14:textId="77777777" w:rsidTr="009164BC">
        <w:tc>
          <w:tcPr>
            <w:tcW w:w="3397" w:type="dxa"/>
          </w:tcPr>
          <w:p w14:paraId="386A890A" w14:textId="2681DA53" w:rsidR="00321BD9" w:rsidRPr="005464FA" w:rsidRDefault="00321BD9" w:rsidP="00321BD9">
            <w:pPr>
              <w:pStyle w:val="TableText0"/>
              <w:ind w:left="318" w:hanging="142"/>
            </w:pPr>
            <w:r w:rsidRPr="005464FA">
              <w:t xml:space="preserve">De novo </w:t>
            </w:r>
            <w:r w:rsidRPr="005464FA">
              <w:rPr>
                <w:i/>
                <w:iCs/>
              </w:rPr>
              <w:t>BRCA</w:t>
            </w:r>
            <w:r w:rsidRPr="005464FA">
              <w:t>m (5%)</w:t>
            </w:r>
          </w:p>
        </w:tc>
        <w:tc>
          <w:tcPr>
            <w:tcW w:w="851" w:type="dxa"/>
            <w:vAlign w:val="center"/>
          </w:tcPr>
          <w:p w14:paraId="6A1825BD" w14:textId="00BD82E2" w:rsidR="00321BD9" w:rsidRPr="005F522F" w:rsidRDefault="00321BD9" w:rsidP="00321BD9">
            <w:pPr>
              <w:pStyle w:val="TableText0"/>
              <w:jc w:val="center"/>
              <w:rPr>
                <w:highlight w:val="darkGray"/>
              </w:rPr>
            </w:pPr>
            <w:r w:rsidRPr="00321BD9">
              <w:rPr>
                <w:color w:val="000000"/>
                <w:spacing w:val="41"/>
                <w:shd w:val="solid" w:color="000000" w:fill="000000"/>
                <w:fitText w:val="210" w:id="-893196535"/>
                <w14:textFill>
                  <w14:solidFill>
                    <w14:srgbClr w14:val="000000">
                      <w14:alpha w14:val="100000"/>
                    </w14:srgbClr>
                  </w14:solidFill>
                </w14:textFill>
              </w:rPr>
              <w:t>||</w:t>
            </w:r>
            <w:r w:rsidRPr="00321BD9">
              <w:rPr>
                <w:color w:val="000000"/>
                <w:spacing w:val="1"/>
                <w:shd w:val="solid" w:color="000000" w:fill="000000"/>
                <w:fitText w:val="210" w:id="-893196535"/>
                <w14:textFill>
                  <w14:solidFill>
                    <w14:srgbClr w14:val="000000">
                      <w14:alpha w14:val="100000"/>
                    </w14:srgbClr>
                  </w14:solidFill>
                </w14:textFill>
              </w:rPr>
              <w:t>|</w:t>
            </w:r>
            <w:r>
              <w:rPr>
                <w:vertAlign w:val="superscript"/>
              </w:rPr>
              <w:t>3</w:t>
            </w:r>
          </w:p>
        </w:tc>
        <w:tc>
          <w:tcPr>
            <w:tcW w:w="992" w:type="dxa"/>
            <w:vAlign w:val="center"/>
          </w:tcPr>
          <w:p w14:paraId="3B6CAD16" w14:textId="78870441" w:rsidR="00321BD9" w:rsidRPr="005F522F" w:rsidRDefault="00321BD9" w:rsidP="00321BD9">
            <w:pPr>
              <w:pStyle w:val="TableText0"/>
              <w:jc w:val="center"/>
              <w:rPr>
                <w:highlight w:val="darkGray"/>
              </w:rPr>
            </w:pPr>
            <w:r w:rsidRPr="00321BD9">
              <w:rPr>
                <w:color w:val="000000"/>
                <w:spacing w:val="41"/>
                <w:shd w:val="solid" w:color="000000" w:fill="000000"/>
                <w:fitText w:val="210" w:id="-893196534"/>
                <w14:textFill>
                  <w14:solidFill>
                    <w14:srgbClr w14:val="000000">
                      <w14:alpha w14:val="100000"/>
                    </w14:srgbClr>
                  </w14:solidFill>
                </w14:textFill>
              </w:rPr>
              <w:t>||</w:t>
            </w:r>
            <w:r w:rsidRPr="00321BD9">
              <w:rPr>
                <w:color w:val="000000"/>
                <w:spacing w:val="1"/>
                <w:shd w:val="solid" w:color="000000" w:fill="000000"/>
                <w:fitText w:val="210" w:id="-893196534"/>
                <w14:textFill>
                  <w14:solidFill>
                    <w14:srgbClr w14:val="000000">
                      <w14:alpha w14:val="100000"/>
                    </w14:srgbClr>
                  </w14:solidFill>
                </w14:textFill>
              </w:rPr>
              <w:t>|</w:t>
            </w:r>
            <w:r>
              <w:rPr>
                <w:vertAlign w:val="superscript"/>
              </w:rPr>
              <w:t>3</w:t>
            </w:r>
          </w:p>
        </w:tc>
        <w:tc>
          <w:tcPr>
            <w:tcW w:w="992" w:type="dxa"/>
            <w:vAlign w:val="center"/>
          </w:tcPr>
          <w:p w14:paraId="5338EE45" w14:textId="580A9148" w:rsidR="00321BD9" w:rsidRPr="005F522F" w:rsidRDefault="00321BD9" w:rsidP="00321BD9">
            <w:pPr>
              <w:pStyle w:val="TableText0"/>
              <w:jc w:val="center"/>
              <w:rPr>
                <w:highlight w:val="darkGray"/>
              </w:rPr>
            </w:pPr>
            <w:r w:rsidRPr="005F522F">
              <w:rPr>
                <w:color w:val="000000"/>
                <w:spacing w:val="41"/>
                <w:shd w:val="solid" w:color="000000" w:fill="000000"/>
                <w:fitText w:val="210" w:id="-893196533"/>
                <w14:textFill>
                  <w14:solidFill>
                    <w14:srgbClr w14:val="000000">
                      <w14:alpha w14:val="100000"/>
                    </w14:srgbClr>
                  </w14:solidFill>
                </w14:textFill>
              </w:rPr>
              <w:t>||</w:t>
            </w:r>
            <w:r w:rsidRPr="005F522F">
              <w:rPr>
                <w:color w:val="000000"/>
                <w:spacing w:val="1"/>
                <w:shd w:val="solid" w:color="000000" w:fill="000000"/>
                <w:fitText w:val="210" w:id="-893196533"/>
                <w14:textFill>
                  <w14:solidFill>
                    <w14:srgbClr w14:val="000000">
                      <w14:alpha w14:val="100000"/>
                    </w14:srgbClr>
                  </w14:solidFill>
                </w14:textFill>
              </w:rPr>
              <w:t>|</w:t>
            </w:r>
            <w:r>
              <w:rPr>
                <w:vertAlign w:val="superscript"/>
              </w:rPr>
              <w:t>3</w:t>
            </w:r>
          </w:p>
        </w:tc>
        <w:tc>
          <w:tcPr>
            <w:tcW w:w="851" w:type="dxa"/>
            <w:vAlign w:val="center"/>
          </w:tcPr>
          <w:p w14:paraId="4A19BFA2" w14:textId="659B0657" w:rsidR="00321BD9" w:rsidRPr="005F522F" w:rsidRDefault="00321BD9" w:rsidP="00321BD9">
            <w:pPr>
              <w:pStyle w:val="TableText0"/>
              <w:jc w:val="center"/>
              <w:rPr>
                <w:highlight w:val="darkGray"/>
              </w:rPr>
            </w:pPr>
            <w:r w:rsidRPr="005F522F">
              <w:rPr>
                <w:color w:val="000000"/>
                <w:spacing w:val="41"/>
                <w:shd w:val="solid" w:color="000000" w:fill="000000"/>
                <w:fitText w:val="210" w:id="-893196532"/>
                <w14:textFill>
                  <w14:solidFill>
                    <w14:srgbClr w14:val="000000">
                      <w14:alpha w14:val="100000"/>
                    </w14:srgbClr>
                  </w14:solidFill>
                </w14:textFill>
              </w:rPr>
              <w:t>||</w:t>
            </w:r>
            <w:r w:rsidRPr="005F522F">
              <w:rPr>
                <w:color w:val="000000"/>
                <w:spacing w:val="1"/>
                <w:shd w:val="solid" w:color="000000" w:fill="000000"/>
                <w:fitText w:val="210" w:id="-893196532"/>
                <w14:textFill>
                  <w14:solidFill>
                    <w14:srgbClr w14:val="000000">
                      <w14:alpha w14:val="100000"/>
                    </w14:srgbClr>
                  </w14:solidFill>
                </w14:textFill>
              </w:rPr>
              <w:t>|</w:t>
            </w:r>
            <w:r>
              <w:rPr>
                <w:vertAlign w:val="superscript"/>
              </w:rPr>
              <w:t>3</w:t>
            </w:r>
          </w:p>
        </w:tc>
        <w:tc>
          <w:tcPr>
            <w:tcW w:w="992" w:type="dxa"/>
            <w:vAlign w:val="center"/>
          </w:tcPr>
          <w:p w14:paraId="58D97946" w14:textId="3EDC640D" w:rsidR="00321BD9" w:rsidRPr="005F522F" w:rsidRDefault="00321BD9" w:rsidP="00321BD9">
            <w:pPr>
              <w:pStyle w:val="TableText0"/>
              <w:jc w:val="center"/>
              <w:rPr>
                <w:highlight w:val="darkGray"/>
              </w:rPr>
            </w:pPr>
            <w:r w:rsidRPr="005F522F">
              <w:rPr>
                <w:color w:val="000000"/>
                <w:spacing w:val="41"/>
                <w:shd w:val="solid" w:color="000000" w:fill="000000"/>
                <w:fitText w:val="210" w:id="-893196531"/>
                <w14:textFill>
                  <w14:solidFill>
                    <w14:srgbClr w14:val="000000">
                      <w14:alpha w14:val="100000"/>
                    </w14:srgbClr>
                  </w14:solidFill>
                </w14:textFill>
              </w:rPr>
              <w:t>||</w:t>
            </w:r>
            <w:r w:rsidRPr="005F522F">
              <w:rPr>
                <w:color w:val="000000"/>
                <w:spacing w:val="1"/>
                <w:shd w:val="solid" w:color="000000" w:fill="000000"/>
                <w:fitText w:val="210" w:id="-893196531"/>
                <w14:textFill>
                  <w14:solidFill>
                    <w14:srgbClr w14:val="000000">
                      <w14:alpha w14:val="100000"/>
                    </w14:srgbClr>
                  </w14:solidFill>
                </w14:textFill>
              </w:rPr>
              <w:t>|</w:t>
            </w:r>
            <w:r>
              <w:rPr>
                <w:vertAlign w:val="superscript"/>
              </w:rPr>
              <w:t>3</w:t>
            </w:r>
          </w:p>
        </w:tc>
        <w:tc>
          <w:tcPr>
            <w:tcW w:w="850" w:type="dxa"/>
            <w:vAlign w:val="center"/>
          </w:tcPr>
          <w:p w14:paraId="2A0E60F3" w14:textId="6639E668" w:rsidR="00321BD9" w:rsidRPr="005F522F" w:rsidRDefault="00321BD9" w:rsidP="00321BD9">
            <w:pPr>
              <w:pStyle w:val="TableText0"/>
              <w:jc w:val="center"/>
              <w:rPr>
                <w:highlight w:val="darkGray"/>
              </w:rPr>
            </w:pPr>
            <w:r w:rsidRPr="005F522F">
              <w:rPr>
                <w:color w:val="000000"/>
                <w:spacing w:val="41"/>
                <w:shd w:val="solid" w:color="000000" w:fill="000000"/>
                <w:fitText w:val="210" w:id="-893196530"/>
                <w14:textFill>
                  <w14:solidFill>
                    <w14:srgbClr w14:val="000000">
                      <w14:alpha w14:val="100000"/>
                    </w14:srgbClr>
                  </w14:solidFill>
                </w14:textFill>
              </w:rPr>
              <w:t>||</w:t>
            </w:r>
            <w:r w:rsidRPr="005F522F">
              <w:rPr>
                <w:color w:val="000000"/>
                <w:spacing w:val="1"/>
                <w:shd w:val="solid" w:color="000000" w:fill="000000"/>
                <w:fitText w:val="210" w:id="-893196530"/>
                <w14:textFill>
                  <w14:solidFill>
                    <w14:srgbClr w14:val="000000">
                      <w14:alpha w14:val="100000"/>
                    </w14:srgbClr>
                  </w14:solidFill>
                </w14:textFill>
              </w:rPr>
              <w:t>|</w:t>
            </w:r>
            <w:r>
              <w:rPr>
                <w:vertAlign w:val="superscript"/>
              </w:rPr>
              <w:t>3</w:t>
            </w:r>
          </w:p>
        </w:tc>
      </w:tr>
      <w:tr w:rsidR="00321BD9" w:rsidRPr="005464FA" w14:paraId="1E61C985" w14:textId="77777777" w:rsidTr="009164BC">
        <w:tc>
          <w:tcPr>
            <w:tcW w:w="3397" w:type="dxa"/>
          </w:tcPr>
          <w:p w14:paraId="0DC289E0" w14:textId="77777777" w:rsidR="00321BD9" w:rsidRPr="005464FA" w:rsidRDefault="00321BD9" w:rsidP="00321BD9">
            <w:pPr>
              <w:pStyle w:val="TableText0"/>
              <w:rPr>
                <w:b/>
                <w:bCs w:val="0"/>
              </w:rPr>
            </w:pPr>
            <w:r w:rsidRPr="005464FA">
              <w:rPr>
                <w:b/>
                <w:bCs w:val="0"/>
              </w:rPr>
              <w:t>Total eligible HR+ HER2-negative patients</w:t>
            </w:r>
          </w:p>
        </w:tc>
        <w:tc>
          <w:tcPr>
            <w:tcW w:w="851" w:type="dxa"/>
            <w:vAlign w:val="center"/>
          </w:tcPr>
          <w:p w14:paraId="7B3018E8" w14:textId="4ADC5556" w:rsidR="00321BD9" w:rsidRPr="005F522F" w:rsidRDefault="00321BD9" w:rsidP="00321BD9">
            <w:pPr>
              <w:pStyle w:val="TableText0"/>
              <w:jc w:val="center"/>
              <w:rPr>
                <w:b/>
                <w:bCs w:val="0"/>
                <w:highlight w:val="darkGray"/>
              </w:rPr>
            </w:pPr>
            <w:r w:rsidRPr="005F522F">
              <w:rPr>
                <w:b/>
                <w:bCs w:val="0"/>
                <w:color w:val="000000"/>
                <w:spacing w:val="168"/>
                <w:shd w:val="solid" w:color="000000" w:fill="000000"/>
                <w:fitText w:val="260" w:id="-893196529"/>
                <w14:textFill>
                  <w14:solidFill>
                    <w14:srgbClr w14:val="000000">
                      <w14:alpha w14:val="100000"/>
                    </w14:srgbClr>
                  </w14:solidFill>
                </w14:textFill>
              </w:rPr>
              <w:t>|</w:t>
            </w:r>
            <w:r w:rsidRPr="005F522F">
              <w:rPr>
                <w:b/>
                <w:bCs w:val="0"/>
                <w:color w:val="000000"/>
                <w:spacing w:val="1"/>
                <w:shd w:val="solid" w:color="000000" w:fill="000000"/>
                <w:fitText w:val="260" w:id="-893196529"/>
                <w14:textFill>
                  <w14:solidFill>
                    <w14:srgbClr w14:val="000000">
                      <w14:alpha w14:val="100000"/>
                    </w14:srgbClr>
                  </w14:solidFill>
                </w14:textFill>
              </w:rPr>
              <w:t>|</w:t>
            </w:r>
            <w:r>
              <w:rPr>
                <w:vertAlign w:val="superscript"/>
              </w:rPr>
              <w:t>3</w:t>
            </w:r>
          </w:p>
        </w:tc>
        <w:tc>
          <w:tcPr>
            <w:tcW w:w="992" w:type="dxa"/>
            <w:vAlign w:val="center"/>
          </w:tcPr>
          <w:p w14:paraId="7F3887DE" w14:textId="2E0CE027" w:rsidR="00321BD9" w:rsidRPr="005F522F" w:rsidRDefault="00321BD9" w:rsidP="00321BD9">
            <w:pPr>
              <w:pStyle w:val="TableText0"/>
              <w:jc w:val="center"/>
              <w:rPr>
                <w:b/>
                <w:bCs w:val="0"/>
                <w:highlight w:val="darkGray"/>
              </w:rPr>
            </w:pPr>
            <w:r w:rsidRPr="005F522F">
              <w:rPr>
                <w:b/>
                <w:bCs w:val="0"/>
                <w:color w:val="000000"/>
                <w:spacing w:val="168"/>
                <w:shd w:val="solid" w:color="000000" w:fill="000000"/>
                <w:fitText w:val="260" w:id="-893196528"/>
                <w14:textFill>
                  <w14:solidFill>
                    <w14:srgbClr w14:val="000000">
                      <w14:alpha w14:val="100000"/>
                    </w14:srgbClr>
                  </w14:solidFill>
                </w14:textFill>
              </w:rPr>
              <w:t>|</w:t>
            </w:r>
            <w:r w:rsidRPr="005F522F">
              <w:rPr>
                <w:b/>
                <w:bCs w:val="0"/>
                <w:color w:val="000000"/>
                <w:spacing w:val="1"/>
                <w:shd w:val="solid" w:color="000000" w:fill="000000"/>
                <w:fitText w:val="260" w:id="-893196528"/>
                <w14:textFill>
                  <w14:solidFill>
                    <w14:srgbClr w14:val="000000">
                      <w14:alpha w14:val="100000"/>
                    </w14:srgbClr>
                  </w14:solidFill>
                </w14:textFill>
              </w:rPr>
              <w:t>|</w:t>
            </w:r>
            <w:r>
              <w:rPr>
                <w:vertAlign w:val="superscript"/>
              </w:rPr>
              <w:t>3</w:t>
            </w:r>
          </w:p>
        </w:tc>
        <w:tc>
          <w:tcPr>
            <w:tcW w:w="992" w:type="dxa"/>
            <w:vAlign w:val="center"/>
          </w:tcPr>
          <w:p w14:paraId="36C15F23" w14:textId="4FEA1BEA" w:rsidR="00321BD9" w:rsidRPr="005F522F" w:rsidRDefault="00321BD9" w:rsidP="00321BD9">
            <w:pPr>
              <w:pStyle w:val="TableText0"/>
              <w:jc w:val="center"/>
              <w:rPr>
                <w:b/>
                <w:bCs w:val="0"/>
                <w:highlight w:val="darkGray"/>
              </w:rPr>
            </w:pPr>
            <w:r w:rsidRPr="005F522F">
              <w:rPr>
                <w:b/>
                <w:bCs w:val="0"/>
                <w:color w:val="000000"/>
                <w:spacing w:val="168"/>
                <w:shd w:val="solid" w:color="000000" w:fill="000000"/>
                <w:fitText w:val="260" w:id="-893196544"/>
                <w14:textFill>
                  <w14:solidFill>
                    <w14:srgbClr w14:val="000000">
                      <w14:alpha w14:val="100000"/>
                    </w14:srgbClr>
                  </w14:solidFill>
                </w14:textFill>
              </w:rPr>
              <w:t>|</w:t>
            </w:r>
            <w:r w:rsidRPr="005F522F">
              <w:rPr>
                <w:b/>
                <w:bCs w:val="0"/>
                <w:color w:val="000000"/>
                <w:spacing w:val="1"/>
                <w:shd w:val="solid" w:color="000000" w:fill="000000"/>
                <w:fitText w:val="260" w:id="-893196544"/>
                <w14:textFill>
                  <w14:solidFill>
                    <w14:srgbClr w14:val="000000">
                      <w14:alpha w14:val="100000"/>
                    </w14:srgbClr>
                  </w14:solidFill>
                </w14:textFill>
              </w:rPr>
              <w:t>|</w:t>
            </w:r>
            <w:r>
              <w:rPr>
                <w:vertAlign w:val="superscript"/>
              </w:rPr>
              <w:t>3</w:t>
            </w:r>
          </w:p>
        </w:tc>
        <w:tc>
          <w:tcPr>
            <w:tcW w:w="851" w:type="dxa"/>
            <w:vAlign w:val="center"/>
          </w:tcPr>
          <w:p w14:paraId="336B9590" w14:textId="391BE9B6" w:rsidR="00321BD9" w:rsidRPr="005F522F" w:rsidRDefault="00321BD9" w:rsidP="00321BD9">
            <w:pPr>
              <w:pStyle w:val="TableText0"/>
              <w:jc w:val="center"/>
              <w:rPr>
                <w:b/>
                <w:bCs w:val="0"/>
                <w:highlight w:val="darkGray"/>
              </w:rPr>
            </w:pPr>
            <w:r w:rsidRPr="005F522F">
              <w:rPr>
                <w:b/>
                <w:bCs w:val="0"/>
                <w:color w:val="000000"/>
                <w:spacing w:val="168"/>
                <w:shd w:val="solid" w:color="000000" w:fill="000000"/>
                <w:fitText w:val="260" w:id="-893196543"/>
                <w14:textFill>
                  <w14:solidFill>
                    <w14:srgbClr w14:val="000000">
                      <w14:alpha w14:val="100000"/>
                    </w14:srgbClr>
                  </w14:solidFill>
                </w14:textFill>
              </w:rPr>
              <w:t>|</w:t>
            </w:r>
            <w:r w:rsidRPr="005F522F">
              <w:rPr>
                <w:b/>
                <w:bCs w:val="0"/>
                <w:color w:val="000000"/>
                <w:spacing w:val="1"/>
                <w:shd w:val="solid" w:color="000000" w:fill="000000"/>
                <w:fitText w:val="260" w:id="-893196543"/>
                <w14:textFill>
                  <w14:solidFill>
                    <w14:srgbClr w14:val="000000">
                      <w14:alpha w14:val="100000"/>
                    </w14:srgbClr>
                  </w14:solidFill>
                </w14:textFill>
              </w:rPr>
              <w:t>|</w:t>
            </w:r>
            <w:r>
              <w:rPr>
                <w:vertAlign w:val="superscript"/>
              </w:rPr>
              <w:t>3</w:t>
            </w:r>
          </w:p>
        </w:tc>
        <w:tc>
          <w:tcPr>
            <w:tcW w:w="992" w:type="dxa"/>
            <w:vAlign w:val="center"/>
          </w:tcPr>
          <w:p w14:paraId="4155729B" w14:textId="6D7F6133" w:rsidR="00321BD9" w:rsidRPr="005F522F" w:rsidRDefault="00321BD9" w:rsidP="00321BD9">
            <w:pPr>
              <w:pStyle w:val="TableText0"/>
              <w:jc w:val="center"/>
              <w:rPr>
                <w:b/>
                <w:bCs w:val="0"/>
                <w:highlight w:val="darkGray"/>
              </w:rPr>
            </w:pPr>
            <w:r w:rsidRPr="005F522F">
              <w:rPr>
                <w:b/>
                <w:bCs w:val="0"/>
                <w:color w:val="000000"/>
                <w:spacing w:val="168"/>
                <w:shd w:val="solid" w:color="000000" w:fill="000000"/>
                <w:fitText w:val="260" w:id="-893196542"/>
                <w14:textFill>
                  <w14:solidFill>
                    <w14:srgbClr w14:val="000000">
                      <w14:alpha w14:val="100000"/>
                    </w14:srgbClr>
                  </w14:solidFill>
                </w14:textFill>
              </w:rPr>
              <w:t>|</w:t>
            </w:r>
            <w:r w:rsidRPr="005F522F">
              <w:rPr>
                <w:b/>
                <w:bCs w:val="0"/>
                <w:color w:val="000000"/>
                <w:spacing w:val="1"/>
                <w:shd w:val="solid" w:color="000000" w:fill="000000"/>
                <w:fitText w:val="260" w:id="-893196542"/>
                <w14:textFill>
                  <w14:solidFill>
                    <w14:srgbClr w14:val="000000">
                      <w14:alpha w14:val="100000"/>
                    </w14:srgbClr>
                  </w14:solidFill>
                </w14:textFill>
              </w:rPr>
              <w:t>|</w:t>
            </w:r>
            <w:r>
              <w:rPr>
                <w:vertAlign w:val="superscript"/>
              </w:rPr>
              <w:t>3</w:t>
            </w:r>
          </w:p>
        </w:tc>
        <w:tc>
          <w:tcPr>
            <w:tcW w:w="850" w:type="dxa"/>
            <w:vAlign w:val="center"/>
          </w:tcPr>
          <w:p w14:paraId="061A6E1E" w14:textId="27D9C636" w:rsidR="00321BD9" w:rsidRPr="005F522F" w:rsidRDefault="00321BD9" w:rsidP="00321BD9">
            <w:pPr>
              <w:pStyle w:val="TableText0"/>
              <w:jc w:val="center"/>
              <w:rPr>
                <w:b/>
                <w:bCs w:val="0"/>
                <w:highlight w:val="darkGray"/>
              </w:rPr>
            </w:pPr>
            <w:r w:rsidRPr="005F522F">
              <w:rPr>
                <w:b/>
                <w:bCs w:val="0"/>
                <w:color w:val="000000"/>
                <w:spacing w:val="168"/>
                <w:shd w:val="solid" w:color="000000" w:fill="000000"/>
                <w:fitText w:val="260" w:id="-893196541"/>
                <w14:textFill>
                  <w14:solidFill>
                    <w14:srgbClr w14:val="000000">
                      <w14:alpha w14:val="100000"/>
                    </w14:srgbClr>
                  </w14:solidFill>
                </w14:textFill>
              </w:rPr>
              <w:t>|</w:t>
            </w:r>
            <w:r w:rsidRPr="005F522F">
              <w:rPr>
                <w:b/>
                <w:bCs w:val="0"/>
                <w:color w:val="000000"/>
                <w:spacing w:val="1"/>
                <w:shd w:val="solid" w:color="000000" w:fill="000000"/>
                <w:fitText w:val="260" w:id="-893196541"/>
                <w14:textFill>
                  <w14:solidFill>
                    <w14:srgbClr w14:val="000000">
                      <w14:alpha w14:val="100000"/>
                    </w14:srgbClr>
                  </w14:solidFill>
                </w14:textFill>
              </w:rPr>
              <w:t>|</w:t>
            </w:r>
            <w:r>
              <w:rPr>
                <w:vertAlign w:val="superscript"/>
              </w:rPr>
              <w:t>3</w:t>
            </w:r>
          </w:p>
        </w:tc>
      </w:tr>
      <w:tr w:rsidR="00321BD9" w:rsidRPr="005464FA" w14:paraId="6D5187D3" w14:textId="77777777" w:rsidTr="009164BC">
        <w:tc>
          <w:tcPr>
            <w:tcW w:w="3397" w:type="dxa"/>
          </w:tcPr>
          <w:p w14:paraId="1CFD675E" w14:textId="51932A34" w:rsidR="00321BD9" w:rsidRPr="005464FA" w:rsidRDefault="00321BD9" w:rsidP="00321BD9">
            <w:pPr>
              <w:pStyle w:val="TableText0"/>
              <w:rPr>
                <w:b/>
                <w:bCs w:val="0"/>
              </w:rPr>
            </w:pPr>
            <w:r w:rsidRPr="005464FA">
              <w:rPr>
                <w:b/>
                <w:bCs w:val="0"/>
              </w:rPr>
              <w:t>Total patients eligible for olaparib</w:t>
            </w:r>
          </w:p>
        </w:tc>
        <w:tc>
          <w:tcPr>
            <w:tcW w:w="851" w:type="dxa"/>
          </w:tcPr>
          <w:p w14:paraId="407340B0" w14:textId="5E7C4F9D" w:rsidR="00321BD9" w:rsidRPr="005F522F" w:rsidRDefault="00321BD9" w:rsidP="00321BD9">
            <w:pPr>
              <w:pStyle w:val="TableText0"/>
              <w:jc w:val="center"/>
              <w:rPr>
                <w:b/>
                <w:bCs w:val="0"/>
                <w:highlight w:val="darkGray"/>
              </w:rPr>
            </w:pPr>
            <w:r w:rsidRPr="005F522F">
              <w:rPr>
                <w:color w:val="000000"/>
                <w:spacing w:val="41"/>
                <w:shd w:val="solid" w:color="000000" w:fill="000000"/>
                <w:fitText w:val="210" w:id="-893196540"/>
                <w14:textFill>
                  <w14:solidFill>
                    <w14:srgbClr w14:val="000000">
                      <w14:alpha w14:val="100000"/>
                    </w14:srgbClr>
                  </w14:solidFill>
                </w14:textFill>
              </w:rPr>
              <w:t>||</w:t>
            </w:r>
            <w:r w:rsidRPr="005F522F">
              <w:rPr>
                <w:color w:val="000000"/>
                <w:spacing w:val="1"/>
                <w:shd w:val="solid" w:color="000000" w:fill="000000"/>
                <w:fitText w:val="210" w:id="-893196540"/>
                <w14:textFill>
                  <w14:solidFill>
                    <w14:srgbClr w14:val="000000">
                      <w14:alpha w14:val="100000"/>
                    </w14:srgbClr>
                  </w14:solidFill>
                </w14:textFill>
              </w:rPr>
              <w:t>|</w:t>
            </w:r>
            <w:r>
              <w:rPr>
                <w:vertAlign w:val="superscript"/>
              </w:rPr>
              <w:t>3</w:t>
            </w:r>
          </w:p>
        </w:tc>
        <w:tc>
          <w:tcPr>
            <w:tcW w:w="992" w:type="dxa"/>
          </w:tcPr>
          <w:p w14:paraId="20857AFA" w14:textId="3F8A3863" w:rsidR="00321BD9" w:rsidRPr="005F522F" w:rsidRDefault="00321BD9" w:rsidP="00321BD9">
            <w:pPr>
              <w:pStyle w:val="TableText0"/>
              <w:jc w:val="center"/>
              <w:rPr>
                <w:b/>
                <w:bCs w:val="0"/>
                <w:highlight w:val="darkGray"/>
              </w:rPr>
            </w:pPr>
            <w:r w:rsidRPr="005F522F">
              <w:rPr>
                <w:color w:val="000000"/>
                <w:spacing w:val="41"/>
                <w:shd w:val="solid" w:color="000000" w:fill="000000"/>
                <w:fitText w:val="210" w:id="-893196539"/>
                <w14:textFill>
                  <w14:solidFill>
                    <w14:srgbClr w14:val="000000">
                      <w14:alpha w14:val="100000"/>
                    </w14:srgbClr>
                  </w14:solidFill>
                </w14:textFill>
              </w:rPr>
              <w:t>||</w:t>
            </w:r>
            <w:r w:rsidRPr="005F522F">
              <w:rPr>
                <w:color w:val="000000"/>
                <w:spacing w:val="1"/>
                <w:shd w:val="solid" w:color="000000" w:fill="000000"/>
                <w:fitText w:val="210" w:id="-893196539"/>
                <w14:textFill>
                  <w14:solidFill>
                    <w14:srgbClr w14:val="000000">
                      <w14:alpha w14:val="100000"/>
                    </w14:srgbClr>
                  </w14:solidFill>
                </w14:textFill>
              </w:rPr>
              <w:t>|</w:t>
            </w:r>
            <w:r>
              <w:rPr>
                <w:vertAlign w:val="superscript"/>
              </w:rPr>
              <w:t>3</w:t>
            </w:r>
          </w:p>
        </w:tc>
        <w:tc>
          <w:tcPr>
            <w:tcW w:w="992" w:type="dxa"/>
          </w:tcPr>
          <w:p w14:paraId="3BCB96E5" w14:textId="6D2E7CE0" w:rsidR="00321BD9" w:rsidRPr="005F522F" w:rsidRDefault="00321BD9" w:rsidP="00321BD9">
            <w:pPr>
              <w:pStyle w:val="TableText0"/>
              <w:jc w:val="center"/>
              <w:rPr>
                <w:b/>
                <w:bCs w:val="0"/>
                <w:highlight w:val="darkGray"/>
              </w:rPr>
            </w:pPr>
            <w:r w:rsidRPr="005F522F">
              <w:rPr>
                <w:color w:val="000000"/>
                <w:spacing w:val="41"/>
                <w:shd w:val="solid" w:color="000000" w:fill="000000"/>
                <w:fitText w:val="210" w:id="-893196538"/>
                <w14:textFill>
                  <w14:solidFill>
                    <w14:srgbClr w14:val="000000">
                      <w14:alpha w14:val="100000"/>
                    </w14:srgbClr>
                  </w14:solidFill>
                </w14:textFill>
              </w:rPr>
              <w:t>||</w:t>
            </w:r>
            <w:r w:rsidRPr="005F522F">
              <w:rPr>
                <w:color w:val="000000"/>
                <w:spacing w:val="1"/>
                <w:shd w:val="solid" w:color="000000" w:fill="000000"/>
                <w:fitText w:val="210" w:id="-893196538"/>
                <w14:textFill>
                  <w14:solidFill>
                    <w14:srgbClr w14:val="000000">
                      <w14:alpha w14:val="100000"/>
                    </w14:srgbClr>
                  </w14:solidFill>
                </w14:textFill>
              </w:rPr>
              <w:t>|</w:t>
            </w:r>
            <w:r>
              <w:rPr>
                <w:vertAlign w:val="superscript"/>
              </w:rPr>
              <w:t>3</w:t>
            </w:r>
          </w:p>
        </w:tc>
        <w:tc>
          <w:tcPr>
            <w:tcW w:w="851" w:type="dxa"/>
          </w:tcPr>
          <w:p w14:paraId="0C68B360" w14:textId="3CE33E08" w:rsidR="00321BD9" w:rsidRPr="005F522F" w:rsidRDefault="00321BD9" w:rsidP="00321BD9">
            <w:pPr>
              <w:pStyle w:val="TableText0"/>
              <w:jc w:val="center"/>
              <w:rPr>
                <w:b/>
                <w:bCs w:val="0"/>
                <w:highlight w:val="darkGray"/>
              </w:rPr>
            </w:pPr>
            <w:r w:rsidRPr="005F522F">
              <w:rPr>
                <w:color w:val="000000"/>
                <w:spacing w:val="41"/>
                <w:shd w:val="solid" w:color="000000" w:fill="000000"/>
                <w:fitText w:val="210" w:id="-893196537"/>
                <w14:textFill>
                  <w14:solidFill>
                    <w14:srgbClr w14:val="000000">
                      <w14:alpha w14:val="100000"/>
                    </w14:srgbClr>
                  </w14:solidFill>
                </w14:textFill>
              </w:rPr>
              <w:t>||</w:t>
            </w:r>
            <w:r w:rsidRPr="005F522F">
              <w:rPr>
                <w:color w:val="000000"/>
                <w:spacing w:val="1"/>
                <w:shd w:val="solid" w:color="000000" w:fill="000000"/>
                <w:fitText w:val="210" w:id="-893196537"/>
                <w14:textFill>
                  <w14:solidFill>
                    <w14:srgbClr w14:val="000000">
                      <w14:alpha w14:val="100000"/>
                    </w14:srgbClr>
                  </w14:solidFill>
                </w14:textFill>
              </w:rPr>
              <w:t>|</w:t>
            </w:r>
            <w:r>
              <w:rPr>
                <w:vertAlign w:val="superscript"/>
              </w:rPr>
              <w:t>3</w:t>
            </w:r>
          </w:p>
        </w:tc>
        <w:tc>
          <w:tcPr>
            <w:tcW w:w="992" w:type="dxa"/>
          </w:tcPr>
          <w:p w14:paraId="27B617BC" w14:textId="205ADBA4" w:rsidR="00321BD9" w:rsidRPr="005F522F" w:rsidRDefault="00321BD9" w:rsidP="00321BD9">
            <w:pPr>
              <w:pStyle w:val="TableText0"/>
              <w:jc w:val="center"/>
              <w:rPr>
                <w:b/>
                <w:bCs w:val="0"/>
                <w:highlight w:val="darkGray"/>
              </w:rPr>
            </w:pPr>
            <w:r w:rsidRPr="005F522F">
              <w:rPr>
                <w:color w:val="000000"/>
                <w:spacing w:val="41"/>
                <w:shd w:val="solid" w:color="000000" w:fill="000000"/>
                <w:fitText w:val="210" w:id="-893196536"/>
                <w14:textFill>
                  <w14:solidFill>
                    <w14:srgbClr w14:val="000000">
                      <w14:alpha w14:val="100000"/>
                    </w14:srgbClr>
                  </w14:solidFill>
                </w14:textFill>
              </w:rPr>
              <w:t>||</w:t>
            </w:r>
            <w:r w:rsidRPr="005F522F">
              <w:rPr>
                <w:color w:val="000000"/>
                <w:spacing w:val="1"/>
                <w:shd w:val="solid" w:color="000000" w:fill="000000"/>
                <w:fitText w:val="210" w:id="-893196536"/>
                <w14:textFill>
                  <w14:solidFill>
                    <w14:srgbClr w14:val="000000">
                      <w14:alpha w14:val="100000"/>
                    </w14:srgbClr>
                  </w14:solidFill>
                </w14:textFill>
              </w:rPr>
              <w:t>|</w:t>
            </w:r>
            <w:r>
              <w:rPr>
                <w:vertAlign w:val="superscript"/>
              </w:rPr>
              <w:t>3</w:t>
            </w:r>
          </w:p>
        </w:tc>
        <w:tc>
          <w:tcPr>
            <w:tcW w:w="850" w:type="dxa"/>
          </w:tcPr>
          <w:p w14:paraId="0FB94112" w14:textId="48009658" w:rsidR="00321BD9" w:rsidRPr="005F522F" w:rsidRDefault="00321BD9" w:rsidP="00321BD9">
            <w:pPr>
              <w:pStyle w:val="TableText0"/>
              <w:jc w:val="center"/>
              <w:rPr>
                <w:b/>
                <w:bCs w:val="0"/>
                <w:highlight w:val="darkGray"/>
              </w:rPr>
            </w:pPr>
            <w:r w:rsidRPr="005F522F">
              <w:rPr>
                <w:color w:val="000000"/>
                <w:spacing w:val="41"/>
                <w:shd w:val="solid" w:color="000000" w:fill="000000"/>
                <w:fitText w:val="210" w:id="-893196535"/>
                <w14:textFill>
                  <w14:solidFill>
                    <w14:srgbClr w14:val="000000">
                      <w14:alpha w14:val="100000"/>
                    </w14:srgbClr>
                  </w14:solidFill>
                </w14:textFill>
              </w:rPr>
              <w:t>||</w:t>
            </w:r>
            <w:r w:rsidRPr="005F522F">
              <w:rPr>
                <w:color w:val="000000"/>
                <w:spacing w:val="1"/>
                <w:shd w:val="solid" w:color="000000" w:fill="000000"/>
                <w:fitText w:val="210" w:id="-893196535"/>
                <w14:textFill>
                  <w14:solidFill>
                    <w14:srgbClr w14:val="000000">
                      <w14:alpha w14:val="100000"/>
                    </w14:srgbClr>
                  </w14:solidFill>
                </w14:textFill>
              </w:rPr>
              <w:t>|</w:t>
            </w:r>
            <w:r>
              <w:rPr>
                <w:vertAlign w:val="superscript"/>
              </w:rPr>
              <w:t>3</w:t>
            </w:r>
          </w:p>
        </w:tc>
      </w:tr>
    </w:tbl>
    <w:p w14:paraId="017EBF29" w14:textId="45578161" w:rsidR="00953E3C" w:rsidRPr="005464FA" w:rsidRDefault="00953E3C" w:rsidP="005F522F">
      <w:pPr>
        <w:pStyle w:val="TableText0"/>
        <w:jc w:val="both"/>
      </w:pPr>
      <w:r w:rsidRPr="005464FA">
        <w:t>Source: Tables 4.2-4.10, pp159-164 of the submission</w:t>
      </w:r>
      <w:r w:rsidR="00876792" w:rsidRPr="005464FA">
        <w:t>, Table 4.22 and 4.23, pp171-172 of the submission and attached financial spreadsheet.</w:t>
      </w:r>
    </w:p>
    <w:p w14:paraId="7678475B" w14:textId="03DB50AD" w:rsidR="00953E3C" w:rsidRPr="005464FA" w:rsidRDefault="00953E3C" w:rsidP="005F522F">
      <w:pPr>
        <w:pStyle w:val="TableText0"/>
        <w:jc w:val="both"/>
      </w:pPr>
      <w:r w:rsidRPr="005464FA">
        <w:t>HER2-negative = human epidermal growth factor receptor negative; HR + = hormone receptor positive; TNBC = triple negative breast cancer</w:t>
      </w:r>
    </w:p>
    <w:p w14:paraId="7F56687D" w14:textId="73EF0501" w:rsidR="00953E3C" w:rsidRPr="005464FA" w:rsidRDefault="00953E3C" w:rsidP="005F522F">
      <w:pPr>
        <w:pStyle w:val="TableText0"/>
        <w:jc w:val="both"/>
      </w:pPr>
      <w:r w:rsidRPr="005464FA">
        <w:rPr>
          <w:vertAlign w:val="superscript"/>
        </w:rPr>
        <w:t xml:space="preserve">a </w:t>
      </w:r>
      <w:r w:rsidRPr="005464FA">
        <w:t xml:space="preserve">The submission presented an estimate of </w:t>
      </w:r>
      <w:r w:rsidR="00C239E7">
        <w:t>&lt;500</w:t>
      </w:r>
      <w:r w:rsidRPr="005464FA">
        <w:t xml:space="preserve"> which was inconsistent with estimates in the financial spreadsheet and testing considerations in Section 4.5.</w:t>
      </w:r>
    </w:p>
    <w:p w14:paraId="30F38783" w14:textId="0A77BDB0" w:rsidR="00953E3C" w:rsidRPr="005464FA" w:rsidRDefault="00953E3C" w:rsidP="005F522F">
      <w:pPr>
        <w:pStyle w:val="TableText0"/>
        <w:jc w:val="both"/>
      </w:pPr>
      <w:r w:rsidRPr="005464FA">
        <w:rPr>
          <w:vertAlign w:val="superscript"/>
        </w:rPr>
        <w:t xml:space="preserve">b </w:t>
      </w:r>
      <w:r w:rsidRPr="005464FA">
        <w:t xml:space="preserve">The submission presented an estimate of </w:t>
      </w:r>
      <w:r w:rsidR="00547213" w:rsidRPr="00C82FF1">
        <w:rPr>
          <w:iCs/>
        </w:rPr>
        <w:t>500 to &lt; 5,000</w:t>
      </w:r>
      <w:r w:rsidR="00C82FF1">
        <w:rPr>
          <w:i/>
        </w:rPr>
        <w:t xml:space="preserve"> </w:t>
      </w:r>
      <w:r w:rsidRPr="005464FA">
        <w:t>which was inconsistent with estimates in the financial spreadsheet and testing considerations in Section 4.5.</w:t>
      </w:r>
    </w:p>
    <w:p w14:paraId="09A26910" w14:textId="2EB4CCC0" w:rsidR="00953E3C" w:rsidRPr="005464FA" w:rsidRDefault="00953E3C" w:rsidP="005F522F">
      <w:pPr>
        <w:pStyle w:val="TableText0"/>
        <w:keepNext w:val="0"/>
        <w:jc w:val="both"/>
      </w:pPr>
      <w:r w:rsidRPr="005464FA">
        <w:rPr>
          <w:vertAlign w:val="superscript"/>
        </w:rPr>
        <w:t xml:space="preserve">c </w:t>
      </w:r>
      <w:r w:rsidRPr="005464FA">
        <w:t xml:space="preserve">The submission presented an estimate of </w:t>
      </w:r>
      <w:r w:rsidR="00547213" w:rsidRPr="00C82FF1">
        <w:rPr>
          <w:iCs/>
        </w:rPr>
        <w:t>500 to &lt; 5,000</w:t>
      </w:r>
      <w:r w:rsidR="00C82FF1">
        <w:rPr>
          <w:i/>
        </w:rPr>
        <w:t xml:space="preserve"> </w:t>
      </w:r>
      <w:r w:rsidRPr="005464FA">
        <w:t>which was inconsistent with estimates in the financial spreadsheet and testing considerations in Section 4.5.</w:t>
      </w:r>
    </w:p>
    <w:bookmarkEnd w:id="96"/>
    <w:p w14:paraId="724AD1F3" w14:textId="77777777" w:rsidR="0028023C" w:rsidRPr="009A6D58" w:rsidRDefault="0028023C" w:rsidP="0028023C">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B65431A" w14:textId="4373417F" w:rsidR="0028023C" w:rsidRPr="009A6D58" w:rsidRDefault="0028023C" w:rsidP="0028023C">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20,000 to &lt; 30,000</w:t>
      </w:r>
    </w:p>
    <w:p w14:paraId="36CBFE9C" w14:textId="792FF3FD" w:rsidR="0028023C" w:rsidRPr="004E7AEA" w:rsidRDefault="0028023C" w:rsidP="0028023C">
      <w:pPr>
        <w:keepNext/>
        <w:keepLines/>
        <w:rPr>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594FBC">
        <w:rPr>
          <w:rFonts w:ascii="Arial Narrow" w:hAnsi="Arial Narrow"/>
          <w:i/>
          <w:sz w:val="18"/>
          <w:szCs w:val="18"/>
        </w:rPr>
        <w:t>500 to &lt; 5</w:t>
      </w:r>
      <w:r w:rsidR="006E09AE">
        <w:rPr>
          <w:rFonts w:ascii="Arial Narrow" w:hAnsi="Arial Narrow"/>
          <w:i/>
          <w:sz w:val="18"/>
          <w:szCs w:val="18"/>
        </w:rPr>
        <w:t>,</w:t>
      </w:r>
      <w:r w:rsidR="00594FBC">
        <w:rPr>
          <w:rFonts w:ascii="Arial Narrow" w:hAnsi="Arial Narrow"/>
          <w:i/>
          <w:sz w:val="18"/>
          <w:szCs w:val="18"/>
        </w:rPr>
        <w:t>000</w:t>
      </w:r>
    </w:p>
    <w:p w14:paraId="6C7EF421" w14:textId="457BD919" w:rsidR="0023360D" w:rsidRPr="005464FA" w:rsidRDefault="0028023C" w:rsidP="009164BC">
      <w:pPr>
        <w:spacing w:after="120"/>
        <w:rPr>
          <w:color w:val="3366FF"/>
        </w:rPr>
      </w:pPr>
      <w:r>
        <w:rPr>
          <w:rFonts w:ascii="Arial Narrow" w:hAnsi="Arial Narrow"/>
          <w:i/>
          <w:sz w:val="18"/>
          <w:szCs w:val="18"/>
          <w:vertAlign w:val="superscript"/>
        </w:rPr>
        <w:t>3</w:t>
      </w:r>
      <w:r>
        <w:rPr>
          <w:rFonts w:ascii="Arial Narrow" w:hAnsi="Arial Narrow"/>
          <w:i/>
          <w:sz w:val="18"/>
          <w:szCs w:val="18"/>
        </w:rPr>
        <w:t xml:space="preserve"> </w:t>
      </w:r>
      <w:r w:rsidR="00594FBC">
        <w:rPr>
          <w:rFonts w:ascii="Arial Narrow" w:hAnsi="Arial Narrow"/>
          <w:i/>
          <w:sz w:val="18"/>
          <w:szCs w:val="18"/>
        </w:rPr>
        <w:t>&lt; 500</w:t>
      </w:r>
    </w:p>
    <w:p w14:paraId="12936C33" w14:textId="75889E42" w:rsidR="005D15C1" w:rsidRPr="005464FA" w:rsidRDefault="005E7B3E" w:rsidP="003A0777">
      <w:pPr>
        <w:pStyle w:val="3-BodyText"/>
        <w:rPr>
          <w:color w:val="000000" w:themeColor="text1"/>
        </w:rPr>
      </w:pPr>
      <w:r w:rsidRPr="005464FA">
        <w:rPr>
          <w:color w:val="000000" w:themeColor="text1"/>
        </w:rPr>
        <w:fldChar w:fldCharType="begin" w:fldLock="1"/>
      </w:r>
      <w:r w:rsidRPr="005464FA">
        <w:rPr>
          <w:color w:val="000000" w:themeColor="text1"/>
        </w:rPr>
        <w:instrText xml:space="preserve"> REF _Ref165624736 \h </w:instrText>
      </w:r>
      <w:r w:rsidRPr="005464FA">
        <w:rPr>
          <w:color w:val="000000" w:themeColor="text1"/>
        </w:rPr>
      </w:r>
      <w:r w:rsidRPr="005464FA">
        <w:rPr>
          <w:color w:val="000000" w:themeColor="text1"/>
        </w:rPr>
        <w:fldChar w:fldCharType="separate"/>
      </w:r>
      <w:r w:rsidR="00122E11" w:rsidRPr="005464FA">
        <w:t>Table 18</w:t>
      </w:r>
      <w:r w:rsidRPr="005464FA">
        <w:rPr>
          <w:color w:val="000000" w:themeColor="text1"/>
        </w:rPr>
        <w:fldChar w:fldCharType="end"/>
      </w:r>
      <w:r w:rsidRPr="005464FA">
        <w:rPr>
          <w:color w:val="000000" w:themeColor="text1"/>
        </w:rPr>
        <w:t xml:space="preserve"> presents the estimated number of new </w:t>
      </w:r>
      <w:r w:rsidR="009F5B43" w:rsidRPr="005464FA">
        <w:rPr>
          <w:i/>
          <w:iCs/>
          <w:color w:val="000000" w:themeColor="text1"/>
        </w:rPr>
        <w:t>BRCA</w:t>
      </w:r>
      <w:r w:rsidRPr="005464FA">
        <w:rPr>
          <w:color w:val="000000" w:themeColor="text1"/>
        </w:rPr>
        <w:t xml:space="preserve"> tests required </w:t>
      </w:r>
      <w:proofErr w:type="gramStart"/>
      <w:r w:rsidRPr="005464FA">
        <w:rPr>
          <w:color w:val="000000" w:themeColor="text1"/>
        </w:rPr>
        <w:t>as a result of</w:t>
      </w:r>
      <w:proofErr w:type="gramEnd"/>
      <w:r w:rsidRPr="005464FA">
        <w:rPr>
          <w:color w:val="000000" w:themeColor="text1"/>
        </w:rPr>
        <w:t xml:space="preserve"> the proposed listing, which ranged from </w:t>
      </w:r>
      <w:r w:rsidR="00914397" w:rsidRPr="00914397">
        <w:rPr>
          <w:color w:val="000000" w:themeColor="text1"/>
        </w:rPr>
        <w:t>500 to &lt; 5,000</w:t>
      </w:r>
      <w:r w:rsidRPr="005464FA">
        <w:rPr>
          <w:color w:val="000000" w:themeColor="text1"/>
        </w:rPr>
        <w:t xml:space="preserve"> in Year 1 to </w:t>
      </w:r>
      <w:r w:rsidR="00914397" w:rsidRPr="00914397">
        <w:rPr>
          <w:color w:val="000000" w:themeColor="text1"/>
        </w:rPr>
        <w:t>500 to &lt; 5,000</w:t>
      </w:r>
      <w:r w:rsidRPr="005464FA">
        <w:rPr>
          <w:color w:val="000000" w:themeColor="text1"/>
        </w:rPr>
        <w:t xml:space="preserve"> in Year</w:t>
      </w:r>
      <w:r w:rsidR="009164BC">
        <w:rPr>
          <w:color w:val="000000" w:themeColor="text1"/>
        </w:rPr>
        <w:t> </w:t>
      </w:r>
      <w:r w:rsidRPr="005464FA">
        <w:rPr>
          <w:color w:val="000000" w:themeColor="text1"/>
        </w:rPr>
        <w:t>6. T</w:t>
      </w:r>
      <w:r w:rsidR="00B26ED8" w:rsidRPr="005464FA">
        <w:rPr>
          <w:color w:val="000000" w:themeColor="text1"/>
        </w:rPr>
        <w:t xml:space="preserve">he submission estimated that an increasing proportion of recurrent patients would already know their </w:t>
      </w:r>
      <w:r w:rsidR="009F5B43" w:rsidRPr="005464FA">
        <w:rPr>
          <w:i/>
          <w:iCs/>
          <w:color w:val="000000" w:themeColor="text1"/>
        </w:rPr>
        <w:t>BRCA</w:t>
      </w:r>
      <w:r w:rsidR="00B26ED8" w:rsidRPr="005464FA">
        <w:rPr>
          <w:color w:val="000000" w:themeColor="text1"/>
        </w:rPr>
        <w:t xml:space="preserve"> status from testing in eBC, and would not require </w:t>
      </w:r>
      <w:r w:rsidR="00B26ED8" w:rsidRPr="005464FA">
        <w:rPr>
          <w:color w:val="000000" w:themeColor="text1"/>
        </w:rPr>
        <w:lastRenderedPageBreak/>
        <w:t>testing after diagnosis of mBC</w:t>
      </w:r>
      <w:r w:rsidR="00D6393E" w:rsidRPr="005464FA">
        <w:rPr>
          <w:color w:val="000000" w:themeColor="text1"/>
        </w:rPr>
        <w:t xml:space="preserve">. </w:t>
      </w:r>
      <w:r w:rsidR="00332998" w:rsidRPr="005464FA">
        <w:rPr>
          <w:color w:val="000000" w:themeColor="text1"/>
        </w:rPr>
        <w:t xml:space="preserve">The ESC considered this was reasonable. </w:t>
      </w:r>
      <w:r w:rsidR="00B26ED8" w:rsidRPr="005464FA">
        <w:rPr>
          <w:color w:val="000000" w:themeColor="text1"/>
        </w:rPr>
        <w:t xml:space="preserve">For the TNBC population, the submission stated that recurrence from eBC usually occurs within the first three years (Soares 2021) and estimated that an increasing proportion of the recurrent TNBC population would already know their </w:t>
      </w:r>
      <w:r w:rsidR="009F5B43" w:rsidRPr="005464FA">
        <w:rPr>
          <w:i/>
          <w:iCs/>
          <w:color w:val="000000" w:themeColor="text1"/>
        </w:rPr>
        <w:t>BRCA</w:t>
      </w:r>
      <w:r w:rsidR="00B26ED8" w:rsidRPr="005464FA">
        <w:rPr>
          <w:color w:val="000000" w:themeColor="text1"/>
        </w:rPr>
        <w:t xml:space="preserve"> status at diagnosis of mBC (from </w:t>
      </w:r>
      <w:r w:rsidR="00CB7304" w:rsidRPr="00CB7304">
        <w:rPr>
          <w:color w:val="000000"/>
          <w:w w:val="95"/>
          <w:shd w:val="solid" w:color="000000" w:fill="000000"/>
          <w:fitText w:val="210" w:id="-891031808"/>
          <w14:textFill>
            <w14:solidFill>
              <w14:srgbClr w14:val="000000">
                <w14:alpha w14:val="100000"/>
              </w14:srgbClr>
            </w14:solidFill>
          </w14:textFill>
        </w:rPr>
        <w:t>||</w:t>
      </w:r>
      <w:r w:rsidR="00B26ED8" w:rsidRPr="005464FA">
        <w:rPr>
          <w:color w:val="000000" w:themeColor="text1"/>
        </w:rPr>
        <w:t xml:space="preserve">% in Year 1 to </w:t>
      </w:r>
      <w:r w:rsidR="00CB7304" w:rsidRPr="00CB7304">
        <w:rPr>
          <w:color w:val="000000"/>
          <w:w w:val="95"/>
          <w:shd w:val="solid" w:color="000000" w:fill="000000"/>
          <w:fitText w:val="210" w:id="-891031807"/>
          <w14:textFill>
            <w14:solidFill>
              <w14:srgbClr w14:val="000000">
                <w14:alpha w14:val="100000"/>
              </w14:srgbClr>
            </w14:solidFill>
          </w14:textFill>
        </w:rPr>
        <w:t>||</w:t>
      </w:r>
      <w:r w:rsidR="00B26ED8" w:rsidRPr="005464FA">
        <w:rPr>
          <w:color w:val="000000" w:themeColor="text1"/>
        </w:rPr>
        <w:t xml:space="preserve">% in Years 5 and 6). </w:t>
      </w:r>
      <w:r w:rsidR="00D6393E" w:rsidRPr="005464FA">
        <w:rPr>
          <w:color w:val="000000" w:themeColor="text1"/>
        </w:rPr>
        <w:t xml:space="preserve">This reduced the estimated number of new </w:t>
      </w:r>
      <w:r w:rsidR="009F5B43" w:rsidRPr="005464FA">
        <w:rPr>
          <w:i/>
          <w:iCs/>
          <w:color w:val="000000" w:themeColor="text1"/>
        </w:rPr>
        <w:t>BRCA</w:t>
      </w:r>
      <w:r w:rsidR="00D6393E" w:rsidRPr="005464FA">
        <w:rPr>
          <w:color w:val="000000" w:themeColor="text1"/>
        </w:rPr>
        <w:t xml:space="preserve"> tests by up to </w:t>
      </w:r>
      <w:r w:rsidR="005E04E8" w:rsidRPr="00914397">
        <w:rPr>
          <w:color w:val="000000" w:themeColor="text1"/>
        </w:rPr>
        <w:t>500 to &lt; 5,000</w:t>
      </w:r>
      <w:r w:rsidR="00C82FF1">
        <w:rPr>
          <w:color w:val="000000" w:themeColor="text1"/>
        </w:rPr>
        <w:t xml:space="preserve"> </w:t>
      </w:r>
      <w:r w:rsidR="00D6393E" w:rsidRPr="005464FA">
        <w:t xml:space="preserve">tests per year </w:t>
      </w:r>
      <w:r w:rsidR="00D6393E" w:rsidRPr="005464FA">
        <w:rPr>
          <w:color w:val="000000" w:themeColor="text1"/>
        </w:rPr>
        <w:t>(</w:t>
      </w:r>
      <w:r w:rsidR="00D6393E" w:rsidRPr="005464FA">
        <w:rPr>
          <w:color w:val="000000" w:themeColor="text1"/>
        </w:rPr>
        <w:fldChar w:fldCharType="begin" w:fldLock="1"/>
      </w:r>
      <w:r w:rsidR="00D6393E" w:rsidRPr="005464FA">
        <w:rPr>
          <w:color w:val="000000" w:themeColor="text1"/>
        </w:rPr>
        <w:instrText xml:space="preserve"> REF _Ref165624736 \h </w:instrText>
      </w:r>
      <w:r w:rsidR="00D6393E" w:rsidRPr="005464FA">
        <w:rPr>
          <w:color w:val="000000" w:themeColor="text1"/>
        </w:rPr>
      </w:r>
      <w:r w:rsidR="00D6393E" w:rsidRPr="005464FA">
        <w:rPr>
          <w:color w:val="000000" w:themeColor="text1"/>
        </w:rPr>
        <w:fldChar w:fldCharType="separate"/>
      </w:r>
      <w:r w:rsidR="00122E11" w:rsidRPr="005464FA">
        <w:t>Table 18</w:t>
      </w:r>
      <w:r w:rsidR="00D6393E" w:rsidRPr="005464FA">
        <w:rPr>
          <w:color w:val="000000" w:themeColor="text1"/>
        </w:rPr>
        <w:fldChar w:fldCharType="end"/>
      </w:r>
      <w:r w:rsidR="00D6393E" w:rsidRPr="005464FA">
        <w:rPr>
          <w:color w:val="000000" w:themeColor="text1"/>
        </w:rPr>
        <w:t xml:space="preserve">). </w:t>
      </w:r>
      <w:r w:rsidR="00B26ED8" w:rsidRPr="005464FA">
        <w:t xml:space="preserve">For the HER2-negative/HR+ population, the submission stated that recurrence from eBC for patients with a known </w:t>
      </w:r>
      <w:r w:rsidR="009F5B43" w:rsidRPr="005464FA">
        <w:rPr>
          <w:i/>
          <w:iCs/>
          <w:color w:val="000000" w:themeColor="text1"/>
        </w:rPr>
        <w:t>BRCA</w:t>
      </w:r>
      <w:r w:rsidR="00B26ED8" w:rsidRPr="005464FA">
        <w:rPr>
          <w:color w:val="000000" w:themeColor="text1"/>
        </w:rPr>
        <w:t xml:space="preserve"> status was not expected within the 6-year time horizon, given HER2-/HR+ patients commonly have recurrence after 5</w:t>
      </w:r>
      <w:r w:rsidR="00EE2915">
        <w:rPr>
          <w:color w:val="000000" w:themeColor="text1"/>
        </w:rPr>
        <w:t> </w:t>
      </w:r>
      <w:r w:rsidR="00B26ED8" w:rsidRPr="005464FA">
        <w:rPr>
          <w:color w:val="000000" w:themeColor="text1"/>
        </w:rPr>
        <w:t xml:space="preserve">years and will spend approximately 2 years on CDK4/6 inhibitors. Therefore, the submission assumed a declining rate of new </w:t>
      </w:r>
      <w:r w:rsidR="009F5B43" w:rsidRPr="005464FA">
        <w:rPr>
          <w:i/>
          <w:iCs/>
          <w:color w:val="000000" w:themeColor="text1"/>
        </w:rPr>
        <w:t>BRCA</w:t>
      </w:r>
      <w:r w:rsidR="00B26ED8" w:rsidRPr="005464FA">
        <w:rPr>
          <w:color w:val="000000" w:themeColor="text1"/>
        </w:rPr>
        <w:t xml:space="preserve"> tests performed after mBC diagnosis in the TNBC population (proportion decreases from </w:t>
      </w:r>
      <w:r w:rsidR="00882DEB" w:rsidRPr="00882DEB">
        <w:rPr>
          <w:color w:val="000000"/>
          <w:w w:val="95"/>
          <w:shd w:val="solid" w:color="000000" w:fill="000000"/>
          <w:fitText w:val="210" w:id="-891031806"/>
          <w14:textFill>
            <w14:solidFill>
              <w14:srgbClr w14:val="000000">
                <w14:alpha w14:val="100000"/>
              </w14:srgbClr>
            </w14:solidFill>
          </w14:textFill>
        </w:rPr>
        <w:t>||</w:t>
      </w:r>
      <w:r w:rsidR="00B26ED8" w:rsidRPr="005464FA">
        <w:rPr>
          <w:color w:val="000000" w:themeColor="text1"/>
        </w:rPr>
        <w:t xml:space="preserve">% in Year 1 to </w:t>
      </w:r>
      <w:r w:rsidR="00882DEB" w:rsidRPr="00882DEB">
        <w:rPr>
          <w:color w:val="000000"/>
          <w:w w:val="95"/>
          <w:shd w:val="solid" w:color="000000" w:fill="000000"/>
          <w:fitText w:val="210" w:id="-891031805"/>
          <w14:textFill>
            <w14:solidFill>
              <w14:srgbClr w14:val="000000">
                <w14:alpha w14:val="100000"/>
              </w14:srgbClr>
            </w14:solidFill>
          </w14:textFill>
        </w:rPr>
        <w:t>||</w:t>
      </w:r>
      <w:r w:rsidR="00B26ED8" w:rsidRPr="005464FA">
        <w:rPr>
          <w:color w:val="000000" w:themeColor="text1"/>
        </w:rPr>
        <w:t xml:space="preserve">% in Years 5 and 6), but not for the HER2-/HR+ population (proportion increases from </w:t>
      </w:r>
      <w:r w:rsidR="00882DEB" w:rsidRPr="00882DEB">
        <w:rPr>
          <w:color w:val="000000"/>
          <w:w w:val="95"/>
          <w:shd w:val="solid" w:color="000000" w:fill="000000"/>
          <w:fitText w:val="210" w:id="-891031804"/>
          <w14:textFill>
            <w14:solidFill>
              <w14:srgbClr w14:val="000000">
                <w14:alpha w14:val="100000"/>
              </w14:srgbClr>
            </w14:solidFill>
          </w14:textFill>
        </w:rPr>
        <w:t>||</w:t>
      </w:r>
      <w:r w:rsidR="00B26ED8" w:rsidRPr="005464FA">
        <w:rPr>
          <w:color w:val="000000" w:themeColor="text1"/>
        </w:rPr>
        <w:t xml:space="preserve">% in Year 1 to </w:t>
      </w:r>
      <w:r w:rsidR="00882DEB" w:rsidRPr="00882DEB">
        <w:rPr>
          <w:color w:val="000000"/>
          <w:w w:val="95"/>
          <w:shd w:val="solid" w:color="000000" w:fill="000000"/>
          <w:fitText w:val="210" w:id="-891031803"/>
          <w14:textFill>
            <w14:solidFill>
              <w14:srgbClr w14:val="000000">
                <w14:alpha w14:val="100000"/>
              </w14:srgbClr>
            </w14:solidFill>
          </w14:textFill>
        </w:rPr>
        <w:t>||</w:t>
      </w:r>
      <w:r w:rsidR="00B26ED8" w:rsidRPr="005464FA">
        <w:rPr>
          <w:color w:val="000000" w:themeColor="text1"/>
        </w:rPr>
        <w:t>% testing in mBC from Year 4 onwards).</w:t>
      </w:r>
      <w:r w:rsidR="00EE3316" w:rsidRPr="005464FA">
        <w:rPr>
          <w:color w:val="000000" w:themeColor="text1"/>
        </w:rPr>
        <w:t xml:space="preserve"> </w:t>
      </w:r>
      <w:r w:rsidR="00A84C5A" w:rsidRPr="005464FA">
        <w:rPr>
          <w:color w:val="000000" w:themeColor="text1"/>
        </w:rPr>
        <w:t>Unlike the economic model, t</w:t>
      </w:r>
      <w:r w:rsidR="00EE3316" w:rsidRPr="005464FA">
        <w:rPr>
          <w:color w:val="000000" w:themeColor="text1"/>
        </w:rPr>
        <w:t>he financial estimates account</w:t>
      </w:r>
      <w:r w:rsidR="00A84C5A" w:rsidRPr="005464FA">
        <w:rPr>
          <w:color w:val="000000" w:themeColor="text1"/>
        </w:rPr>
        <w:t>ed</w:t>
      </w:r>
      <w:r w:rsidR="00EE3316" w:rsidRPr="005464FA">
        <w:rPr>
          <w:color w:val="000000" w:themeColor="text1"/>
        </w:rPr>
        <w:t xml:space="preserve"> for </w:t>
      </w:r>
      <w:r w:rsidR="006B282F" w:rsidRPr="005464FA">
        <w:rPr>
          <w:color w:val="000000" w:themeColor="text1"/>
        </w:rPr>
        <w:t>the number needed to test to identify one patient eligible for treatment</w:t>
      </w:r>
      <w:r w:rsidR="00A84C5A" w:rsidRPr="005464FA">
        <w:rPr>
          <w:color w:val="000000" w:themeColor="text1"/>
        </w:rPr>
        <w:t xml:space="preserve"> (e.g. in year 6 there were </w:t>
      </w:r>
      <w:r w:rsidR="005E04E8" w:rsidRPr="00914397">
        <w:rPr>
          <w:color w:val="000000" w:themeColor="text1"/>
        </w:rPr>
        <w:t>500 to &lt; 5,000</w:t>
      </w:r>
      <w:r w:rsidR="00C82FF1">
        <w:rPr>
          <w:color w:val="000000" w:themeColor="text1"/>
        </w:rPr>
        <w:t xml:space="preserve"> </w:t>
      </w:r>
      <w:r w:rsidR="00A84C5A" w:rsidRPr="005464FA">
        <w:rPr>
          <w:color w:val="000000" w:themeColor="text1"/>
        </w:rPr>
        <w:t xml:space="preserve">estimated </w:t>
      </w:r>
      <w:r w:rsidR="005464FA" w:rsidRPr="005464FA">
        <w:rPr>
          <w:i/>
          <w:color w:val="000000" w:themeColor="text1"/>
        </w:rPr>
        <w:t>BRCA</w:t>
      </w:r>
      <w:r w:rsidR="00A84C5A" w:rsidRPr="005464FA">
        <w:rPr>
          <w:color w:val="000000" w:themeColor="text1"/>
        </w:rPr>
        <w:t xml:space="preserve"> tests and </w:t>
      </w:r>
      <w:r w:rsidR="00EE2915">
        <w:rPr>
          <w:color w:val="000000" w:themeColor="text1"/>
        </w:rPr>
        <w:t>&lt; 500</w:t>
      </w:r>
      <w:r w:rsidR="00EE2915" w:rsidRPr="005464FA">
        <w:rPr>
          <w:color w:val="000000" w:themeColor="text1"/>
        </w:rPr>
        <w:t xml:space="preserve"> </w:t>
      </w:r>
      <w:r w:rsidR="00A84C5A" w:rsidRPr="005464FA">
        <w:rPr>
          <w:color w:val="000000" w:themeColor="text1"/>
        </w:rPr>
        <w:t>patients initiating treatment with olaparib)</w:t>
      </w:r>
      <w:r w:rsidR="006B282F" w:rsidRPr="005464FA">
        <w:rPr>
          <w:color w:val="000000" w:themeColor="text1"/>
        </w:rPr>
        <w:t>.</w:t>
      </w:r>
    </w:p>
    <w:p w14:paraId="3D2517E3" w14:textId="467C40B9" w:rsidR="005D15C1" w:rsidRPr="005464FA" w:rsidRDefault="005D15C1" w:rsidP="005D15C1">
      <w:pPr>
        <w:pStyle w:val="TableFigureHeading"/>
        <w:keepLines/>
      </w:pPr>
      <w:bookmarkStart w:id="98" w:name="_Ref165624736"/>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18</w:t>
      </w:r>
      <w:r w:rsidR="00935AC4" w:rsidRPr="005464FA">
        <w:fldChar w:fldCharType="end"/>
      </w:r>
      <w:bookmarkEnd w:id="98"/>
      <w:r w:rsidRPr="005464FA">
        <w:t>:</w:t>
      </w:r>
      <w:r w:rsidRPr="005464FA">
        <w:rPr>
          <w:rStyle w:val="CommentReference"/>
          <w:b/>
          <w:szCs w:val="24"/>
        </w:rPr>
        <w:t xml:space="preserve"> </w:t>
      </w:r>
      <w:r w:rsidRPr="005464FA">
        <w:t xml:space="preserve">Total uptake of </w:t>
      </w:r>
      <w:r w:rsidR="009F5B43" w:rsidRPr="005464FA">
        <w:rPr>
          <w:i/>
          <w:iCs/>
        </w:rPr>
        <w:t>BRCA</w:t>
      </w:r>
      <w:r w:rsidRPr="005464FA">
        <w:t xml:space="preserve"> tests</w:t>
      </w:r>
    </w:p>
    <w:tbl>
      <w:tblPr>
        <w:tblStyle w:val="HTATableshaded"/>
        <w:tblW w:w="5000" w:type="pct"/>
        <w:tblLayout w:type="fixed"/>
        <w:tblLook w:val="04A0" w:firstRow="1" w:lastRow="0" w:firstColumn="1" w:lastColumn="0" w:noHBand="0" w:noVBand="1"/>
        <w:tblCaption w:val="Table 18: Total uptake of BRCA tests"/>
      </w:tblPr>
      <w:tblGrid>
        <w:gridCol w:w="4650"/>
        <w:gridCol w:w="695"/>
        <w:gridCol w:w="832"/>
        <w:gridCol w:w="695"/>
        <w:gridCol w:w="695"/>
        <w:gridCol w:w="695"/>
        <w:gridCol w:w="755"/>
      </w:tblGrid>
      <w:tr w:rsidR="005C07A9" w:rsidRPr="005464FA" w14:paraId="5366F6B0" w14:textId="77777777" w:rsidTr="00C82FF1">
        <w:trPr>
          <w:cnfStyle w:val="100000000000" w:firstRow="1" w:lastRow="0" w:firstColumn="0" w:lastColumn="0" w:oddVBand="0" w:evenVBand="0" w:oddHBand="0" w:evenHBand="0" w:firstRowFirstColumn="0" w:firstRowLastColumn="0" w:lastRowFirstColumn="0" w:lastRowLastColumn="0"/>
        </w:trPr>
        <w:tc>
          <w:tcPr>
            <w:tcW w:w="4650" w:type="dxa"/>
          </w:tcPr>
          <w:p w14:paraId="53123748" w14:textId="77777777" w:rsidR="005D15C1" w:rsidRPr="005464FA" w:rsidRDefault="005D15C1" w:rsidP="003A0777">
            <w:pPr>
              <w:pStyle w:val="Tabletext"/>
              <w:keepNext/>
              <w:keepLines/>
              <w:spacing w:before="0" w:after="0"/>
              <w:rPr>
                <w:b/>
                <w:bCs/>
              </w:rPr>
            </w:pPr>
          </w:p>
        </w:tc>
        <w:tc>
          <w:tcPr>
            <w:tcW w:w="695" w:type="dxa"/>
            <w:vAlign w:val="center"/>
          </w:tcPr>
          <w:p w14:paraId="7CDF9A7F" w14:textId="77777777" w:rsidR="005D15C1" w:rsidRPr="005464FA" w:rsidRDefault="005D15C1" w:rsidP="003A0777">
            <w:pPr>
              <w:pStyle w:val="Tabletext"/>
              <w:keepNext/>
              <w:keepLines/>
              <w:spacing w:before="0" w:after="0"/>
              <w:jc w:val="center"/>
              <w:rPr>
                <w:b/>
                <w:bCs/>
              </w:rPr>
            </w:pPr>
            <w:r w:rsidRPr="005464FA">
              <w:rPr>
                <w:b/>
                <w:bCs/>
              </w:rPr>
              <w:t>2025</w:t>
            </w:r>
          </w:p>
        </w:tc>
        <w:tc>
          <w:tcPr>
            <w:tcW w:w="832" w:type="dxa"/>
            <w:vAlign w:val="center"/>
          </w:tcPr>
          <w:p w14:paraId="2936F612" w14:textId="77777777" w:rsidR="005D15C1" w:rsidRPr="005464FA" w:rsidRDefault="005D15C1" w:rsidP="003A0777">
            <w:pPr>
              <w:pStyle w:val="Tabletext"/>
              <w:keepNext/>
              <w:keepLines/>
              <w:spacing w:before="0" w:after="0"/>
              <w:jc w:val="center"/>
              <w:rPr>
                <w:b/>
                <w:bCs/>
              </w:rPr>
            </w:pPr>
            <w:r w:rsidRPr="005464FA">
              <w:rPr>
                <w:b/>
                <w:bCs/>
              </w:rPr>
              <w:t>2026</w:t>
            </w:r>
          </w:p>
        </w:tc>
        <w:tc>
          <w:tcPr>
            <w:tcW w:w="695" w:type="dxa"/>
            <w:vAlign w:val="center"/>
          </w:tcPr>
          <w:p w14:paraId="3C8AD4CD" w14:textId="77777777" w:rsidR="005D15C1" w:rsidRPr="005464FA" w:rsidRDefault="005D15C1" w:rsidP="003A0777">
            <w:pPr>
              <w:pStyle w:val="Tabletext"/>
              <w:keepNext/>
              <w:keepLines/>
              <w:spacing w:before="0" w:after="0"/>
              <w:jc w:val="center"/>
              <w:rPr>
                <w:b/>
                <w:bCs/>
              </w:rPr>
            </w:pPr>
            <w:r w:rsidRPr="005464FA">
              <w:rPr>
                <w:b/>
                <w:bCs/>
              </w:rPr>
              <w:t>2027</w:t>
            </w:r>
          </w:p>
        </w:tc>
        <w:tc>
          <w:tcPr>
            <w:tcW w:w="695" w:type="dxa"/>
            <w:vAlign w:val="center"/>
          </w:tcPr>
          <w:p w14:paraId="35128228" w14:textId="77777777" w:rsidR="005D15C1" w:rsidRPr="005464FA" w:rsidRDefault="005D15C1" w:rsidP="003A0777">
            <w:pPr>
              <w:pStyle w:val="Tabletext"/>
              <w:keepNext/>
              <w:keepLines/>
              <w:spacing w:before="0" w:after="0"/>
              <w:jc w:val="center"/>
              <w:rPr>
                <w:b/>
                <w:bCs/>
              </w:rPr>
            </w:pPr>
            <w:r w:rsidRPr="005464FA">
              <w:rPr>
                <w:b/>
                <w:bCs/>
              </w:rPr>
              <w:t>2028</w:t>
            </w:r>
          </w:p>
        </w:tc>
        <w:tc>
          <w:tcPr>
            <w:tcW w:w="695" w:type="dxa"/>
            <w:vAlign w:val="center"/>
          </w:tcPr>
          <w:p w14:paraId="22180F86" w14:textId="77777777" w:rsidR="005D15C1" w:rsidRPr="005464FA" w:rsidRDefault="005D15C1" w:rsidP="003A0777">
            <w:pPr>
              <w:pStyle w:val="Tabletext"/>
              <w:keepNext/>
              <w:keepLines/>
              <w:spacing w:before="0" w:after="0"/>
              <w:jc w:val="center"/>
              <w:rPr>
                <w:b/>
                <w:bCs/>
              </w:rPr>
            </w:pPr>
            <w:r w:rsidRPr="005464FA">
              <w:rPr>
                <w:b/>
                <w:bCs/>
              </w:rPr>
              <w:t>2029</w:t>
            </w:r>
          </w:p>
        </w:tc>
        <w:tc>
          <w:tcPr>
            <w:tcW w:w="755" w:type="dxa"/>
            <w:vAlign w:val="center"/>
          </w:tcPr>
          <w:p w14:paraId="10185D1A" w14:textId="77777777" w:rsidR="005D15C1" w:rsidRPr="005464FA" w:rsidRDefault="005D15C1" w:rsidP="003A0777">
            <w:pPr>
              <w:pStyle w:val="Tabletext"/>
              <w:keepNext/>
              <w:keepLines/>
              <w:spacing w:before="0" w:after="0"/>
              <w:jc w:val="center"/>
              <w:rPr>
                <w:b/>
                <w:bCs/>
              </w:rPr>
            </w:pPr>
            <w:r w:rsidRPr="005464FA">
              <w:rPr>
                <w:b/>
                <w:bCs/>
              </w:rPr>
              <w:t>2030</w:t>
            </w:r>
          </w:p>
        </w:tc>
      </w:tr>
      <w:tr w:rsidR="005C07A9" w:rsidRPr="005464FA" w14:paraId="02C06D35" w14:textId="77777777" w:rsidTr="00C82FF1">
        <w:tc>
          <w:tcPr>
            <w:tcW w:w="4650" w:type="dxa"/>
          </w:tcPr>
          <w:p w14:paraId="0F67A4F7" w14:textId="5F79AC27" w:rsidR="00B26ED8" w:rsidRPr="005464FA" w:rsidRDefault="00B26ED8" w:rsidP="003A0777">
            <w:pPr>
              <w:pStyle w:val="Tabletext"/>
              <w:keepNext/>
              <w:keepLines/>
              <w:rPr>
                <w:b/>
                <w:bCs/>
              </w:rPr>
            </w:pPr>
            <w:r w:rsidRPr="005464FA">
              <w:rPr>
                <w:b/>
                <w:bCs/>
              </w:rPr>
              <w:t>TNBC Patients</w:t>
            </w:r>
          </w:p>
        </w:tc>
        <w:tc>
          <w:tcPr>
            <w:tcW w:w="695" w:type="dxa"/>
            <w:vAlign w:val="center"/>
          </w:tcPr>
          <w:p w14:paraId="16305686" w14:textId="77777777" w:rsidR="00B26ED8" w:rsidRPr="005464FA" w:rsidRDefault="00B26ED8" w:rsidP="003A0777">
            <w:pPr>
              <w:pStyle w:val="Tabletext"/>
              <w:keepNext/>
              <w:keepLines/>
              <w:jc w:val="center"/>
              <w:rPr>
                <w:b/>
                <w:bCs/>
              </w:rPr>
            </w:pPr>
          </w:p>
        </w:tc>
        <w:tc>
          <w:tcPr>
            <w:tcW w:w="832" w:type="dxa"/>
            <w:vAlign w:val="center"/>
          </w:tcPr>
          <w:p w14:paraId="57740E65" w14:textId="77777777" w:rsidR="00B26ED8" w:rsidRPr="005464FA" w:rsidRDefault="00B26ED8" w:rsidP="003A0777">
            <w:pPr>
              <w:pStyle w:val="Tabletext"/>
              <w:keepNext/>
              <w:keepLines/>
              <w:jc w:val="center"/>
              <w:rPr>
                <w:b/>
                <w:bCs/>
              </w:rPr>
            </w:pPr>
          </w:p>
        </w:tc>
        <w:tc>
          <w:tcPr>
            <w:tcW w:w="695" w:type="dxa"/>
            <w:vAlign w:val="center"/>
          </w:tcPr>
          <w:p w14:paraId="1A592FFB" w14:textId="77777777" w:rsidR="00B26ED8" w:rsidRPr="005464FA" w:rsidRDefault="00B26ED8" w:rsidP="003A0777">
            <w:pPr>
              <w:pStyle w:val="Tabletext"/>
              <w:keepNext/>
              <w:keepLines/>
              <w:jc w:val="center"/>
              <w:rPr>
                <w:b/>
                <w:bCs/>
              </w:rPr>
            </w:pPr>
          </w:p>
        </w:tc>
        <w:tc>
          <w:tcPr>
            <w:tcW w:w="695" w:type="dxa"/>
            <w:vAlign w:val="center"/>
          </w:tcPr>
          <w:p w14:paraId="6A926A40" w14:textId="77777777" w:rsidR="00B26ED8" w:rsidRPr="005464FA" w:rsidRDefault="00B26ED8" w:rsidP="003A0777">
            <w:pPr>
              <w:pStyle w:val="Tabletext"/>
              <w:keepNext/>
              <w:keepLines/>
              <w:jc w:val="center"/>
              <w:rPr>
                <w:b/>
                <w:bCs/>
              </w:rPr>
            </w:pPr>
          </w:p>
        </w:tc>
        <w:tc>
          <w:tcPr>
            <w:tcW w:w="695" w:type="dxa"/>
            <w:vAlign w:val="center"/>
          </w:tcPr>
          <w:p w14:paraId="0E0310B0" w14:textId="77777777" w:rsidR="00B26ED8" w:rsidRPr="005464FA" w:rsidRDefault="00B26ED8" w:rsidP="003A0777">
            <w:pPr>
              <w:pStyle w:val="Tabletext"/>
              <w:keepNext/>
              <w:keepLines/>
              <w:jc w:val="center"/>
              <w:rPr>
                <w:b/>
                <w:bCs/>
              </w:rPr>
            </w:pPr>
          </w:p>
        </w:tc>
        <w:tc>
          <w:tcPr>
            <w:tcW w:w="755" w:type="dxa"/>
            <w:vAlign w:val="center"/>
          </w:tcPr>
          <w:p w14:paraId="26A3F7F2" w14:textId="77777777" w:rsidR="00B26ED8" w:rsidRPr="005464FA" w:rsidRDefault="00B26ED8" w:rsidP="003A0777">
            <w:pPr>
              <w:pStyle w:val="Tabletext"/>
              <w:keepNext/>
              <w:keepLines/>
              <w:jc w:val="center"/>
              <w:rPr>
                <w:b/>
                <w:bCs/>
              </w:rPr>
            </w:pPr>
          </w:p>
        </w:tc>
      </w:tr>
      <w:tr w:rsidR="005C07A9" w:rsidRPr="005464FA" w14:paraId="6AA3A3D1" w14:textId="77777777" w:rsidTr="00C82FF1">
        <w:tc>
          <w:tcPr>
            <w:tcW w:w="4650" w:type="dxa"/>
          </w:tcPr>
          <w:p w14:paraId="69F8E7C0" w14:textId="2F759A9E" w:rsidR="005D15C1" w:rsidRPr="005464FA" w:rsidRDefault="005D15C1" w:rsidP="003A0777">
            <w:pPr>
              <w:pStyle w:val="Tabletext"/>
              <w:keepNext/>
              <w:keepLines/>
              <w:spacing w:before="0" w:after="0"/>
            </w:pPr>
            <w:r w:rsidRPr="005464FA">
              <w:t xml:space="preserve">De novo TNBC taking up </w:t>
            </w:r>
            <w:r w:rsidR="009F5B43" w:rsidRPr="005464FA">
              <w:rPr>
                <w:i/>
                <w:iCs/>
              </w:rPr>
              <w:t>BRCA</w:t>
            </w:r>
            <w:r w:rsidRPr="005464FA">
              <w:t xml:space="preserve"> testing</w:t>
            </w:r>
          </w:p>
        </w:tc>
        <w:tc>
          <w:tcPr>
            <w:tcW w:w="695" w:type="dxa"/>
            <w:vAlign w:val="center"/>
          </w:tcPr>
          <w:p w14:paraId="0CDF8F3D" w14:textId="18229F79" w:rsidR="005D15C1" w:rsidRPr="005F522F" w:rsidRDefault="005F522F" w:rsidP="003A0777">
            <w:pPr>
              <w:pStyle w:val="Tabletext"/>
              <w:keepNext/>
              <w:keepLines/>
              <w:spacing w:before="0" w:after="0"/>
              <w:jc w:val="center"/>
              <w:rPr>
                <w:highlight w:val="darkGray"/>
                <w:vertAlign w:val="superscript"/>
              </w:rPr>
            </w:pPr>
            <w:r w:rsidRPr="005F522F">
              <w:rPr>
                <w:color w:val="000000"/>
                <w:spacing w:val="114"/>
                <w:shd w:val="solid" w:color="000000" w:fill="000000"/>
                <w:fitText w:val="200" w:id="-893196534"/>
                <w14:textFill>
                  <w14:solidFill>
                    <w14:srgbClr w14:val="000000">
                      <w14:alpha w14:val="100000"/>
                    </w14:srgbClr>
                  </w14:solidFill>
                </w14:textFill>
              </w:rPr>
              <w:t>|</w:t>
            </w:r>
            <w:r w:rsidRPr="005F522F">
              <w:rPr>
                <w:color w:val="000000"/>
                <w:spacing w:val="1"/>
                <w:shd w:val="solid" w:color="000000" w:fill="000000"/>
                <w:fitText w:val="200" w:id="-893196534"/>
                <w14:textFill>
                  <w14:solidFill>
                    <w14:srgbClr w14:val="000000">
                      <w14:alpha w14:val="100000"/>
                    </w14:srgbClr>
                  </w14:solidFill>
                </w14:textFill>
              </w:rPr>
              <w:t>|</w:t>
            </w:r>
            <w:r w:rsidR="00AB0A41" w:rsidRPr="005F522F">
              <w:rPr>
                <w:vertAlign w:val="superscript"/>
              </w:rPr>
              <w:t>1</w:t>
            </w:r>
          </w:p>
        </w:tc>
        <w:tc>
          <w:tcPr>
            <w:tcW w:w="832" w:type="dxa"/>
            <w:vAlign w:val="center"/>
          </w:tcPr>
          <w:p w14:paraId="7786CC82" w14:textId="5ABA6D8A" w:rsidR="005D15C1" w:rsidRPr="005F522F" w:rsidRDefault="005F522F" w:rsidP="003A0777">
            <w:pPr>
              <w:pStyle w:val="Tabletext"/>
              <w:keepNext/>
              <w:keepLines/>
              <w:spacing w:before="0" w:after="0"/>
              <w:jc w:val="center"/>
              <w:rPr>
                <w:highlight w:val="darkGray"/>
              </w:rPr>
            </w:pPr>
            <w:r w:rsidRPr="005F522F">
              <w:rPr>
                <w:color w:val="000000"/>
                <w:spacing w:val="184"/>
                <w:shd w:val="solid" w:color="000000" w:fill="000000"/>
                <w:fitText w:val="270" w:id="-893196533"/>
                <w14:textFill>
                  <w14:solidFill>
                    <w14:srgbClr w14:val="000000">
                      <w14:alpha w14:val="100000"/>
                    </w14:srgbClr>
                  </w14:solidFill>
                </w14:textFill>
              </w:rPr>
              <w:t>|</w:t>
            </w:r>
            <w:r w:rsidRPr="005F522F">
              <w:rPr>
                <w:color w:val="000000"/>
                <w:spacing w:val="1"/>
                <w:shd w:val="solid" w:color="000000" w:fill="000000"/>
                <w:fitText w:val="270" w:id="-893196533"/>
                <w14:textFill>
                  <w14:solidFill>
                    <w14:srgbClr w14:val="000000">
                      <w14:alpha w14:val="100000"/>
                    </w14:srgbClr>
                  </w14:solidFill>
                </w14:textFill>
              </w:rPr>
              <w:t>|</w:t>
            </w:r>
            <w:r w:rsidR="00AB0A41" w:rsidRPr="004E7AEA">
              <w:rPr>
                <w:vertAlign w:val="superscript"/>
              </w:rPr>
              <w:t>1</w:t>
            </w:r>
          </w:p>
        </w:tc>
        <w:tc>
          <w:tcPr>
            <w:tcW w:w="695" w:type="dxa"/>
            <w:vAlign w:val="center"/>
          </w:tcPr>
          <w:p w14:paraId="09607DA8" w14:textId="4C48ADE7"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32"/>
                <w14:textFill>
                  <w14:solidFill>
                    <w14:srgbClr w14:val="000000">
                      <w14:alpha w14:val="100000"/>
                    </w14:srgbClr>
                  </w14:solidFill>
                </w14:textFill>
              </w:rPr>
              <w:t>|</w:t>
            </w:r>
            <w:r w:rsidRPr="005F522F">
              <w:rPr>
                <w:color w:val="000000"/>
                <w:spacing w:val="1"/>
                <w:shd w:val="solid" w:color="000000" w:fill="000000"/>
                <w:fitText w:val="200" w:id="-893196532"/>
                <w14:textFill>
                  <w14:solidFill>
                    <w14:srgbClr w14:val="000000">
                      <w14:alpha w14:val="100000"/>
                    </w14:srgbClr>
                  </w14:solidFill>
                </w14:textFill>
              </w:rPr>
              <w:t>|</w:t>
            </w:r>
            <w:r w:rsidR="00AB0A41" w:rsidRPr="004E7AEA">
              <w:rPr>
                <w:vertAlign w:val="superscript"/>
              </w:rPr>
              <w:t>1</w:t>
            </w:r>
          </w:p>
        </w:tc>
        <w:tc>
          <w:tcPr>
            <w:tcW w:w="695" w:type="dxa"/>
            <w:vAlign w:val="center"/>
          </w:tcPr>
          <w:p w14:paraId="55C15532" w14:textId="2CDB5F94"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31"/>
                <w14:textFill>
                  <w14:solidFill>
                    <w14:srgbClr w14:val="000000">
                      <w14:alpha w14:val="100000"/>
                    </w14:srgbClr>
                  </w14:solidFill>
                </w14:textFill>
              </w:rPr>
              <w:t>|</w:t>
            </w:r>
            <w:r w:rsidRPr="005F522F">
              <w:rPr>
                <w:color w:val="000000"/>
                <w:spacing w:val="1"/>
                <w:shd w:val="solid" w:color="000000" w:fill="000000"/>
                <w:fitText w:val="200" w:id="-893196531"/>
                <w14:textFill>
                  <w14:solidFill>
                    <w14:srgbClr w14:val="000000">
                      <w14:alpha w14:val="100000"/>
                    </w14:srgbClr>
                  </w14:solidFill>
                </w14:textFill>
              </w:rPr>
              <w:t>|</w:t>
            </w:r>
            <w:r w:rsidR="00AB0A41" w:rsidRPr="004E7AEA">
              <w:rPr>
                <w:vertAlign w:val="superscript"/>
              </w:rPr>
              <w:t>1</w:t>
            </w:r>
          </w:p>
        </w:tc>
        <w:tc>
          <w:tcPr>
            <w:tcW w:w="695" w:type="dxa"/>
            <w:vAlign w:val="center"/>
          </w:tcPr>
          <w:p w14:paraId="74EE3DB8" w14:textId="25B5F2A1"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30"/>
                <w14:textFill>
                  <w14:solidFill>
                    <w14:srgbClr w14:val="000000">
                      <w14:alpha w14:val="100000"/>
                    </w14:srgbClr>
                  </w14:solidFill>
                </w14:textFill>
              </w:rPr>
              <w:t>|</w:t>
            </w:r>
            <w:r w:rsidRPr="005F522F">
              <w:rPr>
                <w:color w:val="000000"/>
                <w:spacing w:val="1"/>
                <w:shd w:val="solid" w:color="000000" w:fill="000000"/>
                <w:fitText w:val="200" w:id="-893196530"/>
                <w14:textFill>
                  <w14:solidFill>
                    <w14:srgbClr w14:val="000000">
                      <w14:alpha w14:val="100000"/>
                    </w14:srgbClr>
                  </w14:solidFill>
                </w14:textFill>
              </w:rPr>
              <w:t>|</w:t>
            </w:r>
            <w:r w:rsidR="00AB0A41" w:rsidRPr="004E7AEA">
              <w:rPr>
                <w:vertAlign w:val="superscript"/>
              </w:rPr>
              <w:t>1</w:t>
            </w:r>
          </w:p>
        </w:tc>
        <w:tc>
          <w:tcPr>
            <w:tcW w:w="755" w:type="dxa"/>
            <w:vAlign w:val="center"/>
          </w:tcPr>
          <w:p w14:paraId="72C2C4E3" w14:textId="3CF04E7C" w:rsidR="005D15C1" w:rsidRPr="005F522F" w:rsidRDefault="005F522F" w:rsidP="003A0777">
            <w:pPr>
              <w:pStyle w:val="Tabletext"/>
              <w:keepNext/>
              <w:keepLines/>
              <w:spacing w:before="0" w:after="0"/>
              <w:jc w:val="center"/>
              <w:rPr>
                <w:highlight w:val="darkGray"/>
              </w:rPr>
            </w:pPr>
            <w:r w:rsidRPr="005F522F">
              <w:rPr>
                <w:color w:val="000000"/>
                <w:spacing w:val="46"/>
                <w:shd w:val="solid" w:color="000000" w:fill="000000"/>
                <w:fitText w:val="310" w:id="-893196529"/>
                <w14:textFill>
                  <w14:solidFill>
                    <w14:srgbClr w14:val="000000">
                      <w14:alpha w14:val="100000"/>
                    </w14:srgbClr>
                  </w14:solidFill>
                </w14:textFill>
              </w:rPr>
              <w:t>|||</w:t>
            </w:r>
            <w:r w:rsidRPr="005F522F">
              <w:rPr>
                <w:color w:val="000000"/>
                <w:spacing w:val="2"/>
                <w:shd w:val="solid" w:color="000000" w:fill="000000"/>
                <w:fitText w:val="310" w:id="-893196529"/>
                <w14:textFill>
                  <w14:solidFill>
                    <w14:srgbClr w14:val="000000">
                      <w14:alpha w14:val="100000"/>
                    </w14:srgbClr>
                  </w14:solidFill>
                </w14:textFill>
              </w:rPr>
              <w:t>|</w:t>
            </w:r>
            <w:r w:rsidR="00AB0A41" w:rsidRPr="004E7AEA">
              <w:rPr>
                <w:vertAlign w:val="superscript"/>
              </w:rPr>
              <w:t>1</w:t>
            </w:r>
          </w:p>
        </w:tc>
      </w:tr>
      <w:tr w:rsidR="005C07A9" w:rsidRPr="005464FA" w14:paraId="740B24B8" w14:textId="77777777" w:rsidTr="00C82FF1">
        <w:tc>
          <w:tcPr>
            <w:tcW w:w="4650" w:type="dxa"/>
          </w:tcPr>
          <w:p w14:paraId="12FABD58" w14:textId="2DD624B1" w:rsidR="005D15C1" w:rsidRPr="005464FA" w:rsidRDefault="005D15C1" w:rsidP="003A0777">
            <w:pPr>
              <w:pStyle w:val="Tabletext"/>
              <w:keepNext/>
              <w:keepLines/>
              <w:spacing w:before="0" w:after="0"/>
            </w:pPr>
            <w:r w:rsidRPr="005464FA">
              <w:t xml:space="preserve">Recurrent TNBC taking up </w:t>
            </w:r>
            <w:r w:rsidR="009F5B43" w:rsidRPr="005464FA">
              <w:rPr>
                <w:i/>
                <w:iCs/>
              </w:rPr>
              <w:t>BRCA</w:t>
            </w:r>
            <w:r w:rsidRPr="005464FA">
              <w:t xml:space="preserve"> testing</w:t>
            </w:r>
          </w:p>
        </w:tc>
        <w:tc>
          <w:tcPr>
            <w:tcW w:w="695" w:type="dxa"/>
            <w:vAlign w:val="center"/>
          </w:tcPr>
          <w:p w14:paraId="383E8986" w14:textId="471A09B9"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28"/>
                <w14:textFill>
                  <w14:solidFill>
                    <w14:srgbClr w14:val="000000">
                      <w14:alpha w14:val="100000"/>
                    </w14:srgbClr>
                  </w14:solidFill>
                </w14:textFill>
              </w:rPr>
              <w:t>|</w:t>
            </w:r>
            <w:r w:rsidRPr="005F522F">
              <w:rPr>
                <w:color w:val="000000"/>
                <w:spacing w:val="1"/>
                <w:shd w:val="solid" w:color="000000" w:fill="000000"/>
                <w:fitText w:val="200" w:id="-893196528"/>
                <w14:textFill>
                  <w14:solidFill>
                    <w14:srgbClr w14:val="000000">
                      <w14:alpha w14:val="100000"/>
                    </w14:srgbClr>
                  </w14:solidFill>
                </w14:textFill>
              </w:rPr>
              <w:t>|</w:t>
            </w:r>
            <w:r w:rsidR="00AB0A41">
              <w:rPr>
                <w:vertAlign w:val="superscript"/>
              </w:rPr>
              <w:t>2</w:t>
            </w:r>
          </w:p>
        </w:tc>
        <w:tc>
          <w:tcPr>
            <w:tcW w:w="832" w:type="dxa"/>
            <w:vAlign w:val="center"/>
          </w:tcPr>
          <w:p w14:paraId="522EA821" w14:textId="0F17A229" w:rsidR="005D15C1" w:rsidRPr="005F522F" w:rsidRDefault="005F522F" w:rsidP="003A0777">
            <w:pPr>
              <w:pStyle w:val="Tabletext"/>
              <w:keepNext/>
              <w:keepLines/>
              <w:spacing w:before="0" w:after="0"/>
              <w:jc w:val="center"/>
              <w:rPr>
                <w:highlight w:val="darkGray"/>
              </w:rPr>
            </w:pPr>
            <w:r w:rsidRPr="005F522F">
              <w:rPr>
                <w:color w:val="000000"/>
                <w:spacing w:val="184"/>
                <w:shd w:val="solid" w:color="000000" w:fill="000000"/>
                <w:fitText w:val="270" w:id="-893196544"/>
                <w14:textFill>
                  <w14:solidFill>
                    <w14:srgbClr w14:val="000000">
                      <w14:alpha w14:val="100000"/>
                    </w14:srgbClr>
                  </w14:solidFill>
                </w14:textFill>
              </w:rPr>
              <w:t>|</w:t>
            </w:r>
            <w:r w:rsidRPr="005F522F">
              <w:rPr>
                <w:color w:val="000000"/>
                <w:spacing w:val="1"/>
                <w:shd w:val="solid" w:color="000000" w:fill="000000"/>
                <w:fitText w:val="270" w:id="-893196544"/>
                <w14:textFill>
                  <w14:solidFill>
                    <w14:srgbClr w14:val="000000">
                      <w14:alpha w14:val="100000"/>
                    </w14:srgbClr>
                  </w14:solidFill>
                </w14:textFill>
              </w:rPr>
              <w:t>|</w:t>
            </w:r>
            <w:r w:rsidR="00AB0A41">
              <w:rPr>
                <w:vertAlign w:val="superscript"/>
              </w:rPr>
              <w:t>2</w:t>
            </w:r>
          </w:p>
        </w:tc>
        <w:tc>
          <w:tcPr>
            <w:tcW w:w="695" w:type="dxa"/>
            <w:vAlign w:val="center"/>
          </w:tcPr>
          <w:p w14:paraId="62F4DAA5" w14:textId="3478470D"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43"/>
                <w14:textFill>
                  <w14:solidFill>
                    <w14:srgbClr w14:val="000000">
                      <w14:alpha w14:val="100000"/>
                    </w14:srgbClr>
                  </w14:solidFill>
                </w14:textFill>
              </w:rPr>
              <w:t>|</w:t>
            </w:r>
            <w:r w:rsidRPr="005F522F">
              <w:rPr>
                <w:color w:val="000000"/>
                <w:spacing w:val="1"/>
                <w:shd w:val="solid" w:color="000000" w:fill="000000"/>
                <w:fitText w:val="200" w:id="-893196543"/>
                <w14:textFill>
                  <w14:solidFill>
                    <w14:srgbClr w14:val="000000">
                      <w14:alpha w14:val="100000"/>
                    </w14:srgbClr>
                  </w14:solidFill>
                </w14:textFill>
              </w:rPr>
              <w:t>|</w:t>
            </w:r>
            <w:r w:rsidR="00AB0A41">
              <w:rPr>
                <w:vertAlign w:val="superscript"/>
              </w:rPr>
              <w:t>2</w:t>
            </w:r>
          </w:p>
        </w:tc>
        <w:tc>
          <w:tcPr>
            <w:tcW w:w="695" w:type="dxa"/>
            <w:vAlign w:val="center"/>
          </w:tcPr>
          <w:p w14:paraId="6674D1EB" w14:textId="14A3CE46"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42"/>
                <w14:textFill>
                  <w14:solidFill>
                    <w14:srgbClr w14:val="000000">
                      <w14:alpha w14:val="100000"/>
                    </w14:srgbClr>
                  </w14:solidFill>
                </w14:textFill>
              </w:rPr>
              <w:t>|</w:t>
            </w:r>
            <w:r w:rsidRPr="005F522F">
              <w:rPr>
                <w:color w:val="000000"/>
                <w:spacing w:val="1"/>
                <w:shd w:val="solid" w:color="000000" w:fill="000000"/>
                <w:fitText w:val="200" w:id="-893196542"/>
                <w14:textFill>
                  <w14:solidFill>
                    <w14:srgbClr w14:val="000000">
                      <w14:alpha w14:val="100000"/>
                    </w14:srgbClr>
                  </w14:solidFill>
                </w14:textFill>
              </w:rPr>
              <w:t>|</w:t>
            </w:r>
            <w:r w:rsidR="00AB0A41">
              <w:rPr>
                <w:vertAlign w:val="superscript"/>
              </w:rPr>
              <w:t>2</w:t>
            </w:r>
          </w:p>
        </w:tc>
        <w:tc>
          <w:tcPr>
            <w:tcW w:w="695" w:type="dxa"/>
            <w:vAlign w:val="center"/>
          </w:tcPr>
          <w:p w14:paraId="2AA60661" w14:textId="57FE6E1A"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41"/>
                <w14:textFill>
                  <w14:solidFill>
                    <w14:srgbClr w14:val="000000">
                      <w14:alpha w14:val="100000"/>
                    </w14:srgbClr>
                  </w14:solidFill>
                </w14:textFill>
              </w:rPr>
              <w:t>|</w:t>
            </w:r>
            <w:r w:rsidRPr="005F522F">
              <w:rPr>
                <w:color w:val="000000"/>
                <w:spacing w:val="1"/>
                <w:shd w:val="solid" w:color="000000" w:fill="000000"/>
                <w:fitText w:val="200" w:id="-893196541"/>
                <w14:textFill>
                  <w14:solidFill>
                    <w14:srgbClr w14:val="000000">
                      <w14:alpha w14:val="100000"/>
                    </w14:srgbClr>
                  </w14:solidFill>
                </w14:textFill>
              </w:rPr>
              <w:t>|</w:t>
            </w:r>
            <w:r w:rsidR="00AB0A41">
              <w:rPr>
                <w:vertAlign w:val="superscript"/>
              </w:rPr>
              <w:t>2</w:t>
            </w:r>
          </w:p>
        </w:tc>
        <w:tc>
          <w:tcPr>
            <w:tcW w:w="755" w:type="dxa"/>
            <w:vAlign w:val="center"/>
          </w:tcPr>
          <w:p w14:paraId="3E4F8131" w14:textId="373C2C7C" w:rsidR="005D15C1" w:rsidRPr="005F522F" w:rsidRDefault="005F522F" w:rsidP="003A0777">
            <w:pPr>
              <w:pStyle w:val="Tabletext"/>
              <w:keepNext/>
              <w:keepLines/>
              <w:spacing w:before="0" w:after="0"/>
              <w:jc w:val="center"/>
              <w:rPr>
                <w:highlight w:val="darkGray"/>
              </w:rPr>
            </w:pPr>
            <w:r w:rsidRPr="005F522F">
              <w:rPr>
                <w:color w:val="000000"/>
                <w:spacing w:val="46"/>
                <w:shd w:val="solid" w:color="000000" w:fill="000000"/>
                <w:fitText w:val="310" w:id="-893196540"/>
                <w14:textFill>
                  <w14:solidFill>
                    <w14:srgbClr w14:val="000000">
                      <w14:alpha w14:val="100000"/>
                    </w14:srgbClr>
                  </w14:solidFill>
                </w14:textFill>
              </w:rPr>
              <w:t>|||</w:t>
            </w:r>
            <w:r w:rsidRPr="005F522F">
              <w:rPr>
                <w:color w:val="000000"/>
                <w:spacing w:val="2"/>
                <w:shd w:val="solid" w:color="000000" w:fill="000000"/>
                <w:fitText w:val="310" w:id="-893196540"/>
                <w14:textFill>
                  <w14:solidFill>
                    <w14:srgbClr w14:val="000000">
                      <w14:alpha w14:val="100000"/>
                    </w14:srgbClr>
                  </w14:solidFill>
                </w14:textFill>
              </w:rPr>
              <w:t>|</w:t>
            </w:r>
            <w:r w:rsidR="00AB0A41">
              <w:rPr>
                <w:vertAlign w:val="superscript"/>
              </w:rPr>
              <w:t>2</w:t>
            </w:r>
          </w:p>
        </w:tc>
      </w:tr>
      <w:tr w:rsidR="005C07A9" w:rsidRPr="005464FA" w14:paraId="579DC73C" w14:textId="77777777" w:rsidTr="00C82FF1">
        <w:tc>
          <w:tcPr>
            <w:tcW w:w="4650" w:type="dxa"/>
          </w:tcPr>
          <w:p w14:paraId="500588C1" w14:textId="75C72A97" w:rsidR="005D15C1" w:rsidRPr="005464FA" w:rsidRDefault="005D15C1" w:rsidP="003A0777">
            <w:pPr>
              <w:pStyle w:val="Tabletext"/>
              <w:keepNext/>
              <w:keepLines/>
              <w:spacing w:before="0" w:after="0"/>
            </w:pPr>
            <w:r w:rsidRPr="005464FA">
              <w:t xml:space="preserve">Total TNBC patients taking up </w:t>
            </w:r>
            <w:r w:rsidR="009F5B43" w:rsidRPr="005464FA">
              <w:rPr>
                <w:i/>
                <w:iCs/>
              </w:rPr>
              <w:t>BRCA</w:t>
            </w:r>
            <w:r w:rsidRPr="005464FA">
              <w:t xml:space="preserve"> testing</w:t>
            </w:r>
          </w:p>
        </w:tc>
        <w:tc>
          <w:tcPr>
            <w:tcW w:w="695" w:type="dxa"/>
            <w:vAlign w:val="center"/>
          </w:tcPr>
          <w:p w14:paraId="7F5C4600" w14:textId="5AE008DB"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39"/>
                <w14:textFill>
                  <w14:solidFill>
                    <w14:srgbClr w14:val="000000">
                      <w14:alpha w14:val="100000"/>
                    </w14:srgbClr>
                  </w14:solidFill>
                </w14:textFill>
              </w:rPr>
              <w:t>|</w:t>
            </w:r>
            <w:r w:rsidRPr="005F522F">
              <w:rPr>
                <w:color w:val="000000"/>
                <w:spacing w:val="1"/>
                <w:shd w:val="solid" w:color="000000" w:fill="000000"/>
                <w:fitText w:val="200" w:id="-893196539"/>
                <w14:textFill>
                  <w14:solidFill>
                    <w14:srgbClr w14:val="000000">
                      <w14:alpha w14:val="100000"/>
                    </w14:srgbClr>
                  </w14:solidFill>
                </w14:textFill>
              </w:rPr>
              <w:t>|</w:t>
            </w:r>
            <w:r w:rsidR="00AB0A41">
              <w:rPr>
                <w:vertAlign w:val="superscript"/>
              </w:rPr>
              <w:t>2</w:t>
            </w:r>
          </w:p>
        </w:tc>
        <w:tc>
          <w:tcPr>
            <w:tcW w:w="832" w:type="dxa"/>
            <w:vAlign w:val="center"/>
          </w:tcPr>
          <w:p w14:paraId="11F671CD" w14:textId="5288D3CF" w:rsidR="005D15C1" w:rsidRPr="005F522F" w:rsidRDefault="005F522F" w:rsidP="003A0777">
            <w:pPr>
              <w:pStyle w:val="Tabletext"/>
              <w:keepNext/>
              <w:keepLines/>
              <w:spacing w:before="0" w:after="0"/>
              <w:jc w:val="center"/>
              <w:rPr>
                <w:highlight w:val="darkGray"/>
              </w:rPr>
            </w:pPr>
            <w:r w:rsidRPr="005F522F">
              <w:rPr>
                <w:color w:val="000000"/>
                <w:spacing w:val="184"/>
                <w:shd w:val="solid" w:color="000000" w:fill="000000"/>
                <w:fitText w:val="270" w:id="-893196538"/>
                <w14:textFill>
                  <w14:solidFill>
                    <w14:srgbClr w14:val="000000">
                      <w14:alpha w14:val="100000"/>
                    </w14:srgbClr>
                  </w14:solidFill>
                </w14:textFill>
              </w:rPr>
              <w:t>|</w:t>
            </w:r>
            <w:r w:rsidRPr="005F522F">
              <w:rPr>
                <w:color w:val="000000"/>
                <w:spacing w:val="1"/>
                <w:shd w:val="solid" w:color="000000" w:fill="000000"/>
                <w:fitText w:val="270" w:id="-893196538"/>
                <w14:textFill>
                  <w14:solidFill>
                    <w14:srgbClr w14:val="000000">
                      <w14:alpha w14:val="100000"/>
                    </w14:srgbClr>
                  </w14:solidFill>
                </w14:textFill>
              </w:rPr>
              <w:t>|</w:t>
            </w:r>
            <w:r w:rsidR="00AB0A41">
              <w:rPr>
                <w:vertAlign w:val="superscript"/>
              </w:rPr>
              <w:t>2</w:t>
            </w:r>
          </w:p>
        </w:tc>
        <w:tc>
          <w:tcPr>
            <w:tcW w:w="695" w:type="dxa"/>
            <w:vAlign w:val="center"/>
          </w:tcPr>
          <w:p w14:paraId="36788C6E" w14:textId="4C15CF82"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37"/>
                <w14:textFill>
                  <w14:solidFill>
                    <w14:srgbClr w14:val="000000">
                      <w14:alpha w14:val="100000"/>
                    </w14:srgbClr>
                  </w14:solidFill>
                </w14:textFill>
              </w:rPr>
              <w:t>|</w:t>
            </w:r>
            <w:r w:rsidRPr="005F522F">
              <w:rPr>
                <w:color w:val="000000"/>
                <w:spacing w:val="1"/>
                <w:shd w:val="solid" w:color="000000" w:fill="000000"/>
                <w:fitText w:val="200" w:id="-893196537"/>
                <w14:textFill>
                  <w14:solidFill>
                    <w14:srgbClr w14:val="000000">
                      <w14:alpha w14:val="100000"/>
                    </w14:srgbClr>
                  </w14:solidFill>
                </w14:textFill>
              </w:rPr>
              <w:t>|</w:t>
            </w:r>
            <w:r w:rsidR="00AB0A41">
              <w:rPr>
                <w:vertAlign w:val="superscript"/>
              </w:rPr>
              <w:t>2</w:t>
            </w:r>
          </w:p>
        </w:tc>
        <w:tc>
          <w:tcPr>
            <w:tcW w:w="695" w:type="dxa"/>
            <w:vAlign w:val="center"/>
          </w:tcPr>
          <w:p w14:paraId="49B03253" w14:textId="61D512A3"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36"/>
                <w14:textFill>
                  <w14:solidFill>
                    <w14:srgbClr w14:val="000000">
                      <w14:alpha w14:val="100000"/>
                    </w14:srgbClr>
                  </w14:solidFill>
                </w14:textFill>
              </w:rPr>
              <w:t>|</w:t>
            </w:r>
            <w:r w:rsidRPr="005F522F">
              <w:rPr>
                <w:color w:val="000000"/>
                <w:spacing w:val="1"/>
                <w:shd w:val="solid" w:color="000000" w:fill="000000"/>
                <w:fitText w:val="200" w:id="-893196536"/>
                <w14:textFill>
                  <w14:solidFill>
                    <w14:srgbClr w14:val="000000">
                      <w14:alpha w14:val="100000"/>
                    </w14:srgbClr>
                  </w14:solidFill>
                </w14:textFill>
              </w:rPr>
              <w:t>|</w:t>
            </w:r>
            <w:r w:rsidR="00AB0A41">
              <w:rPr>
                <w:vertAlign w:val="superscript"/>
              </w:rPr>
              <w:t>2</w:t>
            </w:r>
          </w:p>
        </w:tc>
        <w:tc>
          <w:tcPr>
            <w:tcW w:w="695" w:type="dxa"/>
            <w:vAlign w:val="center"/>
          </w:tcPr>
          <w:p w14:paraId="0787763E" w14:textId="589080FA"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35"/>
                <w14:textFill>
                  <w14:solidFill>
                    <w14:srgbClr w14:val="000000">
                      <w14:alpha w14:val="100000"/>
                    </w14:srgbClr>
                  </w14:solidFill>
                </w14:textFill>
              </w:rPr>
              <w:t>|</w:t>
            </w:r>
            <w:r w:rsidRPr="005F522F">
              <w:rPr>
                <w:color w:val="000000"/>
                <w:spacing w:val="1"/>
                <w:shd w:val="solid" w:color="000000" w:fill="000000"/>
                <w:fitText w:val="200" w:id="-893196535"/>
                <w14:textFill>
                  <w14:solidFill>
                    <w14:srgbClr w14:val="000000">
                      <w14:alpha w14:val="100000"/>
                    </w14:srgbClr>
                  </w14:solidFill>
                </w14:textFill>
              </w:rPr>
              <w:t>|</w:t>
            </w:r>
            <w:r w:rsidR="00AB0A41">
              <w:rPr>
                <w:vertAlign w:val="superscript"/>
              </w:rPr>
              <w:t>2</w:t>
            </w:r>
          </w:p>
        </w:tc>
        <w:tc>
          <w:tcPr>
            <w:tcW w:w="755" w:type="dxa"/>
            <w:vAlign w:val="center"/>
          </w:tcPr>
          <w:p w14:paraId="72CFE510" w14:textId="08110E7F" w:rsidR="005D15C1" w:rsidRPr="005F522F" w:rsidRDefault="005F522F" w:rsidP="003A0777">
            <w:pPr>
              <w:pStyle w:val="Tabletext"/>
              <w:keepNext/>
              <w:keepLines/>
              <w:spacing w:before="0" w:after="0"/>
              <w:jc w:val="center"/>
              <w:rPr>
                <w:highlight w:val="darkGray"/>
              </w:rPr>
            </w:pPr>
            <w:r w:rsidRPr="005F522F">
              <w:rPr>
                <w:color w:val="000000"/>
                <w:spacing w:val="46"/>
                <w:shd w:val="solid" w:color="000000" w:fill="000000"/>
                <w:fitText w:val="310" w:id="-893196534"/>
                <w14:textFill>
                  <w14:solidFill>
                    <w14:srgbClr w14:val="000000">
                      <w14:alpha w14:val="100000"/>
                    </w14:srgbClr>
                  </w14:solidFill>
                </w14:textFill>
              </w:rPr>
              <w:t>|||</w:t>
            </w:r>
            <w:r w:rsidRPr="005F522F">
              <w:rPr>
                <w:color w:val="000000"/>
                <w:spacing w:val="2"/>
                <w:shd w:val="solid" w:color="000000" w:fill="000000"/>
                <w:fitText w:val="310" w:id="-893196534"/>
                <w14:textFill>
                  <w14:solidFill>
                    <w14:srgbClr w14:val="000000">
                      <w14:alpha w14:val="100000"/>
                    </w14:srgbClr>
                  </w14:solidFill>
                </w14:textFill>
              </w:rPr>
              <w:t>|</w:t>
            </w:r>
            <w:r w:rsidR="00AB0A41">
              <w:rPr>
                <w:vertAlign w:val="superscript"/>
              </w:rPr>
              <w:t>2</w:t>
            </w:r>
          </w:p>
        </w:tc>
      </w:tr>
      <w:tr w:rsidR="00C82FF1" w:rsidRPr="005464FA" w14:paraId="7F2C4FEE" w14:textId="77777777" w:rsidTr="00C82FF1">
        <w:tc>
          <w:tcPr>
            <w:tcW w:w="4650" w:type="dxa"/>
          </w:tcPr>
          <w:p w14:paraId="33BC55B8" w14:textId="4BBD8A4C" w:rsidR="00C82FF1" w:rsidRPr="005464FA" w:rsidRDefault="00C82FF1" w:rsidP="00C82FF1">
            <w:pPr>
              <w:pStyle w:val="Tabletext"/>
              <w:keepNext/>
              <w:keepLines/>
              <w:spacing w:before="0" w:after="0"/>
            </w:pPr>
            <w:r w:rsidRPr="005464FA">
              <w:t xml:space="preserve">Proportion of recurrent TNBC who know their </w:t>
            </w:r>
            <w:r w:rsidRPr="005464FA">
              <w:rPr>
                <w:i/>
                <w:iCs/>
              </w:rPr>
              <w:t>BRCA</w:t>
            </w:r>
            <w:r w:rsidRPr="005464FA">
              <w:t xml:space="preserve"> status due to eBC testing </w:t>
            </w:r>
          </w:p>
        </w:tc>
        <w:tc>
          <w:tcPr>
            <w:tcW w:w="695" w:type="dxa"/>
            <w:vAlign w:val="center"/>
          </w:tcPr>
          <w:p w14:paraId="5B315001" w14:textId="4922A95C" w:rsidR="00C82FF1" w:rsidRPr="005464FA" w:rsidRDefault="00C82FF1" w:rsidP="00C82FF1">
            <w:pPr>
              <w:pStyle w:val="Tabletext"/>
              <w:keepNext/>
              <w:keepLines/>
              <w:spacing w:before="0" w:after="0"/>
              <w:jc w:val="center"/>
            </w:pPr>
            <w:r w:rsidRPr="00CB7304">
              <w:rPr>
                <w:color w:val="000000"/>
                <w:spacing w:val="30"/>
                <w:shd w:val="solid" w:color="000000" w:fill="000000"/>
                <w:fitText w:val="210" w:id="-893196793"/>
                <w14:textFill>
                  <w14:solidFill>
                    <w14:srgbClr w14:val="000000">
                      <w14:alpha w14:val="100000"/>
                    </w14:srgbClr>
                  </w14:solidFill>
                </w14:textFill>
              </w:rPr>
              <w:t>||</w:t>
            </w:r>
            <w:r w:rsidRPr="00CB7304">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832" w:type="dxa"/>
            <w:vAlign w:val="center"/>
          </w:tcPr>
          <w:p w14:paraId="0DD7203E" w14:textId="029B5C63" w:rsidR="00C82FF1" w:rsidRPr="005464FA" w:rsidRDefault="00C82FF1" w:rsidP="00C82FF1">
            <w:pPr>
              <w:pStyle w:val="Tabletext"/>
              <w:keepNext/>
              <w:keepLines/>
              <w:spacing w:before="0" w:after="0"/>
              <w:jc w:val="cente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695" w:type="dxa"/>
            <w:vAlign w:val="center"/>
          </w:tcPr>
          <w:p w14:paraId="10FC90E4" w14:textId="6B5938DF" w:rsidR="00C82FF1" w:rsidRPr="005464FA" w:rsidRDefault="00C82FF1" w:rsidP="00C82FF1">
            <w:pPr>
              <w:pStyle w:val="Tabletext"/>
              <w:keepNext/>
              <w:keepLines/>
              <w:spacing w:before="0" w:after="0"/>
              <w:jc w:val="cente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695" w:type="dxa"/>
            <w:vAlign w:val="center"/>
          </w:tcPr>
          <w:p w14:paraId="444F2E4E" w14:textId="4D2AB2E2" w:rsidR="00C82FF1" w:rsidRPr="005464FA" w:rsidRDefault="00C82FF1" w:rsidP="00C82FF1">
            <w:pPr>
              <w:pStyle w:val="Tabletext"/>
              <w:keepNext/>
              <w:keepLines/>
              <w:spacing w:before="0" w:after="0"/>
              <w:jc w:val="cente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695" w:type="dxa"/>
            <w:vAlign w:val="center"/>
          </w:tcPr>
          <w:p w14:paraId="2CB03802" w14:textId="55CCFA81" w:rsidR="00C82FF1" w:rsidRPr="005464FA" w:rsidRDefault="00C82FF1" w:rsidP="00C82FF1">
            <w:pPr>
              <w:pStyle w:val="Tabletext"/>
              <w:keepNext/>
              <w:keepLines/>
              <w:spacing w:before="0" w:after="0"/>
              <w:jc w:val="cente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c>
          <w:tcPr>
            <w:tcW w:w="755" w:type="dxa"/>
            <w:vAlign w:val="center"/>
          </w:tcPr>
          <w:p w14:paraId="7F617E1D" w14:textId="76C138F4" w:rsidR="00C82FF1" w:rsidRPr="005464FA" w:rsidRDefault="00C82FF1" w:rsidP="00C82FF1">
            <w:pPr>
              <w:pStyle w:val="Tabletext"/>
              <w:keepNext/>
              <w:keepLines/>
              <w:spacing w:before="0" w:after="0"/>
              <w:jc w:val="center"/>
            </w:pPr>
            <w:r w:rsidRPr="0008347D">
              <w:rPr>
                <w:color w:val="000000"/>
                <w:spacing w:val="30"/>
                <w:shd w:val="solid" w:color="000000" w:fill="000000"/>
                <w:fitText w:val="210" w:id="-893196793"/>
                <w14:textFill>
                  <w14:solidFill>
                    <w14:srgbClr w14:val="000000">
                      <w14:alpha w14:val="100000"/>
                    </w14:srgbClr>
                  </w14:solidFill>
                </w14:textFill>
              </w:rPr>
              <w:t>||</w:t>
            </w:r>
            <w:r w:rsidRPr="0008347D">
              <w:rPr>
                <w:color w:val="000000"/>
                <w:spacing w:val="15"/>
                <w:shd w:val="solid" w:color="000000" w:fill="000000"/>
                <w:fitText w:val="210" w:id="-893196793"/>
                <w14:textFill>
                  <w14:solidFill>
                    <w14:srgbClr w14:val="000000">
                      <w14:alpha w14:val="100000"/>
                    </w14:srgbClr>
                  </w14:solidFill>
                </w14:textFill>
              </w:rPr>
              <w:t>|</w:t>
            </w:r>
            <w:r w:rsidRPr="005464FA">
              <w:t>%</w:t>
            </w:r>
          </w:p>
        </w:tc>
      </w:tr>
      <w:tr w:rsidR="005C07A9" w:rsidRPr="005464FA" w14:paraId="3D3D2E0A" w14:textId="77777777" w:rsidTr="00C82FF1">
        <w:tc>
          <w:tcPr>
            <w:tcW w:w="4650" w:type="dxa"/>
          </w:tcPr>
          <w:p w14:paraId="015A7E62" w14:textId="77777777" w:rsidR="005D15C1" w:rsidRPr="005464FA" w:rsidRDefault="005D15C1" w:rsidP="003A0777">
            <w:pPr>
              <w:pStyle w:val="Tabletext"/>
              <w:keepNext/>
              <w:keepLines/>
              <w:spacing w:before="0" w:after="0"/>
            </w:pPr>
            <w:r w:rsidRPr="005464FA">
              <w:t>Estimated patients who know their status from testing in eBC</w:t>
            </w:r>
          </w:p>
        </w:tc>
        <w:tc>
          <w:tcPr>
            <w:tcW w:w="695" w:type="dxa"/>
            <w:vAlign w:val="center"/>
          </w:tcPr>
          <w:p w14:paraId="07AF1B38" w14:textId="0377C98B"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533"/>
                <w14:textFill>
                  <w14:solidFill>
                    <w14:srgbClr w14:val="000000">
                      <w14:alpha w14:val="100000"/>
                    </w14:srgbClr>
                  </w14:solidFill>
                </w14:textFill>
              </w:rPr>
              <w:t>|</w:t>
            </w:r>
            <w:r w:rsidRPr="005F522F">
              <w:rPr>
                <w:color w:val="000000"/>
                <w:spacing w:val="1"/>
                <w:shd w:val="solid" w:color="000000" w:fill="000000"/>
                <w:fitText w:val="200" w:id="-893196533"/>
                <w14:textFill>
                  <w14:solidFill>
                    <w14:srgbClr w14:val="000000">
                      <w14:alpha w14:val="100000"/>
                    </w14:srgbClr>
                  </w14:solidFill>
                </w14:textFill>
              </w:rPr>
              <w:t>|</w:t>
            </w:r>
            <w:r w:rsidR="00AB0A41" w:rsidRPr="004E7AEA">
              <w:rPr>
                <w:vertAlign w:val="superscript"/>
              </w:rPr>
              <w:t>1</w:t>
            </w:r>
          </w:p>
        </w:tc>
        <w:tc>
          <w:tcPr>
            <w:tcW w:w="832" w:type="dxa"/>
            <w:vAlign w:val="center"/>
          </w:tcPr>
          <w:p w14:paraId="63B3EDDD" w14:textId="4815D368" w:rsidR="005D15C1" w:rsidRPr="005F522F" w:rsidRDefault="005F522F" w:rsidP="003A0777">
            <w:pPr>
              <w:pStyle w:val="Tabletext"/>
              <w:keepNext/>
              <w:keepLines/>
              <w:spacing w:before="0" w:after="0"/>
              <w:jc w:val="center"/>
              <w:rPr>
                <w:highlight w:val="darkGray"/>
              </w:rPr>
            </w:pPr>
            <w:r w:rsidRPr="005F522F">
              <w:rPr>
                <w:color w:val="000000"/>
                <w:spacing w:val="184"/>
                <w:shd w:val="solid" w:color="000000" w:fill="000000"/>
                <w:fitText w:val="270" w:id="-893196532"/>
                <w14:textFill>
                  <w14:solidFill>
                    <w14:srgbClr w14:val="000000">
                      <w14:alpha w14:val="100000"/>
                    </w14:srgbClr>
                  </w14:solidFill>
                </w14:textFill>
              </w:rPr>
              <w:t>|</w:t>
            </w:r>
            <w:r w:rsidRPr="005F522F">
              <w:rPr>
                <w:color w:val="000000"/>
                <w:spacing w:val="1"/>
                <w:shd w:val="solid" w:color="000000" w:fill="000000"/>
                <w:fitText w:val="270" w:id="-893196532"/>
                <w14:textFill>
                  <w14:solidFill>
                    <w14:srgbClr w14:val="000000">
                      <w14:alpha w14:val="100000"/>
                    </w14:srgbClr>
                  </w14:solidFill>
                </w14:textFill>
              </w:rPr>
              <w:t>|</w:t>
            </w:r>
            <w:r w:rsidR="00AB0A41" w:rsidRPr="004E7AEA">
              <w:rPr>
                <w:vertAlign w:val="superscript"/>
              </w:rPr>
              <w:t>1</w:t>
            </w:r>
          </w:p>
        </w:tc>
        <w:tc>
          <w:tcPr>
            <w:tcW w:w="695" w:type="dxa"/>
            <w:vAlign w:val="center"/>
          </w:tcPr>
          <w:p w14:paraId="08B9174F" w14:textId="0E34184D"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88"/>
                <w14:textFill>
                  <w14:solidFill>
                    <w14:srgbClr w14:val="000000">
                      <w14:alpha w14:val="100000"/>
                    </w14:srgbClr>
                  </w14:solidFill>
                </w14:textFill>
              </w:rPr>
              <w:t>|</w:t>
            </w:r>
            <w:r w:rsidRPr="005F522F">
              <w:rPr>
                <w:color w:val="000000"/>
                <w:spacing w:val="1"/>
                <w:shd w:val="solid" w:color="000000" w:fill="000000"/>
                <w:fitText w:val="200" w:id="-893196288"/>
                <w14:textFill>
                  <w14:solidFill>
                    <w14:srgbClr w14:val="000000">
                      <w14:alpha w14:val="100000"/>
                    </w14:srgbClr>
                  </w14:solidFill>
                </w14:textFill>
              </w:rPr>
              <w:t>|</w:t>
            </w:r>
            <w:r w:rsidR="00AB0A41">
              <w:rPr>
                <w:vertAlign w:val="superscript"/>
              </w:rPr>
              <w:t>2</w:t>
            </w:r>
          </w:p>
        </w:tc>
        <w:tc>
          <w:tcPr>
            <w:tcW w:w="695" w:type="dxa"/>
            <w:vAlign w:val="center"/>
          </w:tcPr>
          <w:p w14:paraId="3FBFEF97" w14:textId="0F5715AD"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87"/>
                <w14:textFill>
                  <w14:solidFill>
                    <w14:srgbClr w14:val="000000">
                      <w14:alpha w14:val="100000"/>
                    </w14:srgbClr>
                  </w14:solidFill>
                </w14:textFill>
              </w:rPr>
              <w:t>|</w:t>
            </w:r>
            <w:r w:rsidRPr="005F522F">
              <w:rPr>
                <w:color w:val="000000"/>
                <w:spacing w:val="1"/>
                <w:shd w:val="solid" w:color="000000" w:fill="000000"/>
                <w:fitText w:val="200" w:id="-893196287"/>
                <w14:textFill>
                  <w14:solidFill>
                    <w14:srgbClr w14:val="000000">
                      <w14:alpha w14:val="100000"/>
                    </w14:srgbClr>
                  </w14:solidFill>
                </w14:textFill>
              </w:rPr>
              <w:t>|</w:t>
            </w:r>
            <w:r w:rsidR="00AB0A41">
              <w:rPr>
                <w:vertAlign w:val="superscript"/>
              </w:rPr>
              <w:t>2</w:t>
            </w:r>
          </w:p>
        </w:tc>
        <w:tc>
          <w:tcPr>
            <w:tcW w:w="695" w:type="dxa"/>
            <w:vAlign w:val="center"/>
          </w:tcPr>
          <w:p w14:paraId="41574F0B" w14:textId="693505AE"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86"/>
                <w14:textFill>
                  <w14:solidFill>
                    <w14:srgbClr w14:val="000000">
                      <w14:alpha w14:val="100000"/>
                    </w14:srgbClr>
                  </w14:solidFill>
                </w14:textFill>
              </w:rPr>
              <w:t>|</w:t>
            </w:r>
            <w:r w:rsidRPr="005F522F">
              <w:rPr>
                <w:color w:val="000000"/>
                <w:spacing w:val="1"/>
                <w:shd w:val="solid" w:color="000000" w:fill="000000"/>
                <w:fitText w:val="200" w:id="-893196286"/>
                <w14:textFill>
                  <w14:solidFill>
                    <w14:srgbClr w14:val="000000">
                      <w14:alpha w14:val="100000"/>
                    </w14:srgbClr>
                  </w14:solidFill>
                </w14:textFill>
              </w:rPr>
              <w:t>|</w:t>
            </w:r>
            <w:r w:rsidR="00AB0A41">
              <w:rPr>
                <w:vertAlign w:val="superscript"/>
              </w:rPr>
              <w:t>2</w:t>
            </w:r>
          </w:p>
        </w:tc>
        <w:tc>
          <w:tcPr>
            <w:tcW w:w="755" w:type="dxa"/>
            <w:vAlign w:val="center"/>
          </w:tcPr>
          <w:p w14:paraId="4D803502" w14:textId="61EDC744" w:rsidR="005D15C1" w:rsidRPr="005F522F" w:rsidRDefault="005F522F" w:rsidP="003A0777">
            <w:pPr>
              <w:pStyle w:val="Tabletext"/>
              <w:keepNext/>
              <w:keepLines/>
              <w:spacing w:before="0" w:after="0"/>
              <w:jc w:val="center"/>
              <w:rPr>
                <w:highlight w:val="darkGray"/>
              </w:rPr>
            </w:pPr>
            <w:r w:rsidRPr="005F522F">
              <w:rPr>
                <w:color w:val="000000"/>
                <w:spacing w:val="46"/>
                <w:shd w:val="solid" w:color="000000" w:fill="000000"/>
                <w:fitText w:val="310" w:id="-893196285"/>
                <w14:textFill>
                  <w14:solidFill>
                    <w14:srgbClr w14:val="000000">
                      <w14:alpha w14:val="100000"/>
                    </w14:srgbClr>
                  </w14:solidFill>
                </w14:textFill>
              </w:rPr>
              <w:t>|||</w:t>
            </w:r>
            <w:r w:rsidRPr="005F522F">
              <w:rPr>
                <w:color w:val="000000"/>
                <w:spacing w:val="2"/>
                <w:shd w:val="solid" w:color="000000" w:fill="000000"/>
                <w:fitText w:val="310" w:id="-893196285"/>
                <w14:textFill>
                  <w14:solidFill>
                    <w14:srgbClr w14:val="000000">
                      <w14:alpha w14:val="100000"/>
                    </w14:srgbClr>
                  </w14:solidFill>
                </w14:textFill>
              </w:rPr>
              <w:t>|</w:t>
            </w:r>
            <w:r w:rsidR="00AB0A41">
              <w:rPr>
                <w:vertAlign w:val="superscript"/>
              </w:rPr>
              <w:t>2</w:t>
            </w:r>
          </w:p>
        </w:tc>
      </w:tr>
      <w:tr w:rsidR="005C07A9" w:rsidRPr="005464FA" w14:paraId="3C90B1C5" w14:textId="77777777" w:rsidTr="00C82FF1">
        <w:tc>
          <w:tcPr>
            <w:tcW w:w="4650" w:type="dxa"/>
          </w:tcPr>
          <w:p w14:paraId="6EA873B9" w14:textId="77777777" w:rsidR="005D15C1" w:rsidRPr="005464FA" w:rsidRDefault="005D15C1" w:rsidP="003A0777">
            <w:pPr>
              <w:pStyle w:val="Tabletext"/>
              <w:keepNext/>
              <w:keepLines/>
              <w:spacing w:before="0" w:after="0"/>
            </w:pPr>
            <w:r w:rsidRPr="005464FA">
              <w:t>Estimated recurrent patients who take up testing in mBC</w:t>
            </w:r>
          </w:p>
        </w:tc>
        <w:tc>
          <w:tcPr>
            <w:tcW w:w="695" w:type="dxa"/>
            <w:vAlign w:val="center"/>
          </w:tcPr>
          <w:p w14:paraId="4F6C7FA9" w14:textId="0CEDC11E"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84"/>
                <w14:textFill>
                  <w14:solidFill>
                    <w14:srgbClr w14:val="000000">
                      <w14:alpha w14:val="100000"/>
                    </w14:srgbClr>
                  </w14:solidFill>
                </w14:textFill>
              </w:rPr>
              <w:t>|</w:t>
            </w:r>
            <w:r w:rsidRPr="005F522F">
              <w:rPr>
                <w:color w:val="000000"/>
                <w:spacing w:val="1"/>
                <w:shd w:val="solid" w:color="000000" w:fill="000000"/>
                <w:fitText w:val="200" w:id="-893196284"/>
                <w14:textFill>
                  <w14:solidFill>
                    <w14:srgbClr w14:val="000000">
                      <w14:alpha w14:val="100000"/>
                    </w14:srgbClr>
                  </w14:solidFill>
                </w14:textFill>
              </w:rPr>
              <w:t>|</w:t>
            </w:r>
            <w:r w:rsidR="00AB0A41">
              <w:rPr>
                <w:vertAlign w:val="superscript"/>
              </w:rPr>
              <w:t>2</w:t>
            </w:r>
          </w:p>
        </w:tc>
        <w:tc>
          <w:tcPr>
            <w:tcW w:w="832" w:type="dxa"/>
            <w:vAlign w:val="center"/>
          </w:tcPr>
          <w:p w14:paraId="106A4F30" w14:textId="22DEAE2F" w:rsidR="005D15C1" w:rsidRPr="005F522F" w:rsidRDefault="005F522F" w:rsidP="003A0777">
            <w:pPr>
              <w:pStyle w:val="Tabletext"/>
              <w:keepNext/>
              <w:keepLines/>
              <w:spacing w:before="0" w:after="0"/>
              <w:jc w:val="center"/>
              <w:rPr>
                <w:highlight w:val="darkGray"/>
              </w:rPr>
            </w:pPr>
            <w:r w:rsidRPr="005F522F">
              <w:rPr>
                <w:color w:val="000000"/>
                <w:spacing w:val="184"/>
                <w:shd w:val="solid" w:color="000000" w:fill="000000"/>
                <w:fitText w:val="270" w:id="-893196283"/>
                <w14:textFill>
                  <w14:solidFill>
                    <w14:srgbClr w14:val="000000">
                      <w14:alpha w14:val="100000"/>
                    </w14:srgbClr>
                  </w14:solidFill>
                </w14:textFill>
              </w:rPr>
              <w:t>|</w:t>
            </w:r>
            <w:r w:rsidRPr="005F522F">
              <w:rPr>
                <w:color w:val="000000"/>
                <w:spacing w:val="1"/>
                <w:shd w:val="solid" w:color="000000" w:fill="000000"/>
                <w:fitText w:val="270" w:id="-893196283"/>
                <w14:textFill>
                  <w14:solidFill>
                    <w14:srgbClr w14:val="000000">
                      <w14:alpha w14:val="100000"/>
                    </w14:srgbClr>
                  </w14:solidFill>
                </w14:textFill>
              </w:rPr>
              <w:t>|</w:t>
            </w:r>
            <w:r w:rsidR="00AB0A41">
              <w:rPr>
                <w:vertAlign w:val="superscript"/>
              </w:rPr>
              <w:t>2</w:t>
            </w:r>
          </w:p>
        </w:tc>
        <w:tc>
          <w:tcPr>
            <w:tcW w:w="695" w:type="dxa"/>
            <w:vAlign w:val="center"/>
          </w:tcPr>
          <w:p w14:paraId="596CA147" w14:textId="43ECFF95"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82"/>
                <w14:textFill>
                  <w14:solidFill>
                    <w14:srgbClr w14:val="000000">
                      <w14:alpha w14:val="100000"/>
                    </w14:srgbClr>
                  </w14:solidFill>
                </w14:textFill>
              </w:rPr>
              <w:t>|</w:t>
            </w:r>
            <w:r w:rsidRPr="005F522F">
              <w:rPr>
                <w:color w:val="000000"/>
                <w:spacing w:val="1"/>
                <w:shd w:val="solid" w:color="000000" w:fill="000000"/>
                <w:fitText w:val="200" w:id="-893196282"/>
                <w14:textFill>
                  <w14:solidFill>
                    <w14:srgbClr w14:val="000000">
                      <w14:alpha w14:val="100000"/>
                    </w14:srgbClr>
                  </w14:solidFill>
                </w14:textFill>
              </w:rPr>
              <w:t>|</w:t>
            </w:r>
            <w:r w:rsidR="00AB0A41">
              <w:rPr>
                <w:vertAlign w:val="superscript"/>
              </w:rPr>
              <w:t>2</w:t>
            </w:r>
          </w:p>
        </w:tc>
        <w:tc>
          <w:tcPr>
            <w:tcW w:w="695" w:type="dxa"/>
            <w:vAlign w:val="center"/>
          </w:tcPr>
          <w:p w14:paraId="37740D84" w14:textId="06C30BB1"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81"/>
                <w14:textFill>
                  <w14:solidFill>
                    <w14:srgbClr w14:val="000000">
                      <w14:alpha w14:val="100000"/>
                    </w14:srgbClr>
                  </w14:solidFill>
                </w14:textFill>
              </w:rPr>
              <w:t>|</w:t>
            </w:r>
            <w:r w:rsidRPr="005F522F">
              <w:rPr>
                <w:color w:val="000000"/>
                <w:spacing w:val="1"/>
                <w:shd w:val="solid" w:color="000000" w:fill="000000"/>
                <w:fitText w:val="200" w:id="-893196281"/>
                <w14:textFill>
                  <w14:solidFill>
                    <w14:srgbClr w14:val="000000">
                      <w14:alpha w14:val="100000"/>
                    </w14:srgbClr>
                  </w14:solidFill>
                </w14:textFill>
              </w:rPr>
              <w:t>|</w:t>
            </w:r>
            <w:r w:rsidR="00AB0A41" w:rsidRPr="004E7AEA">
              <w:rPr>
                <w:vertAlign w:val="superscript"/>
              </w:rPr>
              <w:t>1</w:t>
            </w:r>
          </w:p>
        </w:tc>
        <w:tc>
          <w:tcPr>
            <w:tcW w:w="695" w:type="dxa"/>
            <w:vAlign w:val="center"/>
          </w:tcPr>
          <w:p w14:paraId="7A3749EE" w14:textId="1075C6E3"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80"/>
                <w14:textFill>
                  <w14:solidFill>
                    <w14:srgbClr w14:val="000000">
                      <w14:alpha w14:val="100000"/>
                    </w14:srgbClr>
                  </w14:solidFill>
                </w14:textFill>
              </w:rPr>
              <w:t>|</w:t>
            </w:r>
            <w:r w:rsidRPr="005F522F">
              <w:rPr>
                <w:color w:val="000000"/>
                <w:spacing w:val="1"/>
                <w:shd w:val="solid" w:color="000000" w:fill="000000"/>
                <w:fitText w:val="200" w:id="-893196280"/>
                <w14:textFill>
                  <w14:solidFill>
                    <w14:srgbClr w14:val="000000">
                      <w14:alpha w14:val="100000"/>
                    </w14:srgbClr>
                  </w14:solidFill>
                </w14:textFill>
              </w:rPr>
              <w:t>|</w:t>
            </w:r>
            <w:r w:rsidR="00AB0A41" w:rsidRPr="004E7AEA">
              <w:rPr>
                <w:vertAlign w:val="superscript"/>
              </w:rPr>
              <w:t>1</w:t>
            </w:r>
          </w:p>
        </w:tc>
        <w:tc>
          <w:tcPr>
            <w:tcW w:w="755" w:type="dxa"/>
            <w:vAlign w:val="center"/>
          </w:tcPr>
          <w:p w14:paraId="361C2C84" w14:textId="097E287D" w:rsidR="005D15C1" w:rsidRPr="005F522F" w:rsidRDefault="005F522F" w:rsidP="003A0777">
            <w:pPr>
              <w:pStyle w:val="Tabletext"/>
              <w:keepNext/>
              <w:keepLines/>
              <w:spacing w:before="0" w:after="0"/>
              <w:jc w:val="center"/>
              <w:rPr>
                <w:highlight w:val="darkGray"/>
              </w:rPr>
            </w:pPr>
            <w:r w:rsidRPr="005F522F">
              <w:rPr>
                <w:color w:val="000000"/>
                <w:spacing w:val="46"/>
                <w:shd w:val="solid" w:color="000000" w:fill="000000"/>
                <w:fitText w:val="310" w:id="-893196279"/>
                <w14:textFill>
                  <w14:solidFill>
                    <w14:srgbClr w14:val="000000">
                      <w14:alpha w14:val="100000"/>
                    </w14:srgbClr>
                  </w14:solidFill>
                </w14:textFill>
              </w:rPr>
              <w:t>|||</w:t>
            </w:r>
            <w:r w:rsidRPr="005F522F">
              <w:rPr>
                <w:color w:val="000000"/>
                <w:spacing w:val="2"/>
                <w:shd w:val="solid" w:color="000000" w:fill="000000"/>
                <w:fitText w:val="310" w:id="-893196279"/>
                <w14:textFill>
                  <w14:solidFill>
                    <w14:srgbClr w14:val="000000">
                      <w14:alpha w14:val="100000"/>
                    </w14:srgbClr>
                  </w14:solidFill>
                </w14:textFill>
              </w:rPr>
              <w:t>|</w:t>
            </w:r>
            <w:r w:rsidR="00AB0A41" w:rsidRPr="004E7AEA">
              <w:rPr>
                <w:vertAlign w:val="superscript"/>
              </w:rPr>
              <w:t>1</w:t>
            </w:r>
          </w:p>
        </w:tc>
      </w:tr>
      <w:tr w:rsidR="005C07A9" w:rsidRPr="005464FA" w14:paraId="4A95A8C8" w14:textId="77777777" w:rsidTr="00C82FF1">
        <w:tc>
          <w:tcPr>
            <w:tcW w:w="4650" w:type="dxa"/>
          </w:tcPr>
          <w:p w14:paraId="6B71FBD0" w14:textId="77777777" w:rsidR="005D15C1" w:rsidRPr="005464FA" w:rsidRDefault="005D15C1" w:rsidP="003A0777">
            <w:pPr>
              <w:pStyle w:val="Tabletext"/>
              <w:keepNext/>
              <w:keepLines/>
              <w:spacing w:before="0" w:after="0"/>
            </w:pPr>
            <w:r w:rsidRPr="005464FA">
              <w:t>Total TNBC patients requiring test in mBC</w:t>
            </w:r>
          </w:p>
        </w:tc>
        <w:tc>
          <w:tcPr>
            <w:tcW w:w="695" w:type="dxa"/>
            <w:vAlign w:val="center"/>
          </w:tcPr>
          <w:p w14:paraId="0ED63B4C" w14:textId="6D1532C2"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78"/>
                <w14:textFill>
                  <w14:solidFill>
                    <w14:srgbClr w14:val="000000">
                      <w14:alpha w14:val="100000"/>
                    </w14:srgbClr>
                  </w14:solidFill>
                </w14:textFill>
              </w:rPr>
              <w:t>|</w:t>
            </w:r>
            <w:r w:rsidRPr="005F522F">
              <w:rPr>
                <w:color w:val="000000"/>
                <w:spacing w:val="1"/>
                <w:shd w:val="solid" w:color="000000" w:fill="000000"/>
                <w:fitText w:val="200" w:id="-893196278"/>
                <w14:textFill>
                  <w14:solidFill>
                    <w14:srgbClr w14:val="000000">
                      <w14:alpha w14:val="100000"/>
                    </w14:srgbClr>
                  </w14:solidFill>
                </w14:textFill>
              </w:rPr>
              <w:t>|</w:t>
            </w:r>
            <w:r w:rsidR="00AB0A41">
              <w:rPr>
                <w:vertAlign w:val="superscript"/>
              </w:rPr>
              <w:t>2</w:t>
            </w:r>
          </w:p>
        </w:tc>
        <w:tc>
          <w:tcPr>
            <w:tcW w:w="832" w:type="dxa"/>
            <w:vAlign w:val="center"/>
          </w:tcPr>
          <w:p w14:paraId="4BAD9944" w14:textId="4676C1B1" w:rsidR="005D15C1" w:rsidRPr="005F522F" w:rsidRDefault="005F522F" w:rsidP="003A0777">
            <w:pPr>
              <w:pStyle w:val="Tabletext"/>
              <w:keepNext/>
              <w:keepLines/>
              <w:spacing w:before="0" w:after="0"/>
              <w:jc w:val="center"/>
              <w:rPr>
                <w:highlight w:val="darkGray"/>
              </w:rPr>
            </w:pPr>
            <w:r w:rsidRPr="005F522F">
              <w:rPr>
                <w:color w:val="000000"/>
                <w:spacing w:val="184"/>
                <w:shd w:val="solid" w:color="000000" w:fill="000000"/>
                <w:fitText w:val="270" w:id="-893196277"/>
                <w14:textFill>
                  <w14:solidFill>
                    <w14:srgbClr w14:val="000000">
                      <w14:alpha w14:val="100000"/>
                    </w14:srgbClr>
                  </w14:solidFill>
                </w14:textFill>
              </w:rPr>
              <w:t>|</w:t>
            </w:r>
            <w:r w:rsidRPr="005F522F">
              <w:rPr>
                <w:color w:val="000000"/>
                <w:spacing w:val="1"/>
                <w:shd w:val="solid" w:color="000000" w:fill="000000"/>
                <w:fitText w:val="270" w:id="-893196277"/>
                <w14:textFill>
                  <w14:solidFill>
                    <w14:srgbClr w14:val="000000">
                      <w14:alpha w14:val="100000"/>
                    </w14:srgbClr>
                  </w14:solidFill>
                </w14:textFill>
              </w:rPr>
              <w:t>|</w:t>
            </w:r>
            <w:r w:rsidR="00AB0A41">
              <w:rPr>
                <w:vertAlign w:val="superscript"/>
              </w:rPr>
              <w:t>2</w:t>
            </w:r>
          </w:p>
        </w:tc>
        <w:tc>
          <w:tcPr>
            <w:tcW w:w="695" w:type="dxa"/>
            <w:vAlign w:val="center"/>
          </w:tcPr>
          <w:p w14:paraId="5DDDAA8E" w14:textId="73324A7D"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76"/>
                <w14:textFill>
                  <w14:solidFill>
                    <w14:srgbClr w14:val="000000">
                      <w14:alpha w14:val="100000"/>
                    </w14:srgbClr>
                  </w14:solidFill>
                </w14:textFill>
              </w:rPr>
              <w:t>|</w:t>
            </w:r>
            <w:r w:rsidRPr="005F522F">
              <w:rPr>
                <w:color w:val="000000"/>
                <w:spacing w:val="1"/>
                <w:shd w:val="solid" w:color="000000" w:fill="000000"/>
                <w:fitText w:val="200" w:id="-893196276"/>
                <w14:textFill>
                  <w14:solidFill>
                    <w14:srgbClr w14:val="000000">
                      <w14:alpha w14:val="100000"/>
                    </w14:srgbClr>
                  </w14:solidFill>
                </w14:textFill>
              </w:rPr>
              <w:t>|</w:t>
            </w:r>
            <w:r w:rsidR="00AB0A41">
              <w:rPr>
                <w:vertAlign w:val="superscript"/>
              </w:rPr>
              <w:t>2</w:t>
            </w:r>
          </w:p>
        </w:tc>
        <w:tc>
          <w:tcPr>
            <w:tcW w:w="695" w:type="dxa"/>
            <w:vAlign w:val="center"/>
          </w:tcPr>
          <w:p w14:paraId="1BE4F629" w14:textId="39DF1420"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75"/>
                <w14:textFill>
                  <w14:solidFill>
                    <w14:srgbClr w14:val="000000">
                      <w14:alpha w14:val="100000"/>
                    </w14:srgbClr>
                  </w14:solidFill>
                </w14:textFill>
              </w:rPr>
              <w:t>|</w:t>
            </w:r>
            <w:r w:rsidRPr="005F522F">
              <w:rPr>
                <w:color w:val="000000"/>
                <w:spacing w:val="1"/>
                <w:shd w:val="solid" w:color="000000" w:fill="000000"/>
                <w:fitText w:val="200" w:id="-893196275"/>
                <w14:textFill>
                  <w14:solidFill>
                    <w14:srgbClr w14:val="000000">
                      <w14:alpha w14:val="100000"/>
                    </w14:srgbClr>
                  </w14:solidFill>
                </w14:textFill>
              </w:rPr>
              <w:t>|</w:t>
            </w:r>
            <w:r w:rsidR="00AB0A41">
              <w:rPr>
                <w:vertAlign w:val="superscript"/>
              </w:rPr>
              <w:t>2</w:t>
            </w:r>
          </w:p>
        </w:tc>
        <w:tc>
          <w:tcPr>
            <w:tcW w:w="695" w:type="dxa"/>
            <w:vAlign w:val="center"/>
          </w:tcPr>
          <w:p w14:paraId="39C43DF0" w14:textId="6328CDC9" w:rsidR="005D15C1" w:rsidRPr="005F522F" w:rsidRDefault="005F522F" w:rsidP="003A0777">
            <w:pPr>
              <w:pStyle w:val="Tabletext"/>
              <w:keepNext/>
              <w:keepLines/>
              <w:spacing w:before="0" w:after="0"/>
              <w:jc w:val="center"/>
              <w:rPr>
                <w:highlight w:val="darkGray"/>
              </w:rPr>
            </w:pPr>
            <w:r w:rsidRPr="005F522F">
              <w:rPr>
                <w:color w:val="000000"/>
                <w:spacing w:val="114"/>
                <w:shd w:val="solid" w:color="000000" w:fill="000000"/>
                <w:fitText w:val="200" w:id="-893196274"/>
                <w14:textFill>
                  <w14:solidFill>
                    <w14:srgbClr w14:val="000000">
                      <w14:alpha w14:val="100000"/>
                    </w14:srgbClr>
                  </w14:solidFill>
                </w14:textFill>
              </w:rPr>
              <w:t>|</w:t>
            </w:r>
            <w:r w:rsidRPr="005F522F">
              <w:rPr>
                <w:color w:val="000000"/>
                <w:spacing w:val="1"/>
                <w:shd w:val="solid" w:color="000000" w:fill="000000"/>
                <w:fitText w:val="200" w:id="-893196274"/>
                <w14:textFill>
                  <w14:solidFill>
                    <w14:srgbClr w14:val="000000">
                      <w14:alpha w14:val="100000"/>
                    </w14:srgbClr>
                  </w14:solidFill>
                </w14:textFill>
              </w:rPr>
              <w:t>|</w:t>
            </w:r>
            <w:r w:rsidR="00AB0A41" w:rsidRPr="004E7AEA">
              <w:rPr>
                <w:vertAlign w:val="superscript"/>
              </w:rPr>
              <w:t>1</w:t>
            </w:r>
          </w:p>
        </w:tc>
        <w:tc>
          <w:tcPr>
            <w:tcW w:w="755" w:type="dxa"/>
            <w:vAlign w:val="center"/>
          </w:tcPr>
          <w:p w14:paraId="3888FF1F" w14:textId="2EE7E784" w:rsidR="005D15C1" w:rsidRPr="005F522F" w:rsidRDefault="005F522F" w:rsidP="003A0777">
            <w:pPr>
              <w:pStyle w:val="Tabletext"/>
              <w:keepNext/>
              <w:keepLines/>
              <w:spacing w:before="0" w:after="0"/>
              <w:jc w:val="center"/>
              <w:rPr>
                <w:highlight w:val="darkGray"/>
              </w:rPr>
            </w:pPr>
            <w:r w:rsidRPr="005F522F">
              <w:rPr>
                <w:color w:val="000000"/>
                <w:spacing w:val="46"/>
                <w:shd w:val="solid" w:color="000000" w:fill="000000"/>
                <w:fitText w:val="310" w:id="-893196273"/>
                <w14:textFill>
                  <w14:solidFill>
                    <w14:srgbClr w14:val="000000">
                      <w14:alpha w14:val="100000"/>
                    </w14:srgbClr>
                  </w14:solidFill>
                </w14:textFill>
              </w:rPr>
              <w:t>|||</w:t>
            </w:r>
            <w:r w:rsidRPr="005F522F">
              <w:rPr>
                <w:color w:val="000000"/>
                <w:spacing w:val="2"/>
                <w:shd w:val="solid" w:color="000000" w:fill="000000"/>
                <w:fitText w:val="310" w:id="-893196273"/>
                <w14:textFill>
                  <w14:solidFill>
                    <w14:srgbClr w14:val="000000">
                      <w14:alpha w14:val="100000"/>
                    </w14:srgbClr>
                  </w14:solidFill>
                </w14:textFill>
              </w:rPr>
              <w:t>|</w:t>
            </w:r>
            <w:r w:rsidR="00AB0A41" w:rsidRPr="004E7AEA">
              <w:rPr>
                <w:vertAlign w:val="superscript"/>
              </w:rPr>
              <w:t>1</w:t>
            </w:r>
          </w:p>
        </w:tc>
      </w:tr>
      <w:tr w:rsidR="005C07A9" w:rsidRPr="005464FA" w14:paraId="2DEA2461" w14:textId="77777777" w:rsidTr="00C82FF1">
        <w:tc>
          <w:tcPr>
            <w:tcW w:w="4650" w:type="dxa"/>
            <w:vAlign w:val="center"/>
          </w:tcPr>
          <w:p w14:paraId="53D99518" w14:textId="66827386" w:rsidR="00B26ED8" w:rsidRPr="005464FA" w:rsidRDefault="00B26ED8" w:rsidP="003A0777">
            <w:pPr>
              <w:pStyle w:val="Tabletext"/>
              <w:keepNext/>
              <w:keepLines/>
              <w:rPr>
                <w:color w:val="000000"/>
              </w:rPr>
            </w:pPr>
            <w:r w:rsidRPr="005464FA">
              <w:rPr>
                <w:b/>
              </w:rPr>
              <w:t>HR+ HER2-negative patients</w:t>
            </w:r>
          </w:p>
        </w:tc>
        <w:tc>
          <w:tcPr>
            <w:tcW w:w="695" w:type="dxa"/>
            <w:vAlign w:val="center"/>
          </w:tcPr>
          <w:p w14:paraId="5D3992A8" w14:textId="77777777" w:rsidR="00B26ED8" w:rsidRPr="005464FA" w:rsidRDefault="00B26ED8" w:rsidP="003A0777">
            <w:pPr>
              <w:pStyle w:val="Tabletext"/>
              <w:keepNext/>
              <w:keepLines/>
              <w:jc w:val="center"/>
              <w:rPr>
                <w:color w:val="000000"/>
              </w:rPr>
            </w:pPr>
          </w:p>
        </w:tc>
        <w:tc>
          <w:tcPr>
            <w:tcW w:w="832" w:type="dxa"/>
            <w:vAlign w:val="center"/>
          </w:tcPr>
          <w:p w14:paraId="04BC282D" w14:textId="77777777" w:rsidR="00B26ED8" w:rsidRPr="005464FA" w:rsidRDefault="00B26ED8" w:rsidP="003A0777">
            <w:pPr>
              <w:pStyle w:val="Tabletext"/>
              <w:keepNext/>
              <w:keepLines/>
              <w:jc w:val="center"/>
              <w:rPr>
                <w:color w:val="000000"/>
              </w:rPr>
            </w:pPr>
          </w:p>
        </w:tc>
        <w:tc>
          <w:tcPr>
            <w:tcW w:w="695" w:type="dxa"/>
            <w:vAlign w:val="center"/>
          </w:tcPr>
          <w:p w14:paraId="415E0477" w14:textId="77777777" w:rsidR="00B26ED8" w:rsidRPr="005464FA" w:rsidRDefault="00B26ED8" w:rsidP="003A0777">
            <w:pPr>
              <w:pStyle w:val="Tabletext"/>
              <w:keepNext/>
              <w:keepLines/>
              <w:jc w:val="center"/>
              <w:rPr>
                <w:color w:val="000000"/>
              </w:rPr>
            </w:pPr>
          </w:p>
        </w:tc>
        <w:tc>
          <w:tcPr>
            <w:tcW w:w="695" w:type="dxa"/>
            <w:vAlign w:val="center"/>
          </w:tcPr>
          <w:p w14:paraId="4EDE12F6" w14:textId="77777777" w:rsidR="00B26ED8" w:rsidRPr="005464FA" w:rsidRDefault="00B26ED8" w:rsidP="003A0777">
            <w:pPr>
              <w:pStyle w:val="Tabletext"/>
              <w:keepNext/>
              <w:keepLines/>
              <w:jc w:val="center"/>
              <w:rPr>
                <w:color w:val="000000"/>
              </w:rPr>
            </w:pPr>
          </w:p>
        </w:tc>
        <w:tc>
          <w:tcPr>
            <w:tcW w:w="695" w:type="dxa"/>
            <w:vAlign w:val="center"/>
          </w:tcPr>
          <w:p w14:paraId="388A3704" w14:textId="77777777" w:rsidR="00B26ED8" w:rsidRPr="005464FA" w:rsidRDefault="00B26ED8" w:rsidP="003A0777">
            <w:pPr>
              <w:pStyle w:val="Tabletext"/>
              <w:keepNext/>
              <w:keepLines/>
              <w:jc w:val="center"/>
              <w:rPr>
                <w:color w:val="000000"/>
              </w:rPr>
            </w:pPr>
          </w:p>
        </w:tc>
        <w:tc>
          <w:tcPr>
            <w:tcW w:w="755" w:type="dxa"/>
            <w:vAlign w:val="center"/>
          </w:tcPr>
          <w:p w14:paraId="296D7184" w14:textId="77777777" w:rsidR="00B26ED8" w:rsidRPr="005464FA" w:rsidRDefault="00B26ED8" w:rsidP="003A0777">
            <w:pPr>
              <w:pStyle w:val="Tabletext"/>
              <w:keepNext/>
              <w:keepLines/>
              <w:jc w:val="center"/>
              <w:rPr>
                <w:color w:val="000000"/>
              </w:rPr>
            </w:pPr>
          </w:p>
        </w:tc>
      </w:tr>
      <w:tr w:rsidR="005C07A9" w:rsidRPr="005464FA" w14:paraId="58C592F5" w14:textId="77777777" w:rsidTr="00C82FF1">
        <w:tc>
          <w:tcPr>
            <w:tcW w:w="4650" w:type="dxa"/>
            <w:vAlign w:val="center"/>
          </w:tcPr>
          <w:p w14:paraId="3C01CE0D" w14:textId="70A32361" w:rsidR="005D15C1" w:rsidRPr="005464FA" w:rsidRDefault="005D15C1" w:rsidP="003A0777">
            <w:pPr>
              <w:pStyle w:val="Tabletext"/>
              <w:keepNext/>
              <w:keepLines/>
              <w:spacing w:before="0" w:after="0"/>
            </w:pPr>
            <w:r w:rsidRPr="005464FA">
              <w:rPr>
                <w:color w:val="000000"/>
              </w:rPr>
              <w:t xml:space="preserve">De novo HR+ patients taking up </w:t>
            </w:r>
            <w:r w:rsidR="009F5B43" w:rsidRPr="005464FA">
              <w:rPr>
                <w:i/>
                <w:iCs/>
                <w:color w:val="000000"/>
              </w:rPr>
              <w:t>BRCA</w:t>
            </w:r>
            <w:r w:rsidRPr="005464FA">
              <w:rPr>
                <w:color w:val="000000"/>
              </w:rPr>
              <w:t xml:space="preserve"> testing</w:t>
            </w:r>
          </w:p>
        </w:tc>
        <w:tc>
          <w:tcPr>
            <w:tcW w:w="695" w:type="dxa"/>
            <w:vAlign w:val="center"/>
          </w:tcPr>
          <w:p w14:paraId="2C4A8AE3" w14:textId="17D3B2E6"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72"/>
                <w14:textFill>
                  <w14:solidFill>
                    <w14:srgbClr w14:val="000000">
                      <w14:alpha w14:val="100000"/>
                    </w14:srgbClr>
                  </w14:solidFill>
                </w14:textFill>
              </w:rPr>
              <w:t>|</w:t>
            </w:r>
            <w:r w:rsidRPr="005F522F">
              <w:rPr>
                <w:color w:val="000000"/>
                <w:spacing w:val="1"/>
                <w:shd w:val="solid" w:color="000000" w:fill="000000"/>
                <w:fitText w:val="200" w:id="-893196272"/>
                <w14:textFill>
                  <w14:solidFill>
                    <w14:srgbClr w14:val="000000">
                      <w14:alpha w14:val="100000"/>
                    </w14:srgbClr>
                  </w14:solidFill>
                </w14:textFill>
              </w:rPr>
              <w:t>|</w:t>
            </w:r>
            <w:r w:rsidR="00AB0A41" w:rsidRPr="004E7AEA">
              <w:rPr>
                <w:vertAlign w:val="superscript"/>
              </w:rPr>
              <w:t>1</w:t>
            </w:r>
          </w:p>
        </w:tc>
        <w:tc>
          <w:tcPr>
            <w:tcW w:w="832" w:type="dxa"/>
            <w:vAlign w:val="center"/>
          </w:tcPr>
          <w:p w14:paraId="42BEE8DA" w14:textId="4524D534" w:rsidR="005D15C1" w:rsidRPr="005F522F" w:rsidRDefault="005F522F" w:rsidP="003A0777">
            <w:pPr>
              <w:pStyle w:val="Tabletext"/>
              <w:keepNext/>
              <w:keepLines/>
              <w:spacing w:before="0" w:after="0"/>
              <w:jc w:val="center"/>
              <w:rPr>
                <w:color w:val="000000"/>
                <w:highlight w:val="darkGray"/>
              </w:rPr>
            </w:pPr>
            <w:r w:rsidRPr="005F522F">
              <w:rPr>
                <w:color w:val="000000"/>
                <w:spacing w:val="184"/>
                <w:shd w:val="solid" w:color="000000" w:fill="000000"/>
                <w:fitText w:val="270" w:id="-893196288"/>
                <w14:textFill>
                  <w14:solidFill>
                    <w14:srgbClr w14:val="000000">
                      <w14:alpha w14:val="100000"/>
                    </w14:srgbClr>
                  </w14:solidFill>
                </w14:textFill>
              </w:rPr>
              <w:t>|</w:t>
            </w:r>
            <w:r w:rsidRPr="005F522F">
              <w:rPr>
                <w:color w:val="000000"/>
                <w:spacing w:val="1"/>
                <w:shd w:val="solid" w:color="000000" w:fill="000000"/>
                <w:fitText w:val="270" w:id="-893196288"/>
                <w14:textFill>
                  <w14:solidFill>
                    <w14:srgbClr w14:val="000000">
                      <w14:alpha w14:val="100000"/>
                    </w14:srgbClr>
                  </w14:solidFill>
                </w14:textFill>
              </w:rPr>
              <w:t>|</w:t>
            </w:r>
            <w:r w:rsidR="00AB0A41">
              <w:rPr>
                <w:vertAlign w:val="superscript"/>
              </w:rPr>
              <w:t>2</w:t>
            </w:r>
          </w:p>
        </w:tc>
        <w:tc>
          <w:tcPr>
            <w:tcW w:w="695" w:type="dxa"/>
            <w:vAlign w:val="center"/>
          </w:tcPr>
          <w:p w14:paraId="30F7CA7D" w14:textId="2192886C"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87"/>
                <w14:textFill>
                  <w14:solidFill>
                    <w14:srgbClr w14:val="000000">
                      <w14:alpha w14:val="100000"/>
                    </w14:srgbClr>
                  </w14:solidFill>
                </w14:textFill>
              </w:rPr>
              <w:t>|</w:t>
            </w:r>
            <w:r w:rsidRPr="005F522F">
              <w:rPr>
                <w:color w:val="000000"/>
                <w:spacing w:val="1"/>
                <w:shd w:val="solid" w:color="000000" w:fill="000000"/>
                <w:fitText w:val="200" w:id="-893196287"/>
                <w14:textFill>
                  <w14:solidFill>
                    <w14:srgbClr w14:val="000000">
                      <w14:alpha w14:val="100000"/>
                    </w14:srgbClr>
                  </w14:solidFill>
                </w14:textFill>
              </w:rPr>
              <w:t>|</w:t>
            </w:r>
            <w:r w:rsidR="00AB0A41">
              <w:rPr>
                <w:vertAlign w:val="superscript"/>
              </w:rPr>
              <w:t>2</w:t>
            </w:r>
          </w:p>
        </w:tc>
        <w:tc>
          <w:tcPr>
            <w:tcW w:w="695" w:type="dxa"/>
            <w:vAlign w:val="center"/>
          </w:tcPr>
          <w:p w14:paraId="2D1FE857" w14:textId="3AA8BBA3"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86"/>
                <w14:textFill>
                  <w14:solidFill>
                    <w14:srgbClr w14:val="000000">
                      <w14:alpha w14:val="100000"/>
                    </w14:srgbClr>
                  </w14:solidFill>
                </w14:textFill>
              </w:rPr>
              <w:t>|</w:t>
            </w:r>
            <w:r w:rsidRPr="005F522F">
              <w:rPr>
                <w:color w:val="000000"/>
                <w:spacing w:val="1"/>
                <w:shd w:val="solid" w:color="000000" w:fill="000000"/>
                <w:fitText w:val="200" w:id="-893196286"/>
                <w14:textFill>
                  <w14:solidFill>
                    <w14:srgbClr w14:val="000000">
                      <w14:alpha w14:val="100000"/>
                    </w14:srgbClr>
                  </w14:solidFill>
                </w14:textFill>
              </w:rPr>
              <w:t>|</w:t>
            </w:r>
            <w:r w:rsidR="00AB0A41">
              <w:rPr>
                <w:vertAlign w:val="superscript"/>
              </w:rPr>
              <w:t>2</w:t>
            </w:r>
          </w:p>
        </w:tc>
        <w:tc>
          <w:tcPr>
            <w:tcW w:w="695" w:type="dxa"/>
            <w:vAlign w:val="center"/>
          </w:tcPr>
          <w:p w14:paraId="3C211DA9" w14:textId="13B29687"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85"/>
                <w14:textFill>
                  <w14:solidFill>
                    <w14:srgbClr w14:val="000000">
                      <w14:alpha w14:val="100000"/>
                    </w14:srgbClr>
                  </w14:solidFill>
                </w14:textFill>
              </w:rPr>
              <w:t>|</w:t>
            </w:r>
            <w:r w:rsidRPr="005F522F">
              <w:rPr>
                <w:color w:val="000000"/>
                <w:spacing w:val="1"/>
                <w:shd w:val="solid" w:color="000000" w:fill="000000"/>
                <w:fitText w:val="200" w:id="-893196285"/>
                <w14:textFill>
                  <w14:solidFill>
                    <w14:srgbClr w14:val="000000">
                      <w14:alpha w14:val="100000"/>
                    </w14:srgbClr>
                  </w14:solidFill>
                </w14:textFill>
              </w:rPr>
              <w:t>|</w:t>
            </w:r>
            <w:r w:rsidR="00AB0A41">
              <w:rPr>
                <w:vertAlign w:val="superscript"/>
              </w:rPr>
              <w:t>2</w:t>
            </w:r>
          </w:p>
        </w:tc>
        <w:tc>
          <w:tcPr>
            <w:tcW w:w="755" w:type="dxa"/>
            <w:vAlign w:val="center"/>
          </w:tcPr>
          <w:p w14:paraId="5D7B9DE1" w14:textId="500F8048" w:rsidR="005D15C1" w:rsidRPr="005F522F" w:rsidRDefault="005F522F" w:rsidP="003A0777">
            <w:pPr>
              <w:pStyle w:val="Tabletext"/>
              <w:keepNext/>
              <w:keepLines/>
              <w:spacing w:before="0" w:after="0"/>
              <w:jc w:val="center"/>
              <w:rPr>
                <w:color w:val="000000"/>
                <w:highlight w:val="darkGray"/>
              </w:rPr>
            </w:pPr>
            <w:r w:rsidRPr="005F522F">
              <w:rPr>
                <w:color w:val="000000"/>
                <w:spacing w:val="46"/>
                <w:shd w:val="solid" w:color="000000" w:fill="000000"/>
                <w:fitText w:val="310" w:id="-893196284"/>
                <w14:textFill>
                  <w14:solidFill>
                    <w14:srgbClr w14:val="000000">
                      <w14:alpha w14:val="100000"/>
                    </w14:srgbClr>
                  </w14:solidFill>
                </w14:textFill>
              </w:rPr>
              <w:t>|||</w:t>
            </w:r>
            <w:r w:rsidRPr="005F522F">
              <w:rPr>
                <w:color w:val="000000"/>
                <w:spacing w:val="2"/>
                <w:shd w:val="solid" w:color="000000" w:fill="000000"/>
                <w:fitText w:val="310" w:id="-893196284"/>
                <w14:textFill>
                  <w14:solidFill>
                    <w14:srgbClr w14:val="000000">
                      <w14:alpha w14:val="100000"/>
                    </w14:srgbClr>
                  </w14:solidFill>
                </w14:textFill>
              </w:rPr>
              <w:t>|</w:t>
            </w:r>
            <w:r w:rsidR="00AB0A41">
              <w:rPr>
                <w:vertAlign w:val="superscript"/>
              </w:rPr>
              <w:t>2</w:t>
            </w:r>
          </w:p>
        </w:tc>
      </w:tr>
      <w:tr w:rsidR="005C07A9" w:rsidRPr="005464FA" w14:paraId="3D7DFDF8" w14:textId="77777777" w:rsidTr="00C82FF1">
        <w:tc>
          <w:tcPr>
            <w:tcW w:w="4650" w:type="dxa"/>
            <w:vAlign w:val="center"/>
          </w:tcPr>
          <w:p w14:paraId="34E07F85" w14:textId="18535C9B" w:rsidR="005D15C1" w:rsidRPr="005464FA" w:rsidRDefault="005D15C1" w:rsidP="003A0777">
            <w:pPr>
              <w:pStyle w:val="Tabletext"/>
              <w:keepNext/>
              <w:keepLines/>
              <w:spacing w:before="0" w:after="0"/>
            </w:pPr>
            <w:r w:rsidRPr="005464FA">
              <w:rPr>
                <w:color w:val="000000"/>
              </w:rPr>
              <w:t xml:space="preserve">Recurrent HR+ patients taking up </w:t>
            </w:r>
            <w:r w:rsidR="009F5B43" w:rsidRPr="005464FA">
              <w:rPr>
                <w:i/>
                <w:iCs/>
                <w:color w:val="000000"/>
              </w:rPr>
              <w:t>BRCA</w:t>
            </w:r>
            <w:r w:rsidRPr="005464FA">
              <w:rPr>
                <w:color w:val="000000"/>
              </w:rPr>
              <w:t xml:space="preserve"> testing </w:t>
            </w:r>
          </w:p>
        </w:tc>
        <w:tc>
          <w:tcPr>
            <w:tcW w:w="695" w:type="dxa"/>
            <w:vAlign w:val="center"/>
          </w:tcPr>
          <w:p w14:paraId="2388D8E0" w14:textId="76D7A9FF"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83"/>
                <w14:textFill>
                  <w14:solidFill>
                    <w14:srgbClr w14:val="000000">
                      <w14:alpha w14:val="100000"/>
                    </w14:srgbClr>
                  </w14:solidFill>
                </w14:textFill>
              </w:rPr>
              <w:t>|</w:t>
            </w:r>
            <w:r w:rsidRPr="005F522F">
              <w:rPr>
                <w:color w:val="000000"/>
                <w:spacing w:val="1"/>
                <w:shd w:val="solid" w:color="000000" w:fill="000000"/>
                <w:fitText w:val="200" w:id="-893196283"/>
                <w14:textFill>
                  <w14:solidFill>
                    <w14:srgbClr w14:val="000000">
                      <w14:alpha w14:val="100000"/>
                    </w14:srgbClr>
                  </w14:solidFill>
                </w14:textFill>
              </w:rPr>
              <w:t>|</w:t>
            </w:r>
            <w:r w:rsidR="00AB0A41">
              <w:rPr>
                <w:vertAlign w:val="superscript"/>
              </w:rPr>
              <w:t>2</w:t>
            </w:r>
          </w:p>
        </w:tc>
        <w:tc>
          <w:tcPr>
            <w:tcW w:w="832" w:type="dxa"/>
            <w:vAlign w:val="center"/>
          </w:tcPr>
          <w:p w14:paraId="53F4CEC2" w14:textId="2D5A545B" w:rsidR="005D15C1" w:rsidRPr="005F522F" w:rsidRDefault="005F522F" w:rsidP="003A0777">
            <w:pPr>
              <w:pStyle w:val="Tabletext"/>
              <w:keepNext/>
              <w:keepLines/>
              <w:spacing w:before="0" w:after="0"/>
              <w:jc w:val="center"/>
              <w:rPr>
                <w:color w:val="000000"/>
                <w:highlight w:val="darkGray"/>
              </w:rPr>
            </w:pPr>
            <w:r w:rsidRPr="005F522F">
              <w:rPr>
                <w:color w:val="000000"/>
                <w:spacing w:val="184"/>
                <w:shd w:val="solid" w:color="000000" w:fill="000000"/>
                <w:fitText w:val="270" w:id="-893196282"/>
                <w14:textFill>
                  <w14:solidFill>
                    <w14:srgbClr w14:val="000000">
                      <w14:alpha w14:val="100000"/>
                    </w14:srgbClr>
                  </w14:solidFill>
                </w14:textFill>
              </w:rPr>
              <w:t>|</w:t>
            </w:r>
            <w:r w:rsidRPr="005F522F">
              <w:rPr>
                <w:color w:val="000000"/>
                <w:spacing w:val="1"/>
                <w:shd w:val="solid" w:color="000000" w:fill="000000"/>
                <w:fitText w:val="270" w:id="-893196282"/>
                <w14:textFill>
                  <w14:solidFill>
                    <w14:srgbClr w14:val="000000">
                      <w14:alpha w14:val="100000"/>
                    </w14:srgbClr>
                  </w14:solidFill>
                </w14:textFill>
              </w:rPr>
              <w:t>|</w:t>
            </w:r>
            <w:r w:rsidR="00AB0A41">
              <w:rPr>
                <w:vertAlign w:val="superscript"/>
              </w:rPr>
              <w:t>2</w:t>
            </w:r>
          </w:p>
        </w:tc>
        <w:tc>
          <w:tcPr>
            <w:tcW w:w="695" w:type="dxa"/>
            <w:vAlign w:val="center"/>
          </w:tcPr>
          <w:p w14:paraId="71ACC9F5" w14:textId="48B1E21C"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81"/>
                <w14:textFill>
                  <w14:solidFill>
                    <w14:srgbClr w14:val="000000">
                      <w14:alpha w14:val="100000"/>
                    </w14:srgbClr>
                  </w14:solidFill>
                </w14:textFill>
              </w:rPr>
              <w:t>|</w:t>
            </w:r>
            <w:r w:rsidRPr="005F522F">
              <w:rPr>
                <w:color w:val="000000"/>
                <w:spacing w:val="1"/>
                <w:shd w:val="solid" w:color="000000" w:fill="000000"/>
                <w:fitText w:val="200" w:id="-893196281"/>
                <w14:textFill>
                  <w14:solidFill>
                    <w14:srgbClr w14:val="000000">
                      <w14:alpha w14:val="100000"/>
                    </w14:srgbClr>
                  </w14:solidFill>
                </w14:textFill>
              </w:rPr>
              <w:t>|</w:t>
            </w:r>
            <w:r w:rsidR="00AB0A41">
              <w:rPr>
                <w:vertAlign w:val="superscript"/>
              </w:rPr>
              <w:t>2</w:t>
            </w:r>
          </w:p>
        </w:tc>
        <w:tc>
          <w:tcPr>
            <w:tcW w:w="695" w:type="dxa"/>
            <w:vAlign w:val="center"/>
          </w:tcPr>
          <w:p w14:paraId="0CCCA1E9" w14:textId="1B603288"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80"/>
                <w14:textFill>
                  <w14:solidFill>
                    <w14:srgbClr w14:val="000000">
                      <w14:alpha w14:val="100000"/>
                    </w14:srgbClr>
                  </w14:solidFill>
                </w14:textFill>
              </w:rPr>
              <w:t>|</w:t>
            </w:r>
            <w:r w:rsidRPr="005F522F">
              <w:rPr>
                <w:color w:val="000000"/>
                <w:spacing w:val="1"/>
                <w:shd w:val="solid" w:color="000000" w:fill="000000"/>
                <w:fitText w:val="200" w:id="-893196280"/>
                <w14:textFill>
                  <w14:solidFill>
                    <w14:srgbClr w14:val="000000">
                      <w14:alpha w14:val="100000"/>
                    </w14:srgbClr>
                  </w14:solidFill>
                </w14:textFill>
              </w:rPr>
              <w:t>|</w:t>
            </w:r>
            <w:r w:rsidR="00AB0A41">
              <w:rPr>
                <w:vertAlign w:val="superscript"/>
              </w:rPr>
              <w:t>2</w:t>
            </w:r>
          </w:p>
        </w:tc>
        <w:tc>
          <w:tcPr>
            <w:tcW w:w="695" w:type="dxa"/>
            <w:vAlign w:val="center"/>
          </w:tcPr>
          <w:p w14:paraId="216C1C52" w14:textId="5CFCD8DB"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79"/>
                <w14:textFill>
                  <w14:solidFill>
                    <w14:srgbClr w14:val="000000">
                      <w14:alpha w14:val="100000"/>
                    </w14:srgbClr>
                  </w14:solidFill>
                </w14:textFill>
              </w:rPr>
              <w:t>|</w:t>
            </w:r>
            <w:r w:rsidRPr="005F522F">
              <w:rPr>
                <w:color w:val="000000"/>
                <w:spacing w:val="1"/>
                <w:shd w:val="solid" w:color="000000" w:fill="000000"/>
                <w:fitText w:val="200" w:id="-893196279"/>
                <w14:textFill>
                  <w14:solidFill>
                    <w14:srgbClr w14:val="000000">
                      <w14:alpha w14:val="100000"/>
                    </w14:srgbClr>
                  </w14:solidFill>
                </w14:textFill>
              </w:rPr>
              <w:t>|</w:t>
            </w:r>
            <w:r w:rsidR="00AB0A41">
              <w:rPr>
                <w:vertAlign w:val="superscript"/>
              </w:rPr>
              <w:t>2</w:t>
            </w:r>
          </w:p>
        </w:tc>
        <w:tc>
          <w:tcPr>
            <w:tcW w:w="755" w:type="dxa"/>
            <w:vAlign w:val="center"/>
          </w:tcPr>
          <w:p w14:paraId="4B8743DD" w14:textId="57AA969B" w:rsidR="005D15C1" w:rsidRPr="005F522F" w:rsidRDefault="005F522F" w:rsidP="003A0777">
            <w:pPr>
              <w:pStyle w:val="Tabletext"/>
              <w:keepNext/>
              <w:keepLines/>
              <w:spacing w:before="0" w:after="0"/>
              <w:jc w:val="center"/>
              <w:rPr>
                <w:color w:val="000000"/>
                <w:highlight w:val="darkGray"/>
              </w:rPr>
            </w:pPr>
            <w:r w:rsidRPr="005F522F">
              <w:rPr>
                <w:color w:val="000000"/>
                <w:spacing w:val="46"/>
                <w:shd w:val="solid" w:color="000000" w:fill="000000"/>
                <w:fitText w:val="310" w:id="-893196278"/>
                <w14:textFill>
                  <w14:solidFill>
                    <w14:srgbClr w14:val="000000">
                      <w14:alpha w14:val="100000"/>
                    </w14:srgbClr>
                  </w14:solidFill>
                </w14:textFill>
              </w:rPr>
              <w:t>|||</w:t>
            </w:r>
            <w:r w:rsidRPr="005F522F">
              <w:rPr>
                <w:color w:val="000000"/>
                <w:spacing w:val="2"/>
                <w:shd w:val="solid" w:color="000000" w:fill="000000"/>
                <w:fitText w:val="310" w:id="-893196278"/>
                <w14:textFill>
                  <w14:solidFill>
                    <w14:srgbClr w14:val="000000">
                      <w14:alpha w14:val="100000"/>
                    </w14:srgbClr>
                  </w14:solidFill>
                </w14:textFill>
              </w:rPr>
              <w:t>|</w:t>
            </w:r>
            <w:r w:rsidR="00AB0A41">
              <w:rPr>
                <w:vertAlign w:val="superscript"/>
              </w:rPr>
              <w:t>2</w:t>
            </w:r>
          </w:p>
        </w:tc>
      </w:tr>
      <w:tr w:rsidR="005C07A9" w:rsidRPr="005464FA" w14:paraId="00BD8B8A" w14:textId="77777777" w:rsidTr="00C82FF1">
        <w:tc>
          <w:tcPr>
            <w:tcW w:w="4650" w:type="dxa"/>
            <w:vAlign w:val="center"/>
          </w:tcPr>
          <w:p w14:paraId="75CBFE72" w14:textId="160F5ADB" w:rsidR="005D15C1" w:rsidRPr="005464FA" w:rsidRDefault="005D15C1" w:rsidP="003A0777">
            <w:pPr>
              <w:pStyle w:val="Tabletext"/>
              <w:keepNext/>
              <w:keepLines/>
              <w:spacing w:before="0" w:after="0"/>
            </w:pPr>
            <w:r w:rsidRPr="005464FA">
              <w:rPr>
                <w:color w:val="000000"/>
              </w:rPr>
              <w:t xml:space="preserve">Total number of HR+ patients taking up </w:t>
            </w:r>
            <w:r w:rsidR="009F5B43" w:rsidRPr="005464FA">
              <w:rPr>
                <w:i/>
                <w:iCs/>
                <w:color w:val="000000"/>
              </w:rPr>
              <w:t>BRCA</w:t>
            </w:r>
            <w:r w:rsidRPr="005464FA">
              <w:rPr>
                <w:color w:val="000000"/>
              </w:rPr>
              <w:t xml:space="preserve"> testing</w:t>
            </w:r>
          </w:p>
        </w:tc>
        <w:tc>
          <w:tcPr>
            <w:tcW w:w="695" w:type="dxa"/>
            <w:vAlign w:val="center"/>
          </w:tcPr>
          <w:p w14:paraId="2DED61E9" w14:textId="2AECBAB2"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77"/>
                <w14:textFill>
                  <w14:solidFill>
                    <w14:srgbClr w14:val="000000">
                      <w14:alpha w14:val="100000"/>
                    </w14:srgbClr>
                  </w14:solidFill>
                </w14:textFill>
              </w:rPr>
              <w:t>|</w:t>
            </w:r>
            <w:r w:rsidRPr="005F522F">
              <w:rPr>
                <w:color w:val="000000"/>
                <w:spacing w:val="1"/>
                <w:shd w:val="solid" w:color="000000" w:fill="000000"/>
                <w:fitText w:val="200" w:id="-893196277"/>
                <w14:textFill>
                  <w14:solidFill>
                    <w14:srgbClr w14:val="000000">
                      <w14:alpha w14:val="100000"/>
                    </w14:srgbClr>
                  </w14:solidFill>
                </w14:textFill>
              </w:rPr>
              <w:t>|</w:t>
            </w:r>
            <w:r w:rsidR="00AB0A41">
              <w:rPr>
                <w:vertAlign w:val="superscript"/>
              </w:rPr>
              <w:t>2</w:t>
            </w:r>
          </w:p>
        </w:tc>
        <w:tc>
          <w:tcPr>
            <w:tcW w:w="832" w:type="dxa"/>
            <w:vAlign w:val="center"/>
          </w:tcPr>
          <w:p w14:paraId="06D20349" w14:textId="400DD8B4" w:rsidR="005D15C1" w:rsidRPr="005F522F" w:rsidRDefault="005F522F" w:rsidP="003A0777">
            <w:pPr>
              <w:pStyle w:val="Tabletext"/>
              <w:keepNext/>
              <w:keepLines/>
              <w:spacing w:before="0" w:after="0"/>
              <w:jc w:val="center"/>
              <w:rPr>
                <w:color w:val="000000"/>
                <w:highlight w:val="darkGray"/>
              </w:rPr>
            </w:pPr>
            <w:r w:rsidRPr="005F522F">
              <w:rPr>
                <w:color w:val="000000"/>
                <w:spacing w:val="184"/>
                <w:shd w:val="solid" w:color="000000" w:fill="000000"/>
                <w:fitText w:val="270" w:id="-893196276"/>
                <w14:textFill>
                  <w14:solidFill>
                    <w14:srgbClr w14:val="000000">
                      <w14:alpha w14:val="100000"/>
                    </w14:srgbClr>
                  </w14:solidFill>
                </w14:textFill>
              </w:rPr>
              <w:t>|</w:t>
            </w:r>
            <w:r w:rsidRPr="005F522F">
              <w:rPr>
                <w:color w:val="000000"/>
                <w:spacing w:val="1"/>
                <w:shd w:val="solid" w:color="000000" w:fill="000000"/>
                <w:fitText w:val="270" w:id="-893196276"/>
                <w14:textFill>
                  <w14:solidFill>
                    <w14:srgbClr w14:val="000000">
                      <w14:alpha w14:val="100000"/>
                    </w14:srgbClr>
                  </w14:solidFill>
                </w14:textFill>
              </w:rPr>
              <w:t>|</w:t>
            </w:r>
            <w:r w:rsidR="00AB0A41">
              <w:rPr>
                <w:vertAlign w:val="superscript"/>
              </w:rPr>
              <w:t>2</w:t>
            </w:r>
          </w:p>
        </w:tc>
        <w:tc>
          <w:tcPr>
            <w:tcW w:w="695" w:type="dxa"/>
            <w:vAlign w:val="center"/>
          </w:tcPr>
          <w:p w14:paraId="41D4C09D" w14:textId="03AA3098"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75"/>
                <w14:textFill>
                  <w14:solidFill>
                    <w14:srgbClr w14:val="000000">
                      <w14:alpha w14:val="100000"/>
                    </w14:srgbClr>
                  </w14:solidFill>
                </w14:textFill>
              </w:rPr>
              <w:t>|</w:t>
            </w:r>
            <w:r w:rsidRPr="005F522F">
              <w:rPr>
                <w:color w:val="000000"/>
                <w:spacing w:val="1"/>
                <w:shd w:val="solid" w:color="000000" w:fill="000000"/>
                <w:fitText w:val="200" w:id="-893196275"/>
                <w14:textFill>
                  <w14:solidFill>
                    <w14:srgbClr w14:val="000000">
                      <w14:alpha w14:val="100000"/>
                    </w14:srgbClr>
                  </w14:solidFill>
                </w14:textFill>
              </w:rPr>
              <w:t>|</w:t>
            </w:r>
            <w:r w:rsidR="00AB0A41">
              <w:rPr>
                <w:vertAlign w:val="superscript"/>
              </w:rPr>
              <w:t>2</w:t>
            </w:r>
          </w:p>
        </w:tc>
        <w:tc>
          <w:tcPr>
            <w:tcW w:w="695" w:type="dxa"/>
            <w:vAlign w:val="center"/>
          </w:tcPr>
          <w:p w14:paraId="19EE309D" w14:textId="69DBF45E"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74"/>
                <w14:textFill>
                  <w14:solidFill>
                    <w14:srgbClr w14:val="000000">
                      <w14:alpha w14:val="100000"/>
                    </w14:srgbClr>
                  </w14:solidFill>
                </w14:textFill>
              </w:rPr>
              <w:t>|</w:t>
            </w:r>
            <w:r w:rsidRPr="005F522F">
              <w:rPr>
                <w:color w:val="000000"/>
                <w:spacing w:val="1"/>
                <w:shd w:val="solid" w:color="000000" w:fill="000000"/>
                <w:fitText w:val="200" w:id="-893196274"/>
                <w14:textFill>
                  <w14:solidFill>
                    <w14:srgbClr w14:val="000000">
                      <w14:alpha w14:val="100000"/>
                    </w14:srgbClr>
                  </w14:solidFill>
                </w14:textFill>
              </w:rPr>
              <w:t>|</w:t>
            </w:r>
            <w:r w:rsidR="00AB0A41">
              <w:rPr>
                <w:vertAlign w:val="superscript"/>
              </w:rPr>
              <w:t>2</w:t>
            </w:r>
          </w:p>
        </w:tc>
        <w:tc>
          <w:tcPr>
            <w:tcW w:w="695" w:type="dxa"/>
            <w:vAlign w:val="center"/>
          </w:tcPr>
          <w:p w14:paraId="61CBA7E3" w14:textId="7EF46560"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73"/>
                <w14:textFill>
                  <w14:solidFill>
                    <w14:srgbClr w14:val="000000">
                      <w14:alpha w14:val="100000"/>
                    </w14:srgbClr>
                  </w14:solidFill>
                </w14:textFill>
              </w:rPr>
              <w:t>|</w:t>
            </w:r>
            <w:r w:rsidRPr="005F522F">
              <w:rPr>
                <w:color w:val="000000"/>
                <w:spacing w:val="1"/>
                <w:shd w:val="solid" w:color="000000" w:fill="000000"/>
                <w:fitText w:val="200" w:id="-893196273"/>
                <w14:textFill>
                  <w14:solidFill>
                    <w14:srgbClr w14:val="000000">
                      <w14:alpha w14:val="100000"/>
                    </w14:srgbClr>
                  </w14:solidFill>
                </w14:textFill>
              </w:rPr>
              <w:t>|</w:t>
            </w:r>
            <w:r w:rsidR="00AB0A41">
              <w:rPr>
                <w:vertAlign w:val="superscript"/>
              </w:rPr>
              <w:t>2</w:t>
            </w:r>
          </w:p>
        </w:tc>
        <w:tc>
          <w:tcPr>
            <w:tcW w:w="755" w:type="dxa"/>
            <w:vAlign w:val="center"/>
          </w:tcPr>
          <w:p w14:paraId="5CF499C9" w14:textId="225D48AF" w:rsidR="005D15C1" w:rsidRPr="005F522F" w:rsidRDefault="005F522F" w:rsidP="003A0777">
            <w:pPr>
              <w:pStyle w:val="Tabletext"/>
              <w:keepNext/>
              <w:keepLines/>
              <w:spacing w:before="0" w:after="0"/>
              <w:jc w:val="center"/>
              <w:rPr>
                <w:color w:val="000000"/>
                <w:highlight w:val="darkGray"/>
              </w:rPr>
            </w:pPr>
            <w:r w:rsidRPr="005F522F">
              <w:rPr>
                <w:color w:val="000000"/>
                <w:spacing w:val="46"/>
                <w:shd w:val="solid" w:color="000000" w:fill="000000"/>
                <w:fitText w:val="310" w:id="-893196272"/>
                <w14:textFill>
                  <w14:solidFill>
                    <w14:srgbClr w14:val="000000">
                      <w14:alpha w14:val="100000"/>
                    </w14:srgbClr>
                  </w14:solidFill>
                </w14:textFill>
              </w:rPr>
              <w:t>|||</w:t>
            </w:r>
            <w:r w:rsidRPr="005F522F">
              <w:rPr>
                <w:color w:val="000000"/>
                <w:spacing w:val="2"/>
                <w:shd w:val="solid" w:color="000000" w:fill="000000"/>
                <w:fitText w:val="310" w:id="-893196272"/>
                <w14:textFill>
                  <w14:solidFill>
                    <w14:srgbClr w14:val="000000">
                      <w14:alpha w14:val="100000"/>
                    </w14:srgbClr>
                  </w14:solidFill>
                </w14:textFill>
              </w:rPr>
              <w:t>|</w:t>
            </w:r>
            <w:r w:rsidR="00AB0A41">
              <w:rPr>
                <w:vertAlign w:val="superscript"/>
              </w:rPr>
              <w:t>2</w:t>
            </w:r>
          </w:p>
        </w:tc>
      </w:tr>
      <w:tr w:rsidR="005C07A9" w:rsidRPr="005464FA" w14:paraId="38538E2A" w14:textId="77777777" w:rsidTr="00C82FF1">
        <w:tc>
          <w:tcPr>
            <w:tcW w:w="4650" w:type="dxa"/>
          </w:tcPr>
          <w:p w14:paraId="16E7F111" w14:textId="7C2B962D" w:rsidR="005D15C1" w:rsidRPr="005464FA" w:rsidRDefault="005D15C1" w:rsidP="003A0777">
            <w:pPr>
              <w:pStyle w:val="Tabletext"/>
              <w:keepNext/>
              <w:keepLines/>
              <w:spacing w:before="0" w:after="0"/>
              <w:rPr>
                <w:b/>
                <w:bCs/>
              </w:rPr>
            </w:pPr>
            <w:r w:rsidRPr="005464FA">
              <w:rPr>
                <w:b/>
                <w:bCs/>
              </w:rPr>
              <w:t xml:space="preserve">Total new </w:t>
            </w:r>
            <w:r w:rsidR="009F5B43" w:rsidRPr="005464FA">
              <w:rPr>
                <w:b/>
                <w:bCs/>
                <w:i/>
                <w:iCs/>
              </w:rPr>
              <w:t>BRCA</w:t>
            </w:r>
            <w:r w:rsidRPr="005464FA">
              <w:rPr>
                <w:b/>
                <w:bCs/>
              </w:rPr>
              <w:t xml:space="preserve"> tests</w:t>
            </w:r>
          </w:p>
        </w:tc>
        <w:tc>
          <w:tcPr>
            <w:tcW w:w="695" w:type="dxa"/>
            <w:vAlign w:val="center"/>
          </w:tcPr>
          <w:p w14:paraId="5B17C6BB" w14:textId="1EE902E1" w:rsidR="005D15C1" w:rsidRPr="005F522F" w:rsidRDefault="005F522F" w:rsidP="003A0777">
            <w:pPr>
              <w:pStyle w:val="Tabletext"/>
              <w:keepNext/>
              <w:keepLines/>
              <w:spacing w:before="0" w:after="0"/>
              <w:jc w:val="center"/>
              <w:rPr>
                <w:b/>
                <w:bCs/>
                <w:color w:val="000000"/>
                <w:highlight w:val="darkGray"/>
              </w:rPr>
            </w:pPr>
            <w:r w:rsidRPr="005F522F">
              <w:rPr>
                <w:b/>
                <w:bCs/>
                <w:color w:val="000000"/>
                <w:spacing w:val="46"/>
                <w:shd w:val="solid" w:color="000000" w:fill="000000"/>
                <w:fitText w:val="230" w:id="-893196288"/>
                <w14:textFill>
                  <w14:solidFill>
                    <w14:srgbClr w14:val="000000">
                      <w14:alpha w14:val="100000"/>
                    </w14:srgbClr>
                  </w14:solidFill>
                </w14:textFill>
              </w:rPr>
              <w:t>||</w:t>
            </w:r>
            <w:r w:rsidRPr="005F522F">
              <w:rPr>
                <w:b/>
                <w:bCs/>
                <w:color w:val="000000"/>
                <w:spacing w:val="1"/>
                <w:shd w:val="solid" w:color="000000" w:fill="000000"/>
                <w:fitText w:val="230" w:id="-893196288"/>
                <w14:textFill>
                  <w14:solidFill>
                    <w14:srgbClr w14:val="000000">
                      <w14:alpha w14:val="100000"/>
                    </w14:srgbClr>
                  </w14:solidFill>
                </w14:textFill>
              </w:rPr>
              <w:t>|</w:t>
            </w:r>
            <w:r w:rsidR="00AB0A41">
              <w:rPr>
                <w:vertAlign w:val="superscript"/>
              </w:rPr>
              <w:t>2</w:t>
            </w:r>
          </w:p>
        </w:tc>
        <w:tc>
          <w:tcPr>
            <w:tcW w:w="832" w:type="dxa"/>
            <w:vAlign w:val="center"/>
          </w:tcPr>
          <w:p w14:paraId="3A2FDE8F" w14:textId="0387C19B" w:rsidR="005D15C1" w:rsidRPr="005F522F" w:rsidRDefault="005F522F" w:rsidP="003A0777">
            <w:pPr>
              <w:pStyle w:val="Tabletext"/>
              <w:keepNext/>
              <w:keepLines/>
              <w:spacing w:before="0" w:after="0"/>
              <w:jc w:val="center"/>
              <w:rPr>
                <w:b/>
                <w:bCs/>
                <w:color w:val="000000"/>
                <w:highlight w:val="darkGray"/>
              </w:rPr>
            </w:pPr>
            <w:r w:rsidRPr="005F522F">
              <w:rPr>
                <w:b/>
                <w:bCs/>
                <w:color w:val="000000"/>
                <w:spacing w:val="45"/>
                <w:shd w:val="solid" w:color="000000" w:fill="000000"/>
                <w:fitText w:val="320" w:id="-893196287"/>
                <w14:textFill>
                  <w14:solidFill>
                    <w14:srgbClr w14:val="000000">
                      <w14:alpha w14:val="100000"/>
                    </w14:srgbClr>
                  </w14:solidFill>
                </w14:textFill>
              </w:rPr>
              <w:t>|||</w:t>
            </w:r>
            <w:r w:rsidRPr="005F522F">
              <w:rPr>
                <w:b/>
                <w:bCs/>
                <w:color w:val="000000"/>
                <w:spacing w:val="2"/>
                <w:shd w:val="solid" w:color="000000" w:fill="000000"/>
                <w:fitText w:val="320" w:id="-893196287"/>
                <w14:textFill>
                  <w14:solidFill>
                    <w14:srgbClr w14:val="000000">
                      <w14:alpha w14:val="100000"/>
                    </w14:srgbClr>
                  </w14:solidFill>
                </w14:textFill>
              </w:rPr>
              <w:t>|</w:t>
            </w:r>
            <w:r w:rsidR="00AB0A41">
              <w:rPr>
                <w:vertAlign w:val="superscript"/>
              </w:rPr>
              <w:t>2</w:t>
            </w:r>
          </w:p>
        </w:tc>
        <w:tc>
          <w:tcPr>
            <w:tcW w:w="695" w:type="dxa"/>
            <w:vAlign w:val="center"/>
          </w:tcPr>
          <w:p w14:paraId="5979D9A2" w14:textId="62C62A75" w:rsidR="005D15C1" w:rsidRPr="005F522F" w:rsidRDefault="005F522F" w:rsidP="003A0777">
            <w:pPr>
              <w:pStyle w:val="Tabletext"/>
              <w:keepNext/>
              <w:keepLines/>
              <w:spacing w:before="0" w:after="0"/>
              <w:jc w:val="center"/>
              <w:rPr>
                <w:b/>
                <w:bCs/>
                <w:color w:val="000000"/>
                <w:highlight w:val="darkGray"/>
              </w:rPr>
            </w:pPr>
            <w:r w:rsidRPr="005F522F">
              <w:rPr>
                <w:b/>
                <w:bCs/>
                <w:color w:val="000000"/>
                <w:spacing w:val="46"/>
                <w:shd w:val="solid" w:color="000000" w:fill="000000"/>
                <w:fitText w:val="230" w:id="-893196286"/>
                <w14:textFill>
                  <w14:solidFill>
                    <w14:srgbClr w14:val="000000">
                      <w14:alpha w14:val="100000"/>
                    </w14:srgbClr>
                  </w14:solidFill>
                </w14:textFill>
              </w:rPr>
              <w:t>||</w:t>
            </w:r>
            <w:r w:rsidRPr="005F522F">
              <w:rPr>
                <w:b/>
                <w:bCs/>
                <w:color w:val="000000"/>
                <w:spacing w:val="1"/>
                <w:shd w:val="solid" w:color="000000" w:fill="000000"/>
                <w:fitText w:val="230" w:id="-893196286"/>
                <w14:textFill>
                  <w14:solidFill>
                    <w14:srgbClr w14:val="000000">
                      <w14:alpha w14:val="100000"/>
                    </w14:srgbClr>
                  </w14:solidFill>
                </w14:textFill>
              </w:rPr>
              <w:t>|</w:t>
            </w:r>
            <w:r w:rsidR="00AB0A41">
              <w:rPr>
                <w:vertAlign w:val="superscript"/>
              </w:rPr>
              <w:t>2</w:t>
            </w:r>
          </w:p>
        </w:tc>
        <w:tc>
          <w:tcPr>
            <w:tcW w:w="695" w:type="dxa"/>
            <w:vAlign w:val="center"/>
          </w:tcPr>
          <w:p w14:paraId="329EF2D8" w14:textId="0BD836D0" w:rsidR="005D15C1" w:rsidRPr="005F522F" w:rsidRDefault="005F522F" w:rsidP="003A0777">
            <w:pPr>
              <w:pStyle w:val="Tabletext"/>
              <w:keepNext/>
              <w:keepLines/>
              <w:spacing w:before="0" w:after="0"/>
              <w:jc w:val="center"/>
              <w:rPr>
                <w:b/>
                <w:bCs/>
                <w:color w:val="000000"/>
                <w:highlight w:val="darkGray"/>
              </w:rPr>
            </w:pPr>
            <w:r w:rsidRPr="005F522F">
              <w:rPr>
                <w:b/>
                <w:bCs/>
                <w:color w:val="000000"/>
                <w:spacing w:val="46"/>
                <w:shd w:val="solid" w:color="000000" w:fill="000000"/>
                <w:fitText w:val="230" w:id="-893196285"/>
                <w14:textFill>
                  <w14:solidFill>
                    <w14:srgbClr w14:val="000000">
                      <w14:alpha w14:val="100000"/>
                    </w14:srgbClr>
                  </w14:solidFill>
                </w14:textFill>
              </w:rPr>
              <w:t>||</w:t>
            </w:r>
            <w:r w:rsidRPr="005F522F">
              <w:rPr>
                <w:b/>
                <w:bCs/>
                <w:color w:val="000000"/>
                <w:spacing w:val="1"/>
                <w:shd w:val="solid" w:color="000000" w:fill="000000"/>
                <w:fitText w:val="230" w:id="-893196285"/>
                <w14:textFill>
                  <w14:solidFill>
                    <w14:srgbClr w14:val="000000">
                      <w14:alpha w14:val="100000"/>
                    </w14:srgbClr>
                  </w14:solidFill>
                </w14:textFill>
              </w:rPr>
              <w:t>|</w:t>
            </w:r>
            <w:r w:rsidR="00AB0A41">
              <w:rPr>
                <w:vertAlign w:val="superscript"/>
              </w:rPr>
              <w:t>2</w:t>
            </w:r>
          </w:p>
        </w:tc>
        <w:tc>
          <w:tcPr>
            <w:tcW w:w="695" w:type="dxa"/>
            <w:vAlign w:val="center"/>
          </w:tcPr>
          <w:p w14:paraId="16D71DE4" w14:textId="4D2751A5" w:rsidR="005D15C1" w:rsidRPr="005F522F" w:rsidRDefault="005F522F" w:rsidP="003A0777">
            <w:pPr>
              <w:pStyle w:val="Tabletext"/>
              <w:keepNext/>
              <w:keepLines/>
              <w:spacing w:before="0" w:after="0"/>
              <w:jc w:val="center"/>
              <w:rPr>
                <w:b/>
                <w:bCs/>
                <w:color w:val="000000"/>
                <w:highlight w:val="darkGray"/>
              </w:rPr>
            </w:pPr>
            <w:r w:rsidRPr="005F522F">
              <w:rPr>
                <w:b/>
                <w:bCs/>
                <w:color w:val="000000"/>
                <w:spacing w:val="46"/>
                <w:shd w:val="solid" w:color="000000" w:fill="000000"/>
                <w:fitText w:val="230" w:id="-893196284"/>
                <w14:textFill>
                  <w14:solidFill>
                    <w14:srgbClr w14:val="000000">
                      <w14:alpha w14:val="100000"/>
                    </w14:srgbClr>
                  </w14:solidFill>
                </w14:textFill>
              </w:rPr>
              <w:t>||</w:t>
            </w:r>
            <w:r w:rsidRPr="005F522F">
              <w:rPr>
                <w:b/>
                <w:bCs/>
                <w:color w:val="000000"/>
                <w:spacing w:val="1"/>
                <w:shd w:val="solid" w:color="000000" w:fill="000000"/>
                <w:fitText w:val="230" w:id="-893196284"/>
                <w14:textFill>
                  <w14:solidFill>
                    <w14:srgbClr w14:val="000000">
                      <w14:alpha w14:val="100000"/>
                    </w14:srgbClr>
                  </w14:solidFill>
                </w14:textFill>
              </w:rPr>
              <w:t>|</w:t>
            </w:r>
            <w:r w:rsidR="00AB0A41">
              <w:rPr>
                <w:vertAlign w:val="superscript"/>
              </w:rPr>
              <w:t>2</w:t>
            </w:r>
          </w:p>
        </w:tc>
        <w:tc>
          <w:tcPr>
            <w:tcW w:w="755" w:type="dxa"/>
            <w:vAlign w:val="center"/>
          </w:tcPr>
          <w:p w14:paraId="55A26A00" w14:textId="14997417" w:rsidR="005D15C1" w:rsidRPr="005F522F" w:rsidRDefault="005F522F" w:rsidP="003A0777">
            <w:pPr>
              <w:pStyle w:val="Tabletext"/>
              <w:keepNext/>
              <w:keepLines/>
              <w:spacing w:before="0" w:after="0"/>
              <w:jc w:val="center"/>
              <w:rPr>
                <w:b/>
                <w:bCs/>
                <w:color w:val="000000"/>
                <w:highlight w:val="darkGray"/>
              </w:rPr>
            </w:pPr>
            <w:r w:rsidRPr="005F522F">
              <w:rPr>
                <w:b/>
                <w:bCs/>
                <w:color w:val="000000"/>
                <w:spacing w:val="55"/>
                <w:shd w:val="solid" w:color="000000" w:fill="000000"/>
                <w:fitText w:val="350" w:id="-893196283"/>
                <w14:textFill>
                  <w14:solidFill>
                    <w14:srgbClr w14:val="000000">
                      <w14:alpha w14:val="100000"/>
                    </w14:srgbClr>
                  </w14:solidFill>
                </w14:textFill>
              </w:rPr>
              <w:t>|||</w:t>
            </w:r>
            <w:r w:rsidRPr="005F522F">
              <w:rPr>
                <w:b/>
                <w:bCs/>
                <w:color w:val="000000"/>
                <w:spacing w:val="2"/>
                <w:shd w:val="solid" w:color="000000" w:fill="000000"/>
                <w:fitText w:val="350" w:id="-893196283"/>
                <w14:textFill>
                  <w14:solidFill>
                    <w14:srgbClr w14:val="000000">
                      <w14:alpha w14:val="100000"/>
                    </w14:srgbClr>
                  </w14:solidFill>
                </w14:textFill>
              </w:rPr>
              <w:t>|</w:t>
            </w:r>
            <w:r w:rsidR="00AB0A41">
              <w:rPr>
                <w:vertAlign w:val="superscript"/>
              </w:rPr>
              <w:t>2</w:t>
            </w:r>
          </w:p>
        </w:tc>
      </w:tr>
      <w:tr w:rsidR="005C07A9" w:rsidRPr="005464FA" w14:paraId="51B500FB" w14:textId="77777777" w:rsidTr="00C82FF1">
        <w:tc>
          <w:tcPr>
            <w:tcW w:w="4650" w:type="dxa"/>
          </w:tcPr>
          <w:p w14:paraId="13B5232F" w14:textId="77777777" w:rsidR="005D15C1" w:rsidRPr="005464FA" w:rsidRDefault="005D15C1" w:rsidP="003A0777">
            <w:pPr>
              <w:pStyle w:val="Tabletext"/>
              <w:keepNext/>
              <w:keepLines/>
              <w:spacing w:before="0" w:after="0"/>
            </w:pPr>
            <w:r w:rsidRPr="005464FA">
              <w:t>De novo patients only</w:t>
            </w:r>
          </w:p>
        </w:tc>
        <w:tc>
          <w:tcPr>
            <w:tcW w:w="695" w:type="dxa"/>
            <w:vAlign w:val="center"/>
          </w:tcPr>
          <w:p w14:paraId="2713776D" w14:textId="67F874BD"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82"/>
                <w14:textFill>
                  <w14:solidFill>
                    <w14:srgbClr w14:val="000000">
                      <w14:alpha w14:val="100000"/>
                    </w14:srgbClr>
                  </w14:solidFill>
                </w14:textFill>
              </w:rPr>
              <w:t>|</w:t>
            </w:r>
            <w:r w:rsidRPr="005F522F">
              <w:rPr>
                <w:color w:val="000000"/>
                <w:spacing w:val="1"/>
                <w:shd w:val="solid" w:color="000000" w:fill="000000"/>
                <w:fitText w:val="200" w:id="-893196282"/>
                <w14:textFill>
                  <w14:solidFill>
                    <w14:srgbClr w14:val="000000">
                      <w14:alpha w14:val="100000"/>
                    </w14:srgbClr>
                  </w14:solidFill>
                </w14:textFill>
              </w:rPr>
              <w:t>|</w:t>
            </w:r>
            <w:r w:rsidR="00AB0A41">
              <w:rPr>
                <w:vertAlign w:val="superscript"/>
              </w:rPr>
              <w:t>2</w:t>
            </w:r>
          </w:p>
        </w:tc>
        <w:tc>
          <w:tcPr>
            <w:tcW w:w="832" w:type="dxa"/>
            <w:vAlign w:val="center"/>
          </w:tcPr>
          <w:p w14:paraId="30D950AA" w14:textId="70383A48" w:rsidR="005D15C1" w:rsidRPr="005F522F" w:rsidRDefault="005F522F" w:rsidP="003A0777">
            <w:pPr>
              <w:pStyle w:val="Tabletext"/>
              <w:keepNext/>
              <w:keepLines/>
              <w:spacing w:before="0" w:after="0"/>
              <w:jc w:val="center"/>
              <w:rPr>
                <w:color w:val="000000"/>
                <w:highlight w:val="darkGray"/>
              </w:rPr>
            </w:pPr>
            <w:r w:rsidRPr="005F522F">
              <w:rPr>
                <w:color w:val="000000"/>
                <w:spacing w:val="184"/>
                <w:shd w:val="solid" w:color="000000" w:fill="000000"/>
                <w:fitText w:val="270" w:id="-893196281"/>
                <w14:textFill>
                  <w14:solidFill>
                    <w14:srgbClr w14:val="000000">
                      <w14:alpha w14:val="100000"/>
                    </w14:srgbClr>
                  </w14:solidFill>
                </w14:textFill>
              </w:rPr>
              <w:t>|</w:t>
            </w:r>
            <w:r w:rsidRPr="005F522F">
              <w:rPr>
                <w:color w:val="000000"/>
                <w:spacing w:val="1"/>
                <w:shd w:val="solid" w:color="000000" w:fill="000000"/>
                <w:fitText w:val="270" w:id="-893196281"/>
                <w14:textFill>
                  <w14:solidFill>
                    <w14:srgbClr w14:val="000000">
                      <w14:alpha w14:val="100000"/>
                    </w14:srgbClr>
                  </w14:solidFill>
                </w14:textFill>
              </w:rPr>
              <w:t>|</w:t>
            </w:r>
            <w:r w:rsidR="00AB0A41">
              <w:rPr>
                <w:vertAlign w:val="superscript"/>
              </w:rPr>
              <w:t>2</w:t>
            </w:r>
          </w:p>
        </w:tc>
        <w:tc>
          <w:tcPr>
            <w:tcW w:w="695" w:type="dxa"/>
            <w:vAlign w:val="center"/>
          </w:tcPr>
          <w:p w14:paraId="1BF848DA" w14:textId="56C72171"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80"/>
                <w14:textFill>
                  <w14:solidFill>
                    <w14:srgbClr w14:val="000000">
                      <w14:alpha w14:val="100000"/>
                    </w14:srgbClr>
                  </w14:solidFill>
                </w14:textFill>
              </w:rPr>
              <w:t>|</w:t>
            </w:r>
            <w:r w:rsidRPr="005F522F">
              <w:rPr>
                <w:color w:val="000000"/>
                <w:spacing w:val="1"/>
                <w:shd w:val="solid" w:color="000000" w:fill="000000"/>
                <w:fitText w:val="200" w:id="-893196280"/>
                <w14:textFill>
                  <w14:solidFill>
                    <w14:srgbClr w14:val="000000">
                      <w14:alpha w14:val="100000"/>
                    </w14:srgbClr>
                  </w14:solidFill>
                </w14:textFill>
              </w:rPr>
              <w:t>|</w:t>
            </w:r>
            <w:r w:rsidR="00AB0A41">
              <w:rPr>
                <w:vertAlign w:val="superscript"/>
              </w:rPr>
              <w:t>2</w:t>
            </w:r>
          </w:p>
        </w:tc>
        <w:tc>
          <w:tcPr>
            <w:tcW w:w="695" w:type="dxa"/>
            <w:vAlign w:val="center"/>
          </w:tcPr>
          <w:p w14:paraId="1F0F846D" w14:textId="6D8226BD"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79"/>
                <w14:textFill>
                  <w14:solidFill>
                    <w14:srgbClr w14:val="000000">
                      <w14:alpha w14:val="100000"/>
                    </w14:srgbClr>
                  </w14:solidFill>
                </w14:textFill>
              </w:rPr>
              <w:t>|</w:t>
            </w:r>
            <w:r w:rsidRPr="005F522F">
              <w:rPr>
                <w:color w:val="000000"/>
                <w:spacing w:val="1"/>
                <w:shd w:val="solid" w:color="000000" w:fill="000000"/>
                <w:fitText w:val="200" w:id="-893196279"/>
                <w14:textFill>
                  <w14:solidFill>
                    <w14:srgbClr w14:val="000000">
                      <w14:alpha w14:val="100000"/>
                    </w14:srgbClr>
                  </w14:solidFill>
                </w14:textFill>
              </w:rPr>
              <w:t>|</w:t>
            </w:r>
            <w:r w:rsidR="00AB0A41">
              <w:rPr>
                <w:vertAlign w:val="superscript"/>
              </w:rPr>
              <w:t>2</w:t>
            </w:r>
          </w:p>
        </w:tc>
        <w:tc>
          <w:tcPr>
            <w:tcW w:w="695" w:type="dxa"/>
            <w:vAlign w:val="center"/>
          </w:tcPr>
          <w:p w14:paraId="31580A0A" w14:textId="03644298" w:rsidR="005D15C1" w:rsidRPr="005F522F" w:rsidRDefault="005F522F" w:rsidP="003A0777">
            <w:pPr>
              <w:pStyle w:val="Tabletext"/>
              <w:keepNext/>
              <w:keepLines/>
              <w:spacing w:before="0" w:after="0"/>
              <w:jc w:val="center"/>
              <w:rPr>
                <w:color w:val="000000"/>
                <w:highlight w:val="darkGray"/>
              </w:rPr>
            </w:pPr>
            <w:r w:rsidRPr="005F522F">
              <w:rPr>
                <w:color w:val="000000"/>
                <w:spacing w:val="114"/>
                <w:shd w:val="solid" w:color="000000" w:fill="000000"/>
                <w:fitText w:val="200" w:id="-893196278"/>
                <w14:textFill>
                  <w14:solidFill>
                    <w14:srgbClr w14:val="000000">
                      <w14:alpha w14:val="100000"/>
                    </w14:srgbClr>
                  </w14:solidFill>
                </w14:textFill>
              </w:rPr>
              <w:t>|</w:t>
            </w:r>
            <w:r w:rsidRPr="005F522F">
              <w:rPr>
                <w:color w:val="000000"/>
                <w:spacing w:val="1"/>
                <w:shd w:val="solid" w:color="000000" w:fill="000000"/>
                <w:fitText w:val="200" w:id="-893196278"/>
                <w14:textFill>
                  <w14:solidFill>
                    <w14:srgbClr w14:val="000000">
                      <w14:alpha w14:val="100000"/>
                    </w14:srgbClr>
                  </w14:solidFill>
                </w14:textFill>
              </w:rPr>
              <w:t>|</w:t>
            </w:r>
            <w:r w:rsidR="00AB0A41">
              <w:rPr>
                <w:vertAlign w:val="superscript"/>
              </w:rPr>
              <w:t>2</w:t>
            </w:r>
          </w:p>
        </w:tc>
        <w:tc>
          <w:tcPr>
            <w:tcW w:w="755" w:type="dxa"/>
            <w:vAlign w:val="center"/>
          </w:tcPr>
          <w:p w14:paraId="1985DD34" w14:textId="1333A4AF" w:rsidR="005D15C1" w:rsidRPr="005F522F" w:rsidRDefault="005F522F" w:rsidP="003A0777">
            <w:pPr>
              <w:pStyle w:val="Tabletext"/>
              <w:keepNext/>
              <w:keepLines/>
              <w:spacing w:before="0" w:after="0"/>
              <w:jc w:val="center"/>
              <w:rPr>
                <w:color w:val="000000"/>
                <w:highlight w:val="darkGray"/>
              </w:rPr>
            </w:pPr>
            <w:r w:rsidRPr="005F522F">
              <w:rPr>
                <w:color w:val="000000"/>
                <w:spacing w:val="46"/>
                <w:shd w:val="solid" w:color="000000" w:fill="000000"/>
                <w:fitText w:val="310" w:id="-893196277"/>
                <w14:textFill>
                  <w14:solidFill>
                    <w14:srgbClr w14:val="000000">
                      <w14:alpha w14:val="100000"/>
                    </w14:srgbClr>
                  </w14:solidFill>
                </w14:textFill>
              </w:rPr>
              <w:t>|||</w:t>
            </w:r>
            <w:r w:rsidRPr="005F522F">
              <w:rPr>
                <w:color w:val="000000"/>
                <w:spacing w:val="2"/>
                <w:shd w:val="solid" w:color="000000" w:fill="000000"/>
                <w:fitText w:val="310" w:id="-893196277"/>
                <w14:textFill>
                  <w14:solidFill>
                    <w14:srgbClr w14:val="000000">
                      <w14:alpha w14:val="100000"/>
                    </w14:srgbClr>
                  </w14:solidFill>
                </w14:textFill>
              </w:rPr>
              <w:t>|</w:t>
            </w:r>
            <w:r w:rsidR="00AB0A41">
              <w:rPr>
                <w:vertAlign w:val="superscript"/>
              </w:rPr>
              <w:t>2</w:t>
            </w:r>
          </w:p>
        </w:tc>
      </w:tr>
    </w:tbl>
    <w:p w14:paraId="3FD7380D" w14:textId="77777777" w:rsidR="005D15C1" w:rsidRPr="005464FA" w:rsidRDefault="005D15C1" w:rsidP="005D15C1">
      <w:pPr>
        <w:pStyle w:val="FooterTableFigure"/>
        <w:keepNext/>
        <w:keepLines/>
      </w:pPr>
      <w:r w:rsidRPr="005464FA">
        <w:t xml:space="preserve"> Source: Table 4.22 and 4.23, pp171-172 of the submission and attached financial spreadsheet. </w:t>
      </w:r>
    </w:p>
    <w:p w14:paraId="661BDC7A" w14:textId="00E9D070" w:rsidR="005D15C1" w:rsidRDefault="005D15C1" w:rsidP="005F522F">
      <w:pPr>
        <w:pStyle w:val="FooterTableFigure"/>
        <w:keepNext/>
        <w:keepLines/>
        <w:spacing w:after="0"/>
      </w:pPr>
      <w:r w:rsidRPr="005464FA">
        <w:t>HR+ = hormone receptor positive; TNBC = triple negative breast cancer</w:t>
      </w:r>
    </w:p>
    <w:p w14:paraId="63A58481" w14:textId="77777777" w:rsidR="006E09AE" w:rsidRPr="009A6D58" w:rsidRDefault="006E09AE" w:rsidP="005F522F">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FD92F37" w14:textId="5B82E123" w:rsidR="006E09AE" w:rsidRPr="009A6D58" w:rsidRDefault="006E09AE" w:rsidP="005F522F">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7BABC22D" w14:textId="2DC31EDB" w:rsidR="006E09AE" w:rsidRPr="005F522F" w:rsidRDefault="006E09AE" w:rsidP="005F522F">
      <w:pPr>
        <w:spacing w:after="120"/>
        <w:rPr>
          <w:i/>
          <w:szCs w:val="18"/>
        </w:rPr>
      </w:pPr>
      <w:r w:rsidRPr="009A6D58">
        <w:rPr>
          <w:rFonts w:ascii="Arial Narrow" w:hAnsi="Arial Narrow"/>
          <w:i/>
          <w:sz w:val="18"/>
          <w:szCs w:val="18"/>
          <w:vertAlign w:val="superscript"/>
        </w:rPr>
        <w:t>2</w:t>
      </w:r>
      <w:r>
        <w:rPr>
          <w:rFonts w:ascii="Arial Narrow" w:hAnsi="Arial Narrow"/>
          <w:i/>
          <w:sz w:val="18"/>
          <w:szCs w:val="18"/>
        </w:rPr>
        <w:t xml:space="preserve"> 500 to &lt; 5,000</w:t>
      </w:r>
    </w:p>
    <w:p w14:paraId="39AE76C1" w14:textId="26E10DF9" w:rsidR="005D15C1" w:rsidRPr="005464FA" w:rsidRDefault="005D15C1" w:rsidP="005D15C1">
      <w:pPr>
        <w:pStyle w:val="3-BodyText"/>
        <w:rPr>
          <w:i/>
          <w:iCs/>
          <w:color w:val="000000" w:themeColor="text1"/>
        </w:rPr>
      </w:pPr>
      <w:r w:rsidRPr="005464FA">
        <w:rPr>
          <w:color w:val="000000" w:themeColor="text1"/>
        </w:rPr>
        <w:t xml:space="preserve">The submission assumed a test cost of $1,200 based on Item 73295 for germline </w:t>
      </w:r>
      <w:r w:rsidR="009F5B43" w:rsidRPr="005464FA">
        <w:rPr>
          <w:i/>
          <w:iCs/>
          <w:color w:val="000000" w:themeColor="text1"/>
        </w:rPr>
        <w:t>BRCA</w:t>
      </w:r>
      <w:r w:rsidRPr="005464FA">
        <w:rPr>
          <w:color w:val="000000" w:themeColor="text1"/>
        </w:rPr>
        <w:t xml:space="preserve"> mutation test and applied a</w:t>
      </w:r>
      <w:r w:rsidR="00FD3A0B" w:rsidRPr="005464FA">
        <w:rPr>
          <w:color w:val="000000" w:themeColor="text1"/>
        </w:rPr>
        <w:t>n</w:t>
      </w:r>
      <w:r w:rsidRPr="005464FA">
        <w:rPr>
          <w:color w:val="000000" w:themeColor="text1"/>
        </w:rPr>
        <w:t xml:space="preserve"> MBS rebate of 80%. </w:t>
      </w:r>
    </w:p>
    <w:p w14:paraId="3CC5FFF1" w14:textId="2E113FE7" w:rsidR="000D5E52" w:rsidRPr="005464FA" w:rsidRDefault="00A1135A" w:rsidP="000D5E52">
      <w:pPr>
        <w:pStyle w:val="3-BodyText"/>
        <w:rPr>
          <w:color w:val="000000" w:themeColor="text1"/>
        </w:rPr>
      </w:pPr>
      <w:r w:rsidRPr="005464FA">
        <w:rPr>
          <w:color w:val="000000" w:themeColor="text1"/>
        </w:rPr>
        <w:fldChar w:fldCharType="begin" w:fldLock="1"/>
      </w:r>
      <w:r w:rsidRPr="005464FA">
        <w:rPr>
          <w:color w:val="000000" w:themeColor="text1"/>
        </w:rPr>
        <w:instrText xml:space="preserve"> REF _Ref104805295 \h  \* MERGEFORMAT </w:instrText>
      </w:r>
      <w:r w:rsidRPr="005464FA">
        <w:rPr>
          <w:color w:val="000000" w:themeColor="text1"/>
        </w:rPr>
      </w:r>
      <w:r w:rsidRPr="005464FA">
        <w:rPr>
          <w:color w:val="000000" w:themeColor="text1"/>
        </w:rPr>
        <w:fldChar w:fldCharType="separate"/>
      </w:r>
      <w:r w:rsidR="00122E11" w:rsidRPr="005464FA">
        <w:rPr>
          <w:color w:val="000000" w:themeColor="text1"/>
        </w:rPr>
        <w:t>Table 19</w:t>
      </w:r>
      <w:r w:rsidRPr="005464FA">
        <w:rPr>
          <w:color w:val="000000" w:themeColor="text1"/>
        </w:rPr>
        <w:fldChar w:fldCharType="end"/>
      </w:r>
      <w:r w:rsidR="000D5E52" w:rsidRPr="005464FA">
        <w:rPr>
          <w:color w:val="000000" w:themeColor="text1"/>
        </w:rPr>
        <w:t xml:space="preserve"> presents the estimated use and financial implications in the submission. During the evaluation, two errors were identified. First, the submission financial spreadsheet assumed no usage of olaparib in HR+ de novo patients. Second, </w:t>
      </w:r>
      <w:r w:rsidR="000D5E52" w:rsidRPr="005464FA">
        <w:t xml:space="preserve">Cell H111 of the 2d. Patients DTG worksheet included the word “remove” instead of the </w:t>
      </w:r>
      <w:r w:rsidR="000D5E52" w:rsidRPr="005464FA">
        <w:lastRenderedPageBreak/>
        <w:t xml:space="preserve">appropriate number [3] in the cell. </w:t>
      </w:r>
      <w:proofErr w:type="gramStart"/>
      <w:r w:rsidR="000D5E52" w:rsidRPr="005464FA">
        <w:t>Both of these</w:t>
      </w:r>
      <w:proofErr w:type="gramEnd"/>
      <w:r w:rsidR="000D5E52" w:rsidRPr="005464FA">
        <w:t xml:space="preserve"> errors were addressed and corrected results are presented below. </w:t>
      </w:r>
    </w:p>
    <w:p w14:paraId="34105EC6" w14:textId="6CDDAF2F" w:rsidR="00A1135A" w:rsidRPr="005464FA" w:rsidRDefault="00A1135A" w:rsidP="001A5EF0">
      <w:pPr>
        <w:pStyle w:val="Caption"/>
      </w:pPr>
      <w:bookmarkStart w:id="99" w:name="_Ref104805295"/>
      <w:r w:rsidRPr="005464FA">
        <w:t xml:space="preserve">Table </w:t>
      </w:r>
      <w:r w:rsidR="00935AC4" w:rsidRPr="005464FA">
        <w:fldChar w:fldCharType="begin" w:fldLock="1"/>
      </w:r>
      <w:r w:rsidR="00935AC4" w:rsidRPr="005464FA">
        <w:instrText xml:space="preserve"> SEQ Table \* ARABIC </w:instrText>
      </w:r>
      <w:r w:rsidR="00935AC4" w:rsidRPr="005464FA">
        <w:fldChar w:fldCharType="separate"/>
      </w:r>
      <w:r w:rsidR="00122E11" w:rsidRPr="005464FA">
        <w:t>19</w:t>
      </w:r>
      <w:r w:rsidR="00935AC4" w:rsidRPr="005464FA">
        <w:fldChar w:fldCharType="end"/>
      </w:r>
      <w:bookmarkEnd w:id="99"/>
      <w:r w:rsidRPr="005464FA">
        <w:t>:</w:t>
      </w:r>
      <w:r w:rsidRPr="005464FA">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Estimated use and financial implications"/>
      </w:tblPr>
      <w:tblGrid>
        <w:gridCol w:w="2407"/>
        <w:gridCol w:w="1109"/>
        <w:gridCol w:w="1017"/>
        <w:gridCol w:w="1134"/>
        <w:gridCol w:w="1134"/>
        <w:gridCol w:w="1134"/>
        <w:gridCol w:w="1082"/>
      </w:tblGrid>
      <w:tr w:rsidR="008544B6" w:rsidRPr="005464FA" w14:paraId="0B236CB9" w14:textId="77777777" w:rsidTr="009164BC">
        <w:trPr>
          <w:tblHeader/>
        </w:trPr>
        <w:tc>
          <w:tcPr>
            <w:tcW w:w="1334" w:type="pct"/>
            <w:shd w:val="clear" w:color="auto" w:fill="auto"/>
            <w:vAlign w:val="center"/>
          </w:tcPr>
          <w:p w14:paraId="73109FED" w14:textId="77777777" w:rsidR="00A1135A" w:rsidRPr="005464FA" w:rsidRDefault="00A1135A" w:rsidP="001A5EF0">
            <w:pPr>
              <w:pStyle w:val="In-tableHeading"/>
              <w:jc w:val="center"/>
              <w:rPr>
                <w:szCs w:val="20"/>
                <w:lang w:val="en-AU"/>
              </w:rPr>
            </w:pPr>
          </w:p>
        </w:tc>
        <w:tc>
          <w:tcPr>
            <w:tcW w:w="615" w:type="pct"/>
            <w:shd w:val="clear" w:color="auto" w:fill="auto"/>
            <w:vAlign w:val="center"/>
          </w:tcPr>
          <w:p w14:paraId="5FD44AAC" w14:textId="77777777" w:rsidR="00A1135A" w:rsidRPr="005464FA" w:rsidRDefault="00A1135A" w:rsidP="001A5EF0">
            <w:pPr>
              <w:pStyle w:val="In-tableHeading"/>
              <w:jc w:val="center"/>
              <w:rPr>
                <w:szCs w:val="20"/>
                <w:lang w:val="en-AU"/>
              </w:rPr>
            </w:pPr>
            <w:r w:rsidRPr="005464FA">
              <w:rPr>
                <w:szCs w:val="20"/>
                <w:lang w:val="en-AU"/>
              </w:rPr>
              <w:t>Year 1</w:t>
            </w:r>
          </w:p>
        </w:tc>
        <w:tc>
          <w:tcPr>
            <w:tcW w:w="564" w:type="pct"/>
            <w:shd w:val="clear" w:color="auto" w:fill="auto"/>
            <w:vAlign w:val="center"/>
          </w:tcPr>
          <w:p w14:paraId="6E4180D3" w14:textId="77777777" w:rsidR="00A1135A" w:rsidRPr="005464FA" w:rsidRDefault="00A1135A" w:rsidP="001A5EF0">
            <w:pPr>
              <w:pStyle w:val="In-tableHeading"/>
              <w:jc w:val="center"/>
              <w:rPr>
                <w:szCs w:val="20"/>
                <w:lang w:val="en-AU"/>
              </w:rPr>
            </w:pPr>
            <w:r w:rsidRPr="005464FA">
              <w:rPr>
                <w:szCs w:val="20"/>
                <w:lang w:val="en-AU"/>
              </w:rPr>
              <w:t>Year 2</w:t>
            </w:r>
          </w:p>
        </w:tc>
        <w:tc>
          <w:tcPr>
            <w:tcW w:w="629" w:type="pct"/>
            <w:shd w:val="clear" w:color="auto" w:fill="auto"/>
            <w:vAlign w:val="center"/>
          </w:tcPr>
          <w:p w14:paraId="61F7FE69" w14:textId="77777777" w:rsidR="00A1135A" w:rsidRPr="005464FA" w:rsidRDefault="00A1135A" w:rsidP="001A5EF0">
            <w:pPr>
              <w:pStyle w:val="In-tableHeading"/>
              <w:jc w:val="center"/>
              <w:rPr>
                <w:szCs w:val="20"/>
                <w:lang w:val="en-AU"/>
              </w:rPr>
            </w:pPr>
            <w:r w:rsidRPr="005464FA">
              <w:rPr>
                <w:szCs w:val="20"/>
                <w:lang w:val="en-AU"/>
              </w:rPr>
              <w:t>Year 3</w:t>
            </w:r>
          </w:p>
        </w:tc>
        <w:tc>
          <w:tcPr>
            <w:tcW w:w="629" w:type="pct"/>
            <w:shd w:val="clear" w:color="auto" w:fill="auto"/>
            <w:vAlign w:val="center"/>
          </w:tcPr>
          <w:p w14:paraId="01E7E13C" w14:textId="77777777" w:rsidR="00A1135A" w:rsidRPr="005464FA" w:rsidRDefault="00A1135A" w:rsidP="001A5EF0">
            <w:pPr>
              <w:pStyle w:val="In-tableHeading"/>
              <w:jc w:val="center"/>
              <w:rPr>
                <w:szCs w:val="20"/>
                <w:lang w:val="en-AU"/>
              </w:rPr>
            </w:pPr>
            <w:r w:rsidRPr="005464FA">
              <w:rPr>
                <w:szCs w:val="20"/>
                <w:lang w:val="en-AU"/>
              </w:rPr>
              <w:t>Year 4</w:t>
            </w:r>
          </w:p>
        </w:tc>
        <w:tc>
          <w:tcPr>
            <w:tcW w:w="629" w:type="pct"/>
            <w:shd w:val="clear" w:color="auto" w:fill="auto"/>
            <w:vAlign w:val="center"/>
          </w:tcPr>
          <w:p w14:paraId="37B85B2B" w14:textId="77777777" w:rsidR="00A1135A" w:rsidRPr="005464FA" w:rsidRDefault="00A1135A" w:rsidP="001A5EF0">
            <w:pPr>
              <w:pStyle w:val="In-tableHeading"/>
              <w:jc w:val="center"/>
              <w:rPr>
                <w:szCs w:val="20"/>
                <w:lang w:val="en-AU"/>
              </w:rPr>
            </w:pPr>
            <w:r w:rsidRPr="005464FA">
              <w:rPr>
                <w:szCs w:val="20"/>
                <w:lang w:val="en-AU"/>
              </w:rPr>
              <w:t>Year 5</w:t>
            </w:r>
          </w:p>
        </w:tc>
        <w:tc>
          <w:tcPr>
            <w:tcW w:w="601" w:type="pct"/>
          </w:tcPr>
          <w:p w14:paraId="368E4615" w14:textId="77777777" w:rsidR="00A1135A" w:rsidRPr="005464FA" w:rsidRDefault="00A1135A" w:rsidP="001A5EF0">
            <w:pPr>
              <w:pStyle w:val="In-tableHeading"/>
              <w:jc w:val="center"/>
              <w:rPr>
                <w:szCs w:val="20"/>
                <w:lang w:val="en-AU"/>
              </w:rPr>
            </w:pPr>
            <w:r w:rsidRPr="005464FA">
              <w:rPr>
                <w:szCs w:val="20"/>
                <w:lang w:val="en-AU"/>
              </w:rPr>
              <w:t>Year 6</w:t>
            </w:r>
          </w:p>
        </w:tc>
      </w:tr>
      <w:tr w:rsidR="00A1135A" w:rsidRPr="005464FA" w14:paraId="723EF52F" w14:textId="77777777" w:rsidTr="003A0777">
        <w:tc>
          <w:tcPr>
            <w:tcW w:w="5000" w:type="pct"/>
            <w:gridSpan w:val="7"/>
            <w:shd w:val="clear" w:color="auto" w:fill="auto"/>
            <w:vAlign w:val="center"/>
          </w:tcPr>
          <w:p w14:paraId="690EA78F" w14:textId="39D2E7F5" w:rsidR="00A1135A" w:rsidRPr="005464FA" w:rsidRDefault="00A1135A" w:rsidP="001A5EF0">
            <w:pPr>
              <w:pStyle w:val="In-tableHeading"/>
              <w:rPr>
                <w:bCs/>
                <w:color w:val="000000"/>
                <w:szCs w:val="20"/>
                <w:lang w:val="en-AU"/>
              </w:rPr>
            </w:pPr>
            <w:r w:rsidRPr="005464FA">
              <w:rPr>
                <w:bCs/>
                <w:color w:val="000000"/>
                <w:szCs w:val="20"/>
                <w:lang w:val="en-AU"/>
              </w:rPr>
              <w:t>Estimated extent of use</w:t>
            </w:r>
            <w:r w:rsidR="00BF7F41" w:rsidRPr="005464FA">
              <w:rPr>
                <w:bCs/>
                <w:color w:val="000000"/>
                <w:szCs w:val="20"/>
                <w:lang w:val="en-AU"/>
              </w:rPr>
              <w:t xml:space="preserve"> of olaparib</w:t>
            </w:r>
          </w:p>
        </w:tc>
      </w:tr>
      <w:tr w:rsidR="00026770" w:rsidRPr="005464FA" w14:paraId="16B8E1FA" w14:textId="77777777" w:rsidTr="00026770">
        <w:tc>
          <w:tcPr>
            <w:tcW w:w="5000" w:type="pct"/>
            <w:gridSpan w:val="7"/>
            <w:shd w:val="clear" w:color="auto" w:fill="auto"/>
            <w:vAlign w:val="center"/>
          </w:tcPr>
          <w:p w14:paraId="4D9CE2E2" w14:textId="2C0A38FE" w:rsidR="00026770" w:rsidRPr="005464FA" w:rsidRDefault="00026770" w:rsidP="001A5EF0">
            <w:pPr>
              <w:pStyle w:val="TableText0"/>
              <w:rPr>
                <w:b/>
                <w:bCs w:val="0"/>
                <w:color w:val="000000"/>
                <w:szCs w:val="20"/>
              </w:rPr>
            </w:pPr>
            <w:r w:rsidRPr="005464FA">
              <w:rPr>
                <w:b/>
                <w:bCs w:val="0"/>
                <w:szCs w:val="20"/>
              </w:rPr>
              <w:t>TNBC patients</w:t>
            </w:r>
          </w:p>
        </w:tc>
      </w:tr>
      <w:tr w:rsidR="008544B6" w:rsidRPr="005464FA" w14:paraId="41B4A4C8" w14:textId="77777777" w:rsidTr="009164BC">
        <w:tc>
          <w:tcPr>
            <w:tcW w:w="1334" w:type="pct"/>
            <w:shd w:val="clear" w:color="auto" w:fill="auto"/>
          </w:tcPr>
          <w:p w14:paraId="1C6EE216" w14:textId="470FA4CD" w:rsidR="000D5E52" w:rsidRPr="005464FA" w:rsidRDefault="000D5E52" w:rsidP="001A5EF0">
            <w:pPr>
              <w:pStyle w:val="TableText0"/>
              <w:rPr>
                <w:szCs w:val="20"/>
              </w:rPr>
            </w:pPr>
            <w:r w:rsidRPr="005464FA">
              <w:rPr>
                <w:szCs w:val="20"/>
              </w:rPr>
              <w:t xml:space="preserve">Recurrent </w:t>
            </w:r>
          </w:p>
        </w:tc>
        <w:tc>
          <w:tcPr>
            <w:tcW w:w="615" w:type="pct"/>
            <w:shd w:val="clear" w:color="auto" w:fill="auto"/>
            <w:vAlign w:val="center"/>
          </w:tcPr>
          <w:p w14:paraId="64E4387C" w14:textId="00039FE3" w:rsidR="000D5E52" w:rsidRPr="005F522F" w:rsidRDefault="005F522F" w:rsidP="001A5EF0">
            <w:pPr>
              <w:pStyle w:val="TableText0"/>
              <w:jc w:val="center"/>
              <w:rPr>
                <w:i/>
                <w:iCs/>
                <w:szCs w:val="20"/>
                <w:vertAlign w:val="superscript"/>
              </w:rPr>
            </w:pPr>
            <w:r w:rsidRPr="005F522F">
              <w:rPr>
                <w:color w:val="000000"/>
                <w:szCs w:val="20"/>
                <w:shd w:val="solid" w:color="000000" w:fill="000000"/>
                <w14:textFill>
                  <w14:solidFill>
                    <w14:srgbClr w14:val="000000">
                      <w14:alpha w14:val="100000"/>
                    </w14:srgbClr>
                  </w14:solidFill>
                </w14:textFill>
              </w:rPr>
              <w:t>|</w:t>
            </w:r>
            <w:r w:rsidR="00AB0A41" w:rsidRPr="00801D1D">
              <w:rPr>
                <w:szCs w:val="20"/>
                <w:vertAlign w:val="superscript"/>
              </w:rPr>
              <w:t>1</w:t>
            </w:r>
          </w:p>
        </w:tc>
        <w:tc>
          <w:tcPr>
            <w:tcW w:w="564" w:type="pct"/>
            <w:shd w:val="clear" w:color="auto" w:fill="auto"/>
            <w:vAlign w:val="center"/>
          </w:tcPr>
          <w:p w14:paraId="2257ECBA" w14:textId="1EBF12EF" w:rsidR="000D5E52" w:rsidRPr="005464FA" w:rsidRDefault="005F522F" w:rsidP="001A5EF0">
            <w:pPr>
              <w:pStyle w:val="TableText0"/>
              <w:jc w:val="center"/>
              <w:rPr>
                <w:i/>
                <w:iCs/>
                <w:szCs w:val="20"/>
              </w:rPr>
            </w:pPr>
            <w:r w:rsidRPr="005F522F">
              <w:rPr>
                <w:rFonts w:hint="eastAsia"/>
                <w:color w:val="000000"/>
                <w:w w:val="24"/>
                <w:szCs w:val="20"/>
                <w:shd w:val="solid" w:color="000000" w:fill="000000"/>
                <w:fitText w:val="110" w:id="-893196276"/>
                <w14:textFill>
                  <w14:solidFill>
                    <w14:srgbClr w14:val="000000">
                      <w14:alpha w14:val="100000"/>
                    </w14:srgbClr>
                  </w14:solidFill>
                </w14:textFill>
              </w:rPr>
              <w:t xml:space="preserve">　</w:t>
            </w:r>
            <w:r w:rsidRPr="005F522F">
              <w:rPr>
                <w:color w:val="000000"/>
                <w:w w:val="24"/>
                <w:szCs w:val="20"/>
                <w:shd w:val="solid" w:color="000000" w:fill="000000"/>
                <w:fitText w:val="110" w:id="-893196276"/>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76"/>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222162D4" w14:textId="6CED91A7" w:rsidR="000D5E52" w:rsidRPr="005464FA" w:rsidRDefault="005F522F" w:rsidP="001A5EF0">
            <w:pPr>
              <w:pStyle w:val="TableText0"/>
              <w:jc w:val="center"/>
              <w:rPr>
                <w:i/>
                <w:iCs/>
                <w:szCs w:val="20"/>
              </w:rPr>
            </w:pPr>
            <w:r w:rsidRPr="005F522F">
              <w:rPr>
                <w:rFonts w:hint="eastAsia"/>
                <w:color w:val="000000"/>
                <w:w w:val="24"/>
                <w:szCs w:val="20"/>
                <w:shd w:val="solid" w:color="000000" w:fill="000000"/>
                <w:fitText w:val="110" w:id="-893196275"/>
                <w14:textFill>
                  <w14:solidFill>
                    <w14:srgbClr w14:val="000000">
                      <w14:alpha w14:val="100000"/>
                    </w14:srgbClr>
                  </w14:solidFill>
                </w14:textFill>
              </w:rPr>
              <w:t xml:space="preserve">　</w:t>
            </w:r>
            <w:r w:rsidRPr="005F522F">
              <w:rPr>
                <w:color w:val="000000"/>
                <w:w w:val="24"/>
                <w:szCs w:val="20"/>
                <w:shd w:val="solid" w:color="000000" w:fill="000000"/>
                <w:fitText w:val="110" w:id="-893196275"/>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75"/>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75D92EE3" w14:textId="5A80865E" w:rsidR="000D5E52" w:rsidRPr="005464FA" w:rsidRDefault="005F522F" w:rsidP="001A5EF0">
            <w:pPr>
              <w:pStyle w:val="TableText0"/>
              <w:jc w:val="center"/>
              <w:rPr>
                <w:i/>
                <w:iCs/>
                <w:szCs w:val="20"/>
              </w:rPr>
            </w:pPr>
            <w:r w:rsidRPr="005F522F">
              <w:rPr>
                <w:rFonts w:hint="eastAsia"/>
                <w:color w:val="000000"/>
                <w:w w:val="18"/>
                <w:szCs w:val="20"/>
                <w:shd w:val="solid" w:color="000000" w:fill="000000"/>
                <w:fitText w:val="80" w:id="-893196274"/>
                <w14:textFill>
                  <w14:solidFill>
                    <w14:srgbClr w14:val="000000">
                      <w14:alpha w14:val="100000"/>
                    </w14:srgbClr>
                  </w14:solidFill>
                </w14:textFill>
              </w:rPr>
              <w:t xml:space="preserve">　</w:t>
            </w:r>
            <w:r w:rsidRPr="005F522F">
              <w:rPr>
                <w:color w:val="000000"/>
                <w:w w:val="18"/>
                <w:szCs w:val="20"/>
                <w:shd w:val="solid" w:color="000000" w:fill="000000"/>
                <w:fitText w:val="80" w:id="-893196274"/>
                <w14:textFill>
                  <w14:solidFill>
                    <w14:srgbClr w14:val="000000">
                      <w14:alpha w14:val="100000"/>
                    </w14:srgbClr>
                  </w14:solidFill>
                </w14:textFill>
              </w:rPr>
              <w:t>|</w:t>
            </w:r>
            <w:r w:rsidRPr="005F522F">
              <w:rPr>
                <w:rFonts w:hint="eastAsia"/>
                <w:color w:val="000000"/>
                <w:w w:val="18"/>
                <w:szCs w:val="20"/>
                <w:shd w:val="solid" w:color="000000" w:fill="000000"/>
                <w:fitText w:val="80" w:id="-893196274"/>
                <w14:textFill>
                  <w14:solidFill>
                    <w14:srgbClr w14:val="000000">
                      <w14:alpha w14:val="100000"/>
                    </w14:srgbClr>
                  </w14:solidFill>
                </w14:textFill>
              </w:rPr>
              <w:t xml:space="preserve">　</w:t>
            </w:r>
            <w:r w:rsidR="00801D1D">
              <w:rPr>
                <w:szCs w:val="20"/>
              </w:rPr>
              <w:t xml:space="preserve"> </w:t>
            </w:r>
            <w:r w:rsidR="00AB0A41">
              <w:rPr>
                <w:szCs w:val="20"/>
                <w:vertAlign w:val="superscript"/>
              </w:rPr>
              <w:t>1</w:t>
            </w:r>
          </w:p>
        </w:tc>
        <w:tc>
          <w:tcPr>
            <w:tcW w:w="629" w:type="pct"/>
            <w:shd w:val="clear" w:color="auto" w:fill="auto"/>
            <w:vAlign w:val="center"/>
          </w:tcPr>
          <w:p w14:paraId="27E8AC6F" w14:textId="071BE71C" w:rsidR="000D5E52" w:rsidRPr="005464FA" w:rsidRDefault="005F522F" w:rsidP="001A5EF0">
            <w:pPr>
              <w:pStyle w:val="TableText0"/>
              <w:jc w:val="center"/>
              <w:rPr>
                <w:i/>
                <w:iCs/>
                <w:szCs w:val="20"/>
              </w:rPr>
            </w:pPr>
            <w:r w:rsidRPr="005F522F">
              <w:rPr>
                <w:color w:val="000000"/>
                <w:szCs w:val="20"/>
                <w:shd w:val="solid" w:color="000000" w:fill="000000"/>
                <w14:textFill>
                  <w14:solidFill>
                    <w14:srgbClr w14:val="000000">
                      <w14:alpha w14:val="100000"/>
                    </w14:srgbClr>
                  </w14:solidFill>
                </w14:textFill>
              </w:rPr>
              <w:t>|</w:t>
            </w:r>
            <w:r w:rsidR="00AB0A41">
              <w:rPr>
                <w:szCs w:val="20"/>
                <w:vertAlign w:val="superscript"/>
              </w:rPr>
              <w:t>1</w:t>
            </w:r>
          </w:p>
        </w:tc>
        <w:tc>
          <w:tcPr>
            <w:tcW w:w="601" w:type="pct"/>
            <w:vAlign w:val="center"/>
          </w:tcPr>
          <w:p w14:paraId="242BDC71" w14:textId="61E45D44" w:rsidR="000D5E52" w:rsidRPr="005464FA" w:rsidRDefault="005F522F" w:rsidP="001A5EF0">
            <w:pPr>
              <w:pStyle w:val="TableText0"/>
              <w:jc w:val="center"/>
              <w:rPr>
                <w:i/>
                <w:iCs/>
                <w:szCs w:val="20"/>
              </w:rPr>
            </w:pPr>
            <w:r w:rsidRPr="005F522F">
              <w:rPr>
                <w:rFonts w:hint="eastAsia"/>
                <w:color w:val="000000"/>
                <w:w w:val="15"/>
                <w:szCs w:val="20"/>
                <w:shd w:val="solid" w:color="000000" w:fill="000000"/>
                <w:fitText w:val="30" w:id="-893196273"/>
                <w14:textFill>
                  <w14:solidFill>
                    <w14:srgbClr w14:val="000000">
                      <w14:alpha w14:val="100000"/>
                    </w14:srgbClr>
                  </w14:solidFill>
                </w14:textFill>
              </w:rPr>
              <w:t xml:space="preserve">　</w:t>
            </w:r>
            <w:r w:rsidRPr="005F522F">
              <w:rPr>
                <w:color w:val="000000"/>
                <w:w w:val="15"/>
                <w:szCs w:val="20"/>
                <w:shd w:val="solid" w:color="000000" w:fill="000000"/>
                <w:fitText w:val="30" w:id="-893196273"/>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273"/>
                <w14:textFill>
                  <w14:solidFill>
                    <w14:srgbClr w14:val="000000">
                      <w14:alpha w14:val="100000"/>
                    </w14:srgbClr>
                  </w14:solidFill>
                </w14:textFill>
              </w:rPr>
              <w:t xml:space="preserve">　</w:t>
            </w:r>
            <w:r w:rsidR="00AB0A41">
              <w:rPr>
                <w:szCs w:val="20"/>
                <w:vertAlign w:val="superscript"/>
              </w:rPr>
              <w:t>1</w:t>
            </w:r>
          </w:p>
        </w:tc>
      </w:tr>
      <w:tr w:rsidR="008544B6" w:rsidRPr="005464FA" w14:paraId="428FE948" w14:textId="77777777" w:rsidTr="009164BC">
        <w:tc>
          <w:tcPr>
            <w:tcW w:w="1334" w:type="pct"/>
            <w:shd w:val="clear" w:color="auto" w:fill="auto"/>
          </w:tcPr>
          <w:p w14:paraId="4A225C4E" w14:textId="1367119E" w:rsidR="000D5E52" w:rsidRPr="005464FA" w:rsidRDefault="000D5E52" w:rsidP="001A5EF0">
            <w:pPr>
              <w:pStyle w:val="TableText0"/>
              <w:rPr>
                <w:szCs w:val="20"/>
              </w:rPr>
            </w:pPr>
            <w:r w:rsidRPr="005464FA">
              <w:rPr>
                <w:szCs w:val="20"/>
              </w:rPr>
              <w:t xml:space="preserve">De novo </w:t>
            </w:r>
          </w:p>
        </w:tc>
        <w:tc>
          <w:tcPr>
            <w:tcW w:w="615" w:type="pct"/>
            <w:shd w:val="clear" w:color="auto" w:fill="auto"/>
            <w:vAlign w:val="center"/>
          </w:tcPr>
          <w:p w14:paraId="233BF966" w14:textId="1B1491B1" w:rsidR="000D5E52" w:rsidRPr="005464FA" w:rsidRDefault="005F522F" w:rsidP="001A5EF0">
            <w:pPr>
              <w:pStyle w:val="TableText0"/>
              <w:jc w:val="center"/>
              <w:rPr>
                <w:i/>
                <w:iCs/>
                <w:szCs w:val="20"/>
              </w:rPr>
            </w:pPr>
            <w:r w:rsidRPr="005F522F">
              <w:rPr>
                <w:color w:val="000000"/>
                <w:szCs w:val="20"/>
                <w:shd w:val="solid" w:color="000000" w:fill="000000"/>
                <w14:textFill>
                  <w14:solidFill>
                    <w14:srgbClr w14:val="000000">
                      <w14:alpha w14:val="100000"/>
                    </w14:srgbClr>
                  </w14:solidFill>
                </w14:textFill>
              </w:rPr>
              <w:t>|</w:t>
            </w:r>
            <w:r w:rsidR="00AB0A41">
              <w:rPr>
                <w:szCs w:val="20"/>
                <w:vertAlign w:val="superscript"/>
              </w:rPr>
              <w:t>1</w:t>
            </w:r>
          </w:p>
        </w:tc>
        <w:tc>
          <w:tcPr>
            <w:tcW w:w="564" w:type="pct"/>
            <w:shd w:val="clear" w:color="auto" w:fill="auto"/>
            <w:vAlign w:val="center"/>
          </w:tcPr>
          <w:p w14:paraId="4EDB8875" w14:textId="740EDAF1" w:rsidR="000D5E52" w:rsidRPr="005464FA" w:rsidRDefault="005F522F" w:rsidP="001A5EF0">
            <w:pPr>
              <w:pStyle w:val="TableText0"/>
              <w:jc w:val="center"/>
              <w:rPr>
                <w:i/>
                <w:iCs/>
                <w:szCs w:val="20"/>
              </w:rPr>
            </w:pPr>
            <w:r w:rsidRPr="005F522F">
              <w:rPr>
                <w:rFonts w:hint="eastAsia"/>
                <w:color w:val="000000"/>
                <w:w w:val="24"/>
                <w:szCs w:val="20"/>
                <w:shd w:val="solid" w:color="000000" w:fill="000000"/>
                <w:fitText w:val="110" w:id="-893196272"/>
                <w14:textFill>
                  <w14:solidFill>
                    <w14:srgbClr w14:val="000000">
                      <w14:alpha w14:val="100000"/>
                    </w14:srgbClr>
                  </w14:solidFill>
                </w14:textFill>
              </w:rPr>
              <w:t xml:space="preserve">　</w:t>
            </w:r>
            <w:r w:rsidRPr="005F522F">
              <w:rPr>
                <w:color w:val="000000"/>
                <w:w w:val="24"/>
                <w:szCs w:val="20"/>
                <w:shd w:val="solid" w:color="000000" w:fill="000000"/>
                <w:fitText w:val="110" w:id="-893196272"/>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72"/>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570ED881" w14:textId="1B4FAC0F" w:rsidR="000D5E52" w:rsidRPr="005464FA" w:rsidRDefault="005F522F" w:rsidP="001A5EF0">
            <w:pPr>
              <w:pStyle w:val="TableText0"/>
              <w:jc w:val="center"/>
              <w:rPr>
                <w:i/>
                <w:iCs/>
                <w:szCs w:val="20"/>
              </w:rPr>
            </w:pPr>
            <w:r w:rsidRPr="005F522F">
              <w:rPr>
                <w:rFonts w:hint="eastAsia"/>
                <w:color w:val="000000"/>
                <w:w w:val="24"/>
                <w:szCs w:val="20"/>
                <w:shd w:val="solid" w:color="000000" w:fill="000000"/>
                <w:fitText w:val="110" w:id="-893196288"/>
                <w14:textFill>
                  <w14:solidFill>
                    <w14:srgbClr w14:val="000000">
                      <w14:alpha w14:val="100000"/>
                    </w14:srgbClr>
                  </w14:solidFill>
                </w14:textFill>
              </w:rPr>
              <w:t xml:space="preserve">　</w:t>
            </w:r>
            <w:r w:rsidRPr="005F522F">
              <w:rPr>
                <w:color w:val="000000"/>
                <w:w w:val="24"/>
                <w:szCs w:val="20"/>
                <w:shd w:val="solid" w:color="000000" w:fill="000000"/>
                <w:fitText w:val="110" w:id="-893196288"/>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88"/>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6F94AB32" w14:textId="08C809EF" w:rsidR="000D5E52" w:rsidRPr="005464FA" w:rsidRDefault="005F522F" w:rsidP="001A5EF0">
            <w:pPr>
              <w:pStyle w:val="TableText0"/>
              <w:jc w:val="center"/>
              <w:rPr>
                <w:i/>
                <w:iCs/>
                <w:szCs w:val="20"/>
              </w:rPr>
            </w:pPr>
            <w:r w:rsidRPr="005F522F">
              <w:rPr>
                <w:rFonts w:hint="eastAsia"/>
                <w:color w:val="000000"/>
                <w:w w:val="18"/>
                <w:szCs w:val="20"/>
                <w:shd w:val="solid" w:color="000000" w:fill="000000"/>
                <w:fitText w:val="80" w:id="-893196287"/>
                <w14:textFill>
                  <w14:solidFill>
                    <w14:srgbClr w14:val="000000">
                      <w14:alpha w14:val="100000"/>
                    </w14:srgbClr>
                  </w14:solidFill>
                </w14:textFill>
              </w:rPr>
              <w:t xml:space="preserve">　</w:t>
            </w:r>
            <w:r w:rsidRPr="005F522F">
              <w:rPr>
                <w:color w:val="000000"/>
                <w:w w:val="18"/>
                <w:szCs w:val="20"/>
                <w:shd w:val="solid" w:color="000000" w:fill="000000"/>
                <w:fitText w:val="80" w:id="-893196287"/>
                <w14:textFill>
                  <w14:solidFill>
                    <w14:srgbClr w14:val="000000">
                      <w14:alpha w14:val="100000"/>
                    </w14:srgbClr>
                  </w14:solidFill>
                </w14:textFill>
              </w:rPr>
              <w:t>|</w:t>
            </w:r>
            <w:r w:rsidRPr="005F522F">
              <w:rPr>
                <w:rFonts w:hint="eastAsia"/>
                <w:color w:val="000000"/>
                <w:w w:val="18"/>
                <w:szCs w:val="20"/>
                <w:shd w:val="solid" w:color="000000" w:fill="000000"/>
                <w:fitText w:val="80" w:id="-893196287"/>
                <w14:textFill>
                  <w14:solidFill>
                    <w14:srgbClr w14:val="000000">
                      <w14:alpha w14:val="100000"/>
                    </w14:srgbClr>
                  </w14:solidFill>
                </w14:textFill>
              </w:rPr>
              <w:t xml:space="preserve">　</w:t>
            </w:r>
            <w:r w:rsidR="00801D1D">
              <w:rPr>
                <w:szCs w:val="20"/>
              </w:rPr>
              <w:t xml:space="preserve"> </w:t>
            </w:r>
            <w:r w:rsidR="00AB0A41">
              <w:rPr>
                <w:szCs w:val="20"/>
                <w:vertAlign w:val="superscript"/>
              </w:rPr>
              <w:t>1</w:t>
            </w:r>
          </w:p>
        </w:tc>
        <w:tc>
          <w:tcPr>
            <w:tcW w:w="629" w:type="pct"/>
            <w:shd w:val="clear" w:color="auto" w:fill="auto"/>
            <w:vAlign w:val="center"/>
          </w:tcPr>
          <w:p w14:paraId="3578914E" w14:textId="0A6FDA87" w:rsidR="000D5E52" w:rsidRPr="005464FA" w:rsidRDefault="005F522F" w:rsidP="001A5EF0">
            <w:pPr>
              <w:pStyle w:val="TableText0"/>
              <w:jc w:val="center"/>
              <w:rPr>
                <w:i/>
                <w:iCs/>
                <w:szCs w:val="20"/>
              </w:rPr>
            </w:pPr>
            <w:r w:rsidRPr="005F522F">
              <w:rPr>
                <w:color w:val="000000"/>
                <w:szCs w:val="20"/>
                <w:shd w:val="solid" w:color="000000" w:fill="000000"/>
                <w14:textFill>
                  <w14:solidFill>
                    <w14:srgbClr w14:val="000000">
                      <w14:alpha w14:val="100000"/>
                    </w14:srgbClr>
                  </w14:solidFill>
                </w14:textFill>
              </w:rPr>
              <w:t>|</w:t>
            </w:r>
            <w:r w:rsidR="00AB0A41" w:rsidRPr="00801D1D">
              <w:rPr>
                <w:szCs w:val="20"/>
                <w:vertAlign w:val="superscript"/>
              </w:rPr>
              <w:t>1</w:t>
            </w:r>
          </w:p>
        </w:tc>
        <w:tc>
          <w:tcPr>
            <w:tcW w:w="601" w:type="pct"/>
            <w:vAlign w:val="center"/>
          </w:tcPr>
          <w:p w14:paraId="6D6B25A4" w14:textId="055D1123" w:rsidR="000D5E52" w:rsidRPr="005464FA" w:rsidRDefault="005F522F" w:rsidP="001A5EF0">
            <w:pPr>
              <w:pStyle w:val="TableText0"/>
              <w:jc w:val="center"/>
              <w:rPr>
                <w:i/>
                <w:iCs/>
                <w:szCs w:val="20"/>
              </w:rPr>
            </w:pPr>
            <w:r w:rsidRPr="005F522F">
              <w:rPr>
                <w:rFonts w:hint="eastAsia"/>
                <w:color w:val="000000"/>
                <w:w w:val="15"/>
                <w:szCs w:val="20"/>
                <w:shd w:val="solid" w:color="000000" w:fill="000000"/>
                <w:fitText w:val="30" w:id="-893196286"/>
                <w14:textFill>
                  <w14:solidFill>
                    <w14:srgbClr w14:val="000000">
                      <w14:alpha w14:val="100000"/>
                    </w14:srgbClr>
                  </w14:solidFill>
                </w14:textFill>
              </w:rPr>
              <w:t xml:space="preserve">　</w:t>
            </w:r>
            <w:r w:rsidRPr="005F522F">
              <w:rPr>
                <w:color w:val="000000"/>
                <w:w w:val="15"/>
                <w:szCs w:val="20"/>
                <w:shd w:val="solid" w:color="000000" w:fill="000000"/>
                <w:fitText w:val="30" w:id="-893196286"/>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286"/>
                <w14:textFill>
                  <w14:solidFill>
                    <w14:srgbClr w14:val="000000">
                      <w14:alpha w14:val="100000"/>
                    </w14:srgbClr>
                  </w14:solidFill>
                </w14:textFill>
              </w:rPr>
              <w:t xml:space="preserve">　</w:t>
            </w:r>
            <w:r w:rsidR="00AB0A41">
              <w:rPr>
                <w:szCs w:val="20"/>
                <w:vertAlign w:val="superscript"/>
              </w:rPr>
              <w:t>1</w:t>
            </w:r>
          </w:p>
        </w:tc>
      </w:tr>
      <w:tr w:rsidR="008544B6" w:rsidRPr="005464FA" w14:paraId="43011667" w14:textId="77777777" w:rsidTr="009164BC">
        <w:tc>
          <w:tcPr>
            <w:tcW w:w="1334" w:type="pct"/>
            <w:shd w:val="clear" w:color="auto" w:fill="auto"/>
          </w:tcPr>
          <w:p w14:paraId="25F54DCB" w14:textId="1B6FADFE" w:rsidR="000D5E52" w:rsidRPr="005464FA" w:rsidRDefault="000D5E52" w:rsidP="001A5EF0">
            <w:pPr>
              <w:pStyle w:val="TableText0"/>
              <w:rPr>
                <w:szCs w:val="20"/>
              </w:rPr>
            </w:pPr>
            <w:r w:rsidRPr="005464FA">
              <w:rPr>
                <w:szCs w:val="20"/>
              </w:rPr>
              <w:t xml:space="preserve">Total </w:t>
            </w:r>
            <w:r w:rsidR="00BF7F41" w:rsidRPr="005464FA">
              <w:rPr>
                <w:szCs w:val="20"/>
              </w:rPr>
              <w:t xml:space="preserve">treated </w:t>
            </w:r>
            <w:r w:rsidRPr="005464FA">
              <w:rPr>
                <w:szCs w:val="20"/>
              </w:rPr>
              <w:t>TNBC patients</w:t>
            </w:r>
          </w:p>
        </w:tc>
        <w:tc>
          <w:tcPr>
            <w:tcW w:w="615" w:type="pct"/>
            <w:shd w:val="clear" w:color="auto" w:fill="auto"/>
            <w:vAlign w:val="center"/>
          </w:tcPr>
          <w:p w14:paraId="4EB62808" w14:textId="2469D711" w:rsidR="000D5E52" w:rsidRPr="005464FA" w:rsidRDefault="005F522F" w:rsidP="001A5EF0">
            <w:pPr>
              <w:pStyle w:val="TableText0"/>
              <w:jc w:val="center"/>
              <w:rPr>
                <w:i/>
                <w:iCs/>
                <w:szCs w:val="20"/>
              </w:rPr>
            </w:pPr>
            <w:r w:rsidRPr="005F522F">
              <w:rPr>
                <w:snapToGrid w:val="0"/>
                <w:color w:val="000000"/>
                <w:szCs w:val="20"/>
                <w:shd w:val="solid" w:color="000000" w:fill="000000"/>
                <w14:textFill>
                  <w14:solidFill>
                    <w14:srgbClr w14:val="000000">
                      <w14:alpha w14:val="100000"/>
                    </w14:srgbClr>
                  </w14:solidFill>
                </w14:textFill>
              </w:rPr>
              <w:t>|</w:t>
            </w:r>
            <w:r w:rsidR="00AB0A41">
              <w:rPr>
                <w:szCs w:val="20"/>
                <w:vertAlign w:val="superscript"/>
              </w:rPr>
              <w:t>1</w:t>
            </w:r>
          </w:p>
        </w:tc>
        <w:tc>
          <w:tcPr>
            <w:tcW w:w="564" w:type="pct"/>
            <w:shd w:val="clear" w:color="auto" w:fill="auto"/>
            <w:vAlign w:val="center"/>
          </w:tcPr>
          <w:p w14:paraId="3D2A9917" w14:textId="4DC5C130" w:rsidR="000D5E52" w:rsidRPr="005464FA" w:rsidRDefault="005F522F" w:rsidP="001A5EF0">
            <w:pPr>
              <w:pStyle w:val="TableText0"/>
              <w:jc w:val="center"/>
              <w:rPr>
                <w:i/>
                <w:iCs/>
                <w:szCs w:val="20"/>
              </w:rPr>
            </w:pPr>
            <w:r w:rsidRPr="005F522F">
              <w:rPr>
                <w:rFonts w:hint="eastAsia"/>
                <w:snapToGrid w:val="0"/>
                <w:color w:val="000000"/>
                <w:w w:val="24"/>
                <w:szCs w:val="20"/>
                <w:shd w:val="solid" w:color="000000" w:fill="000000"/>
                <w:fitText w:val="110" w:id="-893196285"/>
                <w14:textFill>
                  <w14:solidFill>
                    <w14:srgbClr w14:val="000000">
                      <w14:alpha w14:val="100000"/>
                    </w14:srgbClr>
                  </w14:solidFill>
                </w14:textFill>
              </w:rPr>
              <w:t xml:space="preserve">　</w:t>
            </w:r>
            <w:r w:rsidRPr="005F522F">
              <w:rPr>
                <w:snapToGrid w:val="0"/>
                <w:color w:val="000000"/>
                <w:w w:val="24"/>
                <w:szCs w:val="20"/>
                <w:shd w:val="solid" w:color="000000" w:fill="000000"/>
                <w:fitText w:val="110" w:id="-893196285"/>
                <w14:textFill>
                  <w14:solidFill>
                    <w14:srgbClr w14:val="000000">
                      <w14:alpha w14:val="100000"/>
                    </w14:srgbClr>
                  </w14:solidFill>
                </w14:textFill>
              </w:rPr>
              <w:t>|</w:t>
            </w:r>
            <w:r w:rsidRPr="005F522F">
              <w:rPr>
                <w:rFonts w:hint="eastAsia"/>
                <w:snapToGrid w:val="0"/>
                <w:color w:val="000000"/>
                <w:spacing w:val="6"/>
                <w:w w:val="24"/>
                <w:szCs w:val="20"/>
                <w:shd w:val="solid" w:color="000000" w:fill="000000"/>
                <w:fitText w:val="110" w:id="-893196285"/>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263FED8F" w14:textId="369B8CFB" w:rsidR="000D5E52" w:rsidRPr="005464FA" w:rsidRDefault="005F522F" w:rsidP="001A5EF0">
            <w:pPr>
              <w:pStyle w:val="TableText0"/>
              <w:jc w:val="center"/>
              <w:rPr>
                <w:i/>
                <w:iCs/>
                <w:szCs w:val="20"/>
              </w:rPr>
            </w:pPr>
            <w:r w:rsidRPr="005F522F">
              <w:rPr>
                <w:rFonts w:hint="eastAsia"/>
                <w:snapToGrid w:val="0"/>
                <w:color w:val="000000"/>
                <w:w w:val="24"/>
                <w:szCs w:val="20"/>
                <w:shd w:val="solid" w:color="000000" w:fill="000000"/>
                <w:fitText w:val="110" w:id="-893196284"/>
                <w14:textFill>
                  <w14:solidFill>
                    <w14:srgbClr w14:val="000000">
                      <w14:alpha w14:val="100000"/>
                    </w14:srgbClr>
                  </w14:solidFill>
                </w14:textFill>
              </w:rPr>
              <w:t xml:space="preserve">　</w:t>
            </w:r>
            <w:r w:rsidRPr="005F522F">
              <w:rPr>
                <w:snapToGrid w:val="0"/>
                <w:color w:val="000000"/>
                <w:w w:val="24"/>
                <w:szCs w:val="20"/>
                <w:shd w:val="solid" w:color="000000" w:fill="000000"/>
                <w:fitText w:val="110" w:id="-893196284"/>
                <w14:textFill>
                  <w14:solidFill>
                    <w14:srgbClr w14:val="000000">
                      <w14:alpha w14:val="100000"/>
                    </w14:srgbClr>
                  </w14:solidFill>
                </w14:textFill>
              </w:rPr>
              <w:t>|</w:t>
            </w:r>
            <w:r w:rsidRPr="005F522F">
              <w:rPr>
                <w:rFonts w:hint="eastAsia"/>
                <w:snapToGrid w:val="0"/>
                <w:color w:val="000000"/>
                <w:spacing w:val="6"/>
                <w:w w:val="24"/>
                <w:szCs w:val="20"/>
                <w:shd w:val="solid" w:color="000000" w:fill="000000"/>
                <w:fitText w:val="110" w:id="-893196284"/>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7D89577E" w14:textId="74EBAC6F" w:rsidR="000D5E52" w:rsidRPr="005464FA" w:rsidRDefault="005F522F" w:rsidP="001A5EF0">
            <w:pPr>
              <w:pStyle w:val="TableText0"/>
              <w:jc w:val="center"/>
              <w:rPr>
                <w:i/>
                <w:iCs/>
                <w:szCs w:val="20"/>
              </w:rPr>
            </w:pPr>
            <w:r w:rsidRPr="005F522F">
              <w:rPr>
                <w:rFonts w:hint="eastAsia"/>
                <w:snapToGrid w:val="0"/>
                <w:color w:val="000000"/>
                <w:w w:val="18"/>
                <w:szCs w:val="20"/>
                <w:shd w:val="solid" w:color="000000" w:fill="000000"/>
                <w:fitText w:val="80" w:id="-893196283"/>
                <w14:textFill>
                  <w14:solidFill>
                    <w14:srgbClr w14:val="000000">
                      <w14:alpha w14:val="100000"/>
                    </w14:srgbClr>
                  </w14:solidFill>
                </w14:textFill>
              </w:rPr>
              <w:t xml:space="preserve">　</w:t>
            </w:r>
            <w:r w:rsidRPr="005F522F">
              <w:rPr>
                <w:snapToGrid w:val="0"/>
                <w:color w:val="000000"/>
                <w:w w:val="18"/>
                <w:szCs w:val="20"/>
                <w:shd w:val="solid" w:color="000000" w:fill="000000"/>
                <w:fitText w:val="80" w:id="-893196283"/>
                <w14:textFill>
                  <w14:solidFill>
                    <w14:srgbClr w14:val="000000">
                      <w14:alpha w14:val="100000"/>
                    </w14:srgbClr>
                  </w14:solidFill>
                </w14:textFill>
              </w:rPr>
              <w:t>|</w:t>
            </w:r>
            <w:r w:rsidRPr="005F522F">
              <w:rPr>
                <w:rFonts w:hint="eastAsia"/>
                <w:snapToGrid w:val="0"/>
                <w:color w:val="000000"/>
                <w:w w:val="18"/>
                <w:szCs w:val="20"/>
                <w:shd w:val="solid" w:color="000000" w:fill="000000"/>
                <w:fitText w:val="80" w:id="-893196283"/>
                <w14:textFill>
                  <w14:solidFill>
                    <w14:srgbClr w14:val="000000">
                      <w14:alpha w14:val="100000"/>
                    </w14:srgbClr>
                  </w14:solidFill>
                </w14:textFill>
              </w:rPr>
              <w:t xml:space="preserve">　</w:t>
            </w:r>
            <w:r w:rsidR="00801D1D">
              <w:rPr>
                <w:snapToGrid w:val="0"/>
                <w:szCs w:val="20"/>
              </w:rPr>
              <w:t xml:space="preserve"> </w:t>
            </w:r>
            <w:r w:rsidR="00AB0A41">
              <w:rPr>
                <w:szCs w:val="20"/>
                <w:vertAlign w:val="superscript"/>
              </w:rPr>
              <w:t>1</w:t>
            </w:r>
          </w:p>
        </w:tc>
        <w:tc>
          <w:tcPr>
            <w:tcW w:w="629" w:type="pct"/>
            <w:shd w:val="clear" w:color="auto" w:fill="auto"/>
            <w:vAlign w:val="center"/>
          </w:tcPr>
          <w:p w14:paraId="18EE8718" w14:textId="22EAD5F6" w:rsidR="000D5E52" w:rsidRPr="005464FA" w:rsidRDefault="005F522F" w:rsidP="001A5EF0">
            <w:pPr>
              <w:pStyle w:val="TableText0"/>
              <w:jc w:val="center"/>
              <w:rPr>
                <w:i/>
                <w:iCs/>
                <w:szCs w:val="20"/>
              </w:rPr>
            </w:pPr>
            <w:r w:rsidRPr="005F522F">
              <w:rPr>
                <w:snapToGrid w:val="0"/>
                <w:color w:val="000000"/>
                <w:szCs w:val="20"/>
                <w:shd w:val="solid" w:color="000000" w:fill="000000"/>
                <w14:textFill>
                  <w14:solidFill>
                    <w14:srgbClr w14:val="000000">
                      <w14:alpha w14:val="100000"/>
                    </w14:srgbClr>
                  </w14:solidFill>
                </w14:textFill>
              </w:rPr>
              <w:t>|</w:t>
            </w:r>
            <w:r w:rsidR="00AB0A41">
              <w:rPr>
                <w:szCs w:val="20"/>
                <w:vertAlign w:val="superscript"/>
              </w:rPr>
              <w:t>1</w:t>
            </w:r>
          </w:p>
        </w:tc>
        <w:tc>
          <w:tcPr>
            <w:tcW w:w="601" w:type="pct"/>
            <w:vAlign w:val="center"/>
          </w:tcPr>
          <w:p w14:paraId="11C16309" w14:textId="19ED6F37" w:rsidR="000D5E52" w:rsidRPr="005464FA" w:rsidRDefault="005F522F" w:rsidP="001A5EF0">
            <w:pPr>
              <w:pStyle w:val="TableText0"/>
              <w:jc w:val="center"/>
              <w:rPr>
                <w:i/>
                <w:iCs/>
                <w:szCs w:val="20"/>
              </w:rPr>
            </w:pPr>
            <w:r w:rsidRPr="005F522F">
              <w:rPr>
                <w:rFonts w:hint="eastAsia"/>
                <w:snapToGrid w:val="0"/>
                <w:color w:val="000000"/>
                <w:w w:val="15"/>
                <w:szCs w:val="20"/>
                <w:shd w:val="solid" w:color="000000" w:fill="000000"/>
                <w:fitText w:val="30" w:id="-893196282"/>
                <w14:textFill>
                  <w14:solidFill>
                    <w14:srgbClr w14:val="000000">
                      <w14:alpha w14:val="100000"/>
                    </w14:srgbClr>
                  </w14:solidFill>
                </w14:textFill>
              </w:rPr>
              <w:t xml:space="preserve">　</w:t>
            </w:r>
            <w:r w:rsidRPr="005F522F">
              <w:rPr>
                <w:snapToGrid w:val="0"/>
                <w:color w:val="000000"/>
                <w:w w:val="15"/>
                <w:szCs w:val="20"/>
                <w:shd w:val="solid" w:color="000000" w:fill="000000"/>
                <w:fitText w:val="30" w:id="-893196282"/>
                <w14:textFill>
                  <w14:solidFill>
                    <w14:srgbClr w14:val="000000">
                      <w14:alpha w14:val="100000"/>
                    </w14:srgbClr>
                  </w14:solidFill>
                </w14:textFill>
              </w:rPr>
              <w:t>|</w:t>
            </w:r>
            <w:r w:rsidRPr="005F522F">
              <w:rPr>
                <w:rFonts w:hint="eastAsia"/>
                <w:snapToGrid w:val="0"/>
                <w:color w:val="000000"/>
                <w:spacing w:val="-35"/>
                <w:w w:val="15"/>
                <w:szCs w:val="20"/>
                <w:shd w:val="solid" w:color="000000" w:fill="000000"/>
                <w:fitText w:val="30" w:id="-893196282"/>
                <w14:textFill>
                  <w14:solidFill>
                    <w14:srgbClr w14:val="000000">
                      <w14:alpha w14:val="100000"/>
                    </w14:srgbClr>
                  </w14:solidFill>
                </w14:textFill>
              </w:rPr>
              <w:t xml:space="preserve">　</w:t>
            </w:r>
            <w:r w:rsidR="00AB0A41" w:rsidRPr="00801D1D">
              <w:rPr>
                <w:szCs w:val="20"/>
                <w:vertAlign w:val="superscript"/>
              </w:rPr>
              <w:t>1</w:t>
            </w:r>
          </w:p>
        </w:tc>
      </w:tr>
      <w:tr w:rsidR="00026770" w:rsidRPr="005464FA" w14:paraId="143AA294" w14:textId="77777777" w:rsidTr="00026770">
        <w:tc>
          <w:tcPr>
            <w:tcW w:w="5000" w:type="pct"/>
            <w:gridSpan w:val="7"/>
            <w:shd w:val="clear" w:color="auto" w:fill="auto"/>
          </w:tcPr>
          <w:p w14:paraId="2538EF22" w14:textId="69E88AD8" w:rsidR="00026770" w:rsidRPr="005464FA" w:rsidRDefault="00026770" w:rsidP="001A5EF0">
            <w:pPr>
              <w:pStyle w:val="TableText0"/>
              <w:rPr>
                <w:b/>
                <w:bCs w:val="0"/>
                <w:i/>
                <w:iCs/>
                <w:szCs w:val="20"/>
              </w:rPr>
            </w:pPr>
            <w:r w:rsidRPr="005464FA">
              <w:rPr>
                <w:b/>
                <w:bCs w:val="0"/>
                <w:szCs w:val="20"/>
              </w:rPr>
              <w:t>HR+</w:t>
            </w:r>
          </w:p>
        </w:tc>
      </w:tr>
      <w:tr w:rsidR="008544B6" w:rsidRPr="005464FA" w14:paraId="42C469A5" w14:textId="77777777" w:rsidTr="009164BC">
        <w:tc>
          <w:tcPr>
            <w:tcW w:w="1334" w:type="pct"/>
            <w:shd w:val="clear" w:color="auto" w:fill="auto"/>
          </w:tcPr>
          <w:p w14:paraId="287BB639" w14:textId="37D579DB" w:rsidR="000D5E52" w:rsidRPr="005464FA" w:rsidRDefault="002E3A36" w:rsidP="001A5EF0">
            <w:pPr>
              <w:pStyle w:val="TableText0"/>
              <w:rPr>
                <w:szCs w:val="20"/>
              </w:rPr>
            </w:pPr>
            <w:r w:rsidRPr="005464FA">
              <w:rPr>
                <w:szCs w:val="20"/>
              </w:rPr>
              <w:t xml:space="preserve">Recurrent </w:t>
            </w:r>
            <w:r w:rsidR="000D5E52" w:rsidRPr="005464FA">
              <w:rPr>
                <w:szCs w:val="20"/>
              </w:rPr>
              <w:t>metastatic cancer who received (neo)adjuvant chemotherapy</w:t>
            </w:r>
          </w:p>
        </w:tc>
        <w:tc>
          <w:tcPr>
            <w:tcW w:w="615" w:type="pct"/>
            <w:shd w:val="clear" w:color="auto" w:fill="auto"/>
            <w:vAlign w:val="center"/>
          </w:tcPr>
          <w:p w14:paraId="2D0A73DD" w14:textId="14849DFF" w:rsidR="000D5E52" w:rsidRPr="005464FA" w:rsidRDefault="005F522F" w:rsidP="001A5EF0">
            <w:pPr>
              <w:pStyle w:val="TableText0"/>
              <w:jc w:val="center"/>
              <w:rPr>
                <w:i/>
                <w:iCs/>
                <w:szCs w:val="20"/>
              </w:rPr>
            </w:pPr>
            <w:r w:rsidRPr="005F522F">
              <w:rPr>
                <w:color w:val="000000"/>
                <w:szCs w:val="20"/>
                <w:shd w:val="solid" w:color="000000" w:fill="000000"/>
                <w14:textFill>
                  <w14:solidFill>
                    <w14:srgbClr w14:val="000000">
                      <w14:alpha w14:val="100000"/>
                    </w14:srgbClr>
                  </w14:solidFill>
                </w14:textFill>
              </w:rPr>
              <w:t>|</w:t>
            </w:r>
            <w:r w:rsidR="00AB0A41">
              <w:rPr>
                <w:szCs w:val="20"/>
                <w:vertAlign w:val="superscript"/>
              </w:rPr>
              <w:t>1</w:t>
            </w:r>
          </w:p>
        </w:tc>
        <w:tc>
          <w:tcPr>
            <w:tcW w:w="564" w:type="pct"/>
            <w:shd w:val="clear" w:color="auto" w:fill="auto"/>
            <w:vAlign w:val="center"/>
          </w:tcPr>
          <w:p w14:paraId="050B9FE2" w14:textId="3038DE2D" w:rsidR="000D5E52" w:rsidRPr="005464FA" w:rsidRDefault="005F522F" w:rsidP="001A5EF0">
            <w:pPr>
              <w:pStyle w:val="TableText0"/>
              <w:jc w:val="center"/>
              <w:rPr>
                <w:i/>
                <w:iCs/>
                <w:szCs w:val="20"/>
              </w:rPr>
            </w:pPr>
            <w:r w:rsidRPr="005F522F">
              <w:rPr>
                <w:rFonts w:hint="eastAsia"/>
                <w:color w:val="000000"/>
                <w:w w:val="24"/>
                <w:szCs w:val="20"/>
                <w:shd w:val="solid" w:color="000000" w:fill="000000"/>
                <w:fitText w:val="110" w:id="-893196281"/>
                <w14:textFill>
                  <w14:solidFill>
                    <w14:srgbClr w14:val="000000">
                      <w14:alpha w14:val="100000"/>
                    </w14:srgbClr>
                  </w14:solidFill>
                </w14:textFill>
              </w:rPr>
              <w:t xml:space="preserve">　</w:t>
            </w:r>
            <w:r w:rsidRPr="005F522F">
              <w:rPr>
                <w:color w:val="000000"/>
                <w:w w:val="24"/>
                <w:szCs w:val="20"/>
                <w:shd w:val="solid" w:color="000000" w:fill="000000"/>
                <w:fitText w:val="110" w:id="-893196281"/>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81"/>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2A01563A" w14:textId="66279306" w:rsidR="000D5E52" w:rsidRPr="005464FA" w:rsidRDefault="005F522F" w:rsidP="001A5EF0">
            <w:pPr>
              <w:pStyle w:val="TableText0"/>
              <w:jc w:val="center"/>
              <w:rPr>
                <w:i/>
                <w:iCs/>
                <w:szCs w:val="20"/>
              </w:rPr>
            </w:pPr>
            <w:r w:rsidRPr="005F522F">
              <w:rPr>
                <w:rFonts w:hint="eastAsia"/>
                <w:color w:val="000000"/>
                <w:w w:val="24"/>
                <w:szCs w:val="20"/>
                <w:shd w:val="solid" w:color="000000" w:fill="000000"/>
                <w:fitText w:val="110" w:id="-893196280"/>
                <w14:textFill>
                  <w14:solidFill>
                    <w14:srgbClr w14:val="000000">
                      <w14:alpha w14:val="100000"/>
                    </w14:srgbClr>
                  </w14:solidFill>
                </w14:textFill>
              </w:rPr>
              <w:t xml:space="preserve">　</w:t>
            </w:r>
            <w:r w:rsidRPr="005F522F">
              <w:rPr>
                <w:color w:val="000000"/>
                <w:w w:val="24"/>
                <w:szCs w:val="20"/>
                <w:shd w:val="solid" w:color="000000" w:fill="000000"/>
                <w:fitText w:val="110" w:id="-893196280"/>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80"/>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1055C098" w14:textId="7E078020" w:rsidR="000D5E52" w:rsidRPr="005464FA" w:rsidRDefault="005F522F" w:rsidP="001A5EF0">
            <w:pPr>
              <w:pStyle w:val="TableText0"/>
              <w:jc w:val="center"/>
              <w:rPr>
                <w:i/>
                <w:iCs/>
                <w:szCs w:val="20"/>
              </w:rPr>
            </w:pPr>
            <w:r w:rsidRPr="005F522F">
              <w:rPr>
                <w:rFonts w:hint="eastAsia"/>
                <w:color w:val="000000"/>
                <w:w w:val="15"/>
                <w:szCs w:val="20"/>
                <w:shd w:val="solid" w:color="000000" w:fill="000000"/>
                <w:fitText w:val="70" w:id="-893196279"/>
                <w14:textFill>
                  <w14:solidFill>
                    <w14:srgbClr w14:val="000000">
                      <w14:alpha w14:val="100000"/>
                    </w14:srgbClr>
                  </w14:solidFill>
                </w14:textFill>
              </w:rPr>
              <w:t xml:space="preserve">　</w:t>
            </w:r>
            <w:r w:rsidRPr="005F522F">
              <w:rPr>
                <w:color w:val="000000"/>
                <w:w w:val="15"/>
                <w:szCs w:val="20"/>
                <w:shd w:val="solid" w:color="000000" w:fill="000000"/>
                <w:fitText w:val="70" w:id="-893196279"/>
                <w14:textFill>
                  <w14:solidFill>
                    <w14:srgbClr w14:val="000000">
                      <w14:alpha w14:val="100000"/>
                    </w14:srgbClr>
                  </w14:solidFill>
                </w14:textFill>
              </w:rPr>
              <w:t>|</w:t>
            </w:r>
            <w:r w:rsidRPr="005F522F">
              <w:rPr>
                <w:rFonts w:hint="eastAsia"/>
                <w:color w:val="000000"/>
                <w:spacing w:val="4"/>
                <w:w w:val="15"/>
                <w:szCs w:val="20"/>
                <w:shd w:val="solid" w:color="000000" w:fill="000000"/>
                <w:fitText w:val="70" w:id="-893196279"/>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44CA52AC" w14:textId="4489C357" w:rsidR="000D5E52" w:rsidRPr="005464FA" w:rsidRDefault="005F522F" w:rsidP="001A5EF0">
            <w:pPr>
              <w:pStyle w:val="TableText0"/>
              <w:jc w:val="center"/>
              <w:rPr>
                <w:i/>
                <w:iCs/>
                <w:szCs w:val="20"/>
              </w:rPr>
            </w:pPr>
            <w:r w:rsidRPr="005F522F">
              <w:rPr>
                <w:color w:val="000000"/>
                <w:szCs w:val="20"/>
                <w:shd w:val="solid" w:color="000000" w:fill="000000"/>
                <w14:textFill>
                  <w14:solidFill>
                    <w14:srgbClr w14:val="000000">
                      <w14:alpha w14:val="100000"/>
                    </w14:srgbClr>
                  </w14:solidFill>
                </w14:textFill>
              </w:rPr>
              <w:t>|</w:t>
            </w:r>
            <w:r w:rsidR="00AB0A41">
              <w:rPr>
                <w:szCs w:val="20"/>
                <w:vertAlign w:val="superscript"/>
              </w:rPr>
              <w:t>1</w:t>
            </w:r>
          </w:p>
        </w:tc>
        <w:tc>
          <w:tcPr>
            <w:tcW w:w="601" w:type="pct"/>
            <w:vAlign w:val="center"/>
          </w:tcPr>
          <w:p w14:paraId="20D266F4" w14:textId="684F9CBE" w:rsidR="000D5E52" w:rsidRPr="005464FA" w:rsidRDefault="005F522F" w:rsidP="001A5EF0">
            <w:pPr>
              <w:pStyle w:val="TableText0"/>
              <w:jc w:val="center"/>
              <w:rPr>
                <w:i/>
                <w:iCs/>
                <w:szCs w:val="20"/>
              </w:rPr>
            </w:pPr>
            <w:r w:rsidRPr="005F522F">
              <w:rPr>
                <w:rFonts w:hint="eastAsia"/>
                <w:color w:val="000000"/>
                <w:w w:val="15"/>
                <w:szCs w:val="20"/>
                <w:shd w:val="solid" w:color="000000" w:fill="000000"/>
                <w:fitText w:val="30" w:id="-893196278"/>
                <w14:textFill>
                  <w14:solidFill>
                    <w14:srgbClr w14:val="000000">
                      <w14:alpha w14:val="100000"/>
                    </w14:srgbClr>
                  </w14:solidFill>
                </w14:textFill>
              </w:rPr>
              <w:t xml:space="preserve">　</w:t>
            </w:r>
            <w:r w:rsidRPr="005F522F">
              <w:rPr>
                <w:color w:val="000000"/>
                <w:w w:val="15"/>
                <w:szCs w:val="20"/>
                <w:shd w:val="solid" w:color="000000" w:fill="000000"/>
                <w:fitText w:val="30" w:id="-893196278"/>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278"/>
                <w14:textFill>
                  <w14:solidFill>
                    <w14:srgbClr w14:val="000000">
                      <w14:alpha w14:val="100000"/>
                    </w14:srgbClr>
                  </w14:solidFill>
                </w14:textFill>
              </w:rPr>
              <w:t xml:space="preserve">　</w:t>
            </w:r>
            <w:r w:rsidR="00AB0A41">
              <w:rPr>
                <w:szCs w:val="20"/>
                <w:vertAlign w:val="superscript"/>
              </w:rPr>
              <w:t>1</w:t>
            </w:r>
          </w:p>
        </w:tc>
      </w:tr>
      <w:tr w:rsidR="008544B6" w:rsidRPr="005464FA" w14:paraId="212B95D0" w14:textId="77777777" w:rsidTr="009164BC">
        <w:tc>
          <w:tcPr>
            <w:tcW w:w="1334" w:type="pct"/>
            <w:shd w:val="clear" w:color="auto" w:fill="auto"/>
          </w:tcPr>
          <w:p w14:paraId="0415B1F7" w14:textId="11D0D424" w:rsidR="000D5E52" w:rsidRPr="005464FA" w:rsidRDefault="000D5E52" w:rsidP="001A5EF0">
            <w:pPr>
              <w:pStyle w:val="TableText0"/>
              <w:rPr>
                <w:szCs w:val="20"/>
              </w:rPr>
            </w:pPr>
            <w:r w:rsidRPr="005464FA">
              <w:rPr>
                <w:szCs w:val="20"/>
              </w:rPr>
              <w:t>De novo</w:t>
            </w:r>
          </w:p>
        </w:tc>
        <w:tc>
          <w:tcPr>
            <w:tcW w:w="615" w:type="pct"/>
            <w:shd w:val="clear" w:color="auto" w:fill="auto"/>
            <w:vAlign w:val="center"/>
          </w:tcPr>
          <w:p w14:paraId="4F590E19" w14:textId="2037271F" w:rsidR="000D5E52" w:rsidRPr="005464FA" w:rsidRDefault="005F522F" w:rsidP="001A5EF0">
            <w:pPr>
              <w:pStyle w:val="TableText0"/>
              <w:jc w:val="center"/>
              <w:rPr>
                <w:i/>
                <w:iCs/>
                <w:szCs w:val="20"/>
              </w:rPr>
            </w:pPr>
            <w:r w:rsidRPr="005F522F">
              <w:rPr>
                <w:color w:val="000000"/>
                <w:szCs w:val="20"/>
                <w:shd w:val="solid" w:color="000000" w:fill="000000"/>
                <w14:textFill>
                  <w14:solidFill>
                    <w14:srgbClr w14:val="000000">
                      <w14:alpha w14:val="100000"/>
                    </w14:srgbClr>
                  </w14:solidFill>
                </w14:textFill>
              </w:rPr>
              <w:t>|</w:t>
            </w:r>
            <w:r w:rsidR="00AB0A41">
              <w:rPr>
                <w:szCs w:val="20"/>
                <w:vertAlign w:val="superscript"/>
              </w:rPr>
              <w:t>1</w:t>
            </w:r>
          </w:p>
        </w:tc>
        <w:tc>
          <w:tcPr>
            <w:tcW w:w="564" w:type="pct"/>
            <w:shd w:val="clear" w:color="auto" w:fill="auto"/>
            <w:vAlign w:val="center"/>
          </w:tcPr>
          <w:p w14:paraId="267EA5DB" w14:textId="3385FBAA" w:rsidR="000D5E52" w:rsidRPr="005464FA" w:rsidRDefault="005F522F" w:rsidP="001A5EF0">
            <w:pPr>
              <w:pStyle w:val="TableText0"/>
              <w:jc w:val="center"/>
              <w:rPr>
                <w:i/>
                <w:iCs/>
                <w:szCs w:val="20"/>
              </w:rPr>
            </w:pPr>
            <w:r w:rsidRPr="005F522F">
              <w:rPr>
                <w:rFonts w:hint="eastAsia"/>
                <w:color w:val="000000"/>
                <w:w w:val="24"/>
                <w:szCs w:val="20"/>
                <w:shd w:val="solid" w:color="000000" w:fill="000000"/>
                <w:fitText w:val="110" w:id="-893196277"/>
                <w14:textFill>
                  <w14:solidFill>
                    <w14:srgbClr w14:val="000000">
                      <w14:alpha w14:val="100000"/>
                    </w14:srgbClr>
                  </w14:solidFill>
                </w14:textFill>
              </w:rPr>
              <w:t xml:space="preserve">　</w:t>
            </w:r>
            <w:r w:rsidRPr="005F522F">
              <w:rPr>
                <w:color w:val="000000"/>
                <w:w w:val="24"/>
                <w:szCs w:val="20"/>
                <w:shd w:val="solid" w:color="000000" w:fill="000000"/>
                <w:fitText w:val="110" w:id="-893196277"/>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77"/>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63AD950E" w14:textId="66D924CB" w:rsidR="000D5E52" w:rsidRPr="005464FA" w:rsidRDefault="005F522F" w:rsidP="001A5EF0">
            <w:pPr>
              <w:pStyle w:val="TableText0"/>
              <w:jc w:val="center"/>
              <w:rPr>
                <w:i/>
                <w:iCs/>
                <w:szCs w:val="20"/>
              </w:rPr>
            </w:pPr>
            <w:r w:rsidRPr="005F522F">
              <w:rPr>
                <w:rFonts w:hint="eastAsia"/>
                <w:color w:val="000000"/>
                <w:w w:val="24"/>
                <w:szCs w:val="20"/>
                <w:shd w:val="solid" w:color="000000" w:fill="000000"/>
                <w:fitText w:val="110" w:id="-893196276"/>
                <w14:textFill>
                  <w14:solidFill>
                    <w14:srgbClr w14:val="000000">
                      <w14:alpha w14:val="100000"/>
                    </w14:srgbClr>
                  </w14:solidFill>
                </w14:textFill>
              </w:rPr>
              <w:t xml:space="preserve">　</w:t>
            </w:r>
            <w:r w:rsidRPr="005F522F">
              <w:rPr>
                <w:color w:val="000000"/>
                <w:w w:val="24"/>
                <w:szCs w:val="20"/>
                <w:shd w:val="solid" w:color="000000" w:fill="000000"/>
                <w:fitText w:val="110" w:id="-893196276"/>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76"/>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153C1367" w14:textId="46854960" w:rsidR="000D5E52" w:rsidRPr="005464FA" w:rsidRDefault="005F522F" w:rsidP="001A5EF0">
            <w:pPr>
              <w:pStyle w:val="TableText0"/>
              <w:jc w:val="center"/>
              <w:rPr>
                <w:i/>
                <w:iCs/>
                <w:szCs w:val="20"/>
              </w:rPr>
            </w:pPr>
            <w:r w:rsidRPr="005F522F">
              <w:rPr>
                <w:rFonts w:hint="eastAsia"/>
                <w:color w:val="000000"/>
                <w:w w:val="15"/>
                <w:szCs w:val="20"/>
                <w:shd w:val="solid" w:color="000000" w:fill="000000"/>
                <w:fitText w:val="70" w:id="-893196275"/>
                <w14:textFill>
                  <w14:solidFill>
                    <w14:srgbClr w14:val="000000">
                      <w14:alpha w14:val="100000"/>
                    </w14:srgbClr>
                  </w14:solidFill>
                </w14:textFill>
              </w:rPr>
              <w:t xml:space="preserve">　</w:t>
            </w:r>
            <w:r w:rsidRPr="005F522F">
              <w:rPr>
                <w:color w:val="000000"/>
                <w:w w:val="15"/>
                <w:szCs w:val="20"/>
                <w:shd w:val="solid" w:color="000000" w:fill="000000"/>
                <w:fitText w:val="70" w:id="-893196275"/>
                <w14:textFill>
                  <w14:solidFill>
                    <w14:srgbClr w14:val="000000">
                      <w14:alpha w14:val="100000"/>
                    </w14:srgbClr>
                  </w14:solidFill>
                </w14:textFill>
              </w:rPr>
              <w:t>|</w:t>
            </w:r>
            <w:r w:rsidRPr="005F522F">
              <w:rPr>
                <w:rFonts w:hint="eastAsia"/>
                <w:color w:val="000000"/>
                <w:spacing w:val="4"/>
                <w:w w:val="15"/>
                <w:szCs w:val="20"/>
                <w:shd w:val="solid" w:color="000000" w:fill="000000"/>
                <w:fitText w:val="70" w:id="-893196275"/>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3CC11DAD" w14:textId="289DCC5B" w:rsidR="000D5E52" w:rsidRPr="005464FA" w:rsidRDefault="005F522F" w:rsidP="001A5EF0">
            <w:pPr>
              <w:pStyle w:val="TableText0"/>
              <w:jc w:val="center"/>
              <w:rPr>
                <w:i/>
                <w:iCs/>
                <w:szCs w:val="20"/>
              </w:rPr>
            </w:pPr>
            <w:r w:rsidRPr="005F522F">
              <w:rPr>
                <w:color w:val="000000"/>
                <w:szCs w:val="20"/>
                <w:shd w:val="solid" w:color="000000" w:fill="000000"/>
                <w14:textFill>
                  <w14:solidFill>
                    <w14:srgbClr w14:val="000000">
                      <w14:alpha w14:val="100000"/>
                    </w14:srgbClr>
                  </w14:solidFill>
                </w14:textFill>
              </w:rPr>
              <w:t>|</w:t>
            </w:r>
            <w:r w:rsidR="00AB0A41">
              <w:rPr>
                <w:szCs w:val="20"/>
                <w:vertAlign w:val="superscript"/>
              </w:rPr>
              <w:t>1</w:t>
            </w:r>
          </w:p>
        </w:tc>
        <w:tc>
          <w:tcPr>
            <w:tcW w:w="601" w:type="pct"/>
            <w:vAlign w:val="center"/>
          </w:tcPr>
          <w:p w14:paraId="579C45B8" w14:textId="2AE34104" w:rsidR="000D5E52" w:rsidRPr="005464FA" w:rsidRDefault="005F522F" w:rsidP="001A5EF0">
            <w:pPr>
              <w:pStyle w:val="TableText0"/>
              <w:jc w:val="center"/>
              <w:rPr>
                <w:i/>
                <w:iCs/>
                <w:szCs w:val="20"/>
              </w:rPr>
            </w:pPr>
            <w:r w:rsidRPr="005F522F">
              <w:rPr>
                <w:rFonts w:hint="eastAsia"/>
                <w:color w:val="000000"/>
                <w:w w:val="15"/>
                <w:szCs w:val="20"/>
                <w:shd w:val="solid" w:color="000000" w:fill="000000"/>
                <w:fitText w:val="30" w:id="-893196274"/>
                <w14:textFill>
                  <w14:solidFill>
                    <w14:srgbClr w14:val="000000">
                      <w14:alpha w14:val="100000"/>
                    </w14:srgbClr>
                  </w14:solidFill>
                </w14:textFill>
              </w:rPr>
              <w:t xml:space="preserve">　</w:t>
            </w:r>
            <w:r w:rsidRPr="005F522F">
              <w:rPr>
                <w:color w:val="000000"/>
                <w:w w:val="15"/>
                <w:szCs w:val="20"/>
                <w:shd w:val="solid" w:color="000000" w:fill="000000"/>
                <w:fitText w:val="30" w:id="-893196274"/>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274"/>
                <w14:textFill>
                  <w14:solidFill>
                    <w14:srgbClr w14:val="000000">
                      <w14:alpha w14:val="100000"/>
                    </w14:srgbClr>
                  </w14:solidFill>
                </w14:textFill>
              </w:rPr>
              <w:t xml:space="preserve">　</w:t>
            </w:r>
            <w:r w:rsidR="00AB0A41">
              <w:rPr>
                <w:szCs w:val="20"/>
                <w:vertAlign w:val="superscript"/>
              </w:rPr>
              <w:t>1</w:t>
            </w:r>
          </w:p>
        </w:tc>
      </w:tr>
      <w:tr w:rsidR="008544B6" w:rsidRPr="005464FA" w14:paraId="062E8AB9" w14:textId="77777777" w:rsidTr="009164BC">
        <w:tc>
          <w:tcPr>
            <w:tcW w:w="1334" w:type="pct"/>
            <w:shd w:val="clear" w:color="auto" w:fill="auto"/>
          </w:tcPr>
          <w:p w14:paraId="201F0A9B" w14:textId="609D3CB4" w:rsidR="000D5E52" w:rsidRPr="005464FA" w:rsidRDefault="000D5E52" w:rsidP="001A5EF0">
            <w:pPr>
              <w:pStyle w:val="TableText0"/>
              <w:rPr>
                <w:szCs w:val="20"/>
              </w:rPr>
            </w:pPr>
            <w:r w:rsidRPr="005464FA">
              <w:rPr>
                <w:szCs w:val="20"/>
              </w:rPr>
              <w:t xml:space="preserve">Total </w:t>
            </w:r>
            <w:r w:rsidR="00BF7F41" w:rsidRPr="005464FA">
              <w:rPr>
                <w:szCs w:val="20"/>
              </w:rPr>
              <w:t xml:space="preserve">treated </w:t>
            </w:r>
            <w:r w:rsidRPr="005464FA">
              <w:rPr>
                <w:szCs w:val="20"/>
              </w:rPr>
              <w:t>HR+ HER</w:t>
            </w:r>
            <w:r w:rsidR="002E3A36" w:rsidRPr="005464FA">
              <w:rPr>
                <w:szCs w:val="20"/>
              </w:rPr>
              <w:t>2</w:t>
            </w:r>
            <w:r w:rsidRPr="005464FA">
              <w:rPr>
                <w:szCs w:val="20"/>
              </w:rPr>
              <w:t>-</w:t>
            </w:r>
            <w:r w:rsidR="002E3A36" w:rsidRPr="005464FA">
              <w:rPr>
                <w:szCs w:val="20"/>
              </w:rPr>
              <w:t>negative</w:t>
            </w:r>
            <w:r w:rsidRPr="005464FA">
              <w:rPr>
                <w:szCs w:val="20"/>
              </w:rPr>
              <w:t xml:space="preserve"> patients</w:t>
            </w:r>
          </w:p>
        </w:tc>
        <w:tc>
          <w:tcPr>
            <w:tcW w:w="615" w:type="pct"/>
            <w:shd w:val="clear" w:color="auto" w:fill="auto"/>
            <w:vAlign w:val="center"/>
          </w:tcPr>
          <w:p w14:paraId="61E69F11" w14:textId="267D7231" w:rsidR="000D5E52" w:rsidRPr="005464FA" w:rsidRDefault="005F522F" w:rsidP="001A5EF0">
            <w:pPr>
              <w:pStyle w:val="TableText0"/>
              <w:jc w:val="center"/>
              <w:rPr>
                <w:i/>
                <w:iCs/>
                <w:szCs w:val="20"/>
              </w:rPr>
            </w:pPr>
            <w:r w:rsidRPr="005F522F">
              <w:rPr>
                <w:color w:val="000000"/>
                <w:szCs w:val="20"/>
                <w:shd w:val="solid" w:color="000000" w:fill="000000"/>
                <w14:textFill>
                  <w14:solidFill>
                    <w14:srgbClr w14:val="000000">
                      <w14:alpha w14:val="100000"/>
                    </w14:srgbClr>
                  </w14:solidFill>
                </w14:textFill>
              </w:rPr>
              <w:t>|</w:t>
            </w:r>
            <w:r w:rsidR="00AB0A41">
              <w:rPr>
                <w:szCs w:val="20"/>
                <w:vertAlign w:val="superscript"/>
              </w:rPr>
              <w:t>1</w:t>
            </w:r>
          </w:p>
        </w:tc>
        <w:tc>
          <w:tcPr>
            <w:tcW w:w="564" w:type="pct"/>
            <w:shd w:val="clear" w:color="auto" w:fill="auto"/>
            <w:vAlign w:val="center"/>
          </w:tcPr>
          <w:p w14:paraId="6771494F" w14:textId="14ADE0C4" w:rsidR="000D5E52" w:rsidRPr="005464FA" w:rsidRDefault="005F522F" w:rsidP="001A5EF0">
            <w:pPr>
              <w:pStyle w:val="TableText0"/>
              <w:jc w:val="center"/>
              <w:rPr>
                <w:i/>
                <w:iCs/>
                <w:szCs w:val="20"/>
              </w:rPr>
            </w:pPr>
            <w:r w:rsidRPr="005F522F">
              <w:rPr>
                <w:rFonts w:hint="eastAsia"/>
                <w:color w:val="000000"/>
                <w:w w:val="24"/>
                <w:szCs w:val="20"/>
                <w:shd w:val="solid" w:color="000000" w:fill="000000"/>
                <w:fitText w:val="110" w:id="-893196273"/>
                <w14:textFill>
                  <w14:solidFill>
                    <w14:srgbClr w14:val="000000">
                      <w14:alpha w14:val="100000"/>
                    </w14:srgbClr>
                  </w14:solidFill>
                </w14:textFill>
              </w:rPr>
              <w:t xml:space="preserve">　</w:t>
            </w:r>
            <w:r w:rsidRPr="005F522F">
              <w:rPr>
                <w:color w:val="000000"/>
                <w:w w:val="24"/>
                <w:szCs w:val="20"/>
                <w:shd w:val="solid" w:color="000000" w:fill="000000"/>
                <w:fitText w:val="110" w:id="-893196273"/>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73"/>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00163864" w14:textId="0EE65644" w:rsidR="000D5E52" w:rsidRPr="005464FA" w:rsidRDefault="005F522F" w:rsidP="001A5EF0">
            <w:pPr>
              <w:pStyle w:val="TableText0"/>
              <w:jc w:val="center"/>
              <w:rPr>
                <w:i/>
                <w:iCs/>
                <w:szCs w:val="20"/>
              </w:rPr>
            </w:pPr>
            <w:r w:rsidRPr="005F522F">
              <w:rPr>
                <w:rFonts w:hint="eastAsia"/>
                <w:color w:val="000000"/>
                <w:w w:val="24"/>
                <w:szCs w:val="20"/>
                <w:shd w:val="solid" w:color="000000" w:fill="000000"/>
                <w:fitText w:val="110" w:id="-893196272"/>
                <w14:textFill>
                  <w14:solidFill>
                    <w14:srgbClr w14:val="000000">
                      <w14:alpha w14:val="100000"/>
                    </w14:srgbClr>
                  </w14:solidFill>
                </w14:textFill>
              </w:rPr>
              <w:t xml:space="preserve">　</w:t>
            </w:r>
            <w:r w:rsidRPr="005F522F">
              <w:rPr>
                <w:color w:val="000000"/>
                <w:w w:val="24"/>
                <w:szCs w:val="20"/>
                <w:shd w:val="solid" w:color="000000" w:fill="000000"/>
                <w:fitText w:val="110" w:id="-893196272"/>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72"/>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6F7DFBE3" w14:textId="56374912" w:rsidR="000D5E52" w:rsidRPr="005464FA" w:rsidRDefault="005F522F" w:rsidP="001A5EF0">
            <w:pPr>
              <w:pStyle w:val="TableText0"/>
              <w:jc w:val="center"/>
              <w:rPr>
                <w:i/>
                <w:iCs/>
                <w:szCs w:val="20"/>
              </w:rPr>
            </w:pPr>
            <w:r w:rsidRPr="005F522F">
              <w:rPr>
                <w:rFonts w:hint="eastAsia"/>
                <w:color w:val="000000"/>
                <w:w w:val="15"/>
                <w:szCs w:val="20"/>
                <w:shd w:val="solid" w:color="000000" w:fill="000000"/>
                <w:fitText w:val="70" w:id="-893196288"/>
                <w14:textFill>
                  <w14:solidFill>
                    <w14:srgbClr w14:val="000000">
                      <w14:alpha w14:val="100000"/>
                    </w14:srgbClr>
                  </w14:solidFill>
                </w14:textFill>
              </w:rPr>
              <w:t xml:space="preserve">　</w:t>
            </w:r>
            <w:r w:rsidRPr="005F522F">
              <w:rPr>
                <w:color w:val="000000"/>
                <w:w w:val="15"/>
                <w:szCs w:val="20"/>
                <w:shd w:val="solid" w:color="000000" w:fill="000000"/>
                <w:fitText w:val="70" w:id="-893196288"/>
                <w14:textFill>
                  <w14:solidFill>
                    <w14:srgbClr w14:val="000000">
                      <w14:alpha w14:val="100000"/>
                    </w14:srgbClr>
                  </w14:solidFill>
                </w14:textFill>
              </w:rPr>
              <w:t>|</w:t>
            </w:r>
            <w:r w:rsidRPr="005F522F">
              <w:rPr>
                <w:rFonts w:hint="eastAsia"/>
                <w:color w:val="000000"/>
                <w:spacing w:val="4"/>
                <w:w w:val="15"/>
                <w:szCs w:val="20"/>
                <w:shd w:val="solid" w:color="000000" w:fill="000000"/>
                <w:fitText w:val="70" w:id="-893196288"/>
                <w14:textFill>
                  <w14:solidFill>
                    <w14:srgbClr w14:val="000000">
                      <w14:alpha w14:val="100000"/>
                    </w14:srgbClr>
                  </w14:solidFill>
                </w14:textFill>
              </w:rPr>
              <w:t xml:space="preserve">　</w:t>
            </w:r>
            <w:r w:rsidR="00AB0A41">
              <w:rPr>
                <w:szCs w:val="20"/>
                <w:vertAlign w:val="superscript"/>
              </w:rPr>
              <w:t>1</w:t>
            </w:r>
          </w:p>
        </w:tc>
        <w:tc>
          <w:tcPr>
            <w:tcW w:w="629" w:type="pct"/>
            <w:shd w:val="clear" w:color="auto" w:fill="auto"/>
            <w:vAlign w:val="center"/>
          </w:tcPr>
          <w:p w14:paraId="4F353012" w14:textId="02B6DE3F" w:rsidR="000D5E52" w:rsidRPr="005464FA" w:rsidRDefault="005F522F" w:rsidP="001A5EF0">
            <w:pPr>
              <w:pStyle w:val="TableText0"/>
              <w:jc w:val="center"/>
              <w:rPr>
                <w:i/>
                <w:iCs/>
                <w:szCs w:val="20"/>
              </w:rPr>
            </w:pPr>
            <w:r w:rsidRPr="005F522F">
              <w:rPr>
                <w:color w:val="000000"/>
                <w:szCs w:val="20"/>
                <w:shd w:val="solid" w:color="000000" w:fill="000000"/>
                <w14:textFill>
                  <w14:solidFill>
                    <w14:srgbClr w14:val="000000">
                      <w14:alpha w14:val="100000"/>
                    </w14:srgbClr>
                  </w14:solidFill>
                </w14:textFill>
              </w:rPr>
              <w:t>|</w:t>
            </w:r>
            <w:r w:rsidR="00AB0A41">
              <w:rPr>
                <w:szCs w:val="20"/>
                <w:vertAlign w:val="superscript"/>
              </w:rPr>
              <w:t>1</w:t>
            </w:r>
          </w:p>
        </w:tc>
        <w:tc>
          <w:tcPr>
            <w:tcW w:w="601" w:type="pct"/>
            <w:vAlign w:val="center"/>
          </w:tcPr>
          <w:p w14:paraId="46820CB6" w14:textId="6D22605E" w:rsidR="000D5E52" w:rsidRPr="005464FA" w:rsidRDefault="005F522F" w:rsidP="001A5EF0">
            <w:pPr>
              <w:pStyle w:val="TableText0"/>
              <w:jc w:val="center"/>
              <w:rPr>
                <w:i/>
                <w:iCs/>
                <w:szCs w:val="20"/>
              </w:rPr>
            </w:pPr>
            <w:r w:rsidRPr="005F522F">
              <w:rPr>
                <w:rFonts w:hint="eastAsia"/>
                <w:color w:val="000000"/>
                <w:w w:val="15"/>
                <w:szCs w:val="20"/>
                <w:shd w:val="solid" w:color="000000" w:fill="000000"/>
                <w:fitText w:val="30" w:id="-893196287"/>
                <w14:textFill>
                  <w14:solidFill>
                    <w14:srgbClr w14:val="000000">
                      <w14:alpha w14:val="100000"/>
                    </w14:srgbClr>
                  </w14:solidFill>
                </w14:textFill>
              </w:rPr>
              <w:t xml:space="preserve">　</w:t>
            </w:r>
            <w:r w:rsidRPr="005F522F">
              <w:rPr>
                <w:color w:val="000000"/>
                <w:w w:val="15"/>
                <w:szCs w:val="20"/>
                <w:shd w:val="solid" w:color="000000" w:fill="000000"/>
                <w:fitText w:val="30" w:id="-893196287"/>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287"/>
                <w14:textFill>
                  <w14:solidFill>
                    <w14:srgbClr w14:val="000000">
                      <w14:alpha w14:val="100000"/>
                    </w14:srgbClr>
                  </w14:solidFill>
                </w14:textFill>
              </w:rPr>
              <w:t xml:space="preserve">　</w:t>
            </w:r>
            <w:r w:rsidR="00AB0A41">
              <w:rPr>
                <w:szCs w:val="20"/>
                <w:vertAlign w:val="superscript"/>
              </w:rPr>
              <w:t>1</w:t>
            </w:r>
          </w:p>
        </w:tc>
      </w:tr>
      <w:tr w:rsidR="008544B6" w:rsidRPr="005464FA" w14:paraId="32DB3DBA" w14:textId="77777777" w:rsidTr="009164BC">
        <w:tc>
          <w:tcPr>
            <w:tcW w:w="1334" w:type="pct"/>
            <w:shd w:val="clear" w:color="auto" w:fill="auto"/>
          </w:tcPr>
          <w:p w14:paraId="4DC2008C" w14:textId="3E3227A9" w:rsidR="000D5E52" w:rsidRPr="005464FA" w:rsidRDefault="000D5E52" w:rsidP="001A5EF0">
            <w:pPr>
              <w:pStyle w:val="TableText0"/>
              <w:rPr>
                <w:szCs w:val="20"/>
                <w:vertAlign w:val="superscript"/>
              </w:rPr>
            </w:pPr>
            <w:r w:rsidRPr="005464FA">
              <w:rPr>
                <w:szCs w:val="20"/>
              </w:rPr>
              <w:t xml:space="preserve">Total olaparib </w:t>
            </w:r>
            <w:proofErr w:type="spellStart"/>
            <w:r w:rsidRPr="005464FA">
              <w:rPr>
                <w:szCs w:val="20"/>
              </w:rPr>
              <w:t>prescriptions</w:t>
            </w:r>
            <w:r w:rsidRPr="005464FA">
              <w:rPr>
                <w:szCs w:val="20"/>
                <w:vertAlign w:val="superscript"/>
              </w:rPr>
              <w:t>a</w:t>
            </w:r>
            <w:proofErr w:type="spellEnd"/>
          </w:p>
        </w:tc>
        <w:tc>
          <w:tcPr>
            <w:tcW w:w="615" w:type="pct"/>
            <w:shd w:val="clear" w:color="auto" w:fill="auto"/>
          </w:tcPr>
          <w:p w14:paraId="269BD4B3" w14:textId="67D946CE" w:rsidR="000D5E52" w:rsidRPr="005464FA" w:rsidRDefault="005F522F" w:rsidP="001A5EF0">
            <w:pPr>
              <w:pStyle w:val="TableText0"/>
              <w:jc w:val="center"/>
              <w:rPr>
                <w:color w:val="000000"/>
                <w:szCs w:val="20"/>
              </w:rPr>
            </w:pPr>
            <w:r w:rsidRPr="005F522F">
              <w:rPr>
                <w:rFonts w:hint="eastAsia"/>
                <w:color w:val="000000"/>
                <w:w w:val="15"/>
                <w:szCs w:val="20"/>
                <w:shd w:val="solid" w:color="000000" w:fill="000000"/>
                <w:fitText w:val="30" w:id="-893196286"/>
                <w14:textFill>
                  <w14:solidFill>
                    <w14:srgbClr w14:val="000000">
                      <w14:alpha w14:val="100000"/>
                    </w14:srgbClr>
                  </w14:solidFill>
                </w14:textFill>
              </w:rPr>
              <w:t xml:space="preserve">　</w:t>
            </w:r>
            <w:r w:rsidRPr="005F522F">
              <w:rPr>
                <w:color w:val="000000"/>
                <w:w w:val="15"/>
                <w:szCs w:val="20"/>
                <w:shd w:val="solid" w:color="000000" w:fill="000000"/>
                <w:fitText w:val="30" w:id="-893196286"/>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286"/>
                <w14:textFill>
                  <w14:solidFill>
                    <w14:srgbClr w14:val="000000">
                      <w14:alpha w14:val="100000"/>
                    </w14:srgbClr>
                  </w14:solidFill>
                </w14:textFill>
              </w:rPr>
              <w:t xml:space="preserve">　</w:t>
            </w:r>
            <w:r w:rsidR="000D5E52" w:rsidRPr="005464FA">
              <w:rPr>
                <w:szCs w:val="20"/>
              </w:rPr>
              <w:t xml:space="preserve"> </w:t>
            </w:r>
            <w:r w:rsidR="00AB0A41">
              <w:rPr>
                <w:szCs w:val="20"/>
                <w:vertAlign w:val="superscript"/>
              </w:rPr>
              <w:t>2</w:t>
            </w:r>
          </w:p>
        </w:tc>
        <w:tc>
          <w:tcPr>
            <w:tcW w:w="564" w:type="pct"/>
            <w:shd w:val="clear" w:color="auto" w:fill="auto"/>
          </w:tcPr>
          <w:p w14:paraId="433BA8B3" w14:textId="79CC4E14" w:rsidR="000D5E52" w:rsidRPr="005464FA" w:rsidRDefault="005F522F" w:rsidP="001A5EF0">
            <w:pPr>
              <w:pStyle w:val="TableText0"/>
              <w:jc w:val="center"/>
              <w:rPr>
                <w:color w:val="000000"/>
                <w:szCs w:val="20"/>
              </w:rPr>
            </w:pPr>
            <w:r w:rsidRPr="005F522F">
              <w:rPr>
                <w:rFonts w:hint="eastAsia"/>
                <w:color w:val="000000"/>
                <w:w w:val="31"/>
                <w:szCs w:val="20"/>
                <w:shd w:val="solid" w:color="000000" w:fill="000000"/>
                <w:fitText w:val="140" w:id="-893196285"/>
                <w14:textFill>
                  <w14:solidFill>
                    <w14:srgbClr w14:val="000000">
                      <w14:alpha w14:val="100000"/>
                    </w14:srgbClr>
                  </w14:solidFill>
                </w14:textFill>
              </w:rPr>
              <w:t xml:space="preserve">　</w:t>
            </w:r>
            <w:r w:rsidRPr="005F522F">
              <w:rPr>
                <w:color w:val="000000"/>
                <w:w w:val="31"/>
                <w:szCs w:val="20"/>
                <w:shd w:val="solid" w:color="000000" w:fill="000000"/>
                <w:fitText w:val="140" w:id="-893196285"/>
                <w14:textFill>
                  <w14:solidFill>
                    <w14:srgbClr w14:val="000000">
                      <w14:alpha w14:val="100000"/>
                    </w14:srgbClr>
                  </w14:solidFill>
                </w14:textFill>
              </w:rPr>
              <w:t>|</w:t>
            </w:r>
            <w:r w:rsidRPr="005F522F">
              <w:rPr>
                <w:rFonts w:hint="eastAsia"/>
                <w:color w:val="000000"/>
                <w:spacing w:val="4"/>
                <w:w w:val="31"/>
                <w:szCs w:val="20"/>
                <w:shd w:val="solid" w:color="000000" w:fill="000000"/>
                <w:fitText w:val="140" w:id="-893196285"/>
                <w14:textFill>
                  <w14:solidFill>
                    <w14:srgbClr w14:val="000000">
                      <w14:alpha w14:val="100000"/>
                    </w14:srgbClr>
                  </w14:solidFill>
                </w14:textFill>
              </w:rPr>
              <w:t xml:space="preserve">　</w:t>
            </w:r>
            <w:r w:rsidR="000D5E52" w:rsidRPr="005464FA">
              <w:rPr>
                <w:szCs w:val="20"/>
              </w:rPr>
              <w:t xml:space="preserve"> </w:t>
            </w:r>
            <w:r w:rsidR="00AB0A41">
              <w:rPr>
                <w:szCs w:val="20"/>
                <w:vertAlign w:val="superscript"/>
              </w:rPr>
              <w:t>2</w:t>
            </w:r>
          </w:p>
        </w:tc>
        <w:tc>
          <w:tcPr>
            <w:tcW w:w="629" w:type="pct"/>
            <w:shd w:val="clear" w:color="auto" w:fill="auto"/>
          </w:tcPr>
          <w:p w14:paraId="62C3B46A" w14:textId="3F6564AC" w:rsidR="000D5E52" w:rsidRPr="005464FA" w:rsidRDefault="005F522F" w:rsidP="001A5EF0">
            <w:pPr>
              <w:pStyle w:val="TableText0"/>
              <w:jc w:val="center"/>
              <w:rPr>
                <w:color w:val="000000"/>
                <w:szCs w:val="20"/>
              </w:rPr>
            </w:pPr>
            <w:r w:rsidRPr="005F522F">
              <w:rPr>
                <w:rFonts w:hint="eastAsia"/>
                <w:color w:val="000000"/>
                <w:w w:val="31"/>
                <w:szCs w:val="20"/>
                <w:shd w:val="solid" w:color="000000" w:fill="000000"/>
                <w:fitText w:val="140" w:id="-893196284"/>
                <w14:textFill>
                  <w14:solidFill>
                    <w14:srgbClr w14:val="000000">
                      <w14:alpha w14:val="100000"/>
                    </w14:srgbClr>
                  </w14:solidFill>
                </w14:textFill>
              </w:rPr>
              <w:t xml:space="preserve">　</w:t>
            </w:r>
            <w:r w:rsidRPr="005F522F">
              <w:rPr>
                <w:color w:val="000000"/>
                <w:w w:val="31"/>
                <w:szCs w:val="20"/>
                <w:shd w:val="solid" w:color="000000" w:fill="000000"/>
                <w:fitText w:val="140" w:id="-893196284"/>
                <w14:textFill>
                  <w14:solidFill>
                    <w14:srgbClr w14:val="000000">
                      <w14:alpha w14:val="100000"/>
                    </w14:srgbClr>
                  </w14:solidFill>
                </w14:textFill>
              </w:rPr>
              <w:t>|</w:t>
            </w:r>
            <w:r w:rsidRPr="005F522F">
              <w:rPr>
                <w:rFonts w:hint="eastAsia"/>
                <w:color w:val="000000"/>
                <w:spacing w:val="4"/>
                <w:w w:val="31"/>
                <w:szCs w:val="20"/>
                <w:shd w:val="solid" w:color="000000" w:fill="000000"/>
                <w:fitText w:val="140" w:id="-893196284"/>
                <w14:textFill>
                  <w14:solidFill>
                    <w14:srgbClr w14:val="000000">
                      <w14:alpha w14:val="100000"/>
                    </w14:srgbClr>
                  </w14:solidFill>
                </w14:textFill>
              </w:rPr>
              <w:t xml:space="preserve">　</w:t>
            </w:r>
            <w:r w:rsidR="000D5E52" w:rsidRPr="005464FA">
              <w:rPr>
                <w:szCs w:val="20"/>
              </w:rPr>
              <w:t xml:space="preserve"> </w:t>
            </w:r>
            <w:r w:rsidR="00AB0A41">
              <w:rPr>
                <w:szCs w:val="20"/>
                <w:vertAlign w:val="superscript"/>
              </w:rPr>
              <w:t>2</w:t>
            </w:r>
          </w:p>
        </w:tc>
        <w:tc>
          <w:tcPr>
            <w:tcW w:w="629" w:type="pct"/>
            <w:shd w:val="clear" w:color="auto" w:fill="auto"/>
          </w:tcPr>
          <w:p w14:paraId="08ED3B1A" w14:textId="7AEFA5D3" w:rsidR="000D5E52" w:rsidRPr="005464FA" w:rsidRDefault="005F522F" w:rsidP="001A5EF0">
            <w:pPr>
              <w:pStyle w:val="TableText0"/>
              <w:jc w:val="center"/>
              <w:rPr>
                <w:color w:val="000000"/>
                <w:szCs w:val="20"/>
              </w:rPr>
            </w:pPr>
            <w:r w:rsidRPr="005F522F">
              <w:rPr>
                <w:rFonts w:hint="eastAsia"/>
                <w:color w:val="000000"/>
                <w:w w:val="18"/>
                <w:szCs w:val="20"/>
                <w:shd w:val="solid" w:color="000000" w:fill="000000"/>
                <w:fitText w:val="80" w:id="-893196283"/>
                <w14:textFill>
                  <w14:solidFill>
                    <w14:srgbClr w14:val="000000">
                      <w14:alpha w14:val="100000"/>
                    </w14:srgbClr>
                  </w14:solidFill>
                </w14:textFill>
              </w:rPr>
              <w:t xml:space="preserve">　</w:t>
            </w:r>
            <w:r w:rsidRPr="005F522F">
              <w:rPr>
                <w:color w:val="000000"/>
                <w:w w:val="18"/>
                <w:szCs w:val="20"/>
                <w:shd w:val="solid" w:color="000000" w:fill="000000"/>
                <w:fitText w:val="80" w:id="-893196283"/>
                <w14:textFill>
                  <w14:solidFill>
                    <w14:srgbClr w14:val="000000">
                      <w14:alpha w14:val="100000"/>
                    </w14:srgbClr>
                  </w14:solidFill>
                </w14:textFill>
              </w:rPr>
              <w:t>|</w:t>
            </w:r>
            <w:r w:rsidRPr="005F522F">
              <w:rPr>
                <w:rFonts w:hint="eastAsia"/>
                <w:color w:val="000000"/>
                <w:w w:val="18"/>
                <w:szCs w:val="20"/>
                <w:shd w:val="solid" w:color="000000" w:fill="000000"/>
                <w:fitText w:val="80" w:id="-893196283"/>
                <w14:textFill>
                  <w14:solidFill>
                    <w14:srgbClr w14:val="000000">
                      <w14:alpha w14:val="100000"/>
                    </w14:srgbClr>
                  </w14:solidFill>
                </w14:textFill>
              </w:rPr>
              <w:t xml:space="preserve">　</w:t>
            </w:r>
            <w:r w:rsidR="000D5E52" w:rsidRPr="005464FA">
              <w:rPr>
                <w:szCs w:val="20"/>
              </w:rPr>
              <w:t xml:space="preserve"> </w:t>
            </w:r>
            <w:r w:rsidR="00AB0A41">
              <w:rPr>
                <w:szCs w:val="20"/>
                <w:vertAlign w:val="superscript"/>
              </w:rPr>
              <w:t>2</w:t>
            </w:r>
          </w:p>
        </w:tc>
        <w:tc>
          <w:tcPr>
            <w:tcW w:w="629" w:type="pct"/>
            <w:shd w:val="clear" w:color="auto" w:fill="auto"/>
          </w:tcPr>
          <w:p w14:paraId="1000F9D6" w14:textId="6E9F10BC" w:rsidR="000D5E52" w:rsidRPr="005464FA" w:rsidRDefault="005F522F" w:rsidP="001A5EF0">
            <w:pPr>
              <w:pStyle w:val="TableText0"/>
              <w:jc w:val="center"/>
              <w:rPr>
                <w:color w:val="000000"/>
                <w:szCs w:val="20"/>
              </w:rPr>
            </w:pPr>
            <w:r w:rsidRPr="005F522F">
              <w:rPr>
                <w:color w:val="000000"/>
                <w:szCs w:val="20"/>
                <w:shd w:val="solid" w:color="000000" w:fill="000000"/>
                <w14:textFill>
                  <w14:solidFill>
                    <w14:srgbClr w14:val="000000">
                      <w14:alpha w14:val="100000"/>
                    </w14:srgbClr>
                  </w14:solidFill>
                </w14:textFill>
              </w:rPr>
              <w:t>|</w:t>
            </w:r>
            <w:r w:rsidR="000D5E52" w:rsidRPr="005464FA">
              <w:rPr>
                <w:szCs w:val="20"/>
              </w:rPr>
              <w:t xml:space="preserve"> </w:t>
            </w:r>
            <w:r w:rsidR="00AB0A41">
              <w:rPr>
                <w:szCs w:val="20"/>
                <w:vertAlign w:val="superscript"/>
              </w:rPr>
              <w:t>2</w:t>
            </w:r>
          </w:p>
        </w:tc>
        <w:tc>
          <w:tcPr>
            <w:tcW w:w="601" w:type="pct"/>
          </w:tcPr>
          <w:p w14:paraId="107D52B9" w14:textId="51655748" w:rsidR="000D5E52" w:rsidRPr="005464FA" w:rsidRDefault="005F522F" w:rsidP="001A5EF0">
            <w:pPr>
              <w:pStyle w:val="TableText0"/>
              <w:jc w:val="center"/>
              <w:rPr>
                <w:color w:val="000000"/>
                <w:szCs w:val="20"/>
              </w:rPr>
            </w:pPr>
            <w:r w:rsidRPr="005F522F">
              <w:rPr>
                <w:rFonts w:hint="eastAsia"/>
                <w:color w:val="000000"/>
                <w:w w:val="15"/>
                <w:szCs w:val="20"/>
                <w:shd w:val="solid" w:color="000000" w:fill="000000"/>
                <w:fitText w:val="70" w:id="-893196282"/>
                <w14:textFill>
                  <w14:solidFill>
                    <w14:srgbClr w14:val="000000">
                      <w14:alpha w14:val="100000"/>
                    </w14:srgbClr>
                  </w14:solidFill>
                </w14:textFill>
              </w:rPr>
              <w:t xml:space="preserve">　</w:t>
            </w:r>
            <w:r w:rsidRPr="005F522F">
              <w:rPr>
                <w:color w:val="000000"/>
                <w:w w:val="15"/>
                <w:szCs w:val="20"/>
                <w:shd w:val="solid" w:color="000000" w:fill="000000"/>
                <w:fitText w:val="70" w:id="-893196282"/>
                <w14:textFill>
                  <w14:solidFill>
                    <w14:srgbClr w14:val="000000">
                      <w14:alpha w14:val="100000"/>
                    </w14:srgbClr>
                  </w14:solidFill>
                </w14:textFill>
              </w:rPr>
              <w:t>|</w:t>
            </w:r>
            <w:r w:rsidRPr="005F522F">
              <w:rPr>
                <w:rFonts w:hint="eastAsia"/>
                <w:color w:val="000000"/>
                <w:spacing w:val="4"/>
                <w:w w:val="15"/>
                <w:szCs w:val="20"/>
                <w:shd w:val="solid" w:color="000000" w:fill="000000"/>
                <w:fitText w:val="70" w:id="-893196282"/>
                <w14:textFill>
                  <w14:solidFill>
                    <w14:srgbClr w14:val="000000">
                      <w14:alpha w14:val="100000"/>
                    </w14:srgbClr>
                  </w14:solidFill>
                </w14:textFill>
              </w:rPr>
              <w:t xml:space="preserve">　</w:t>
            </w:r>
            <w:r w:rsidR="000D5E52" w:rsidRPr="005464FA">
              <w:rPr>
                <w:szCs w:val="20"/>
              </w:rPr>
              <w:t xml:space="preserve"> </w:t>
            </w:r>
            <w:r w:rsidR="00AB0A41">
              <w:rPr>
                <w:szCs w:val="20"/>
                <w:vertAlign w:val="superscript"/>
              </w:rPr>
              <w:t>2</w:t>
            </w:r>
          </w:p>
        </w:tc>
      </w:tr>
      <w:tr w:rsidR="008544B6" w:rsidRPr="005464FA" w14:paraId="11F79ADF" w14:textId="77777777" w:rsidTr="009164BC">
        <w:tc>
          <w:tcPr>
            <w:tcW w:w="1334" w:type="pct"/>
            <w:shd w:val="clear" w:color="auto" w:fill="auto"/>
          </w:tcPr>
          <w:p w14:paraId="6450E746" w14:textId="37AE2E2A" w:rsidR="000D5E52" w:rsidRPr="005464FA" w:rsidRDefault="00026770" w:rsidP="001A5EF0">
            <w:pPr>
              <w:pStyle w:val="TableText0"/>
              <w:rPr>
                <w:szCs w:val="20"/>
              </w:rPr>
            </w:pPr>
            <w:r w:rsidRPr="005464FA">
              <w:rPr>
                <w:szCs w:val="20"/>
              </w:rPr>
              <w:t xml:space="preserve">   </w:t>
            </w:r>
            <w:r w:rsidR="000D5E52" w:rsidRPr="005464FA">
              <w:rPr>
                <w:szCs w:val="20"/>
              </w:rPr>
              <w:t>Recurrent scripts only</w:t>
            </w:r>
          </w:p>
        </w:tc>
        <w:tc>
          <w:tcPr>
            <w:tcW w:w="615" w:type="pct"/>
            <w:shd w:val="clear" w:color="auto" w:fill="auto"/>
          </w:tcPr>
          <w:p w14:paraId="0EC54711" w14:textId="434F428F" w:rsidR="000D5E52" w:rsidRPr="005464FA" w:rsidRDefault="005F522F" w:rsidP="001A5EF0">
            <w:pPr>
              <w:pStyle w:val="TableText0"/>
              <w:jc w:val="center"/>
              <w:rPr>
                <w:color w:val="000000"/>
                <w:szCs w:val="20"/>
              </w:rPr>
            </w:pPr>
            <w:r w:rsidRPr="005F522F">
              <w:rPr>
                <w:rFonts w:hint="eastAsia"/>
                <w:color w:val="000000"/>
                <w:w w:val="15"/>
                <w:szCs w:val="20"/>
                <w:shd w:val="solid" w:color="000000" w:fill="000000"/>
                <w:fitText w:val="30" w:id="-893196281"/>
                <w14:textFill>
                  <w14:solidFill>
                    <w14:srgbClr w14:val="000000">
                      <w14:alpha w14:val="100000"/>
                    </w14:srgbClr>
                  </w14:solidFill>
                </w14:textFill>
              </w:rPr>
              <w:t xml:space="preserve">　</w:t>
            </w:r>
            <w:r w:rsidRPr="005F522F">
              <w:rPr>
                <w:color w:val="000000"/>
                <w:w w:val="15"/>
                <w:szCs w:val="20"/>
                <w:shd w:val="solid" w:color="000000" w:fill="000000"/>
                <w:fitText w:val="30" w:id="-893196281"/>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281"/>
                <w14:textFill>
                  <w14:solidFill>
                    <w14:srgbClr w14:val="000000">
                      <w14:alpha w14:val="100000"/>
                    </w14:srgbClr>
                  </w14:solidFill>
                </w14:textFill>
              </w:rPr>
              <w:t xml:space="preserve">　</w:t>
            </w:r>
            <w:r w:rsidR="000D5E52" w:rsidRPr="005464FA">
              <w:rPr>
                <w:szCs w:val="20"/>
              </w:rPr>
              <w:t xml:space="preserve"> </w:t>
            </w:r>
            <w:r w:rsidR="00AB0A41">
              <w:rPr>
                <w:szCs w:val="20"/>
                <w:vertAlign w:val="superscript"/>
              </w:rPr>
              <w:t>2</w:t>
            </w:r>
          </w:p>
        </w:tc>
        <w:tc>
          <w:tcPr>
            <w:tcW w:w="564" w:type="pct"/>
            <w:shd w:val="clear" w:color="auto" w:fill="auto"/>
          </w:tcPr>
          <w:p w14:paraId="41441A76" w14:textId="5C89ACAA" w:rsidR="000D5E52" w:rsidRPr="005464FA" w:rsidRDefault="005F522F" w:rsidP="001A5EF0">
            <w:pPr>
              <w:pStyle w:val="TableText0"/>
              <w:jc w:val="center"/>
              <w:rPr>
                <w:color w:val="000000"/>
                <w:szCs w:val="20"/>
              </w:rPr>
            </w:pPr>
            <w:r w:rsidRPr="005F522F">
              <w:rPr>
                <w:rFonts w:hint="eastAsia"/>
                <w:color w:val="000000"/>
                <w:w w:val="24"/>
                <w:szCs w:val="20"/>
                <w:shd w:val="solid" w:color="000000" w:fill="000000"/>
                <w:fitText w:val="110" w:id="-893196280"/>
                <w14:textFill>
                  <w14:solidFill>
                    <w14:srgbClr w14:val="000000">
                      <w14:alpha w14:val="100000"/>
                    </w14:srgbClr>
                  </w14:solidFill>
                </w14:textFill>
              </w:rPr>
              <w:t xml:space="preserve">　</w:t>
            </w:r>
            <w:r w:rsidRPr="005F522F">
              <w:rPr>
                <w:color w:val="000000"/>
                <w:w w:val="24"/>
                <w:szCs w:val="20"/>
                <w:shd w:val="solid" w:color="000000" w:fill="000000"/>
                <w:fitText w:val="110" w:id="-893196280"/>
                <w14:textFill>
                  <w14:solidFill>
                    <w14:srgbClr w14:val="000000">
                      <w14:alpha w14:val="100000"/>
                    </w14:srgbClr>
                  </w14:solidFill>
                </w14:textFill>
              </w:rPr>
              <w:t>|</w:t>
            </w:r>
            <w:r w:rsidRPr="005F522F">
              <w:rPr>
                <w:rFonts w:hint="eastAsia"/>
                <w:color w:val="000000"/>
                <w:spacing w:val="6"/>
                <w:w w:val="24"/>
                <w:szCs w:val="20"/>
                <w:shd w:val="solid" w:color="000000" w:fill="000000"/>
                <w:fitText w:val="110" w:id="-893196280"/>
                <w14:textFill>
                  <w14:solidFill>
                    <w14:srgbClr w14:val="000000">
                      <w14:alpha w14:val="100000"/>
                    </w14:srgbClr>
                  </w14:solidFill>
                </w14:textFill>
              </w:rPr>
              <w:t xml:space="preserve">　</w:t>
            </w:r>
            <w:r w:rsidR="00AB0A41" w:rsidRPr="00801D1D">
              <w:rPr>
                <w:szCs w:val="20"/>
                <w:vertAlign w:val="superscript"/>
              </w:rPr>
              <w:t>2</w:t>
            </w:r>
            <w:r w:rsidR="000D5E52" w:rsidRPr="005464FA">
              <w:rPr>
                <w:szCs w:val="20"/>
              </w:rPr>
              <w:t xml:space="preserve"> </w:t>
            </w:r>
          </w:p>
        </w:tc>
        <w:tc>
          <w:tcPr>
            <w:tcW w:w="629" w:type="pct"/>
            <w:shd w:val="clear" w:color="auto" w:fill="auto"/>
          </w:tcPr>
          <w:p w14:paraId="6CB7FF0D" w14:textId="0C840D31" w:rsidR="000D5E52" w:rsidRPr="005464FA" w:rsidRDefault="005F522F" w:rsidP="001A5EF0">
            <w:pPr>
              <w:pStyle w:val="TableText0"/>
              <w:jc w:val="center"/>
              <w:rPr>
                <w:color w:val="000000"/>
                <w:szCs w:val="20"/>
              </w:rPr>
            </w:pPr>
            <w:r w:rsidRPr="005F522F">
              <w:rPr>
                <w:rFonts w:hint="eastAsia"/>
                <w:color w:val="000000"/>
                <w:w w:val="31"/>
                <w:szCs w:val="20"/>
                <w:shd w:val="solid" w:color="000000" w:fill="000000"/>
                <w:fitText w:val="140" w:id="-893196279"/>
                <w14:textFill>
                  <w14:solidFill>
                    <w14:srgbClr w14:val="000000">
                      <w14:alpha w14:val="100000"/>
                    </w14:srgbClr>
                  </w14:solidFill>
                </w14:textFill>
              </w:rPr>
              <w:t xml:space="preserve">　</w:t>
            </w:r>
            <w:r w:rsidRPr="005F522F">
              <w:rPr>
                <w:color w:val="000000"/>
                <w:w w:val="31"/>
                <w:szCs w:val="20"/>
                <w:shd w:val="solid" w:color="000000" w:fill="000000"/>
                <w:fitText w:val="140" w:id="-893196279"/>
                <w14:textFill>
                  <w14:solidFill>
                    <w14:srgbClr w14:val="000000">
                      <w14:alpha w14:val="100000"/>
                    </w14:srgbClr>
                  </w14:solidFill>
                </w14:textFill>
              </w:rPr>
              <w:t>|</w:t>
            </w:r>
            <w:r w:rsidRPr="005F522F">
              <w:rPr>
                <w:rFonts w:hint="eastAsia"/>
                <w:color w:val="000000"/>
                <w:spacing w:val="4"/>
                <w:w w:val="31"/>
                <w:szCs w:val="20"/>
                <w:shd w:val="solid" w:color="000000" w:fill="000000"/>
                <w:fitText w:val="140" w:id="-893196279"/>
                <w14:textFill>
                  <w14:solidFill>
                    <w14:srgbClr w14:val="000000">
                      <w14:alpha w14:val="100000"/>
                    </w14:srgbClr>
                  </w14:solidFill>
                </w14:textFill>
              </w:rPr>
              <w:t xml:space="preserve">　</w:t>
            </w:r>
            <w:r w:rsidR="000D5E52" w:rsidRPr="005464FA">
              <w:rPr>
                <w:szCs w:val="20"/>
              </w:rPr>
              <w:t xml:space="preserve"> </w:t>
            </w:r>
            <w:r w:rsidR="00AB0A41">
              <w:rPr>
                <w:szCs w:val="20"/>
                <w:vertAlign w:val="superscript"/>
              </w:rPr>
              <w:t>2</w:t>
            </w:r>
          </w:p>
        </w:tc>
        <w:tc>
          <w:tcPr>
            <w:tcW w:w="629" w:type="pct"/>
            <w:shd w:val="clear" w:color="auto" w:fill="auto"/>
          </w:tcPr>
          <w:p w14:paraId="69C07BEC" w14:textId="1A499A0F" w:rsidR="000D5E52" w:rsidRPr="005464FA" w:rsidRDefault="005F522F" w:rsidP="001A5EF0">
            <w:pPr>
              <w:pStyle w:val="TableText0"/>
              <w:jc w:val="center"/>
              <w:rPr>
                <w:color w:val="000000"/>
                <w:szCs w:val="20"/>
              </w:rPr>
            </w:pPr>
            <w:r w:rsidRPr="005F522F">
              <w:rPr>
                <w:rFonts w:hint="eastAsia"/>
                <w:color w:val="000000"/>
                <w:w w:val="18"/>
                <w:szCs w:val="20"/>
                <w:shd w:val="solid" w:color="000000" w:fill="000000"/>
                <w:fitText w:val="80" w:id="-893196278"/>
                <w14:textFill>
                  <w14:solidFill>
                    <w14:srgbClr w14:val="000000">
                      <w14:alpha w14:val="100000"/>
                    </w14:srgbClr>
                  </w14:solidFill>
                </w14:textFill>
              </w:rPr>
              <w:t xml:space="preserve">　</w:t>
            </w:r>
            <w:r w:rsidRPr="005F522F">
              <w:rPr>
                <w:color w:val="000000"/>
                <w:w w:val="18"/>
                <w:szCs w:val="20"/>
                <w:shd w:val="solid" w:color="000000" w:fill="000000"/>
                <w:fitText w:val="80" w:id="-893196278"/>
                <w14:textFill>
                  <w14:solidFill>
                    <w14:srgbClr w14:val="000000">
                      <w14:alpha w14:val="100000"/>
                    </w14:srgbClr>
                  </w14:solidFill>
                </w14:textFill>
              </w:rPr>
              <w:t>|</w:t>
            </w:r>
            <w:r w:rsidRPr="005F522F">
              <w:rPr>
                <w:rFonts w:hint="eastAsia"/>
                <w:color w:val="000000"/>
                <w:w w:val="18"/>
                <w:szCs w:val="20"/>
                <w:shd w:val="solid" w:color="000000" w:fill="000000"/>
                <w:fitText w:val="80" w:id="-893196278"/>
                <w14:textFill>
                  <w14:solidFill>
                    <w14:srgbClr w14:val="000000">
                      <w14:alpha w14:val="100000"/>
                    </w14:srgbClr>
                  </w14:solidFill>
                </w14:textFill>
              </w:rPr>
              <w:t xml:space="preserve">　</w:t>
            </w:r>
            <w:r w:rsidR="000D5E52" w:rsidRPr="005464FA">
              <w:rPr>
                <w:szCs w:val="20"/>
              </w:rPr>
              <w:t xml:space="preserve"> </w:t>
            </w:r>
            <w:r w:rsidR="00AB0A41">
              <w:rPr>
                <w:szCs w:val="20"/>
                <w:vertAlign w:val="superscript"/>
              </w:rPr>
              <w:t>2</w:t>
            </w:r>
          </w:p>
        </w:tc>
        <w:tc>
          <w:tcPr>
            <w:tcW w:w="629" w:type="pct"/>
            <w:shd w:val="clear" w:color="auto" w:fill="auto"/>
          </w:tcPr>
          <w:p w14:paraId="185F03A6" w14:textId="03AE58A9" w:rsidR="000D5E52" w:rsidRPr="005464FA" w:rsidRDefault="005F522F" w:rsidP="001A5EF0">
            <w:pPr>
              <w:pStyle w:val="TableText0"/>
              <w:jc w:val="center"/>
              <w:rPr>
                <w:color w:val="000000"/>
                <w:szCs w:val="20"/>
              </w:rPr>
            </w:pPr>
            <w:r w:rsidRPr="005F522F">
              <w:rPr>
                <w:color w:val="000000"/>
                <w:szCs w:val="20"/>
                <w:shd w:val="solid" w:color="000000" w:fill="000000"/>
                <w14:textFill>
                  <w14:solidFill>
                    <w14:srgbClr w14:val="000000">
                      <w14:alpha w14:val="100000"/>
                    </w14:srgbClr>
                  </w14:solidFill>
                </w14:textFill>
              </w:rPr>
              <w:t>|</w:t>
            </w:r>
            <w:r w:rsidR="000D5E52" w:rsidRPr="005464FA">
              <w:rPr>
                <w:szCs w:val="20"/>
              </w:rPr>
              <w:t xml:space="preserve"> </w:t>
            </w:r>
            <w:r w:rsidR="00AB0A41">
              <w:rPr>
                <w:szCs w:val="20"/>
                <w:vertAlign w:val="superscript"/>
              </w:rPr>
              <w:t>2</w:t>
            </w:r>
          </w:p>
        </w:tc>
        <w:tc>
          <w:tcPr>
            <w:tcW w:w="601" w:type="pct"/>
          </w:tcPr>
          <w:p w14:paraId="101BB4E6" w14:textId="523EC8C7" w:rsidR="000D5E52" w:rsidRPr="005464FA" w:rsidRDefault="005F522F" w:rsidP="001A5EF0">
            <w:pPr>
              <w:pStyle w:val="TableText0"/>
              <w:jc w:val="center"/>
              <w:rPr>
                <w:color w:val="000000"/>
                <w:szCs w:val="20"/>
              </w:rPr>
            </w:pPr>
            <w:r w:rsidRPr="005F522F">
              <w:rPr>
                <w:rFonts w:hint="eastAsia"/>
                <w:color w:val="000000"/>
                <w:w w:val="15"/>
                <w:szCs w:val="20"/>
                <w:shd w:val="solid" w:color="000000" w:fill="000000"/>
                <w:fitText w:val="70" w:id="-893196277"/>
                <w14:textFill>
                  <w14:solidFill>
                    <w14:srgbClr w14:val="000000">
                      <w14:alpha w14:val="100000"/>
                    </w14:srgbClr>
                  </w14:solidFill>
                </w14:textFill>
              </w:rPr>
              <w:t xml:space="preserve">　</w:t>
            </w:r>
            <w:r w:rsidRPr="005F522F">
              <w:rPr>
                <w:color w:val="000000"/>
                <w:w w:val="15"/>
                <w:szCs w:val="20"/>
                <w:shd w:val="solid" w:color="000000" w:fill="000000"/>
                <w:fitText w:val="70" w:id="-893196277"/>
                <w14:textFill>
                  <w14:solidFill>
                    <w14:srgbClr w14:val="000000">
                      <w14:alpha w14:val="100000"/>
                    </w14:srgbClr>
                  </w14:solidFill>
                </w14:textFill>
              </w:rPr>
              <w:t>|</w:t>
            </w:r>
            <w:r w:rsidRPr="005F522F">
              <w:rPr>
                <w:rFonts w:hint="eastAsia"/>
                <w:color w:val="000000"/>
                <w:spacing w:val="4"/>
                <w:w w:val="15"/>
                <w:szCs w:val="20"/>
                <w:shd w:val="solid" w:color="000000" w:fill="000000"/>
                <w:fitText w:val="70" w:id="-893196277"/>
                <w14:textFill>
                  <w14:solidFill>
                    <w14:srgbClr w14:val="000000">
                      <w14:alpha w14:val="100000"/>
                    </w14:srgbClr>
                  </w14:solidFill>
                </w14:textFill>
              </w:rPr>
              <w:t xml:space="preserve">　</w:t>
            </w:r>
            <w:r w:rsidR="000D5E52" w:rsidRPr="005464FA">
              <w:rPr>
                <w:szCs w:val="20"/>
              </w:rPr>
              <w:t xml:space="preserve"> </w:t>
            </w:r>
            <w:r w:rsidR="00AB0A41">
              <w:rPr>
                <w:szCs w:val="20"/>
                <w:vertAlign w:val="superscript"/>
              </w:rPr>
              <w:t>2</w:t>
            </w:r>
          </w:p>
        </w:tc>
      </w:tr>
      <w:tr w:rsidR="008544B6" w:rsidRPr="005464FA" w14:paraId="3833EADD" w14:textId="77777777" w:rsidTr="009164BC">
        <w:tc>
          <w:tcPr>
            <w:tcW w:w="1334" w:type="pct"/>
            <w:shd w:val="clear" w:color="auto" w:fill="auto"/>
          </w:tcPr>
          <w:p w14:paraId="56884C83" w14:textId="3FE6BBD4" w:rsidR="000D5E52" w:rsidRPr="005464FA" w:rsidRDefault="00026770" w:rsidP="001A5EF0">
            <w:pPr>
              <w:pStyle w:val="TableText0"/>
              <w:rPr>
                <w:szCs w:val="20"/>
              </w:rPr>
            </w:pPr>
            <w:r w:rsidRPr="005464FA">
              <w:rPr>
                <w:szCs w:val="20"/>
              </w:rPr>
              <w:t xml:space="preserve">   </w:t>
            </w:r>
            <w:r w:rsidR="000D5E52" w:rsidRPr="005464FA">
              <w:rPr>
                <w:szCs w:val="20"/>
              </w:rPr>
              <w:t>De novo scripts only</w:t>
            </w:r>
          </w:p>
        </w:tc>
        <w:tc>
          <w:tcPr>
            <w:tcW w:w="615" w:type="pct"/>
            <w:shd w:val="clear" w:color="auto" w:fill="auto"/>
            <w:vAlign w:val="center"/>
          </w:tcPr>
          <w:p w14:paraId="45EC1EB2" w14:textId="3B09F683" w:rsidR="000D5E52" w:rsidRPr="005464FA" w:rsidRDefault="005F522F" w:rsidP="001A5EF0">
            <w:pPr>
              <w:pStyle w:val="TableText0"/>
              <w:jc w:val="center"/>
              <w:rPr>
                <w:color w:val="000000"/>
                <w:szCs w:val="20"/>
              </w:rPr>
            </w:pPr>
            <w:r w:rsidRPr="005F522F">
              <w:rPr>
                <w:rFonts w:cs="Arial" w:hint="eastAsia"/>
                <w:color w:val="000000"/>
                <w:w w:val="15"/>
                <w:szCs w:val="20"/>
                <w:shd w:val="solid" w:color="000000" w:fill="000000"/>
                <w:fitText w:val="30" w:id="-893196276"/>
                <w14:textFill>
                  <w14:solidFill>
                    <w14:srgbClr w14:val="000000">
                      <w14:alpha w14:val="100000"/>
                    </w14:srgbClr>
                  </w14:solidFill>
                </w14:textFill>
              </w:rPr>
              <w:t xml:space="preserve">　</w:t>
            </w:r>
            <w:r w:rsidRPr="005F522F">
              <w:rPr>
                <w:rFonts w:cs="Arial"/>
                <w:color w:val="000000"/>
                <w:w w:val="15"/>
                <w:szCs w:val="20"/>
                <w:shd w:val="solid" w:color="000000" w:fill="000000"/>
                <w:fitText w:val="30" w:id="-893196276"/>
                <w14:textFill>
                  <w14:solidFill>
                    <w14:srgbClr w14:val="000000">
                      <w14:alpha w14:val="100000"/>
                    </w14:srgbClr>
                  </w14:solidFill>
                </w14:textFill>
              </w:rPr>
              <w:t>|</w:t>
            </w:r>
            <w:r w:rsidRPr="005F522F">
              <w:rPr>
                <w:rFonts w:cs="Arial" w:hint="eastAsia"/>
                <w:color w:val="000000"/>
                <w:spacing w:val="-35"/>
                <w:w w:val="15"/>
                <w:szCs w:val="20"/>
                <w:shd w:val="solid" w:color="000000" w:fill="000000"/>
                <w:fitText w:val="30" w:id="-893196276"/>
                <w14:textFill>
                  <w14:solidFill>
                    <w14:srgbClr w14:val="000000">
                      <w14:alpha w14:val="100000"/>
                    </w14:srgbClr>
                  </w14:solidFill>
                </w14:textFill>
              </w:rPr>
              <w:t xml:space="preserve">　</w:t>
            </w:r>
            <w:r w:rsidR="000D5E52" w:rsidRPr="005464FA">
              <w:rPr>
                <w:rFonts w:cs="Arial"/>
                <w:color w:val="000000"/>
                <w:szCs w:val="20"/>
              </w:rPr>
              <w:t xml:space="preserve"> </w:t>
            </w:r>
            <w:r w:rsidR="00AB0A41">
              <w:rPr>
                <w:szCs w:val="20"/>
                <w:vertAlign w:val="superscript"/>
              </w:rPr>
              <w:t>2</w:t>
            </w:r>
          </w:p>
        </w:tc>
        <w:tc>
          <w:tcPr>
            <w:tcW w:w="564" w:type="pct"/>
            <w:shd w:val="clear" w:color="auto" w:fill="auto"/>
            <w:vAlign w:val="center"/>
          </w:tcPr>
          <w:p w14:paraId="0E627C17" w14:textId="29C3A933" w:rsidR="000D5E52" w:rsidRPr="005464FA" w:rsidRDefault="005F522F" w:rsidP="001A5EF0">
            <w:pPr>
              <w:pStyle w:val="TableText0"/>
              <w:jc w:val="center"/>
              <w:rPr>
                <w:color w:val="000000"/>
                <w:szCs w:val="20"/>
              </w:rPr>
            </w:pPr>
            <w:r w:rsidRPr="005F522F">
              <w:rPr>
                <w:rFonts w:cs="Arial" w:hint="eastAsia"/>
                <w:color w:val="000000"/>
                <w:w w:val="31"/>
                <w:szCs w:val="20"/>
                <w:shd w:val="solid" w:color="000000" w:fill="000000"/>
                <w:fitText w:val="140" w:id="-893196275"/>
                <w14:textFill>
                  <w14:solidFill>
                    <w14:srgbClr w14:val="000000">
                      <w14:alpha w14:val="100000"/>
                    </w14:srgbClr>
                  </w14:solidFill>
                </w14:textFill>
              </w:rPr>
              <w:t xml:space="preserve">　</w:t>
            </w:r>
            <w:r w:rsidRPr="005F522F">
              <w:rPr>
                <w:rFonts w:cs="Arial"/>
                <w:color w:val="000000"/>
                <w:w w:val="31"/>
                <w:szCs w:val="20"/>
                <w:shd w:val="solid" w:color="000000" w:fill="000000"/>
                <w:fitText w:val="140" w:id="-893196275"/>
                <w14:textFill>
                  <w14:solidFill>
                    <w14:srgbClr w14:val="000000">
                      <w14:alpha w14:val="100000"/>
                    </w14:srgbClr>
                  </w14:solidFill>
                </w14:textFill>
              </w:rPr>
              <w:t>|</w:t>
            </w:r>
            <w:r w:rsidRPr="005F522F">
              <w:rPr>
                <w:rFonts w:cs="Arial" w:hint="eastAsia"/>
                <w:color w:val="000000"/>
                <w:spacing w:val="4"/>
                <w:w w:val="31"/>
                <w:szCs w:val="20"/>
                <w:shd w:val="solid" w:color="000000" w:fill="000000"/>
                <w:fitText w:val="140" w:id="-893196275"/>
                <w14:textFill>
                  <w14:solidFill>
                    <w14:srgbClr w14:val="000000">
                      <w14:alpha w14:val="100000"/>
                    </w14:srgbClr>
                  </w14:solidFill>
                </w14:textFill>
              </w:rPr>
              <w:t xml:space="preserve">　</w:t>
            </w:r>
            <w:r w:rsidR="000D5E52" w:rsidRPr="005464FA">
              <w:rPr>
                <w:rFonts w:cs="Arial"/>
                <w:color w:val="000000"/>
                <w:szCs w:val="20"/>
              </w:rPr>
              <w:t xml:space="preserve"> </w:t>
            </w:r>
            <w:r w:rsidR="00AB0A41">
              <w:rPr>
                <w:szCs w:val="20"/>
                <w:vertAlign w:val="superscript"/>
              </w:rPr>
              <w:t>2</w:t>
            </w:r>
          </w:p>
        </w:tc>
        <w:tc>
          <w:tcPr>
            <w:tcW w:w="629" w:type="pct"/>
            <w:shd w:val="clear" w:color="auto" w:fill="auto"/>
            <w:vAlign w:val="center"/>
          </w:tcPr>
          <w:p w14:paraId="733F47A2" w14:textId="2C42257E" w:rsidR="000D5E52" w:rsidRPr="005464FA" w:rsidRDefault="005F522F" w:rsidP="001A5EF0">
            <w:pPr>
              <w:pStyle w:val="TableText0"/>
              <w:jc w:val="center"/>
              <w:rPr>
                <w:color w:val="000000"/>
                <w:szCs w:val="20"/>
              </w:rPr>
            </w:pPr>
            <w:r w:rsidRPr="005F522F">
              <w:rPr>
                <w:rFonts w:cs="Arial" w:hint="eastAsia"/>
                <w:color w:val="000000"/>
                <w:w w:val="31"/>
                <w:szCs w:val="20"/>
                <w:shd w:val="solid" w:color="000000" w:fill="000000"/>
                <w:fitText w:val="140" w:id="-893196274"/>
                <w14:textFill>
                  <w14:solidFill>
                    <w14:srgbClr w14:val="000000">
                      <w14:alpha w14:val="100000"/>
                    </w14:srgbClr>
                  </w14:solidFill>
                </w14:textFill>
              </w:rPr>
              <w:t xml:space="preserve">　</w:t>
            </w:r>
            <w:r w:rsidRPr="005F522F">
              <w:rPr>
                <w:rFonts w:cs="Arial"/>
                <w:color w:val="000000"/>
                <w:w w:val="31"/>
                <w:szCs w:val="20"/>
                <w:shd w:val="solid" w:color="000000" w:fill="000000"/>
                <w:fitText w:val="140" w:id="-893196274"/>
                <w14:textFill>
                  <w14:solidFill>
                    <w14:srgbClr w14:val="000000">
                      <w14:alpha w14:val="100000"/>
                    </w14:srgbClr>
                  </w14:solidFill>
                </w14:textFill>
              </w:rPr>
              <w:t>|</w:t>
            </w:r>
            <w:r w:rsidRPr="005F522F">
              <w:rPr>
                <w:rFonts w:cs="Arial" w:hint="eastAsia"/>
                <w:color w:val="000000"/>
                <w:spacing w:val="4"/>
                <w:w w:val="31"/>
                <w:szCs w:val="20"/>
                <w:shd w:val="solid" w:color="000000" w:fill="000000"/>
                <w:fitText w:val="140" w:id="-893196274"/>
                <w14:textFill>
                  <w14:solidFill>
                    <w14:srgbClr w14:val="000000">
                      <w14:alpha w14:val="100000"/>
                    </w14:srgbClr>
                  </w14:solidFill>
                </w14:textFill>
              </w:rPr>
              <w:t xml:space="preserve">　</w:t>
            </w:r>
            <w:r w:rsidR="000D5E52" w:rsidRPr="005464FA">
              <w:rPr>
                <w:rFonts w:cs="Arial"/>
                <w:color w:val="000000"/>
                <w:szCs w:val="20"/>
              </w:rPr>
              <w:t xml:space="preserve"> </w:t>
            </w:r>
            <w:r w:rsidR="00AB0A41">
              <w:rPr>
                <w:szCs w:val="20"/>
                <w:vertAlign w:val="superscript"/>
              </w:rPr>
              <w:t>2</w:t>
            </w:r>
          </w:p>
        </w:tc>
        <w:tc>
          <w:tcPr>
            <w:tcW w:w="629" w:type="pct"/>
            <w:shd w:val="clear" w:color="auto" w:fill="auto"/>
            <w:vAlign w:val="center"/>
          </w:tcPr>
          <w:p w14:paraId="5DAC046A" w14:textId="10FC295C" w:rsidR="000D5E52" w:rsidRPr="005464FA" w:rsidRDefault="005F522F" w:rsidP="001A5EF0">
            <w:pPr>
              <w:pStyle w:val="TableText0"/>
              <w:jc w:val="center"/>
              <w:rPr>
                <w:color w:val="000000"/>
                <w:szCs w:val="20"/>
              </w:rPr>
            </w:pPr>
            <w:r w:rsidRPr="005F522F">
              <w:rPr>
                <w:rFonts w:cs="Arial" w:hint="eastAsia"/>
                <w:color w:val="000000"/>
                <w:w w:val="18"/>
                <w:szCs w:val="20"/>
                <w:shd w:val="solid" w:color="000000" w:fill="000000"/>
                <w:fitText w:val="80" w:id="-893196273"/>
                <w14:textFill>
                  <w14:solidFill>
                    <w14:srgbClr w14:val="000000">
                      <w14:alpha w14:val="100000"/>
                    </w14:srgbClr>
                  </w14:solidFill>
                </w14:textFill>
              </w:rPr>
              <w:t xml:space="preserve">　</w:t>
            </w:r>
            <w:r w:rsidRPr="005F522F">
              <w:rPr>
                <w:rFonts w:cs="Arial"/>
                <w:color w:val="000000"/>
                <w:w w:val="18"/>
                <w:szCs w:val="20"/>
                <w:shd w:val="solid" w:color="000000" w:fill="000000"/>
                <w:fitText w:val="80" w:id="-893196273"/>
                <w14:textFill>
                  <w14:solidFill>
                    <w14:srgbClr w14:val="000000">
                      <w14:alpha w14:val="100000"/>
                    </w14:srgbClr>
                  </w14:solidFill>
                </w14:textFill>
              </w:rPr>
              <w:t>|</w:t>
            </w:r>
            <w:r w:rsidRPr="005F522F">
              <w:rPr>
                <w:rFonts w:cs="Arial" w:hint="eastAsia"/>
                <w:color w:val="000000"/>
                <w:w w:val="18"/>
                <w:szCs w:val="20"/>
                <w:shd w:val="solid" w:color="000000" w:fill="000000"/>
                <w:fitText w:val="80" w:id="-893196273"/>
                <w14:textFill>
                  <w14:solidFill>
                    <w14:srgbClr w14:val="000000">
                      <w14:alpha w14:val="100000"/>
                    </w14:srgbClr>
                  </w14:solidFill>
                </w14:textFill>
              </w:rPr>
              <w:t xml:space="preserve">　</w:t>
            </w:r>
            <w:r w:rsidR="000D5E52" w:rsidRPr="005464FA">
              <w:rPr>
                <w:rFonts w:cs="Arial"/>
                <w:color w:val="000000"/>
                <w:szCs w:val="20"/>
              </w:rPr>
              <w:t xml:space="preserve"> </w:t>
            </w:r>
            <w:r w:rsidR="00AB0A41">
              <w:rPr>
                <w:szCs w:val="20"/>
                <w:vertAlign w:val="superscript"/>
              </w:rPr>
              <w:t>2</w:t>
            </w:r>
          </w:p>
        </w:tc>
        <w:tc>
          <w:tcPr>
            <w:tcW w:w="629" w:type="pct"/>
            <w:shd w:val="clear" w:color="auto" w:fill="auto"/>
            <w:vAlign w:val="center"/>
          </w:tcPr>
          <w:p w14:paraId="2B324C5F" w14:textId="0E2A6A11" w:rsidR="000D5E52" w:rsidRPr="005464FA" w:rsidRDefault="005F522F" w:rsidP="001A5EF0">
            <w:pPr>
              <w:pStyle w:val="TableText0"/>
              <w:jc w:val="center"/>
              <w:rPr>
                <w:color w:val="000000"/>
                <w:szCs w:val="20"/>
              </w:rPr>
            </w:pPr>
            <w:r w:rsidRPr="005F522F">
              <w:rPr>
                <w:rFonts w:cs="Arial"/>
                <w:color w:val="000000"/>
                <w:szCs w:val="20"/>
                <w:shd w:val="solid" w:color="000000" w:fill="000000"/>
                <w14:textFill>
                  <w14:solidFill>
                    <w14:srgbClr w14:val="000000">
                      <w14:alpha w14:val="100000"/>
                    </w14:srgbClr>
                  </w14:solidFill>
                </w14:textFill>
              </w:rPr>
              <w:t>|</w:t>
            </w:r>
            <w:r w:rsidR="000D5E52" w:rsidRPr="005464FA">
              <w:rPr>
                <w:rFonts w:cs="Arial"/>
                <w:color w:val="000000"/>
                <w:szCs w:val="20"/>
              </w:rPr>
              <w:t xml:space="preserve"> </w:t>
            </w:r>
            <w:r w:rsidR="00AB0A41">
              <w:rPr>
                <w:szCs w:val="20"/>
                <w:vertAlign w:val="superscript"/>
              </w:rPr>
              <w:t>2</w:t>
            </w:r>
          </w:p>
        </w:tc>
        <w:tc>
          <w:tcPr>
            <w:tcW w:w="601" w:type="pct"/>
            <w:vAlign w:val="center"/>
          </w:tcPr>
          <w:p w14:paraId="43A8A7A3" w14:textId="6C6CE609" w:rsidR="000D5E52" w:rsidRPr="005464FA" w:rsidRDefault="005F522F" w:rsidP="001A5EF0">
            <w:pPr>
              <w:pStyle w:val="TableText0"/>
              <w:jc w:val="center"/>
              <w:rPr>
                <w:color w:val="000000"/>
                <w:szCs w:val="20"/>
              </w:rPr>
            </w:pPr>
            <w:r w:rsidRPr="005F522F">
              <w:rPr>
                <w:rFonts w:cs="Arial" w:hint="eastAsia"/>
                <w:color w:val="000000"/>
                <w:w w:val="15"/>
                <w:szCs w:val="20"/>
                <w:shd w:val="solid" w:color="000000" w:fill="000000"/>
                <w:fitText w:val="70" w:id="-893196272"/>
                <w14:textFill>
                  <w14:solidFill>
                    <w14:srgbClr w14:val="000000">
                      <w14:alpha w14:val="100000"/>
                    </w14:srgbClr>
                  </w14:solidFill>
                </w14:textFill>
              </w:rPr>
              <w:t xml:space="preserve">　</w:t>
            </w:r>
            <w:r w:rsidRPr="005F522F">
              <w:rPr>
                <w:rFonts w:cs="Arial"/>
                <w:color w:val="000000"/>
                <w:w w:val="15"/>
                <w:szCs w:val="20"/>
                <w:shd w:val="solid" w:color="000000" w:fill="000000"/>
                <w:fitText w:val="70" w:id="-893196272"/>
                <w14:textFill>
                  <w14:solidFill>
                    <w14:srgbClr w14:val="000000">
                      <w14:alpha w14:val="100000"/>
                    </w14:srgbClr>
                  </w14:solidFill>
                </w14:textFill>
              </w:rPr>
              <w:t>|</w:t>
            </w:r>
            <w:r w:rsidRPr="005F522F">
              <w:rPr>
                <w:rFonts w:cs="Arial" w:hint="eastAsia"/>
                <w:color w:val="000000"/>
                <w:spacing w:val="4"/>
                <w:w w:val="15"/>
                <w:szCs w:val="20"/>
                <w:shd w:val="solid" w:color="000000" w:fill="000000"/>
                <w:fitText w:val="70" w:id="-893196272"/>
                <w14:textFill>
                  <w14:solidFill>
                    <w14:srgbClr w14:val="000000">
                      <w14:alpha w14:val="100000"/>
                    </w14:srgbClr>
                  </w14:solidFill>
                </w14:textFill>
              </w:rPr>
              <w:t xml:space="preserve">　</w:t>
            </w:r>
            <w:r w:rsidR="000D5E52" w:rsidRPr="005464FA">
              <w:rPr>
                <w:rFonts w:cs="Arial"/>
                <w:color w:val="000000"/>
                <w:szCs w:val="20"/>
              </w:rPr>
              <w:t xml:space="preserve"> </w:t>
            </w:r>
            <w:r w:rsidR="00AB0A41">
              <w:rPr>
                <w:szCs w:val="20"/>
                <w:vertAlign w:val="superscript"/>
              </w:rPr>
              <w:t>2</w:t>
            </w:r>
          </w:p>
        </w:tc>
      </w:tr>
      <w:tr w:rsidR="000D5E52" w:rsidRPr="005464FA" w14:paraId="51F2B9DA" w14:textId="77777777" w:rsidTr="003A0777">
        <w:tc>
          <w:tcPr>
            <w:tcW w:w="5000" w:type="pct"/>
            <w:gridSpan w:val="7"/>
            <w:shd w:val="clear" w:color="auto" w:fill="auto"/>
            <w:vAlign w:val="center"/>
          </w:tcPr>
          <w:p w14:paraId="0D2B51ED" w14:textId="1C8A6280" w:rsidR="000D5E52" w:rsidRPr="005464FA" w:rsidRDefault="000D5E52" w:rsidP="001A5EF0">
            <w:pPr>
              <w:pStyle w:val="In-tableHeading"/>
              <w:rPr>
                <w:szCs w:val="20"/>
                <w:lang w:val="en-AU"/>
              </w:rPr>
            </w:pPr>
            <w:r w:rsidRPr="005464FA">
              <w:rPr>
                <w:szCs w:val="20"/>
                <w:lang w:val="en-AU"/>
              </w:rPr>
              <w:t>Net financial implications</w:t>
            </w:r>
            <w:r w:rsidRPr="005464FA">
              <w:rPr>
                <w:color w:val="4BACC6" w:themeColor="accent5"/>
                <w:szCs w:val="20"/>
                <w:lang w:val="en-AU"/>
              </w:rPr>
              <w:t xml:space="preserve"> </w:t>
            </w:r>
          </w:p>
        </w:tc>
      </w:tr>
      <w:tr w:rsidR="008544B6" w:rsidRPr="005464FA" w14:paraId="3DAD1B54" w14:textId="77777777" w:rsidTr="009164BC">
        <w:tc>
          <w:tcPr>
            <w:tcW w:w="1334" w:type="pct"/>
            <w:shd w:val="clear" w:color="auto" w:fill="auto"/>
            <w:vAlign w:val="center"/>
          </w:tcPr>
          <w:p w14:paraId="67D0C858" w14:textId="77777777" w:rsidR="000D5E52" w:rsidRPr="005464FA" w:rsidRDefault="000D5E52" w:rsidP="001A5EF0">
            <w:pPr>
              <w:pStyle w:val="TableText0"/>
              <w:rPr>
                <w:szCs w:val="20"/>
              </w:rPr>
            </w:pPr>
            <w:r w:rsidRPr="005464FA">
              <w:rPr>
                <w:szCs w:val="20"/>
              </w:rPr>
              <w:t>Net cost to PBS/RPBS</w:t>
            </w:r>
          </w:p>
        </w:tc>
        <w:tc>
          <w:tcPr>
            <w:tcW w:w="615" w:type="pct"/>
            <w:shd w:val="clear" w:color="auto" w:fill="auto"/>
            <w:vAlign w:val="center"/>
          </w:tcPr>
          <w:p w14:paraId="4FA2C43D" w14:textId="7323F2B5" w:rsidR="000D5E52" w:rsidRPr="005464FA" w:rsidRDefault="005F522F" w:rsidP="001A5EF0">
            <w:pPr>
              <w:pStyle w:val="TableText0"/>
              <w:jc w:val="center"/>
              <w:rPr>
                <w:szCs w:val="20"/>
              </w:rPr>
            </w:pPr>
            <w:r w:rsidRPr="005F522F">
              <w:rPr>
                <w:rFonts w:hint="eastAsia"/>
                <w:color w:val="000000"/>
                <w:w w:val="15"/>
                <w:szCs w:val="20"/>
                <w:shd w:val="solid" w:color="000000" w:fill="000000"/>
                <w:fitText w:val="30" w:id="-893196288"/>
                <w14:textFill>
                  <w14:solidFill>
                    <w14:srgbClr w14:val="000000">
                      <w14:alpha w14:val="100000"/>
                    </w14:srgbClr>
                  </w14:solidFill>
                </w14:textFill>
              </w:rPr>
              <w:t xml:space="preserve">　</w:t>
            </w:r>
            <w:r w:rsidRPr="005F522F">
              <w:rPr>
                <w:color w:val="000000"/>
                <w:w w:val="15"/>
                <w:szCs w:val="20"/>
                <w:shd w:val="solid" w:color="000000" w:fill="000000"/>
                <w:fitText w:val="30" w:id="-893196288"/>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288"/>
                <w14:textFill>
                  <w14:solidFill>
                    <w14:srgbClr w14:val="000000">
                      <w14:alpha w14:val="100000"/>
                    </w14:srgbClr>
                  </w14:solidFill>
                </w14:textFill>
              </w:rPr>
              <w:t xml:space="preserve">　</w:t>
            </w:r>
            <w:r w:rsidR="00AB0A41">
              <w:rPr>
                <w:szCs w:val="20"/>
              </w:rPr>
              <w:t xml:space="preserve"> </w:t>
            </w:r>
            <w:r w:rsidR="00537F9E">
              <w:rPr>
                <w:szCs w:val="20"/>
                <w:vertAlign w:val="superscript"/>
              </w:rPr>
              <w:t>3</w:t>
            </w:r>
          </w:p>
        </w:tc>
        <w:tc>
          <w:tcPr>
            <w:tcW w:w="564" w:type="pct"/>
            <w:shd w:val="clear" w:color="auto" w:fill="auto"/>
            <w:vAlign w:val="center"/>
          </w:tcPr>
          <w:p w14:paraId="324F440F" w14:textId="7257FFCF" w:rsidR="000D5E52" w:rsidRPr="005464FA" w:rsidRDefault="005F522F" w:rsidP="001A5EF0">
            <w:pPr>
              <w:pStyle w:val="TableText0"/>
              <w:jc w:val="center"/>
              <w:rPr>
                <w:szCs w:val="20"/>
              </w:rPr>
            </w:pPr>
            <w:r w:rsidRPr="005F522F">
              <w:rPr>
                <w:rFonts w:hint="eastAsia"/>
                <w:color w:val="000000"/>
                <w:w w:val="31"/>
                <w:szCs w:val="20"/>
                <w:shd w:val="solid" w:color="000000" w:fill="000000"/>
                <w:fitText w:val="140" w:id="-893196287"/>
                <w14:textFill>
                  <w14:solidFill>
                    <w14:srgbClr w14:val="000000">
                      <w14:alpha w14:val="100000"/>
                    </w14:srgbClr>
                  </w14:solidFill>
                </w14:textFill>
              </w:rPr>
              <w:t xml:space="preserve">　</w:t>
            </w:r>
            <w:r w:rsidRPr="005F522F">
              <w:rPr>
                <w:color w:val="000000"/>
                <w:w w:val="31"/>
                <w:szCs w:val="20"/>
                <w:shd w:val="solid" w:color="000000" w:fill="000000"/>
                <w:fitText w:val="140" w:id="-893196287"/>
                <w14:textFill>
                  <w14:solidFill>
                    <w14:srgbClr w14:val="000000">
                      <w14:alpha w14:val="100000"/>
                    </w14:srgbClr>
                  </w14:solidFill>
                </w14:textFill>
              </w:rPr>
              <w:t>|</w:t>
            </w:r>
            <w:r w:rsidRPr="005F522F">
              <w:rPr>
                <w:rFonts w:hint="eastAsia"/>
                <w:color w:val="000000"/>
                <w:spacing w:val="4"/>
                <w:w w:val="31"/>
                <w:szCs w:val="20"/>
                <w:shd w:val="solid" w:color="000000" w:fill="000000"/>
                <w:fitText w:val="140" w:id="-893196287"/>
                <w14:textFill>
                  <w14:solidFill>
                    <w14:srgbClr w14:val="000000">
                      <w14:alpha w14:val="100000"/>
                    </w14:srgbClr>
                  </w14:solidFill>
                </w14:textFill>
              </w:rPr>
              <w:t xml:space="preserve">　</w:t>
            </w:r>
            <w:r w:rsidR="00537F9E">
              <w:rPr>
                <w:szCs w:val="20"/>
              </w:rPr>
              <w:t xml:space="preserve"> </w:t>
            </w:r>
            <w:r w:rsidR="00537F9E">
              <w:rPr>
                <w:szCs w:val="20"/>
                <w:vertAlign w:val="superscript"/>
              </w:rPr>
              <w:t>3</w:t>
            </w:r>
          </w:p>
        </w:tc>
        <w:tc>
          <w:tcPr>
            <w:tcW w:w="629" w:type="pct"/>
            <w:shd w:val="clear" w:color="auto" w:fill="auto"/>
            <w:vAlign w:val="center"/>
          </w:tcPr>
          <w:p w14:paraId="25F2BC82" w14:textId="7DCCFCF3" w:rsidR="000D5E52" w:rsidRPr="005464FA" w:rsidRDefault="005F522F" w:rsidP="001A5EF0">
            <w:pPr>
              <w:pStyle w:val="TableText0"/>
              <w:jc w:val="center"/>
              <w:rPr>
                <w:szCs w:val="20"/>
              </w:rPr>
            </w:pPr>
            <w:r w:rsidRPr="005F522F">
              <w:rPr>
                <w:rFonts w:hint="eastAsia"/>
                <w:color w:val="000000"/>
                <w:w w:val="31"/>
                <w:szCs w:val="20"/>
                <w:shd w:val="solid" w:color="000000" w:fill="000000"/>
                <w:fitText w:val="140" w:id="-893196286"/>
                <w14:textFill>
                  <w14:solidFill>
                    <w14:srgbClr w14:val="000000">
                      <w14:alpha w14:val="100000"/>
                    </w14:srgbClr>
                  </w14:solidFill>
                </w14:textFill>
              </w:rPr>
              <w:t xml:space="preserve">　</w:t>
            </w:r>
            <w:r w:rsidRPr="005F522F">
              <w:rPr>
                <w:color w:val="000000"/>
                <w:w w:val="31"/>
                <w:szCs w:val="20"/>
                <w:shd w:val="solid" w:color="000000" w:fill="000000"/>
                <w:fitText w:val="140" w:id="-893196286"/>
                <w14:textFill>
                  <w14:solidFill>
                    <w14:srgbClr w14:val="000000">
                      <w14:alpha w14:val="100000"/>
                    </w14:srgbClr>
                  </w14:solidFill>
                </w14:textFill>
              </w:rPr>
              <w:t>|</w:t>
            </w:r>
            <w:r w:rsidRPr="005F522F">
              <w:rPr>
                <w:rFonts w:hint="eastAsia"/>
                <w:color w:val="000000"/>
                <w:spacing w:val="4"/>
                <w:w w:val="31"/>
                <w:szCs w:val="20"/>
                <w:shd w:val="solid" w:color="000000" w:fill="000000"/>
                <w:fitText w:val="140" w:id="-893196286"/>
                <w14:textFill>
                  <w14:solidFill>
                    <w14:srgbClr w14:val="000000">
                      <w14:alpha w14:val="100000"/>
                    </w14:srgbClr>
                  </w14:solidFill>
                </w14:textFill>
              </w:rPr>
              <w:t xml:space="preserve">　</w:t>
            </w:r>
            <w:r w:rsidR="00537F9E">
              <w:rPr>
                <w:szCs w:val="20"/>
              </w:rPr>
              <w:t xml:space="preserve"> </w:t>
            </w:r>
            <w:r w:rsidR="00537F9E">
              <w:rPr>
                <w:szCs w:val="20"/>
                <w:vertAlign w:val="superscript"/>
              </w:rPr>
              <w:t>3</w:t>
            </w:r>
          </w:p>
        </w:tc>
        <w:tc>
          <w:tcPr>
            <w:tcW w:w="629" w:type="pct"/>
            <w:shd w:val="clear" w:color="auto" w:fill="auto"/>
            <w:vAlign w:val="center"/>
          </w:tcPr>
          <w:p w14:paraId="6C367E85" w14:textId="499E3A9F" w:rsidR="000D5E52" w:rsidRPr="005464FA" w:rsidRDefault="005F522F" w:rsidP="001A5EF0">
            <w:pPr>
              <w:pStyle w:val="TableText0"/>
              <w:jc w:val="center"/>
              <w:rPr>
                <w:szCs w:val="20"/>
              </w:rPr>
            </w:pPr>
            <w:r w:rsidRPr="005F522F">
              <w:rPr>
                <w:rFonts w:hint="eastAsia"/>
                <w:color w:val="000000"/>
                <w:w w:val="18"/>
                <w:szCs w:val="20"/>
                <w:shd w:val="solid" w:color="000000" w:fill="000000"/>
                <w:fitText w:val="80" w:id="-893196285"/>
                <w14:textFill>
                  <w14:solidFill>
                    <w14:srgbClr w14:val="000000">
                      <w14:alpha w14:val="100000"/>
                    </w14:srgbClr>
                  </w14:solidFill>
                </w14:textFill>
              </w:rPr>
              <w:t xml:space="preserve">　</w:t>
            </w:r>
            <w:r w:rsidRPr="005F522F">
              <w:rPr>
                <w:color w:val="000000"/>
                <w:w w:val="18"/>
                <w:szCs w:val="20"/>
                <w:shd w:val="solid" w:color="000000" w:fill="000000"/>
                <w:fitText w:val="80" w:id="-893196285"/>
                <w14:textFill>
                  <w14:solidFill>
                    <w14:srgbClr w14:val="000000">
                      <w14:alpha w14:val="100000"/>
                    </w14:srgbClr>
                  </w14:solidFill>
                </w14:textFill>
              </w:rPr>
              <w:t>|</w:t>
            </w:r>
            <w:r w:rsidRPr="005F522F">
              <w:rPr>
                <w:rFonts w:hint="eastAsia"/>
                <w:color w:val="000000"/>
                <w:w w:val="18"/>
                <w:szCs w:val="20"/>
                <w:shd w:val="solid" w:color="000000" w:fill="000000"/>
                <w:fitText w:val="80" w:id="-893196285"/>
                <w14:textFill>
                  <w14:solidFill>
                    <w14:srgbClr w14:val="000000">
                      <w14:alpha w14:val="100000"/>
                    </w14:srgbClr>
                  </w14:solidFill>
                </w14:textFill>
              </w:rPr>
              <w:t xml:space="preserve">　</w:t>
            </w:r>
            <w:r w:rsidR="00537F9E">
              <w:rPr>
                <w:szCs w:val="20"/>
              </w:rPr>
              <w:t xml:space="preserve"> </w:t>
            </w:r>
            <w:r w:rsidR="00537F9E">
              <w:rPr>
                <w:szCs w:val="20"/>
                <w:vertAlign w:val="superscript"/>
              </w:rPr>
              <w:t>3</w:t>
            </w:r>
          </w:p>
        </w:tc>
        <w:tc>
          <w:tcPr>
            <w:tcW w:w="629" w:type="pct"/>
            <w:shd w:val="clear" w:color="auto" w:fill="auto"/>
            <w:vAlign w:val="center"/>
          </w:tcPr>
          <w:p w14:paraId="01A0B679" w14:textId="18EDA075" w:rsidR="000D5E52" w:rsidRPr="005464FA" w:rsidRDefault="005F522F" w:rsidP="001A5EF0">
            <w:pPr>
              <w:pStyle w:val="TableText0"/>
              <w:jc w:val="center"/>
              <w:rPr>
                <w:szCs w:val="20"/>
              </w:rPr>
            </w:pPr>
            <w:r w:rsidRPr="005F522F">
              <w:rPr>
                <w:color w:val="000000"/>
                <w:szCs w:val="20"/>
                <w:shd w:val="solid" w:color="000000" w:fill="000000"/>
                <w14:textFill>
                  <w14:solidFill>
                    <w14:srgbClr w14:val="000000">
                      <w14:alpha w14:val="100000"/>
                    </w14:srgbClr>
                  </w14:solidFill>
                </w14:textFill>
              </w:rPr>
              <w:t>|</w:t>
            </w:r>
            <w:r w:rsidR="00537F9E">
              <w:rPr>
                <w:szCs w:val="20"/>
              </w:rPr>
              <w:t xml:space="preserve"> </w:t>
            </w:r>
            <w:r w:rsidR="00537F9E">
              <w:rPr>
                <w:szCs w:val="20"/>
                <w:vertAlign w:val="superscript"/>
              </w:rPr>
              <w:t>3</w:t>
            </w:r>
          </w:p>
        </w:tc>
        <w:tc>
          <w:tcPr>
            <w:tcW w:w="601" w:type="pct"/>
            <w:vAlign w:val="center"/>
          </w:tcPr>
          <w:p w14:paraId="0D84E0B4" w14:textId="7A67CEE2" w:rsidR="000D5E52" w:rsidRPr="005464FA" w:rsidRDefault="005F522F" w:rsidP="001A5EF0">
            <w:pPr>
              <w:pStyle w:val="TableText0"/>
              <w:jc w:val="center"/>
              <w:rPr>
                <w:szCs w:val="20"/>
              </w:rPr>
            </w:pPr>
            <w:r w:rsidRPr="005F522F">
              <w:rPr>
                <w:rFonts w:hint="eastAsia"/>
                <w:color w:val="000000"/>
                <w:w w:val="15"/>
                <w:szCs w:val="20"/>
                <w:shd w:val="solid" w:color="000000" w:fill="000000"/>
                <w:fitText w:val="70" w:id="-893196032"/>
                <w14:textFill>
                  <w14:solidFill>
                    <w14:srgbClr w14:val="000000">
                      <w14:alpha w14:val="100000"/>
                    </w14:srgbClr>
                  </w14:solidFill>
                </w14:textFill>
              </w:rPr>
              <w:t xml:space="preserve">　</w:t>
            </w:r>
            <w:r w:rsidRPr="005F522F">
              <w:rPr>
                <w:color w:val="000000"/>
                <w:w w:val="15"/>
                <w:szCs w:val="20"/>
                <w:shd w:val="solid" w:color="000000" w:fill="000000"/>
                <w:fitText w:val="70" w:id="-893196032"/>
                <w14:textFill>
                  <w14:solidFill>
                    <w14:srgbClr w14:val="000000">
                      <w14:alpha w14:val="100000"/>
                    </w14:srgbClr>
                  </w14:solidFill>
                </w14:textFill>
              </w:rPr>
              <w:t>|</w:t>
            </w:r>
            <w:r w:rsidRPr="005F522F">
              <w:rPr>
                <w:rFonts w:hint="eastAsia"/>
                <w:color w:val="000000"/>
                <w:spacing w:val="4"/>
                <w:w w:val="15"/>
                <w:szCs w:val="20"/>
                <w:shd w:val="solid" w:color="000000" w:fill="000000"/>
                <w:fitText w:val="70" w:id="-893196032"/>
                <w14:textFill>
                  <w14:solidFill>
                    <w14:srgbClr w14:val="000000">
                      <w14:alpha w14:val="100000"/>
                    </w14:srgbClr>
                  </w14:solidFill>
                </w14:textFill>
              </w:rPr>
              <w:t xml:space="preserve">　</w:t>
            </w:r>
            <w:r w:rsidR="00537F9E">
              <w:rPr>
                <w:szCs w:val="20"/>
              </w:rPr>
              <w:t xml:space="preserve"> </w:t>
            </w:r>
            <w:r w:rsidR="00537F9E">
              <w:rPr>
                <w:szCs w:val="20"/>
                <w:vertAlign w:val="superscript"/>
              </w:rPr>
              <w:t>3</w:t>
            </w:r>
          </w:p>
        </w:tc>
      </w:tr>
      <w:tr w:rsidR="008544B6" w:rsidRPr="005464FA" w14:paraId="7362FACB" w14:textId="77777777" w:rsidTr="009164BC">
        <w:tc>
          <w:tcPr>
            <w:tcW w:w="1334" w:type="pct"/>
            <w:shd w:val="clear" w:color="auto" w:fill="auto"/>
          </w:tcPr>
          <w:p w14:paraId="34FE44DD" w14:textId="191BF78C" w:rsidR="000D5E52" w:rsidRPr="005464FA" w:rsidRDefault="000D5E52" w:rsidP="001A5EF0">
            <w:pPr>
              <w:pStyle w:val="TableText0"/>
              <w:rPr>
                <w:szCs w:val="20"/>
              </w:rPr>
            </w:pPr>
            <w:r w:rsidRPr="005464FA">
              <w:rPr>
                <w:szCs w:val="20"/>
              </w:rPr>
              <w:t xml:space="preserve">Total costs to the MBS for </w:t>
            </w:r>
            <w:r w:rsidR="009F5B43" w:rsidRPr="005464FA">
              <w:rPr>
                <w:i/>
                <w:iCs/>
                <w:szCs w:val="20"/>
              </w:rPr>
              <w:t>BRCA</w:t>
            </w:r>
            <w:r w:rsidRPr="005464FA">
              <w:rPr>
                <w:szCs w:val="20"/>
              </w:rPr>
              <w:t xml:space="preserve"> testing</w:t>
            </w:r>
          </w:p>
        </w:tc>
        <w:tc>
          <w:tcPr>
            <w:tcW w:w="615" w:type="pct"/>
            <w:shd w:val="clear" w:color="auto" w:fill="auto"/>
            <w:vAlign w:val="center"/>
          </w:tcPr>
          <w:p w14:paraId="19A49E44" w14:textId="5D7DA43F" w:rsidR="000D5E52" w:rsidRPr="005464FA" w:rsidRDefault="005F522F" w:rsidP="001A5EF0">
            <w:pPr>
              <w:pStyle w:val="TableText0"/>
              <w:jc w:val="center"/>
              <w:rPr>
                <w:szCs w:val="20"/>
              </w:rPr>
            </w:pPr>
            <w:r w:rsidRPr="005F522F">
              <w:rPr>
                <w:rFonts w:hint="eastAsia"/>
                <w:color w:val="000000"/>
                <w:w w:val="15"/>
                <w:szCs w:val="20"/>
                <w:shd w:val="solid" w:color="000000" w:fill="000000"/>
                <w:fitText w:val="30" w:id="-893196031"/>
                <w14:textFill>
                  <w14:solidFill>
                    <w14:srgbClr w14:val="000000">
                      <w14:alpha w14:val="100000"/>
                    </w14:srgbClr>
                  </w14:solidFill>
                </w14:textFill>
              </w:rPr>
              <w:t xml:space="preserve">　</w:t>
            </w:r>
            <w:r w:rsidRPr="005F522F">
              <w:rPr>
                <w:color w:val="000000"/>
                <w:w w:val="15"/>
                <w:szCs w:val="20"/>
                <w:shd w:val="solid" w:color="000000" w:fill="000000"/>
                <w:fitText w:val="30" w:id="-893196031"/>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031"/>
                <w14:textFill>
                  <w14:solidFill>
                    <w14:srgbClr w14:val="000000">
                      <w14:alpha w14:val="100000"/>
                    </w14:srgbClr>
                  </w14:solidFill>
                </w14:textFill>
              </w:rPr>
              <w:t xml:space="preserve">　</w:t>
            </w:r>
            <w:r w:rsidR="00507C0B">
              <w:rPr>
                <w:szCs w:val="20"/>
              </w:rPr>
              <w:t xml:space="preserve"> </w:t>
            </w:r>
            <w:r w:rsidR="00507C0B">
              <w:rPr>
                <w:szCs w:val="20"/>
                <w:vertAlign w:val="superscript"/>
              </w:rPr>
              <w:t>4</w:t>
            </w:r>
          </w:p>
        </w:tc>
        <w:tc>
          <w:tcPr>
            <w:tcW w:w="564" w:type="pct"/>
            <w:shd w:val="clear" w:color="auto" w:fill="auto"/>
            <w:vAlign w:val="center"/>
          </w:tcPr>
          <w:p w14:paraId="5B585139" w14:textId="04E4600E" w:rsidR="000D5E52" w:rsidRPr="005464FA" w:rsidRDefault="005F522F" w:rsidP="001A5EF0">
            <w:pPr>
              <w:pStyle w:val="TableText0"/>
              <w:jc w:val="center"/>
              <w:rPr>
                <w:szCs w:val="20"/>
              </w:rPr>
            </w:pPr>
            <w:r w:rsidRPr="005F522F">
              <w:rPr>
                <w:rFonts w:hint="eastAsia"/>
                <w:color w:val="000000"/>
                <w:w w:val="31"/>
                <w:szCs w:val="20"/>
                <w:shd w:val="solid" w:color="000000" w:fill="000000"/>
                <w:fitText w:val="140" w:id="-893196030"/>
                <w14:textFill>
                  <w14:solidFill>
                    <w14:srgbClr w14:val="000000">
                      <w14:alpha w14:val="100000"/>
                    </w14:srgbClr>
                  </w14:solidFill>
                </w14:textFill>
              </w:rPr>
              <w:t xml:space="preserve">　</w:t>
            </w:r>
            <w:r w:rsidRPr="005F522F">
              <w:rPr>
                <w:color w:val="000000"/>
                <w:w w:val="31"/>
                <w:szCs w:val="20"/>
                <w:shd w:val="solid" w:color="000000" w:fill="000000"/>
                <w:fitText w:val="140" w:id="-893196030"/>
                <w14:textFill>
                  <w14:solidFill>
                    <w14:srgbClr w14:val="000000">
                      <w14:alpha w14:val="100000"/>
                    </w14:srgbClr>
                  </w14:solidFill>
                </w14:textFill>
              </w:rPr>
              <w:t>|</w:t>
            </w:r>
            <w:r w:rsidRPr="005F522F">
              <w:rPr>
                <w:rFonts w:hint="eastAsia"/>
                <w:color w:val="000000"/>
                <w:spacing w:val="4"/>
                <w:w w:val="31"/>
                <w:szCs w:val="20"/>
                <w:shd w:val="solid" w:color="000000" w:fill="000000"/>
                <w:fitText w:val="140" w:id="-893196030"/>
                <w14:textFill>
                  <w14:solidFill>
                    <w14:srgbClr w14:val="000000">
                      <w14:alpha w14:val="100000"/>
                    </w14:srgbClr>
                  </w14:solidFill>
                </w14:textFill>
              </w:rPr>
              <w:t xml:space="preserve">　</w:t>
            </w:r>
            <w:r w:rsidR="00507C0B">
              <w:rPr>
                <w:szCs w:val="20"/>
              </w:rPr>
              <w:t xml:space="preserve"> </w:t>
            </w:r>
            <w:r w:rsidR="00507C0B">
              <w:rPr>
                <w:szCs w:val="20"/>
                <w:vertAlign w:val="superscript"/>
              </w:rPr>
              <w:t>4</w:t>
            </w:r>
          </w:p>
        </w:tc>
        <w:tc>
          <w:tcPr>
            <w:tcW w:w="629" w:type="pct"/>
            <w:shd w:val="clear" w:color="auto" w:fill="auto"/>
            <w:vAlign w:val="center"/>
          </w:tcPr>
          <w:p w14:paraId="6630CC39" w14:textId="38EE0DEB" w:rsidR="000D5E52" w:rsidRPr="005464FA" w:rsidRDefault="005F522F" w:rsidP="001A5EF0">
            <w:pPr>
              <w:pStyle w:val="TableText0"/>
              <w:jc w:val="center"/>
              <w:rPr>
                <w:szCs w:val="20"/>
              </w:rPr>
            </w:pPr>
            <w:r w:rsidRPr="005F522F">
              <w:rPr>
                <w:color w:val="000000"/>
                <w:spacing w:val="84"/>
                <w:szCs w:val="20"/>
                <w:shd w:val="solid" w:color="000000" w:fill="000000"/>
                <w:fitText w:val="170" w:id="-893196029"/>
                <w14:textFill>
                  <w14:solidFill>
                    <w14:srgbClr w14:val="000000">
                      <w14:alpha w14:val="100000"/>
                    </w14:srgbClr>
                  </w14:solidFill>
                </w14:textFill>
              </w:rPr>
              <w:t>|</w:t>
            </w:r>
            <w:r w:rsidRPr="005F522F">
              <w:rPr>
                <w:color w:val="000000"/>
                <w:spacing w:val="1"/>
                <w:szCs w:val="20"/>
                <w:shd w:val="solid" w:color="000000" w:fill="000000"/>
                <w:fitText w:val="170" w:id="-893196029"/>
                <w14:textFill>
                  <w14:solidFill>
                    <w14:srgbClr w14:val="000000">
                      <w14:alpha w14:val="100000"/>
                    </w14:srgbClr>
                  </w14:solidFill>
                </w14:textFill>
              </w:rPr>
              <w:t>|</w:t>
            </w:r>
            <w:r w:rsidR="00507C0B">
              <w:rPr>
                <w:szCs w:val="20"/>
              </w:rPr>
              <w:t xml:space="preserve"> </w:t>
            </w:r>
            <w:r w:rsidR="00507C0B">
              <w:rPr>
                <w:szCs w:val="20"/>
                <w:vertAlign w:val="superscript"/>
              </w:rPr>
              <w:t>4</w:t>
            </w:r>
            <w:r w:rsidR="005D15C1" w:rsidRPr="005464FA">
              <w:rPr>
                <w:szCs w:val="20"/>
                <w:vertAlign w:val="superscript"/>
              </w:rPr>
              <w:t>b</w:t>
            </w:r>
          </w:p>
        </w:tc>
        <w:tc>
          <w:tcPr>
            <w:tcW w:w="629" w:type="pct"/>
            <w:shd w:val="clear" w:color="auto" w:fill="auto"/>
            <w:vAlign w:val="center"/>
          </w:tcPr>
          <w:p w14:paraId="7917A2B6" w14:textId="32EA02C3" w:rsidR="000D5E52" w:rsidRPr="005464FA" w:rsidRDefault="005F522F" w:rsidP="001A5EF0">
            <w:pPr>
              <w:pStyle w:val="TableText0"/>
              <w:jc w:val="center"/>
              <w:rPr>
                <w:szCs w:val="20"/>
              </w:rPr>
            </w:pPr>
            <w:r w:rsidRPr="005F522F">
              <w:rPr>
                <w:rFonts w:hint="eastAsia"/>
                <w:color w:val="000000"/>
                <w:w w:val="18"/>
                <w:szCs w:val="20"/>
                <w:shd w:val="solid" w:color="000000" w:fill="000000"/>
                <w:fitText w:val="80" w:id="-893196028"/>
                <w14:textFill>
                  <w14:solidFill>
                    <w14:srgbClr w14:val="000000">
                      <w14:alpha w14:val="100000"/>
                    </w14:srgbClr>
                  </w14:solidFill>
                </w14:textFill>
              </w:rPr>
              <w:t xml:space="preserve">　</w:t>
            </w:r>
            <w:r w:rsidRPr="005F522F">
              <w:rPr>
                <w:color w:val="000000"/>
                <w:w w:val="18"/>
                <w:szCs w:val="20"/>
                <w:shd w:val="solid" w:color="000000" w:fill="000000"/>
                <w:fitText w:val="80" w:id="-893196028"/>
                <w14:textFill>
                  <w14:solidFill>
                    <w14:srgbClr w14:val="000000">
                      <w14:alpha w14:val="100000"/>
                    </w14:srgbClr>
                  </w14:solidFill>
                </w14:textFill>
              </w:rPr>
              <w:t>|</w:t>
            </w:r>
            <w:r w:rsidRPr="005F522F">
              <w:rPr>
                <w:rFonts w:hint="eastAsia"/>
                <w:color w:val="000000"/>
                <w:w w:val="18"/>
                <w:szCs w:val="20"/>
                <w:shd w:val="solid" w:color="000000" w:fill="000000"/>
                <w:fitText w:val="80" w:id="-893196028"/>
                <w14:textFill>
                  <w14:solidFill>
                    <w14:srgbClr w14:val="000000">
                      <w14:alpha w14:val="100000"/>
                    </w14:srgbClr>
                  </w14:solidFill>
                </w14:textFill>
              </w:rPr>
              <w:t xml:space="preserve">　</w:t>
            </w:r>
            <w:r w:rsidR="00507C0B">
              <w:rPr>
                <w:szCs w:val="20"/>
              </w:rPr>
              <w:t xml:space="preserve"> </w:t>
            </w:r>
            <w:r w:rsidR="00507C0B">
              <w:rPr>
                <w:szCs w:val="20"/>
                <w:vertAlign w:val="superscript"/>
              </w:rPr>
              <w:t>4</w:t>
            </w:r>
          </w:p>
        </w:tc>
        <w:tc>
          <w:tcPr>
            <w:tcW w:w="629" w:type="pct"/>
            <w:shd w:val="clear" w:color="auto" w:fill="auto"/>
            <w:vAlign w:val="center"/>
          </w:tcPr>
          <w:p w14:paraId="1ACA1190" w14:textId="63581302" w:rsidR="000D5E52" w:rsidRPr="005464FA" w:rsidRDefault="005F522F" w:rsidP="001A5EF0">
            <w:pPr>
              <w:pStyle w:val="TableText0"/>
              <w:jc w:val="center"/>
              <w:rPr>
                <w:szCs w:val="20"/>
              </w:rPr>
            </w:pPr>
            <w:r w:rsidRPr="005F522F">
              <w:rPr>
                <w:color w:val="000000"/>
                <w:szCs w:val="20"/>
                <w:shd w:val="solid" w:color="000000" w:fill="000000"/>
                <w14:textFill>
                  <w14:solidFill>
                    <w14:srgbClr w14:val="000000">
                      <w14:alpha w14:val="100000"/>
                    </w14:srgbClr>
                  </w14:solidFill>
                </w14:textFill>
              </w:rPr>
              <w:t>|</w:t>
            </w:r>
            <w:r w:rsidR="00507C0B">
              <w:rPr>
                <w:szCs w:val="20"/>
              </w:rPr>
              <w:t xml:space="preserve"> </w:t>
            </w:r>
            <w:r w:rsidR="00507C0B">
              <w:rPr>
                <w:szCs w:val="20"/>
                <w:vertAlign w:val="superscript"/>
              </w:rPr>
              <w:t>4</w:t>
            </w:r>
          </w:p>
        </w:tc>
        <w:tc>
          <w:tcPr>
            <w:tcW w:w="601" w:type="pct"/>
            <w:vAlign w:val="center"/>
          </w:tcPr>
          <w:p w14:paraId="551074F0" w14:textId="13C0666F" w:rsidR="000D5E52" w:rsidRPr="005464FA" w:rsidRDefault="005F522F" w:rsidP="001A5EF0">
            <w:pPr>
              <w:pStyle w:val="TableText0"/>
              <w:jc w:val="center"/>
              <w:rPr>
                <w:szCs w:val="20"/>
              </w:rPr>
            </w:pPr>
            <w:r w:rsidRPr="005F522F">
              <w:rPr>
                <w:rFonts w:hint="eastAsia"/>
                <w:color w:val="000000"/>
                <w:w w:val="15"/>
                <w:szCs w:val="20"/>
                <w:shd w:val="solid" w:color="000000" w:fill="000000"/>
                <w:fitText w:val="70" w:id="-893196027"/>
                <w14:textFill>
                  <w14:solidFill>
                    <w14:srgbClr w14:val="000000">
                      <w14:alpha w14:val="100000"/>
                    </w14:srgbClr>
                  </w14:solidFill>
                </w14:textFill>
              </w:rPr>
              <w:t xml:space="preserve">　</w:t>
            </w:r>
            <w:r w:rsidRPr="005F522F">
              <w:rPr>
                <w:color w:val="000000"/>
                <w:w w:val="15"/>
                <w:szCs w:val="20"/>
                <w:shd w:val="solid" w:color="000000" w:fill="000000"/>
                <w:fitText w:val="70" w:id="-893196027"/>
                <w14:textFill>
                  <w14:solidFill>
                    <w14:srgbClr w14:val="000000">
                      <w14:alpha w14:val="100000"/>
                    </w14:srgbClr>
                  </w14:solidFill>
                </w14:textFill>
              </w:rPr>
              <w:t>|</w:t>
            </w:r>
            <w:r w:rsidRPr="005F522F">
              <w:rPr>
                <w:rFonts w:hint="eastAsia"/>
                <w:color w:val="000000"/>
                <w:spacing w:val="4"/>
                <w:w w:val="15"/>
                <w:szCs w:val="20"/>
                <w:shd w:val="solid" w:color="000000" w:fill="000000"/>
                <w:fitText w:val="70" w:id="-893196027"/>
                <w14:textFill>
                  <w14:solidFill>
                    <w14:srgbClr w14:val="000000">
                      <w14:alpha w14:val="100000"/>
                    </w14:srgbClr>
                  </w14:solidFill>
                </w14:textFill>
              </w:rPr>
              <w:t xml:space="preserve">　</w:t>
            </w:r>
            <w:r w:rsidR="00507C0B">
              <w:rPr>
                <w:szCs w:val="20"/>
              </w:rPr>
              <w:t xml:space="preserve"> </w:t>
            </w:r>
            <w:r w:rsidR="00507C0B">
              <w:rPr>
                <w:szCs w:val="20"/>
                <w:vertAlign w:val="superscript"/>
              </w:rPr>
              <w:t>4</w:t>
            </w:r>
          </w:p>
        </w:tc>
      </w:tr>
      <w:tr w:rsidR="008544B6" w:rsidRPr="005464FA" w14:paraId="1E30AB0D" w14:textId="77777777" w:rsidTr="009164BC">
        <w:tc>
          <w:tcPr>
            <w:tcW w:w="1334" w:type="pct"/>
            <w:shd w:val="clear" w:color="auto" w:fill="auto"/>
          </w:tcPr>
          <w:p w14:paraId="78D0B3D6" w14:textId="4C1ED7DB" w:rsidR="000D5E52" w:rsidRPr="005464FA" w:rsidRDefault="000D5E52" w:rsidP="001A5EF0">
            <w:pPr>
              <w:pStyle w:val="TableText0"/>
              <w:rPr>
                <w:i/>
                <w:iCs/>
                <w:szCs w:val="20"/>
              </w:rPr>
            </w:pPr>
            <w:r w:rsidRPr="005464FA">
              <w:rPr>
                <w:b/>
                <w:bCs w:val="0"/>
                <w:szCs w:val="20"/>
              </w:rPr>
              <w:t>Total costs to Government</w:t>
            </w:r>
          </w:p>
        </w:tc>
        <w:tc>
          <w:tcPr>
            <w:tcW w:w="615" w:type="pct"/>
            <w:shd w:val="clear" w:color="auto" w:fill="auto"/>
            <w:vAlign w:val="center"/>
          </w:tcPr>
          <w:p w14:paraId="7990157F" w14:textId="5400CB17" w:rsidR="000D5E52" w:rsidRPr="005F522F" w:rsidRDefault="005F522F" w:rsidP="001A5EF0">
            <w:pPr>
              <w:pStyle w:val="TableText0"/>
              <w:jc w:val="center"/>
              <w:rPr>
                <w:i/>
                <w:iCs/>
                <w:szCs w:val="20"/>
                <w:highlight w:val="darkGray"/>
              </w:rPr>
            </w:pPr>
            <w:r w:rsidRPr="005F522F">
              <w:rPr>
                <w:rFonts w:hint="eastAsia"/>
                <w:b/>
                <w:bCs w:val="0"/>
                <w:color w:val="000000"/>
                <w:w w:val="15"/>
                <w:szCs w:val="20"/>
                <w:shd w:val="solid" w:color="000000" w:fill="000000"/>
                <w:fitText w:val="70" w:id="-893196026"/>
                <w14:textFill>
                  <w14:solidFill>
                    <w14:srgbClr w14:val="000000">
                      <w14:alpha w14:val="100000"/>
                    </w14:srgbClr>
                  </w14:solidFill>
                </w14:textFill>
              </w:rPr>
              <w:t xml:space="preserve">　</w:t>
            </w:r>
            <w:r w:rsidRPr="005F522F">
              <w:rPr>
                <w:b/>
                <w:bCs w:val="0"/>
                <w:color w:val="000000"/>
                <w:w w:val="15"/>
                <w:szCs w:val="20"/>
                <w:shd w:val="solid" w:color="000000" w:fill="000000"/>
                <w:fitText w:val="70" w:id="-893196026"/>
                <w14:textFill>
                  <w14:solidFill>
                    <w14:srgbClr w14:val="000000">
                      <w14:alpha w14:val="100000"/>
                    </w14:srgbClr>
                  </w14:solidFill>
                </w14:textFill>
              </w:rPr>
              <w:t>|</w:t>
            </w:r>
            <w:r w:rsidRPr="005F522F">
              <w:rPr>
                <w:rFonts w:hint="eastAsia"/>
                <w:b/>
                <w:bCs w:val="0"/>
                <w:color w:val="000000"/>
                <w:spacing w:val="3"/>
                <w:w w:val="15"/>
                <w:szCs w:val="20"/>
                <w:shd w:val="solid" w:color="000000" w:fill="000000"/>
                <w:fitText w:val="70" w:id="-893196026"/>
                <w14:textFill>
                  <w14:solidFill>
                    <w14:srgbClr w14:val="000000">
                      <w14:alpha w14:val="100000"/>
                    </w14:srgbClr>
                  </w14:solidFill>
                </w14:textFill>
              </w:rPr>
              <w:t xml:space="preserve">　</w:t>
            </w:r>
            <w:r w:rsidR="00537F9E" w:rsidRPr="00801D1D">
              <w:rPr>
                <w:szCs w:val="20"/>
              </w:rPr>
              <w:t xml:space="preserve"> </w:t>
            </w:r>
            <w:r w:rsidR="00537F9E" w:rsidRPr="00801D1D">
              <w:rPr>
                <w:szCs w:val="20"/>
                <w:vertAlign w:val="superscript"/>
              </w:rPr>
              <w:t>3</w:t>
            </w:r>
          </w:p>
        </w:tc>
        <w:tc>
          <w:tcPr>
            <w:tcW w:w="564" w:type="pct"/>
            <w:shd w:val="clear" w:color="auto" w:fill="auto"/>
            <w:vAlign w:val="center"/>
          </w:tcPr>
          <w:p w14:paraId="2795939D" w14:textId="2AA6FEE7" w:rsidR="000D5E52" w:rsidRPr="005464FA" w:rsidRDefault="005F522F" w:rsidP="001A5EF0">
            <w:pPr>
              <w:pStyle w:val="TableText0"/>
              <w:jc w:val="center"/>
              <w:rPr>
                <w:i/>
                <w:iCs/>
                <w:szCs w:val="20"/>
              </w:rPr>
            </w:pPr>
            <w:r w:rsidRPr="005F522F">
              <w:rPr>
                <w:b/>
                <w:bCs w:val="0"/>
                <w:color w:val="000000"/>
                <w:spacing w:val="98"/>
                <w:szCs w:val="20"/>
                <w:shd w:val="solid" w:color="000000" w:fill="000000"/>
                <w:fitText w:val="190" w:id="-893196025"/>
                <w14:textFill>
                  <w14:solidFill>
                    <w14:srgbClr w14:val="000000">
                      <w14:alpha w14:val="100000"/>
                    </w14:srgbClr>
                  </w14:solidFill>
                </w14:textFill>
              </w:rPr>
              <w:t>|</w:t>
            </w:r>
            <w:r w:rsidRPr="005F522F">
              <w:rPr>
                <w:b/>
                <w:bCs w:val="0"/>
                <w:color w:val="000000"/>
                <w:spacing w:val="1"/>
                <w:szCs w:val="20"/>
                <w:shd w:val="solid" w:color="000000" w:fill="000000"/>
                <w:fitText w:val="190" w:id="-893196025"/>
                <w14:textFill>
                  <w14:solidFill>
                    <w14:srgbClr w14:val="000000">
                      <w14:alpha w14:val="100000"/>
                    </w14:srgbClr>
                  </w14:solidFill>
                </w14:textFill>
              </w:rPr>
              <w:t>|</w:t>
            </w:r>
            <w:r w:rsidR="00537F9E">
              <w:rPr>
                <w:szCs w:val="20"/>
              </w:rPr>
              <w:t xml:space="preserve"> </w:t>
            </w:r>
            <w:r w:rsidR="00537F9E">
              <w:rPr>
                <w:szCs w:val="20"/>
                <w:vertAlign w:val="superscript"/>
              </w:rPr>
              <w:t>3</w:t>
            </w:r>
          </w:p>
        </w:tc>
        <w:tc>
          <w:tcPr>
            <w:tcW w:w="629" w:type="pct"/>
            <w:shd w:val="clear" w:color="auto" w:fill="auto"/>
            <w:vAlign w:val="center"/>
          </w:tcPr>
          <w:p w14:paraId="304CA5DC" w14:textId="2BB38E35" w:rsidR="000D5E52" w:rsidRPr="005464FA" w:rsidRDefault="005F522F" w:rsidP="001A5EF0">
            <w:pPr>
              <w:pStyle w:val="TableText0"/>
              <w:jc w:val="center"/>
              <w:rPr>
                <w:i/>
                <w:iCs/>
                <w:szCs w:val="20"/>
              </w:rPr>
            </w:pPr>
            <w:r w:rsidRPr="005F522F">
              <w:rPr>
                <w:b/>
                <w:bCs w:val="0"/>
                <w:color w:val="000000"/>
                <w:spacing w:val="98"/>
                <w:szCs w:val="20"/>
                <w:shd w:val="solid" w:color="000000" w:fill="000000"/>
                <w:fitText w:val="190" w:id="-893196024"/>
                <w14:textFill>
                  <w14:solidFill>
                    <w14:srgbClr w14:val="000000">
                      <w14:alpha w14:val="100000"/>
                    </w14:srgbClr>
                  </w14:solidFill>
                </w14:textFill>
              </w:rPr>
              <w:t>|</w:t>
            </w:r>
            <w:r w:rsidRPr="005F522F">
              <w:rPr>
                <w:b/>
                <w:bCs w:val="0"/>
                <w:color w:val="000000"/>
                <w:spacing w:val="1"/>
                <w:szCs w:val="20"/>
                <w:shd w:val="solid" w:color="000000" w:fill="000000"/>
                <w:fitText w:val="190" w:id="-893196024"/>
                <w14:textFill>
                  <w14:solidFill>
                    <w14:srgbClr w14:val="000000">
                      <w14:alpha w14:val="100000"/>
                    </w14:srgbClr>
                  </w14:solidFill>
                </w14:textFill>
              </w:rPr>
              <w:t>|</w:t>
            </w:r>
            <w:r w:rsidR="00507C0B">
              <w:rPr>
                <w:szCs w:val="20"/>
              </w:rPr>
              <w:t xml:space="preserve"> </w:t>
            </w:r>
            <w:r w:rsidR="00507C0B">
              <w:rPr>
                <w:szCs w:val="20"/>
                <w:vertAlign w:val="superscript"/>
              </w:rPr>
              <w:t>3</w:t>
            </w:r>
          </w:p>
        </w:tc>
        <w:tc>
          <w:tcPr>
            <w:tcW w:w="629" w:type="pct"/>
            <w:shd w:val="clear" w:color="auto" w:fill="auto"/>
            <w:vAlign w:val="center"/>
          </w:tcPr>
          <w:p w14:paraId="0783A8C4" w14:textId="7E5B5598" w:rsidR="000D5E52" w:rsidRPr="005464FA" w:rsidRDefault="005F522F" w:rsidP="001A5EF0">
            <w:pPr>
              <w:pStyle w:val="TableText0"/>
              <w:jc w:val="center"/>
              <w:rPr>
                <w:i/>
                <w:iCs/>
                <w:szCs w:val="20"/>
              </w:rPr>
            </w:pPr>
            <w:r w:rsidRPr="005F522F">
              <w:rPr>
                <w:rFonts w:hint="eastAsia"/>
                <w:b/>
                <w:bCs w:val="0"/>
                <w:color w:val="000000"/>
                <w:w w:val="29"/>
                <w:szCs w:val="20"/>
                <w:shd w:val="solid" w:color="000000" w:fill="000000"/>
                <w:fitText w:val="130" w:id="-893196023"/>
                <w14:textFill>
                  <w14:solidFill>
                    <w14:srgbClr w14:val="000000">
                      <w14:alpha w14:val="100000"/>
                    </w14:srgbClr>
                  </w14:solidFill>
                </w14:textFill>
              </w:rPr>
              <w:t xml:space="preserve">　</w:t>
            </w:r>
            <w:r w:rsidRPr="005F522F">
              <w:rPr>
                <w:b/>
                <w:bCs w:val="0"/>
                <w:color w:val="000000"/>
                <w:w w:val="29"/>
                <w:szCs w:val="20"/>
                <w:shd w:val="solid" w:color="000000" w:fill="000000"/>
                <w:fitText w:val="130" w:id="-893196023"/>
                <w14:textFill>
                  <w14:solidFill>
                    <w14:srgbClr w14:val="000000">
                      <w14:alpha w14:val="100000"/>
                    </w14:srgbClr>
                  </w14:solidFill>
                </w14:textFill>
              </w:rPr>
              <w:t>|</w:t>
            </w:r>
            <w:r w:rsidRPr="005F522F">
              <w:rPr>
                <w:rFonts w:hint="eastAsia"/>
                <w:b/>
                <w:bCs w:val="0"/>
                <w:color w:val="000000"/>
                <w:spacing w:val="1"/>
                <w:w w:val="29"/>
                <w:szCs w:val="20"/>
                <w:shd w:val="solid" w:color="000000" w:fill="000000"/>
                <w:fitText w:val="130" w:id="-893196023"/>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c>
          <w:tcPr>
            <w:tcW w:w="629" w:type="pct"/>
            <w:shd w:val="clear" w:color="auto" w:fill="auto"/>
            <w:vAlign w:val="center"/>
          </w:tcPr>
          <w:p w14:paraId="60EE1163" w14:textId="382C6CFB" w:rsidR="000D5E52" w:rsidRPr="005464FA" w:rsidRDefault="005F522F" w:rsidP="001A5EF0">
            <w:pPr>
              <w:pStyle w:val="TableText0"/>
              <w:jc w:val="center"/>
              <w:rPr>
                <w:i/>
                <w:iCs/>
                <w:szCs w:val="20"/>
              </w:rPr>
            </w:pPr>
            <w:r w:rsidRPr="006A43A5">
              <w:rPr>
                <w:rFonts w:hint="eastAsia"/>
                <w:b/>
                <w:bCs w:val="0"/>
                <w:color w:val="000000"/>
                <w:w w:val="15"/>
                <w:szCs w:val="20"/>
                <w:shd w:val="solid" w:color="000000" w:fill="000000"/>
                <w:fitText w:val="10" w:id="-893196022"/>
                <w14:textFill>
                  <w14:solidFill>
                    <w14:srgbClr w14:val="000000">
                      <w14:alpha w14:val="100000"/>
                    </w14:srgbClr>
                  </w14:solidFill>
                </w14:textFill>
              </w:rPr>
              <w:t xml:space="preserve">　</w:t>
            </w:r>
            <w:r w:rsidRPr="006A43A5">
              <w:rPr>
                <w:b/>
                <w:bCs w:val="0"/>
                <w:color w:val="000000"/>
                <w:w w:val="15"/>
                <w:szCs w:val="20"/>
                <w:shd w:val="solid" w:color="000000" w:fill="000000"/>
                <w:fitText w:val="10" w:id="-893196022"/>
                <w14:textFill>
                  <w14:solidFill>
                    <w14:srgbClr w14:val="000000">
                      <w14:alpha w14:val="100000"/>
                    </w14:srgbClr>
                  </w14:solidFill>
                </w14:textFill>
              </w:rPr>
              <w:t>|</w:t>
            </w:r>
            <w:r w:rsidRPr="006A43A5">
              <w:rPr>
                <w:rFonts w:hint="eastAsia"/>
                <w:b/>
                <w:bCs w:val="0"/>
                <w:color w:val="000000"/>
                <w:spacing w:val="-56"/>
                <w:w w:val="15"/>
                <w:szCs w:val="20"/>
                <w:shd w:val="solid" w:color="000000" w:fill="000000"/>
                <w:fitText w:val="10" w:id="-893196022"/>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c>
          <w:tcPr>
            <w:tcW w:w="601" w:type="pct"/>
            <w:vAlign w:val="center"/>
          </w:tcPr>
          <w:p w14:paraId="281DE6EC" w14:textId="38A58022" w:rsidR="000D5E52" w:rsidRPr="005464FA" w:rsidRDefault="005F522F" w:rsidP="001A5EF0">
            <w:pPr>
              <w:pStyle w:val="TableText0"/>
              <w:jc w:val="center"/>
              <w:rPr>
                <w:i/>
                <w:iCs/>
                <w:szCs w:val="20"/>
              </w:rPr>
            </w:pPr>
            <w:r w:rsidRPr="005F522F">
              <w:rPr>
                <w:rFonts w:hint="eastAsia"/>
                <w:b/>
                <w:bCs w:val="0"/>
                <w:color w:val="000000"/>
                <w:w w:val="24"/>
                <w:szCs w:val="20"/>
                <w:shd w:val="solid" w:color="000000" w:fill="000000"/>
                <w:fitText w:val="110" w:id="-893196021"/>
                <w14:textFill>
                  <w14:solidFill>
                    <w14:srgbClr w14:val="000000">
                      <w14:alpha w14:val="100000"/>
                    </w14:srgbClr>
                  </w14:solidFill>
                </w14:textFill>
              </w:rPr>
              <w:t xml:space="preserve">　</w:t>
            </w:r>
            <w:r w:rsidRPr="005F522F">
              <w:rPr>
                <w:b/>
                <w:bCs w:val="0"/>
                <w:color w:val="000000"/>
                <w:w w:val="24"/>
                <w:szCs w:val="20"/>
                <w:shd w:val="solid" w:color="000000" w:fill="000000"/>
                <w:fitText w:val="110" w:id="-893196021"/>
                <w14:textFill>
                  <w14:solidFill>
                    <w14:srgbClr w14:val="000000">
                      <w14:alpha w14:val="100000"/>
                    </w14:srgbClr>
                  </w14:solidFill>
                </w14:textFill>
              </w:rPr>
              <w:t>|</w:t>
            </w:r>
            <w:r w:rsidRPr="005F522F">
              <w:rPr>
                <w:rFonts w:hint="eastAsia"/>
                <w:b/>
                <w:bCs w:val="0"/>
                <w:color w:val="000000"/>
                <w:spacing w:val="5"/>
                <w:w w:val="24"/>
                <w:szCs w:val="20"/>
                <w:shd w:val="solid" w:color="000000" w:fill="000000"/>
                <w:fitText w:val="110" w:id="-893196021"/>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r>
      <w:tr w:rsidR="00D55418" w:rsidRPr="005464FA" w14:paraId="372550F6" w14:textId="77777777" w:rsidTr="002D1F13">
        <w:tc>
          <w:tcPr>
            <w:tcW w:w="5000" w:type="pct"/>
            <w:gridSpan w:val="7"/>
            <w:shd w:val="clear" w:color="auto" w:fill="auto"/>
            <w:vAlign w:val="center"/>
          </w:tcPr>
          <w:p w14:paraId="202AA6D0" w14:textId="7606E480" w:rsidR="00B51580" w:rsidRPr="005464FA" w:rsidRDefault="00B51580" w:rsidP="001A5EF0">
            <w:pPr>
              <w:pStyle w:val="In-tableHeading"/>
              <w:rPr>
                <w:szCs w:val="20"/>
                <w:lang w:val="en-AU"/>
              </w:rPr>
            </w:pPr>
            <w:r w:rsidRPr="005464FA">
              <w:rPr>
                <w:szCs w:val="20"/>
                <w:lang w:val="en-AU"/>
              </w:rPr>
              <w:t>Net financial implications pre-PBAC response revised</w:t>
            </w:r>
          </w:p>
        </w:tc>
      </w:tr>
      <w:tr w:rsidR="00D55418" w:rsidRPr="005464FA" w14:paraId="136082B4" w14:textId="77777777" w:rsidTr="009164BC">
        <w:tc>
          <w:tcPr>
            <w:tcW w:w="1334" w:type="pct"/>
            <w:shd w:val="clear" w:color="auto" w:fill="auto"/>
            <w:vAlign w:val="center"/>
          </w:tcPr>
          <w:p w14:paraId="18E87EDB" w14:textId="77777777" w:rsidR="00CE1D77" w:rsidRPr="005464FA" w:rsidRDefault="00CE1D77" w:rsidP="001A5EF0">
            <w:pPr>
              <w:pStyle w:val="TableText0"/>
              <w:rPr>
                <w:szCs w:val="20"/>
              </w:rPr>
            </w:pPr>
            <w:r w:rsidRPr="005464FA">
              <w:rPr>
                <w:szCs w:val="20"/>
              </w:rPr>
              <w:t>Net cost to PBS/RPBS</w:t>
            </w:r>
          </w:p>
        </w:tc>
        <w:tc>
          <w:tcPr>
            <w:tcW w:w="615" w:type="pct"/>
            <w:shd w:val="clear" w:color="auto" w:fill="auto"/>
            <w:vAlign w:val="center"/>
          </w:tcPr>
          <w:p w14:paraId="2A5746FD" w14:textId="15D56034" w:rsidR="00CE1D77" w:rsidRPr="005464FA" w:rsidRDefault="005F522F" w:rsidP="001A5EF0">
            <w:pPr>
              <w:pStyle w:val="TableText0"/>
              <w:jc w:val="center"/>
              <w:rPr>
                <w:szCs w:val="20"/>
              </w:rPr>
            </w:pPr>
            <w:r w:rsidRPr="005F522F">
              <w:rPr>
                <w:rFonts w:hint="eastAsia"/>
                <w:color w:val="000000"/>
                <w:w w:val="15"/>
                <w:szCs w:val="20"/>
                <w:shd w:val="solid" w:color="000000" w:fill="000000"/>
                <w:fitText w:val="30" w:id="-893196020"/>
                <w14:textFill>
                  <w14:solidFill>
                    <w14:srgbClr w14:val="000000">
                      <w14:alpha w14:val="100000"/>
                    </w14:srgbClr>
                  </w14:solidFill>
                </w14:textFill>
              </w:rPr>
              <w:t xml:space="preserve">　</w:t>
            </w:r>
            <w:r w:rsidRPr="005F522F">
              <w:rPr>
                <w:color w:val="000000"/>
                <w:w w:val="15"/>
                <w:szCs w:val="20"/>
                <w:shd w:val="solid" w:color="000000" w:fill="000000"/>
                <w:fitText w:val="30" w:id="-893196020"/>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020"/>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c>
          <w:tcPr>
            <w:tcW w:w="564" w:type="pct"/>
            <w:shd w:val="clear" w:color="auto" w:fill="auto"/>
            <w:vAlign w:val="center"/>
          </w:tcPr>
          <w:p w14:paraId="714B30EC" w14:textId="65D3553A" w:rsidR="00CE1D77" w:rsidRPr="005464FA" w:rsidRDefault="005F522F" w:rsidP="001A5EF0">
            <w:pPr>
              <w:pStyle w:val="TableText0"/>
              <w:jc w:val="center"/>
              <w:rPr>
                <w:szCs w:val="20"/>
              </w:rPr>
            </w:pPr>
            <w:r w:rsidRPr="005F522F">
              <w:rPr>
                <w:rFonts w:hint="eastAsia"/>
                <w:color w:val="000000"/>
                <w:w w:val="31"/>
                <w:szCs w:val="20"/>
                <w:shd w:val="solid" w:color="000000" w:fill="000000"/>
                <w:fitText w:val="140" w:id="-893196019"/>
                <w14:textFill>
                  <w14:solidFill>
                    <w14:srgbClr w14:val="000000">
                      <w14:alpha w14:val="100000"/>
                    </w14:srgbClr>
                  </w14:solidFill>
                </w14:textFill>
              </w:rPr>
              <w:t xml:space="preserve">　</w:t>
            </w:r>
            <w:r w:rsidRPr="005F522F">
              <w:rPr>
                <w:color w:val="000000"/>
                <w:w w:val="31"/>
                <w:szCs w:val="20"/>
                <w:shd w:val="solid" w:color="000000" w:fill="000000"/>
                <w:fitText w:val="140" w:id="-893196019"/>
                <w14:textFill>
                  <w14:solidFill>
                    <w14:srgbClr w14:val="000000">
                      <w14:alpha w14:val="100000"/>
                    </w14:srgbClr>
                  </w14:solidFill>
                </w14:textFill>
              </w:rPr>
              <w:t>|</w:t>
            </w:r>
            <w:r w:rsidRPr="005F522F">
              <w:rPr>
                <w:rFonts w:hint="eastAsia"/>
                <w:color w:val="000000"/>
                <w:spacing w:val="4"/>
                <w:w w:val="31"/>
                <w:szCs w:val="20"/>
                <w:shd w:val="solid" w:color="000000" w:fill="000000"/>
                <w:fitText w:val="140" w:id="-893196019"/>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c>
          <w:tcPr>
            <w:tcW w:w="629" w:type="pct"/>
            <w:shd w:val="clear" w:color="auto" w:fill="auto"/>
            <w:vAlign w:val="center"/>
          </w:tcPr>
          <w:p w14:paraId="6CA0C5D8" w14:textId="569CCC8D" w:rsidR="00CE1D77" w:rsidRPr="005464FA" w:rsidRDefault="005F522F" w:rsidP="001A5EF0">
            <w:pPr>
              <w:pStyle w:val="TableText0"/>
              <w:jc w:val="center"/>
              <w:rPr>
                <w:szCs w:val="20"/>
              </w:rPr>
            </w:pPr>
            <w:r w:rsidRPr="005F522F">
              <w:rPr>
                <w:rFonts w:hint="eastAsia"/>
                <w:color w:val="000000"/>
                <w:w w:val="31"/>
                <w:szCs w:val="20"/>
                <w:shd w:val="solid" w:color="000000" w:fill="000000"/>
                <w:fitText w:val="140" w:id="-893196018"/>
                <w14:textFill>
                  <w14:solidFill>
                    <w14:srgbClr w14:val="000000">
                      <w14:alpha w14:val="100000"/>
                    </w14:srgbClr>
                  </w14:solidFill>
                </w14:textFill>
              </w:rPr>
              <w:t xml:space="preserve">　</w:t>
            </w:r>
            <w:r w:rsidRPr="005F522F">
              <w:rPr>
                <w:color w:val="000000"/>
                <w:w w:val="31"/>
                <w:szCs w:val="20"/>
                <w:shd w:val="solid" w:color="000000" w:fill="000000"/>
                <w:fitText w:val="140" w:id="-893196018"/>
                <w14:textFill>
                  <w14:solidFill>
                    <w14:srgbClr w14:val="000000">
                      <w14:alpha w14:val="100000"/>
                    </w14:srgbClr>
                  </w14:solidFill>
                </w14:textFill>
              </w:rPr>
              <w:t>|</w:t>
            </w:r>
            <w:r w:rsidRPr="005F522F">
              <w:rPr>
                <w:rFonts w:hint="eastAsia"/>
                <w:color w:val="000000"/>
                <w:spacing w:val="4"/>
                <w:w w:val="31"/>
                <w:szCs w:val="20"/>
                <w:shd w:val="solid" w:color="000000" w:fill="000000"/>
                <w:fitText w:val="140" w:id="-893196018"/>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c>
          <w:tcPr>
            <w:tcW w:w="629" w:type="pct"/>
            <w:shd w:val="clear" w:color="auto" w:fill="auto"/>
            <w:vAlign w:val="center"/>
          </w:tcPr>
          <w:p w14:paraId="6ED2CFE6" w14:textId="46457193" w:rsidR="00CE1D77" w:rsidRPr="005464FA" w:rsidRDefault="005F522F" w:rsidP="001A5EF0">
            <w:pPr>
              <w:pStyle w:val="TableText0"/>
              <w:jc w:val="center"/>
              <w:rPr>
                <w:szCs w:val="20"/>
              </w:rPr>
            </w:pPr>
            <w:r w:rsidRPr="005F522F">
              <w:rPr>
                <w:rFonts w:hint="eastAsia"/>
                <w:color w:val="000000"/>
                <w:w w:val="18"/>
                <w:szCs w:val="20"/>
                <w:shd w:val="solid" w:color="000000" w:fill="000000"/>
                <w:fitText w:val="80" w:id="-893196017"/>
                <w14:textFill>
                  <w14:solidFill>
                    <w14:srgbClr w14:val="000000">
                      <w14:alpha w14:val="100000"/>
                    </w14:srgbClr>
                  </w14:solidFill>
                </w14:textFill>
              </w:rPr>
              <w:t xml:space="preserve">　</w:t>
            </w:r>
            <w:r w:rsidRPr="005F522F">
              <w:rPr>
                <w:color w:val="000000"/>
                <w:w w:val="18"/>
                <w:szCs w:val="20"/>
                <w:shd w:val="solid" w:color="000000" w:fill="000000"/>
                <w:fitText w:val="80" w:id="-893196017"/>
                <w14:textFill>
                  <w14:solidFill>
                    <w14:srgbClr w14:val="000000">
                      <w14:alpha w14:val="100000"/>
                    </w14:srgbClr>
                  </w14:solidFill>
                </w14:textFill>
              </w:rPr>
              <w:t>|</w:t>
            </w:r>
            <w:r w:rsidRPr="005F522F">
              <w:rPr>
                <w:rFonts w:hint="eastAsia"/>
                <w:color w:val="000000"/>
                <w:w w:val="18"/>
                <w:szCs w:val="20"/>
                <w:shd w:val="solid" w:color="000000" w:fill="000000"/>
                <w:fitText w:val="80" w:id="-893196017"/>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c>
          <w:tcPr>
            <w:tcW w:w="629" w:type="pct"/>
            <w:shd w:val="clear" w:color="auto" w:fill="auto"/>
            <w:vAlign w:val="center"/>
          </w:tcPr>
          <w:p w14:paraId="287EA211" w14:textId="4E931D7A" w:rsidR="00CE1D77" w:rsidRPr="005464FA" w:rsidRDefault="005F522F" w:rsidP="001A5EF0">
            <w:pPr>
              <w:pStyle w:val="TableText0"/>
              <w:jc w:val="center"/>
              <w:rPr>
                <w:szCs w:val="20"/>
              </w:rPr>
            </w:pPr>
            <w:r w:rsidRPr="005F522F">
              <w:rPr>
                <w:color w:val="000000"/>
                <w:szCs w:val="20"/>
                <w:shd w:val="solid" w:color="000000" w:fill="000000"/>
                <w14:textFill>
                  <w14:solidFill>
                    <w14:srgbClr w14:val="000000">
                      <w14:alpha w14:val="100000"/>
                    </w14:srgbClr>
                  </w14:solidFill>
                </w14:textFill>
              </w:rPr>
              <w:t>|</w:t>
            </w:r>
            <w:r w:rsidR="00507C0B">
              <w:rPr>
                <w:szCs w:val="20"/>
              </w:rPr>
              <w:t xml:space="preserve"> </w:t>
            </w:r>
            <w:r w:rsidR="00507C0B">
              <w:rPr>
                <w:szCs w:val="20"/>
                <w:vertAlign w:val="superscript"/>
              </w:rPr>
              <w:t>3</w:t>
            </w:r>
          </w:p>
        </w:tc>
        <w:tc>
          <w:tcPr>
            <w:tcW w:w="601" w:type="pct"/>
            <w:vAlign w:val="center"/>
          </w:tcPr>
          <w:p w14:paraId="1D1C353A" w14:textId="71DC74D3" w:rsidR="00CE1D77" w:rsidRPr="005464FA" w:rsidRDefault="005F522F" w:rsidP="001A5EF0">
            <w:pPr>
              <w:pStyle w:val="TableText0"/>
              <w:jc w:val="center"/>
              <w:rPr>
                <w:szCs w:val="20"/>
              </w:rPr>
            </w:pPr>
            <w:r w:rsidRPr="005F522F">
              <w:rPr>
                <w:rFonts w:hint="eastAsia"/>
                <w:color w:val="000000"/>
                <w:w w:val="15"/>
                <w:szCs w:val="20"/>
                <w:shd w:val="solid" w:color="000000" w:fill="000000"/>
                <w:fitText w:val="70" w:id="-893196016"/>
                <w14:textFill>
                  <w14:solidFill>
                    <w14:srgbClr w14:val="000000">
                      <w14:alpha w14:val="100000"/>
                    </w14:srgbClr>
                  </w14:solidFill>
                </w14:textFill>
              </w:rPr>
              <w:t xml:space="preserve">　</w:t>
            </w:r>
            <w:r w:rsidRPr="005F522F">
              <w:rPr>
                <w:color w:val="000000"/>
                <w:w w:val="15"/>
                <w:szCs w:val="20"/>
                <w:shd w:val="solid" w:color="000000" w:fill="000000"/>
                <w:fitText w:val="70" w:id="-893196016"/>
                <w14:textFill>
                  <w14:solidFill>
                    <w14:srgbClr w14:val="000000">
                      <w14:alpha w14:val="100000"/>
                    </w14:srgbClr>
                  </w14:solidFill>
                </w14:textFill>
              </w:rPr>
              <w:t>|</w:t>
            </w:r>
            <w:r w:rsidRPr="005F522F">
              <w:rPr>
                <w:rFonts w:hint="eastAsia"/>
                <w:color w:val="000000"/>
                <w:spacing w:val="4"/>
                <w:w w:val="15"/>
                <w:szCs w:val="20"/>
                <w:shd w:val="solid" w:color="000000" w:fill="000000"/>
                <w:fitText w:val="70" w:id="-893196016"/>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r>
      <w:tr w:rsidR="00D55418" w:rsidRPr="005464FA" w14:paraId="1A1AF216" w14:textId="77777777" w:rsidTr="009164BC">
        <w:tc>
          <w:tcPr>
            <w:tcW w:w="1334" w:type="pct"/>
            <w:shd w:val="clear" w:color="auto" w:fill="auto"/>
          </w:tcPr>
          <w:p w14:paraId="5BA633C2" w14:textId="77777777" w:rsidR="00CE1D77" w:rsidRPr="005464FA" w:rsidRDefault="00CE1D77" w:rsidP="001A5EF0">
            <w:pPr>
              <w:pStyle w:val="TableText0"/>
              <w:rPr>
                <w:szCs w:val="20"/>
              </w:rPr>
            </w:pPr>
            <w:r w:rsidRPr="005464FA">
              <w:rPr>
                <w:szCs w:val="20"/>
              </w:rPr>
              <w:t xml:space="preserve">Total costs to the MBS for </w:t>
            </w:r>
            <w:r w:rsidRPr="005464FA">
              <w:rPr>
                <w:i/>
                <w:iCs/>
                <w:szCs w:val="20"/>
              </w:rPr>
              <w:t>BRCA</w:t>
            </w:r>
            <w:r w:rsidRPr="005464FA">
              <w:rPr>
                <w:szCs w:val="20"/>
              </w:rPr>
              <w:t xml:space="preserve"> testing</w:t>
            </w:r>
          </w:p>
        </w:tc>
        <w:tc>
          <w:tcPr>
            <w:tcW w:w="615" w:type="pct"/>
            <w:shd w:val="clear" w:color="auto" w:fill="auto"/>
            <w:vAlign w:val="center"/>
          </w:tcPr>
          <w:p w14:paraId="121C7E7C" w14:textId="0AB84C11" w:rsidR="00CE1D77" w:rsidRPr="005464FA" w:rsidRDefault="005F522F" w:rsidP="001A5EF0">
            <w:pPr>
              <w:pStyle w:val="TableText0"/>
              <w:jc w:val="center"/>
              <w:rPr>
                <w:szCs w:val="20"/>
              </w:rPr>
            </w:pPr>
            <w:r w:rsidRPr="005F522F">
              <w:rPr>
                <w:rFonts w:hint="eastAsia"/>
                <w:color w:val="000000"/>
                <w:w w:val="15"/>
                <w:szCs w:val="20"/>
                <w:shd w:val="solid" w:color="000000" w:fill="000000"/>
                <w:fitText w:val="30" w:id="-893196032"/>
                <w14:textFill>
                  <w14:solidFill>
                    <w14:srgbClr w14:val="000000">
                      <w14:alpha w14:val="100000"/>
                    </w14:srgbClr>
                  </w14:solidFill>
                </w14:textFill>
              </w:rPr>
              <w:t xml:space="preserve">　</w:t>
            </w:r>
            <w:r w:rsidRPr="005F522F">
              <w:rPr>
                <w:color w:val="000000"/>
                <w:w w:val="15"/>
                <w:szCs w:val="20"/>
                <w:shd w:val="solid" w:color="000000" w:fill="000000"/>
                <w:fitText w:val="30" w:id="-893196032"/>
                <w14:textFill>
                  <w14:solidFill>
                    <w14:srgbClr w14:val="000000">
                      <w14:alpha w14:val="100000"/>
                    </w14:srgbClr>
                  </w14:solidFill>
                </w14:textFill>
              </w:rPr>
              <w:t>|</w:t>
            </w:r>
            <w:r w:rsidRPr="005F522F">
              <w:rPr>
                <w:rFonts w:hint="eastAsia"/>
                <w:color w:val="000000"/>
                <w:spacing w:val="-35"/>
                <w:w w:val="15"/>
                <w:szCs w:val="20"/>
                <w:shd w:val="solid" w:color="000000" w:fill="000000"/>
                <w:fitText w:val="30" w:id="-893196032"/>
                <w14:textFill>
                  <w14:solidFill>
                    <w14:srgbClr w14:val="000000">
                      <w14:alpha w14:val="100000"/>
                    </w14:srgbClr>
                  </w14:solidFill>
                </w14:textFill>
              </w:rPr>
              <w:t xml:space="preserve">　</w:t>
            </w:r>
            <w:r w:rsidR="00507C0B">
              <w:rPr>
                <w:szCs w:val="20"/>
              </w:rPr>
              <w:t xml:space="preserve"> </w:t>
            </w:r>
            <w:r w:rsidR="00507C0B">
              <w:rPr>
                <w:szCs w:val="20"/>
                <w:vertAlign w:val="superscript"/>
              </w:rPr>
              <w:t>4</w:t>
            </w:r>
          </w:p>
        </w:tc>
        <w:tc>
          <w:tcPr>
            <w:tcW w:w="564" w:type="pct"/>
            <w:shd w:val="clear" w:color="auto" w:fill="auto"/>
            <w:vAlign w:val="center"/>
          </w:tcPr>
          <w:p w14:paraId="6A2D08D3" w14:textId="1CD97D0A" w:rsidR="00CE1D77" w:rsidRPr="005464FA" w:rsidRDefault="005F522F" w:rsidP="001A5EF0">
            <w:pPr>
              <w:pStyle w:val="TableText0"/>
              <w:jc w:val="center"/>
              <w:rPr>
                <w:szCs w:val="20"/>
              </w:rPr>
            </w:pPr>
            <w:r w:rsidRPr="005F522F">
              <w:rPr>
                <w:rFonts w:hint="eastAsia"/>
                <w:color w:val="000000"/>
                <w:w w:val="31"/>
                <w:szCs w:val="20"/>
                <w:shd w:val="solid" w:color="000000" w:fill="000000"/>
                <w:fitText w:val="140" w:id="-893196031"/>
                <w14:textFill>
                  <w14:solidFill>
                    <w14:srgbClr w14:val="000000">
                      <w14:alpha w14:val="100000"/>
                    </w14:srgbClr>
                  </w14:solidFill>
                </w14:textFill>
              </w:rPr>
              <w:t xml:space="preserve">　</w:t>
            </w:r>
            <w:r w:rsidRPr="005F522F">
              <w:rPr>
                <w:color w:val="000000"/>
                <w:w w:val="31"/>
                <w:szCs w:val="20"/>
                <w:shd w:val="solid" w:color="000000" w:fill="000000"/>
                <w:fitText w:val="140" w:id="-893196031"/>
                <w14:textFill>
                  <w14:solidFill>
                    <w14:srgbClr w14:val="000000">
                      <w14:alpha w14:val="100000"/>
                    </w14:srgbClr>
                  </w14:solidFill>
                </w14:textFill>
              </w:rPr>
              <w:t>|</w:t>
            </w:r>
            <w:r w:rsidRPr="005F522F">
              <w:rPr>
                <w:rFonts w:hint="eastAsia"/>
                <w:color w:val="000000"/>
                <w:spacing w:val="4"/>
                <w:w w:val="31"/>
                <w:szCs w:val="20"/>
                <w:shd w:val="solid" w:color="000000" w:fill="000000"/>
                <w:fitText w:val="140" w:id="-893196031"/>
                <w14:textFill>
                  <w14:solidFill>
                    <w14:srgbClr w14:val="000000">
                      <w14:alpha w14:val="100000"/>
                    </w14:srgbClr>
                  </w14:solidFill>
                </w14:textFill>
              </w:rPr>
              <w:t xml:space="preserve">　</w:t>
            </w:r>
            <w:r w:rsidR="00507C0B">
              <w:rPr>
                <w:szCs w:val="20"/>
              </w:rPr>
              <w:t xml:space="preserve"> </w:t>
            </w:r>
            <w:r w:rsidR="00507C0B">
              <w:rPr>
                <w:szCs w:val="20"/>
                <w:vertAlign w:val="superscript"/>
              </w:rPr>
              <w:t>4</w:t>
            </w:r>
          </w:p>
        </w:tc>
        <w:tc>
          <w:tcPr>
            <w:tcW w:w="629" w:type="pct"/>
            <w:shd w:val="clear" w:color="auto" w:fill="auto"/>
            <w:vAlign w:val="center"/>
          </w:tcPr>
          <w:p w14:paraId="5CB8862E" w14:textId="06F5CA2B" w:rsidR="00CE1D77" w:rsidRPr="005464FA" w:rsidRDefault="005F522F" w:rsidP="001A5EF0">
            <w:pPr>
              <w:pStyle w:val="TableText0"/>
              <w:jc w:val="center"/>
              <w:rPr>
                <w:szCs w:val="20"/>
              </w:rPr>
            </w:pPr>
            <w:r w:rsidRPr="005F522F">
              <w:rPr>
                <w:rFonts w:hint="eastAsia"/>
                <w:color w:val="000000"/>
                <w:w w:val="31"/>
                <w:szCs w:val="20"/>
                <w:shd w:val="solid" w:color="000000" w:fill="000000"/>
                <w:fitText w:val="140" w:id="-893196030"/>
                <w14:textFill>
                  <w14:solidFill>
                    <w14:srgbClr w14:val="000000">
                      <w14:alpha w14:val="100000"/>
                    </w14:srgbClr>
                  </w14:solidFill>
                </w14:textFill>
              </w:rPr>
              <w:t xml:space="preserve">　</w:t>
            </w:r>
            <w:r w:rsidRPr="005F522F">
              <w:rPr>
                <w:color w:val="000000"/>
                <w:w w:val="31"/>
                <w:szCs w:val="20"/>
                <w:shd w:val="solid" w:color="000000" w:fill="000000"/>
                <w:fitText w:val="140" w:id="-893196030"/>
                <w14:textFill>
                  <w14:solidFill>
                    <w14:srgbClr w14:val="000000">
                      <w14:alpha w14:val="100000"/>
                    </w14:srgbClr>
                  </w14:solidFill>
                </w14:textFill>
              </w:rPr>
              <w:t>|</w:t>
            </w:r>
            <w:r w:rsidRPr="005F522F">
              <w:rPr>
                <w:rFonts w:hint="eastAsia"/>
                <w:color w:val="000000"/>
                <w:spacing w:val="4"/>
                <w:w w:val="31"/>
                <w:szCs w:val="20"/>
                <w:shd w:val="solid" w:color="000000" w:fill="000000"/>
                <w:fitText w:val="140" w:id="-893196030"/>
                <w14:textFill>
                  <w14:solidFill>
                    <w14:srgbClr w14:val="000000">
                      <w14:alpha w14:val="100000"/>
                    </w14:srgbClr>
                  </w14:solidFill>
                </w14:textFill>
              </w:rPr>
              <w:t xml:space="preserve">　</w:t>
            </w:r>
            <w:r w:rsidR="00507C0B">
              <w:rPr>
                <w:szCs w:val="20"/>
              </w:rPr>
              <w:t xml:space="preserve"> </w:t>
            </w:r>
            <w:r w:rsidR="00507C0B">
              <w:rPr>
                <w:szCs w:val="20"/>
                <w:vertAlign w:val="superscript"/>
              </w:rPr>
              <w:t>4</w:t>
            </w:r>
          </w:p>
        </w:tc>
        <w:tc>
          <w:tcPr>
            <w:tcW w:w="629" w:type="pct"/>
            <w:shd w:val="clear" w:color="auto" w:fill="auto"/>
            <w:vAlign w:val="center"/>
          </w:tcPr>
          <w:p w14:paraId="2E007265" w14:textId="77189C80" w:rsidR="00CE1D77" w:rsidRPr="005464FA" w:rsidRDefault="005F522F" w:rsidP="001A5EF0">
            <w:pPr>
              <w:pStyle w:val="TableText0"/>
              <w:jc w:val="center"/>
              <w:rPr>
                <w:szCs w:val="20"/>
              </w:rPr>
            </w:pPr>
            <w:r w:rsidRPr="005F522F">
              <w:rPr>
                <w:rFonts w:hint="eastAsia"/>
                <w:color w:val="000000"/>
                <w:w w:val="18"/>
                <w:szCs w:val="20"/>
                <w:shd w:val="solid" w:color="000000" w:fill="000000"/>
                <w:fitText w:val="80" w:id="-893196029"/>
                <w14:textFill>
                  <w14:solidFill>
                    <w14:srgbClr w14:val="000000">
                      <w14:alpha w14:val="100000"/>
                    </w14:srgbClr>
                  </w14:solidFill>
                </w14:textFill>
              </w:rPr>
              <w:t xml:space="preserve">　</w:t>
            </w:r>
            <w:r w:rsidRPr="005F522F">
              <w:rPr>
                <w:color w:val="000000"/>
                <w:w w:val="18"/>
                <w:szCs w:val="20"/>
                <w:shd w:val="solid" w:color="000000" w:fill="000000"/>
                <w:fitText w:val="80" w:id="-893196029"/>
                <w14:textFill>
                  <w14:solidFill>
                    <w14:srgbClr w14:val="000000">
                      <w14:alpha w14:val="100000"/>
                    </w14:srgbClr>
                  </w14:solidFill>
                </w14:textFill>
              </w:rPr>
              <w:t>|</w:t>
            </w:r>
            <w:r w:rsidRPr="005F522F">
              <w:rPr>
                <w:rFonts w:hint="eastAsia"/>
                <w:color w:val="000000"/>
                <w:w w:val="18"/>
                <w:szCs w:val="20"/>
                <w:shd w:val="solid" w:color="000000" w:fill="000000"/>
                <w:fitText w:val="80" w:id="-893196029"/>
                <w14:textFill>
                  <w14:solidFill>
                    <w14:srgbClr w14:val="000000">
                      <w14:alpha w14:val="100000"/>
                    </w14:srgbClr>
                  </w14:solidFill>
                </w14:textFill>
              </w:rPr>
              <w:t xml:space="preserve">　</w:t>
            </w:r>
            <w:r w:rsidR="00507C0B">
              <w:rPr>
                <w:szCs w:val="20"/>
              </w:rPr>
              <w:t xml:space="preserve"> </w:t>
            </w:r>
            <w:r w:rsidR="00507C0B">
              <w:rPr>
                <w:szCs w:val="20"/>
                <w:vertAlign w:val="superscript"/>
              </w:rPr>
              <w:t>4</w:t>
            </w:r>
          </w:p>
        </w:tc>
        <w:tc>
          <w:tcPr>
            <w:tcW w:w="629" w:type="pct"/>
            <w:shd w:val="clear" w:color="auto" w:fill="auto"/>
            <w:vAlign w:val="center"/>
          </w:tcPr>
          <w:p w14:paraId="623164CE" w14:textId="2FFFF329" w:rsidR="00CE1D77" w:rsidRPr="005464FA" w:rsidRDefault="005F522F" w:rsidP="001A5EF0">
            <w:pPr>
              <w:pStyle w:val="TableText0"/>
              <w:jc w:val="center"/>
              <w:rPr>
                <w:szCs w:val="20"/>
              </w:rPr>
            </w:pPr>
            <w:r w:rsidRPr="005F522F">
              <w:rPr>
                <w:color w:val="000000"/>
                <w:szCs w:val="20"/>
                <w:shd w:val="solid" w:color="000000" w:fill="000000"/>
                <w14:textFill>
                  <w14:solidFill>
                    <w14:srgbClr w14:val="000000">
                      <w14:alpha w14:val="100000"/>
                    </w14:srgbClr>
                  </w14:solidFill>
                </w14:textFill>
              </w:rPr>
              <w:t>|</w:t>
            </w:r>
            <w:r w:rsidR="00507C0B">
              <w:rPr>
                <w:szCs w:val="20"/>
              </w:rPr>
              <w:t xml:space="preserve"> </w:t>
            </w:r>
            <w:r w:rsidR="00507C0B">
              <w:rPr>
                <w:szCs w:val="20"/>
                <w:vertAlign w:val="superscript"/>
              </w:rPr>
              <w:t>4</w:t>
            </w:r>
          </w:p>
        </w:tc>
        <w:tc>
          <w:tcPr>
            <w:tcW w:w="601" w:type="pct"/>
            <w:vAlign w:val="center"/>
          </w:tcPr>
          <w:p w14:paraId="1BF5240E" w14:textId="55E0E934" w:rsidR="00CE1D77" w:rsidRPr="005464FA" w:rsidRDefault="005F522F" w:rsidP="001A5EF0">
            <w:pPr>
              <w:pStyle w:val="TableText0"/>
              <w:jc w:val="center"/>
              <w:rPr>
                <w:szCs w:val="20"/>
              </w:rPr>
            </w:pPr>
            <w:r w:rsidRPr="005F522F">
              <w:rPr>
                <w:rFonts w:hint="eastAsia"/>
                <w:color w:val="000000"/>
                <w:w w:val="15"/>
                <w:szCs w:val="20"/>
                <w:shd w:val="solid" w:color="000000" w:fill="000000"/>
                <w:fitText w:val="70" w:id="-893196028"/>
                <w14:textFill>
                  <w14:solidFill>
                    <w14:srgbClr w14:val="000000">
                      <w14:alpha w14:val="100000"/>
                    </w14:srgbClr>
                  </w14:solidFill>
                </w14:textFill>
              </w:rPr>
              <w:t xml:space="preserve">　</w:t>
            </w:r>
            <w:r w:rsidRPr="005F522F">
              <w:rPr>
                <w:color w:val="000000"/>
                <w:w w:val="15"/>
                <w:szCs w:val="20"/>
                <w:shd w:val="solid" w:color="000000" w:fill="000000"/>
                <w:fitText w:val="70" w:id="-893196028"/>
                <w14:textFill>
                  <w14:solidFill>
                    <w14:srgbClr w14:val="000000">
                      <w14:alpha w14:val="100000"/>
                    </w14:srgbClr>
                  </w14:solidFill>
                </w14:textFill>
              </w:rPr>
              <w:t>|</w:t>
            </w:r>
            <w:r w:rsidRPr="005F522F">
              <w:rPr>
                <w:rFonts w:hint="eastAsia"/>
                <w:color w:val="000000"/>
                <w:spacing w:val="4"/>
                <w:w w:val="15"/>
                <w:szCs w:val="20"/>
                <w:shd w:val="solid" w:color="000000" w:fill="000000"/>
                <w:fitText w:val="70" w:id="-893196028"/>
                <w14:textFill>
                  <w14:solidFill>
                    <w14:srgbClr w14:val="000000">
                      <w14:alpha w14:val="100000"/>
                    </w14:srgbClr>
                  </w14:solidFill>
                </w14:textFill>
              </w:rPr>
              <w:t xml:space="preserve">　</w:t>
            </w:r>
            <w:r w:rsidR="00507C0B">
              <w:rPr>
                <w:szCs w:val="20"/>
              </w:rPr>
              <w:t xml:space="preserve"> </w:t>
            </w:r>
            <w:r w:rsidR="00507C0B">
              <w:rPr>
                <w:szCs w:val="20"/>
                <w:vertAlign w:val="superscript"/>
              </w:rPr>
              <w:t>4</w:t>
            </w:r>
          </w:p>
        </w:tc>
      </w:tr>
      <w:tr w:rsidR="00D55418" w:rsidRPr="005464FA" w14:paraId="0B0EA005" w14:textId="77777777" w:rsidTr="009164BC">
        <w:tc>
          <w:tcPr>
            <w:tcW w:w="1334" w:type="pct"/>
            <w:shd w:val="clear" w:color="auto" w:fill="auto"/>
          </w:tcPr>
          <w:p w14:paraId="6F7B4797" w14:textId="77777777" w:rsidR="00CE1D77" w:rsidRPr="005464FA" w:rsidRDefault="00CE1D77" w:rsidP="001A5EF0">
            <w:pPr>
              <w:pStyle w:val="TableText0"/>
              <w:rPr>
                <w:i/>
                <w:iCs/>
                <w:szCs w:val="20"/>
              </w:rPr>
            </w:pPr>
            <w:r w:rsidRPr="005464FA">
              <w:rPr>
                <w:b/>
                <w:bCs w:val="0"/>
                <w:szCs w:val="20"/>
              </w:rPr>
              <w:t>Total costs to Government</w:t>
            </w:r>
          </w:p>
        </w:tc>
        <w:tc>
          <w:tcPr>
            <w:tcW w:w="615" w:type="pct"/>
            <w:shd w:val="clear" w:color="auto" w:fill="auto"/>
            <w:vAlign w:val="center"/>
          </w:tcPr>
          <w:p w14:paraId="6776623D" w14:textId="69EAE27D" w:rsidR="00CE1D77" w:rsidRPr="005464FA" w:rsidRDefault="005F522F" w:rsidP="001A5EF0">
            <w:pPr>
              <w:pStyle w:val="TableText0"/>
              <w:jc w:val="center"/>
              <w:rPr>
                <w:b/>
                <w:bCs w:val="0"/>
                <w:szCs w:val="20"/>
              </w:rPr>
            </w:pPr>
            <w:r w:rsidRPr="005F522F">
              <w:rPr>
                <w:rFonts w:hint="eastAsia"/>
                <w:b/>
                <w:bCs w:val="0"/>
                <w:color w:val="000000"/>
                <w:w w:val="15"/>
                <w:szCs w:val="20"/>
                <w:shd w:val="solid" w:color="000000" w:fill="000000"/>
                <w:fitText w:val="70" w:id="-893196027"/>
                <w14:textFill>
                  <w14:solidFill>
                    <w14:srgbClr w14:val="000000">
                      <w14:alpha w14:val="100000"/>
                    </w14:srgbClr>
                  </w14:solidFill>
                </w14:textFill>
              </w:rPr>
              <w:t xml:space="preserve">　</w:t>
            </w:r>
            <w:r w:rsidRPr="005F522F">
              <w:rPr>
                <w:b/>
                <w:bCs w:val="0"/>
                <w:color w:val="000000"/>
                <w:w w:val="15"/>
                <w:szCs w:val="20"/>
                <w:shd w:val="solid" w:color="000000" w:fill="000000"/>
                <w:fitText w:val="70" w:id="-893196027"/>
                <w14:textFill>
                  <w14:solidFill>
                    <w14:srgbClr w14:val="000000">
                      <w14:alpha w14:val="100000"/>
                    </w14:srgbClr>
                  </w14:solidFill>
                </w14:textFill>
              </w:rPr>
              <w:t>|</w:t>
            </w:r>
            <w:r w:rsidRPr="005F522F">
              <w:rPr>
                <w:rFonts w:hint="eastAsia"/>
                <w:b/>
                <w:bCs w:val="0"/>
                <w:color w:val="000000"/>
                <w:spacing w:val="3"/>
                <w:w w:val="15"/>
                <w:szCs w:val="20"/>
                <w:shd w:val="solid" w:color="000000" w:fill="000000"/>
                <w:fitText w:val="70" w:id="-893196027"/>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c>
          <w:tcPr>
            <w:tcW w:w="564" w:type="pct"/>
            <w:shd w:val="clear" w:color="auto" w:fill="auto"/>
            <w:vAlign w:val="center"/>
          </w:tcPr>
          <w:p w14:paraId="43A3BE10" w14:textId="00423408" w:rsidR="00CE1D77" w:rsidRPr="005464FA" w:rsidRDefault="005F522F" w:rsidP="001A5EF0">
            <w:pPr>
              <w:pStyle w:val="TableText0"/>
              <w:jc w:val="center"/>
              <w:rPr>
                <w:b/>
                <w:bCs w:val="0"/>
                <w:szCs w:val="20"/>
              </w:rPr>
            </w:pPr>
            <w:r w:rsidRPr="005F522F">
              <w:rPr>
                <w:b/>
                <w:bCs w:val="0"/>
                <w:color w:val="000000"/>
                <w:spacing w:val="98"/>
                <w:szCs w:val="20"/>
                <w:shd w:val="solid" w:color="000000" w:fill="000000"/>
                <w:fitText w:val="190" w:id="-893196026"/>
                <w14:textFill>
                  <w14:solidFill>
                    <w14:srgbClr w14:val="000000">
                      <w14:alpha w14:val="100000"/>
                    </w14:srgbClr>
                  </w14:solidFill>
                </w14:textFill>
              </w:rPr>
              <w:t>|</w:t>
            </w:r>
            <w:r w:rsidRPr="005F522F">
              <w:rPr>
                <w:b/>
                <w:bCs w:val="0"/>
                <w:color w:val="000000"/>
                <w:spacing w:val="1"/>
                <w:szCs w:val="20"/>
                <w:shd w:val="solid" w:color="000000" w:fill="000000"/>
                <w:fitText w:val="190" w:id="-893196026"/>
                <w14:textFill>
                  <w14:solidFill>
                    <w14:srgbClr w14:val="000000">
                      <w14:alpha w14:val="100000"/>
                    </w14:srgbClr>
                  </w14:solidFill>
                </w14:textFill>
              </w:rPr>
              <w:t>|</w:t>
            </w:r>
            <w:r w:rsidR="00507C0B">
              <w:rPr>
                <w:szCs w:val="20"/>
              </w:rPr>
              <w:t xml:space="preserve"> </w:t>
            </w:r>
            <w:r w:rsidR="00507C0B">
              <w:rPr>
                <w:szCs w:val="20"/>
                <w:vertAlign w:val="superscript"/>
              </w:rPr>
              <w:t>3</w:t>
            </w:r>
          </w:p>
        </w:tc>
        <w:tc>
          <w:tcPr>
            <w:tcW w:w="629" w:type="pct"/>
            <w:shd w:val="clear" w:color="auto" w:fill="auto"/>
            <w:vAlign w:val="center"/>
          </w:tcPr>
          <w:p w14:paraId="7BBF47F9" w14:textId="3B5C5133" w:rsidR="00CE1D77" w:rsidRPr="005464FA" w:rsidRDefault="005F522F" w:rsidP="001A5EF0">
            <w:pPr>
              <w:pStyle w:val="TableText0"/>
              <w:jc w:val="center"/>
              <w:rPr>
                <w:b/>
                <w:bCs w:val="0"/>
                <w:szCs w:val="20"/>
              </w:rPr>
            </w:pPr>
            <w:r w:rsidRPr="005F522F">
              <w:rPr>
                <w:b/>
                <w:bCs w:val="0"/>
                <w:color w:val="000000"/>
                <w:spacing w:val="98"/>
                <w:szCs w:val="20"/>
                <w:shd w:val="solid" w:color="000000" w:fill="000000"/>
                <w:fitText w:val="190" w:id="-893196025"/>
                <w14:textFill>
                  <w14:solidFill>
                    <w14:srgbClr w14:val="000000">
                      <w14:alpha w14:val="100000"/>
                    </w14:srgbClr>
                  </w14:solidFill>
                </w14:textFill>
              </w:rPr>
              <w:t>|</w:t>
            </w:r>
            <w:r w:rsidRPr="005F522F">
              <w:rPr>
                <w:b/>
                <w:bCs w:val="0"/>
                <w:color w:val="000000"/>
                <w:spacing w:val="1"/>
                <w:szCs w:val="20"/>
                <w:shd w:val="solid" w:color="000000" w:fill="000000"/>
                <w:fitText w:val="190" w:id="-893196025"/>
                <w14:textFill>
                  <w14:solidFill>
                    <w14:srgbClr w14:val="000000">
                      <w14:alpha w14:val="100000"/>
                    </w14:srgbClr>
                  </w14:solidFill>
                </w14:textFill>
              </w:rPr>
              <w:t>|</w:t>
            </w:r>
            <w:r w:rsidR="00507C0B">
              <w:rPr>
                <w:szCs w:val="20"/>
              </w:rPr>
              <w:t xml:space="preserve"> </w:t>
            </w:r>
            <w:r w:rsidR="00507C0B">
              <w:rPr>
                <w:szCs w:val="20"/>
                <w:vertAlign w:val="superscript"/>
              </w:rPr>
              <w:t>3</w:t>
            </w:r>
          </w:p>
        </w:tc>
        <w:tc>
          <w:tcPr>
            <w:tcW w:w="629" w:type="pct"/>
            <w:shd w:val="clear" w:color="auto" w:fill="auto"/>
            <w:vAlign w:val="center"/>
          </w:tcPr>
          <w:p w14:paraId="74390554" w14:textId="7467D61D" w:rsidR="00CE1D77" w:rsidRPr="005464FA" w:rsidRDefault="005F522F" w:rsidP="001A5EF0">
            <w:pPr>
              <w:pStyle w:val="TableText0"/>
              <w:jc w:val="center"/>
              <w:rPr>
                <w:b/>
                <w:bCs w:val="0"/>
                <w:szCs w:val="20"/>
              </w:rPr>
            </w:pPr>
            <w:r w:rsidRPr="005F522F">
              <w:rPr>
                <w:rFonts w:hint="eastAsia"/>
                <w:b/>
                <w:bCs w:val="0"/>
                <w:color w:val="000000"/>
                <w:w w:val="29"/>
                <w:szCs w:val="20"/>
                <w:shd w:val="solid" w:color="000000" w:fill="000000"/>
                <w:fitText w:val="130" w:id="-893196024"/>
                <w14:textFill>
                  <w14:solidFill>
                    <w14:srgbClr w14:val="000000">
                      <w14:alpha w14:val="100000"/>
                    </w14:srgbClr>
                  </w14:solidFill>
                </w14:textFill>
              </w:rPr>
              <w:t xml:space="preserve">　</w:t>
            </w:r>
            <w:r w:rsidRPr="005F522F">
              <w:rPr>
                <w:b/>
                <w:bCs w:val="0"/>
                <w:color w:val="000000"/>
                <w:w w:val="29"/>
                <w:szCs w:val="20"/>
                <w:shd w:val="solid" w:color="000000" w:fill="000000"/>
                <w:fitText w:val="130" w:id="-893196024"/>
                <w14:textFill>
                  <w14:solidFill>
                    <w14:srgbClr w14:val="000000">
                      <w14:alpha w14:val="100000"/>
                    </w14:srgbClr>
                  </w14:solidFill>
                </w14:textFill>
              </w:rPr>
              <w:t>|</w:t>
            </w:r>
            <w:r w:rsidRPr="005F522F">
              <w:rPr>
                <w:rFonts w:hint="eastAsia"/>
                <w:b/>
                <w:bCs w:val="0"/>
                <w:color w:val="000000"/>
                <w:spacing w:val="1"/>
                <w:w w:val="29"/>
                <w:szCs w:val="20"/>
                <w:shd w:val="solid" w:color="000000" w:fill="000000"/>
                <w:fitText w:val="130" w:id="-893196024"/>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c>
          <w:tcPr>
            <w:tcW w:w="629" w:type="pct"/>
            <w:shd w:val="clear" w:color="auto" w:fill="auto"/>
            <w:vAlign w:val="center"/>
          </w:tcPr>
          <w:p w14:paraId="4A8E5AAE" w14:textId="681F1B03" w:rsidR="00CE1D77" w:rsidRPr="005464FA" w:rsidRDefault="005F522F" w:rsidP="001A5EF0">
            <w:pPr>
              <w:pStyle w:val="TableText0"/>
              <w:jc w:val="center"/>
              <w:rPr>
                <w:b/>
                <w:bCs w:val="0"/>
                <w:szCs w:val="20"/>
              </w:rPr>
            </w:pPr>
            <w:r w:rsidRPr="006A43A5">
              <w:rPr>
                <w:rFonts w:hint="eastAsia"/>
                <w:b/>
                <w:bCs w:val="0"/>
                <w:color w:val="000000"/>
                <w:w w:val="15"/>
                <w:szCs w:val="20"/>
                <w:shd w:val="solid" w:color="000000" w:fill="000000"/>
                <w:fitText w:val="10" w:id="-893196023"/>
                <w14:textFill>
                  <w14:solidFill>
                    <w14:srgbClr w14:val="000000">
                      <w14:alpha w14:val="100000"/>
                    </w14:srgbClr>
                  </w14:solidFill>
                </w14:textFill>
              </w:rPr>
              <w:t xml:space="preserve">　</w:t>
            </w:r>
            <w:r w:rsidRPr="006A43A5">
              <w:rPr>
                <w:b/>
                <w:bCs w:val="0"/>
                <w:color w:val="000000"/>
                <w:w w:val="15"/>
                <w:szCs w:val="20"/>
                <w:shd w:val="solid" w:color="000000" w:fill="000000"/>
                <w:fitText w:val="10" w:id="-893196023"/>
                <w14:textFill>
                  <w14:solidFill>
                    <w14:srgbClr w14:val="000000">
                      <w14:alpha w14:val="100000"/>
                    </w14:srgbClr>
                  </w14:solidFill>
                </w14:textFill>
              </w:rPr>
              <w:t>|</w:t>
            </w:r>
            <w:r w:rsidRPr="006A43A5">
              <w:rPr>
                <w:rFonts w:hint="eastAsia"/>
                <w:b/>
                <w:bCs w:val="0"/>
                <w:color w:val="000000"/>
                <w:spacing w:val="-56"/>
                <w:w w:val="15"/>
                <w:szCs w:val="20"/>
                <w:shd w:val="solid" w:color="000000" w:fill="000000"/>
                <w:fitText w:val="10" w:id="-893196023"/>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c>
          <w:tcPr>
            <w:tcW w:w="601" w:type="pct"/>
            <w:vAlign w:val="center"/>
          </w:tcPr>
          <w:p w14:paraId="5239A618" w14:textId="09E5D03E" w:rsidR="00CE1D77" w:rsidRPr="005464FA" w:rsidRDefault="005F522F" w:rsidP="001A5EF0">
            <w:pPr>
              <w:pStyle w:val="TableText0"/>
              <w:jc w:val="center"/>
              <w:rPr>
                <w:b/>
                <w:bCs w:val="0"/>
                <w:szCs w:val="20"/>
              </w:rPr>
            </w:pPr>
            <w:r w:rsidRPr="005F522F">
              <w:rPr>
                <w:rFonts w:hint="eastAsia"/>
                <w:b/>
                <w:bCs w:val="0"/>
                <w:color w:val="000000"/>
                <w:w w:val="24"/>
                <w:szCs w:val="20"/>
                <w:shd w:val="solid" w:color="000000" w:fill="000000"/>
                <w:fitText w:val="110" w:id="-893196022"/>
                <w14:textFill>
                  <w14:solidFill>
                    <w14:srgbClr w14:val="000000">
                      <w14:alpha w14:val="100000"/>
                    </w14:srgbClr>
                  </w14:solidFill>
                </w14:textFill>
              </w:rPr>
              <w:t xml:space="preserve">　</w:t>
            </w:r>
            <w:r w:rsidRPr="005F522F">
              <w:rPr>
                <w:b/>
                <w:bCs w:val="0"/>
                <w:color w:val="000000"/>
                <w:w w:val="24"/>
                <w:szCs w:val="20"/>
                <w:shd w:val="solid" w:color="000000" w:fill="000000"/>
                <w:fitText w:val="110" w:id="-893196022"/>
                <w14:textFill>
                  <w14:solidFill>
                    <w14:srgbClr w14:val="000000">
                      <w14:alpha w14:val="100000"/>
                    </w14:srgbClr>
                  </w14:solidFill>
                </w14:textFill>
              </w:rPr>
              <w:t>|</w:t>
            </w:r>
            <w:r w:rsidRPr="005F522F">
              <w:rPr>
                <w:rFonts w:hint="eastAsia"/>
                <w:b/>
                <w:bCs w:val="0"/>
                <w:color w:val="000000"/>
                <w:spacing w:val="5"/>
                <w:w w:val="24"/>
                <w:szCs w:val="20"/>
                <w:shd w:val="solid" w:color="000000" w:fill="000000"/>
                <w:fitText w:val="110" w:id="-893196022"/>
                <w14:textFill>
                  <w14:solidFill>
                    <w14:srgbClr w14:val="000000">
                      <w14:alpha w14:val="100000"/>
                    </w14:srgbClr>
                  </w14:solidFill>
                </w14:textFill>
              </w:rPr>
              <w:t xml:space="preserve">　</w:t>
            </w:r>
            <w:r w:rsidR="00507C0B">
              <w:rPr>
                <w:szCs w:val="20"/>
              </w:rPr>
              <w:t xml:space="preserve"> </w:t>
            </w:r>
            <w:r w:rsidR="00507C0B">
              <w:rPr>
                <w:szCs w:val="20"/>
                <w:vertAlign w:val="superscript"/>
              </w:rPr>
              <w:t>3</w:t>
            </w:r>
          </w:p>
        </w:tc>
      </w:tr>
    </w:tbl>
    <w:p w14:paraId="60CD5C61" w14:textId="7BA2D493" w:rsidR="00D21DF1" w:rsidRPr="005464FA" w:rsidRDefault="00D21DF1" w:rsidP="005F522F">
      <w:pPr>
        <w:pStyle w:val="FooterTableFigure"/>
        <w:keepNext/>
      </w:pPr>
      <w:r w:rsidRPr="005464FA">
        <w:t>Source: Table 4.17,</w:t>
      </w:r>
      <w:r w:rsidR="00C82FF1">
        <w:t xml:space="preserve"> </w:t>
      </w:r>
      <w:r w:rsidRPr="005464FA">
        <w:t xml:space="preserve">p169 of the submission and the attached financial model, corrected </w:t>
      </w:r>
    </w:p>
    <w:p w14:paraId="4C222749" w14:textId="77777777" w:rsidR="00D21DF1" w:rsidRPr="005464FA" w:rsidRDefault="00D21DF1" w:rsidP="005F522F">
      <w:pPr>
        <w:pStyle w:val="FooterTableFigure"/>
        <w:keepNext/>
      </w:pPr>
      <w:r w:rsidRPr="005464FA">
        <w:t>PBS = Pharmaceutical Benefits Scheme; RPBS = Repatriation Pharmaceutical Benefits Scheme</w:t>
      </w:r>
    </w:p>
    <w:p w14:paraId="5549E64C" w14:textId="6DA42738" w:rsidR="00D21DF1" w:rsidRDefault="00D21DF1" w:rsidP="005F522F">
      <w:pPr>
        <w:pStyle w:val="FooterTableFigure"/>
        <w:keepNext/>
        <w:spacing w:after="0"/>
      </w:pPr>
      <w:r w:rsidRPr="005464FA">
        <w:rPr>
          <w:vertAlign w:val="superscript"/>
        </w:rPr>
        <w:t xml:space="preserve">a </w:t>
      </w:r>
      <w:r w:rsidRPr="005464FA">
        <w:t>assumes 13.3 scripts per patient per year</w:t>
      </w:r>
    </w:p>
    <w:p w14:paraId="4FAC8D06" w14:textId="77777777" w:rsidR="00801D1D" w:rsidRPr="009A6D58" w:rsidRDefault="00801D1D" w:rsidP="005F522F">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9AAFE1E" w14:textId="7CE54F5F" w:rsidR="00801D1D" w:rsidRPr="009A6D58" w:rsidRDefault="00801D1D" w:rsidP="005F522F">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1FE37DB2" w14:textId="4CBF5EE7" w:rsidR="00801D1D" w:rsidRPr="009A6D58" w:rsidRDefault="00801D1D" w:rsidP="005F522F">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500 to &lt; 5,000</w:t>
      </w:r>
    </w:p>
    <w:p w14:paraId="7559E35D" w14:textId="6C16A531" w:rsidR="00801D1D" w:rsidRDefault="00801D1D" w:rsidP="005F522F">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4D46C1" w:rsidRPr="004D46C1">
        <w:rPr>
          <w:rFonts w:ascii="Arial Narrow" w:hAnsi="Arial Narrow"/>
          <w:i/>
          <w:sz w:val="18"/>
          <w:szCs w:val="18"/>
        </w:rPr>
        <w:t>$10 million to &lt; $20 million</w:t>
      </w:r>
    </w:p>
    <w:p w14:paraId="70C2E4BB" w14:textId="33115871" w:rsidR="00801D1D" w:rsidRPr="005F522F" w:rsidRDefault="00801D1D" w:rsidP="005F522F">
      <w:pPr>
        <w:spacing w:after="120"/>
        <w:rPr>
          <w:i/>
          <w:szCs w:val="18"/>
        </w:rPr>
      </w:pPr>
      <w:r>
        <w:rPr>
          <w:rFonts w:ascii="Arial Narrow" w:hAnsi="Arial Narrow"/>
          <w:i/>
          <w:sz w:val="18"/>
          <w:szCs w:val="18"/>
          <w:vertAlign w:val="superscript"/>
        </w:rPr>
        <w:t>4</w:t>
      </w:r>
      <w:r>
        <w:rPr>
          <w:rFonts w:ascii="Arial Narrow" w:hAnsi="Arial Narrow"/>
          <w:i/>
          <w:sz w:val="18"/>
          <w:szCs w:val="18"/>
        </w:rPr>
        <w:t xml:space="preserve"> </w:t>
      </w:r>
      <w:r w:rsidR="00F86E62" w:rsidRPr="00F86E62">
        <w:rPr>
          <w:rFonts w:ascii="Arial Narrow" w:hAnsi="Arial Narrow"/>
          <w:i/>
          <w:sz w:val="18"/>
          <w:szCs w:val="18"/>
        </w:rPr>
        <w:t>$0 to &lt; $10 million</w:t>
      </w:r>
    </w:p>
    <w:p w14:paraId="0F5BC8C3" w14:textId="6E00CD79" w:rsidR="00A1135A" w:rsidRPr="005464FA" w:rsidRDefault="007C7D10" w:rsidP="00A1135A">
      <w:pPr>
        <w:pStyle w:val="3-BodyText"/>
      </w:pPr>
      <w:r w:rsidRPr="005464FA">
        <w:t>In the submission, t</w:t>
      </w:r>
      <w:r w:rsidR="00A1135A" w:rsidRPr="005464FA">
        <w:t xml:space="preserve">he total cost to the PBS/RPBS of listing </w:t>
      </w:r>
      <w:r w:rsidR="000D5E52" w:rsidRPr="005464FA">
        <w:t>olaparib</w:t>
      </w:r>
      <w:r w:rsidR="00A1135A" w:rsidRPr="005464FA">
        <w:t xml:space="preserve"> was estimated to be</w:t>
      </w:r>
      <w:r w:rsidR="000D5E52" w:rsidRPr="005464FA">
        <w:t xml:space="preserve"> </w:t>
      </w:r>
      <w:r w:rsidR="00632208" w:rsidRPr="00632208">
        <w:t>$10 million to &lt; $20 million</w:t>
      </w:r>
      <w:r w:rsidR="00632208" w:rsidRPr="00632208" w:rsidDel="00632208">
        <w:t xml:space="preserve"> </w:t>
      </w:r>
      <w:r w:rsidR="000D5E52" w:rsidRPr="005464FA">
        <w:t xml:space="preserve">in Year 1, increasing to </w:t>
      </w:r>
      <w:r w:rsidR="00FA429F" w:rsidRPr="00FA429F">
        <w:t>$10 million to &lt; $20 million</w:t>
      </w:r>
      <w:r w:rsidR="00FA429F" w:rsidRPr="00FA429F" w:rsidDel="00FA429F">
        <w:t xml:space="preserve"> </w:t>
      </w:r>
      <w:r w:rsidR="00A1135A" w:rsidRPr="005464FA">
        <w:t xml:space="preserve">in Year 6, and a total of </w:t>
      </w:r>
      <w:r w:rsidR="00886E82" w:rsidRPr="00886E82">
        <w:t>$90 million to &lt; $100 million</w:t>
      </w:r>
      <w:r w:rsidR="00886E82" w:rsidRPr="00886E82" w:rsidDel="00886E82">
        <w:t xml:space="preserve"> </w:t>
      </w:r>
      <w:r w:rsidR="00A1135A" w:rsidRPr="005464FA">
        <w:t xml:space="preserve">in the first 6 years of listing. </w:t>
      </w:r>
      <w:r w:rsidR="00C8250A" w:rsidRPr="005464FA">
        <w:t xml:space="preserve">With pre-PBAC revisions to the patient numbers </w:t>
      </w:r>
      <w:r w:rsidR="00856D10" w:rsidRPr="005464FA">
        <w:t>(</w:t>
      </w:r>
      <w:r w:rsidR="00C8250A" w:rsidRPr="005464FA">
        <w:t>to include patients who have received chemotherapy in the metastatic setting</w:t>
      </w:r>
      <w:r w:rsidR="00856D10" w:rsidRPr="005464FA">
        <w:t>)</w:t>
      </w:r>
      <w:r w:rsidR="00C8250A" w:rsidRPr="005464FA">
        <w:t xml:space="preserve"> and the price ($</w:t>
      </w:r>
      <w:r w:rsidR="005F522F" w:rsidRPr="006A43A5">
        <w:rPr>
          <w:color w:val="000000"/>
          <w:w w:val="15"/>
          <w:shd w:val="solid" w:color="000000" w:fill="000000"/>
          <w:fitText w:val="-20" w:id="-893196021"/>
          <w14:textFill>
            <w14:solidFill>
              <w14:srgbClr w14:val="000000">
                <w14:alpha w14:val="100000"/>
              </w14:srgbClr>
            </w14:solidFill>
          </w14:textFill>
        </w:rPr>
        <w:t xml:space="preserve">|  </w:t>
      </w:r>
      <w:r w:rsidR="005F522F" w:rsidRPr="006A43A5">
        <w:rPr>
          <w:color w:val="000000"/>
          <w:spacing w:val="-69"/>
          <w:w w:val="15"/>
          <w:shd w:val="solid" w:color="000000" w:fill="000000"/>
          <w:fitText w:val="-20" w:id="-893196021"/>
          <w14:textFill>
            <w14:solidFill>
              <w14:srgbClr w14:val="000000">
                <w14:alpha w14:val="100000"/>
              </w14:srgbClr>
            </w14:solidFill>
          </w14:textFill>
        </w:rPr>
        <w:t>|</w:t>
      </w:r>
      <w:r w:rsidR="00C8250A" w:rsidRPr="005464FA">
        <w:t xml:space="preserve"> DPMQ), the total cost to the PBS/RPBS was revised to </w:t>
      </w:r>
      <w:r w:rsidR="00106C1E" w:rsidRPr="00106C1E">
        <w:t>$0 to &lt; $10 million</w:t>
      </w:r>
      <w:r w:rsidR="00106C1E" w:rsidRPr="00106C1E" w:rsidDel="00106C1E">
        <w:t xml:space="preserve"> </w:t>
      </w:r>
      <w:r w:rsidR="00C8250A" w:rsidRPr="005464FA">
        <w:t xml:space="preserve">in year 1, increasing to </w:t>
      </w:r>
      <w:r w:rsidR="00433F6A" w:rsidRPr="00FA429F">
        <w:t>$10 million to &lt; $20 million</w:t>
      </w:r>
      <w:r w:rsidR="00433F6A" w:rsidRPr="00FA429F" w:rsidDel="00FA429F">
        <w:t xml:space="preserve"> </w:t>
      </w:r>
      <w:r w:rsidR="00C8250A" w:rsidRPr="005464FA">
        <w:t xml:space="preserve">in year 6. </w:t>
      </w:r>
    </w:p>
    <w:p w14:paraId="37BCB07C" w14:textId="59987EDC" w:rsidR="000D5E52" w:rsidRPr="005464FA" w:rsidRDefault="000D5E52" w:rsidP="000D5E52">
      <w:pPr>
        <w:pStyle w:val="3-BodyText"/>
        <w:rPr>
          <w:color w:val="000000" w:themeColor="text1"/>
        </w:rPr>
      </w:pPr>
      <w:r w:rsidRPr="005464FA">
        <w:rPr>
          <w:color w:val="000000" w:themeColor="text1"/>
        </w:rPr>
        <w:t xml:space="preserve">The submission assumed </w:t>
      </w:r>
      <w:r w:rsidR="00106C1E">
        <w:rPr>
          <w:color w:val="000000" w:themeColor="text1"/>
        </w:rPr>
        <w:t>&lt; 500</w:t>
      </w:r>
      <w:r w:rsidR="00106C1E" w:rsidRPr="005464FA">
        <w:rPr>
          <w:color w:val="000000" w:themeColor="text1"/>
        </w:rPr>
        <w:t xml:space="preserve"> </w:t>
      </w:r>
      <w:r w:rsidRPr="005464FA">
        <w:rPr>
          <w:color w:val="000000" w:themeColor="text1"/>
        </w:rPr>
        <w:t>grandfathered patients based on an access program. These patients were added to the incident population in Year 1 of listing. This was reasonable.</w:t>
      </w:r>
    </w:p>
    <w:p w14:paraId="61612307" w14:textId="77777777" w:rsidR="00CF2784" w:rsidRPr="005464FA" w:rsidRDefault="00CF2784" w:rsidP="00CF2784">
      <w:pPr>
        <w:pStyle w:val="3-BodyText"/>
        <w:rPr>
          <w:color w:val="000000" w:themeColor="text1"/>
        </w:rPr>
      </w:pPr>
      <w:r w:rsidRPr="005464FA">
        <w:rPr>
          <w:color w:val="000000" w:themeColor="text1"/>
        </w:rPr>
        <w:t>The financial estimates presented may be uncertain as:</w:t>
      </w:r>
    </w:p>
    <w:p w14:paraId="6689B9DA" w14:textId="4014D5FD" w:rsidR="00CF2784" w:rsidRPr="005464FA" w:rsidRDefault="00CF2784" w:rsidP="00CE1D77">
      <w:pPr>
        <w:pStyle w:val="3-BodyText"/>
        <w:numPr>
          <w:ilvl w:val="0"/>
          <w:numId w:val="14"/>
        </w:numPr>
        <w:ind w:left="1134"/>
        <w:rPr>
          <w:color w:val="000000" w:themeColor="text1"/>
        </w:rPr>
      </w:pPr>
      <w:r w:rsidRPr="005464FA">
        <w:rPr>
          <w:color w:val="000000" w:themeColor="text1"/>
        </w:rPr>
        <w:lastRenderedPageBreak/>
        <w:t>The number of packs of olaparib used may be underestimated as the duration of treatment of olaparib (based on mean usage in OlympiAD) may be underestimated as assessment for progression in clinical practice may be less frequent than in clinical trials therefore patients were less likely to discontinue precisely at progression</w:t>
      </w:r>
      <w:r w:rsidR="00204A62" w:rsidRPr="005464FA">
        <w:rPr>
          <w:color w:val="000000" w:themeColor="text1"/>
        </w:rPr>
        <w:t>.</w:t>
      </w:r>
      <w:r w:rsidR="00CE1D77" w:rsidRPr="005464FA">
        <w:rPr>
          <w:color w:val="000000" w:themeColor="text1"/>
        </w:rPr>
        <w:t xml:space="preserve"> The PBAC considered this is unlikely to have a substantial impact on the duration of treatment.</w:t>
      </w:r>
      <w:r w:rsidR="00827A3C" w:rsidRPr="005464FA">
        <w:rPr>
          <w:color w:val="000000" w:themeColor="text1"/>
        </w:rPr>
        <w:t xml:space="preserve"> The PBAC noted that the duration of treatment in the submission base case was based in the ‘no prior chemotherapy’ subgroup (</w:t>
      </w:r>
      <w:r w:rsidR="00856D10" w:rsidRPr="005464FA">
        <w:rPr>
          <w:color w:val="000000" w:themeColor="text1"/>
        </w:rPr>
        <w:t>12.3 months in the economic model), however this is likely to be shorter for the more relevant ITT population (10 months in the economic model). The PBAC considered the financial estimates should be revised to reflect the expected duration of treatment for the ITT population.</w:t>
      </w:r>
    </w:p>
    <w:p w14:paraId="053B2EFE" w14:textId="4A479237" w:rsidR="00856D10" w:rsidRPr="005464FA" w:rsidRDefault="00856D10" w:rsidP="001542C6">
      <w:pPr>
        <w:pStyle w:val="3-BodyText"/>
        <w:numPr>
          <w:ilvl w:val="0"/>
          <w:numId w:val="14"/>
        </w:numPr>
        <w:ind w:left="1134"/>
        <w:rPr>
          <w:snapToGrid/>
          <w:color w:val="000000" w:themeColor="text1"/>
        </w:rPr>
      </w:pPr>
      <w:bookmarkStart w:id="100" w:name="_Hlk173314479"/>
      <w:r w:rsidRPr="005464FA">
        <w:rPr>
          <w:color w:val="000000" w:themeColor="text1"/>
        </w:rPr>
        <w:t xml:space="preserve">The submission estimates assumed that all de novo patients would be eligible for treatment, however the PBAC considered that patients should be required to have received chemotherapy prior to olaparib. This may overestimate the number of de novo patients treated with olaparib </w:t>
      </w:r>
      <w:r w:rsidR="00B1117D" w:rsidRPr="005464FA">
        <w:rPr>
          <w:color w:val="000000" w:themeColor="text1"/>
        </w:rPr>
        <w:t xml:space="preserve">if </w:t>
      </w:r>
      <w:r w:rsidRPr="005464FA">
        <w:rPr>
          <w:color w:val="000000" w:themeColor="text1"/>
        </w:rPr>
        <w:t xml:space="preserve">some patients </w:t>
      </w:r>
      <w:r w:rsidR="00B1117D" w:rsidRPr="005464FA">
        <w:rPr>
          <w:color w:val="000000" w:themeColor="text1"/>
        </w:rPr>
        <w:t xml:space="preserve">do </w:t>
      </w:r>
      <w:r w:rsidRPr="005464FA">
        <w:rPr>
          <w:color w:val="000000" w:themeColor="text1"/>
        </w:rPr>
        <w:t xml:space="preserve">not receive a second line of treatment in the metastatic setting. </w:t>
      </w:r>
      <w:r w:rsidR="001542C6" w:rsidRPr="005464FA">
        <w:rPr>
          <w:color w:val="000000" w:themeColor="text1"/>
        </w:rPr>
        <w:t>However, t</w:t>
      </w:r>
      <w:r w:rsidRPr="005464FA">
        <w:rPr>
          <w:color w:val="000000" w:themeColor="text1"/>
        </w:rPr>
        <w:t xml:space="preserve">he PBAC considered that </w:t>
      </w:r>
      <w:r w:rsidR="001542C6" w:rsidRPr="005464FA">
        <w:rPr>
          <w:color w:val="000000" w:themeColor="text1"/>
        </w:rPr>
        <w:t xml:space="preserve">the </w:t>
      </w:r>
      <w:r w:rsidR="001542C6" w:rsidRPr="005464FA">
        <w:t>proportion would be very small (no more than 5%) and it was not necessary to adjust the estimates</w:t>
      </w:r>
      <w:r w:rsidR="00BD5CA9" w:rsidRPr="005464FA">
        <w:t xml:space="preserve"> for this circumstance</w:t>
      </w:r>
      <w:r w:rsidRPr="005464FA">
        <w:rPr>
          <w:color w:val="000000" w:themeColor="text1"/>
        </w:rPr>
        <w:t>.</w:t>
      </w:r>
    </w:p>
    <w:bookmarkEnd w:id="100"/>
    <w:p w14:paraId="29A37CA2" w14:textId="02B0E716" w:rsidR="00856D10" w:rsidRPr="005464FA" w:rsidRDefault="00CF2784" w:rsidP="00CE1D77">
      <w:pPr>
        <w:pStyle w:val="3-BodyText"/>
        <w:numPr>
          <w:ilvl w:val="0"/>
          <w:numId w:val="14"/>
        </w:numPr>
        <w:ind w:left="1134"/>
      </w:pPr>
      <w:r w:rsidRPr="005464FA">
        <w:rPr>
          <w:color w:val="000000" w:themeColor="text1"/>
        </w:rPr>
        <w:t xml:space="preserve">The submission did not calculate cost offsets for treatments replaced, which </w:t>
      </w:r>
      <w:r w:rsidR="00204A62" w:rsidRPr="005464FA">
        <w:rPr>
          <w:color w:val="000000" w:themeColor="text1"/>
        </w:rPr>
        <w:t xml:space="preserve">may </w:t>
      </w:r>
      <w:r w:rsidRPr="005464FA">
        <w:rPr>
          <w:color w:val="000000" w:themeColor="text1"/>
        </w:rPr>
        <w:t>overestimate total net costs. The</w:t>
      </w:r>
      <w:r w:rsidR="00204A62" w:rsidRPr="005464FA">
        <w:rPr>
          <w:color w:val="000000" w:themeColor="text1"/>
        </w:rPr>
        <w:t xml:space="preserve"> ESC considered that olaparib is unlikely to </w:t>
      </w:r>
      <w:r w:rsidRPr="005464FA">
        <w:rPr>
          <w:color w:val="000000" w:themeColor="text1"/>
        </w:rPr>
        <w:t>replace other costly targeted therapies such as CDK4/6 inhibitors</w:t>
      </w:r>
      <w:r w:rsidR="00204A62" w:rsidRPr="005464FA">
        <w:rPr>
          <w:color w:val="000000" w:themeColor="text1"/>
        </w:rPr>
        <w:t xml:space="preserve"> or</w:t>
      </w:r>
      <w:r w:rsidRPr="005464FA">
        <w:rPr>
          <w:color w:val="000000" w:themeColor="text1"/>
        </w:rPr>
        <w:t xml:space="preserve"> pembrolizumab</w:t>
      </w:r>
      <w:r w:rsidR="00204A62" w:rsidRPr="005464FA">
        <w:rPr>
          <w:color w:val="000000" w:themeColor="text1"/>
        </w:rPr>
        <w:t>. The ESC considered that olaparib would only replace</w:t>
      </w:r>
      <w:r w:rsidRPr="005464FA">
        <w:rPr>
          <w:color w:val="000000" w:themeColor="text1"/>
        </w:rPr>
        <w:t xml:space="preserve"> sacituzumab </w:t>
      </w:r>
      <w:r w:rsidR="001218FD" w:rsidRPr="005464FA">
        <w:rPr>
          <w:color w:val="000000" w:themeColor="text1"/>
        </w:rPr>
        <w:t>govitecan</w:t>
      </w:r>
      <w:r w:rsidR="00856D10" w:rsidRPr="005464FA">
        <w:rPr>
          <w:color w:val="000000" w:themeColor="text1"/>
        </w:rPr>
        <w:t xml:space="preserve"> in patients</w:t>
      </w:r>
      <w:r w:rsidRPr="005464FA">
        <w:rPr>
          <w:color w:val="000000" w:themeColor="text1"/>
        </w:rPr>
        <w:t xml:space="preserve"> </w:t>
      </w:r>
      <w:r w:rsidR="00204A62" w:rsidRPr="005464FA">
        <w:rPr>
          <w:color w:val="000000" w:themeColor="text1"/>
        </w:rPr>
        <w:t>where it is unable to be</w:t>
      </w:r>
      <w:r w:rsidRPr="005464FA">
        <w:rPr>
          <w:color w:val="000000" w:themeColor="text1"/>
        </w:rPr>
        <w:t xml:space="preserve"> used sequentially. </w:t>
      </w:r>
    </w:p>
    <w:p w14:paraId="4A2DF9D9" w14:textId="7F1F7A07" w:rsidR="008B11C9" w:rsidRPr="005464FA" w:rsidRDefault="00CF2784" w:rsidP="7FF7676F">
      <w:pPr>
        <w:pStyle w:val="3-BodyText"/>
        <w:ind w:left="1134"/>
      </w:pPr>
      <w:r>
        <w:t>The proportion of de novo mBC patients was uncertain. The OlympiAD trial (12.6%) reported a lower proportion of de novo patients than the KARMA registry (26%) or ARORA registry (41%). In the base case of the financial estimates the submission used the average of KARMA and AURORA (34%)</w:t>
      </w:r>
      <w:r w:rsidR="005A7E97">
        <w:t xml:space="preserve"> </w:t>
      </w:r>
      <w:r w:rsidR="00FE7402">
        <w:t>to estimate the number of de novo HR+ patients</w:t>
      </w:r>
      <w:r>
        <w:t xml:space="preserve">. </w:t>
      </w:r>
      <w:r w:rsidR="00FE7402">
        <w:t xml:space="preserve">Similarly, the proportion of de novo </w:t>
      </w:r>
      <w:r w:rsidR="00B42D39">
        <w:t xml:space="preserve">metastatic </w:t>
      </w:r>
      <w:r w:rsidR="00FE7402">
        <w:t>TNBC patients assumed (20.5%, based on File 2022, a US registry and Muller 2022, a German registry)</w:t>
      </w:r>
      <w:r w:rsidR="006A4417">
        <w:t xml:space="preserve">, was lower than what was previously considered by the PBAC for sacituzumab </w:t>
      </w:r>
      <w:r w:rsidR="001218FD">
        <w:t>govitecan</w:t>
      </w:r>
      <w:r w:rsidR="006A4417">
        <w:t xml:space="preserve"> (34.8%, Table 15, sacituzumab </w:t>
      </w:r>
      <w:r w:rsidR="001218FD">
        <w:t>govitecan</w:t>
      </w:r>
      <w:r w:rsidR="006A4417">
        <w:t xml:space="preserve"> PSD, November 2021 PBAC meeting) and for pembrolizumab (30% as enrolled in KN355, paragraph 6.6, pembrolizumab PSD, March 2023 PBAC meeting). </w:t>
      </w:r>
      <w:r>
        <w:t xml:space="preserve">Should the proportion of patients with de novo disease be lower than expected then the number of </w:t>
      </w:r>
      <w:r w:rsidR="005464FA" w:rsidRPr="653A70A8">
        <w:rPr>
          <w:i/>
          <w:iCs/>
        </w:rPr>
        <w:t>BRCA</w:t>
      </w:r>
      <w:r>
        <w:t xml:space="preserve"> tests may be overestimated, and vice versa.</w:t>
      </w:r>
      <w:r w:rsidR="005A7E97">
        <w:t xml:space="preserve"> </w:t>
      </w:r>
      <w:bookmarkStart w:id="101" w:name="_Toc22897648"/>
    </w:p>
    <w:p w14:paraId="4B821F61" w14:textId="6733D2E1" w:rsidR="00A1135A" w:rsidRPr="005464FA" w:rsidRDefault="00A1135A" w:rsidP="002D1F13">
      <w:pPr>
        <w:pStyle w:val="4-SubsectionHeading"/>
      </w:pPr>
      <w:bookmarkStart w:id="102" w:name="_Toc167278290"/>
      <w:r w:rsidRPr="005464FA">
        <w:t>Quality Use of Medicines</w:t>
      </w:r>
      <w:bookmarkEnd w:id="101"/>
      <w:bookmarkEnd w:id="102"/>
    </w:p>
    <w:p w14:paraId="7736D5BA" w14:textId="025D5C04" w:rsidR="000D5E52" w:rsidRPr="005464FA" w:rsidRDefault="000D5E52" w:rsidP="000D5E52">
      <w:pPr>
        <w:pStyle w:val="3-BodyText"/>
      </w:pPr>
      <w:r w:rsidRPr="005464FA">
        <w:t>The submission stated that activities initiated (current and future) by AstraZeneca to promote and support quality use of medicines are based on educational and training programs to prescribers and patients.</w:t>
      </w:r>
    </w:p>
    <w:p w14:paraId="7411F7B7" w14:textId="65C04F33" w:rsidR="000D5E52" w:rsidRPr="00EF5FF0" w:rsidRDefault="000D5E52" w:rsidP="005F522F">
      <w:pPr>
        <w:pStyle w:val="3-BodyText"/>
        <w:rPr>
          <w:color w:val="0066FF"/>
        </w:rPr>
      </w:pPr>
      <w:r w:rsidRPr="005464FA">
        <w:lastRenderedPageBreak/>
        <w:t>The submission stated that the sponsor will work collaboratively with healthcare professionals to ensure that olaparib is used appropriately and in line with the available clinical evidence and TGA restriction.</w:t>
      </w:r>
    </w:p>
    <w:p w14:paraId="026B6EAD" w14:textId="77777777" w:rsidR="00A1135A" w:rsidRPr="005464FA" w:rsidRDefault="00A1135A" w:rsidP="00A1135A">
      <w:pPr>
        <w:pStyle w:val="4-SubsectionHeading"/>
      </w:pPr>
      <w:bookmarkStart w:id="103" w:name="_Toc22897649"/>
      <w:bookmarkStart w:id="104" w:name="_Toc167278291"/>
      <w:r w:rsidRPr="005464FA">
        <w:t>Financial Management – Risk Sharing Arrangements</w:t>
      </w:r>
      <w:bookmarkEnd w:id="103"/>
      <w:bookmarkEnd w:id="104"/>
    </w:p>
    <w:p w14:paraId="376B916A" w14:textId="402D4F08" w:rsidR="00A1135A" w:rsidRPr="005464FA" w:rsidRDefault="000D5E52" w:rsidP="000D5E52">
      <w:pPr>
        <w:pStyle w:val="3-BodyText"/>
        <w:rPr>
          <w:color w:val="0066FF"/>
        </w:rPr>
      </w:pPr>
      <w:r w:rsidRPr="005464FA">
        <w:t xml:space="preserve">The submission stated that the sponsor is willing to work with the PBAC and Department of Health to determine appropriate terms for PBS listing of olaparib for eligible patients with HER2-negative </w:t>
      </w:r>
      <w:r w:rsidR="007305C9" w:rsidRPr="005464FA">
        <w:t>mBC</w:t>
      </w:r>
      <w:r w:rsidRPr="005464FA">
        <w:t xml:space="preserve"> that recognises the value of this treatment and shares the risk of uncertainty between the Sponsor and the Department.</w:t>
      </w:r>
      <w:r w:rsidR="00CF2784" w:rsidRPr="005464FA">
        <w:rPr>
          <w:i/>
          <w:iCs/>
        </w:rPr>
        <w:t xml:space="preserve"> </w:t>
      </w:r>
      <w:r w:rsidR="00CF2784" w:rsidRPr="005464FA">
        <w:t>However no specific arrangements were proposed.</w:t>
      </w:r>
    </w:p>
    <w:p w14:paraId="0E7CC3CC" w14:textId="0FD1D953" w:rsidR="0060120D" w:rsidRPr="005464FA" w:rsidRDefault="0060120D" w:rsidP="004D1953">
      <w:pPr>
        <w:widowControl w:val="0"/>
        <w:numPr>
          <w:ilvl w:val="1"/>
          <w:numId w:val="1"/>
        </w:numPr>
      </w:pPr>
      <w:r w:rsidRPr="005464FA">
        <w:rPr>
          <w:snapToGrid w:val="0"/>
        </w:rPr>
        <w:t>In November 2023</w:t>
      </w:r>
      <w:r w:rsidR="004D1953" w:rsidRPr="005464FA">
        <w:rPr>
          <w:snapToGrid w:val="0"/>
        </w:rPr>
        <w:t>,</w:t>
      </w:r>
      <w:r w:rsidRPr="005464FA">
        <w:rPr>
          <w:snapToGrid w:val="0"/>
        </w:rPr>
        <w:t xml:space="preserve"> when recommending olaparib for listing in high risk eBC, the PBAC advised that a Risk Sharing Arrangement (RSA) should be implemented </w:t>
      </w:r>
      <w:r w:rsidR="004D1953" w:rsidRPr="005464FA">
        <w:t>given uncertainty with patient numbers and testing/treatment uptake</w:t>
      </w:r>
      <w:r w:rsidR="004D1953" w:rsidRPr="005464FA">
        <w:rPr>
          <w:snapToGrid w:val="0"/>
        </w:rPr>
        <w:t xml:space="preserve"> (paragraphs 7.10 to 7.11 </w:t>
      </w:r>
      <w:r w:rsidR="00D5081D" w:rsidRPr="005464FA">
        <w:t>olaparib PSD, November 2023 PBAC meeting</w:t>
      </w:r>
      <w:r w:rsidR="004D1953" w:rsidRPr="005464FA">
        <w:rPr>
          <w:snapToGrid w:val="0"/>
        </w:rPr>
        <w:t>)</w:t>
      </w:r>
      <w:r w:rsidRPr="005464FA">
        <w:rPr>
          <w:rFonts w:asciiTheme="minorHAnsi" w:hAnsiTheme="minorHAnsi"/>
          <w:snapToGrid w:val="0"/>
        </w:rPr>
        <w:t>.</w:t>
      </w:r>
      <w:r w:rsidR="00856D10" w:rsidRPr="005464FA">
        <w:rPr>
          <w:rFonts w:asciiTheme="minorHAnsi" w:hAnsiTheme="minorHAnsi"/>
          <w:snapToGrid w:val="0"/>
        </w:rPr>
        <w:t xml:space="preserve"> The PBAC considered it would be appropriate for financial caps for the RSA for eBC to be increased to account for additional use in patients with mBC.</w:t>
      </w:r>
    </w:p>
    <w:p w14:paraId="7FF4B82C" w14:textId="77777777" w:rsidR="00162D7C" w:rsidRPr="005464FA" w:rsidRDefault="00162D7C" w:rsidP="005F089F">
      <w:pPr>
        <w:spacing w:before="120"/>
        <w:ind w:firstLine="720"/>
        <w:rPr>
          <w:i/>
          <w:iCs/>
        </w:rPr>
      </w:pPr>
      <w:r w:rsidRPr="005464FA">
        <w:rPr>
          <w:i/>
          <w:iCs/>
        </w:rPr>
        <w:t>For more detail on PBAC’s view, see section 7 PBAC outcome.</w:t>
      </w:r>
    </w:p>
    <w:p w14:paraId="6318FA9C" w14:textId="77777777" w:rsidR="00162D7C" w:rsidRPr="005464FA" w:rsidRDefault="00162D7C" w:rsidP="00162D7C">
      <w:pPr>
        <w:pStyle w:val="2-SectionHeading"/>
      </w:pPr>
      <w:bookmarkStart w:id="105" w:name="_Hlk76381249"/>
      <w:bookmarkStart w:id="106" w:name="_Toc167278295"/>
      <w:r w:rsidRPr="005464FA">
        <w:t>PBAC Outcome</w:t>
      </w:r>
    </w:p>
    <w:p w14:paraId="7E67BF90" w14:textId="4068F26F" w:rsidR="008974DB" w:rsidRPr="005464FA" w:rsidRDefault="008974DB" w:rsidP="008974DB">
      <w:pPr>
        <w:pStyle w:val="3-BodyText"/>
      </w:pPr>
      <w:bookmarkStart w:id="107" w:name="_Hlk173166222"/>
      <w:bookmarkStart w:id="108" w:name="_Hlk111543188"/>
      <w:r w:rsidRPr="005464FA">
        <w:t xml:space="preserve">The PBAC recommended the listing of olaparib for the treatment of patients with human epidermal growth factor receptor 2 (HER2)-negative metastatic breast cancer and a confirmed </w:t>
      </w:r>
      <w:r w:rsidRPr="005464FA">
        <w:rPr>
          <w:i/>
          <w:iCs/>
        </w:rPr>
        <w:t>BRCA1</w:t>
      </w:r>
      <w:r w:rsidRPr="005464FA">
        <w:t xml:space="preserve"> or </w:t>
      </w:r>
      <w:r w:rsidRPr="005464FA">
        <w:rPr>
          <w:i/>
          <w:iCs/>
        </w:rPr>
        <w:t>BRCA2</w:t>
      </w:r>
      <w:r w:rsidRPr="005464FA">
        <w:t xml:space="preserve"> pathogenic variant. The PBAC </w:t>
      </w:r>
      <w:r w:rsidR="00B37E57" w:rsidRPr="005464FA">
        <w:t>is satisfied that</w:t>
      </w:r>
      <w:r w:rsidRPr="005464FA">
        <w:t xml:space="preserve"> olaparib </w:t>
      </w:r>
      <w:r w:rsidR="0019785E" w:rsidRPr="005464FA">
        <w:t>provides, for some patients, a significant improvement in efficacy compared with</w:t>
      </w:r>
      <w:r w:rsidRPr="005464FA">
        <w:t xml:space="preserve"> chemotherapy in terms of progression free survival</w:t>
      </w:r>
      <w:r w:rsidR="00F515BC" w:rsidRPr="005464FA">
        <w:t>.</w:t>
      </w:r>
      <w:r w:rsidR="000C0BCF" w:rsidRPr="005464FA">
        <w:t xml:space="preserve"> </w:t>
      </w:r>
      <w:r w:rsidR="00F515BC" w:rsidRPr="005464FA">
        <w:t>A</w:t>
      </w:r>
      <w:r w:rsidR="00D83103" w:rsidRPr="005464FA">
        <w:t>l</w:t>
      </w:r>
      <w:r w:rsidRPr="005464FA">
        <w:t xml:space="preserve">though a statistically significant difference </w:t>
      </w:r>
      <w:r w:rsidR="00D83103" w:rsidRPr="005464FA">
        <w:t xml:space="preserve">in OS </w:t>
      </w:r>
      <w:r w:rsidRPr="005464FA">
        <w:t>was not demonstrated in the trial</w:t>
      </w:r>
      <w:r w:rsidR="00CF2790" w:rsidRPr="005464FA">
        <w:t>,</w:t>
      </w:r>
      <w:r w:rsidR="00D83103" w:rsidRPr="005464FA">
        <w:t xml:space="preserve"> </w:t>
      </w:r>
      <w:r w:rsidR="00F515BC" w:rsidRPr="005464FA">
        <w:t xml:space="preserve">the PBAC considered a survival benefit was plausible as </w:t>
      </w:r>
      <w:r w:rsidR="0090257F" w:rsidRPr="005464FA">
        <w:t xml:space="preserve">there was </w:t>
      </w:r>
      <w:r w:rsidR="00D83103" w:rsidRPr="005464FA">
        <w:t xml:space="preserve">a trend to improved OS </w:t>
      </w:r>
      <w:r w:rsidR="00F515BC" w:rsidRPr="005464FA">
        <w:t>in the trial</w:t>
      </w:r>
      <w:r w:rsidR="0090257F" w:rsidRPr="005464FA">
        <w:t xml:space="preserve"> and increased subsequent use of PARP inhibitors in the control arm</w:t>
      </w:r>
      <w:r w:rsidRPr="005464FA">
        <w:t>. The PBAC noted that olaparib is PBS-listed for patients with high-risk early breast cancer</w:t>
      </w:r>
      <w:r w:rsidR="00A9727D" w:rsidRPr="005464FA">
        <w:t xml:space="preserve"> (eBC)</w:t>
      </w:r>
      <w:r w:rsidRPr="005464FA">
        <w:t xml:space="preserve">, but considered there remains a clinical need for access to olaparib for patients not eligible in the early setting, particularly lower risk patients who have progressed to metastatic disease and patients diagnosed with </w:t>
      </w:r>
      <w:r w:rsidR="001B66A3" w:rsidRPr="005464FA">
        <w:t xml:space="preserve">de-novo </w:t>
      </w:r>
      <w:r w:rsidRPr="005464FA">
        <w:t xml:space="preserve">metastatic disease. The PBAC considered the incremental cost-effectiveness ratio remained high at the price proposed in the pre-PBAC response and a price reduction would be required </w:t>
      </w:r>
      <w:r w:rsidR="00D83103" w:rsidRPr="005464FA">
        <w:t>to bring the</w:t>
      </w:r>
      <w:r w:rsidRPr="005464FA">
        <w:t xml:space="preserve"> ICER into an acceptable range. The PBAC considered </w:t>
      </w:r>
      <w:r w:rsidR="00127D2A" w:rsidRPr="005464FA">
        <w:t>some changes to the financial estimates were required to align them with the revised patient population for the listing.</w:t>
      </w:r>
      <w:r w:rsidRPr="005464FA">
        <w:t xml:space="preserve"> </w:t>
      </w:r>
      <w:r w:rsidR="00127D2A" w:rsidRPr="005464FA">
        <w:t>G</w:t>
      </w:r>
      <w:r w:rsidRPr="005464FA">
        <w:t xml:space="preserve">iven the uncertainty in patient numbers, </w:t>
      </w:r>
      <w:proofErr w:type="gramStart"/>
      <w:r w:rsidRPr="005464FA">
        <w:t>uptake</w:t>
      </w:r>
      <w:proofErr w:type="gramEnd"/>
      <w:r w:rsidRPr="005464FA">
        <w:t xml:space="preserve"> and duration of treatment, the PBAC considered a risk sharing arrangement would be appropriate. </w:t>
      </w:r>
    </w:p>
    <w:p w14:paraId="2719B731" w14:textId="14B12B3F" w:rsidR="000966C6" w:rsidRPr="005464FA" w:rsidRDefault="0019785E" w:rsidP="00EF37CC">
      <w:pPr>
        <w:pStyle w:val="3-BodyText"/>
      </w:pPr>
      <w:bookmarkStart w:id="109" w:name="_Ref172723662"/>
      <w:bookmarkEnd w:id="107"/>
      <w:r w:rsidRPr="005464FA">
        <w:rPr>
          <w:color w:val="000000" w:themeColor="text1"/>
        </w:rPr>
        <w:t xml:space="preserve">The PBAC recalled that olaparib was recommended for patients with HER2-negative </w:t>
      </w:r>
      <w:r w:rsidR="005464FA" w:rsidRPr="005464FA">
        <w:rPr>
          <w:i/>
          <w:color w:val="000000" w:themeColor="text1"/>
        </w:rPr>
        <w:t>BRCA</w:t>
      </w:r>
      <w:r w:rsidRPr="005464FA">
        <w:rPr>
          <w:color w:val="000000" w:themeColor="text1"/>
        </w:rPr>
        <w:t xml:space="preserve">m breast cancer in the high risk eBC setting in </w:t>
      </w:r>
      <w:r w:rsidRPr="005464FA">
        <w:t xml:space="preserve">November 2023 and </w:t>
      </w:r>
      <w:r w:rsidR="00F515BC" w:rsidRPr="005464FA">
        <w:t xml:space="preserve">the </w:t>
      </w:r>
      <w:r w:rsidR="000C0BCF" w:rsidRPr="005464FA">
        <w:t>C</w:t>
      </w:r>
      <w:r w:rsidR="00F515BC" w:rsidRPr="005464FA">
        <w:t>ommittee</w:t>
      </w:r>
      <w:r w:rsidRPr="005464FA">
        <w:rPr>
          <w:snapToGrid/>
        </w:rPr>
        <w:t xml:space="preserve"> had </w:t>
      </w:r>
      <w:r w:rsidR="00F515BC" w:rsidRPr="005464FA">
        <w:rPr>
          <w:snapToGrid/>
        </w:rPr>
        <w:t xml:space="preserve">previously </w:t>
      </w:r>
      <w:r w:rsidRPr="005464FA">
        <w:rPr>
          <w:snapToGrid/>
        </w:rPr>
        <w:t xml:space="preserve">noted that patients with de novo metastatic disease would not be able to access olaparib under the proposed listing, but that cost-effectiveness </w:t>
      </w:r>
      <w:r w:rsidRPr="005464FA">
        <w:rPr>
          <w:snapToGrid/>
        </w:rPr>
        <w:lastRenderedPageBreak/>
        <w:t xml:space="preserve">had not been assessed in this population. </w:t>
      </w:r>
      <w:r w:rsidR="00EC64B6" w:rsidRPr="005464FA">
        <w:t>The PBAC noted that the submission had proposed that</w:t>
      </w:r>
      <w:r w:rsidR="00B37E57" w:rsidRPr="005464FA">
        <w:t xml:space="preserve"> the</w:t>
      </w:r>
      <w:r w:rsidR="00EC64B6" w:rsidRPr="005464FA">
        <w:t xml:space="preserve"> clinical place for olaparib was in patients </w:t>
      </w:r>
      <w:r w:rsidR="00B37E57" w:rsidRPr="005464FA">
        <w:t xml:space="preserve">with HER2-negative, </w:t>
      </w:r>
      <w:r w:rsidR="00B37E57" w:rsidRPr="005464FA">
        <w:rPr>
          <w:i/>
          <w:iCs/>
        </w:rPr>
        <w:t>BRCA</w:t>
      </w:r>
      <w:r w:rsidR="00B37E57" w:rsidRPr="005464FA">
        <w:t xml:space="preserve">m mBC </w:t>
      </w:r>
      <w:r w:rsidR="00EC64B6" w:rsidRPr="005464FA">
        <w:t>who ha</w:t>
      </w:r>
      <w:r w:rsidR="000966C6" w:rsidRPr="005464FA">
        <w:t>ve</w:t>
      </w:r>
      <w:r w:rsidR="00EC64B6" w:rsidRPr="005464FA">
        <w:t xml:space="preserve"> not received chemotherapy in the metastatic setting, arguing that this represents the patient population that derives the greatest treatment benefit </w:t>
      </w:r>
      <w:r w:rsidR="000966C6" w:rsidRPr="005464FA">
        <w:t>from olaparib based on subgroup results from the pivotal trial (OlympiAD)</w:t>
      </w:r>
      <w:r w:rsidR="00EC64B6" w:rsidRPr="005464FA">
        <w:t xml:space="preserve">. However, </w:t>
      </w:r>
      <w:r w:rsidR="00EF37CC" w:rsidRPr="005464FA">
        <w:t xml:space="preserve">in line with the ESC advice, </w:t>
      </w:r>
      <w:r w:rsidR="00EC64B6" w:rsidRPr="005464FA">
        <w:t xml:space="preserve">the pre-PBAC response proposed to revise the positioning of olaparib </w:t>
      </w:r>
      <w:r w:rsidR="000966C6" w:rsidRPr="005464FA">
        <w:t xml:space="preserve">to include all HER2-negative, </w:t>
      </w:r>
      <w:r w:rsidR="000966C6" w:rsidRPr="005464FA">
        <w:rPr>
          <w:i/>
          <w:iCs/>
        </w:rPr>
        <w:t>BRCA</w:t>
      </w:r>
      <w:r w:rsidR="000966C6" w:rsidRPr="005464FA">
        <w:t>m mBC patients who have received prior chemotherapy (in either the early or metastatic setting), recognising the unmet clinical need in the broader patient population</w:t>
      </w:r>
      <w:r w:rsidR="00FC2D3B" w:rsidRPr="005464FA">
        <w:t xml:space="preserve">. The PBAC </w:t>
      </w:r>
      <w:r w:rsidR="000966C6" w:rsidRPr="005464FA">
        <w:t>considered it was appropriate</w:t>
      </w:r>
      <w:r w:rsidR="00FC2D3B" w:rsidRPr="005464FA">
        <w:t xml:space="preserve"> </w:t>
      </w:r>
      <w:r w:rsidR="00B37E57" w:rsidRPr="005464FA">
        <w:t xml:space="preserve">for the clinical place of olaparib </w:t>
      </w:r>
      <w:r w:rsidR="000966C6" w:rsidRPr="005464FA">
        <w:t>to include</w:t>
      </w:r>
      <w:r w:rsidR="00F374C9" w:rsidRPr="005464FA">
        <w:t xml:space="preserve"> treatment of: (1) patients progressing to mBC after adjuvant/neoadjuvant treatment with chemotherapy in the eBC setting, and (2) </w:t>
      </w:r>
      <w:r w:rsidR="000966C6" w:rsidRPr="005464FA">
        <w:t>patients who ha</w:t>
      </w:r>
      <w:r w:rsidR="00F374C9" w:rsidRPr="005464FA">
        <w:t>ve</w:t>
      </w:r>
      <w:r w:rsidR="000966C6" w:rsidRPr="005464FA">
        <w:t xml:space="preserve"> been treated with chemotherapy in the metastatic setting </w:t>
      </w:r>
      <w:r w:rsidR="00F374C9" w:rsidRPr="005464FA">
        <w:t>(progressed from eBC or</w:t>
      </w:r>
      <w:r w:rsidR="00B37E57" w:rsidRPr="005464FA">
        <w:t xml:space="preserve"> de novo</w:t>
      </w:r>
      <w:r w:rsidR="00F374C9" w:rsidRPr="005464FA">
        <w:t>)</w:t>
      </w:r>
      <w:r w:rsidR="00B37E57" w:rsidRPr="005464FA">
        <w:t>, consistent with</w:t>
      </w:r>
      <w:r w:rsidR="000966C6" w:rsidRPr="005464FA">
        <w:t xml:space="preserve"> the </w:t>
      </w:r>
      <w:r w:rsidR="00B37E57" w:rsidRPr="005464FA">
        <w:t>OlympiAD trial</w:t>
      </w:r>
      <w:r w:rsidR="00F374C9" w:rsidRPr="005464FA">
        <w:t xml:space="preserve"> population and the TGA indication for olaparib in mBC.</w:t>
      </w:r>
      <w:bookmarkEnd w:id="109"/>
      <w:r w:rsidR="00F374C9" w:rsidRPr="005464FA">
        <w:t xml:space="preserve"> </w:t>
      </w:r>
    </w:p>
    <w:bookmarkEnd w:id="108"/>
    <w:p w14:paraId="2F2D4B71" w14:textId="7A66B417" w:rsidR="00381D83" w:rsidRPr="005464FA" w:rsidRDefault="00F374C9" w:rsidP="00AA7DE7">
      <w:pPr>
        <w:pStyle w:val="3-BodyText"/>
        <w:rPr>
          <w:bCs/>
        </w:rPr>
      </w:pPr>
      <w:r w:rsidRPr="005464FA">
        <w:t>For the olaparib restrictions in mBC t</w:t>
      </w:r>
      <w:r w:rsidR="00381D83" w:rsidRPr="005464FA">
        <w:t>he PBAC considered five repeats for continuing treatment would be appropriate, as treatment would be continued until disease progression. The PBAC considered an Authority Required (telephone/online PBS Authorities system) would be appropriate for the Continuing treatment phase</w:t>
      </w:r>
      <w:r w:rsidRPr="005464FA">
        <w:t>, consistent with the listing in eBC</w:t>
      </w:r>
      <w:r w:rsidR="00381D83" w:rsidRPr="005464FA">
        <w:t>.</w:t>
      </w:r>
      <w:r w:rsidR="00A15612" w:rsidRPr="005464FA">
        <w:t xml:space="preserve"> </w:t>
      </w:r>
      <w:r w:rsidR="00381D83" w:rsidRPr="005464FA">
        <w:t xml:space="preserve">The PBAC considered that the restrictions should require patients to have received prior chemotherapy, either in the adjuvant/neoadjuvant setting, or in the metastatic setting, consistent with the trial population and TGA indication. </w:t>
      </w:r>
      <w:r w:rsidR="00381D83" w:rsidRPr="005464FA">
        <w:rPr>
          <w:color w:val="000000" w:themeColor="text1"/>
        </w:rPr>
        <w:t xml:space="preserve">The proposed restriction did not prevent use of olaparib following pembrolizumab plus </w:t>
      </w:r>
      <w:r w:rsidR="00381D83" w:rsidRPr="005464FA">
        <w:t xml:space="preserve">chemotherapy in patients with TNBC and combined positive score (CPS) </w:t>
      </w:r>
      <w:r w:rsidR="00381D83" w:rsidRPr="005464FA">
        <w:rPr>
          <w:rFonts w:cs="Calibri"/>
        </w:rPr>
        <w:t>≥</w:t>
      </w:r>
      <w:r w:rsidR="00381D83" w:rsidRPr="005464FA">
        <w:t xml:space="preserve">10. Although no evidence for use of olaparib in this population was provided in the submission as the trial was conducted prior to availability of pembrolizumab for mBC, the PBAC considered it was reasonable for the restrictions to not exclude patients with prior treatment with pembrolizumab as it is unlikely to impact on treatment outcomes for olaparib. The PBAC considered it would not be appropriate for patients to receive retreatment </w:t>
      </w:r>
      <w:r w:rsidR="00A15612" w:rsidRPr="005464FA">
        <w:t>with</w:t>
      </w:r>
      <w:r w:rsidR="00381D83" w:rsidRPr="005464FA">
        <w:t xml:space="preserve"> olaparib </w:t>
      </w:r>
      <w:r w:rsidR="00A15612" w:rsidRPr="005464FA">
        <w:t xml:space="preserve">after use </w:t>
      </w:r>
      <w:r w:rsidR="00381D83" w:rsidRPr="005464FA">
        <w:t>in the eBC setting</w:t>
      </w:r>
      <w:r w:rsidR="00C93976" w:rsidRPr="005464FA">
        <w:t xml:space="preserve"> in the absence of supporting evidence</w:t>
      </w:r>
      <w:r w:rsidR="00381D83" w:rsidRPr="005464FA">
        <w:t>.</w:t>
      </w:r>
      <w:r w:rsidR="009C397C" w:rsidRPr="005464FA">
        <w:t xml:space="preserve"> </w:t>
      </w:r>
      <w:r w:rsidR="009C397C" w:rsidRPr="005464FA">
        <w:rPr>
          <w:bCs/>
        </w:rPr>
        <w:t>The PBAC noted there is no need for a separate grandfather restriction as patients will be eligible under the initial restriction.</w:t>
      </w:r>
    </w:p>
    <w:p w14:paraId="47709017" w14:textId="3DB59F5E" w:rsidR="00381D83" w:rsidRPr="005464FA" w:rsidRDefault="00381D83" w:rsidP="002D1F13">
      <w:pPr>
        <w:pStyle w:val="3-BodyText"/>
        <w:rPr>
          <w:rFonts w:ascii="Times New Roman" w:hAnsi="Times New Roman" w:cs="Times New Roman"/>
        </w:rPr>
      </w:pPr>
      <w:r w:rsidRPr="005464FA">
        <w:t xml:space="preserve">The PBAC considered it was reasonable for the mBC listing to be consistent with the eBC listing with respect to </w:t>
      </w:r>
      <w:r w:rsidR="005464FA" w:rsidRPr="005464FA">
        <w:rPr>
          <w:i/>
        </w:rPr>
        <w:t>BRCA</w:t>
      </w:r>
      <w:r w:rsidRPr="005464FA">
        <w:t xml:space="preserve"> testing</w:t>
      </w:r>
      <w:r w:rsidR="00127D2A" w:rsidRPr="005464FA">
        <w:t xml:space="preserve">, without specifying that the </w:t>
      </w:r>
      <w:r w:rsidR="005464FA" w:rsidRPr="005464FA">
        <w:rPr>
          <w:i/>
        </w:rPr>
        <w:t>BRCA</w:t>
      </w:r>
      <w:r w:rsidR="00127D2A" w:rsidRPr="005464FA">
        <w:t xml:space="preserve"> mutation is germline (rather than somatic)</w:t>
      </w:r>
      <w:r w:rsidRPr="005464FA">
        <w:t>. The PBAC noted advice from the Secretariat that “variant” is the preferred terminology and considered it would be appropriate the criterion to include ‘</w:t>
      </w:r>
      <w:r w:rsidR="00DB4A49" w:rsidRPr="005464FA">
        <w:t xml:space="preserve">pathogenic </w:t>
      </w:r>
      <w:r w:rsidRPr="005464FA">
        <w:t>variant’ in place of ‘mutation’.</w:t>
      </w:r>
      <w:r w:rsidRPr="005464FA">
        <w:rPr>
          <w:rFonts w:ascii="Times New Roman" w:hAnsi="Times New Roman" w:cs="Times New Roman"/>
        </w:rPr>
        <w:t xml:space="preserve"> </w:t>
      </w:r>
      <w:r w:rsidRPr="005464FA">
        <w:t>The PBAC noted that revision of the MBS item remained for MSAC consideration, but considered that it should align with the PBS restriction population to include patients with de novo mBC as well as those who have progressed to metastatic disease following diagnosis with eBC.</w:t>
      </w:r>
      <w:r w:rsidRPr="005464FA">
        <w:rPr>
          <w:rFonts w:ascii="Times New Roman" w:hAnsi="Times New Roman" w:cs="Times New Roman"/>
        </w:rPr>
        <w:t xml:space="preserve"> </w:t>
      </w:r>
    </w:p>
    <w:p w14:paraId="1F22AF99" w14:textId="71733306" w:rsidR="00CA2724" w:rsidRPr="005464FA" w:rsidRDefault="00CA2724" w:rsidP="00EF37CC">
      <w:pPr>
        <w:pStyle w:val="3-BodyText"/>
      </w:pPr>
      <w:bookmarkStart w:id="110" w:name="_Ref172729098"/>
      <w:r w:rsidRPr="005464FA">
        <w:lastRenderedPageBreak/>
        <w:t xml:space="preserve">The submission’s nominated comparator was standard of care, which the submission </w:t>
      </w:r>
      <w:r w:rsidR="00026545" w:rsidRPr="005464FA">
        <w:t>defined as</w:t>
      </w:r>
      <w:r w:rsidRPr="005464FA">
        <w:t xml:space="preserve"> chemotherapy.</w:t>
      </w:r>
      <w:r w:rsidRPr="005464FA" w:rsidDel="00CA2724">
        <w:t xml:space="preserve"> </w:t>
      </w:r>
      <w:r w:rsidRPr="005464FA">
        <w:t xml:space="preserve">The PBAC noted that for a proportion of patients relevant comparators would include: 2L endocrine therapy (after CDK 4/6 inhibitors and endocrine therapy) and sacituzumab </w:t>
      </w:r>
      <w:r w:rsidR="001218FD" w:rsidRPr="005464FA">
        <w:t>govitecan</w:t>
      </w:r>
      <w:r w:rsidRPr="005464FA">
        <w:t xml:space="preserve"> (as 3L therapy in de novo TNBC or 2L in recurrent TNBC). In addition, the ESC considered that the chemotherapies included as the </w:t>
      </w:r>
      <w:r w:rsidR="000C0BCF" w:rsidRPr="005464FA">
        <w:t>standard of care (control) arm</w:t>
      </w:r>
      <w:r w:rsidRPr="005464FA">
        <w:t xml:space="preserve"> in the clinical evidence did not necessarily represent the best choice of regimen for patients with </w:t>
      </w:r>
      <w:r w:rsidRPr="005464FA">
        <w:rPr>
          <w:i/>
          <w:iCs/>
        </w:rPr>
        <w:t>BRCAm</w:t>
      </w:r>
      <w:r w:rsidRPr="005464FA">
        <w:t xml:space="preserve"> mBC, which would include a platinum-based chemotherapy. The PBAC considered that standard of care was the appropriate comparator, but that chemotherapy did not reflect current standard of care for all patients.</w:t>
      </w:r>
      <w:bookmarkEnd w:id="110"/>
      <w:r w:rsidRPr="005464FA">
        <w:t xml:space="preserve"> </w:t>
      </w:r>
    </w:p>
    <w:p w14:paraId="2B57C114" w14:textId="36F2FF16" w:rsidR="00EF37CC" w:rsidRPr="005464FA" w:rsidRDefault="00EF37CC" w:rsidP="00162D7C">
      <w:pPr>
        <w:widowControl w:val="0"/>
        <w:numPr>
          <w:ilvl w:val="1"/>
          <w:numId w:val="1"/>
        </w:numPr>
        <w:spacing w:after="120"/>
        <w:rPr>
          <w:rFonts w:asciiTheme="minorHAnsi" w:hAnsiTheme="minorHAnsi"/>
          <w:snapToGrid w:val="0"/>
        </w:rPr>
      </w:pPr>
      <w:bookmarkStart w:id="111" w:name="_Ref172729100"/>
      <w:r w:rsidRPr="005464FA">
        <w:t xml:space="preserve">The PBAC noted that submission was based on one trial, OlympiAD, an open label randomised controlled trial which compared olaparib (n=205) to chemotherapy (n=97) in patients with confirmed germline </w:t>
      </w:r>
      <w:r w:rsidRPr="005464FA">
        <w:rPr>
          <w:i/>
          <w:iCs/>
        </w:rPr>
        <w:t>BRCAm</w:t>
      </w:r>
      <w:r w:rsidRPr="005464FA">
        <w:t xml:space="preserve"> and HER2-negative mBC, who had been previously treated with chemotherapy in the neoadjuvant, adjuvant or metastatic setting. </w:t>
      </w:r>
      <w:r w:rsidR="005674B1" w:rsidRPr="005464FA">
        <w:t xml:space="preserve">Although the submission had also presented results of the subgroup of patients with no prior chemotherapy in the metastatic setting, the PBAC considered that the ITT population was most relevant to the revised </w:t>
      </w:r>
      <w:r w:rsidRPr="005464FA">
        <w:t xml:space="preserve">population for listing as per paragraph </w:t>
      </w:r>
      <w:r w:rsidRPr="005464FA">
        <w:fldChar w:fldCharType="begin" w:fldLock="1"/>
      </w:r>
      <w:r w:rsidRPr="005464FA">
        <w:instrText xml:space="preserve"> REF _Ref172723662 \r \h </w:instrText>
      </w:r>
      <w:r w:rsidRPr="005464FA">
        <w:fldChar w:fldCharType="separate"/>
      </w:r>
      <w:r w:rsidR="00122E11" w:rsidRPr="005464FA">
        <w:t>7.2</w:t>
      </w:r>
      <w:r w:rsidRPr="005464FA">
        <w:fldChar w:fldCharType="end"/>
      </w:r>
      <w:r w:rsidRPr="005464FA">
        <w:t xml:space="preserve">. </w:t>
      </w:r>
      <w:r w:rsidR="005674B1" w:rsidRPr="005464FA">
        <w:t>A</w:t>
      </w:r>
      <w:r w:rsidRPr="005464FA">
        <w:t>s the OlympiAD trial was conducted</w:t>
      </w:r>
      <w:r w:rsidR="005674B1" w:rsidRPr="005464FA">
        <w:t xml:space="preserve"> between 2014 and 2017, the </w:t>
      </w:r>
      <w:r w:rsidR="000C0BCF" w:rsidRPr="005464FA">
        <w:t>control</w:t>
      </w:r>
      <w:r w:rsidR="005674B1" w:rsidRPr="005464FA">
        <w:t xml:space="preserve"> arm did not fully reflect current standard of care. The PBAC considered that this is likely to overestimate the benefit for olaparib in current clinical practice.</w:t>
      </w:r>
      <w:bookmarkEnd w:id="111"/>
      <w:r w:rsidR="005674B1" w:rsidRPr="005464FA">
        <w:t xml:space="preserve"> </w:t>
      </w:r>
    </w:p>
    <w:p w14:paraId="1B5713CC" w14:textId="5221F94E" w:rsidR="00675F5A" w:rsidRPr="005464FA" w:rsidRDefault="005674B1" w:rsidP="00162D7C">
      <w:pPr>
        <w:widowControl w:val="0"/>
        <w:numPr>
          <w:ilvl w:val="1"/>
          <w:numId w:val="1"/>
        </w:numPr>
        <w:spacing w:after="120"/>
        <w:rPr>
          <w:rFonts w:asciiTheme="minorHAnsi" w:hAnsiTheme="minorHAnsi"/>
          <w:snapToGrid w:val="0"/>
        </w:rPr>
      </w:pPr>
      <w:r w:rsidRPr="005464FA">
        <w:t xml:space="preserve">The PBAC considered that the OlympiAD trial demonstrated that there was a moderate added benefit for olaparib in terms or PFS, with 2.8 months additional PFS and a </w:t>
      </w:r>
      <w:r w:rsidR="006F4BA0" w:rsidRPr="005464FA">
        <w:t xml:space="preserve">13% absolute </w:t>
      </w:r>
      <w:r w:rsidRPr="005464FA">
        <w:t>reduction in the risk of disease progression or death compared to chemotherapy (</w:t>
      </w:r>
      <w:r w:rsidR="007D7340" w:rsidRPr="005464FA">
        <w:t xml:space="preserve">12-month PFS 25.9% vs 15%, </w:t>
      </w:r>
      <w:r w:rsidRPr="005464FA">
        <w:t xml:space="preserve">HR: 0.58; 95% confidence interval [CI] 0.43 to 0.80; p&lt;0.001 December 2016 data cut). </w:t>
      </w:r>
      <w:r w:rsidR="00675F5A" w:rsidRPr="005464FA">
        <w:t xml:space="preserve">The PBAC considered </w:t>
      </w:r>
      <w:r w:rsidR="00675F5A" w:rsidRPr="005464FA">
        <w:rPr>
          <w:rFonts w:asciiTheme="minorHAnsi" w:hAnsiTheme="minorHAnsi"/>
          <w:snapToGrid w:val="0"/>
          <w:szCs w:val="20"/>
        </w:rPr>
        <w:t xml:space="preserve">the magnitude of PFS benefit was somewhat uncertain as the comparator treatments are unlikely to fully represent standard of care. </w:t>
      </w:r>
      <w:r w:rsidR="00C60CF7" w:rsidRPr="005464FA">
        <w:t xml:space="preserve">The PBAC noted that no significant difference in the median OS was observed between the olaparib and the chemotherapy arms at either data cut off. The submission argued that while there was no statistically significant difference in OS, there was a clear convergence in OS in the trial and OS was impacted by subsequent treatments. </w:t>
      </w:r>
      <w:r w:rsidR="00F86FA0" w:rsidRPr="005464FA">
        <w:rPr>
          <w:rFonts w:asciiTheme="minorHAnsi" w:hAnsiTheme="minorHAnsi"/>
          <w:snapToGrid w:val="0"/>
          <w:szCs w:val="20"/>
        </w:rPr>
        <w:t xml:space="preserve">The PBAC considered that the data did not clearly support an OS benefit, </w:t>
      </w:r>
      <w:r w:rsidR="00F86FA0" w:rsidRPr="005464FA">
        <w:t xml:space="preserve">but </w:t>
      </w:r>
      <w:r w:rsidR="00C60CF7" w:rsidRPr="005464FA">
        <w:t>acknowledged the challenge of demonstrating OS benefit in this setting</w:t>
      </w:r>
      <w:r w:rsidR="00675F5A" w:rsidRPr="005464FA">
        <w:t xml:space="preserve"> due to subsequent treatments</w:t>
      </w:r>
      <w:r w:rsidR="00C60CF7" w:rsidRPr="005464FA">
        <w:t xml:space="preserve"> and the limitations of the trial, which was not powered to detect a difference in OS. </w:t>
      </w:r>
    </w:p>
    <w:p w14:paraId="1125197B" w14:textId="406D532B" w:rsidR="005674B1" w:rsidRPr="005464FA" w:rsidRDefault="00675F5A" w:rsidP="00162D7C">
      <w:pPr>
        <w:widowControl w:val="0"/>
        <w:numPr>
          <w:ilvl w:val="1"/>
          <w:numId w:val="1"/>
        </w:numPr>
        <w:spacing w:after="120"/>
        <w:rPr>
          <w:rFonts w:asciiTheme="minorHAnsi" w:hAnsiTheme="minorHAnsi"/>
          <w:snapToGrid w:val="0"/>
        </w:rPr>
      </w:pPr>
      <w:r w:rsidRPr="005464FA">
        <w:t xml:space="preserve">The PBAC considered that results in the subgroup of patients with no prior chemotherapy in the metastatic setting were unreliable as they were affected by potential confounding, small sample size and not formally tested for statistical significance. Further, they were not </w:t>
      </w:r>
      <w:r w:rsidR="004A213E" w:rsidRPr="005464FA">
        <w:t xml:space="preserve">relevant to the broader patient population considered appropriate for listing. </w:t>
      </w:r>
    </w:p>
    <w:p w14:paraId="17ABDF36" w14:textId="6736D9A7" w:rsidR="004A213E" w:rsidRPr="005464FA" w:rsidRDefault="004A213E" w:rsidP="004A213E">
      <w:pPr>
        <w:pStyle w:val="3-BodyText"/>
      </w:pPr>
      <w:r w:rsidRPr="005464FA">
        <w:t xml:space="preserve">The PBAC considered the claim of non-inferior safety was generally supported when compared to the three chemotherapy regimens included as comparators in OlympiAD </w:t>
      </w:r>
      <w:r w:rsidRPr="005464FA">
        <w:lastRenderedPageBreak/>
        <w:t xml:space="preserve">(capecitabine, eribulin and vinorelbine). However, it is unlikely that the comparator safety profile in OlympiAD </w:t>
      </w:r>
      <w:r w:rsidR="00F515BC" w:rsidRPr="005464FA">
        <w:t xml:space="preserve">fully </w:t>
      </w:r>
      <w:r w:rsidRPr="005464FA">
        <w:t xml:space="preserve">reflects the safety profile for the requested treatment population. The safety claim was therefore overall uncertain. </w:t>
      </w:r>
    </w:p>
    <w:p w14:paraId="11062920" w14:textId="1C33269C" w:rsidR="008B2961" w:rsidRPr="005464FA" w:rsidRDefault="00334735" w:rsidP="002D1F13">
      <w:pPr>
        <w:pStyle w:val="3-BodyText"/>
        <w:rPr>
          <w:b/>
          <w:bCs/>
        </w:rPr>
      </w:pPr>
      <w:r w:rsidRPr="005464FA">
        <w:t>The PBAC considered results for the ITT population were appropriate as the basis for the economic model, as proposed in the pre-PBAC response. The</w:t>
      </w:r>
      <w:r w:rsidR="00C9297C" w:rsidRPr="005464FA">
        <w:t xml:space="preserve"> cost-utility analysis </w:t>
      </w:r>
      <w:r w:rsidRPr="005464FA">
        <w:rPr>
          <w:color w:val="000000" w:themeColor="text1"/>
        </w:rPr>
        <w:t xml:space="preserve">compared olaparib with chemotherapy in patients with HER2-negative, </w:t>
      </w:r>
      <w:r w:rsidRPr="005464FA">
        <w:rPr>
          <w:i/>
          <w:iCs/>
          <w:color w:val="000000" w:themeColor="text1"/>
        </w:rPr>
        <w:t>BRCA</w:t>
      </w:r>
      <w:r w:rsidRPr="005464FA">
        <w:rPr>
          <w:color w:val="000000" w:themeColor="text1"/>
        </w:rPr>
        <w:t xml:space="preserve">m mBC who had previously received chemotherapy, based on the corresponding the results of the OlympiAD trial. The PBAC considered the outcomes included in the economic model were associated with uncertainty due to the applicability of the trial comparators (paragraphs </w:t>
      </w:r>
      <w:r w:rsidRPr="005464FA">
        <w:rPr>
          <w:color w:val="000000" w:themeColor="text1"/>
        </w:rPr>
        <w:fldChar w:fldCharType="begin" w:fldLock="1"/>
      </w:r>
      <w:r w:rsidRPr="005464FA">
        <w:rPr>
          <w:color w:val="000000" w:themeColor="text1"/>
        </w:rPr>
        <w:instrText xml:space="preserve"> REF _Ref172729098 \r \h </w:instrText>
      </w:r>
      <w:r w:rsidRPr="005464FA">
        <w:rPr>
          <w:color w:val="000000" w:themeColor="text1"/>
        </w:rPr>
      </w:r>
      <w:r w:rsidRPr="005464FA">
        <w:rPr>
          <w:color w:val="000000" w:themeColor="text1"/>
        </w:rPr>
        <w:fldChar w:fldCharType="separate"/>
      </w:r>
      <w:r w:rsidR="00122E11" w:rsidRPr="005464FA">
        <w:rPr>
          <w:color w:val="000000" w:themeColor="text1"/>
        </w:rPr>
        <w:t>7.5</w:t>
      </w:r>
      <w:r w:rsidRPr="005464FA">
        <w:rPr>
          <w:color w:val="000000" w:themeColor="text1"/>
        </w:rPr>
        <w:fldChar w:fldCharType="end"/>
      </w:r>
      <w:r w:rsidRPr="005464FA">
        <w:rPr>
          <w:color w:val="000000" w:themeColor="text1"/>
        </w:rPr>
        <w:t>-</w:t>
      </w:r>
      <w:r w:rsidRPr="005464FA">
        <w:rPr>
          <w:color w:val="000000" w:themeColor="text1"/>
        </w:rPr>
        <w:fldChar w:fldCharType="begin" w:fldLock="1"/>
      </w:r>
      <w:r w:rsidRPr="005464FA">
        <w:rPr>
          <w:color w:val="000000" w:themeColor="text1"/>
        </w:rPr>
        <w:instrText xml:space="preserve"> REF _Ref172729100 \r \h </w:instrText>
      </w:r>
      <w:r w:rsidRPr="005464FA">
        <w:rPr>
          <w:color w:val="000000" w:themeColor="text1"/>
        </w:rPr>
      </w:r>
      <w:r w:rsidRPr="005464FA">
        <w:rPr>
          <w:color w:val="000000" w:themeColor="text1"/>
        </w:rPr>
        <w:fldChar w:fldCharType="separate"/>
      </w:r>
      <w:r w:rsidR="00122E11" w:rsidRPr="005464FA">
        <w:rPr>
          <w:color w:val="000000" w:themeColor="text1"/>
        </w:rPr>
        <w:t>7.6</w:t>
      </w:r>
      <w:r w:rsidRPr="005464FA">
        <w:rPr>
          <w:color w:val="000000" w:themeColor="text1"/>
        </w:rPr>
        <w:fldChar w:fldCharType="end"/>
      </w:r>
      <w:r w:rsidRPr="005464FA">
        <w:rPr>
          <w:color w:val="000000" w:themeColor="text1"/>
        </w:rPr>
        <w:t>). In addition, the PBAC noted that the economic model presented in the submission included assumptions that were favourable to olaparib, particularly</w:t>
      </w:r>
      <w:r w:rsidR="00A04AFD" w:rsidRPr="005464FA">
        <w:rPr>
          <w:color w:val="000000" w:themeColor="text1"/>
        </w:rPr>
        <w:t>:</w:t>
      </w:r>
      <w:r w:rsidRPr="005464FA">
        <w:rPr>
          <w:color w:val="000000" w:themeColor="text1"/>
        </w:rPr>
        <w:t xml:space="preserve"> </w:t>
      </w:r>
      <w:r w:rsidR="00A04AFD" w:rsidRPr="005464FA">
        <w:t xml:space="preserve">modelled improved survival associated with olaparib despite no statistically significant OS </w:t>
      </w:r>
      <w:r w:rsidR="0063210C" w:rsidRPr="005464FA">
        <w:t xml:space="preserve">benefit </w:t>
      </w:r>
      <w:r w:rsidR="00A04AFD" w:rsidRPr="005464FA">
        <w:t xml:space="preserve">demonstrated in the OlympiAD trial, application of differential utilities </w:t>
      </w:r>
      <w:r w:rsidR="0063210C" w:rsidRPr="005464FA">
        <w:t xml:space="preserve">for PFS1 and PFS2 </w:t>
      </w:r>
      <w:r w:rsidR="00A04AFD" w:rsidRPr="005464FA">
        <w:t xml:space="preserve">between treatment arms, and underestimated costs associated with </w:t>
      </w:r>
      <w:r w:rsidR="005464FA" w:rsidRPr="005464FA">
        <w:rPr>
          <w:i/>
        </w:rPr>
        <w:t>BRCA</w:t>
      </w:r>
      <w:r w:rsidR="00A04AFD" w:rsidRPr="005464FA">
        <w:t xml:space="preserve"> testing. The PBAC noted that when these assumptions were revised as proposed by the ESC, the ICER increased substantially</w:t>
      </w:r>
      <w:r w:rsidR="009E41C6" w:rsidRPr="005464FA">
        <w:t>,</w:t>
      </w:r>
      <w:r w:rsidR="00F515BC" w:rsidRPr="005464FA">
        <w:t xml:space="preserve"> to </w:t>
      </w:r>
      <w:r w:rsidR="00FA478F" w:rsidRPr="00FA478F">
        <w:t>$155,000 to &lt; $255,000</w:t>
      </w:r>
      <w:r w:rsidR="009E41C6" w:rsidRPr="005464FA">
        <w:t>/QALY</w:t>
      </w:r>
      <w:r w:rsidR="00A04AFD" w:rsidRPr="005464FA">
        <w:t xml:space="preserve">. </w:t>
      </w:r>
      <w:r w:rsidR="007E3297" w:rsidRPr="005464FA">
        <w:t xml:space="preserve">The pre-PBAC response maintained that differential </w:t>
      </w:r>
      <w:r w:rsidR="00F515BC" w:rsidRPr="005464FA">
        <w:t xml:space="preserve">(treatment-arm specific) </w:t>
      </w:r>
      <w:r w:rsidR="007E3297" w:rsidRPr="005464FA">
        <w:t xml:space="preserve">utilities for PFS1 were reasonable and consistent with the safety claim for olaparib and the acceptance of differential utilities for sacituzumab </w:t>
      </w:r>
      <w:r w:rsidR="001218FD" w:rsidRPr="005464FA">
        <w:t>govitecan</w:t>
      </w:r>
      <w:r w:rsidR="007E3297" w:rsidRPr="005464FA">
        <w:t xml:space="preserve"> in PBAC’s March 2022 consideration. The pre-PBAC response also </w:t>
      </w:r>
      <w:r w:rsidR="007E3297" w:rsidRPr="005464FA">
        <w:rPr>
          <w:color w:val="000000" w:themeColor="text1"/>
        </w:rPr>
        <w:t xml:space="preserve">argued that additional testing costs to account for </w:t>
      </w:r>
      <w:r w:rsidR="007E3297" w:rsidRPr="005464FA">
        <w:rPr>
          <w:i/>
          <w:iCs/>
          <w:color w:val="000000" w:themeColor="text1"/>
        </w:rPr>
        <w:t>BRCA</w:t>
      </w:r>
      <w:r w:rsidR="007E3297" w:rsidRPr="005464FA">
        <w:rPr>
          <w:color w:val="000000" w:themeColor="text1"/>
        </w:rPr>
        <w:t>m prevalence were not appropriate due to the substantial testing that already occurs in clinical practice</w:t>
      </w:r>
      <w:r w:rsidR="00F515BC" w:rsidRPr="005464FA">
        <w:rPr>
          <w:color w:val="000000" w:themeColor="text1"/>
        </w:rPr>
        <w:t>. H</w:t>
      </w:r>
      <w:r w:rsidR="007E3297" w:rsidRPr="005464FA">
        <w:rPr>
          <w:color w:val="000000" w:themeColor="text1"/>
        </w:rPr>
        <w:t xml:space="preserve">owever the PBAC noted that the testing cost calculations account for </w:t>
      </w:r>
      <w:r w:rsidR="00F515BC" w:rsidRPr="005464FA">
        <w:rPr>
          <w:color w:val="000000" w:themeColor="text1"/>
        </w:rPr>
        <w:t xml:space="preserve">a proportion of patients receiving </w:t>
      </w:r>
      <w:r w:rsidR="007E3297" w:rsidRPr="005464FA">
        <w:rPr>
          <w:color w:val="000000" w:themeColor="text1"/>
        </w:rPr>
        <w:t>testing in earlier settings</w:t>
      </w:r>
      <w:r w:rsidR="00F515BC" w:rsidRPr="005464FA">
        <w:rPr>
          <w:color w:val="000000" w:themeColor="text1"/>
        </w:rPr>
        <w:t xml:space="preserve"> but inappropriately were not adjusted to include costs for patients tested in the metastatic setting who do not have a </w:t>
      </w:r>
      <w:r w:rsidR="005464FA" w:rsidRPr="005464FA">
        <w:rPr>
          <w:i/>
          <w:color w:val="000000" w:themeColor="text1"/>
        </w:rPr>
        <w:t>BRCA</w:t>
      </w:r>
      <w:r w:rsidR="00F515BC" w:rsidRPr="005464FA">
        <w:rPr>
          <w:color w:val="000000" w:themeColor="text1"/>
        </w:rPr>
        <w:t xml:space="preserve"> pathogenic variant</w:t>
      </w:r>
      <w:r w:rsidR="007E3297" w:rsidRPr="005464FA">
        <w:rPr>
          <w:color w:val="000000" w:themeColor="text1"/>
        </w:rPr>
        <w:t xml:space="preserve">. </w:t>
      </w:r>
      <w:r w:rsidR="00A04AFD" w:rsidRPr="005464FA">
        <w:t xml:space="preserve">The PBAC noted that the pre-PBAC response proposed a </w:t>
      </w:r>
      <w:r w:rsidR="0063210C" w:rsidRPr="005464FA">
        <w:t xml:space="preserve">reduced price for olaparib and a revised base case including </w:t>
      </w:r>
      <w:r w:rsidR="008B2961" w:rsidRPr="005464FA">
        <w:t xml:space="preserve">minor </w:t>
      </w:r>
      <w:r w:rsidR="0063210C" w:rsidRPr="005464FA">
        <w:t xml:space="preserve">changes to </w:t>
      </w:r>
      <w:r w:rsidR="005464FA" w:rsidRPr="005464FA">
        <w:rPr>
          <w:i/>
        </w:rPr>
        <w:t>BRCA</w:t>
      </w:r>
      <w:r w:rsidR="0063210C" w:rsidRPr="005464FA">
        <w:t xml:space="preserve"> testing costs, treatment-specific utility values for PFS2 (but not PFS1) and </w:t>
      </w:r>
      <w:r w:rsidR="00AC2E82" w:rsidRPr="005464FA">
        <w:t xml:space="preserve">modelled OS based on the HR for OS from the OlympiAD trial (0.9), resulting in an ICER of </w:t>
      </w:r>
      <w:r w:rsidR="004858CA" w:rsidRPr="004858CA">
        <w:t>$45,000 to &lt; $55,000</w:t>
      </w:r>
      <w:r w:rsidR="00AC2E82" w:rsidRPr="005464FA">
        <w:t xml:space="preserve"> per QALY. </w:t>
      </w:r>
    </w:p>
    <w:p w14:paraId="618FDBFC" w14:textId="1C09004C" w:rsidR="009C0479" w:rsidRPr="005464FA" w:rsidRDefault="007E3297" w:rsidP="007E3297">
      <w:pPr>
        <w:pStyle w:val="3-BodyText"/>
      </w:pPr>
      <w:r w:rsidRPr="005464FA">
        <w:rPr>
          <w:color w:val="000000" w:themeColor="text1"/>
        </w:rPr>
        <w:t>The PBAC considered that although OS</w:t>
      </w:r>
      <w:r w:rsidR="00D55418" w:rsidRPr="005464FA">
        <w:rPr>
          <w:color w:val="000000" w:themeColor="text1"/>
        </w:rPr>
        <w:t xml:space="preserve"> benefits</w:t>
      </w:r>
      <w:r w:rsidRPr="005464FA">
        <w:rPr>
          <w:color w:val="000000" w:themeColor="text1"/>
        </w:rPr>
        <w:t xml:space="preserve"> in the </w:t>
      </w:r>
      <w:r w:rsidR="00F515BC" w:rsidRPr="005464FA">
        <w:rPr>
          <w:color w:val="000000" w:themeColor="text1"/>
        </w:rPr>
        <w:t xml:space="preserve">submission’s </w:t>
      </w:r>
      <w:r w:rsidRPr="005464FA">
        <w:rPr>
          <w:color w:val="000000" w:themeColor="text1"/>
        </w:rPr>
        <w:t xml:space="preserve">base case model </w:t>
      </w:r>
      <w:r w:rsidR="00D55418" w:rsidRPr="005464FA">
        <w:rPr>
          <w:color w:val="000000" w:themeColor="text1"/>
        </w:rPr>
        <w:t xml:space="preserve">were </w:t>
      </w:r>
      <w:r w:rsidRPr="005464FA">
        <w:rPr>
          <w:color w:val="000000" w:themeColor="text1"/>
        </w:rPr>
        <w:t xml:space="preserve">likely overestimated, it was reasonable for the model to assume some difference in survival given the demonstrated PFS1 and PFS2 benefit, the divergence in OS curves (which was maintained in the longer follow-up data), and because OS in the trial was likely to have been impacted by subsequent treatments not available in Australian clinical practice. </w:t>
      </w:r>
      <w:r w:rsidRPr="005464FA">
        <w:t>The PBAC considered that the application of differential utilities for PFS1 favoured olaparib an</w:t>
      </w:r>
      <w:r w:rsidR="00FF4535" w:rsidRPr="005464FA">
        <w:t>d</w:t>
      </w:r>
      <w:r w:rsidRPr="005464FA">
        <w:t xml:space="preserve"> contributed substantially to uncertainty in the modelled outcomes. </w:t>
      </w:r>
      <w:r w:rsidR="008B2961" w:rsidRPr="005464FA">
        <w:rPr>
          <w:color w:val="000000" w:themeColor="text1"/>
        </w:rPr>
        <w:t xml:space="preserve">The PBAC considered it was appropriate for the testing costs in the model to account for the total additional </w:t>
      </w:r>
      <w:r w:rsidR="005464FA" w:rsidRPr="005464FA">
        <w:rPr>
          <w:i/>
          <w:color w:val="000000" w:themeColor="text1"/>
        </w:rPr>
        <w:t>BRCA</w:t>
      </w:r>
      <w:r w:rsidR="008B2961" w:rsidRPr="005464FA">
        <w:rPr>
          <w:color w:val="000000" w:themeColor="text1"/>
        </w:rPr>
        <w:t xml:space="preserve"> testing, including accounting for the number of tests needed to identify one patient classified as g</w:t>
      </w:r>
      <w:r w:rsidR="008B2961" w:rsidRPr="005464FA">
        <w:rPr>
          <w:i/>
          <w:iCs/>
          <w:color w:val="000000" w:themeColor="text1"/>
        </w:rPr>
        <w:t>BRCA</w:t>
      </w:r>
      <w:r w:rsidR="008B2961" w:rsidRPr="005464FA">
        <w:rPr>
          <w:color w:val="000000" w:themeColor="text1"/>
        </w:rPr>
        <w:t>m.</w:t>
      </w:r>
      <w:r w:rsidR="008B2961" w:rsidRPr="005464FA">
        <w:t xml:space="preserve"> The PBAC </w:t>
      </w:r>
      <w:r w:rsidRPr="005464FA">
        <w:t>considered</w:t>
      </w:r>
      <w:r w:rsidR="008B2961" w:rsidRPr="005464FA">
        <w:t xml:space="preserve"> that the pre</w:t>
      </w:r>
      <w:r w:rsidRPr="005464FA">
        <w:noBreakHyphen/>
      </w:r>
      <w:r w:rsidR="008B2961" w:rsidRPr="005464FA">
        <w:t xml:space="preserve">PBAC response revised base case did not fully </w:t>
      </w:r>
      <w:r w:rsidRPr="005464FA">
        <w:t>justify</w:t>
      </w:r>
      <w:r w:rsidR="008B2961" w:rsidRPr="005464FA">
        <w:t xml:space="preserve"> the use of treatment-specific utility values for PFS 1 and did not </w:t>
      </w:r>
      <w:r w:rsidRPr="005464FA">
        <w:t xml:space="preserve">adequately </w:t>
      </w:r>
      <w:r w:rsidR="008B2961" w:rsidRPr="005464FA">
        <w:t xml:space="preserve">account for </w:t>
      </w:r>
      <w:r w:rsidR="008B2961" w:rsidRPr="005464FA">
        <w:rPr>
          <w:color w:val="000000" w:themeColor="text1"/>
        </w:rPr>
        <w:t xml:space="preserve">total additional </w:t>
      </w:r>
      <w:r w:rsidR="005464FA" w:rsidRPr="005464FA">
        <w:rPr>
          <w:i/>
          <w:color w:val="000000" w:themeColor="text1"/>
        </w:rPr>
        <w:lastRenderedPageBreak/>
        <w:t>BRCA</w:t>
      </w:r>
      <w:r w:rsidR="008B2961" w:rsidRPr="005464FA">
        <w:rPr>
          <w:color w:val="000000" w:themeColor="text1"/>
        </w:rPr>
        <w:t xml:space="preserve"> testing costs. Therefore, the PBAC considered the ICER in the pre-PBAC response remained optimistic and likely to be underestimated.</w:t>
      </w:r>
      <w:r w:rsidRPr="005464FA">
        <w:rPr>
          <w:color w:val="000000" w:themeColor="text1"/>
        </w:rPr>
        <w:t xml:space="preserve"> </w:t>
      </w:r>
      <w:r w:rsidRPr="005464FA">
        <w:t xml:space="preserve">The PBAC noted that when the pre-PBAC price and </w:t>
      </w:r>
      <w:r w:rsidR="00C51972" w:rsidRPr="005464FA">
        <w:t xml:space="preserve">the pre-PBAC revised </w:t>
      </w:r>
      <w:r w:rsidRPr="005464FA">
        <w:t xml:space="preserve">approach to modelling OS was applied to the ESC respecified base case the ICER was reduced to </w:t>
      </w:r>
      <w:r w:rsidR="0095754C" w:rsidRPr="0095754C">
        <w:t>$75,000 to &lt; $95,000</w:t>
      </w:r>
      <w:r w:rsidR="00C608E6">
        <w:t xml:space="preserve"> </w:t>
      </w:r>
      <w:r w:rsidRPr="005464FA">
        <w:t xml:space="preserve">per QALY. </w:t>
      </w:r>
    </w:p>
    <w:p w14:paraId="25BB9D88" w14:textId="3A2C33E0" w:rsidR="007E3297" w:rsidRPr="005464FA" w:rsidRDefault="4532F641" w:rsidP="007E4023">
      <w:pPr>
        <w:pStyle w:val="3-BodyText"/>
      </w:pPr>
      <w:r>
        <w:t>The PBAC considered that the ICER remained high at the price proposed in the pre-PBAC response</w:t>
      </w:r>
      <w:r w:rsidR="50833F31">
        <w:t>.</w:t>
      </w:r>
      <w:r>
        <w:t xml:space="preserve"> The PBAC considered that although there was some uncertainty regarding the inputs to the model, the ICER would be brought into an acceptable range at a price resulting in an ICER of no more than $</w:t>
      </w:r>
      <w:r w:rsidR="00AE450D" w:rsidRPr="00AE450D">
        <w:t xml:space="preserve">55,000 to &lt; $75,000 </w:t>
      </w:r>
      <w:r>
        <w:t>per QALY, using inputs in the ESC respecified base case</w:t>
      </w:r>
      <w:r w:rsidR="0EDAA0FA">
        <w:t xml:space="preserve"> (as described in paragraph </w:t>
      </w:r>
      <w:r w:rsidR="004D6ECA">
        <w:fldChar w:fldCharType="begin" w:fldLock="1"/>
      </w:r>
      <w:r w:rsidR="004D6ECA">
        <w:instrText xml:space="preserve"> REF _Ref169770187 \r \h </w:instrText>
      </w:r>
      <w:r w:rsidR="004D6ECA">
        <w:fldChar w:fldCharType="separate"/>
      </w:r>
      <w:r w:rsidR="7D7BD58B">
        <w:t>6.69</w:t>
      </w:r>
      <w:r w:rsidR="004D6ECA">
        <w:fldChar w:fldCharType="end"/>
      </w:r>
      <w:r w:rsidR="0EDAA0FA">
        <w:t>)</w:t>
      </w:r>
      <w:r>
        <w:t xml:space="preserve">, but with </w:t>
      </w:r>
      <w:r w:rsidR="7444622D">
        <w:t xml:space="preserve">the OS for olaparib estimated by applying the trial-based HR (0.9) to the chemotherapy OS curve </w:t>
      </w:r>
      <w:r>
        <w:t>as proposed in the pre-PBAC response</w:t>
      </w:r>
      <w:r w:rsidR="0EDAA0FA">
        <w:t xml:space="preserve"> (as described in paragraph </w:t>
      </w:r>
      <w:r w:rsidR="004D6ECA">
        <w:fldChar w:fldCharType="begin" w:fldLock="1"/>
      </w:r>
      <w:r w:rsidR="004D6ECA">
        <w:instrText xml:space="preserve"> REF _Ref173159129 \r \h </w:instrText>
      </w:r>
      <w:r w:rsidR="004D6ECA">
        <w:fldChar w:fldCharType="separate"/>
      </w:r>
      <w:r w:rsidR="7D7BD58B">
        <w:t>6.72</w:t>
      </w:r>
      <w:r w:rsidR="004D6ECA">
        <w:fldChar w:fldCharType="end"/>
      </w:r>
      <w:r w:rsidR="0EDAA0FA">
        <w:t>)</w:t>
      </w:r>
      <w:r w:rsidR="50833F31">
        <w:t>, and effective prices applied for relevant subsequent treatments</w:t>
      </w:r>
      <w:r>
        <w:t>.</w:t>
      </w:r>
    </w:p>
    <w:p w14:paraId="7C1864A0" w14:textId="77777777" w:rsidR="00601DEC" w:rsidRPr="005464FA" w:rsidRDefault="001F322F" w:rsidP="001F322F">
      <w:pPr>
        <w:pStyle w:val="3-BodyText"/>
      </w:pPr>
      <w:bookmarkStart w:id="112" w:name="_Ref172794550"/>
      <w:r w:rsidRPr="005464FA">
        <w:t xml:space="preserve">The PBAC noted that the financial estimates provided in the submission were based on the ‘no prior chemotherapy’ subgroup and considered it would be appropriate for the estimates to be amended to reflect the broader population, including patients with HER2-negative mBC with a confirmed </w:t>
      </w:r>
      <w:r w:rsidRPr="005464FA">
        <w:rPr>
          <w:i/>
          <w:iCs/>
        </w:rPr>
        <w:t>BRCA</w:t>
      </w:r>
      <w:r w:rsidRPr="005464FA">
        <w:t xml:space="preserve"> mutation, who have received chemotherapy in the adjuvant/neoadjuvant or metastatic setting. The PBAC considered that the following aspects of the financial estimates required revision</w:t>
      </w:r>
      <w:r w:rsidR="00601DEC" w:rsidRPr="005464FA">
        <w:t xml:space="preserve"> were:</w:t>
      </w:r>
      <w:bookmarkEnd w:id="112"/>
      <w:r w:rsidR="00601DEC" w:rsidRPr="005464FA">
        <w:t xml:space="preserve"> </w:t>
      </w:r>
    </w:p>
    <w:p w14:paraId="25E8C62F" w14:textId="5D3441AE" w:rsidR="001F322F" w:rsidRPr="005464FA" w:rsidRDefault="00601DEC" w:rsidP="00601DEC">
      <w:pPr>
        <w:pStyle w:val="3-BodyText"/>
        <w:numPr>
          <w:ilvl w:val="2"/>
          <w:numId w:val="1"/>
        </w:numPr>
        <w:ind w:left="1134"/>
      </w:pPr>
      <w:r w:rsidRPr="005464FA">
        <w:t>An increase from 63% to 95% of HR+ patients with prior (neo)adjuvant chemotherapy so as not to exclude patients with recurrent disease who have received chemotherapy in the metastatic setting.</w:t>
      </w:r>
    </w:p>
    <w:p w14:paraId="2075B3E7" w14:textId="5F12DCD8" w:rsidR="00601DEC" w:rsidRPr="005464FA" w:rsidRDefault="00601DEC" w:rsidP="00601DEC">
      <w:pPr>
        <w:pStyle w:val="3-BodyText"/>
        <w:numPr>
          <w:ilvl w:val="2"/>
          <w:numId w:val="1"/>
        </w:numPr>
        <w:ind w:left="1134"/>
      </w:pPr>
      <w:r w:rsidRPr="005464FA">
        <w:t>A reduction in the duration of treatment consistent with the economic evaluation for the ITT population.</w:t>
      </w:r>
    </w:p>
    <w:p w14:paraId="666E8FB0" w14:textId="4452F6E4" w:rsidR="00601DEC" w:rsidRPr="005464FA" w:rsidRDefault="00601DEC" w:rsidP="00601DEC">
      <w:pPr>
        <w:pStyle w:val="3-BodyText"/>
        <w:numPr>
          <w:ilvl w:val="0"/>
          <w:numId w:val="0"/>
        </w:numPr>
        <w:ind w:left="709"/>
      </w:pPr>
      <w:r w:rsidRPr="005464FA">
        <w:t xml:space="preserve">The PBAC considered that with these changes the financial estimates </w:t>
      </w:r>
      <w:r w:rsidR="00680025" w:rsidRPr="005464FA">
        <w:t>would</w:t>
      </w:r>
      <w:r w:rsidRPr="005464FA">
        <w:t xml:space="preserve"> be </w:t>
      </w:r>
      <w:r w:rsidR="00680025" w:rsidRPr="005464FA">
        <w:t>acceptable</w:t>
      </w:r>
      <w:r w:rsidRPr="005464FA">
        <w:t>.</w:t>
      </w:r>
    </w:p>
    <w:p w14:paraId="63A63190" w14:textId="58A67194" w:rsidR="00601DEC" w:rsidRPr="005464FA" w:rsidRDefault="00601DEC" w:rsidP="009C397C">
      <w:pPr>
        <w:widowControl w:val="0"/>
        <w:numPr>
          <w:ilvl w:val="1"/>
          <w:numId w:val="1"/>
        </w:numPr>
        <w:spacing w:after="120"/>
      </w:pPr>
      <w:r w:rsidRPr="005464FA">
        <w:rPr>
          <w:snapToGrid w:val="0"/>
        </w:rPr>
        <w:t xml:space="preserve">In November 2023, when recommending olaparib for listing in high risk eBC, the PBAC advised that a Risk Sharing Arrangement (RSA) should be implemented </w:t>
      </w:r>
      <w:r w:rsidRPr="005464FA">
        <w:t>given uncertainty with patient numbers and testing/treatment uptake</w:t>
      </w:r>
      <w:r w:rsidRPr="005464FA">
        <w:rPr>
          <w:snapToGrid w:val="0"/>
        </w:rPr>
        <w:t xml:space="preserve"> (paragraphs 7.10 to 7.11 </w:t>
      </w:r>
      <w:r w:rsidRPr="005464FA">
        <w:t>olaparib PSD, November 2023 PBAC meeting</w:t>
      </w:r>
      <w:r w:rsidRPr="005464FA">
        <w:rPr>
          <w:snapToGrid w:val="0"/>
        </w:rPr>
        <w:t>)</w:t>
      </w:r>
      <w:r w:rsidRPr="005464FA">
        <w:rPr>
          <w:rFonts w:asciiTheme="minorHAnsi" w:hAnsiTheme="minorHAnsi"/>
          <w:snapToGrid w:val="0"/>
        </w:rPr>
        <w:t>. The PBAC considered it would be appropriate for</w:t>
      </w:r>
      <w:r w:rsidR="009C397C" w:rsidRPr="005464FA">
        <w:rPr>
          <w:rFonts w:asciiTheme="minorHAnsi" w:hAnsiTheme="minorHAnsi"/>
          <w:snapToGrid w:val="0"/>
        </w:rPr>
        <w:t xml:space="preserve"> </w:t>
      </w:r>
      <w:r w:rsidR="009C397C" w:rsidRPr="005464FA">
        <w:rPr>
          <w:snapToGrid w:val="0"/>
        </w:rPr>
        <w:t xml:space="preserve">a </w:t>
      </w:r>
      <w:r w:rsidR="00E4045F" w:rsidRPr="005464FA">
        <w:rPr>
          <w:snapToGrid w:val="0"/>
        </w:rPr>
        <w:t>RSA</w:t>
      </w:r>
      <w:r w:rsidR="009C397C" w:rsidRPr="005464FA">
        <w:rPr>
          <w:snapToGrid w:val="0"/>
        </w:rPr>
        <w:t xml:space="preserve"> to be implemented </w:t>
      </w:r>
      <w:r w:rsidR="009C397C" w:rsidRPr="005464FA">
        <w:t>given uncertainty with patient numbers and testing/treatment uptake and particularly treatment duration. The PBAC considered it would be reasonable for</w:t>
      </w:r>
      <w:r w:rsidRPr="005464FA">
        <w:rPr>
          <w:rFonts w:asciiTheme="minorHAnsi" w:hAnsiTheme="minorHAnsi"/>
          <w:snapToGrid w:val="0"/>
        </w:rPr>
        <w:t xml:space="preserve"> financial caps for the RSA for eBC to be increased to account for additional use in patients with mBC</w:t>
      </w:r>
      <w:r w:rsidR="009C397C" w:rsidRPr="005464FA">
        <w:rPr>
          <w:rFonts w:asciiTheme="minorHAnsi" w:hAnsiTheme="minorHAnsi"/>
          <w:snapToGrid w:val="0"/>
        </w:rPr>
        <w:t xml:space="preserve">, and that the financial estimates (revised as per paragraph </w:t>
      </w:r>
      <w:r w:rsidR="009C397C" w:rsidRPr="005464FA">
        <w:rPr>
          <w:rFonts w:asciiTheme="minorHAnsi" w:hAnsiTheme="minorHAnsi"/>
          <w:snapToGrid w:val="0"/>
        </w:rPr>
        <w:fldChar w:fldCharType="begin" w:fldLock="1"/>
      </w:r>
      <w:r w:rsidR="009C397C" w:rsidRPr="005464FA">
        <w:rPr>
          <w:rFonts w:asciiTheme="minorHAnsi" w:hAnsiTheme="minorHAnsi"/>
          <w:snapToGrid w:val="0"/>
        </w:rPr>
        <w:instrText xml:space="preserve"> REF _Ref172794550 \r \h </w:instrText>
      </w:r>
      <w:r w:rsidR="009C397C" w:rsidRPr="005464FA">
        <w:rPr>
          <w:rFonts w:asciiTheme="minorHAnsi" w:hAnsiTheme="minorHAnsi"/>
          <w:snapToGrid w:val="0"/>
        </w:rPr>
      </w:r>
      <w:r w:rsidR="009C397C" w:rsidRPr="005464FA">
        <w:rPr>
          <w:rFonts w:asciiTheme="minorHAnsi" w:hAnsiTheme="minorHAnsi"/>
          <w:snapToGrid w:val="0"/>
        </w:rPr>
        <w:fldChar w:fldCharType="separate"/>
      </w:r>
      <w:r w:rsidR="00122E11" w:rsidRPr="005464FA">
        <w:rPr>
          <w:rFonts w:asciiTheme="minorHAnsi" w:hAnsiTheme="minorHAnsi"/>
          <w:snapToGrid w:val="0"/>
        </w:rPr>
        <w:t>7.13</w:t>
      </w:r>
      <w:r w:rsidR="009C397C" w:rsidRPr="005464FA">
        <w:rPr>
          <w:rFonts w:asciiTheme="minorHAnsi" w:hAnsiTheme="minorHAnsi"/>
          <w:snapToGrid w:val="0"/>
        </w:rPr>
        <w:fldChar w:fldCharType="end"/>
      </w:r>
      <w:r w:rsidR="009C397C" w:rsidRPr="005464FA">
        <w:rPr>
          <w:rFonts w:asciiTheme="minorHAnsi" w:hAnsiTheme="minorHAnsi"/>
          <w:snapToGrid w:val="0"/>
        </w:rPr>
        <w:t>) would be a reasonable basis for the increase</w:t>
      </w:r>
      <w:r w:rsidRPr="005464FA">
        <w:rPr>
          <w:rFonts w:asciiTheme="minorHAnsi" w:hAnsiTheme="minorHAnsi"/>
          <w:snapToGrid w:val="0"/>
        </w:rPr>
        <w:t>.</w:t>
      </w:r>
    </w:p>
    <w:p w14:paraId="20CF605C" w14:textId="77777777" w:rsidR="00FF40A7" w:rsidRPr="005464FA" w:rsidRDefault="00FF40A7" w:rsidP="005F522F">
      <w:pPr>
        <w:widowControl w:val="0"/>
        <w:numPr>
          <w:ilvl w:val="1"/>
          <w:numId w:val="1"/>
        </w:numPr>
        <w:spacing w:after="120"/>
        <w:contextualSpacing/>
        <w:rPr>
          <w:rFonts w:asciiTheme="minorHAnsi" w:hAnsiTheme="minorHAnsi" w:cstheme="minorHAnsi"/>
        </w:rPr>
      </w:pPr>
      <w:r w:rsidRPr="005464FA">
        <w:t xml:space="preserve">The PBAC found that the criteria prescribed by the </w:t>
      </w:r>
      <w:r w:rsidRPr="005464FA">
        <w:rPr>
          <w:i/>
          <w:iCs/>
        </w:rPr>
        <w:t>National Health (Pharmaceuticals and Vaccines – Cost Recovery) Regulations 2022</w:t>
      </w:r>
      <w:r w:rsidRPr="005464FA">
        <w:t xml:space="preserve"> for Pricing Pathway A were not met. Specifically, the PBAC found that in the circumstances of its recommendation for olaparib: </w:t>
      </w:r>
    </w:p>
    <w:p w14:paraId="6B985DD8" w14:textId="0484A8F2" w:rsidR="00FF40A7" w:rsidRPr="005464FA" w:rsidRDefault="00FF40A7" w:rsidP="005F522F">
      <w:pPr>
        <w:pStyle w:val="ListParagraph"/>
        <w:widowControl w:val="0"/>
        <w:numPr>
          <w:ilvl w:val="0"/>
          <w:numId w:val="22"/>
        </w:numPr>
        <w:ind w:left="1134" w:hanging="357"/>
      </w:pPr>
      <w:r w:rsidRPr="005464FA">
        <w:t xml:space="preserve">Olaparib is expected to provide a </w:t>
      </w:r>
      <w:r w:rsidR="00937929" w:rsidRPr="005464FA">
        <w:t>modest, but</w:t>
      </w:r>
      <w:r w:rsidRPr="005464FA">
        <w:t xml:space="preserve"> clinically relevant improvement in </w:t>
      </w:r>
      <w:r w:rsidRPr="005464FA">
        <w:lastRenderedPageBreak/>
        <w:t xml:space="preserve">efficacy over placebo; </w:t>
      </w:r>
    </w:p>
    <w:p w14:paraId="25CA1F0E" w14:textId="5E9C666A" w:rsidR="00FF40A7" w:rsidRPr="005464FA" w:rsidRDefault="00FF40A7" w:rsidP="005F522F">
      <w:pPr>
        <w:pStyle w:val="ListParagraph"/>
        <w:widowControl w:val="0"/>
        <w:numPr>
          <w:ilvl w:val="0"/>
          <w:numId w:val="22"/>
        </w:numPr>
        <w:ind w:left="1134" w:hanging="357"/>
      </w:pPr>
      <w:r w:rsidRPr="005464FA">
        <w:t xml:space="preserve">Olaparib is not expected to address a high and urgent unmet clinical need as there are alternative therapies available; </w:t>
      </w:r>
    </w:p>
    <w:p w14:paraId="25B57E0F" w14:textId="199847B2" w:rsidR="00FF40A7" w:rsidRPr="005464FA" w:rsidRDefault="00FF40A7" w:rsidP="005F522F">
      <w:pPr>
        <w:pStyle w:val="ListParagraph"/>
        <w:widowControl w:val="0"/>
        <w:numPr>
          <w:ilvl w:val="0"/>
          <w:numId w:val="22"/>
        </w:numPr>
        <w:ind w:left="1134" w:hanging="357"/>
        <w:rPr>
          <w:rFonts w:cstheme="minorHAnsi"/>
        </w:rPr>
      </w:pPr>
      <w:r w:rsidRPr="005464FA">
        <w:t>It was not necessary to make a finding in relation to whether it would be in the public interest for the subsequent pricing application to be progressed under Pricing Pathway A because one or more of the preceding tests had failed.</w:t>
      </w:r>
    </w:p>
    <w:p w14:paraId="15ABD777" w14:textId="09D8AC72" w:rsidR="007207C1" w:rsidRPr="005464FA" w:rsidRDefault="007207C1" w:rsidP="00162D7C">
      <w:pPr>
        <w:widowControl w:val="0"/>
        <w:numPr>
          <w:ilvl w:val="1"/>
          <w:numId w:val="1"/>
        </w:numPr>
        <w:spacing w:after="120"/>
        <w:rPr>
          <w:rFonts w:asciiTheme="minorHAnsi" w:hAnsiTheme="minorHAnsi"/>
          <w:bCs/>
          <w:snapToGrid w:val="0"/>
        </w:rPr>
      </w:pPr>
      <w:r w:rsidRPr="005464FA">
        <w:t>The PBAC noted that this submission is not eligible for an Independent Review as it received a positive recommendation</w:t>
      </w:r>
      <w:r w:rsidR="009C397C" w:rsidRPr="005464FA">
        <w:t>.</w:t>
      </w:r>
    </w:p>
    <w:p w14:paraId="4E8BF80E" w14:textId="29466833" w:rsidR="00E471C5" w:rsidRPr="005464FA" w:rsidRDefault="009C397C" w:rsidP="009C397C">
      <w:pPr>
        <w:widowControl w:val="0"/>
        <w:numPr>
          <w:ilvl w:val="1"/>
          <w:numId w:val="1"/>
        </w:numPr>
        <w:spacing w:after="120"/>
      </w:pPr>
      <w:r w:rsidRPr="005464FA">
        <w:t xml:space="preserve">The </w:t>
      </w:r>
      <w:r w:rsidR="00236B9F" w:rsidRPr="005464FA">
        <w:t xml:space="preserve">PBAC </w:t>
      </w:r>
      <w:r w:rsidRPr="005464FA">
        <w:t>noted that a flow-on change to the existing olaparib eBC listings would be appropriate, adding the prescriber instruction alerting prescribers to one lifetime use regardless of disease staging</w:t>
      </w:r>
      <w:r w:rsidR="00236B9F" w:rsidRPr="005464FA">
        <w:t xml:space="preserve"> and amending the gene ‘mutation’ wording to ‘variant’</w:t>
      </w:r>
      <w:r w:rsidRPr="005464FA">
        <w:t xml:space="preserve">. </w:t>
      </w:r>
    </w:p>
    <w:p w14:paraId="492FCBBC" w14:textId="77777777" w:rsidR="00162D7C" w:rsidRPr="005464FA" w:rsidRDefault="00162D7C" w:rsidP="00162D7C">
      <w:pPr>
        <w:spacing w:before="240"/>
        <w:rPr>
          <w:rFonts w:asciiTheme="minorHAnsi" w:hAnsiTheme="minorHAnsi"/>
          <w:b/>
          <w:bCs/>
          <w:snapToGrid w:val="0"/>
        </w:rPr>
      </w:pPr>
      <w:r w:rsidRPr="005464FA">
        <w:rPr>
          <w:rFonts w:asciiTheme="minorHAnsi" w:hAnsiTheme="minorHAnsi"/>
          <w:b/>
          <w:bCs/>
          <w:snapToGrid w:val="0"/>
        </w:rPr>
        <w:t>Outcome:</w:t>
      </w:r>
    </w:p>
    <w:p w14:paraId="49A7C62F" w14:textId="75D8340A" w:rsidR="00162D7C" w:rsidRPr="005464FA" w:rsidRDefault="00162D7C" w:rsidP="00162D7C">
      <w:pPr>
        <w:rPr>
          <w:rFonts w:asciiTheme="minorHAnsi" w:hAnsiTheme="minorHAnsi"/>
          <w:bCs/>
          <w:snapToGrid w:val="0"/>
        </w:rPr>
      </w:pPr>
      <w:r w:rsidRPr="005464FA">
        <w:rPr>
          <w:rFonts w:asciiTheme="minorHAnsi" w:hAnsiTheme="minorHAnsi"/>
          <w:bCs/>
          <w:snapToGrid w:val="0"/>
        </w:rPr>
        <w:t xml:space="preserve">Recommended </w:t>
      </w:r>
    </w:p>
    <w:bookmarkEnd w:id="105"/>
    <w:p w14:paraId="08B71311" w14:textId="5A63DA0D" w:rsidR="00162D7C" w:rsidRPr="005464FA" w:rsidRDefault="00162D7C" w:rsidP="00162D7C">
      <w:pPr>
        <w:pStyle w:val="2-SectionHeading"/>
      </w:pPr>
      <w:r w:rsidRPr="005464FA">
        <w:t>Recommended listing</w:t>
      </w:r>
    </w:p>
    <w:p w14:paraId="2D2665AF" w14:textId="4CCED9F0" w:rsidR="00AA0401" w:rsidRPr="005464FA" w:rsidRDefault="00236B9F" w:rsidP="00162D7C">
      <w:pPr>
        <w:widowControl w:val="0"/>
        <w:numPr>
          <w:ilvl w:val="1"/>
          <w:numId w:val="1"/>
        </w:numPr>
        <w:spacing w:after="120"/>
        <w:contextualSpacing/>
        <w:rPr>
          <w:rFonts w:asciiTheme="minorHAnsi" w:hAnsiTheme="minorHAnsi"/>
          <w:b/>
          <w:bCs/>
          <w:snapToGrid w:val="0"/>
        </w:rPr>
      </w:pPr>
      <w:r w:rsidRPr="005464FA">
        <w:rPr>
          <w:rFonts w:asciiTheme="minorHAnsi" w:hAnsiTheme="minorHAnsi"/>
          <w:snapToGrid w:val="0"/>
        </w:rPr>
        <w:t>Add new</w:t>
      </w:r>
      <w:r w:rsidR="00AA0401" w:rsidRPr="005464FA">
        <w:rPr>
          <w:rFonts w:asciiTheme="minorHAnsi" w:hAnsiTheme="minorHAnsi"/>
          <w:snapToGrid w:val="0"/>
        </w:rPr>
        <w:t xml:space="preserve"> listing</w:t>
      </w:r>
      <w:r w:rsidRPr="005464FA">
        <w:rPr>
          <w:rFonts w:asciiTheme="minorHAnsi" w:hAnsiTheme="minorHAnsi"/>
          <w:snapToGrid w:val="0"/>
        </w:rPr>
        <w:t xml:space="preserve"> with new indication</w:t>
      </w:r>
      <w:r w:rsidR="00BA70AB" w:rsidRPr="005464FA">
        <w:rPr>
          <w:rFonts w:asciiTheme="minorHAnsi" w:hAnsiTheme="minorHAnsi"/>
          <w:snapToGrid w:val="0"/>
        </w:rPr>
        <w:t xml:space="preserve"> for mBC</w:t>
      </w:r>
      <w:r w:rsidR="00AA0401" w:rsidRPr="005464FA">
        <w:rPr>
          <w:rFonts w:asciiTheme="minorHAnsi" w:hAnsiTheme="minorHAnsi"/>
          <w:snapToGrid w:val="0"/>
        </w:rPr>
        <w:t xml:space="preserve">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795"/>
        <w:gridCol w:w="2635"/>
        <w:gridCol w:w="815"/>
        <w:gridCol w:w="816"/>
        <w:gridCol w:w="815"/>
        <w:gridCol w:w="816"/>
        <w:gridCol w:w="1828"/>
      </w:tblGrid>
      <w:tr w:rsidR="00F3282C" w:rsidRPr="005464FA" w14:paraId="7059E239" w14:textId="77777777" w:rsidTr="00236B9F">
        <w:trPr>
          <w:cantSplit/>
          <w:trHeight w:val="20"/>
        </w:trPr>
        <w:tc>
          <w:tcPr>
            <w:tcW w:w="3927" w:type="dxa"/>
            <w:gridSpan w:val="3"/>
            <w:vAlign w:val="center"/>
          </w:tcPr>
          <w:p w14:paraId="722A01A8" w14:textId="77777777" w:rsidR="00F3282C" w:rsidRPr="005464FA" w:rsidRDefault="00F3282C" w:rsidP="002D1F13">
            <w:pPr>
              <w:keepLines/>
              <w:rPr>
                <w:rFonts w:ascii="Arial Narrow" w:hAnsi="Arial Narrow"/>
                <w:b/>
                <w:bCs/>
                <w:sz w:val="20"/>
                <w:szCs w:val="20"/>
              </w:rPr>
            </w:pPr>
            <w:r w:rsidRPr="005464FA">
              <w:rPr>
                <w:rFonts w:ascii="Arial Narrow" w:hAnsi="Arial Narrow"/>
                <w:b/>
                <w:bCs/>
                <w:sz w:val="20"/>
                <w:szCs w:val="20"/>
              </w:rPr>
              <w:t>MEDICINAL PRODUCT</w:t>
            </w:r>
          </w:p>
          <w:p w14:paraId="508E734E" w14:textId="77777777" w:rsidR="00F3282C" w:rsidRPr="005464FA" w:rsidRDefault="00F3282C" w:rsidP="002D1F13">
            <w:pPr>
              <w:keepLines/>
              <w:rPr>
                <w:rFonts w:ascii="Arial Narrow" w:hAnsi="Arial Narrow"/>
                <w:b/>
                <w:sz w:val="20"/>
                <w:szCs w:val="20"/>
              </w:rPr>
            </w:pPr>
            <w:r w:rsidRPr="005464FA">
              <w:rPr>
                <w:rFonts w:ascii="Arial Narrow" w:hAnsi="Arial Narrow"/>
                <w:b/>
                <w:bCs/>
                <w:sz w:val="20"/>
                <w:szCs w:val="20"/>
              </w:rPr>
              <w:t>medicinal product pack</w:t>
            </w:r>
          </w:p>
        </w:tc>
        <w:tc>
          <w:tcPr>
            <w:tcW w:w="815" w:type="dxa"/>
            <w:vAlign w:val="center"/>
          </w:tcPr>
          <w:p w14:paraId="03EA591F" w14:textId="77777777" w:rsidR="00F3282C" w:rsidRPr="005464FA" w:rsidRDefault="00F3282C" w:rsidP="002D1F13">
            <w:pPr>
              <w:keepLines/>
              <w:jc w:val="center"/>
              <w:rPr>
                <w:rFonts w:ascii="Arial Narrow" w:hAnsi="Arial Narrow"/>
                <w:b/>
                <w:sz w:val="20"/>
                <w:szCs w:val="20"/>
              </w:rPr>
            </w:pPr>
            <w:r w:rsidRPr="005464FA">
              <w:rPr>
                <w:rFonts w:ascii="Arial Narrow" w:hAnsi="Arial Narrow"/>
                <w:b/>
                <w:sz w:val="20"/>
                <w:szCs w:val="20"/>
              </w:rPr>
              <w:t>PBS item code</w:t>
            </w:r>
          </w:p>
        </w:tc>
        <w:tc>
          <w:tcPr>
            <w:tcW w:w="816" w:type="dxa"/>
            <w:vAlign w:val="center"/>
          </w:tcPr>
          <w:p w14:paraId="5069AF4F" w14:textId="77777777" w:rsidR="00F3282C" w:rsidRPr="005464FA" w:rsidRDefault="00F3282C" w:rsidP="002D1F13">
            <w:pPr>
              <w:keepLines/>
              <w:jc w:val="center"/>
              <w:rPr>
                <w:rFonts w:ascii="Arial Narrow" w:hAnsi="Arial Narrow"/>
                <w:b/>
                <w:sz w:val="20"/>
                <w:szCs w:val="20"/>
              </w:rPr>
            </w:pPr>
            <w:r w:rsidRPr="005464FA">
              <w:rPr>
                <w:rFonts w:ascii="Arial Narrow" w:hAnsi="Arial Narrow"/>
                <w:b/>
                <w:sz w:val="20"/>
                <w:szCs w:val="20"/>
              </w:rPr>
              <w:t>Max. qty packs</w:t>
            </w:r>
          </w:p>
        </w:tc>
        <w:tc>
          <w:tcPr>
            <w:tcW w:w="815" w:type="dxa"/>
            <w:vAlign w:val="center"/>
          </w:tcPr>
          <w:p w14:paraId="01775A9F" w14:textId="77777777" w:rsidR="00F3282C" w:rsidRPr="005464FA" w:rsidRDefault="00F3282C" w:rsidP="002D1F13">
            <w:pPr>
              <w:keepLines/>
              <w:jc w:val="center"/>
              <w:rPr>
                <w:rFonts w:ascii="Arial Narrow" w:hAnsi="Arial Narrow"/>
                <w:b/>
                <w:sz w:val="20"/>
                <w:szCs w:val="20"/>
              </w:rPr>
            </w:pPr>
            <w:r w:rsidRPr="005464FA">
              <w:rPr>
                <w:rFonts w:ascii="Arial Narrow" w:hAnsi="Arial Narrow"/>
                <w:b/>
                <w:sz w:val="20"/>
                <w:szCs w:val="20"/>
              </w:rPr>
              <w:t>Max. qty units</w:t>
            </w:r>
          </w:p>
        </w:tc>
        <w:tc>
          <w:tcPr>
            <w:tcW w:w="816" w:type="dxa"/>
            <w:vAlign w:val="center"/>
          </w:tcPr>
          <w:p w14:paraId="5ADC2EF9" w14:textId="77777777" w:rsidR="00F3282C" w:rsidRPr="005464FA" w:rsidRDefault="00F3282C" w:rsidP="002D1F13">
            <w:pPr>
              <w:keepLines/>
              <w:jc w:val="center"/>
              <w:rPr>
                <w:rFonts w:ascii="Arial Narrow" w:hAnsi="Arial Narrow"/>
                <w:b/>
                <w:sz w:val="20"/>
                <w:szCs w:val="20"/>
              </w:rPr>
            </w:pPr>
            <w:r w:rsidRPr="005464FA">
              <w:rPr>
                <w:rFonts w:ascii="Arial Narrow" w:hAnsi="Arial Narrow"/>
                <w:b/>
                <w:sz w:val="20"/>
                <w:szCs w:val="20"/>
              </w:rPr>
              <w:t>№.of</w:t>
            </w:r>
          </w:p>
          <w:p w14:paraId="4C02DC8D" w14:textId="77777777" w:rsidR="00F3282C" w:rsidRPr="005464FA" w:rsidRDefault="00F3282C" w:rsidP="002D1F13">
            <w:pPr>
              <w:keepLines/>
              <w:jc w:val="center"/>
              <w:rPr>
                <w:rFonts w:ascii="Arial Narrow" w:hAnsi="Arial Narrow"/>
                <w:b/>
                <w:sz w:val="20"/>
                <w:szCs w:val="20"/>
              </w:rPr>
            </w:pPr>
            <w:r w:rsidRPr="005464FA">
              <w:rPr>
                <w:rFonts w:ascii="Arial Narrow" w:hAnsi="Arial Narrow"/>
                <w:b/>
                <w:sz w:val="20"/>
                <w:szCs w:val="20"/>
              </w:rPr>
              <w:t>Rpts</w:t>
            </w:r>
          </w:p>
        </w:tc>
        <w:tc>
          <w:tcPr>
            <w:tcW w:w="1828" w:type="dxa"/>
            <w:vAlign w:val="center"/>
          </w:tcPr>
          <w:p w14:paraId="24D3E737" w14:textId="77777777" w:rsidR="00F3282C" w:rsidRPr="005464FA" w:rsidRDefault="00F3282C" w:rsidP="002D1F13">
            <w:pPr>
              <w:keepLines/>
              <w:rPr>
                <w:rFonts w:ascii="Arial Narrow" w:hAnsi="Arial Narrow"/>
                <w:b/>
                <w:sz w:val="20"/>
                <w:szCs w:val="20"/>
              </w:rPr>
            </w:pPr>
            <w:r w:rsidRPr="005464FA">
              <w:rPr>
                <w:rFonts w:ascii="Arial Narrow" w:hAnsi="Arial Narrow"/>
                <w:b/>
                <w:sz w:val="20"/>
                <w:szCs w:val="20"/>
              </w:rPr>
              <w:t>Available brands</w:t>
            </w:r>
          </w:p>
        </w:tc>
      </w:tr>
      <w:tr w:rsidR="00F3282C" w:rsidRPr="005464FA" w14:paraId="539DDF64" w14:textId="77777777" w:rsidTr="00236B9F">
        <w:trPr>
          <w:cantSplit/>
          <w:trHeight w:val="20"/>
        </w:trPr>
        <w:tc>
          <w:tcPr>
            <w:tcW w:w="9017" w:type="dxa"/>
            <w:gridSpan w:val="8"/>
            <w:vAlign w:val="center"/>
          </w:tcPr>
          <w:p w14:paraId="43489C38" w14:textId="77777777" w:rsidR="00F3282C" w:rsidRPr="005464FA" w:rsidRDefault="00F3282C" w:rsidP="002D1F13">
            <w:pPr>
              <w:keepLines/>
              <w:rPr>
                <w:rFonts w:ascii="Arial Narrow" w:hAnsi="Arial Narrow"/>
                <w:sz w:val="20"/>
                <w:szCs w:val="20"/>
              </w:rPr>
            </w:pPr>
            <w:r w:rsidRPr="005464FA">
              <w:rPr>
                <w:rFonts w:ascii="Arial Narrow" w:hAnsi="Arial Narrow"/>
                <w:sz w:val="20"/>
                <w:szCs w:val="20"/>
              </w:rPr>
              <w:t>OLAPARIB</w:t>
            </w:r>
          </w:p>
        </w:tc>
      </w:tr>
      <w:tr w:rsidR="00F3282C" w:rsidRPr="005464FA" w14:paraId="56DD5F13" w14:textId="77777777" w:rsidTr="00236B9F">
        <w:trPr>
          <w:cantSplit/>
          <w:trHeight w:val="20"/>
        </w:trPr>
        <w:tc>
          <w:tcPr>
            <w:tcW w:w="3927" w:type="dxa"/>
            <w:gridSpan w:val="3"/>
            <w:vAlign w:val="center"/>
          </w:tcPr>
          <w:p w14:paraId="6A8FF15E" w14:textId="77777777" w:rsidR="00F3282C" w:rsidRPr="005464FA" w:rsidRDefault="00F3282C" w:rsidP="002D1F13">
            <w:pPr>
              <w:keepLines/>
              <w:rPr>
                <w:rFonts w:ascii="Arial Narrow" w:hAnsi="Arial Narrow"/>
                <w:sz w:val="20"/>
                <w:szCs w:val="20"/>
              </w:rPr>
            </w:pPr>
            <w:r w:rsidRPr="005464FA">
              <w:rPr>
                <w:rFonts w:ascii="Arial Narrow" w:hAnsi="Arial Narrow"/>
                <w:sz w:val="20"/>
                <w:szCs w:val="20"/>
              </w:rPr>
              <w:t>olaparib 100 mg tablet, 56</w:t>
            </w:r>
          </w:p>
        </w:tc>
        <w:tc>
          <w:tcPr>
            <w:tcW w:w="815" w:type="dxa"/>
            <w:vAlign w:val="center"/>
          </w:tcPr>
          <w:p w14:paraId="2F2B8E86"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NEW</w:t>
            </w:r>
          </w:p>
        </w:tc>
        <w:tc>
          <w:tcPr>
            <w:tcW w:w="816" w:type="dxa"/>
            <w:vAlign w:val="center"/>
          </w:tcPr>
          <w:p w14:paraId="35076952"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2</w:t>
            </w:r>
          </w:p>
        </w:tc>
        <w:tc>
          <w:tcPr>
            <w:tcW w:w="815" w:type="dxa"/>
            <w:vAlign w:val="center"/>
          </w:tcPr>
          <w:p w14:paraId="786042EE"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112</w:t>
            </w:r>
          </w:p>
        </w:tc>
        <w:tc>
          <w:tcPr>
            <w:tcW w:w="816" w:type="dxa"/>
            <w:vAlign w:val="center"/>
          </w:tcPr>
          <w:p w14:paraId="1FF4A3FE"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5</w:t>
            </w:r>
          </w:p>
        </w:tc>
        <w:tc>
          <w:tcPr>
            <w:tcW w:w="1828" w:type="dxa"/>
            <w:vAlign w:val="center"/>
          </w:tcPr>
          <w:p w14:paraId="074400BF" w14:textId="77777777" w:rsidR="00F3282C" w:rsidRPr="005464FA" w:rsidRDefault="00F3282C" w:rsidP="002D1F13">
            <w:pPr>
              <w:keepLines/>
              <w:rPr>
                <w:rFonts w:ascii="Arial Narrow" w:hAnsi="Arial Narrow"/>
                <w:sz w:val="20"/>
                <w:szCs w:val="20"/>
              </w:rPr>
            </w:pPr>
            <w:r w:rsidRPr="005464FA">
              <w:rPr>
                <w:rFonts w:ascii="Arial Narrow" w:hAnsi="Arial Narrow"/>
                <w:sz w:val="20"/>
                <w:szCs w:val="20"/>
              </w:rPr>
              <w:t xml:space="preserve">Lynparza </w:t>
            </w:r>
          </w:p>
        </w:tc>
      </w:tr>
      <w:tr w:rsidR="00F3282C" w:rsidRPr="005464FA" w14:paraId="65254700" w14:textId="77777777" w:rsidTr="00236B9F">
        <w:trPr>
          <w:cantSplit/>
          <w:trHeight w:val="20"/>
        </w:trPr>
        <w:tc>
          <w:tcPr>
            <w:tcW w:w="3927" w:type="dxa"/>
            <w:gridSpan w:val="3"/>
            <w:vAlign w:val="center"/>
          </w:tcPr>
          <w:p w14:paraId="059544E1" w14:textId="77777777" w:rsidR="00F3282C" w:rsidRPr="005464FA" w:rsidRDefault="00F3282C" w:rsidP="002D1F13">
            <w:pPr>
              <w:keepLines/>
              <w:rPr>
                <w:rFonts w:ascii="Arial Narrow" w:hAnsi="Arial Narrow"/>
                <w:sz w:val="20"/>
                <w:szCs w:val="20"/>
              </w:rPr>
            </w:pPr>
            <w:r w:rsidRPr="005464FA">
              <w:rPr>
                <w:rFonts w:ascii="Arial Narrow" w:hAnsi="Arial Narrow"/>
                <w:sz w:val="20"/>
                <w:szCs w:val="20"/>
              </w:rPr>
              <w:t>olaparib 150 mg tablet, 56</w:t>
            </w:r>
          </w:p>
        </w:tc>
        <w:tc>
          <w:tcPr>
            <w:tcW w:w="815" w:type="dxa"/>
            <w:vAlign w:val="center"/>
          </w:tcPr>
          <w:p w14:paraId="4A803192"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NEW</w:t>
            </w:r>
          </w:p>
        </w:tc>
        <w:tc>
          <w:tcPr>
            <w:tcW w:w="816" w:type="dxa"/>
            <w:vAlign w:val="center"/>
          </w:tcPr>
          <w:p w14:paraId="32FA92F8"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2</w:t>
            </w:r>
          </w:p>
        </w:tc>
        <w:tc>
          <w:tcPr>
            <w:tcW w:w="815" w:type="dxa"/>
            <w:vAlign w:val="center"/>
          </w:tcPr>
          <w:p w14:paraId="51E50145"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112</w:t>
            </w:r>
          </w:p>
        </w:tc>
        <w:tc>
          <w:tcPr>
            <w:tcW w:w="816" w:type="dxa"/>
            <w:vAlign w:val="center"/>
          </w:tcPr>
          <w:p w14:paraId="596E915A"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5</w:t>
            </w:r>
          </w:p>
        </w:tc>
        <w:tc>
          <w:tcPr>
            <w:tcW w:w="1828" w:type="dxa"/>
            <w:vAlign w:val="center"/>
          </w:tcPr>
          <w:p w14:paraId="01CB0902" w14:textId="77777777" w:rsidR="00F3282C" w:rsidRPr="005464FA" w:rsidRDefault="00F3282C" w:rsidP="002D1F13">
            <w:pPr>
              <w:keepLines/>
              <w:rPr>
                <w:rFonts w:ascii="Arial Narrow" w:hAnsi="Arial Narrow"/>
                <w:sz w:val="20"/>
                <w:szCs w:val="20"/>
              </w:rPr>
            </w:pPr>
            <w:r w:rsidRPr="005464FA">
              <w:rPr>
                <w:rFonts w:ascii="Arial Narrow" w:hAnsi="Arial Narrow"/>
                <w:sz w:val="20"/>
                <w:szCs w:val="20"/>
              </w:rPr>
              <w:t xml:space="preserve">Lynparza </w:t>
            </w:r>
          </w:p>
        </w:tc>
      </w:tr>
      <w:tr w:rsidR="00F3282C" w:rsidRPr="005464FA" w14:paraId="40954B15" w14:textId="77777777" w:rsidTr="00236B9F">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6221AA76" w14:textId="77777777" w:rsidR="00F3282C" w:rsidRPr="005464FA" w:rsidRDefault="00F3282C" w:rsidP="002D1F13">
            <w:pPr>
              <w:rPr>
                <w:rFonts w:ascii="Arial Narrow" w:hAnsi="Arial Narrow"/>
                <w:sz w:val="20"/>
                <w:szCs w:val="20"/>
              </w:rPr>
            </w:pPr>
          </w:p>
        </w:tc>
      </w:tr>
      <w:tr w:rsidR="00F3282C" w:rsidRPr="005464FA" w14:paraId="309EE771" w14:textId="77777777" w:rsidTr="00236B9F">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A6E32C8" w14:textId="35252D93" w:rsidR="00F3282C" w:rsidRPr="005464FA" w:rsidRDefault="00F3282C" w:rsidP="002D1F13">
            <w:pPr>
              <w:keepLines/>
              <w:rPr>
                <w:rFonts w:ascii="Arial Narrow" w:hAnsi="Arial Narrow"/>
                <w:b/>
                <w:sz w:val="20"/>
                <w:szCs w:val="20"/>
              </w:rPr>
            </w:pPr>
            <w:r w:rsidRPr="005464FA">
              <w:rPr>
                <w:rFonts w:ascii="Arial Narrow" w:hAnsi="Arial Narrow"/>
                <w:b/>
                <w:sz w:val="20"/>
                <w:szCs w:val="20"/>
              </w:rPr>
              <w:t xml:space="preserve">Restriction Summary  / Treatment of Concept:  </w:t>
            </w:r>
          </w:p>
        </w:tc>
      </w:tr>
      <w:tr w:rsidR="00F3282C" w:rsidRPr="005464FA" w14:paraId="7074591A" w14:textId="77777777" w:rsidTr="00236B9F">
        <w:tblPrEx>
          <w:tblCellMar>
            <w:top w:w="15" w:type="dxa"/>
            <w:bottom w:w="15" w:type="dxa"/>
          </w:tblCellMar>
          <w:tblLook w:val="04A0" w:firstRow="1" w:lastRow="0" w:firstColumn="1" w:lastColumn="0" w:noHBand="0" w:noVBand="1"/>
        </w:tblPrEx>
        <w:trPr>
          <w:trHeight w:val="270"/>
        </w:trPr>
        <w:tc>
          <w:tcPr>
            <w:tcW w:w="1292" w:type="dxa"/>
            <w:gridSpan w:val="2"/>
            <w:vMerge w:val="restart"/>
            <w:tcBorders>
              <w:top w:val="single" w:sz="4" w:space="0" w:color="auto"/>
              <w:left w:val="single" w:sz="4" w:space="0" w:color="auto"/>
              <w:right w:val="single" w:sz="4" w:space="0" w:color="auto"/>
            </w:tcBorders>
          </w:tcPr>
          <w:p w14:paraId="5B21AA26" w14:textId="611BAA84" w:rsidR="00F3282C" w:rsidRPr="005464FA" w:rsidRDefault="00F3282C" w:rsidP="002D1F13">
            <w:pPr>
              <w:jc w:val="center"/>
              <w:rPr>
                <w:rFonts w:ascii="Arial Narrow" w:hAnsi="Arial Narrow"/>
                <w:b/>
                <w:sz w:val="20"/>
                <w:szCs w:val="20"/>
              </w:rPr>
            </w:pPr>
          </w:p>
        </w:tc>
        <w:tc>
          <w:tcPr>
            <w:tcW w:w="7725" w:type="dxa"/>
            <w:gridSpan w:val="6"/>
            <w:tcBorders>
              <w:top w:val="single" w:sz="4" w:space="0" w:color="auto"/>
              <w:left w:val="single" w:sz="4" w:space="0" w:color="auto"/>
              <w:bottom w:val="single" w:sz="4" w:space="0" w:color="auto"/>
              <w:right w:val="single" w:sz="4" w:space="0" w:color="auto"/>
            </w:tcBorders>
            <w:vAlign w:val="center"/>
          </w:tcPr>
          <w:p w14:paraId="35895450" w14:textId="77777777" w:rsidR="00F3282C" w:rsidRPr="005464FA" w:rsidRDefault="00F3282C" w:rsidP="002D1F13">
            <w:pPr>
              <w:keepLines/>
              <w:rPr>
                <w:rFonts w:ascii="Arial Narrow" w:hAnsi="Arial Narrow"/>
                <w:sz w:val="20"/>
                <w:szCs w:val="20"/>
              </w:rPr>
            </w:pPr>
            <w:r w:rsidRPr="005464FA">
              <w:rPr>
                <w:rFonts w:ascii="Arial Narrow" w:hAnsi="Arial Narrow"/>
                <w:b/>
                <w:sz w:val="20"/>
                <w:szCs w:val="20"/>
              </w:rPr>
              <w:t xml:space="preserve">Category / Program: </w:t>
            </w:r>
            <w:r w:rsidRPr="005464FA">
              <w:rPr>
                <w:rFonts w:ascii="Arial Narrow" w:hAnsi="Arial Narrow"/>
                <w:sz w:val="20"/>
                <w:szCs w:val="20"/>
              </w:rPr>
              <w:t xml:space="preserve">GENERAL – General Schedule (Code GE) </w:t>
            </w:r>
          </w:p>
        </w:tc>
      </w:tr>
      <w:tr w:rsidR="00F3282C" w:rsidRPr="005464FA" w14:paraId="60BAB4FC" w14:textId="77777777" w:rsidTr="00236B9F">
        <w:tblPrEx>
          <w:tblCellMar>
            <w:top w:w="15" w:type="dxa"/>
            <w:bottom w:w="15" w:type="dxa"/>
          </w:tblCellMar>
          <w:tblLook w:val="04A0" w:firstRow="1" w:lastRow="0" w:firstColumn="1" w:lastColumn="0" w:noHBand="0" w:noVBand="1"/>
        </w:tblPrEx>
        <w:trPr>
          <w:trHeight w:val="20"/>
        </w:trPr>
        <w:tc>
          <w:tcPr>
            <w:tcW w:w="1292" w:type="dxa"/>
            <w:gridSpan w:val="2"/>
            <w:vMerge/>
            <w:tcBorders>
              <w:left w:val="single" w:sz="4" w:space="0" w:color="auto"/>
              <w:right w:val="single" w:sz="4" w:space="0" w:color="auto"/>
            </w:tcBorders>
          </w:tcPr>
          <w:p w14:paraId="3A8B24B2" w14:textId="77777777" w:rsidR="00F3282C" w:rsidRPr="005464FA" w:rsidRDefault="00F3282C" w:rsidP="002D1F13">
            <w:pPr>
              <w:rPr>
                <w:rFonts w:ascii="Arial Narrow" w:hAnsi="Arial Narrow"/>
                <w:sz w:val="20"/>
                <w:szCs w:val="20"/>
              </w:rPr>
            </w:pPr>
          </w:p>
        </w:tc>
        <w:tc>
          <w:tcPr>
            <w:tcW w:w="7725" w:type="dxa"/>
            <w:gridSpan w:val="6"/>
            <w:tcBorders>
              <w:top w:val="single" w:sz="4" w:space="0" w:color="auto"/>
              <w:left w:val="single" w:sz="4" w:space="0" w:color="auto"/>
              <w:bottom w:val="single" w:sz="4" w:space="0" w:color="auto"/>
              <w:right w:val="single" w:sz="4" w:space="0" w:color="auto"/>
            </w:tcBorders>
            <w:vAlign w:val="center"/>
          </w:tcPr>
          <w:p w14:paraId="070B8A06" w14:textId="77777777" w:rsidR="00F3282C" w:rsidRPr="005464FA" w:rsidRDefault="00F3282C" w:rsidP="002D1F13">
            <w:pPr>
              <w:keepLines/>
              <w:rPr>
                <w:rFonts w:ascii="Arial Narrow" w:hAnsi="Arial Narrow"/>
                <w:b/>
                <w:sz w:val="20"/>
                <w:szCs w:val="20"/>
              </w:rPr>
            </w:pPr>
            <w:r w:rsidRPr="005464FA">
              <w:rPr>
                <w:rFonts w:ascii="Arial Narrow" w:hAnsi="Arial Narrow"/>
                <w:b/>
                <w:sz w:val="20"/>
                <w:szCs w:val="20"/>
              </w:rPr>
              <w:t xml:space="preserve">Prescriber type: </w:t>
            </w:r>
            <w:r w:rsidRPr="005464FA">
              <w:rPr>
                <w:rFonts w:ascii="Arial Narrow" w:hAnsi="Arial Narrow"/>
                <w:sz w:val="20"/>
                <w:szCs w:val="20"/>
              </w:rPr>
              <w:fldChar w:fldCharType="begin" w:fldLock="1">
                <w:ffData>
                  <w:name w:val=""/>
                  <w:enabled/>
                  <w:calcOnExit w:val="0"/>
                  <w:checkBox>
                    <w:sizeAuto/>
                    <w:default w:val="1"/>
                  </w:checkBox>
                </w:ffData>
              </w:fldChar>
            </w:r>
            <w:r w:rsidRPr="005464FA">
              <w:rPr>
                <w:rFonts w:ascii="Arial Narrow" w:hAnsi="Arial Narrow"/>
                <w:sz w:val="20"/>
                <w:szCs w:val="20"/>
              </w:rPr>
              <w:instrText xml:space="preserve"> FORMCHECKBOX </w:instrText>
            </w:r>
            <w:r w:rsidR="006A43A5">
              <w:rPr>
                <w:rFonts w:ascii="Arial Narrow" w:hAnsi="Arial Narrow"/>
                <w:sz w:val="20"/>
                <w:szCs w:val="20"/>
              </w:rPr>
            </w:r>
            <w:r w:rsidR="006A43A5">
              <w:rPr>
                <w:rFonts w:ascii="Arial Narrow" w:hAnsi="Arial Narrow"/>
                <w:sz w:val="20"/>
                <w:szCs w:val="20"/>
              </w:rPr>
              <w:fldChar w:fldCharType="separate"/>
            </w:r>
            <w:r w:rsidRPr="005464FA">
              <w:rPr>
                <w:rFonts w:ascii="Arial Narrow" w:hAnsi="Arial Narrow"/>
                <w:sz w:val="20"/>
                <w:szCs w:val="20"/>
              </w:rPr>
              <w:fldChar w:fldCharType="end"/>
            </w:r>
            <w:r w:rsidRPr="005464FA">
              <w:rPr>
                <w:rFonts w:ascii="Arial Narrow" w:hAnsi="Arial Narrow"/>
                <w:sz w:val="20"/>
                <w:szCs w:val="20"/>
              </w:rPr>
              <w:t>Medical Practitioners</w:t>
            </w:r>
          </w:p>
        </w:tc>
      </w:tr>
      <w:tr w:rsidR="00F3282C" w:rsidRPr="005464FA" w14:paraId="025E43D7" w14:textId="77777777" w:rsidTr="00236B9F">
        <w:tblPrEx>
          <w:tblCellMar>
            <w:top w:w="15" w:type="dxa"/>
            <w:bottom w:w="15" w:type="dxa"/>
          </w:tblCellMar>
          <w:tblLook w:val="04A0" w:firstRow="1" w:lastRow="0" w:firstColumn="1" w:lastColumn="0" w:noHBand="0" w:noVBand="1"/>
        </w:tblPrEx>
        <w:trPr>
          <w:trHeight w:val="20"/>
        </w:trPr>
        <w:tc>
          <w:tcPr>
            <w:tcW w:w="1292" w:type="dxa"/>
            <w:gridSpan w:val="2"/>
            <w:vMerge/>
            <w:tcBorders>
              <w:left w:val="single" w:sz="4" w:space="0" w:color="auto"/>
              <w:bottom w:val="single" w:sz="4" w:space="0" w:color="auto"/>
              <w:right w:val="single" w:sz="4" w:space="0" w:color="auto"/>
            </w:tcBorders>
          </w:tcPr>
          <w:p w14:paraId="75BE1936" w14:textId="77777777" w:rsidR="00F3282C" w:rsidRPr="005464FA" w:rsidRDefault="00F3282C" w:rsidP="002D1F13">
            <w:pPr>
              <w:rPr>
                <w:rFonts w:ascii="Arial Narrow" w:hAnsi="Arial Narrow"/>
                <w:sz w:val="20"/>
                <w:szCs w:val="20"/>
              </w:rPr>
            </w:pPr>
          </w:p>
        </w:tc>
        <w:tc>
          <w:tcPr>
            <w:tcW w:w="7725" w:type="dxa"/>
            <w:gridSpan w:val="6"/>
            <w:tcBorders>
              <w:top w:val="single" w:sz="4" w:space="0" w:color="auto"/>
              <w:left w:val="single" w:sz="4" w:space="0" w:color="auto"/>
              <w:bottom w:val="single" w:sz="4" w:space="0" w:color="auto"/>
              <w:right w:val="single" w:sz="4" w:space="0" w:color="auto"/>
            </w:tcBorders>
            <w:vAlign w:val="center"/>
          </w:tcPr>
          <w:p w14:paraId="18DA1B84" w14:textId="77777777" w:rsidR="00F3282C" w:rsidRPr="005464FA" w:rsidRDefault="00F3282C" w:rsidP="002D1F13">
            <w:pPr>
              <w:keepLines/>
              <w:rPr>
                <w:rFonts w:ascii="Arial Narrow" w:eastAsia="Calibri" w:hAnsi="Arial Narrow"/>
                <w:sz w:val="20"/>
                <w:szCs w:val="20"/>
              </w:rPr>
            </w:pPr>
            <w:r w:rsidRPr="005464FA">
              <w:rPr>
                <w:rFonts w:ascii="Arial Narrow" w:hAnsi="Arial Narrow"/>
                <w:b/>
                <w:sz w:val="20"/>
                <w:szCs w:val="20"/>
              </w:rPr>
              <w:t xml:space="preserve">Restriction type: </w:t>
            </w:r>
            <w:r w:rsidRPr="005464FA">
              <w:rPr>
                <w:rFonts w:ascii="Arial Narrow" w:eastAsia="Calibri" w:hAnsi="Arial Narrow"/>
                <w:sz w:val="20"/>
                <w:szCs w:val="20"/>
              </w:rPr>
              <w:fldChar w:fldCharType="begin" w:fldLock="1">
                <w:ffData>
                  <w:name w:val="Check3"/>
                  <w:enabled/>
                  <w:calcOnExit w:val="0"/>
                  <w:checkBox>
                    <w:sizeAuto/>
                    <w:default w:val="1"/>
                  </w:checkBox>
                </w:ffData>
              </w:fldChar>
            </w:r>
            <w:r w:rsidRPr="005464FA">
              <w:rPr>
                <w:rFonts w:ascii="Arial Narrow" w:eastAsia="Calibri" w:hAnsi="Arial Narrow"/>
                <w:sz w:val="20"/>
                <w:szCs w:val="20"/>
              </w:rPr>
              <w:instrText xml:space="preserve"> FORMCHECKBOX </w:instrText>
            </w:r>
            <w:r w:rsidR="006A43A5">
              <w:rPr>
                <w:rFonts w:ascii="Arial Narrow" w:eastAsia="Calibri" w:hAnsi="Arial Narrow"/>
                <w:sz w:val="20"/>
                <w:szCs w:val="20"/>
              </w:rPr>
            </w:r>
            <w:r w:rsidR="006A43A5">
              <w:rPr>
                <w:rFonts w:ascii="Arial Narrow" w:eastAsia="Calibri" w:hAnsi="Arial Narrow"/>
                <w:sz w:val="20"/>
                <w:szCs w:val="20"/>
              </w:rPr>
              <w:fldChar w:fldCharType="separate"/>
            </w:r>
            <w:r w:rsidRPr="005464FA">
              <w:rPr>
                <w:rFonts w:ascii="Arial Narrow" w:eastAsia="Calibri" w:hAnsi="Arial Narrow"/>
                <w:sz w:val="20"/>
                <w:szCs w:val="20"/>
              </w:rPr>
              <w:fldChar w:fldCharType="end"/>
            </w:r>
            <w:r w:rsidRPr="005464FA">
              <w:rPr>
                <w:rFonts w:ascii="Arial Narrow" w:eastAsia="Calibri" w:hAnsi="Arial Narrow"/>
                <w:sz w:val="20"/>
                <w:szCs w:val="20"/>
              </w:rPr>
              <w:t xml:space="preserve">Authority Required (telephone/online PBS Authorities system) </w:t>
            </w:r>
          </w:p>
        </w:tc>
      </w:tr>
      <w:tr w:rsidR="00F3282C" w:rsidRPr="005464FA" w14:paraId="1029C455" w14:textId="77777777" w:rsidTr="00236B9F">
        <w:tblPrEx>
          <w:tblCellMar>
            <w:top w:w="15" w:type="dxa"/>
            <w:bottom w:w="15" w:type="dxa"/>
          </w:tblCellMar>
          <w:tblLook w:val="04A0" w:firstRow="1" w:lastRow="0" w:firstColumn="1" w:lastColumn="0" w:noHBand="0" w:noVBand="1"/>
        </w:tblPrEx>
        <w:trPr>
          <w:trHeight w:val="20"/>
        </w:trPr>
        <w:tc>
          <w:tcPr>
            <w:tcW w:w="497" w:type="dxa"/>
            <w:vMerge w:val="restart"/>
            <w:tcBorders>
              <w:left w:val="single" w:sz="4" w:space="0" w:color="auto"/>
              <w:right w:val="single" w:sz="4" w:space="0" w:color="auto"/>
            </w:tcBorders>
            <w:textDirection w:val="btLr"/>
            <w:vAlign w:val="center"/>
          </w:tcPr>
          <w:p w14:paraId="755D3B03" w14:textId="77777777" w:rsidR="00F3282C" w:rsidRPr="005464FA" w:rsidRDefault="00F3282C" w:rsidP="002D1F13">
            <w:pPr>
              <w:jc w:val="center"/>
              <w:rPr>
                <w:rFonts w:ascii="Arial Narrow" w:hAnsi="Arial Narrow"/>
                <w:sz w:val="14"/>
                <w:szCs w:val="14"/>
              </w:rPr>
            </w:pPr>
            <w:r w:rsidRPr="005464FA">
              <w:rPr>
                <w:rFonts w:ascii="Arial Narrow" w:hAnsi="Arial Narrow"/>
                <w:sz w:val="14"/>
                <w:szCs w:val="14"/>
              </w:rPr>
              <w:t>Prescribing rule level</w:t>
            </w:r>
          </w:p>
        </w:tc>
        <w:tc>
          <w:tcPr>
            <w:tcW w:w="795" w:type="dxa"/>
            <w:vAlign w:val="center"/>
          </w:tcPr>
          <w:p w14:paraId="14ADCCDE" w14:textId="77777777" w:rsidR="00F3282C" w:rsidRPr="005464FA" w:rsidRDefault="00F3282C" w:rsidP="002D1F13">
            <w:pPr>
              <w:jc w:val="center"/>
              <w:rPr>
                <w:rFonts w:ascii="Arial Narrow" w:hAnsi="Arial Narrow"/>
                <w:sz w:val="20"/>
                <w:szCs w:val="20"/>
              </w:rPr>
            </w:pPr>
          </w:p>
        </w:tc>
        <w:tc>
          <w:tcPr>
            <w:tcW w:w="7725" w:type="dxa"/>
            <w:gridSpan w:val="6"/>
            <w:vAlign w:val="center"/>
          </w:tcPr>
          <w:p w14:paraId="6A9924E8" w14:textId="77777777" w:rsidR="00F3282C" w:rsidRPr="005464FA" w:rsidRDefault="00F3282C" w:rsidP="002D1F13">
            <w:pPr>
              <w:rPr>
                <w:rFonts w:ascii="Arial Narrow" w:hAnsi="Arial Narrow"/>
                <w:b/>
                <w:bCs/>
                <w:sz w:val="20"/>
                <w:szCs w:val="20"/>
              </w:rPr>
            </w:pPr>
            <w:r w:rsidRPr="005464FA">
              <w:rPr>
                <w:rFonts w:ascii="Arial Narrow" w:hAnsi="Arial Narrow"/>
                <w:b/>
                <w:bCs/>
                <w:sz w:val="20"/>
                <w:szCs w:val="20"/>
              </w:rPr>
              <w:t xml:space="preserve">Administrative advice: </w:t>
            </w:r>
            <w:r w:rsidRPr="005464FA">
              <w:rPr>
                <w:rFonts w:ascii="Arial Narrow" w:hAnsi="Arial Narrow"/>
                <w:sz w:val="20"/>
                <w:szCs w:val="20"/>
              </w:rPr>
              <w:t>Patients may qualify for PBS-subsidised treatment under this restriction once only</w:t>
            </w:r>
          </w:p>
        </w:tc>
      </w:tr>
      <w:tr w:rsidR="00F3282C" w:rsidRPr="005464FA" w14:paraId="1BEB01D8" w14:textId="77777777" w:rsidTr="00236B9F">
        <w:tblPrEx>
          <w:tblCellMar>
            <w:top w:w="15" w:type="dxa"/>
            <w:bottom w:w="15" w:type="dxa"/>
          </w:tblCellMar>
          <w:tblLook w:val="04A0" w:firstRow="1" w:lastRow="0" w:firstColumn="1" w:lastColumn="0" w:noHBand="0" w:noVBand="1"/>
        </w:tblPrEx>
        <w:trPr>
          <w:trHeight w:val="20"/>
        </w:trPr>
        <w:tc>
          <w:tcPr>
            <w:tcW w:w="497" w:type="dxa"/>
            <w:vMerge/>
            <w:tcBorders>
              <w:left w:val="single" w:sz="4" w:space="0" w:color="auto"/>
              <w:right w:val="single" w:sz="4" w:space="0" w:color="auto"/>
            </w:tcBorders>
            <w:textDirection w:val="btLr"/>
            <w:vAlign w:val="center"/>
          </w:tcPr>
          <w:p w14:paraId="2D5DA182" w14:textId="77777777" w:rsidR="00F3282C" w:rsidRPr="005464FA" w:rsidRDefault="00F3282C" w:rsidP="002D1F13">
            <w:pPr>
              <w:jc w:val="center"/>
              <w:rPr>
                <w:rFonts w:ascii="Arial Narrow" w:hAnsi="Arial Narrow"/>
                <w:sz w:val="20"/>
                <w:szCs w:val="20"/>
              </w:rPr>
            </w:pPr>
          </w:p>
        </w:tc>
        <w:tc>
          <w:tcPr>
            <w:tcW w:w="795" w:type="dxa"/>
            <w:vAlign w:val="center"/>
          </w:tcPr>
          <w:p w14:paraId="7C09CDA4" w14:textId="7D697792" w:rsidR="00F3282C" w:rsidRPr="005464FA" w:rsidRDefault="00F3282C" w:rsidP="002D1F13">
            <w:pPr>
              <w:jc w:val="center"/>
              <w:rPr>
                <w:rFonts w:ascii="Arial Narrow" w:hAnsi="Arial Narrow"/>
                <w:sz w:val="20"/>
                <w:szCs w:val="20"/>
              </w:rPr>
            </w:pPr>
          </w:p>
        </w:tc>
        <w:tc>
          <w:tcPr>
            <w:tcW w:w="7725" w:type="dxa"/>
            <w:gridSpan w:val="6"/>
            <w:vAlign w:val="center"/>
          </w:tcPr>
          <w:p w14:paraId="1F230F7B" w14:textId="77777777" w:rsidR="00F3282C" w:rsidRPr="005464FA" w:rsidRDefault="00F3282C" w:rsidP="002D1F13">
            <w:pPr>
              <w:rPr>
                <w:rFonts w:ascii="Arial Narrow" w:hAnsi="Arial Narrow"/>
                <w:bCs/>
                <w:sz w:val="20"/>
                <w:szCs w:val="20"/>
              </w:rPr>
            </w:pPr>
            <w:r w:rsidRPr="005464FA">
              <w:rPr>
                <w:rFonts w:ascii="Arial Narrow" w:hAnsi="Arial Narrow"/>
                <w:b/>
                <w:bCs/>
                <w:sz w:val="20"/>
                <w:szCs w:val="20"/>
              </w:rPr>
              <w:t xml:space="preserve">Administrative Advice: </w:t>
            </w:r>
          </w:p>
          <w:p w14:paraId="1F15A1C0" w14:textId="77777777" w:rsidR="00F3282C" w:rsidRPr="005464FA" w:rsidRDefault="00F3282C" w:rsidP="002D1F13">
            <w:pPr>
              <w:rPr>
                <w:rFonts w:ascii="Arial Narrow" w:hAnsi="Arial Narrow"/>
                <w:bCs/>
                <w:sz w:val="20"/>
                <w:szCs w:val="20"/>
              </w:rPr>
            </w:pPr>
            <w:r w:rsidRPr="005464FA">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F3282C" w:rsidRPr="005464FA" w14:paraId="4BDB103E" w14:textId="77777777" w:rsidTr="00236B9F">
        <w:tblPrEx>
          <w:tblCellMar>
            <w:top w:w="15" w:type="dxa"/>
            <w:bottom w:w="15" w:type="dxa"/>
          </w:tblCellMar>
          <w:tblLook w:val="04A0" w:firstRow="1" w:lastRow="0" w:firstColumn="1" w:lastColumn="0" w:noHBand="0" w:noVBand="1"/>
        </w:tblPrEx>
        <w:trPr>
          <w:trHeight w:val="20"/>
        </w:trPr>
        <w:tc>
          <w:tcPr>
            <w:tcW w:w="497" w:type="dxa"/>
            <w:vMerge/>
            <w:tcBorders>
              <w:left w:val="single" w:sz="4" w:space="0" w:color="auto"/>
              <w:right w:val="single" w:sz="4" w:space="0" w:color="auto"/>
            </w:tcBorders>
          </w:tcPr>
          <w:p w14:paraId="21B26CB3" w14:textId="77777777" w:rsidR="00F3282C" w:rsidRPr="005464FA" w:rsidRDefault="00F3282C" w:rsidP="002D1F13">
            <w:pPr>
              <w:rPr>
                <w:rFonts w:ascii="Arial Narrow" w:hAnsi="Arial Narrow"/>
                <w:sz w:val="20"/>
                <w:szCs w:val="20"/>
              </w:rPr>
            </w:pPr>
          </w:p>
        </w:tc>
        <w:tc>
          <w:tcPr>
            <w:tcW w:w="795" w:type="dxa"/>
          </w:tcPr>
          <w:p w14:paraId="5500CF77" w14:textId="521D1246" w:rsidR="00F3282C" w:rsidRPr="005464FA" w:rsidRDefault="00F3282C" w:rsidP="002D1F13">
            <w:pPr>
              <w:jc w:val="center"/>
              <w:rPr>
                <w:rFonts w:ascii="Arial Narrow" w:hAnsi="Arial Narrow"/>
                <w:sz w:val="20"/>
                <w:szCs w:val="20"/>
              </w:rPr>
            </w:pPr>
          </w:p>
        </w:tc>
        <w:tc>
          <w:tcPr>
            <w:tcW w:w="7725" w:type="dxa"/>
            <w:gridSpan w:val="6"/>
            <w:vAlign w:val="center"/>
          </w:tcPr>
          <w:p w14:paraId="1B23EA2A" w14:textId="77777777" w:rsidR="00F3282C" w:rsidRPr="005464FA" w:rsidRDefault="00F3282C" w:rsidP="002D1F13">
            <w:pPr>
              <w:rPr>
                <w:rFonts w:ascii="Arial Narrow" w:hAnsi="Arial Narrow"/>
                <w:sz w:val="20"/>
                <w:szCs w:val="20"/>
              </w:rPr>
            </w:pPr>
            <w:r w:rsidRPr="005464FA">
              <w:rPr>
                <w:rFonts w:ascii="Arial Narrow" w:hAnsi="Arial Narrow"/>
                <w:b/>
                <w:bCs/>
                <w:sz w:val="20"/>
                <w:szCs w:val="20"/>
              </w:rPr>
              <w:t xml:space="preserve">Administrative advice: </w:t>
            </w:r>
            <w:r w:rsidRPr="005464FA">
              <w:rPr>
                <w:rFonts w:ascii="Arial Narrow" w:hAnsi="Arial Narrow"/>
                <w:sz w:val="20"/>
                <w:szCs w:val="20"/>
              </w:rPr>
              <w:t>No increase in the maximum quantity or number of units may be authorised.</w:t>
            </w:r>
          </w:p>
        </w:tc>
      </w:tr>
      <w:tr w:rsidR="00F3282C" w:rsidRPr="005464FA" w14:paraId="1CF9B1A4" w14:textId="77777777" w:rsidTr="00236B9F">
        <w:tblPrEx>
          <w:tblCellMar>
            <w:top w:w="15" w:type="dxa"/>
            <w:bottom w:w="15" w:type="dxa"/>
          </w:tblCellMar>
          <w:tblLook w:val="04A0" w:firstRow="1" w:lastRow="0" w:firstColumn="1" w:lastColumn="0" w:noHBand="0" w:noVBand="1"/>
        </w:tblPrEx>
        <w:trPr>
          <w:trHeight w:val="20"/>
        </w:trPr>
        <w:tc>
          <w:tcPr>
            <w:tcW w:w="497" w:type="dxa"/>
            <w:vMerge/>
            <w:tcBorders>
              <w:left w:val="single" w:sz="4" w:space="0" w:color="auto"/>
              <w:right w:val="single" w:sz="4" w:space="0" w:color="auto"/>
            </w:tcBorders>
          </w:tcPr>
          <w:p w14:paraId="2E0B0333" w14:textId="77777777" w:rsidR="00F3282C" w:rsidRPr="005464FA" w:rsidRDefault="00F3282C" w:rsidP="002D1F13">
            <w:pPr>
              <w:rPr>
                <w:rFonts w:ascii="Arial Narrow" w:hAnsi="Arial Narrow"/>
                <w:sz w:val="20"/>
                <w:szCs w:val="20"/>
              </w:rPr>
            </w:pPr>
          </w:p>
        </w:tc>
        <w:tc>
          <w:tcPr>
            <w:tcW w:w="795" w:type="dxa"/>
          </w:tcPr>
          <w:p w14:paraId="77868BD9" w14:textId="4052F98C" w:rsidR="00F3282C" w:rsidRPr="005464FA" w:rsidRDefault="00F3282C" w:rsidP="002D1F13">
            <w:pPr>
              <w:jc w:val="center"/>
              <w:rPr>
                <w:rFonts w:ascii="Arial Narrow" w:hAnsi="Arial Narrow"/>
                <w:sz w:val="20"/>
                <w:szCs w:val="20"/>
              </w:rPr>
            </w:pPr>
          </w:p>
        </w:tc>
        <w:tc>
          <w:tcPr>
            <w:tcW w:w="7725" w:type="dxa"/>
            <w:gridSpan w:val="6"/>
            <w:vAlign w:val="center"/>
          </w:tcPr>
          <w:p w14:paraId="7FAFF93E" w14:textId="77777777" w:rsidR="00F3282C" w:rsidRPr="005464FA" w:rsidRDefault="00F3282C" w:rsidP="002D1F13">
            <w:pPr>
              <w:rPr>
                <w:rFonts w:ascii="Arial Narrow" w:hAnsi="Arial Narrow"/>
                <w:sz w:val="20"/>
                <w:szCs w:val="20"/>
              </w:rPr>
            </w:pPr>
            <w:r w:rsidRPr="005464FA">
              <w:rPr>
                <w:rFonts w:ascii="Arial Narrow" w:hAnsi="Arial Narrow"/>
                <w:b/>
                <w:bCs/>
                <w:sz w:val="20"/>
                <w:szCs w:val="20"/>
              </w:rPr>
              <w:t xml:space="preserve">Administrative advice: </w:t>
            </w:r>
            <w:r w:rsidRPr="005464FA">
              <w:rPr>
                <w:rFonts w:ascii="Arial Narrow" w:hAnsi="Arial Narrow"/>
                <w:sz w:val="20"/>
                <w:szCs w:val="20"/>
              </w:rPr>
              <w:t>No increase in the maximum number of repeats may be authorised.</w:t>
            </w:r>
          </w:p>
        </w:tc>
      </w:tr>
      <w:tr w:rsidR="00F3282C" w:rsidRPr="005464FA" w14:paraId="2DCBD262" w14:textId="77777777" w:rsidTr="00236B9F">
        <w:tblPrEx>
          <w:tblCellMar>
            <w:top w:w="15" w:type="dxa"/>
            <w:bottom w:w="15" w:type="dxa"/>
          </w:tblCellMar>
          <w:tblLook w:val="04A0" w:firstRow="1" w:lastRow="0" w:firstColumn="1" w:lastColumn="0" w:noHBand="0" w:noVBand="1"/>
        </w:tblPrEx>
        <w:trPr>
          <w:cantSplit/>
          <w:trHeight w:val="20"/>
        </w:trPr>
        <w:tc>
          <w:tcPr>
            <w:tcW w:w="497" w:type="dxa"/>
            <w:vMerge/>
            <w:tcBorders>
              <w:left w:val="single" w:sz="4" w:space="0" w:color="auto"/>
              <w:right w:val="single" w:sz="4" w:space="0" w:color="auto"/>
            </w:tcBorders>
            <w:vAlign w:val="center"/>
          </w:tcPr>
          <w:p w14:paraId="3220ACA2" w14:textId="77777777" w:rsidR="00F3282C" w:rsidRPr="005464FA" w:rsidRDefault="00F3282C" w:rsidP="002D1F13">
            <w:pPr>
              <w:keepLines/>
              <w:jc w:val="center"/>
              <w:rPr>
                <w:rFonts w:ascii="Arial Narrow" w:hAnsi="Arial Narrow"/>
                <w:sz w:val="20"/>
                <w:szCs w:val="20"/>
              </w:rPr>
            </w:pPr>
          </w:p>
        </w:tc>
        <w:tc>
          <w:tcPr>
            <w:tcW w:w="795" w:type="dxa"/>
            <w:tcBorders>
              <w:left w:val="single" w:sz="4" w:space="0" w:color="auto"/>
            </w:tcBorders>
            <w:vAlign w:val="center"/>
          </w:tcPr>
          <w:p w14:paraId="2A8B8457" w14:textId="4A3C3BD6" w:rsidR="00F3282C" w:rsidRPr="005464FA" w:rsidRDefault="00F3282C" w:rsidP="002D1F13">
            <w:pPr>
              <w:keepLines/>
              <w:jc w:val="center"/>
              <w:rPr>
                <w:rFonts w:ascii="Arial Narrow" w:hAnsi="Arial Narrow"/>
                <w:sz w:val="20"/>
                <w:szCs w:val="20"/>
              </w:rPr>
            </w:pPr>
          </w:p>
        </w:tc>
        <w:tc>
          <w:tcPr>
            <w:tcW w:w="7725" w:type="dxa"/>
            <w:gridSpan w:val="6"/>
            <w:vAlign w:val="center"/>
          </w:tcPr>
          <w:p w14:paraId="4560CE01" w14:textId="77777777" w:rsidR="00F3282C" w:rsidRPr="005464FA" w:rsidRDefault="00F3282C" w:rsidP="002D1F13">
            <w:pPr>
              <w:keepLines/>
              <w:rPr>
                <w:rFonts w:ascii="Arial Narrow" w:hAnsi="Arial Narrow"/>
                <w:b/>
                <w:bCs/>
                <w:sz w:val="20"/>
                <w:szCs w:val="20"/>
              </w:rPr>
            </w:pPr>
            <w:r w:rsidRPr="005464FA">
              <w:rPr>
                <w:rFonts w:ascii="Arial Narrow" w:hAnsi="Arial Narrow"/>
                <w:b/>
                <w:bCs/>
                <w:sz w:val="20"/>
                <w:szCs w:val="20"/>
              </w:rPr>
              <w:t xml:space="preserve">Administrative Advice: </w:t>
            </w:r>
            <w:r w:rsidRPr="005464FA">
              <w:rPr>
                <w:rFonts w:ascii="Arial Narrow" w:hAnsi="Arial Narrow"/>
                <w:sz w:val="20"/>
                <w:szCs w:val="20"/>
              </w:rPr>
              <w:t>Special pricing arrangements apply</w:t>
            </w:r>
          </w:p>
        </w:tc>
      </w:tr>
      <w:tr w:rsidR="00F3282C" w:rsidRPr="005464FA" w14:paraId="4F29106D"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7F52C128" w14:textId="77777777" w:rsidR="00F3282C" w:rsidRPr="005464FA" w:rsidRDefault="00F3282C" w:rsidP="002D1F13">
            <w:pPr>
              <w:keepLines/>
              <w:jc w:val="center"/>
              <w:rPr>
                <w:rFonts w:ascii="Arial Narrow" w:hAnsi="Arial Narrow"/>
                <w:sz w:val="20"/>
                <w:szCs w:val="20"/>
              </w:rPr>
            </w:pPr>
          </w:p>
        </w:tc>
        <w:tc>
          <w:tcPr>
            <w:tcW w:w="7725" w:type="dxa"/>
            <w:gridSpan w:val="6"/>
            <w:vAlign w:val="center"/>
          </w:tcPr>
          <w:p w14:paraId="24C90748" w14:textId="77777777" w:rsidR="00F3282C" w:rsidRPr="005464FA" w:rsidRDefault="00F3282C" w:rsidP="002D1F13">
            <w:pPr>
              <w:keepLines/>
              <w:rPr>
                <w:rFonts w:ascii="Arial Narrow" w:hAnsi="Arial Narrow"/>
                <w:b/>
                <w:bCs/>
                <w:sz w:val="20"/>
                <w:szCs w:val="20"/>
              </w:rPr>
            </w:pPr>
            <w:r w:rsidRPr="005464FA">
              <w:rPr>
                <w:rFonts w:ascii="Arial Narrow" w:hAnsi="Arial Narrow"/>
                <w:b/>
                <w:bCs/>
                <w:sz w:val="20"/>
                <w:szCs w:val="20"/>
              </w:rPr>
              <w:t xml:space="preserve">Severity: </w:t>
            </w:r>
            <w:r w:rsidRPr="005464FA">
              <w:rPr>
                <w:rFonts w:ascii="Arial Narrow" w:hAnsi="Arial Narrow"/>
                <w:sz w:val="20"/>
                <w:szCs w:val="20"/>
              </w:rPr>
              <w:t xml:space="preserve">Metastatic </w:t>
            </w:r>
          </w:p>
        </w:tc>
      </w:tr>
      <w:tr w:rsidR="00F3282C" w:rsidRPr="005464FA" w14:paraId="7D3F8BEC"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7567F312" w14:textId="77777777" w:rsidR="00F3282C" w:rsidRPr="005464FA" w:rsidRDefault="00F3282C" w:rsidP="002D1F13">
            <w:pPr>
              <w:keepLines/>
              <w:jc w:val="center"/>
              <w:rPr>
                <w:rFonts w:ascii="Arial Narrow" w:hAnsi="Arial Narrow"/>
                <w:sz w:val="20"/>
                <w:szCs w:val="20"/>
              </w:rPr>
            </w:pPr>
          </w:p>
        </w:tc>
        <w:tc>
          <w:tcPr>
            <w:tcW w:w="7725" w:type="dxa"/>
            <w:gridSpan w:val="6"/>
            <w:vAlign w:val="center"/>
          </w:tcPr>
          <w:p w14:paraId="2FE4F2B3" w14:textId="77777777" w:rsidR="00F3282C" w:rsidRPr="005464FA" w:rsidRDefault="00F3282C" w:rsidP="002D1F13">
            <w:pPr>
              <w:keepLines/>
              <w:rPr>
                <w:rFonts w:ascii="Arial Narrow" w:hAnsi="Arial Narrow"/>
                <w:b/>
                <w:bCs/>
                <w:sz w:val="20"/>
                <w:szCs w:val="20"/>
              </w:rPr>
            </w:pPr>
            <w:r w:rsidRPr="005464FA">
              <w:rPr>
                <w:rFonts w:ascii="Arial Narrow" w:hAnsi="Arial Narrow"/>
                <w:b/>
                <w:bCs/>
                <w:sz w:val="20"/>
                <w:szCs w:val="20"/>
              </w:rPr>
              <w:t xml:space="preserve">Condition: </w:t>
            </w:r>
            <w:r w:rsidRPr="005464FA">
              <w:rPr>
                <w:rFonts w:ascii="Arial Narrow" w:hAnsi="Arial Narrow"/>
                <w:bCs/>
                <w:sz w:val="20"/>
                <w:szCs w:val="20"/>
              </w:rPr>
              <w:t>Breast cancer</w:t>
            </w:r>
          </w:p>
        </w:tc>
      </w:tr>
      <w:tr w:rsidR="00F3282C" w:rsidRPr="005464FA" w14:paraId="55BCE055"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09E7E735" w14:textId="77777777" w:rsidR="00F3282C" w:rsidRPr="005464FA" w:rsidRDefault="00F3282C" w:rsidP="002D1F13">
            <w:pPr>
              <w:keepLines/>
              <w:jc w:val="center"/>
              <w:rPr>
                <w:rFonts w:ascii="Arial Narrow" w:hAnsi="Arial Narrow"/>
                <w:sz w:val="20"/>
                <w:szCs w:val="20"/>
              </w:rPr>
            </w:pPr>
          </w:p>
        </w:tc>
        <w:tc>
          <w:tcPr>
            <w:tcW w:w="7725" w:type="dxa"/>
            <w:gridSpan w:val="6"/>
            <w:vAlign w:val="center"/>
            <w:hideMark/>
          </w:tcPr>
          <w:p w14:paraId="209D8325" w14:textId="77777777" w:rsidR="00F3282C" w:rsidRPr="005464FA" w:rsidRDefault="00F3282C" w:rsidP="002D1F13">
            <w:pPr>
              <w:keepLines/>
              <w:rPr>
                <w:rFonts w:ascii="Arial Narrow" w:hAnsi="Arial Narrow"/>
                <w:sz w:val="20"/>
                <w:szCs w:val="20"/>
              </w:rPr>
            </w:pPr>
            <w:r w:rsidRPr="005464FA">
              <w:rPr>
                <w:rFonts w:ascii="Arial Narrow" w:hAnsi="Arial Narrow"/>
                <w:b/>
                <w:bCs/>
                <w:sz w:val="20"/>
                <w:szCs w:val="20"/>
              </w:rPr>
              <w:t>Indication:</w:t>
            </w:r>
            <w:r w:rsidRPr="005464FA">
              <w:rPr>
                <w:rFonts w:ascii="Arial Narrow" w:hAnsi="Arial Narrow"/>
                <w:sz w:val="20"/>
                <w:szCs w:val="20"/>
              </w:rPr>
              <w:t xml:space="preserve"> Metastatic breast cancer</w:t>
            </w:r>
          </w:p>
        </w:tc>
      </w:tr>
      <w:tr w:rsidR="00F3282C" w:rsidRPr="005464FA" w14:paraId="291D8D60"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49F6F811" w14:textId="77777777" w:rsidR="00F3282C" w:rsidRPr="005464FA" w:rsidRDefault="00F3282C" w:rsidP="002D1F13">
            <w:pPr>
              <w:jc w:val="center"/>
              <w:rPr>
                <w:rFonts w:ascii="Arial Narrow" w:hAnsi="Arial Narrow"/>
                <w:sz w:val="20"/>
                <w:szCs w:val="20"/>
              </w:rPr>
            </w:pPr>
          </w:p>
        </w:tc>
        <w:tc>
          <w:tcPr>
            <w:tcW w:w="7725" w:type="dxa"/>
            <w:gridSpan w:val="6"/>
            <w:vAlign w:val="center"/>
            <w:hideMark/>
          </w:tcPr>
          <w:p w14:paraId="22978031" w14:textId="77777777" w:rsidR="00F3282C" w:rsidRPr="005464FA" w:rsidRDefault="00F3282C" w:rsidP="002D1F13">
            <w:pPr>
              <w:rPr>
                <w:rFonts w:ascii="Arial Narrow" w:hAnsi="Arial Narrow"/>
                <w:sz w:val="20"/>
                <w:szCs w:val="20"/>
              </w:rPr>
            </w:pPr>
            <w:r w:rsidRPr="005464FA">
              <w:rPr>
                <w:rFonts w:ascii="Arial Narrow" w:hAnsi="Arial Narrow"/>
                <w:b/>
                <w:bCs/>
                <w:sz w:val="20"/>
                <w:szCs w:val="20"/>
              </w:rPr>
              <w:t>Treatment Phase:</w:t>
            </w:r>
            <w:r w:rsidRPr="005464FA">
              <w:rPr>
                <w:rFonts w:ascii="Arial Narrow" w:hAnsi="Arial Narrow"/>
                <w:sz w:val="20"/>
                <w:szCs w:val="20"/>
              </w:rPr>
              <w:t xml:space="preserve"> Initial treatment </w:t>
            </w:r>
          </w:p>
        </w:tc>
      </w:tr>
      <w:tr w:rsidR="00F3282C" w:rsidRPr="005464FA" w14:paraId="346E31BE"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6DC570D7" w14:textId="77777777" w:rsidR="00F3282C" w:rsidRPr="005464FA" w:rsidRDefault="00F3282C" w:rsidP="002D1F13">
            <w:pPr>
              <w:jc w:val="center"/>
              <w:rPr>
                <w:rFonts w:ascii="Arial Narrow" w:hAnsi="Arial Narrow"/>
                <w:sz w:val="20"/>
                <w:szCs w:val="20"/>
              </w:rPr>
            </w:pPr>
          </w:p>
        </w:tc>
        <w:tc>
          <w:tcPr>
            <w:tcW w:w="7725" w:type="dxa"/>
            <w:gridSpan w:val="6"/>
            <w:vAlign w:val="center"/>
            <w:hideMark/>
          </w:tcPr>
          <w:p w14:paraId="4A86E78F" w14:textId="77777777" w:rsidR="00F3282C" w:rsidRPr="005464FA" w:rsidRDefault="00F3282C" w:rsidP="002D1F13">
            <w:pPr>
              <w:rPr>
                <w:rFonts w:ascii="Arial Narrow" w:hAnsi="Arial Narrow"/>
                <w:sz w:val="20"/>
                <w:szCs w:val="20"/>
              </w:rPr>
            </w:pPr>
            <w:r w:rsidRPr="005464FA">
              <w:rPr>
                <w:rFonts w:ascii="Arial Narrow" w:hAnsi="Arial Narrow"/>
                <w:b/>
                <w:bCs/>
                <w:sz w:val="20"/>
                <w:szCs w:val="20"/>
              </w:rPr>
              <w:t xml:space="preserve">Clinical criteria: </w:t>
            </w:r>
          </w:p>
        </w:tc>
      </w:tr>
      <w:tr w:rsidR="00F3282C" w:rsidRPr="005464FA" w14:paraId="1A53A6B6"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027702DF" w14:textId="03D061A1" w:rsidR="00F3282C" w:rsidRPr="005464FA" w:rsidRDefault="00F3282C" w:rsidP="002D1F13">
            <w:pPr>
              <w:jc w:val="center"/>
              <w:rPr>
                <w:rFonts w:ascii="Arial Narrow" w:hAnsi="Arial Narrow"/>
                <w:sz w:val="20"/>
                <w:szCs w:val="20"/>
              </w:rPr>
            </w:pPr>
          </w:p>
        </w:tc>
        <w:tc>
          <w:tcPr>
            <w:tcW w:w="7725" w:type="dxa"/>
            <w:gridSpan w:val="6"/>
            <w:vAlign w:val="center"/>
          </w:tcPr>
          <w:p w14:paraId="2AB5C502" w14:textId="77777777" w:rsidR="00F3282C" w:rsidRPr="005464FA" w:rsidRDefault="00F3282C" w:rsidP="002D1F13">
            <w:pPr>
              <w:rPr>
                <w:rFonts w:ascii="Arial Narrow" w:hAnsi="Arial Narrow"/>
                <w:strike/>
                <w:sz w:val="20"/>
                <w:szCs w:val="20"/>
              </w:rPr>
            </w:pPr>
            <w:r w:rsidRPr="005464FA">
              <w:rPr>
                <w:rFonts w:ascii="Arial Narrow" w:hAnsi="Arial Narrow"/>
                <w:sz w:val="20"/>
                <w:szCs w:val="20"/>
              </w:rPr>
              <w:t>The condition must be human epidermal growth factor receptor 2 (HER2) negative,</w:t>
            </w:r>
          </w:p>
        </w:tc>
      </w:tr>
      <w:tr w:rsidR="00F3282C" w:rsidRPr="005464FA" w14:paraId="321A983F"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162F5B74" w14:textId="77777777" w:rsidR="00F3282C" w:rsidRPr="005464FA" w:rsidRDefault="00F3282C" w:rsidP="002D1F13">
            <w:pPr>
              <w:jc w:val="center"/>
              <w:rPr>
                <w:rFonts w:ascii="Arial Narrow" w:hAnsi="Arial Narrow"/>
                <w:sz w:val="20"/>
                <w:szCs w:val="20"/>
              </w:rPr>
            </w:pPr>
          </w:p>
        </w:tc>
        <w:tc>
          <w:tcPr>
            <w:tcW w:w="7725" w:type="dxa"/>
            <w:gridSpan w:val="6"/>
            <w:vAlign w:val="center"/>
          </w:tcPr>
          <w:p w14:paraId="31D4219F" w14:textId="77777777" w:rsidR="00F3282C" w:rsidRPr="005464FA" w:rsidRDefault="00F3282C" w:rsidP="002D1F13">
            <w:pPr>
              <w:rPr>
                <w:rFonts w:ascii="Arial Narrow" w:hAnsi="Arial Narrow"/>
                <w:b/>
                <w:bCs/>
                <w:sz w:val="20"/>
                <w:szCs w:val="20"/>
              </w:rPr>
            </w:pPr>
            <w:r w:rsidRPr="005464FA">
              <w:rPr>
                <w:rFonts w:ascii="Arial Narrow" w:hAnsi="Arial Narrow"/>
                <w:b/>
                <w:bCs/>
                <w:sz w:val="20"/>
                <w:szCs w:val="20"/>
              </w:rPr>
              <w:t>AND</w:t>
            </w:r>
          </w:p>
        </w:tc>
      </w:tr>
      <w:tr w:rsidR="00F3282C" w:rsidRPr="005464FA" w14:paraId="52E01EEE"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414F674D" w14:textId="77777777" w:rsidR="00F3282C" w:rsidRPr="005464FA" w:rsidRDefault="00F3282C" w:rsidP="002D1F13">
            <w:pPr>
              <w:jc w:val="center"/>
              <w:rPr>
                <w:rFonts w:ascii="Arial Narrow" w:hAnsi="Arial Narrow"/>
                <w:sz w:val="20"/>
                <w:szCs w:val="20"/>
              </w:rPr>
            </w:pPr>
          </w:p>
        </w:tc>
        <w:tc>
          <w:tcPr>
            <w:tcW w:w="7725" w:type="dxa"/>
            <w:gridSpan w:val="6"/>
            <w:vAlign w:val="center"/>
          </w:tcPr>
          <w:p w14:paraId="1E3ADA94" w14:textId="77777777" w:rsidR="00F3282C" w:rsidRPr="005464FA" w:rsidRDefault="00F3282C" w:rsidP="002D1F13">
            <w:pPr>
              <w:rPr>
                <w:rFonts w:ascii="Arial Narrow" w:hAnsi="Arial Narrow"/>
                <w:b/>
                <w:bCs/>
                <w:sz w:val="20"/>
                <w:szCs w:val="20"/>
              </w:rPr>
            </w:pPr>
            <w:r w:rsidRPr="005464FA">
              <w:rPr>
                <w:rFonts w:ascii="Arial Narrow" w:hAnsi="Arial Narrow"/>
                <w:b/>
                <w:bCs/>
                <w:sz w:val="20"/>
                <w:szCs w:val="20"/>
              </w:rPr>
              <w:t>Clinical criteria:</w:t>
            </w:r>
          </w:p>
        </w:tc>
      </w:tr>
      <w:tr w:rsidR="00F3282C" w:rsidRPr="005464FA" w14:paraId="4A30EB84" w14:textId="77777777" w:rsidTr="00236B9F">
        <w:tblPrEx>
          <w:tblCellMar>
            <w:top w:w="15" w:type="dxa"/>
            <w:bottom w:w="15" w:type="dxa"/>
          </w:tblCellMar>
          <w:tblLook w:val="04A0" w:firstRow="1" w:lastRow="0" w:firstColumn="1" w:lastColumn="0" w:noHBand="0" w:noVBand="1"/>
        </w:tblPrEx>
        <w:trPr>
          <w:cantSplit/>
          <w:trHeight w:val="90"/>
        </w:trPr>
        <w:tc>
          <w:tcPr>
            <w:tcW w:w="1292" w:type="dxa"/>
            <w:gridSpan w:val="2"/>
            <w:vAlign w:val="center"/>
          </w:tcPr>
          <w:p w14:paraId="7B0F6F04" w14:textId="6C3E0BA4" w:rsidR="00F3282C" w:rsidRPr="005464FA" w:rsidRDefault="00F3282C" w:rsidP="002D1F13">
            <w:pPr>
              <w:jc w:val="center"/>
              <w:rPr>
                <w:rFonts w:ascii="Arial Narrow" w:hAnsi="Arial Narrow"/>
                <w:sz w:val="20"/>
                <w:szCs w:val="20"/>
              </w:rPr>
            </w:pPr>
          </w:p>
        </w:tc>
        <w:tc>
          <w:tcPr>
            <w:tcW w:w="7725" w:type="dxa"/>
            <w:gridSpan w:val="6"/>
            <w:vAlign w:val="center"/>
          </w:tcPr>
          <w:p w14:paraId="1A22F580" w14:textId="77777777" w:rsidR="00F3282C" w:rsidRPr="005464FA" w:rsidRDefault="00F3282C" w:rsidP="002D1F13">
            <w:pPr>
              <w:rPr>
                <w:rFonts w:ascii="Arial Narrow" w:hAnsi="Arial Narrow"/>
                <w:sz w:val="20"/>
                <w:szCs w:val="20"/>
              </w:rPr>
            </w:pPr>
            <w:r w:rsidRPr="005464FA">
              <w:rPr>
                <w:rFonts w:ascii="Arial Narrow" w:hAnsi="Arial Narrow"/>
                <w:sz w:val="20"/>
                <w:szCs w:val="20"/>
              </w:rPr>
              <w:t>The condition must be associated with a class 4 or 5 BRCA1 or BRCA2 gene variant,</w:t>
            </w:r>
          </w:p>
        </w:tc>
      </w:tr>
      <w:tr w:rsidR="00F3282C" w:rsidRPr="005464FA" w14:paraId="3E7EB199"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51C813C0" w14:textId="77777777" w:rsidR="00F3282C" w:rsidRPr="005464FA" w:rsidRDefault="00F3282C" w:rsidP="002D1F13">
            <w:pPr>
              <w:jc w:val="center"/>
              <w:rPr>
                <w:rFonts w:ascii="Arial Narrow" w:hAnsi="Arial Narrow"/>
                <w:sz w:val="20"/>
                <w:szCs w:val="20"/>
              </w:rPr>
            </w:pPr>
          </w:p>
        </w:tc>
        <w:tc>
          <w:tcPr>
            <w:tcW w:w="7725" w:type="dxa"/>
            <w:gridSpan w:val="6"/>
            <w:vAlign w:val="center"/>
          </w:tcPr>
          <w:p w14:paraId="03AA7CB4" w14:textId="77777777" w:rsidR="00F3282C" w:rsidRPr="005464FA" w:rsidRDefault="00F3282C" w:rsidP="002D1F13">
            <w:pPr>
              <w:rPr>
                <w:rFonts w:ascii="Arial Narrow" w:hAnsi="Arial Narrow"/>
                <w:b/>
                <w:bCs/>
                <w:sz w:val="20"/>
                <w:szCs w:val="20"/>
              </w:rPr>
            </w:pPr>
            <w:r w:rsidRPr="005464FA">
              <w:rPr>
                <w:rFonts w:ascii="Arial Narrow" w:hAnsi="Arial Narrow"/>
                <w:b/>
                <w:bCs/>
                <w:sz w:val="20"/>
                <w:szCs w:val="20"/>
              </w:rPr>
              <w:t>AND</w:t>
            </w:r>
          </w:p>
        </w:tc>
      </w:tr>
      <w:tr w:rsidR="00F3282C" w:rsidRPr="005464FA" w14:paraId="1623E445"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1D701ADE" w14:textId="77777777" w:rsidR="00F3282C" w:rsidRPr="005464FA" w:rsidRDefault="00F3282C" w:rsidP="002D1F13">
            <w:pPr>
              <w:jc w:val="center"/>
              <w:rPr>
                <w:rFonts w:ascii="Arial Narrow" w:hAnsi="Arial Narrow"/>
                <w:sz w:val="20"/>
                <w:szCs w:val="20"/>
              </w:rPr>
            </w:pPr>
          </w:p>
        </w:tc>
        <w:tc>
          <w:tcPr>
            <w:tcW w:w="7725" w:type="dxa"/>
            <w:gridSpan w:val="6"/>
            <w:vAlign w:val="center"/>
          </w:tcPr>
          <w:p w14:paraId="70C379C8" w14:textId="77777777" w:rsidR="00F3282C" w:rsidRPr="005464FA" w:rsidRDefault="00F3282C" w:rsidP="002D1F13">
            <w:pPr>
              <w:rPr>
                <w:rFonts w:ascii="Arial Narrow" w:hAnsi="Arial Narrow"/>
                <w:b/>
                <w:bCs/>
                <w:sz w:val="20"/>
                <w:szCs w:val="20"/>
              </w:rPr>
            </w:pPr>
            <w:r w:rsidRPr="005464FA">
              <w:rPr>
                <w:rFonts w:ascii="Arial Narrow" w:hAnsi="Arial Narrow"/>
                <w:b/>
                <w:bCs/>
                <w:sz w:val="20"/>
                <w:szCs w:val="20"/>
              </w:rPr>
              <w:t>Clinical criteria:</w:t>
            </w:r>
          </w:p>
        </w:tc>
      </w:tr>
      <w:tr w:rsidR="00F3282C" w:rsidRPr="005464FA" w14:paraId="7B2710FB"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79F8F338" w14:textId="23518E96" w:rsidR="00F3282C" w:rsidRPr="005464FA" w:rsidRDefault="00F3282C" w:rsidP="002D1F13">
            <w:pPr>
              <w:jc w:val="center"/>
              <w:rPr>
                <w:rFonts w:ascii="Arial Narrow" w:hAnsi="Arial Narrow"/>
                <w:sz w:val="20"/>
                <w:szCs w:val="20"/>
              </w:rPr>
            </w:pPr>
          </w:p>
        </w:tc>
        <w:tc>
          <w:tcPr>
            <w:tcW w:w="7725" w:type="dxa"/>
            <w:gridSpan w:val="6"/>
            <w:vAlign w:val="center"/>
          </w:tcPr>
          <w:p w14:paraId="5E97A879" w14:textId="77777777" w:rsidR="00F3282C" w:rsidRPr="005464FA" w:rsidRDefault="00F3282C" w:rsidP="002D1F13">
            <w:pPr>
              <w:rPr>
                <w:rFonts w:ascii="Arial Narrow" w:hAnsi="Arial Narrow"/>
                <w:sz w:val="20"/>
                <w:szCs w:val="20"/>
              </w:rPr>
            </w:pPr>
            <w:r w:rsidRPr="005464FA">
              <w:rPr>
                <w:rFonts w:ascii="Arial Narrow" w:hAnsi="Arial Narrow"/>
                <w:sz w:val="20"/>
                <w:szCs w:val="20"/>
              </w:rPr>
              <w:t>Patient</w:t>
            </w:r>
            <w:r w:rsidRPr="005464FA">
              <w:rPr>
                <w:rFonts w:ascii="Arial Narrow" w:hAnsi="Arial Narrow"/>
                <w:strike/>
                <w:sz w:val="20"/>
                <w:szCs w:val="20"/>
              </w:rPr>
              <w:t xml:space="preserve"> </w:t>
            </w:r>
            <w:r w:rsidRPr="005464FA">
              <w:rPr>
                <w:rFonts w:ascii="Arial Narrow" w:hAnsi="Arial Narrow"/>
                <w:sz w:val="20"/>
                <w:szCs w:val="20"/>
              </w:rPr>
              <w:t>must have a World Health Organisation (WHO) Eastern Cooperative Oncology Group (ECOG) performance status score of 2 or less,</w:t>
            </w:r>
          </w:p>
        </w:tc>
      </w:tr>
      <w:tr w:rsidR="00F3282C" w:rsidRPr="005464FA" w14:paraId="2E889204"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24C36406" w14:textId="77777777" w:rsidR="00F3282C" w:rsidRPr="005464FA" w:rsidRDefault="00F3282C" w:rsidP="002D1F13">
            <w:pPr>
              <w:jc w:val="center"/>
              <w:rPr>
                <w:rFonts w:ascii="Arial Narrow" w:hAnsi="Arial Narrow"/>
                <w:sz w:val="20"/>
                <w:szCs w:val="20"/>
              </w:rPr>
            </w:pPr>
          </w:p>
        </w:tc>
        <w:tc>
          <w:tcPr>
            <w:tcW w:w="7725" w:type="dxa"/>
            <w:gridSpan w:val="6"/>
            <w:vAlign w:val="center"/>
          </w:tcPr>
          <w:p w14:paraId="76E0F0F3" w14:textId="77777777" w:rsidR="00F3282C" w:rsidRPr="005464FA" w:rsidRDefault="00F3282C" w:rsidP="002D1F13">
            <w:pPr>
              <w:rPr>
                <w:rFonts w:ascii="Arial Narrow" w:hAnsi="Arial Narrow"/>
                <w:b/>
                <w:bCs/>
                <w:sz w:val="20"/>
                <w:szCs w:val="20"/>
              </w:rPr>
            </w:pPr>
            <w:r w:rsidRPr="005464FA">
              <w:rPr>
                <w:rFonts w:ascii="Arial Narrow" w:hAnsi="Arial Narrow"/>
                <w:b/>
                <w:bCs/>
                <w:sz w:val="20"/>
                <w:szCs w:val="20"/>
              </w:rPr>
              <w:t>AND</w:t>
            </w:r>
          </w:p>
        </w:tc>
      </w:tr>
      <w:tr w:rsidR="00F3282C" w:rsidRPr="005464FA" w14:paraId="76C6C4DE"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4856611E" w14:textId="77777777" w:rsidR="00F3282C" w:rsidRPr="005464FA" w:rsidRDefault="00F3282C" w:rsidP="002D1F13">
            <w:pPr>
              <w:jc w:val="center"/>
              <w:rPr>
                <w:rFonts w:ascii="Arial Narrow" w:hAnsi="Arial Narrow"/>
                <w:sz w:val="20"/>
                <w:szCs w:val="20"/>
              </w:rPr>
            </w:pPr>
          </w:p>
        </w:tc>
        <w:tc>
          <w:tcPr>
            <w:tcW w:w="7725" w:type="dxa"/>
            <w:gridSpan w:val="6"/>
            <w:vAlign w:val="center"/>
          </w:tcPr>
          <w:p w14:paraId="34D8A88C" w14:textId="77777777" w:rsidR="00F3282C" w:rsidRPr="005464FA" w:rsidRDefault="00F3282C" w:rsidP="002D1F13">
            <w:pPr>
              <w:rPr>
                <w:rFonts w:ascii="Arial Narrow" w:hAnsi="Arial Narrow"/>
                <w:b/>
                <w:bCs/>
                <w:sz w:val="20"/>
                <w:szCs w:val="20"/>
              </w:rPr>
            </w:pPr>
            <w:r w:rsidRPr="005464FA">
              <w:rPr>
                <w:rFonts w:ascii="Arial Narrow" w:hAnsi="Arial Narrow"/>
                <w:b/>
                <w:bCs/>
                <w:sz w:val="20"/>
                <w:szCs w:val="20"/>
              </w:rPr>
              <w:t>Clinical criteria:</w:t>
            </w:r>
          </w:p>
        </w:tc>
      </w:tr>
      <w:tr w:rsidR="00F3282C" w:rsidRPr="005464FA" w14:paraId="3738C29E"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427B79D3" w14:textId="0AD7DBA6" w:rsidR="00F3282C" w:rsidRPr="005464FA" w:rsidRDefault="00F3282C" w:rsidP="002D1F13">
            <w:pPr>
              <w:jc w:val="center"/>
              <w:rPr>
                <w:rFonts w:ascii="Arial Narrow" w:hAnsi="Arial Narrow"/>
                <w:sz w:val="20"/>
                <w:szCs w:val="20"/>
              </w:rPr>
            </w:pPr>
          </w:p>
        </w:tc>
        <w:tc>
          <w:tcPr>
            <w:tcW w:w="7725" w:type="dxa"/>
            <w:gridSpan w:val="6"/>
            <w:vAlign w:val="center"/>
          </w:tcPr>
          <w:p w14:paraId="15FD7330" w14:textId="3A09B049" w:rsidR="00F3282C" w:rsidRPr="005464FA" w:rsidRDefault="00F3282C" w:rsidP="002D1F13">
            <w:pPr>
              <w:rPr>
                <w:rFonts w:ascii="Arial Narrow" w:hAnsi="Arial Narrow"/>
                <w:sz w:val="20"/>
                <w:szCs w:val="20"/>
              </w:rPr>
            </w:pPr>
            <w:r w:rsidRPr="005464FA">
              <w:rPr>
                <w:rFonts w:ascii="Arial Narrow" w:hAnsi="Arial Narrow"/>
                <w:sz w:val="20"/>
                <w:szCs w:val="20"/>
              </w:rPr>
              <w:t>Patient must have received chemotherapy in the neoadjuvant, adjuvant or metastatic setting</w:t>
            </w:r>
          </w:p>
        </w:tc>
      </w:tr>
      <w:tr w:rsidR="00F3282C" w:rsidRPr="005464FA" w14:paraId="122B60E7"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3D62B78B" w14:textId="77777777" w:rsidR="00F3282C" w:rsidRPr="005464FA" w:rsidRDefault="00F3282C" w:rsidP="002D1F13">
            <w:pPr>
              <w:jc w:val="center"/>
              <w:rPr>
                <w:rFonts w:ascii="Arial Narrow" w:hAnsi="Arial Narrow"/>
                <w:sz w:val="20"/>
                <w:szCs w:val="20"/>
              </w:rPr>
            </w:pPr>
          </w:p>
        </w:tc>
        <w:tc>
          <w:tcPr>
            <w:tcW w:w="7725" w:type="dxa"/>
            <w:gridSpan w:val="6"/>
            <w:vAlign w:val="center"/>
          </w:tcPr>
          <w:p w14:paraId="0F28254B" w14:textId="77777777" w:rsidR="00F3282C" w:rsidRPr="005464FA" w:rsidRDefault="00F3282C" w:rsidP="002D1F13">
            <w:pPr>
              <w:rPr>
                <w:rFonts w:ascii="Arial Narrow" w:hAnsi="Arial Narrow"/>
                <w:b/>
                <w:bCs/>
                <w:sz w:val="20"/>
                <w:szCs w:val="20"/>
              </w:rPr>
            </w:pPr>
            <w:r w:rsidRPr="005464FA">
              <w:rPr>
                <w:rFonts w:ascii="Arial Narrow" w:hAnsi="Arial Narrow"/>
                <w:b/>
                <w:bCs/>
                <w:sz w:val="20"/>
                <w:szCs w:val="20"/>
              </w:rPr>
              <w:t>AND</w:t>
            </w:r>
          </w:p>
        </w:tc>
      </w:tr>
      <w:tr w:rsidR="00F3282C" w:rsidRPr="005464FA" w14:paraId="289239FC"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2531294E" w14:textId="77777777" w:rsidR="00F3282C" w:rsidRPr="005464FA" w:rsidRDefault="00F3282C" w:rsidP="002D1F13">
            <w:pPr>
              <w:jc w:val="center"/>
              <w:rPr>
                <w:rFonts w:ascii="Arial Narrow" w:hAnsi="Arial Narrow"/>
                <w:sz w:val="20"/>
                <w:szCs w:val="20"/>
              </w:rPr>
            </w:pPr>
          </w:p>
        </w:tc>
        <w:tc>
          <w:tcPr>
            <w:tcW w:w="7725" w:type="dxa"/>
            <w:gridSpan w:val="6"/>
            <w:vAlign w:val="center"/>
          </w:tcPr>
          <w:p w14:paraId="6A0A4F54" w14:textId="77777777" w:rsidR="00F3282C" w:rsidRPr="005464FA" w:rsidRDefault="00F3282C" w:rsidP="002D1F13">
            <w:pPr>
              <w:rPr>
                <w:rFonts w:ascii="Arial Narrow" w:hAnsi="Arial Narrow"/>
                <w:b/>
                <w:bCs/>
                <w:sz w:val="20"/>
                <w:szCs w:val="20"/>
              </w:rPr>
            </w:pPr>
            <w:r w:rsidRPr="005464FA">
              <w:rPr>
                <w:rFonts w:ascii="Arial Narrow" w:hAnsi="Arial Narrow"/>
                <w:b/>
                <w:bCs/>
                <w:sz w:val="20"/>
                <w:szCs w:val="20"/>
              </w:rPr>
              <w:t>Clinical criteria:</w:t>
            </w:r>
          </w:p>
        </w:tc>
      </w:tr>
      <w:tr w:rsidR="00236B9F" w:rsidRPr="005464FA" w14:paraId="699B19C1"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272D8C37" w14:textId="161229E7" w:rsidR="00236B9F" w:rsidRPr="005464FA" w:rsidRDefault="00236B9F" w:rsidP="00236B9F">
            <w:pPr>
              <w:jc w:val="center"/>
              <w:rPr>
                <w:rFonts w:ascii="Arial Narrow" w:hAnsi="Arial Narrow"/>
                <w:sz w:val="20"/>
                <w:szCs w:val="20"/>
              </w:rPr>
            </w:pPr>
          </w:p>
        </w:tc>
        <w:tc>
          <w:tcPr>
            <w:tcW w:w="7725" w:type="dxa"/>
            <w:gridSpan w:val="6"/>
            <w:vAlign w:val="center"/>
          </w:tcPr>
          <w:p w14:paraId="1968EEBA" w14:textId="10AEF2F8" w:rsidR="00236B9F" w:rsidRPr="005464FA" w:rsidRDefault="00236B9F" w:rsidP="00236B9F">
            <w:pPr>
              <w:rPr>
                <w:rFonts w:ascii="Arial Narrow" w:hAnsi="Arial Narrow"/>
                <w:b/>
                <w:bCs/>
                <w:sz w:val="20"/>
                <w:szCs w:val="20"/>
              </w:rPr>
            </w:pPr>
            <w:r w:rsidRPr="005464FA">
              <w:rPr>
                <w:rFonts w:ascii="Arial Narrow" w:hAnsi="Arial Narrow"/>
                <w:color w:val="333333"/>
                <w:sz w:val="20"/>
                <w:szCs w:val="20"/>
              </w:rPr>
              <w:t>Patient must not have received PBS-subsidised treatment with this drug in any earlier line of treatment for breast cancer</w:t>
            </w:r>
          </w:p>
        </w:tc>
      </w:tr>
      <w:tr w:rsidR="00236B9F" w:rsidRPr="005464FA" w14:paraId="57AE6021"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6A069FE9" w14:textId="77777777" w:rsidR="00236B9F" w:rsidRPr="005464FA" w:rsidRDefault="00236B9F" w:rsidP="00236B9F">
            <w:pPr>
              <w:jc w:val="center"/>
              <w:rPr>
                <w:rFonts w:ascii="Arial Narrow" w:hAnsi="Arial Narrow"/>
                <w:sz w:val="20"/>
                <w:szCs w:val="20"/>
              </w:rPr>
            </w:pPr>
          </w:p>
        </w:tc>
        <w:tc>
          <w:tcPr>
            <w:tcW w:w="7725" w:type="dxa"/>
            <w:gridSpan w:val="6"/>
            <w:vAlign w:val="center"/>
          </w:tcPr>
          <w:p w14:paraId="1B3191AD" w14:textId="5445C9D3" w:rsidR="00236B9F" w:rsidRPr="005464FA" w:rsidRDefault="00236B9F" w:rsidP="00236B9F">
            <w:pPr>
              <w:rPr>
                <w:rFonts w:ascii="Arial Narrow" w:hAnsi="Arial Narrow"/>
                <w:b/>
                <w:bCs/>
                <w:sz w:val="20"/>
                <w:szCs w:val="20"/>
              </w:rPr>
            </w:pPr>
            <w:r w:rsidRPr="005464FA">
              <w:rPr>
                <w:rFonts w:ascii="Arial Narrow" w:hAnsi="Arial Narrow"/>
                <w:b/>
                <w:bCs/>
                <w:color w:val="333333"/>
                <w:sz w:val="20"/>
                <w:szCs w:val="20"/>
              </w:rPr>
              <w:t>AND</w:t>
            </w:r>
          </w:p>
        </w:tc>
      </w:tr>
      <w:tr w:rsidR="00236B9F" w:rsidRPr="005464FA" w14:paraId="70287CDD"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3C6FB9B8" w14:textId="77777777" w:rsidR="00236B9F" w:rsidRPr="005464FA" w:rsidRDefault="00236B9F" w:rsidP="00236B9F">
            <w:pPr>
              <w:jc w:val="center"/>
              <w:rPr>
                <w:rFonts w:ascii="Arial Narrow" w:hAnsi="Arial Narrow"/>
                <w:sz w:val="20"/>
                <w:szCs w:val="20"/>
              </w:rPr>
            </w:pPr>
          </w:p>
        </w:tc>
        <w:tc>
          <w:tcPr>
            <w:tcW w:w="7725" w:type="dxa"/>
            <w:gridSpan w:val="6"/>
            <w:vAlign w:val="center"/>
          </w:tcPr>
          <w:p w14:paraId="2534A847" w14:textId="145C751A" w:rsidR="00236B9F" w:rsidRPr="005464FA" w:rsidRDefault="00236B9F" w:rsidP="00236B9F">
            <w:pPr>
              <w:rPr>
                <w:rFonts w:ascii="Arial Narrow" w:hAnsi="Arial Narrow"/>
                <w:b/>
                <w:bCs/>
                <w:sz w:val="20"/>
                <w:szCs w:val="20"/>
              </w:rPr>
            </w:pPr>
            <w:r w:rsidRPr="005464FA">
              <w:rPr>
                <w:rFonts w:ascii="Arial Narrow" w:hAnsi="Arial Narrow"/>
                <w:b/>
                <w:bCs/>
                <w:color w:val="333333"/>
                <w:sz w:val="20"/>
                <w:szCs w:val="20"/>
              </w:rPr>
              <w:t>Clinical criteria:</w:t>
            </w:r>
          </w:p>
        </w:tc>
      </w:tr>
      <w:tr w:rsidR="00236B9F" w:rsidRPr="005464FA" w14:paraId="18AEA19E"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0CC744AD" w14:textId="51DE380B" w:rsidR="00236B9F" w:rsidRPr="005464FA" w:rsidRDefault="00236B9F" w:rsidP="00236B9F">
            <w:pPr>
              <w:jc w:val="center"/>
              <w:rPr>
                <w:rFonts w:ascii="Arial Narrow" w:hAnsi="Arial Narrow"/>
                <w:sz w:val="20"/>
                <w:szCs w:val="20"/>
              </w:rPr>
            </w:pPr>
          </w:p>
        </w:tc>
        <w:tc>
          <w:tcPr>
            <w:tcW w:w="7725" w:type="dxa"/>
            <w:gridSpan w:val="6"/>
            <w:vAlign w:val="center"/>
          </w:tcPr>
          <w:p w14:paraId="53A2694D" w14:textId="77777777" w:rsidR="00236B9F" w:rsidRPr="005464FA" w:rsidRDefault="00236B9F" w:rsidP="00236B9F">
            <w:pPr>
              <w:rPr>
                <w:rFonts w:ascii="Arial Narrow" w:hAnsi="Arial Narrow"/>
                <w:b/>
                <w:bCs/>
                <w:sz w:val="20"/>
                <w:szCs w:val="20"/>
              </w:rPr>
            </w:pPr>
            <w:r w:rsidRPr="005464FA">
              <w:rPr>
                <w:rFonts w:ascii="Arial Narrow" w:hAnsi="Arial Narrow"/>
                <w:sz w:val="20"/>
                <w:szCs w:val="20"/>
              </w:rPr>
              <w:t>The condition must be triple negative breast cancer, or</w:t>
            </w:r>
          </w:p>
        </w:tc>
      </w:tr>
      <w:tr w:rsidR="00236B9F" w:rsidRPr="005464FA" w14:paraId="73941AC7"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7E7ADA6D" w14:textId="5518CF84" w:rsidR="00236B9F" w:rsidRPr="005464FA" w:rsidRDefault="00236B9F" w:rsidP="00236B9F">
            <w:pPr>
              <w:jc w:val="center"/>
              <w:rPr>
                <w:rFonts w:ascii="Arial Narrow" w:hAnsi="Arial Narrow"/>
                <w:sz w:val="20"/>
                <w:szCs w:val="20"/>
              </w:rPr>
            </w:pPr>
          </w:p>
        </w:tc>
        <w:tc>
          <w:tcPr>
            <w:tcW w:w="7725" w:type="dxa"/>
            <w:gridSpan w:val="6"/>
            <w:vAlign w:val="center"/>
          </w:tcPr>
          <w:p w14:paraId="4A1A71FF" w14:textId="77777777" w:rsidR="00236B9F" w:rsidRPr="005464FA" w:rsidRDefault="00236B9F" w:rsidP="00236B9F">
            <w:pPr>
              <w:rPr>
                <w:rFonts w:ascii="Arial Narrow" w:hAnsi="Arial Narrow"/>
                <w:b/>
                <w:bCs/>
                <w:sz w:val="20"/>
                <w:szCs w:val="20"/>
              </w:rPr>
            </w:pPr>
            <w:r w:rsidRPr="005464FA">
              <w:rPr>
                <w:rFonts w:ascii="Arial Narrow" w:hAnsi="Arial Narrow"/>
                <w:sz w:val="20"/>
                <w:szCs w:val="20"/>
              </w:rPr>
              <w:t>The condition must be hormone-receptor positive breast cancer and the patient has: (i) progressive disease after receiving endocrine therapy, or (i) been considered inappropriate for endocrine therapy</w:t>
            </w:r>
          </w:p>
        </w:tc>
      </w:tr>
      <w:tr w:rsidR="00236B9F" w:rsidRPr="005464FA" w14:paraId="5BF1976C"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13D427A7" w14:textId="77777777" w:rsidR="00236B9F" w:rsidRPr="005464FA" w:rsidRDefault="00236B9F" w:rsidP="00236B9F">
            <w:pPr>
              <w:jc w:val="center"/>
              <w:rPr>
                <w:rFonts w:ascii="Arial Narrow" w:hAnsi="Arial Narrow"/>
                <w:sz w:val="20"/>
                <w:szCs w:val="20"/>
              </w:rPr>
            </w:pPr>
          </w:p>
        </w:tc>
        <w:tc>
          <w:tcPr>
            <w:tcW w:w="7725" w:type="dxa"/>
            <w:gridSpan w:val="6"/>
            <w:vAlign w:val="center"/>
          </w:tcPr>
          <w:p w14:paraId="4D01DFC0" w14:textId="77777777" w:rsidR="00236B9F" w:rsidRPr="005464FA" w:rsidRDefault="00236B9F" w:rsidP="00236B9F">
            <w:pPr>
              <w:rPr>
                <w:rFonts w:ascii="Arial Narrow" w:hAnsi="Arial Narrow"/>
                <w:b/>
                <w:bCs/>
                <w:sz w:val="20"/>
                <w:szCs w:val="20"/>
              </w:rPr>
            </w:pPr>
            <w:r w:rsidRPr="005464FA">
              <w:rPr>
                <w:rFonts w:ascii="Arial Narrow" w:hAnsi="Arial Narrow"/>
                <w:b/>
                <w:bCs/>
                <w:sz w:val="20"/>
                <w:szCs w:val="20"/>
              </w:rPr>
              <w:t>AND</w:t>
            </w:r>
          </w:p>
        </w:tc>
      </w:tr>
      <w:tr w:rsidR="00236B9F" w:rsidRPr="005464FA" w14:paraId="13F5B257"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5E4AFFCC" w14:textId="77777777" w:rsidR="00236B9F" w:rsidRPr="005464FA" w:rsidRDefault="00236B9F" w:rsidP="00236B9F">
            <w:pPr>
              <w:jc w:val="center"/>
              <w:rPr>
                <w:rFonts w:ascii="Arial Narrow" w:hAnsi="Arial Narrow"/>
                <w:sz w:val="20"/>
                <w:szCs w:val="20"/>
              </w:rPr>
            </w:pPr>
          </w:p>
        </w:tc>
        <w:tc>
          <w:tcPr>
            <w:tcW w:w="7725" w:type="dxa"/>
            <w:gridSpan w:val="6"/>
            <w:vAlign w:val="center"/>
          </w:tcPr>
          <w:p w14:paraId="7E440EB8" w14:textId="77777777" w:rsidR="00236B9F" w:rsidRPr="005464FA" w:rsidRDefault="00236B9F" w:rsidP="00236B9F">
            <w:pPr>
              <w:rPr>
                <w:rFonts w:ascii="Arial Narrow" w:hAnsi="Arial Narrow"/>
                <w:b/>
                <w:bCs/>
                <w:sz w:val="20"/>
                <w:szCs w:val="20"/>
              </w:rPr>
            </w:pPr>
            <w:r w:rsidRPr="005464FA">
              <w:rPr>
                <w:rFonts w:ascii="Arial Narrow" w:hAnsi="Arial Narrow"/>
                <w:b/>
                <w:bCs/>
                <w:sz w:val="20"/>
                <w:szCs w:val="20"/>
              </w:rPr>
              <w:t>Clinical criteria:</w:t>
            </w:r>
          </w:p>
        </w:tc>
      </w:tr>
      <w:tr w:rsidR="00236B9F" w:rsidRPr="005464FA" w14:paraId="122C2BDF"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53C77312" w14:textId="33DDECC5" w:rsidR="00236B9F" w:rsidRPr="005464FA" w:rsidRDefault="00236B9F" w:rsidP="00236B9F">
            <w:pPr>
              <w:jc w:val="center"/>
              <w:rPr>
                <w:rFonts w:ascii="Arial Narrow" w:hAnsi="Arial Narrow"/>
                <w:sz w:val="20"/>
                <w:szCs w:val="20"/>
              </w:rPr>
            </w:pPr>
          </w:p>
        </w:tc>
        <w:tc>
          <w:tcPr>
            <w:tcW w:w="7725" w:type="dxa"/>
            <w:gridSpan w:val="6"/>
            <w:vAlign w:val="center"/>
          </w:tcPr>
          <w:p w14:paraId="25964D9C" w14:textId="77777777" w:rsidR="00236B9F" w:rsidRPr="005464FA" w:rsidRDefault="00236B9F" w:rsidP="00236B9F">
            <w:pPr>
              <w:rPr>
                <w:rFonts w:ascii="Arial Narrow" w:hAnsi="Arial Narrow"/>
                <w:sz w:val="20"/>
                <w:szCs w:val="20"/>
              </w:rPr>
            </w:pPr>
            <w:r w:rsidRPr="005464FA">
              <w:rPr>
                <w:rFonts w:ascii="Arial Narrow" w:hAnsi="Arial Narrow"/>
                <w:sz w:val="20"/>
                <w:szCs w:val="20"/>
              </w:rPr>
              <w:t>The treatment must be the sole PBS subsidised systemic anti-cancer therapy for this indication.</w:t>
            </w:r>
          </w:p>
        </w:tc>
      </w:tr>
      <w:tr w:rsidR="00236B9F" w:rsidRPr="005464FA" w14:paraId="06C25347"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4324FE1D" w14:textId="63D11808" w:rsidR="00236B9F" w:rsidRPr="005464FA" w:rsidRDefault="00236B9F" w:rsidP="00236B9F">
            <w:pPr>
              <w:jc w:val="center"/>
              <w:rPr>
                <w:rFonts w:ascii="Arial Narrow" w:hAnsi="Arial Narrow"/>
                <w:sz w:val="20"/>
                <w:szCs w:val="20"/>
              </w:rPr>
            </w:pPr>
          </w:p>
        </w:tc>
        <w:tc>
          <w:tcPr>
            <w:tcW w:w="7725" w:type="dxa"/>
            <w:gridSpan w:val="6"/>
            <w:vAlign w:val="center"/>
          </w:tcPr>
          <w:p w14:paraId="7D357479" w14:textId="77777777" w:rsidR="00236B9F" w:rsidRPr="005464FA" w:rsidRDefault="00236B9F" w:rsidP="00236B9F">
            <w:pPr>
              <w:rPr>
                <w:rFonts w:ascii="Arial Narrow" w:hAnsi="Arial Narrow"/>
                <w:b/>
                <w:bCs/>
                <w:sz w:val="20"/>
                <w:szCs w:val="20"/>
              </w:rPr>
            </w:pPr>
            <w:r w:rsidRPr="005464FA">
              <w:rPr>
                <w:rFonts w:ascii="Arial Narrow" w:hAnsi="Arial Narrow"/>
                <w:b/>
                <w:bCs/>
                <w:sz w:val="20"/>
                <w:szCs w:val="20"/>
              </w:rPr>
              <w:t xml:space="preserve">Prescribing instruction: </w:t>
            </w:r>
            <w:r w:rsidRPr="005464FA">
              <w:rPr>
                <w:rFonts w:ascii="Arial Narrow" w:hAnsi="Arial Narrow"/>
                <w:sz w:val="20"/>
                <w:szCs w:val="20"/>
              </w:rPr>
              <w:t>Retain all pathology imaging and investigative test results in the patient’s medical records. Do not submit copies of these as part of the authority application.</w:t>
            </w:r>
          </w:p>
        </w:tc>
      </w:tr>
      <w:tr w:rsidR="00236B9F" w:rsidRPr="005464FA" w14:paraId="1C4B49AB" w14:textId="77777777" w:rsidTr="00236B9F">
        <w:tblPrEx>
          <w:tblCellMar>
            <w:top w:w="15" w:type="dxa"/>
            <w:bottom w:w="15" w:type="dxa"/>
          </w:tblCellMar>
          <w:tblLook w:val="04A0" w:firstRow="1" w:lastRow="0" w:firstColumn="1" w:lastColumn="0" w:noHBand="0" w:noVBand="1"/>
        </w:tblPrEx>
        <w:trPr>
          <w:cantSplit/>
          <w:trHeight w:val="20"/>
        </w:trPr>
        <w:tc>
          <w:tcPr>
            <w:tcW w:w="1292" w:type="dxa"/>
            <w:gridSpan w:val="2"/>
            <w:vAlign w:val="center"/>
          </w:tcPr>
          <w:p w14:paraId="68016E15" w14:textId="6793DC45" w:rsidR="00236B9F" w:rsidRPr="005464FA" w:rsidRDefault="00236B9F" w:rsidP="00236B9F">
            <w:pPr>
              <w:jc w:val="center"/>
              <w:rPr>
                <w:rFonts w:ascii="Arial Narrow" w:hAnsi="Arial Narrow"/>
                <w:sz w:val="20"/>
                <w:szCs w:val="20"/>
              </w:rPr>
            </w:pPr>
          </w:p>
        </w:tc>
        <w:tc>
          <w:tcPr>
            <w:tcW w:w="7725" w:type="dxa"/>
            <w:gridSpan w:val="6"/>
            <w:vAlign w:val="center"/>
          </w:tcPr>
          <w:p w14:paraId="19E90AAD" w14:textId="77777777" w:rsidR="00236B9F" w:rsidRPr="005464FA" w:rsidRDefault="00236B9F" w:rsidP="00236B9F">
            <w:pPr>
              <w:rPr>
                <w:rFonts w:ascii="Arial Narrow" w:hAnsi="Arial Narrow"/>
                <w:b/>
                <w:bCs/>
                <w:sz w:val="20"/>
                <w:szCs w:val="20"/>
              </w:rPr>
            </w:pPr>
            <w:r w:rsidRPr="005464FA">
              <w:rPr>
                <w:rFonts w:ascii="Arial Narrow" w:hAnsi="Arial Narrow"/>
                <w:b/>
                <w:bCs/>
                <w:sz w:val="20"/>
                <w:szCs w:val="20"/>
              </w:rPr>
              <w:t>Prescribing Instructions:</w:t>
            </w:r>
            <w:r w:rsidRPr="005464FA">
              <w:rPr>
                <w:rFonts w:ascii="Arial Narrow" w:hAnsi="Arial Narrow"/>
                <w:sz w:val="20"/>
                <w:szCs w:val="20"/>
              </w:rPr>
              <w:t xml:space="preserve"> Treatment with this drug for this condition is restricted to one line of therapy at any disease staging for breast cancer (i.e. if therapy has been prescribed for early disease, subsidy under metastatic disease is no longer available).</w:t>
            </w:r>
          </w:p>
        </w:tc>
      </w:tr>
      <w:tr w:rsidR="00236B9F" w:rsidRPr="005464FA" w14:paraId="01161319" w14:textId="77777777" w:rsidTr="00236B9F">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0F55EF27" w14:textId="77777777" w:rsidR="00236B9F" w:rsidRPr="005464FA" w:rsidRDefault="00236B9F" w:rsidP="00236B9F">
            <w:pPr>
              <w:rPr>
                <w:rFonts w:ascii="Arial Narrow" w:hAnsi="Arial Narrow"/>
                <w:b/>
                <w:bCs/>
                <w:sz w:val="20"/>
                <w:szCs w:val="20"/>
              </w:rPr>
            </w:pPr>
          </w:p>
          <w:p w14:paraId="6EC47053" w14:textId="77777777" w:rsidR="00236B9F" w:rsidRPr="005464FA" w:rsidRDefault="00236B9F" w:rsidP="00236B9F">
            <w:pPr>
              <w:rPr>
                <w:rFonts w:ascii="Arial Narrow" w:hAnsi="Arial Narrow"/>
                <w:b/>
                <w:bCs/>
                <w:sz w:val="20"/>
                <w:szCs w:val="20"/>
              </w:rPr>
            </w:pPr>
          </w:p>
        </w:tc>
      </w:tr>
    </w:tbl>
    <w:p w14:paraId="46E74BC5" w14:textId="77777777" w:rsidR="00F3282C" w:rsidRPr="005464FA" w:rsidRDefault="00F3282C" w:rsidP="00F328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3"/>
        <w:gridCol w:w="7744"/>
      </w:tblGrid>
      <w:tr w:rsidR="00F3282C" w:rsidRPr="005464FA" w14:paraId="47B58F56" w14:textId="77777777" w:rsidTr="002D1F13">
        <w:trPr>
          <w:cantSplit/>
          <w:trHeight w:val="20"/>
        </w:trPr>
        <w:tc>
          <w:tcPr>
            <w:tcW w:w="9017" w:type="dxa"/>
            <w:gridSpan w:val="2"/>
            <w:vAlign w:val="center"/>
          </w:tcPr>
          <w:p w14:paraId="7A1661DF" w14:textId="3BCDFF45" w:rsidR="00F3282C" w:rsidRPr="005464FA" w:rsidRDefault="00F3282C" w:rsidP="002D1F13">
            <w:pPr>
              <w:keepNext/>
              <w:keepLines/>
              <w:rPr>
                <w:rFonts w:ascii="Arial Narrow" w:hAnsi="Arial Narrow"/>
                <w:b/>
                <w:bCs/>
                <w:color w:val="333333"/>
                <w:sz w:val="20"/>
                <w:szCs w:val="20"/>
              </w:rPr>
            </w:pPr>
            <w:r w:rsidRPr="005464FA">
              <w:rPr>
                <w:rFonts w:ascii="Arial Narrow" w:hAnsi="Arial Narrow"/>
                <w:b/>
                <w:bCs/>
                <w:color w:val="333333"/>
                <w:sz w:val="20"/>
                <w:szCs w:val="20"/>
              </w:rPr>
              <w:t xml:space="preserve">Restriction Summary / Treatment of Concept: </w:t>
            </w:r>
          </w:p>
        </w:tc>
      </w:tr>
      <w:tr w:rsidR="00F3282C" w:rsidRPr="005464FA" w14:paraId="542EDCB9" w14:textId="77777777" w:rsidTr="002D1F13">
        <w:trPr>
          <w:cantSplit/>
          <w:trHeight w:val="20"/>
        </w:trPr>
        <w:tc>
          <w:tcPr>
            <w:tcW w:w="1273" w:type="dxa"/>
            <w:vAlign w:val="center"/>
          </w:tcPr>
          <w:p w14:paraId="46800476" w14:textId="77777777" w:rsidR="00F3282C" w:rsidRPr="005464FA" w:rsidRDefault="00F3282C" w:rsidP="002D1F13">
            <w:pPr>
              <w:jc w:val="center"/>
              <w:rPr>
                <w:rFonts w:ascii="Arial Narrow" w:hAnsi="Arial Narrow"/>
                <w:color w:val="333333"/>
                <w:sz w:val="20"/>
                <w:szCs w:val="20"/>
              </w:rPr>
            </w:pPr>
          </w:p>
        </w:tc>
        <w:tc>
          <w:tcPr>
            <w:tcW w:w="7744" w:type="dxa"/>
            <w:vAlign w:val="center"/>
            <w:hideMark/>
          </w:tcPr>
          <w:p w14:paraId="3837EA93" w14:textId="77777777" w:rsidR="00F3282C" w:rsidRPr="005464FA" w:rsidRDefault="00F3282C" w:rsidP="002D1F13">
            <w:pPr>
              <w:rPr>
                <w:rFonts w:ascii="Arial Narrow" w:hAnsi="Arial Narrow"/>
                <w:sz w:val="20"/>
                <w:szCs w:val="20"/>
              </w:rPr>
            </w:pPr>
            <w:r w:rsidRPr="005464FA">
              <w:rPr>
                <w:rFonts w:ascii="Arial Narrow" w:hAnsi="Arial Narrow"/>
                <w:b/>
                <w:bCs/>
                <w:color w:val="333333"/>
                <w:sz w:val="20"/>
                <w:szCs w:val="20"/>
              </w:rPr>
              <w:t xml:space="preserve">Treatment </w:t>
            </w:r>
            <w:r w:rsidRPr="005464FA">
              <w:rPr>
                <w:rFonts w:ascii="Arial Narrow" w:hAnsi="Arial Narrow"/>
                <w:b/>
                <w:bCs/>
                <w:sz w:val="20"/>
                <w:szCs w:val="20"/>
              </w:rPr>
              <w:t>Phase:</w:t>
            </w:r>
            <w:r w:rsidRPr="005464FA">
              <w:rPr>
                <w:rFonts w:ascii="Arial Narrow" w:hAnsi="Arial Narrow"/>
                <w:sz w:val="20"/>
                <w:szCs w:val="20"/>
              </w:rPr>
              <w:t xml:space="preserve"> Continuing treatment </w:t>
            </w:r>
          </w:p>
        </w:tc>
      </w:tr>
      <w:tr w:rsidR="00F3282C" w:rsidRPr="005464FA" w14:paraId="31CADA2C" w14:textId="77777777" w:rsidTr="002D1F13">
        <w:trPr>
          <w:cantSplit/>
          <w:trHeight w:val="20"/>
        </w:trPr>
        <w:tc>
          <w:tcPr>
            <w:tcW w:w="1273" w:type="dxa"/>
            <w:vAlign w:val="center"/>
          </w:tcPr>
          <w:p w14:paraId="24D67E73" w14:textId="77777777" w:rsidR="00F3282C" w:rsidRPr="005464FA" w:rsidRDefault="00F3282C" w:rsidP="002D1F13">
            <w:pPr>
              <w:jc w:val="center"/>
              <w:rPr>
                <w:rFonts w:ascii="Arial Narrow" w:hAnsi="Arial Narrow"/>
                <w:color w:val="333333"/>
                <w:sz w:val="20"/>
                <w:szCs w:val="20"/>
              </w:rPr>
            </w:pPr>
          </w:p>
        </w:tc>
        <w:tc>
          <w:tcPr>
            <w:tcW w:w="7744" w:type="dxa"/>
            <w:vAlign w:val="center"/>
            <w:hideMark/>
          </w:tcPr>
          <w:p w14:paraId="53BDC211" w14:textId="77777777" w:rsidR="00F3282C" w:rsidRPr="005464FA" w:rsidRDefault="00F3282C" w:rsidP="002D1F13">
            <w:pPr>
              <w:rPr>
                <w:rFonts w:ascii="Arial Narrow" w:hAnsi="Arial Narrow"/>
                <w:sz w:val="20"/>
                <w:szCs w:val="20"/>
              </w:rPr>
            </w:pPr>
            <w:r w:rsidRPr="005464FA">
              <w:rPr>
                <w:rFonts w:ascii="Arial Narrow" w:hAnsi="Arial Narrow"/>
                <w:b/>
                <w:bCs/>
                <w:color w:val="333333"/>
                <w:sz w:val="20"/>
                <w:szCs w:val="20"/>
              </w:rPr>
              <w:t xml:space="preserve">Clinical criteria: </w:t>
            </w:r>
          </w:p>
        </w:tc>
      </w:tr>
      <w:tr w:rsidR="00F3282C" w:rsidRPr="005464FA" w14:paraId="20324BDD" w14:textId="77777777" w:rsidTr="002D1F13">
        <w:trPr>
          <w:cantSplit/>
          <w:trHeight w:val="20"/>
        </w:trPr>
        <w:tc>
          <w:tcPr>
            <w:tcW w:w="1273" w:type="dxa"/>
            <w:vAlign w:val="center"/>
          </w:tcPr>
          <w:p w14:paraId="4E209536" w14:textId="68C6C5D1" w:rsidR="00F3282C" w:rsidRPr="005464FA" w:rsidRDefault="00F3282C" w:rsidP="002D1F13">
            <w:pPr>
              <w:jc w:val="center"/>
              <w:rPr>
                <w:rFonts w:ascii="Arial Narrow" w:hAnsi="Arial Narrow"/>
                <w:color w:val="333333"/>
                <w:sz w:val="20"/>
                <w:szCs w:val="20"/>
              </w:rPr>
            </w:pPr>
          </w:p>
        </w:tc>
        <w:tc>
          <w:tcPr>
            <w:tcW w:w="7744" w:type="dxa"/>
            <w:vAlign w:val="center"/>
          </w:tcPr>
          <w:p w14:paraId="5309208B" w14:textId="77777777"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Patient must have received previous PBS-subsidised treatment with this drug in the metastatic setting,</w:t>
            </w:r>
          </w:p>
        </w:tc>
      </w:tr>
      <w:tr w:rsidR="00F3282C" w:rsidRPr="005464FA" w14:paraId="70679C96" w14:textId="77777777" w:rsidTr="002D1F13">
        <w:trPr>
          <w:cantSplit/>
          <w:trHeight w:val="20"/>
        </w:trPr>
        <w:tc>
          <w:tcPr>
            <w:tcW w:w="1273" w:type="dxa"/>
            <w:vAlign w:val="center"/>
          </w:tcPr>
          <w:p w14:paraId="44952F2F" w14:textId="77777777" w:rsidR="00F3282C" w:rsidRPr="005464FA" w:rsidRDefault="00F3282C" w:rsidP="002D1F13">
            <w:pPr>
              <w:jc w:val="center"/>
              <w:rPr>
                <w:rFonts w:ascii="Arial Narrow" w:hAnsi="Arial Narrow"/>
                <w:color w:val="333333"/>
                <w:sz w:val="20"/>
                <w:szCs w:val="20"/>
              </w:rPr>
            </w:pPr>
          </w:p>
        </w:tc>
        <w:tc>
          <w:tcPr>
            <w:tcW w:w="7744" w:type="dxa"/>
            <w:vAlign w:val="center"/>
          </w:tcPr>
          <w:p w14:paraId="2A3FE602"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AND</w:t>
            </w:r>
          </w:p>
        </w:tc>
      </w:tr>
      <w:tr w:rsidR="00F3282C" w:rsidRPr="005464FA" w14:paraId="0D69894B" w14:textId="77777777" w:rsidTr="002D1F13">
        <w:trPr>
          <w:cantSplit/>
          <w:trHeight w:val="20"/>
        </w:trPr>
        <w:tc>
          <w:tcPr>
            <w:tcW w:w="1273" w:type="dxa"/>
            <w:vAlign w:val="center"/>
          </w:tcPr>
          <w:p w14:paraId="51EF19BB" w14:textId="77777777" w:rsidR="00F3282C" w:rsidRPr="005464FA" w:rsidRDefault="00F3282C" w:rsidP="002D1F13">
            <w:pPr>
              <w:jc w:val="center"/>
              <w:rPr>
                <w:rFonts w:ascii="Arial Narrow" w:hAnsi="Arial Narrow"/>
                <w:color w:val="333333"/>
                <w:sz w:val="20"/>
                <w:szCs w:val="20"/>
              </w:rPr>
            </w:pPr>
          </w:p>
        </w:tc>
        <w:tc>
          <w:tcPr>
            <w:tcW w:w="7744" w:type="dxa"/>
            <w:vAlign w:val="center"/>
          </w:tcPr>
          <w:p w14:paraId="5CBB02DC"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Clinical criteria:</w:t>
            </w:r>
          </w:p>
        </w:tc>
      </w:tr>
      <w:tr w:rsidR="00F3282C" w:rsidRPr="005464FA" w14:paraId="774FF7B7" w14:textId="77777777" w:rsidTr="002D1F13">
        <w:trPr>
          <w:cantSplit/>
          <w:trHeight w:val="20"/>
        </w:trPr>
        <w:tc>
          <w:tcPr>
            <w:tcW w:w="1273" w:type="dxa"/>
            <w:vAlign w:val="center"/>
          </w:tcPr>
          <w:p w14:paraId="24C4ADC8" w14:textId="2C9FD545" w:rsidR="00F3282C" w:rsidRPr="005464FA" w:rsidRDefault="00F3282C" w:rsidP="002D1F13">
            <w:pPr>
              <w:jc w:val="center"/>
              <w:rPr>
                <w:rFonts w:ascii="Arial Narrow" w:hAnsi="Arial Narrow"/>
                <w:color w:val="333333"/>
                <w:sz w:val="20"/>
                <w:szCs w:val="20"/>
              </w:rPr>
            </w:pPr>
          </w:p>
        </w:tc>
        <w:tc>
          <w:tcPr>
            <w:tcW w:w="7744" w:type="dxa"/>
            <w:vAlign w:val="center"/>
          </w:tcPr>
          <w:p w14:paraId="284B9997" w14:textId="77777777" w:rsidR="00F3282C" w:rsidRPr="005464FA" w:rsidRDefault="00F3282C" w:rsidP="002D1F13">
            <w:pPr>
              <w:rPr>
                <w:rFonts w:ascii="Arial Narrow" w:hAnsi="Arial Narrow"/>
                <w:b/>
                <w:bCs/>
                <w:color w:val="333333"/>
                <w:sz w:val="20"/>
                <w:szCs w:val="20"/>
              </w:rPr>
            </w:pPr>
            <w:r w:rsidRPr="005464FA">
              <w:rPr>
                <w:rFonts w:ascii="Arial Narrow" w:hAnsi="Arial Narrow"/>
                <w:color w:val="333333"/>
                <w:sz w:val="20"/>
                <w:szCs w:val="20"/>
              </w:rPr>
              <w:t>The treatment must be the sole PBS subsidised systemic anti-cancer therapy for this indication</w:t>
            </w:r>
          </w:p>
        </w:tc>
      </w:tr>
      <w:tr w:rsidR="00F3282C" w:rsidRPr="005464FA" w14:paraId="5F5818EE" w14:textId="77777777" w:rsidTr="002D1F13">
        <w:trPr>
          <w:cantSplit/>
          <w:trHeight w:val="20"/>
        </w:trPr>
        <w:tc>
          <w:tcPr>
            <w:tcW w:w="1273" w:type="dxa"/>
            <w:vAlign w:val="center"/>
          </w:tcPr>
          <w:p w14:paraId="51DF1AB8" w14:textId="77777777" w:rsidR="00F3282C" w:rsidRPr="005464FA" w:rsidRDefault="00F3282C" w:rsidP="002D1F13">
            <w:pPr>
              <w:jc w:val="center"/>
              <w:rPr>
                <w:rFonts w:ascii="Arial Narrow" w:hAnsi="Arial Narrow"/>
                <w:color w:val="333333"/>
                <w:sz w:val="20"/>
                <w:szCs w:val="20"/>
              </w:rPr>
            </w:pPr>
          </w:p>
        </w:tc>
        <w:tc>
          <w:tcPr>
            <w:tcW w:w="7744" w:type="dxa"/>
            <w:vAlign w:val="center"/>
          </w:tcPr>
          <w:p w14:paraId="7710ECC4" w14:textId="77777777" w:rsidR="00F3282C" w:rsidRPr="005464FA" w:rsidRDefault="00F3282C" w:rsidP="002D1F13">
            <w:pPr>
              <w:rPr>
                <w:rFonts w:ascii="Arial Narrow" w:hAnsi="Arial Narrow"/>
                <w:i/>
                <w:iCs/>
                <w:color w:val="333333"/>
                <w:sz w:val="20"/>
                <w:szCs w:val="20"/>
              </w:rPr>
            </w:pPr>
            <w:r w:rsidRPr="005464FA">
              <w:rPr>
                <w:rFonts w:ascii="Arial Narrow" w:hAnsi="Arial Narrow"/>
                <w:b/>
                <w:bCs/>
                <w:color w:val="333333"/>
                <w:sz w:val="20"/>
                <w:szCs w:val="20"/>
              </w:rPr>
              <w:t>AND</w:t>
            </w:r>
          </w:p>
        </w:tc>
      </w:tr>
      <w:tr w:rsidR="00F3282C" w:rsidRPr="005464FA" w14:paraId="6EBD81B8" w14:textId="77777777" w:rsidTr="002D1F13">
        <w:trPr>
          <w:cantSplit/>
          <w:trHeight w:val="20"/>
        </w:trPr>
        <w:tc>
          <w:tcPr>
            <w:tcW w:w="1273" w:type="dxa"/>
            <w:vAlign w:val="center"/>
          </w:tcPr>
          <w:p w14:paraId="51C15ADF" w14:textId="0AC57297" w:rsidR="00F3282C" w:rsidRPr="005464FA" w:rsidRDefault="00F3282C" w:rsidP="002D1F13">
            <w:pPr>
              <w:jc w:val="center"/>
              <w:rPr>
                <w:rFonts w:ascii="Arial Narrow" w:hAnsi="Arial Narrow"/>
                <w:color w:val="333333"/>
                <w:sz w:val="20"/>
                <w:szCs w:val="20"/>
              </w:rPr>
            </w:pPr>
          </w:p>
        </w:tc>
        <w:tc>
          <w:tcPr>
            <w:tcW w:w="7744" w:type="dxa"/>
            <w:vAlign w:val="center"/>
          </w:tcPr>
          <w:p w14:paraId="01C7F2E2"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Clinical criteria:</w:t>
            </w:r>
          </w:p>
        </w:tc>
      </w:tr>
      <w:tr w:rsidR="00F3282C" w:rsidRPr="005464FA" w14:paraId="654F4E5C" w14:textId="77777777" w:rsidTr="002D1F13">
        <w:trPr>
          <w:cantSplit/>
          <w:trHeight w:val="20"/>
        </w:trPr>
        <w:tc>
          <w:tcPr>
            <w:tcW w:w="1273" w:type="dxa"/>
            <w:vAlign w:val="center"/>
          </w:tcPr>
          <w:p w14:paraId="772663D5" w14:textId="53C9B903" w:rsidR="00F3282C" w:rsidRPr="005464FA" w:rsidRDefault="00F3282C" w:rsidP="002D1F13">
            <w:pPr>
              <w:jc w:val="center"/>
              <w:rPr>
                <w:rFonts w:ascii="Arial Narrow" w:hAnsi="Arial Narrow"/>
                <w:color w:val="333333"/>
                <w:sz w:val="20"/>
                <w:szCs w:val="20"/>
              </w:rPr>
            </w:pPr>
          </w:p>
        </w:tc>
        <w:tc>
          <w:tcPr>
            <w:tcW w:w="7744" w:type="dxa"/>
            <w:vAlign w:val="center"/>
          </w:tcPr>
          <w:p w14:paraId="16D0DA31" w14:textId="77777777"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Patient must not have developed disease progression while receiving treatment with this drug for this condition</w:t>
            </w:r>
          </w:p>
        </w:tc>
      </w:tr>
    </w:tbl>
    <w:p w14:paraId="49F570F7" w14:textId="55E96CAB" w:rsidR="00236B9F" w:rsidRPr="005464FA" w:rsidRDefault="00236B9F" w:rsidP="005F522F">
      <w:pPr>
        <w:widowControl w:val="0"/>
        <w:numPr>
          <w:ilvl w:val="1"/>
          <w:numId w:val="1"/>
        </w:numPr>
        <w:spacing w:before="120" w:after="120"/>
        <w:rPr>
          <w:rFonts w:asciiTheme="minorHAnsi" w:hAnsiTheme="minorHAnsi"/>
          <w:b/>
          <w:bCs/>
          <w:snapToGrid w:val="0"/>
        </w:rPr>
      </w:pPr>
      <w:r w:rsidRPr="005464FA">
        <w:rPr>
          <w:rFonts w:asciiTheme="minorHAnsi" w:hAnsiTheme="minorHAnsi"/>
          <w:snapToGrid w:val="0"/>
        </w:rPr>
        <w:t xml:space="preserve">Amend the existing eBC listing as follows: </w:t>
      </w:r>
    </w:p>
    <w:p w14:paraId="1E0510CF" w14:textId="37ABE6E2" w:rsidR="00281AD8" w:rsidRPr="005464FA" w:rsidRDefault="000F068B" w:rsidP="001455AD">
      <w:pPr>
        <w:pStyle w:val="ListParagraph"/>
        <w:numPr>
          <w:ilvl w:val="0"/>
          <w:numId w:val="35"/>
        </w:numPr>
        <w:ind w:left="1134"/>
      </w:pPr>
      <w:r w:rsidRPr="005464FA">
        <w:t>F</w:t>
      </w:r>
      <w:r w:rsidR="00F3282C" w:rsidRPr="005464FA">
        <w:t xml:space="preserve">low-on changes to the existing </w:t>
      </w:r>
      <w:r w:rsidRPr="005464FA">
        <w:t>o</w:t>
      </w:r>
      <w:r w:rsidR="00F3282C" w:rsidRPr="005464FA">
        <w:t>laparib eBC listings by adding the prescriber instruction alerting prescribers to one lifetime use regardless of disease staging.</w:t>
      </w:r>
      <w:r w:rsidR="00281AD8" w:rsidRPr="005464FA">
        <w:t xml:space="preserve"> Additions shown in italics and deletions shown in strikethrough.</w:t>
      </w:r>
    </w:p>
    <w:p w14:paraId="6EC009F8" w14:textId="10C54505" w:rsidR="00680025" w:rsidRPr="005464FA" w:rsidRDefault="00680025" w:rsidP="001455AD">
      <w:pPr>
        <w:pStyle w:val="ListParagraph"/>
        <w:numPr>
          <w:ilvl w:val="0"/>
          <w:numId w:val="35"/>
        </w:numPr>
        <w:ind w:left="1134"/>
      </w:pPr>
      <w:r w:rsidRPr="005464FA">
        <w:t>Revise “mutation” to “pathogenic variant”.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787"/>
        <w:gridCol w:w="2664"/>
        <w:gridCol w:w="811"/>
        <w:gridCol w:w="812"/>
        <w:gridCol w:w="811"/>
        <w:gridCol w:w="812"/>
        <w:gridCol w:w="1834"/>
      </w:tblGrid>
      <w:tr w:rsidR="00F3282C" w:rsidRPr="005464FA" w14:paraId="43F00DA9" w14:textId="77777777" w:rsidTr="00F3282C">
        <w:trPr>
          <w:cantSplit/>
          <w:trHeight w:val="20"/>
        </w:trPr>
        <w:tc>
          <w:tcPr>
            <w:tcW w:w="3937" w:type="dxa"/>
            <w:gridSpan w:val="3"/>
            <w:vAlign w:val="center"/>
          </w:tcPr>
          <w:p w14:paraId="010D6A7C" w14:textId="77777777" w:rsidR="00F3282C" w:rsidRPr="005464FA" w:rsidRDefault="00F3282C" w:rsidP="002D1F13">
            <w:pPr>
              <w:keepLines/>
              <w:rPr>
                <w:rFonts w:ascii="Arial Narrow" w:hAnsi="Arial Narrow"/>
                <w:b/>
                <w:bCs/>
                <w:sz w:val="20"/>
                <w:szCs w:val="20"/>
              </w:rPr>
            </w:pPr>
            <w:r w:rsidRPr="005464FA">
              <w:rPr>
                <w:rFonts w:ascii="Arial Narrow" w:hAnsi="Arial Narrow"/>
                <w:b/>
                <w:bCs/>
                <w:sz w:val="20"/>
                <w:szCs w:val="20"/>
              </w:rPr>
              <w:lastRenderedPageBreak/>
              <w:t>MEDICINAL PRODUCT</w:t>
            </w:r>
          </w:p>
          <w:p w14:paraId="7ABAB743" w14:textId="77777777" w:rsidR="00F3282C" w:rsidRPr="005464FA" w:rsidRDefault="00F3282C" w:rsidP="002D1F13">
            <w:pPr>
              <w:keepLines/>
              <w:rPr>
                <w:rFonts w:ascii="Arial Narrow" w:hAnsi="Arial Narrow"/>
                <w:b/>
                <w:sz w:val="20"/>
                <w:szCs w:val="20"/>
              </w:rPr>
            </w:pPr>
            <w:r w:rsidRPr="005464FA">
              <w:rPr>
                <w:rFonts w:ascii="Arial Narrow" w:hAnsi="Arial Narrow"/>
                <w:b/>
                <w:bCs/>
                <w:sz w:val="20"/>
                <w:szCs w:val="20"/>
              </w:rPr>
              <w:t>medicinal product pack</w:t>
            </w:r>
          </w:p>
        </w:tc>
        <w:tc>
          <w:tcPr>
            <w:tcW w:w="811" w:type="dxa"/>
            <w:vAlign w:val="center"/>
          </w:tcPr>
          <w:p w14:paraId="68158996" w14:textId="77777777" w:rsidR="00F3282C" w:rsidRPr="005464FA" w:rsidRDefault="00F3282C" w:rsidP="002D1F13">
            <w:pPr>
              <w:keepLines/>
              <w:jc w:val="center"/>
              <w:rPr>
                <w:rFonts w:ascii="Arial Narrow" w:hAnsi="Arial Narrow"/>
                <w:b/>
                <w:sz w:val="20"/>
                <w:szCs w:val="20"/>
              </w:rPr>
            </w:pPr>
            <w:r w:rsidRPr="005464FA">
              <w:rPr>
                <w:rFonts w:ascii="Arial Narrow" w:hAnsi="Arial Narrow"/>
                <w:b/>
                <w:sz w:val="20"/>
                <w:szCs w:val="20"/>
              </w:rPr>
              <w:t>PBS item code</w:t>
            </w:r>
          </w:p>
        </w:tc>
        <w:tc>
          <w:tcPr>
            <w:tcW w:w="812" w:type="dxa"/>
            <w:vAlign w:val="center"/>
          </w:tcPr>
          <w:p w14:paraId="1D4C3BCD" w14:textId="77777777" w:rsidR="00F3282C" w:rsidRPr="005464FA" w:rsidRDefault="00F3282C" w:rsidP="002D1F13">
            <w:pPr>
              <w:keepLines/>
              <w:jc w:val="center"/>
              <w:rPr>
                <w:rFonts w:ascii="Arial Narrow" w:hAnsi="Arial Narrow"/>
                <w:b/>
                <w:sz w:val="20"/>
                <w:szCs w:val="20"/>
              </w:rPr>
            </w:pPr>
            <w:r w:rsidRPr="005464FA">
              <w:rPr>
                <w:rFonts w:ascii="Arial Narrow" w:hAnsi="Arial Narrow"/>
                <w:b/>
                <w:sz w:val="20"/>
                <w:szCs w:val="20"/>
              </w:rPr>
              <w:t>Max. qty packs</w:t>
            </w:r>
          </w:p>
        </w:tc>
        <w:tc>
          <w:tcPr>
            <w:tcW w:w="811" w:type="dxa"/>
            <w:vAlign w:val="center"/>
          </w:tcPr>
          <w:p w14:paraId="109EE810" w14:textId="77777777" w:rsidR="00F3282C" w:rsidRPr="005464FA" w:rsidRDefault="00F3282C" w:rsidP="002D1F13">
            <w:pPr>
              <w:keepLines/>
              <w:jc w:val="center"/>
              <w:rPr>
                <w:rFonts w:ascii="Arial Narrow" w:hAnsi="Arial Narrow"/>
                <w:b/>
                <w:sz w:val="20"/>
                <w:szCs w:val="20"/>
              </w:rPr>
            </w:pPr>
            <w:r w:rsidRPr="005464FA">
              <w:rPr>
                <w:rFonts w:ascii="Arial Narrow" w:hAnsi="Arial Narrow"/>
                <w:b/>
                <w:sz w:val="20"/>
                <w:szCs w:val="20"/>
              </w:rPr>
              <w:t>Max. qty units</w:t>
            </w:r>
          </w:p>
        </w:tc>
        <w:tc>
          <w:tcPr>
            <w:tcW w:w="812" w:type="dxa"/>
            <w:vAlign w:val="center"/>
          </w:tcPr>
          <w:p w14:paraId="3B397751" w14:textId="77777777" w:rsidR="00F3282C" w:rsidRPr="005464FA" w:rsidRDefault="00F3282C" w:rsidP="002D1F13">
            <w:pPr>
              <w:keepLines/>
              <w:jc w:val="center"/>
              <w:rPr>
                <w:rFonts w:ascii="Arial Narrow" w:hAnsi="Arial Narrow"/>
                <w:b/>
                <w:sz w:val="20"/>
                <w:szCs w:val="20"/>
              </w:rPr>
            </w:pPr>
            <w:r w:rsidRPr="005464FA">
              <w:rPr>
                <w:rFonts w:ascii="Arial Narrow" w:hAnsi="Arial Narrow"/>
                <w:b/>
                <w:sz w:val="20"/>
                <w:szCs w:val="20"/>
              </w:rPr>
              <w:t>№.of</w:t>
            </w:r>
          </w:p>
          <w:p w14:paraId="26A33F89" w14:textId="77777777" w:rsidR="00F3282C" w:rsidRPr="005464FA" w:rsidRDefault="00F3282C" w:rsidP="002D1F13">
            <w:pPr>
              <w:keepLines/>
              <w:jc w:val="center"/>
              <w:rPr>
                <w:rFonts w:ascii="Arial Narrow" w:hAnsi="Arial Narrow"/>
                <w:b/>
                <w:sz w:val="20"/>
                <w:szCs w:val="20"/>
              </w:rPr>
            </w:pPr>
            <w:r w:rsidRPr="005464FA">
              <w:rPr>
                <w:rFonts w:ascii="Arial Narrow" w:hAnsi="Arial Narrow"/>
                <w:b/>
                <w:sz w:val="20"/>
                <w:szCs w:val="20"/>
              </w:rPr>
              <w:t>Rpts</w:t>
            </w:r>
          </w:p>
        </w:tc>
        <w:tc>
          <w:tcPr>
            <w:tcW w:w="1834" w:type="dxa"/>
            <w:vAlign w:val="center"/>
          </w:tcPr>
          <w:p w14:paraId="5FC92DD4" w14:textId="77777777" w:rsidR="00F3282C" w:rsidRPr="005464FA" w:rsidRDefault="00F3282C" w:rsidP="002D1F13">
            <w:pPr>
              <w:keepLines/>
              <w:rPr>
                <w:rFonts w:ascii="Arial Narrow" w:hAnsi="Arial Narrow"/>
                <w:b/>
                <w:sz w:val="20"/>
                <w:szCs w:val="20"/>
              </w:rPr>
            </w:pPr>
            <w:r w:rsidRPr="005464FA">
              <w:rPr>
                <w:rFonts w:ascii="Arial Narrow" w:hAnsi="Arial Narrow"/>
                <w:b/>
                <w:sz w:val="20"/>
                <w:szCs w:val="20"/>
              </w:rPr>
              <w:t>Available brands</w:t>
            </w:r>
          </w:p>
        </w:tc>
      </w:tr>
      <w:tr w:rsidR="00F3282C" w:rsidRPr="005464FA" w14:paraId="64AA3501" w14:textId="77777777" w:rsidTr="00F3282C">
        <w:trPr>
          <w:cantSplit/>
          <w:trHeight w:val="20"/>
        </w:trPr>
        <w:tc>
          <w:tcPr>
            <w:tcW w:w="9017" w:type="dxa"/>
            <w:gridSpan w:val="8"/>
            <w:vAlign w:val="center"/>
          </w:tcPr>
          <w:p w14:paraId="6B48D898" w14:textId="77777777" w:rsidR="00F3282C" w:rsidRPr="005464FA" w:rsidRDefault="00F3282C" w:rsidP="002D1F13">
            <w:pPr>
              <w:keepLines/>
              <w:rPr>
                <w:rFonts w:ascii="Arial Narrow" w:hAnsi="Arial Narrow"/>
                <w:sz w:val="20"/>
                <w:szCs w:val="20"/>
              </w:rPr>
            </w:pPr>
            <w:r w:rsidRPr="005464FA">
              <w:rPr>
                <w:rFonts w:ascii="Arial Narrow" w:hAnsi="Arial Narrow"/>
                <w:sz w:val="20"/>
                <w:szCs w:val="20"/>
              </w:rPr>
              <w:t>OLAPARIB</w:t>
            </w:r>
          </w:p>
        </w:tc>
      </w:tr>
      <w:tr w:rsidR="00F3282C" w:rsidRPr="005464FA" w14:paraId="733B5F8F" w14:textId="77777777" w:rsidTr="00236B9F">
        <w:trPr>
          <w:cantSplit/>
          <w:trHeight w:val="80"/>
        </w:trPr>
        <w:tc>
          <w:tcPr>
            <w:tcW w:w="3937" w:type="dxa"/>
            <w:gridSpan w:val="3"/>
            <w:vAlign w:val="center"/>
          </w:tcPr>
          <w:p w14:paraId="70C055E1" w14:textId="443498D9" w:rsidR="00F3282C" w:rsidRPr="005464FA" w:rsidRDefault="00FF2913" w:rsidP="002D1F13">
            <w:pPr>
              <w:keepLines/>
              <w:rPr>
                <w:rFonts w:ascii="Arial Narrow" w:hAnsi="Arial Narrow"/>
                <w:sz w:val="20"/>
                <w:szCs w:val="20"/>
              </w:rPr>
            </w:pPr>
            <w:r w:rsidRPr="005464FA">
              <w:rPr>
                <w:rFonts w:ascii="Arial Narrow" w:hAnsi="Arial Narrow"/>
                <w:sz w:val="20"/>
                <w:szCs w:val="20"/>
              </w:rPr>
              <w:t>Ol</w:t>
            </w:r>
            <w:r w:rsidR="00281AD8" w:rsidRPr="005464FA">
              <w:rPr>
                <w:rFonts w:ascii="Arial Narrow" w:hAnsi="Arial Narrow"/>
                <w:sz w:val="20"/>
                <w:szCs w:val="20"/>
              </w:rPr>
              <w:t>aparib</w:t>
            </w:r>
            <w:r w:rsidR="00F3282C" w:rsidRPr="005464FA">
              <w:rPr>
                <w:rFonts w:ascii="Arial Narrow" w:hAnsi="Arial Narrow"/>
                <w:sz w:val="20"/>
                <w:szCs w:val="20"/>
              </w:rPr>
              <w:t xml:space="preserve"> 100 mg tablet, 56</w:t>
            </w:r>
          </w:p>
        </w:tc>
        <w:tc>
          <w:tcPr>
            <w:tcW w:w="811" w:type="dxa"/>
            <w:vAlign w:val="center"/>
          </w:tcPr>
          <w:p w14:paraId="1DAB95DF"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14181J</w:t>
            </w:r>
          </w:p>
        </w:tc>
        <w:tc>
          <w:tcPr>
            <w:tcW w:w="812" w:type="dxa"/>
            <w:vAlign w:val="center"/>
          </w:tcPr>
          <w:p w14:paraId="5AA14CAC"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2</w:t>
            </w:r>
          </w:p>
        </w:tc>
        <w:tc>
          <w:tcPr>
            <w:tcW w:w="811" w:type="dxa"/>
            <w:vAlign w:val="center"/>
          </w:tcPr>
          <w:p w14:paraId="79075951"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112</w:t>
            </w:r>
          </w:p>
        </w:tc>
        <w:tc>
          <w:tcPr>
            <w:tcW w:w="812" w:type="dxa"/>
            <w:vAlign w:val="center"/>
          </w:tcPr>
          <w:p w14:paraId="29FA7BC7"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5</w:t>
            </w:r>
          </w:p>
        </w:tc>
        <w:tc>
          <w:tcPr>
            <w:tcW w:w="1834" w:type="dxa"/>
            <w:vAlign w:val="center"/>
          </w:tcPr>
          <w:p w14:paraId="096B44CF" w14:textId="77777777" w:rsidR="00F3282C" w:rsidRPr="005464FA" w:rsidRDefault="00F3282C" w:rsidP="002D1F13">
            <w:pPr>
              <w:keepLines/>
              <w:rPr>
                <w:rFonts w:ascii="Arial Narrow" w:hAnsi="Arial Narrow"/>
                <w:sz w:val="20"/>
                <w:szCs w:val="20"/>
              </w:rPr>
            </w:pPr>
            <w:r w:rsidRPr="005464FA">
              <w:rPr>
                <w:rFonts w:ascii="Arial Narrow" w:hAnsi="Arial Narrow"/>
                <w:sz w:val="20"/>
                <w:szCs w:val="20"/>
              </w:rPr>
              <w:t xml:space="preserve">Lynparza </w:t>
            </w:r>
          </w:p>
        </w:tc>
      </w:tr>
      <w:tr w:rsidR="00F3282C" w:rsidRPr="005464FA" w14:paraId="16CEF1DB" w14:textId="77777777" w:rsidTr="00F3282C">
        <w:trPr>
          <w:cantSplit/>
          <w:trHeight w:val="20"/>
        </w:trPr>
        <w:tc>
          <w:tcPr>
            <w:tcW w:w="3937" w:type="dxa"/>
            <w:gridSpan w:val="3"/>
            <w:vAlign w:val="center"/>
          </w:tcPr>
          <w:p w14:paraId="47CDF127" w14:textId="707A551A" w:rsidR="00F3282C" w:rsidRPr="005464FA" w:rsidRDefault="00FF2913" w:rsidP="002D1F13">
            <w:pPr>
              <w:keepLines/>
              <w:rPr>
                <w:rFonts w:ascii="Arial Narrow" w:hAnsi="Arial Narrow"/>
                <w:sz w:val="20"/>
                <w:szCs w:val="20"/>
              </w:rPr>
            </w:pPr>
            <w:r w:rsidRPr="005464FA">
              <w:rPr>
                <w:rFonts w:ascii="Arial Narrow" w:hAnsi="Arial Narrow"/>
                <w:sz w:val="20"/>
                <w:szCs w:val="20"/>
              </w:rPr>
              <w:t>O</w:t>
            </w:r>
            <w:r w:rsidR="00281AD8" w:rsidRPr="005464FA">
              <w:rPr>
                <w:rFonts w:ascii="Arial Narrow" w:hAnsi="Arial Narrow"/>
                <w:sz w:val="20"/>
                <w:szCs w:val="20"/>
              </w:rPr>
              <w:t>laparib</w:t>
            </w:r>
            <w:r w:rsidR="00F3282C" w:rsidRPr="005464FA">
              <w:rPr>
                <w:rFonts w:ascii="Arial Narrow" w:hAnsi="Arial Narrow"/>
                <w:sz w:val="20"/>
                <w:szCs w:val="20"/>
              </w:rPr>
              <w:t xml:space="preserve"> 150 mg tablet, 56</w:t>
            </w:r>
          </w:p>
        </w:tc>
        <w:tc>
          <w:tcPr>
            <w:tcW w:w="811" w:type="dxa"/>
            <w:vAlign w:val="center"/>
          </w:tcPr>
          <w:p w14:paraId="42A936EA"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14208T</w:t>
            </w:r>
          </w:p>
        </w:tc>
        <w:tc>
          <w:tcPr>
            <w:tcW w:w="812" w:type="dxa"/>
            <w:vAlign w:val="center"/>
          </w:tcPr>
          <w:p w14:paraId="70AC8F5D"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2</w:t>
            </w:r>
          </w:p>
        </w:tc>
        <w:tc>
          <w:tcPr>
            <w:tcW w:w="811" w:type="dxa"/>
            <w:vAlign w:val="center"/>
          </w:tcPr>
          <w:p w14:paraId="2704D341"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112</w:t>
            </w:r>
          </w:p>
        </w:tc>
        <w:tc>
          <w:tcPr>
            <w:tcW w:w="812" w:type="dxa"/>
            <w:vAlign w:val="center"/>
          </w:tcPr>
          <w:p w14:paraId="7F2930D0" w14:textId="77777777" w:rsidR="00F3282C" w:rsidRPr="005464FA" w:rsidRDefault="00F3282C" w:rsidP="002D1F13">
            <w:pPr>
              <w:keepLines/>
              <w:jc w:val="center"/>
              <w:rPr>
                <w:rFonts w:ascii="Arial Narrow" w:hAnsi="Arial Narrow"/>
                <w:sz w:val="20"/>
                <w:szCs w:val="20"/>
              </w:rPr>
            </w:pPr>
            <w:r w:rsidRPr="005464FA">
              <w:rPr>
                <w:rFonts w:ascii="Arial Narrow" w:hAnsi="Arial Narrow"/>
                <w:sz w:val="20"/>
                <w:szCs w:val="20"/>
              </w:rPr>
              <w:t>5</w:t>
            </w:r>
          </w:p>
        </w:tc>
        <w:tc>
          <w:tcPr>
            <w:tcW w:w="1834" w:type="dxa"/>
            <w:vAlign w:val="center"/>
          </w:tcPr>
          <w:p w14:paraId="6A429159" w14:textId="77777777" w:rsidR="00F3282C" w:rsidRPr="005464FA" w:rsidRDefault="00F3282C" w:rsidP="002D1F13">
            <w:pPr>
              <w:keepLines/>
              <w:rPr>
                <w:rFonts w:ascii="Arial Narrow" w:hAnsi="Arial Narrow"/>
                <w:sz w:val="20"/>
                <w:szCs w:val="20"/>
              </w:rPr>
            </w:pPr>
            <w:r w:rsidRPr="005464FA">
              <w:rPr>
                <w:rFonts w:ascii="Arial Narrow" w:hAnsi="Arial Narrow"/>
                <w:sz w:val="20"/>
                <w:szCs w:val="20"/>
              </w:rPr>
              <w:t xml:space="preserve">Lynparza </w:t>
            </w:r>
          </w:p>
        </w:tc>
      </w:tr>
      <w:tr w:rsidR="00F3282C" w:rsidRPr="005464FA" w14:paraId="3B47DA3F" w14:textId="77777777" w:rsidTr="00F3282C">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1C210EF7" w14:textId="77777777" w:rsidR="00F3282C" w:rsidRPr="005464FA" w:rsidRDefault="00F3282C" w:rsidP="002D1F13">
            <w:pPr>
              <w:rPr>
                <w:rFonts w:ascii="Arial Narrow" w:hAnsi="Arial Narrow"/>
                <w:sz w:val="20"/>
                <w:szCs w:val="20"/>
              </w:rPr>
            </w:pPr>
          </w:p>
        </w:tc>
      </w:tr>
      <w:tr w:rsidR="00F3282C" w:rsidRPr="005464FA" w14:paraId="7B1BC576" w14:textId="77777777" w:rsidTr="00F3282C">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4E8C656C" w14:textId="25A36061" w:rsidR="00F3282C" w:rsidRPr="005464FA" w:rsidRDefault="00F3282C" w:rsidP="002D1F13">
            <w:pPr>
              <w:keepNext/>
              <w:keepLines/>
              <w:rPr>
                <w:rFonts w:ascii="Arial Narrow" w:hAnsi="Arial Narrow"/>
                <w:b/>
                <w:bCs/>
                <w:color w:val="333333"/>
                <w:sz w:val="20"/>
                <w:szCs w:val="20"/>
              </w:rPr>
            </w:pPr>
            <w:r w:rsidRPr="005464FA">
              <w:rPr>
                <w:rFonts w:ascii="Arial Narrow" w:hAnsi="Arial Narrow"/>
                <w:b/>
                <w:bCs/>
                <w:color w:val="333333"/>
                <w:sz w:val="20"/>
                <w:szCs w:val="20"/>
              </w:rPr>
              <w:t xml:space="preserve">Restriction Summary </w:t>
            </w:r>
            <w:r w:rsidR="00281AD8" w:rsidRPr="005464FA">
              <w:rPr>
                <w:rFonts w:ascii="Arial Narrow" w:hAnsi="Arial Narrow"/>
                <w:b/>
                <w:bCs/>
                <w:color w:val="333333"/>
                <w:sz w:val="20"/>
                <w:szCs w:val="20"/>
              </w:rPr>
              <w:t xml:space="preserve"> </w:t>
            </w:r>
            <w:r w:rsidRPr="005464FA">
              <w:rPr>
                <w:rFonts w:ascii="Arial Narrow" w:hAnsi="Arial Narrow"/>
                <w:b/>
                <w:bCs/>
                <w:color w:val="333333"/>
                <w:sz w:val="20"/>
                <w:szCs w:val="20"/>
              </w:rPr>
              <w:t xml:space="preserve">/ Treatment of Concept: </w:t>
            </w:r>
          </w:p>
        </w:tc>
      </w:tr>
      <w:tr w:rsidR="00F3282C" w:rsidRPr="005464FA" w14:paraId="29C470F3"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Merge w:val="restart"/>
            <w:tcBorders>
              <w:top w:val="single" w:sz="4" w:space="0" w:color="auto"/>
              <w:left w:val="single" w:sz="4" w:space="0" w:color="auto"/>
              <w:right w:val="single" w:sz="4" w:space="0" w:color="auto"/>
            </w:tcBorders>
          </w:tcPr>
          <w:p w14:paraId="737328EA" w14:textId="4A26E9A2" w:rsidR="00F3282C" w:rsidRPr="005464FA" w:rsidRDefault="00F3282C" w:rsidP="002D1F13">
            <w:pPr>
              <w:jc w:val="center"/>
              <w:rPr>
                <w:rFonts w:ascii="Arial Narrow" w:hAnsi="Arial Narrow"/>
                <w:b/>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23F58C53" w14:textId="77777777" w:rsidR="00F3282C" w:rsidRPr="005464FA" w:rsidRDefault="00F3282C" w:rsidP="002D1F13">
            <w:pPr>
              <w:keepNext/>
              <w:keepLines/>
              <w:rPr>
                <w:rFonts w:ascii="Arial Narrow" w:hAnsi="Arial Narrow"/>
                <w:sz w:val="20"/>
                <w:szCs w:val="20"/>
              </w:rPr>
            </w:pPr>
            <w:r w:rsidRPr="005464FA">
              <w:rPr>
                <w:rFonts w:ascii="Arial Narrow" w:hAnsi="Arial Narrow"/>
                <w:b/>
                <w:sz w:val="20"/>
                <w:szCs w:val="20"/>
              </w:rPr>
              <w:t xml:space="preserve">Category / Program: </w:t>
            </w:r>
            <w:r w:rsidRPr="005464FA">
              <w:rPr>
                <w:rFonts w:ascii="Arial Narrow" w:hAnsi="Arial Narrow"/>
                <w:sz w:val="20"/>
                <w:szCs w:val="20"/>
              </w:rPr>
              <w:t>GENERAL – General Schedule (Code GE)</w:t>
            </w:r>
          </w:p>
          <w:p w14:paraId="1E15149C" w14:textId="77777777" w:rsidR="00F3282C" w:rsidRPr="005464FA" w:rsidRDefault="00F3282C" w:rsidP="002D1F13">
            <w:pPr>
              <w:keepNext/>
              <w:keepLines/>
              <w:rPr>
                <w:rFonts w:ascii="Arial Narrow" w:hAnsi="Arial Narrow"/>
                <w:sz w:val="20"/>
                <w:szCs w:val="20"/>
              </w:rPr>
            </w:pPr>
          </w:p>
        </w:tc>
      </w:tr>
      <w:tr w:rsidR="00F3282C" w:rsidRPr="005464FA" w14:paraId="3EDE5775"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Merge/>
            <w:tcBorders>
              <w:left w:val="single" w:sz="4" w:space="0" w:color="auto"/>
              <w:right w:val="single" w:sz="4" w:space="0" w:color="auto"/>
            </w:tcBorders>
          </w:tcPr>
          <w:p w14:paraId="702DF0AB" w14:textId="77777777" w:rsidR="00F3282C" w:rsidRPr="005464FA" w:rsidRDefault="00F3282C" w:rsidP="002D1F13">
            <w:pPr>
              <w:rPr>
                <w:rFonts w:ascii="Arial Narrow" w:hAnsi="Arial Narrow"/>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2D76BA85" w14:textId="77777777" w:rsidR="00F3282C" w:rsidRPr="005464FA" w:rsidRDefault="00F3282C" w:rsidP="002D1F13">
            <w:pPr>
              <w:keepNext/>
              <w:keepLines/>
              <w:rPr>
                <w:rFonts w:ascii="Arial Narrow" w:hAnsi="Arial Narrow"/>
                <w:b/>
                <w:sz w:val="20"/>
                <w:szCs w:val="20"/>
              </w:rPr>
            </w:pPr>
            <w:r w:rsidRPr="005464FA">
              <w:rPr>
                <w:rFonts w:ascii="Arial Narrow" w:hAnsi="Arial Narrow"/>
                <w:b/>
                <w:sz w:val="20"/>
                <w:szCs w:val="20"/>
              </w:rPr>
              <w:t xml:space="preserve">Prescriber type: </w:t>
            </w:r>
            <w:r w:rsidRPr="005464FA">
              <w:rPr>
                <w:rFonts w:ascii="Arial Narrow" w:hAnsi="Arial Narrow"/>
                <w:sz w:val="20"/>
                <w:szCs w:val="20"/>
              </w:rPr>
              <w:fldChar w:fldCharType="begin" w:fldLock="1">
                <w:ffData>
                  <w:name w:val=""/>
                  <w:enabled/>
                  <w:calcOnExit w:val="0"/>
                  <w:checkBox>
                    <w:sizeAuto/>
                    <w:default w:val="1"/>
                  </w:checkBox>
                </w:ffData>
              </w:fldChar>
            </w:r>
            <w:r w:rsidRPr="005464FA">
              <w:rPr>
                <w:rFonts w:ascii="Arial Narrow" w:hAnsi="Arial Narrow"/>
                <w:sz w:val="20"/>
                <w:szCs w:val="20"/>
              </w:rPr>
              <w:instrText xml:space="preserve"> FORMCHECKBOX </w:instrText>
            </w:r>
            <w:r w:rsidR="006A43A5">
              <w:rPr>
                <w:rFonts w:ascii="Arial Narrow" w:hAnsi="Arial Narrow"/>
                <w:sz w:val="20"/>
                <w:szCs w:val="20"/>
              </w:rPr>
            </w:r>
            <w:r w:rsidR="006A43A5">
              <w:rPr>
                <w:rFonts w:ascii="Arial Narrow" w:hAnsi="Arial Narrow"/>
                <w:sz w:val="20"/>
                <w:szCs w:val="20"/>
              </w:rPr>
              <w:fldChar w:fldCharType="separate"/>
            </w:r>
            <w:r w:rsidRPr="005464FA">
              <w:rPr>
                <w:rFonts w:ascii="Arial Narrow" w:hAnsi="Arial Narrow"/>
                <w:sz w:val="20"/>
                <w:szCs w:val="20"/>
              </w:rPr>
              <w:fldChar w:fldCharType="end"/>
            </w:r>
            <w:r w:rsidRPr="005464FA">
              <w:rPr>
                <w:rFonts w:ascii="Arial Narrow" w:hAnsi="Arial Narrow"/>
                <w:sz w:val="20"/>
                <w:szCs w:val="20"/>
              </w:rPr>
              <w:t xml:space="preserve">Medical Practitioners </w:t>
            </w:r>
          </w:p>
        </w:tc>
      </w:tr>
      <w:tr w:rsidR="00F3282C" w:rsidRPr="005464FA" w14:paraId="7F30F727"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Merge/>
            <w:tcBorders>
              <w:left w:val="single" w:sz="4" w:space="0" w:color="auto"/>
              <w:bottom w:val="single" w:sz="4" w:space="0" w:color="auto"/>
              <w:right w:val="single" w:sz="4" w:space="0" w:color="auto"/>
            </w:tcBorders>
          </w:tcPr>
          <w:p w14:paraId="72CE06DB" w14:textId="77777777" w:rsidR="00F3282C" w:rsidRPr="005464FA" w:rsidRDefault="00F3282C" w:rsidP="002D1F13">
            <w:pPr>
              <w:rPr>
                <w:rFonts w:ascii="Arial Narrow" w:hAnsi="Arial Narrow"/>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64E9FA37" w14:textId="77777777" w:rsidR="00F3282C" w:rsidRPr="005464FA" w:rsidRDefault="00F3282C" w:rsidP="002D1F13">
            <w:pPr>
              <w:keepNext/>
              <w:keepLines/>
              <w:rPr>
                <w:rFonts w:ascii="Arial Narrow" w:eastAsia="Calibri" w:hAnsi="Arial Narrow"/>
                <w:sz w:val="20"/>
                <w:szCs w:val="20"/>
              </w:rPr>
            </w:pPr>
            <w:r w:rsidRPr="005464FA">
              <w:rPr>
                <w:rFonts w:ascii="Arial Narrow" w:hAnsi="Arial Narrow"/>
                <w:b/>
                <w:sz w:val="20"/>
                <w:szCs w:val="20"/>
              </w:rPr>
              <w:t xml:space="preserve">Restriction type: </w:t>
            </w:r>
            <w:r w:rsidRPr="005464FA">
              <w:rPr>
                <w:rFonts w:ascii="Arial Narrow" w:eastAsia="Calibri" w:hAnsi="Arial Narrow"/>
                <w:sz w:val="20"/>
                <w:szCs w:val="20"/>
              </w:rPr>
              <w:fldChar w:fldCharType="begin" w:fldLock="1">
                <w:ffData>
                  <w:name w:val=""/>
                  <w:enabled/>
                  <w:calcOnExit w:val="0"/>
                  <w:checkBox>
                    <w:sizeAuto/>
                    <w:default w:val="1"/>
                  </w:checkBox>
                </w:ffData>
              </w:fldChar>
            </w:r>
            <w:r w:rsidRPr="005464FA">
              <w:rPr>
                <w:rFonts w:ascii="Arial Narrow" w:eastAsia="Calibri" w:hAnsi="Arial Narrow"/>
                <w:sz w:val="20"/>
                <w:szCs w:val="20"/>
              </w:rPr>
              <w:instrText xml:space="preserve"> FORMCHECKBOX </w:instrText>
            </w:r>
            <w:r w:rsidR="006A43A5">
              <w:rPr>
                <w:rFonts w:ascii="Arial Narrow" w:eastAsia="Calibri" w:hAnsi="Arial Narrow"/>
                <w:sz w:val="20"/>
                <w:szCs w:val="20"/>
              </w:rPr>
            </w:r>
            <w:r w:rsidR="006A43A5">
              <w:rPr>
                <w:rFonts w:ascii="Arial Narrow" w:eastAsia="Calibri" w:hAnsi="Arial Narrow"/>
                <w:sz w:val="20"/>
                <w:szCs w:val="20"/>
              </w:rPr>
              <w:fldChar w:fldCharType="separate"/>
            </w:r>
            <w:r w:rsidRPr="005464FA">
              <w:rPr>
                <w:rFonts w:ascii="Arial Narrow" w:eastAsia="Calibri" w:hAnsi="Arial Narrow"/>
                <w:sz w:val="20"/>
                <w:szCs w:val="20"/>
              </w:rPr>
              <w:fldChar w:fldCharType="end"/>
            </w:r>
            <w:r w:rsidRPr="005464FA">
              <w:rPr>
                <w:rFonts w:ascii="Arial Narrow" w:eastAsia="Calibri" w:hAnsi="Arial Narrow"/>
                <w:sz w:val="20"/>
                <w:szCs w:val="20"/>
              </w:rPr>
              <w:t>Authority Required (telephone/online PBS Authorities system)</w:t>
            </w:r>
          </w:p>
        </w:tc>
      </w:tr>
      <w:tr w:rsidR="00F3282C" w:rsidRPr="005464FA" w14:paraId="146C70D4" w14:textId="77777777" w:rsidTr="00F3282C">
        <w:tblPrEx>
          <w:tblCellMar>
            <w:top w:w="15" w:type="dxa"/>
            <w:bottom w:w="15" w:type="dxa"/>
          </w:tblCellMar>
          <w:tblLook w:val="04A0" w:firstRow="1" w:lastRow="0" w:firstColumn="1" w:lastColumn="0" w:noHBand="0" w:noVBand="1"/>
        </w:tblPrEx>
        <w:trPr>
          <w:trHeight w:val="20"/>
        </w:trPr>
        <w:tc>
          <w:tcPr>
            <w:tcW w:w="486" w:type="dxa"/>
            <w:vMerge w:val="restart"/>
            <w:tcBorders>
              <w:left w:val="single" w:sz="4" w:space="0" w:color="auto"/>
              <w:right w:val="single" w:sz="4" w:space="0" w:color="auto"/>
            </w:tcBorders>
            <w:textDirection w:val="btLr"/>
            <w:vAlign w:val="center"/>
          </w:tcPr>
          <w:p w14:paraId="148697F2" w14:textId="77777777" w:rsidR="00F3282C" w:rsidRPr="005464FA" w:rsidRDefault="00F3282C" w:rsidP="002D1F13">
            <w:pPr>
              <w:jc w:val="center"/>
              <w:rPr>
                <w:rFonts w:ascii="Arial Narrow" w:hAnsi="Arial Narrow"/>
                <w:sz w:val="20"/>
                <w:szCs w:val="20"/>
              </w:rPr>
            </w:pPr>
            <w:r w:rsidRPr="005464FA">
              <w:rPr>
                <w:rFonts w:ascii="Arial Narrow" w:hAnsi="Arial Narrow"/>
                <w:sz w:val="20"/>
                <w:szCs w:val="20"/>
              </w:rPr>
              <w:t>Prescribing rule level</w:t>
            </w:r>
          </w:p>
        </w:tc>
        <w:tc>
          <w:tcPr>
            <w:tcW w:w="787" w:type="dxa"/>
          </w:tcPr>
          <w:p w14:paraId="0A7FCD4C" w14:textId="51DDDB1F" w:rsidR="00F3282C" w:rsidRPr="005464FA" w:rsidRDefault="00F3282C" w:rsidP="002D1F13">
            <w:pPr>
              <w:jc w:val="center"/>
              <w:rPr>
                <w:rFonts w:ascii="Arial Narrow" w:hAnsi="Arial Narrow"/>
                <w:color w:val="333333"/>
                <w:sz w:val="20"/>
                <w:szCs w:val="20"/>
              </w:rPr>
            </w:pPr>
          </w:p>
        </w:tc>
        <w:tc>
          <w:tcPr>
            <w:tcW w:w="7744" w:type="dxa"/>
            <w:gridSpan w:val="6"/>
          </w:tcPr>
          <w:p w14:paraId="63F3A0CB" w14:textId="77777777" w:rsidR="00F3282C" w:rsidRPr="005464FA" w:rsidRDefault="00F3282C" w:rsidP="002D1F13">
            <w:pPr>
              <w:rPr>
                <w:rFonts w:ascii="Arial Narrow" w:hAnsi="Arial Narrow"/>
                <w:sz w:val="20"/>
                <w:szCs w:val="20"/>
              </w:rPr>
            </w:pPr>
            <w:r w:rsidRPr="005464FA">
              <w:rPr>
                <w:rFonts w:ascii="Arial Narrow" w:hAnsi="Arial Narrow"/>
                <w:b/>
                <w:bCs/>
                <w:sz w:val="20"/>
                <w:szCs w:val="20"/>
              </w:rPr>
              <w:t xml:space="preserve">Administrative advice: </w:t>
            </w:r>
            <w:r w:rsidRPr="005464FA">
              <w:rPr>
                <w:rFonts w:ascii="Arial Narrow" w:hAnsi="Arial Narrow"/>
                <w:sz w:val="20"/>
                <w:szCs w:val="20"/>
              </w:rPr>
              <w:t>Patients may qualify for PBS-subsidised treatment under this restriction once only.</w:t>
            </w:r>
          </w:p>
        </w:tc>
      </w:tr>
      <w:tr w:rsidR="00F3282C" w:rsidRPr="005464FA" w14:paraId="6E2F5CD6" w14:textId="77777777" w:rsidTr="00F3282C">
        <w:tblPrEx>
          <w:tblCellMar>
            <w:top w:w="15" w:type="dxa"/>
            <w:bottom w:w="15" w:type="dxa"/>
          </w:tblCellMar>
          <w:tblLook w:val="04A0" w:firstRow="1" w:lastRow="0" w:firstColumn="1" w:lastColumn="0" w:noHBand="0" w:noVBand="1"/>
        </w:tblPrEx>
        <w:trPr>
          <w:trHeight w:val="20"/>
        </w:trPr>
        <w:tc>
          <w:tcPr>
            <w:tcW w:w="486" w:type="dxa"/>
            <w:vMerge/>
            <w:tcBorders>
              <w:left w:val="single" w:sz="4" w:space="0" w:color="auto"/>
              <w:right w:val="single" w:sz="4" w:space="0" w:color="auto"/>
            </w:tcBorders>
            <w:textDirection w:val="btLr"/>
            <w:vAlign w:val="center"/>
          </w:tcPr>
          <w:p w14:paraId="1F3129C4" w14:textId="77777777" w:rsidR="00F3282C" w:rsidRPr="005464FA" w:rsidRDefault="00F3282C" w:rsidP="002D1F13">
            <w:pPr>
              <w:jc w:val="center"/>
              <w:rPr>
                <w:rFonts w:ascii="Arial Narrow" w:hAnsi="Arial Narrow"/>
                <w:sz w:val="20"/>
                <w:szCs w:val="20"/>
              </w:rPr>
            </w:pPr>
          </w:p>
        </w:tc>
        <w:tc>
          <w:tcPr>
            <w:tcW w:w="787" w:type="dxa"/>
          </w:tcPr>
          <w:p w14:paraId="3C1C193F" w14:textId="472C03FC" w:rsidR="00F3282C" w:rsidRPr="005464FA" w:rsidRDefault="00F3282C" w:rsidP="002D1F13">
            <w:pPr>
              <w:jc w:val="center"/>
              <w:rPr>
                <w:rFonts w:ascii="Arial Narrow" w:hAnsi="Arial Narrow"/>
                <w:color w:val="333333"/>
                <w:sz w:val="20"/>
                <w:szCs w:val="20"/>
              </w:rPr>
            </w:pPr>
          </w:p>
        </w:tc>
        <w:tc>
          <w:tcPr>
            <w:tcW w:w="7744" w:type="dxa"/>
            <w:gridSpan w:val="6"/>
          </w:tcPr>
          <w:p w14:paraId="1D0165F2" w14:textId="77777777" w:rsidR="00F3282C" w:rsidRPr="005464FA" w:rsidRDefault="00F3282C" w:rsidP="002D1F13">
            <w:pPr>
              <w:rPr>
                <w:rFonts w:ascii="Arial Narrow" w:hAnsi="Arial Narrow"/>
                <w:b/>
                <w:bCs/>
                <w:sz w:val="20"/>
                <w:szCs w:val="20"/>
              </w:rPr>
            </w:pPr>
            <w:r w:rsidRPr="005464FA">
              <w:rPr>
                <w:rFonts w:ascii="Arial Narrow" w:hAnsi="Arial Narrow"/>
                <w:b/>
                <w:bCs/>
                <w:sz w:val="20"/>
                <w:szCs w:val="20"/>
              </w:rPr>
              <w:t xml:space="preserve">Administrative advice: </w:t>
            </w:r>
          </w:p>
          <w:p w14:paraId="59B0C982" w14:textId="77777777" w:rsidR="00F3282C" w:rsidRPr="005464FA" w:rsidRDefault="00F3282C" w:rsidP="002D1F13">
            <w:pPr>
              <w:rPr>
                <w:rFonts w:ascii="Arial Narrow" w:hAnsi="Arial Narrow"/>
                <w:b/>
                <w:bCs/>
                <w:sz w:val="20"/>
                <w:szCs w:val="20"/>
              </w:rPr>
            </w:pPr>
            <w:r w:rsidRPr="005464FA">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F3282C" w:rsidRPr="005464FA" w14:paraId="685F381E" w14:textId="77777777" w:rsidTr="00F3282C">
        <w:tblPrEx>
          <w:tblCellMar>
            <w:top w:w="15" w:type="dxa"/>
            <w:bottom w:w="15" w:type="dxa"/>
          </w:tblCellMar>
          <w:tblLook w:val="04A0" w:firstRow="1" w:lastRow="0" w:firstColumn="1" w:lastColumn="0" w:noHBand="0" w:noVBand="1"/>
        </w:tblPrEx>
        <w:trPr>
          <w:trHeight w:val="20"/>
        </w:trPr>
        <w:tc>
          <w:tcPr>
            <w:tcW w:w="486" w:type="dxa"/>
            <w:vMerge/>
            <w:tcBorders>
              <w:left w:val="single" w:sz="4" w:space="0" w:color="auto"/>
              <w:right w:val="single" w:sz="4" w:space="0" w:color="auto"/>
            </w:tcBorders>
            <w:textDirection w:val="btLr"/>
            <w:vAlign w:val="center"/>
          </w:tcPr>
          <w:p w14:paraId="2A096B10" w14:textId="77777777" w:rsidR="00F3282C" w:rsidRPr="005464FA" w:rsidRDefault="00F3282C" w:rsidP="002D1F13">
            <w:pPr>
              <w:rPr>
                <w:rFonts w:ascii="Arial Narrow" w:hAnsi="Arial Narrow"/>
                <w:sz w:val="20"/>
                <w:szCs w:val="20"/>
              </w:rPr>
            </w:pPr>
          </w:p>
        </w:tc>
        <w:tc>
          <w:tcPr>
            <w:tcW w:w="787" w:type="dxa"/>
          </w:tcPr>
          <w:p w14:paraId="465D1F40" w14:textId="7EA1BE93"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7D84BD4D"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sz w:val="20"/>
                <w:szCs w:val="20"/>
              </w:rPr>
              <w:t xml:space="preserve">Administrative advice: </w:t>
            </w:r>
            <w:r w:rsidRPr="005464FA">
              <w:rPr>
                <w:rFonts w:ascii="Arial Narrow" w:hAnsi="Arial Narrow"/>
                <w:sz w:val="20"/>
                <w:szCs w:val="20"/>
              </w:rPr>
              <w:t>No increase in the maximum quantity or number of units may be authorised.</w:t>
            </w:r>
          </w:p>
        </w:tc>
      </w:tr>
      <w:tr w:rsidR="00F3282C" w:rsidRPr="005464FA" w14:paraId="108807FF" w14:textId="77777777" w:rsidTr="00F3282C">
        <w:tblPrEx>
          <w:tblCellMar>
            <w:top w:w="15" w:type="dxa"/>
            <w:bottom w:w="15" w:type="dxa"/>
          </w:tblCellMar>
          <w:tblLook w:val="04A0" w:firstRow="1" w:lastRow="0" w:firstColumn="1" w:lastColumn="0" w:noHBand="0" w:noVBand="1"/>
        </w:tblPrEx>
        <w:trPr>
          <w:trHeight w:val="20"/>
        </w:trPr>
        <w:tc>
          <w:tcPr>
            <w:tcW w:w="486" w:type="dxa"/>
            <w:vMerge/>
            <w:tcBorders>
              <w:left w:val="single" w:sz="4" w:space="0" w:color="auto"/>
              <w:right w:val="single" w:sz="4" w:space="0" w:color="auto"/>
            </w:tcBorders>
            <w:textDirection w:val="btLr"/>
            <w:vAlign w:val="center"/>
          </w:tcPr>
          <w:p w14:paraId="27F8CE90" w14:textId="77777777" w:rsidR="00F3282C" w:rsidRPr="005464FA" w:rsidRDefault="00F3282C" w:rsidP="002D1F13">
            <w:pPr>
              <w:rPr>
                <w:rFonts w:ascii="Arial Narrow" w:hAnsi="Arial Narrow"/>
                <w:sz w:val="20"/>
                <w:szCs w:val="20"/>
              </w:rPr>
            </w:pPr>
          </w:p>
        </w:tc>
        <w:tc>
          <w:tcPr>
            <w:tcW w:w="787" w:type="dxa"/>
          </w:tcPr>
          <w:p w14:paraId="0F1920DD" w14:textId="1E18FA0D"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520E7AC0"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sz w:val="20"/>
                <w:szCs w:val="20"/>
              </w:rPr>
              <w:t xml:space="preserve">Administrative advice: </w:t>
            </w:r>
            <w:r w:rsidRPr="005464FA">
              <w:rPr>
                <w:rFonts w:ascii="Arial Narrow" w:hAnsi="Arial Narrow"/>
                <w:sz w:val="20"/>
                <w:szCs w:val="20"/>
              </w:rPr>
              <w:t>No increase in the maximum number of repeats may be authorised.</w:t>
            </w:r>
          </w:p>
        </w:tc>
      </w:tr>
      <w:tr w:rsidR="00F3282C" w:rsidRPr="005464FA" w14:paraId="35BFD74E" w14:textId="77777777" w:rsidTr="00F3282C">
        <w:tblPrEx>
          <w:tblCellMar>
            <w:top w:w="15" w:type="dxa"/>
            <w:bottom w:w="15" w:type="dxa"/>
          </w:tblCellMar>
          <w:tblLook w:val="04A0" w:firstRow="1" w:lastRow="0" w:firstColumn="1" w:lastColumn="0" w:noHBand="0" w:noVBand="1"/>
        </w:tblPrEx>
        <w:trPr>
          <w:trHeight w:val="20"/>
        </w:trPr>
        <w:tc>
          <w:tcPr>
            <w:tcW w:w="486" w:type="dxa"/>
            <w:vMerge/>
            <w:tcBorders>
              <w:left w:val="single" w:sz="4" w:space="0" w:color="auto"/>
              <w:right w:val="single" w:sz="4" w:space="0" w:color="auto"/>
            </w:tcBorders>
            <w:textDirection w:val="btLr"/>
            <w:vAlign w:val="center"/>
          </w:tcPr>
          <w:p w14:paraId="4DA778DC" w14:textId="77777777" w:rsidR="00F3282C" w:rsidRPr="005464FA" w:rsidRDefault="00F3282C" w:rsidP="002D1F13">
            <w:pPr>
              <w:rPr>
                <w:rFonts w:ascii="Arial Narrow" w:hAnsi="Arial Narrow"/>
                <w:sz w:val="20"/>
                <w:szCs w:val="20"/>
              </w:rPr>
            </w:pPr>
          </w:p>
        </w:tc>
        <w:tc>
          <w:tcPr>
            <w:tcW w:w="787" w:type="dxa"/>
            <w:vAlign w:val="center"/>
          </w:tcPr>
          <w:p w14:paraId="2CD464BE" w14:textId="3F3D86E2"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6B29982D"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 xml:space="preserve">Administrative Advice: </w:t>
            </w:r>
            <w:r w:rsidRPr="005464FA">
              <w:rPr>
                <w:rFonts w:ascii="Arial Narrow" w:hAnsi="Arial Narrow"/>
                <w:color w:val="333333"/>
                <w:sz w:val="20"/>
                <w:szCs w:val="20"/>
              </w:rPr>
              <w:t>Special pricing arrangements apply.</w:t>
            </w:r>
            <w:r w:rsidRPr="005464FA">
              <w:rPr>
                <w:rFonts w:ascii="Arial Narrow" w:hAnsi="Arial Narrow"/>
                <w:b/>
                <w:bCs/>
                <w:color w:val="333333"/>
                <w:sz w:val="20"/>
                <w:szCs w:val="20"/>
              </w:rPr>
              <w:t xml:space="preserve"> </w:t>
            </w:r>
          </w:p>
        </w:tc>
      </w:tr>
      <w:tr w:rsidR="00F3282C" w:rsidRPr="005464FA" w14:paraId="2B006395"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1BB3A6FA" w14:textId="77777777" w:rsidR="00F3282C" w:rsidRPr="005464FA" w:rsidRDefault="00F3282C" w:rsidP="002D1F13">
            <w:pPr>
              <w:keepLines/>
              <w:jc w:val="center"/>
              <w:rPr>
                <w:rFonts w:ascii="Arial Narrow" w:hAnsi="Arial Narrow"/>
                <w:color w:val="333333"/>
                <w:sz w:val="20"/>
                <w:szCs w:val="20"/>
              </w:rPr>
            </w:pPr>
          </w:p>
        </w:tc>
        <w:tc>
          <w:tcPr>
            <w:tcW w:w="7744" w:type="dxa"/>
            <w:gridSpan w:val="6"/>
            <w:vAlign w:val="center"/>
          </w:tcPr>
          <w:p w14:paraId="56197DEA" w14:textId="77777777" w:rsidR="00F3282C" w:rsidRPr="005464FA" w:rsidRDefault="00F3282C" w:rsidP="002D1F13">
            <w:pPr>
              <w:keepLines/>
              <w:rPr>
                <w:rFonts w:ascii="Arial Narrow" w:hAnsi="Arial Narrow"/>
                <w:b/>
                <w:bCs/>
                <w:color w:val="333333"/>
                <w:sz w:val="20"/>
                <w:szCs w:val="20"/>
              </w:rPr>
            </w:pPr>
            <w:r w:rsidRPr="005464FA">
              <w:rPr>
                <w:rFonts w:ascii="Arial Narrow" w:hAnsi="Arial Narrow"/>
                <w:b/>
                <w:bCs/>
                <w:color w:val="333333"/>
                <w:sz w:val="20"/>
                <w:szCs w:val="20"/>
              </w:rPr>
              <w:t xml:space="preserve">Severity: </w:t>
            </w:r>
            <w:r w:rsidRPr="005464FA">
              <w:rPr>
                <w:rFonts w:ascii="Arial Narrow" w:hAnsi="Arial Narrow"/>
                <w:color w:val="333333"/>
                <w:sz w:val="20"/>
                <w:szCs w:val="20"/>
              </w:rPr>
              <w:t xml:space="preserve">Metastatic </w:t>
            </w:r>
          </w:p>
        </w:tc>
      </w:tr>
      <w:tr w:rsidR="00F3282C" w:rsidRPr="005464FA" w14:paraId="6B25316B"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8F92258" w14:textId="77777777" w:rsidR="00F3282C" w:rsidRPr="005464FA" w:rsidRDefault="00F3282C" w:rsidP="002D1F13">
            <w:pPr>
              <w:keepLines/>
              <w:jc w:val="center"/>
              <w:rPr>
                <w:rFonts w:ascii="Arial Narrow" w:hAnsi="Arial Narrow"/>
                <w:color w:val="333333"/>
                <w:sz w:val="20"/>
                <w:szCs w:val="20"/>
              </w:rPr>
            </w:pPr>
          </w:p>
        </w:tc>
        <w:tc>
          <w:tcPr>
            <w:tcW w:w="7744" w:type="dxa"/>
            <w:gridSpan w:val="6"/>
            <w:vAlign w:val="center"/>
          </w:tcPr>
          <w:p w14:paraId="18A7744B" w14:textId="77777777" w:rsidR="00F3282C" w:rsidRPr="005464FA" w:rsidRDefault="00F3282C" w:rsidP="002D1F13">
            <w:pPr>
              <w:keepLines/>
              <w:rPr>
                <w:rFonts w:ascii="Arial Narrow" w:hAnsi="Arial Narrow"/>
                <w:b/>
                <w:bCs/>
                <w:color w:val="333333"/>
                <w:sz w:val="20"/>
                <w:szCs w:val="20"/>
              </w:rPr>
            </w:pPr>
            <w:r w:rsidRPr="005464FA">
              <w:rPr>
                <w:rFonts w:ascii="Arial Narrow" w:hAnsi="Arial Narrow"/>
                <w:b/>
                <w:bCs/>
                <w:color w:val="333333"/>
                <w:sz w:val="20"/>
                <w:szCs w:val="20"/>
              </w:rPr>
              <w:t xml:space="preserve">Condition: </w:t>
            </w:r>
            <w:r w:rsidRPr="005464FA">
              <w:rPr>
                <w:rFonts w:ascii="Arial Narrow" w:hAnsi="Arial Narrow"/>
                <w:bCs/>
                <w:color w:val="333333"/>
                <w:sz w:val="20"/>
                <w:szCs w:val="20"/>
              </w:rPr>
              <w:t>Breast cancer</w:t>
            </w:r>
          </w:p>
        </w:tc>
      </w:tr>
      <w:tr w:rsidR="00F3282C" w:rsidRPr="005464FA" w14:paraId="15C108BF"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0CE5BD5A" w14:textId="77777777" w:rsidR="00F3282C" w:rsidRPr="005464FA" w:rsidRDefault="00F3282C" w:rsidP="002D1F13">
            <w:pPr>
              <w:keepLines/>
              <w:jc w:val="center"/>
              <w:rPr>
                <w:rFonts w:ascii="Arial Narrow" w:hAnsi="Arial Narrow"/>
                <w:color w:val="333333"/>
                <w:sz w:val="20"/>
                <w:szCs w:val="20"/>
              </w:rPr>
            </w:pPr>
          </w:p>
        </w:tc>
        <w:tc>
          <w:tcPr>
            <w:tcW w:w="7744" w:type="dxa"/>
            <w:gridSpan w:val="6"/>
            <w:vAlign w:val="center"/>
            <w:hideMark/>
          </w:tcPr>
          <w:p w14:paraId="649DD353" w14:textId="77777777" w:rsidR="00F3282C" w:rsidRPr="005464FA" w:rsidRDefault="00F3282C" w:rsidP="002D1F13">
            <w:pPr>
              <w:keepLines/>
              <w:rPr>
                <w:rFonts w:ascii="Arial Narrow" w:hAnsi="Arial Narrow"/>
                <w:color w:val="333333"/>
                <w:sz w:val="20"/>
                <w:szCs w:val="20"/>
              </w:rPr>
            </w:pPr>
            <w:r w:rsidRPr="005464FA">
              <w:rPr>
                <w:rFonts w:ascii="Arial Narrow" w:hAnsi="Arial Narrow"/>
                <w:b/>
                <w:bCs/>
                <w:color w:val="333333"/>
                <w:sz w:val="20"/>
                <w:szCs w:val="20"/>
              </w:rPr>
              <w:t>Indication:</w:t>
            </w:r>
            <w:r w:rsidRPr="005464FA">
              <w:rPr>
                <w:rFonts w:ascii="Arial Narrow" w:hAnsi="Arial Narrow"/>
                <w:color w:val="333333"/>
                <w:sz w:val="20"/>
                <w:szCs w:val="20"/>
              </w:rPr>
              <w:t xml:space="preserve"> Early breast cancer</w:t>
            </w:r>
          </w:p>
        </w:tc>
      </w:tr>
      <w:tr w:rsidR="00F3282C" w:rsidRPr="005464FA" w14:paraId="1E11B0D7"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297948F3"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hideMark/>
          </w:tcPr>
          <w:p w14:paraId="2CF069A5" w14:textId="77777777" w:rsidR="00F3282C" w:rsidRPr="005464FA" w:rsidRDefault="00F3282C" w:rsidP="002D1F13">
            <w:pPr>
              <w:rPr>
                <w:rFonts w:ascii="Arial Narrow" w:hAnsi="Arial Narrow"/>
                <w:sz w:val="20"/>
                <w:szCs w:val="20"/>
              </w:rPr>
            </w:pPr>
            <w:r w:rsidRPr="005464FA">
              <w:rPr>
                <w:rFonts w:ascii="Arial Narrow" w:hAnsi="Arial Narrow"/>
                <w:b/>
                <w:bCs/>
                <w:color w:val="333333"/>
                <w:sz w:val="20"/>
                <w:szCs w:val="20"/>
              </w:rPr>
              <w:t xml:space="preserve">Treatment </w:t>
            </w:r>
            <w:r w:rsidRPr="005464FA">
              <w:rPr>
                <w:rFonts w:ascii="Arial Narrow" w:hAnsi="Arial Narrow"/>
                <w:b/>
                <w:bCs/>
                <w:sz w:val="20"/>
                <w:szCs w:val="20"/>
              </w:rPr>
              <w:t>Phase:</w:t>
            </w:r>
            <w:r w:rsidRPr="005464FA">
              <w:rPr>
                <w:rFonts w:ascii="Arial Narrow" w:hAnsi="Arial Narrow"/>
                <w:sz w:val="20"/>
                <w:szCs w:val="20"/>
              </w:rPr>
              <w:t xml:space="preserve"> Initial treatment </w:t>
            </w:r>
          </w:p>
        </w:tc>
      </w:tr>
      <w:tr w:rsidR="00F3282C" w:rsidRPr="005464FA" w14:paraId="1420E204"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27B9F00A"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hideMark/>
          </w:tcPr>
          <w:p w14:paraId="233A717F" w14:textId="77777777" w:rsidR="00F3282C" w:rsidRPr="005464FA" w:rsidRDefault="00F3282C" w:rsidP="002D1F13">
            <w:pPr>
              <w:rPr>
                <w:rFonts w:ascii="Arial Narrow" w:hAnsi="Arial Narrow"/>
                <w:sz w:val="20"/>
                <w:szCs w:val="20"/>
              </w:rPr>
            </w:pPr>
            <w:r w:rsidRPr="005464FA">
              <w:rPr>
                <w:rFonts w:ascii="Arial Narrow" w:hAnsi="Arial Narrow"/>
                <w:b/>
                <w:bCs/>
                <w:color w:val="333333"/>
                <w:sz w:val="20"/>
                <w:szCs w:val="20"/>
              </w:rPr>
              <w:t xml:space="preserve">Clinical criteria: </w:t>
            </w:r>
          </w:p>
        </w:tc>
      </w:tr>
      <w:tr w:rsidR="00F3282C" w:rsidRPr="005464FA" w14:paraId="6B010367"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C8B74DD" w14:textId="366C74DA"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1D0F3215" w14:textId="77777777"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The condition must be human epidermal growth factor receptor 2 (HER2) negative</w:t>
            </w:r>
          </w:p>
        </w:tc>
      </w:tr>
      <w:tr w:rsidR="00F3282C" w:rsidRPr="005464FA" w14:paraId="181763AF"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20EC73F7"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2A2993CA"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AND</w:t>
            </w:r>
          </w:p>
        </w:tc>
      </w:tr>
      <w:tr w:rsidR="00F3282C" w:rsidRPr="005464FA" w14:paraId="0C0DF53E"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457E5FF"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4B1F5508"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Clinical criteria:</w:t>
            </w:r>
          </w:p>
        </w:tc>
      </w:tr>
      <w:tr w:rsidR="00F3282C" w:rsidRPr="005464FA" w14:paraId="266C6C9C"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0E85FD21" w14:textId="79CBA67C"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454C97E8" w14:textId="77777777" w:rsidR="00F3282C" w:rsidRPr="005464FA" w:rsidRDefault="00F3282C" w:rsidP="002D1F13">
            <w:pPr>
              <w:rPr>
                <w:rFonts w:ascii="Arial Narrow" w:hAnsi="Arial Narrow"/>
                <w:b/>
                <w:bCs/>
                <w:color w:val="333333"/>
                <w:sz w:val="20"/>
                <w:szCs w:val="20"/>
              </w:rPr>
            </w:pPr>
            <w:r w:rsidRPr="005464FA">
              <w:rPr>
                <w:rFonts w:ascii="Arial Narrow" w:hAnsi="Arial Narrow"/>
                <w:color w:val="333333"/>
                <w:sz w:val="20"/>
                <w:szCs w:val="20"/>
              </w:rPr>
              <w:t>Patient must have received neoadjuvant or adjuvant chemotherapy</w:t>
            </w:r>
          </w:p>
        </w:tc>
      </w:tr>
      <w:tr w:rsidR="00F3282C" w:rsidRPr="005464FA" w14:paraId="76B07F57"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288F6188"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1F9D757A" w14:textId="77777777" w:rsidR="00F3282C" w:rsidRPr="005464FA" w:rsidRDefault="00F3282C" w:rsidP="002D1F13">
            <w:pPr>
              <w:rPr>
                <w:rFonts w:ascii="Arial Narrow" w:hAnsi="Arial Narrow"/>
                <w:color w:val="333333"/>
                <w:sz w:val="20"/>
                <w:szCs w:val="20"/>
              </w:rPr>
            </w:pPr>
            <w:r w:rsidRPr="005464FA">
              <w:rPr>
                <w:rFonts w:ascii="Arial Narrow" w:hAnsi="Arial Narrow"/>
                <w:b/>
                <w:bCs/>
                <w:color w:val="333333"/>
                <w:sz w:val="20"/>
                <w:szCs w:val="20"/>
              </w:rPr>
              <w:t>AND</w:t>
            </w:r>
          </w:p>
        </w:tc>
      </w:tr>
      <w:tr w:rsidR="00F3282C" w:rsidRPr="005464FA" w14:paraId="6565B28D"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6C122B62"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10173555"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Clinical criteria:</w:t>
            </w:r>
          </w:p>
        </w:tc>
      </w:tr>
      <w:tr w:rsidR="00F3282C" w:rsidRPr="005464FA" w14:paraId="6A7ECD9F"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097FBFAA" w14:textId="14BED45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04E89A94" w14:textId="77777777"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The treatment must be adjuvant to surgical resection</w:t>
            </w:r>
          </w:p>
        </w:tc>
      </w:tr>
      <w:tr w:rsidR="00F3282C" w:rsidRPr="005464FA" w14:paraId="0C6E4C9B"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1DA32CE6"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17FE28C2"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AND</w:t>
            </w:r>
          </w:p>
        </w:tc>
      </w:tr>
      <w:tr w:rsidR="00F3282C" w:rsidRPr="005464FA" w14:paraId="35F9BDCB"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7E7D9DA3"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3415736C"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Clinical criteria:</w:t>
            </w:r>
          </w:p>
        </w:tc>
      </w:tr>
      <w:tr w:rsidR="00F3282C" w:rsidRPr="005464FA" w14:paraId="4D89B27F"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8F2DA21" w14:textId="217EE9E2" w:rsidR="00281AD8" w:rsidRPr="005464FA" w:rsidRDefault="00281AD8" w:rsidP="002D1F13">
            <w:pPr>
              <w:jc w:val="center"/>
              <w:rPr>
                <w:rFonts w:ascii="Arial Narrow" w:hAnsi="Arial Narrow"/>
                <w:color w:val="333333"/>
                <w:sz w:val="20"/>
                <w:szCs w:val="20"/>
              </w:rPr>
            </w:pPr>
          </w:p>
        </w:tc>
        <w:tc>
          <w:tcPr>
            <w:tcW w:w="7744" w:type="dxa"/>
            <w:gridSpan w:val="6"/>
            <w:vAlign w:val="center"/>
          </w:tcPr>
          <w:p w14:paraId="27A70579" w14:textId="4C5ECBD9"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 xml:space="preserve">The condition must be associated with a class 4 or 5 BRCA1 or BRCA2 gene </w:t>
            </w:r>
            <w:r w:rsidRPr="005464FA">
              <w:rPr>
                <w:rFonts w:ascii="Arial Narrow" w:hAnsi="Arial Narrow"/>
                <w:strike/>
                <w:color w:val="333333"/>
                <w:sz w:val="20"/>
                <w:szCs w:val="20"/>
              </w:rPr>
              <w:t>mutation</w:t>
            </w:r>
            <w:r w:rsidR="00236B9F" w:rsidRPr="005464FA">
              <w:rPr>
                <w:rFonts w:ascii="Arial Narrow" w:hAnsi="Arial Narrow"/>
                <w:color w:val="333333"/>
                <w:sz w:val="20"/>
                <w:szCs w:val="20"/>
              </w:rPr>
              <w:t xml:space="preserve"> </w:t>
            </w:r>
            <w:r w:rsidR="00680025" w:rsidRPr="005464FA">
              <w:rPr>
                <w:rFonts w:ascii="Arial Narrow" w:hAnsi="Arial Narrow"/>
                <w:i/>
                <w:iCs/>
                <w:color w:val="333333"/>
                <w:sz w:val="20"/>
                <w:szCs w:val="20"/>
              </w:rPr>
              <w:t>pathogenic</w:t>
            </w:r>
            <w:r w:rsidR="00680025" w:rsidRPr="005464FA">
              <w:rPr>
                <w:rFonts w:ascii="Arial Narrow" w:hAnsi="Arial Narrow"/>
                <w:color w:val="333333"/>
                <w:sz w:val="20"/>
                <w:szCs w:val="20"/>
              </w:rPr>
              <w:t xml:space="preserve"> </w:t>
            </w:r>
            <w:r w:rsidR="00236B9F" w:rsidRPr="005464FA">
              <w:rPr>
                <w:rFonts w:ascii="Arial Narrow" w:hAnsi="Arial Narrow"/>
                <w:i/>
                <w:iCs/>
                <w:color w:val="333333"/>
                <w:sz w:val="20"/>
                <w:szCs w:val="20"/>
              </w:rPr>
              <w:t>variant</w:t>
            </w:r>
          </w:p>
        </w:tc>
      </w:tr>
      <w:tr w:rsidR="00F3282C" w:rsidRPr="005464FA" w14:paraId="585FA46A"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36918D2D"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08E1C56D"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AND</w:t>
            </w:r>
          </w:p>
        </w:tc>
      </w:tr>
      <w:tr w:rsidR="00F3282C" w:rsidRPr="005464FA" w14:paraId="693651F3"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68334ABA"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12C6A1B5" w14:textId="77777777" w:rsidR="00F3282C" w:rsidRPr="005464FA" w:rsidRDefault="00F3282C" w:rsidP="002D1F13">
            <w:pPr>
              <w:rPr>
                <w:rFonts w:ascii="Arial Narrow" w:hAnsi="Arial Narrow"/>
                <w:color w:val="333333"/>
                <w:sz w:val="20"/>
                <w:szCs w:val="20"/>
              </w:rPr>
            </w:pPr>
            <w:r w:rsidRPr="005464FA">
              <w:rPr>
                <w:rFonts w:ascii="Arial Narrow" w:hAnsi="Arial Narrow"/>
                <w:b/>
                <w:bCs/>
                <w:color w:val="333333"/>
                <w:sz w:val="20"/>
                <w:szCs w:val="20"/>
              </w:rPr>
              <w:t>Clinical criteria:</w:t>
            </w:r>
          </w:p>
        </w:tc>
      </w:tr>
      <w:tr w:rsidR="00F3282C" w:rsidRPr="005464FA" w14:paraId="0367196C"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tcPr>
          <w:p w14:paraId="63F2D621" w14:textId="1CDF53A7" w:rsidR="00F3282C" w:rsidRPr="005464FA" w:rsidRDefault="00F3282C" w:rsidP="002D1F13">
            <w:pPr>
              <w:jc w:val="center"/>
              <w:rPr>
                <w:rFonts w:ascii="Arial Narrow" w:hAnsi="Arial Narrow"/>
                <w:color w:val="333333"/>
                <w:sz w:val="20"/>
                <w:szCs w:val="20"/>
              </w:rPr>
            </w:pPr>
          </w:p>
        </w:tc>
        <w:tc>
          <w:tcPr>
            <w:tcW w:w="7744" w:type="dxa"/>
            <w:gridSpan w:val="6"/>
          </w:tcPr>
          <w:p w14:paraId="760D9DAE" w14:textId="77777777"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Patient must have received neoadjuvant chemotherapy, and residual invasive cancer is confirmed in the breast and/or resected lymph nodes (pathological complete response was not achieved); or</w:t>
            </w:r>
          </w:p>
        </w:tc>
      </w:tr>
      <w:tr w:rsidR="00F3282C" w:rsidRPr="005464FA" w14:paraId="431B7B73"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tcPr>
          <w:p w14:paraId="2546E56E" w14:textId="3E98EB42" w:rsidR="00F3282C" w:rsidRPr="005464FA" w:rsidRDefault="00F3282C" w:rsidP="002D1F13">
            <w:pPr>
              <w:jc w:val="center"/>
              <w:rPr>
                <w:rFonts w:ascii="Arial Narrow" w:hAnsi="Arial Narrow"/>
                <w:color w:val="333333"/>
                <w:sz w:val="20"/>
                <w:szCs w:val="20"/>
              </w:rPr>
            </w:pPr>
          </w:p>
        </w:tc>
        <w:tc>
          <w:tcPr>
            <w:tcW w:w="7744" w:type="dxa"/>
            <w:gridSpan w:val="6"/>
          </w:tcPr>
          <w:p w14:paraId="2BDC7259" w14:textId="77777777"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Patient must have received adjuvant chemotherapy for triple negative breast cancer, and has either: (a) node positive disease is present, (b) a primary tumour greater than 20 mm; or</w:t>
            </w:r>
          </w:p>
        </w:tc>
      </w:tr>
      <w:tr w:rsidR="00F3282C" w:rsidRPr="005464FA" w14:paraId="10352B54"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tcPr>
          <w:p w14:paraId="105BD0AF" w14:textId="0B8628A8" w:rsidR="00F3282C" w:rsidRPr="005464FA" w:rsidRDefault="00F3282C" w:rsidP="002D1F13">
            <w:pPr>
              <w:jc w:val="center"/>
              <w:rPr>
                <w:rFonts w:ascii="Arial Narrow" w:hAnsi="Arial Narrow"/>
                <w:color w:val="333333"/>
                <w:sz w:val="20"/>
                <w:szCs w:val="20"/>
              </w:rPr>
            </w:pPr>
          </w:p>
        </w:tc>
        <w:tc>
          <w:tcPr>
            <w:tcW w:w="7744" w:type="dxa"/>
            <w:gridSpan w:val="6"/>
          </w:tcPr>
          <w:p w14:paraId="2D617E40" w14:textId="77777777"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Patient must have received adjuvant chemotherapy for hormone receptor positive breast cancer, and has at least 4 positive lymph nodes</w:t>
            </w:r>
          </w:p>
        </w:tc>
      </w:tr>
      <w:tr w:rsidR="00F3282C" w:rsidRPr="005464FA" w14:paraId="30691737"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tcPr>
          <w:p w14:paraId="62CBF354"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4542D819" w14:textId="77777777" w:rsidR="00F3282C" w:rsidRPr="005464FA" w:rsidRDefault="00F3282C" w:rsidP="002D1F13">
            <w:pPr>
              <w:rPr>
                <w:rFonts w:ascii="Arial Narrow" w:hAnsi="Arial Narrow"/>
                <w:color w:val="333333"/>
                <w:sz w:val="20"/>
                <w:szCs w:val="20"/>
              </w:rPr>
            </w:pPr>
            <w:r w:rsidRPr="005464FA">
              <w:rPr>
                <w:rFonts w:ascii="Arial Narrow" w:hAnsi="Arial Narrow"/>
                <w:b/>
                <w:bCs/>
                <w:color w:val="333333"/>
                <w:sz w:val="20"/>
                <w:szCs w:val="20"/>
              </w:rPr>
              <w:t>AND</w:t>
            </w:r>
          </w:p>
        </w:tc>
      </w:tr>
      <w:tr w:rsidR="00F3282C" w:rsidRPr="005464FA" w14:paraId="7501413D"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tcPr>
          <w:p w14:paraId="4AAC748B"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54FFD0FC" w14:textId="77777777" w:rsidR="00F3282C" w:rsidRPr="005464FA" w:rsidRDefault="00F3282C" w:rsidP="002D1F13">
            <w:pPr>
              <w:rPr>
                <w:rFonts w:ascii="Arial Narrow" w:hAnsi="Arial Narrow"/>
                <w:color w:val="333333"/>
                <w:sz w:val="20"/>
                <w:szCs w:val="20"/>
              </w:rPr>
            </w:pPr>
            <w:r w:rsidRPr="005464FA">
              <w:rPr>
                <w:rFonts w:ascii="Arial Narrow" w:hAnsi="Arial Narrow"/>
                <w:b/>
                <w:bCs/>
                <w:color w:val="333333"/>
                <w:sz w:val="20"/>
                <w:szCs w:val="20"/>
              </w:rPr>
              <w:t>Clinical criteria:</w:t>
            </w:r>
          </w:p>
        </w:tc>
      </w:tr>
      <w:tr w:rsidR="00F3282C" w:rsidRPr="005464FA" w14:paraId="01435C24"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tcPr>
          <w:p w14:paraId="4C30BE5D" w14:textId="34D27B2A" w:rsidR="00F3282C" w:rsidRPr="005464FA" w:rsidRDefault="00F3282C" w:rsidP="002D1F13">
            <w:pPr>
              <w:jc w:val="center"/>
              <w:rPr>
                <w:rFonts w:ascii="Arial Narrow" w:hAnsi="Arial Narrow"/>
                <w:color w:val="333333"/>
                <w:sz w:val="20"/>
                <w:szCs w:val="20"/>
              </w:rPr>
            </w:pPr>
          </w:p>
        </w:tc>
        <w:tc>
          <w:tcPr>
            <w:tcW w:w="7744" w:type="dxa"/>
            <w:gridSpan w:val="6"/>
          </w:tcPr>
          <w:p w14:paraId="0503E3B5" w14:textId="77777777"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The treatment must not be a PBS-subsidised benefit beyond the following, whichever comes first: (i) a total of 52 weeks of treatment (including any non-PBS-subsidised supply), (ii) disease recurrence. Mark any remaining repeat prescriptions with the word ‘cancelled’; where (i)/(ii) has occurred</w:t>
            </w:r>
          </w:p>
        </w:tc>
      </w:tr>
      <w:tr w:rsidR="00F3282C" w:rsidRPr="005464FA" w14:paraId="755BB2B6"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tcPr>
          <w:p w14:paraId="10328C33"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7E394010" w14:textId="77777777" w:rsidR="00F3282C" w:rsidRPr="005464FA" w:rsidRDefault="00F3282C" w:rsidP="002D1F13">
            <w:pPr>
              <w:rPr>
                <w:rFonts w:ascii="Arial Narrow" w:hAnsi="Arial Narrow"/>
                <w:color w:val="333333"/>
                <w:sz w:val="20"/>
                <w:szCs w:val="20"/>
              </w:rPr>
            </w:pPr>
            <w:r w:rsidRPr="005464FA">
              <w:rPr>
                <w:rFonts w:ascii="Arial Narrow" w:hAnsi="Arial Narrow"/>
                <w:b/>
                <w:bCs/>
                <w:color w:val="333333"/>
                <w:sz w:val="20"/>
                <w:szCs w:val="20"/>
              </w:rPr>
              <w:t>AND</w:t>
            </w:r>
          </w:p>
        </w:tc>
      </w:tr>
      <w:tr w:rsidR="00F3282C" w:rsidRPr="005464FA" w14:paraId="546A32C1"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tcPr>
          <w:p w14:paraId="59E3F351"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18FA465E" w14:textId="77777777" w:rsidR="00F3282C" w:rsidRPr="005464FA" w:rsidRDefault="00F3282C" w:rsidP="002D1F13">
            <w:pPr>
              <w:rPr>
                <w:rFonts w:ascii="Arial Narrow" w:hAnsi="Arial Narrow"/>
                <w:color w:val="333333"/>
                <w:sz w:val="20"/>
                <w:szCs w:val="20"/>
              </w:rPr>
            </w:pPr>
            <w:r w:rsidRPr="005464FA">
              <w:rPr>
                <w:rFonts w:ascii="Arial Narrow" w:hAnsi="Arial Narrow"/>
                <w:b/>
                <w:bCs/>
                <w:color w:val="333333"/>
                <w:sz w:val="20"/>
                <w:szCs w:val="20"/>
              </w:rPr>
              <w:t>Clinical criteria:</w:t>
            </w:r>
          </w:p>
        </w:tc>
      </w:tr>
      <w:tr w:rsidR="00F3282C" w:rsidRPr="005464FA" w14:paraId="7A34F48B"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tcPr>
          <w:p w14:paraId="0929EF35" w14:textId="09CBD4B3" w:rsidR="00F3282C" w:rsidRPr="005464FA" w:rsidRDefault="00F3282C" w:rsidP="002D1F13">
            <w:pPr>
              <w:jc w:val="center"/>
              <w:rPr>
                <w:rFonts w:ascii="Arial Narrow" w:hAnsi="Arial Narrow"/>
                <w:color w:val="333333"/>
                <w:sz w:val="20"/>
                <w:szCs w:val="20"/>
              </w:rPr>
            </w:pPr>
          </w:p>
        </w:tc>
        <w:tc>
          <w:tcPr>
            <w:tcW w:w="7744" w:type="dxa"/>
            <w:gridSpan w:val="6"/>
          </w:tcPr>
          <w:p w14:paraId="28CA769C" w14:textId="77777777"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The treatment must be commenced within 12 weeks of completing other therapy noting that other therapy can be any of the following therapy: (i) surgery, (ii) radiotherapy, (iii) chemotherapy</w:t>
            </w:r>
          </w:p>
        </w:tc>
      </w:tr>
      <w:tr w:rsidR="00F3282C" w:rsidRPr="005464FA" w14:paraId="5D456C92"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C966956"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1153F75D" w14:textId="77777777" w:rsidR="00F3282C" w:rsidRPr="005464FA" w:rsidRDefault="00F3282C" w:rsidP="002D1F13">
            <w:pPr>
              <w:rPr>
                <w:rFonts w:ascii="Arial Narrow" w:hAnsi="Arial Narrow"/>
                <w:color w:val="333333"/>
                <w:sz w:val="20"/>
                <w:szCs w:val="20"/>
              </w:rPr>
            </w:pPr>
            <w:r w:rsidRPr="005464FA">
              <w:rPr>
                <w:rFonts w:ascii="Arial Narrow" w:hAnsi="Arial Narrow"/>
                <w:b/>
                <w:bCs/>
                <w:color w:val="333333"/>
                <w:sz w:val="20"/>
                <w:szCs w:val="20"/>
              </w:rPr>
              <w:t>AND</w:t>
            </w:r>
          </w:p>
        </w:tc>
      </w:tr>
      <w:tr w:rsidR="00F3282C" w:rsidRPr="005464FA" w14:paraId="255541A4"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B63094F"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31690799"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Clinical criteria:</w:t>
            </w:r>
          </w:p>
        </w:tc>
      </w:tr>
      <w:tr w:rsidR="00F3282C" w:rsidRPr="005464FA" w14:paraId="557A0A4A"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2C3E7E0" w14:textId="6BAB93B8"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40A3582A" w14:textId="77777777" w:rsidR="00F3282C" w:rsidRPr="005464FA" w:rsidRDefault="00F3282C" w:rsidP="002D1F13">
            <w:pPr>
              <w:rPr>
                <w:rFonts w:ascii="Arial Narrow" w:hAnsi="Arial Narrow"/>
                <w:color w:val="333333"/>
                <w:sz w:val="20"/>
                <w:szCs w:val="20"/>
              </w:rPr>
            </w:pPr>
            <w:r w:rsidRPr="005464FA">
              <w:rPr>
                <w:rFonts w:ascii="Arial Narrow" w:hAnsi="Arial Narrow"/>
                <w:color w:val="333333"/>
                <w:sz w:val="20"/>
                <w:szCs w:val="20"/>
              </w:rPr>
              <w:t>The treatment must not be in combination with any of the following: (i) abemaciclib, (ii) pembrolizumab</w:t>
            </w:r>
          </w:p>
        </w:tc>
      </w:tr>
      <w:tr w:rsidR="00F3282C" w:rsidRPr="005464FA" w14:paraId="1908C8EC"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12A7F57E" w14:textId="77777777"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5081A7A2" w14:textId="21B4D5D0"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 xml:space="preserve">Prescribing Instructions: </w:t>
            </w:r>
            <w:r w:rsidRPr="005464FA">
              <w:rPr>
                <w:rFonts w:ascii="Arial Narrow" w:hAnsi="Arial Narrow"/>
                <w:color w:val="333333"/>
                <w:sz w:val="20"/>
                <w:szCs w:val="20"/>
              </w:rPr>
              <w:t>Retain all pathology imaging and investigative test results in the patient</w:t>
            </w:r>
            <w:r w:rsidR="00281AD8" w:rsidRPr="005464FA">
              <w:rPr>
                <w:rFonts w:ascii="Arial Narrow" w:hAnsi="Arial Narrow"/>
                <w:color w:val="333333"/>
                <w:sz w:val="20"/>
                <w:szCs w:val="20"/>
              </w:rPr>
              <w:t>’</w:t>
            </w:r>
            <w:r w:rsidRPr="005464FA">
              <w:rPr>
                <w:rFonts w:ascii="Arial Narrow" w:hAnsi="Arial Narrow"/>
                <w:color w:val="333333"/>
                <w:sz w:val="20"/>
                <w:szCs w:val="20"/>
              </w:rPr>
              <w:t>s medical records.</w:t>
            </w:r>
          </w:p>
        </w:tc>
      </w:tr>
      <w:tr w:rsidR="00F3282C" w:rsidRPr="005464FA" w14:paraId="6756E68E" w14:textId="77777777" w:rsidTr="00F3282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0110BBC3" w14:textId="304ED8A1" w:rsidR="00F3282C" w:rsidRPr="005464FA" w:rsidRDefault="00F3282C" w:rsidP="002D1F13">
            <w:pPr>
              <w:jc w:val="center"/>
              <w:rPr>
                <w:rFonts w:ascii="Arial Narrow" w:hAnsi="Arial Narrow"/>
                <w:color w:val="333333"/>
                <w:sz w:val="20"/>
                <w:szCs w:val="20"/>
              </w:rPr>
            </w:pPr>
          </w:p>
        </w:tc>
        <w:tc>
          <w:tcPr>
            <w:tcW w:w="7744" w:type="dxa"/>
            <w:gridSpan w:val="6"/>
            <w:vAlign w:val="center"/>
          </w:tcPr>
          <w:p w14:paraId="79FFD9E4" w14:textId="77777777" w:rsidR="00F3282C" w:rsidRPr="005464FA" w:rsidRDefault="00F3282C" w:rsidP="002D1F13">
            <w:pPr>
              <w:rPr>
                <w:rFonts w:ascii="Arial Narrow" w:hAnsi="Arial Narrow"/>
                <w:b/>
                <w:bCs/>
                <w:color w:val="333333"/>
                <w:sz w:val="20"/>
                <w:szCs w:val="20"/>
              </w:rPr>
            </w:pPr>
            <w:r w:rsidRPr="005464FA">
              <w:rPr>
                <w:rFonts w:ascii="Arial Narrow" w:hAnsi="Arial Narrow"/>
                <w:b/>
                <w:bCs/>
                <w:color w:val="333333"/>
                <w:sz w:val="20"/>
                <w:szCs w:val="20"/>
              </w:rPr>
              <w:t>Prescribing Instructions:</w:t>
            </w:r>
            <w:r w:rsidRPr="005464FA">
              <w:rPr>
                <w:rFonts w:ascii="Arial Narrow" w:hAnsi="Arial Narrow"/>
                <w:color w:val="333333"/>
                <w:sz w:val="20"/>
                <w:szCs w:val="20"/>
              </w:rPr>
              <w:t xml:space="preserve"> </w:t>
            </w:r>
            <w:r w:rsidRPr="005464FA">
              <w:rPr>
                <w:rFonts w:ascii="Arial Narrow" w:hAnsi="Arial Narrow"/>
                <w:i/>
                <w:iCs/>
                <w:color w:val="333333"/>
                <w:sz w:val="20"/>
                <w:szCs w:val="20"/>
              </w:rPr>
              <w:t>Treatment with this drug for this condition is restricted to one line of therapy at any disease staging for breast cancer (i.e. if therapy has been prescribed for early disease, subsidy under metastatic disease is no longer available).</w:t>
            </w:r>
          </w:p>
        </w:tc>
      </w:tr>
    </w:tbl>
    <w:p w14:paraId="24ECAD4A" w14:textId="77777777" w:rsidR="00162D7C" w:rsidRPr="005464FA" w:rsidRDefault="00162D7C" w:rsidP="00162D7C">
      <w:pPr>
        <w:spacing w:before="120"/>
        <w:rPr>
          <w:rFonts w:asciiTheme="minorHAnsi" w:hAnsiTheme="minorHAnsi"/>
          <w:b/>
          <w:i/>
          <w:iCs/>
          <w:snapToGrid w:val="0"/>
        </w:rPr>
      </w:pPr>
      <w:r w:rsidRPr="005464FA">
        <w:rPr>
          <w:rFonts w:asciiTheme="minorHAnsi" w:hAnsiTheme="minorHAnsi"/>
          <w:b/>
          <w:i/>
          <w:iCs/>
          <w:snapToGrid w:val="0"/>
        </w:rPr>
        <w:t>These restrictions may be subject to further review. Should there be any changes made to the restriction the sponsor will be informed.</w:t>
      </w:r>
    </w:p>
    <w:bookmarkEnd w:id="106"/>
    <w:bookmarkEnd w:id="1"/>
    <w:bookmarkEnd w:id="2"/>
    <w:bookmarkEnd w:id="3"/>
    <w:bookmarkEnd w:id="4"/>
    <w:bookmarkEnd w:id="5"/>
    <w:p w14:paraId="4A5B40F1" w14:textId="77777777" w:rsidR="000C3235" w:rsidRDefault="000C3235" w:rsidP="005F522F">
      <w:pPr>
        <w:pStyle w:val="2-SectionHeading"/>
        <w:rPr>
          <w:bCs/>
          <w:lang w:val="en-GB"/>
        </w:rPr>
      </w:pPr>
      <w:r w:rsidRPr="00C07617">
        <w:t>Context for Decision</w:t>
      </w:r>
    </w:p>
    <w:p w14:paraId="29D73644" w14:textId="77777777" w:rsidR="000C3235" w:rsidRPr="00311EEF" w:rsidRDefault="000C3235" w:rsidP="000C3235">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311EEF">
        <w:rPr>
          <w:rFonts w:asciiTheme="minorHAnsi" w:hAnsiTheme="minorHAnsi"/>
          <w:bCs/>
          <w:lang w:val="en-GB"/>
        </w:rPr>
        <w:t>be made</w:t>
      </w:r>
      <w:proofErr w:type="gramEnd"/>
      <w:r w:rsidRPr="00311EEF">
        <w:rPr>
          <w:rFonts w:asciiTheme="minorHAnsi" w:hAnsiTheme="minorHAnsi"/>
          <w:bCs/>
          <w:lang w:val="en-GB"/>
        </w:rPr>
        <w:t xml:space="preserve"> available through the PBS. The PBAC welcomes applications containing </w:t>
      </w:r>
      <w:proofErr w:type="gramStart"/>
      <w:r w:rsidRPr="00311EEF">
        <w:rPr>
          <w:rFonts w:asciiTheme="minorHAnsi" w:hAnsiTheme="minorHAnsi"/>
          <w:bCs/>
          <w:lang w:val="en-GB"/>
        </w:rPr>
        <w:t>new information</w:t>
      </w:r>
      <w:proofErr w:type="gramEnd"/>
      <w:r w:rsidRPr="00311EEF">
        <w:rPr>
          <w:rFonts w:asciiTheme="minorHAnsi" w:hAnsiTheme="minorHAnsi"/>
          <w:bCs/>
          <w:lang w:val="en-GB"/>
        </w:rPr>
        <w:t xml:space="preserve"> at any time.</w:t>
      </w:r>
    </w:p>
    <w:p w14:paraId="4049AAF1" w14:textId="690A3D86" w:rsidR="000C3235" w:rsidRPr="00311EEF" w:rsidRDefault="000C3235" w:rsidP="005F522F">
      <w:pPr>
        <w:pStyle w:val="2-SectionHeading"/>
      </w:pPr>
      <w:r w:rsidRPr="00311EEF">
        <w:t>Sponsor’s Comment</w:t>
      </w:r>
    </w:p>
    <w:p w14:paraId="6B1F69DC" w14:textId="7C45DEB9" w:rsidR="00130D4C" w:rsidRPr="005464FA" w:rsidRDefault="00130D4C" w:rsidP="005F522F">
      <w:pPr>
        <w:spacing w:after="120"/>
        <w:ind w:left="720"/>
      </w:pPr>
      <w:r w:rsidRPr="00C07617">
        <w:rPr>
          <w:rFonts w:asciiTheme="minorHAnsi" w:hAnsiTheme="minorHAnsi"/>
          <w:bCs/>
        </w:rPr>
        <w:t>The sponsor had no comment.</w:t>
      </w:r>
    </w:p>
    <w:sectPr w:rsidR="00130D4C" w:rsidRPr="005464FA" w:rsidSect="00837FEB">
      <w:headerReference w:type="default" r:id="rId14"/>
      <w:footerReference w:type="defaul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082C" w14:textId="77777777" w:rsidR="008158E9" w:rsidRDefault="008158E9" w:rsidP="00124A51">
      <w:r>
        <w:separator/>
      </w:r>
    </w:p>
    <w:p w14:paraId="4EF27C71" w14:textId="77777777" w:rsidR="008158E9" w:rsidRDefault="008158E9"/>
  </w:endnote>
  <w:endnote w:type="continuationSeparator" w:id="0">
    <w:p w14:paraId="64F0D3E6" w14:textId="77777777" w:rsidR="008158E9" w:rsidRDefault="008158E9" w:rsidP="00124A51">
      <w:r>
        <w:continuationSeparator/>
      </w:r>
    </w:p>
    <w:p w14:paraId="05FDFC4B" w14:textId="77777777" w:rsidR="008158E9" w:rsidRDefault="008158E9"/>
  </w:endnote>
  <w:endnote w:type="continuationNotice" w:id="1">
    <w:p w14:paraId="3D47A77D" w14:textId="77777777" w:rsidR="008158E9" w:rsidRDefault="00815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7F68" w14:textId="77777777" w:rsidR="00A1135A" w:rsidRDefault="00A1135A" w:rsidP="00753B29">
    <w:pPr>
      <w:pStyle w:val="Footer"/>
      <w:jc w:val="center"/>
    </w:pPr>
  </w:p>
  <w:p w14:paraId="2C1E9BEA" w14:textId="7BA1B601" w:rsidR="00A1135A" w:rsidRPr="00162D7C" w:rsidRDefault="006A43A5" w:rsidP="00753B29">
    <w:pPr>
      <w:pStyle w:val="Footer"/>
      <w:jc w:val="center"/>
      <w:rPr>
        <w:b/>
        <w:bCs/>
      </w:rPr>
    </w:pPr>
    <w:sdt>
      <w:sdtPr>
        <w:id w:val="-591313199"/>
        <w:docPartObj>
          <w:docPartGallery w:val="Page Numbers (Bottom of Page)"/>
          <w:docPartUnique/>
        </w:docPartObj>
      </w:sdtPr>
      <w:sdtEndPr>
        <w:rPr>
          <w:b/>
          <w:bCs/>
          <w:noProof/>
        </w:rPr>
      </w:sdtEndPr>
      <w:sdtContent>
        <w:r w:rsidR="00A1135A" w:rsidRPr="00162D7C">
          <w:rPr>
            <w:b/>
            <w:bCs/>
          </w:rPr>
          <w:fldChar w:fldCharType="begin"/>
        </w:r>
        <w:r w:rsidR="00A1135A" w:rsidRPr="00162D7C">
          <w:rPr>
            <w:b/>
            <w:bCs/>
          </w:rPr>
          <w:instrText xml:space="preserve"> PAGE   \* MERGEFORMAT </w:instrText>
        </w:r>
        <w:r w:rsidR="00A1135A" w:rsidRPr="00162D7C">
          <w:rPr>
            <w:b/>
            <w:bCs/>
          </w:rPr>
          <w:fldChar w:fldCharType="separate"/>
        </w:r>
        <w:r w:rsidR="00A1135A" w:rsidRPr="00162D7C">
          <w:rPr>
            <w:b/>
            <w:bCs/>
            <w:noProof/>
          </w:rPr>
          <w:t>2</w:t>
        </w:r>
        <w:r w:rsidR="00A1135A" w:rsidRPr="00162D7C">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DD18" w14:textId="77777777" w:rsidR="008158E9" w:rsidRDefault="008158E9" w:rsidP="00124A51">
      <w:r>
        <w:separator/>
      </w:r>
    </w:p>
    <w:p w14:paraId="73DBAEAB" w14:textId="77777777" w:rsidR="008158E9" w:rsidRDefault="008158E9"/>
  </w:footnote>
  <w:footnote w:type="continuationSeparator" w:id="0">
    <w:p w14:paraId="2A353E1C" w14:textId="77777777" w:rsidR="008158E9" w:rsidRDefault="008158E9" w:rsidP="00124A51">
      <w:r>
        <w:continuationSeparator/>
      </w:r>
    </w:p>
    <w:p w14:paraId="579C7A42" w14:textId="77777777" w:rsidR="008158E9" w:rsidRDefault="008158E9"/>
  </w:footnote>
  <w:footnote w:type="continuationNotice" w:id="1">
    <w:p w14:paraId="299B48E4" w14:textId="77777777" w:rsidR="008158E9" w:rsidRDefault="008158E9"/>
  </w:footnote>
  <w:footnote w:id="2">
    <w:p w14:paraId="520860DA" w14:textId="452B8C0A" w:rsidR="00583F76" w:rsidRPr="00583F76" w:rsidRDefault="00583F76" w:rsidP="00A747F4">
      <w:pPr>
        <w:pStyle w:val="FootnoteText"/>
        <w:jc w:val="left"/>
      </w:pPr>
      <w:r>
        <w:rPr>
          <w:rStyle w:val="FootnoteReference"/>
        </w:rPr>
        <w:footnoteRef/>
      </w:r>
      <w:r>
        <w:t xml:space="preserve"> </w:t>
      </w:r>
      <w:r w:rsidRPr="00583F76">
        <w:t>Curigliano</w:t>
      </w:r>
      <w:r>
        <w:t xml:space="preserve"> et al (2023). </w:t>
      </w:r>
      <w:r w:rsidRPr="00583F76">
        <w:t>ESMO Metastatic Breast Cancer Living Guidelines, v1.1 May 2023</w:t>
      </w:r>
      <w:r>
        <w:t xml:space="preserve">, </w:t>
      </w:r>
      <w:r w:rsidRPr="00583F76">
        <w:t>https://www.esmo.org/living-guidelines/esmo-metastatic-breast-cancer-living-guideline</w:t>
      </w:r>
      <w:r>
        <w:t>.</w:t>
      </w:r>
    </w:p>
  </w:footnote>
  <w:footnote w:id="3">
    <w:p w14:paraId="2519603E" w14:textId="48E73A6F" w:rsidR="00A5382E" w:rsidRPr="00E03CAC" w:rsidRDefault="00A5382E" w:rsidP="00A5382E">
      <w:pPr>
        <w:pStyle w:val="TableText0"/>
        <w:rPr>
          <w:rFonts w:ascii="Calibri" w:hAnsi="Calibri" w:cs="Calibri"/>
        </w:rPr>
      </w:pPr>
      <w:r w:rsidRPr="00E03CAC">
        <w:rPr>
          <w:rStyle w:val="FootnoteReference"/>
          <w:rFonts w:ascii="Calibri" w:hAnsi="Calibri" w:cs="Calibri"/>
        </w:rPr>
        <w:footnoteRef/>
      </w:r>
      <w:r w:rsidRPr="00E03CAC">
        <w:rPr>
          <w:rFonts w:ascii="Calibri" w:hAnsi="Calibri" w:cs="Calibri"/>
        </w:rPr>
        <w:t xml:space="preserve"> In March 2023, the PBAC recommended the listing of pembrolizumab for the treatment of patients with locally recurrent unresectable or metastatic TNBC whose tumours express PD-L1 (CPS ≥10). (https://www.pbs.gov.au/industry/listing/elements/pbac-meetings/psd/2023-03/files/pembrolizumab-mtnbc-psd-03-2023.pdf)</w:t>
      </w:r>
    </w:p>
  </w:footnote>
  <w:footnote w:id="4">
    <w:p w14:paraId="56FF8316" w14:textId="54E42479" w:rsidR="00A5382E" w:rsidRDefault="00A5382E" w:rsidP="00B10901">
      <w:pPr>
        <w:pStyle w:val="TableText0"/>
      </w:pPr>
      <w:r w:rsidRPr="00E03CAC">
        <w:rPr>
          <w:rStyle w:val="FootnoteReference"/>
          <w:rFonts w:ascii="Calibri" w:hAnsi="Calibri" w:cs="Calibri"/>
        </w:rPr>
        <w:footnoteRef/>
      </w:r>
      <w:r w:rsidRPr="00E03CAC">
        <w:rPr>
          <w:rFonts w:ascii="Calibri" w:hAnsi="Calibri" w:cs="Calibri"/>
        </w:rPr>
        <w:t xml:space="preserve"> In March 2022, the PBAC recommended the listing of sacituzumab govitecan for the treatment of patients with unresectable locally advanced or metastatic </w:t>
      </w:r>
      <w:r w:rsidR="00B10901" w:rsidRPr="00E03CAC">
        <w:rPr>
          <w:rFonts w:ascii="Calibri" w:hAnsi="Calibri" w:cs="Calibri"/>
        </w:rPr>
        <w:t>TNBC</w:t>
      </w:r>
      <w:r w:rsidRPr="00E03CAC">
        <w:rPr>
          <w:rFonts w:ascii="Calibri" w:hAnsi="Calibri" w:cs="Calibri"/>
        </w:rPr>
        <w:t xml:space="preserve"> who have received at least two prior therapies. </w:t>
      </w:r>
      <w:r w:rsidR="00B10901" w:rsidRPr="00E03CAC">
        <w:rPr>
          <w:rFonts w:ascii="Calibri" w:hAnsi="Calibri" w:cs="Calibri"/>
        </w:rPr>
        <w:t>(https://www.pbs.gov.au/industry/listing/elements/pbac-meetings/psd/2022-03/files/sacituzumab-</w:t>
      </w:r>
      <w:r w:rsidR="00B37E57">
        <w:rPr>
          <w:rFonts w:ascii="Calibri" w:hAnsi="Calibri" w:cs="Calibri"/>
        </w:rPr>
        <w:t>govt</w:t>
      </w:r>
      <w:r w:rsidR="003E3328">
        <w:rPr>
          <w:rFonts w:ascii="Calibri" w:hAnsi="Calibri" w:cs="Calibri"/>
        </w:rPr>
        <w:t>e</w:t>
      </w:r>
      <w:r w:rsidR="00B37E57">
        <w:rPr>
          <w:rFonts w:ascii="Calibri" w:hAnsi="Calibri" w:cs="Calibri"/>
        </w:rPr>
        <w:t>can</w:t>
      </w:r>
      <w:r w:rsidR="00B10901" w:rsidRPr="00E03CAC">
        <w:rPr>
          <w:rFonts w:ascii="Calibri" w:hAnsi="Calibri" w:cs="Calibri"/>
        </w:rPr>
        <w:t>-psd-march-2022.pdf).</w:t>
      </w:r>
    </w:p>
  </w:footnote>
  <w:footnote w:id="5">
    <w:p w14:paraId="5A386D5F" w14:textId="1892C82F" w:rsidR="00CA1BA8" w:rsidRPr="00CA1BA8" w:rsidRDefault="00CA1BA8">
      <w:pPr>
        <w:pStyle w:val="FootnoteText"/>
      </w:pPr>
      <w:r w:rsidRPr="00CA1BA8">
        <w:rPr>
          <w:rStyle w:val="FootnoteReference"/>
        </w:rPr>
        <w:footnoteRef/>
      </w:r>
      <w:r w:rsidRPr="00CA1BA8">
        <w:t xml:space="preserve"> </w:t>
      </w:r>
      <w:r w:rsidRPr="00CA1BA8">
        <w:rPr>
          <w:rFonts w:asciiTheme="minorHAnsi" w:hAnsiTheme="minorHAnsi"/>
          <w:bCs/>
          <w:snapToGrid w:val="0"/>
        </w:rPr>
        <w:t>Cherny NI, Dafni U, Bogaerts J, et al: ESMO-Magnitude of Clinical Benefit Scale version 1.1. Annals of Oncology 28:2340-2366, 2017</w:t>
      </w:r>
    </w:p>
  </w:footnote>
  <w:footnote w:id="6">
    <w:p w14:paraId="06CB3229" w14:textId="7E513B8B" w:rsidR="002B172F" w:rsidRDefault="002B172F">
      <w:pPr>
        <w:pStyle w:val="FootnoteText"/>
      </w:pPr>
      <w:r>
        <w:rPr>
          <w:rStyle w:val="FootnoteReference"/>
        </w:rPr>
        <w:footnoteRef/>
      </w:r>
      <w:r>
        <w:t xml:space="preserve"> </w:t>
      </w:r>
      <w:r w:rsidRPr="002B172F">
        <w:rPr>
          <w:rFonts w:asciiTheme="minorHAnsi" w:hAnsiTheme="minorHAnsi" w:cstheme="minorHAnsi"/>
          <w:color w:val="222222"/>
          <w:shd w:val="clear" w:color="auto" w:fill="FFFFFF"/>
        </w:rPr>
        <w:t>Balmaña, J., Fasching, P.A., Couch, F.J. </w:t>
      </w:r>
      <w:r w:rsidRPr="002B172F">
        <w:rPr>
          <w:rFonts w:asciiTheme="minorHAnsi" w:hAnsiTheme="minorHAnsi" w:cstheme="minorHAnsi"/>
          <w:i/>
          <w:iCs/>
          <w:color w:val="222222"/>
          <w:shd w:val="clear" w:color="auto" w:fill="FFFFFF"/>
        </w:rPr>
        <w:t>et al.</w:t>
      </w:r>
      <w:r w:rsidRPr="002B172F">
        <w:rPr>
          <w:rFonts w:asciiTheme="minorHAnsi" w:hAnsiTheme="minorHAnsi" w:cstheme="minorHAnsi"/>
          <w:color w:val="222222"/>
          <w:shd w:val="clear" w:color="auto" w:fill="FFFFFF"/>
        </w:rPr>
        <w:t> Clinical effectiveness and safety of olaparib in BRCA-mutated, HER2-negative metastatic breast cancer in a real-world setting: final analysis of LUCY. </w:t>
      </w:r>
      <w:r w:rsidRPr="002B172F">
        <w:rPr>
          <w:rFonts w:asciiTheme="minorHAnsi" w:hAnsiTheme="minorHAnsi" w:cstheme="minorHAnsi"/>
          <w:i/>
          <w:iCs/>
          <w:color w:val="222222"/>
          <w:shd w:val="clear" w:color="auto" w:fill="FFFFFF"/>
        </w:rPr>
        <w:t>Breast Cancer Res Treat</w:t>
      </w:r>
      <w:r w:rsidRPr="002B172F">
        <w:rPr>
          <w:rFonts w:asciiTheme="minorHAnsi" w:hAnsiTheme="minorHAnsi" w:cstheme="minorHAnsi"/>
          <w:color w:val="222222"/>
          <w:shd w:val="clear" w:color="auto" w:fill="FFFFFF"/>
        </w:rPr>
        <w:t> </w:t>
      </w:r>
      <w:r w:rsidRPr="002B172F">
        <w:rPr>
          <w:rFonts w:asciiTheme="minorHAnsi" w:hAnsiTheme="minorHAnsi" w:cstheme="minorHAnsi"/>
          <w:b/>
          <w:bCs/>
          <w:color w:val="222222"/>
          <w:shd w:val="clear" w:color="auto" w:fill="FFFFFF"/>
        </w:rPr>
        <w:t>204</w:t>
      </w:r>
      <w:r w:rsidRPr="002B172F">
        <w:rPr>
          <w:rFonts w:asciiTheme="minorHAnsi" w:hAnsiTheme="minorHAnsi" w:cstheme="minorHAnsi"/>
          <w:color w:val="222222"/>
          <w:shd w:val="clear" w:color="auto" w:fill="FFFFFF"/>
        </w:rPr>
        <w:t>, 237–248 (2024). https://doi.org/10.1007/s10549-023-07165-x</w:t>
      </w:r>
    </w:p>
  </w:footnote>
  <w:footnote w:id="7">
    <w:p w14:paraId="0574D9FD" w14:textId="6EDC01F4" w:rsidR="007D10B7" w:rsidRDefault="007D10B7">
      <w:pPr>
        <w:pStyle w:val="FootnoteText"/>
      </w:pPr>
      <w:r>
        <w:rPr>
          <w:rStyle w:val="FootnoteReference"/>
        </w:rPr>
        <w:footnoteRef/>
      </w:r>
      <w:r>
        <w:t xml:space="preserve"> </w:t>
      </w:r>
      <w:r w:rsidRPr="007D10B7">
        <w:t>Osoba D, Rodrigues G, Myles J, Zee B, Pater J. Interpreting the significance of changes in health-related quality-of-life scores. J Clin Oncol. 1998 Jan;16(1):139-44.</w:t>
      </w:r>
    </w:p>
  </w:footnote>
  <w:footnote w:id="8">
    <w:p w14:paraId="52A5D8CB" w14:textId="14D99504" w:rsidR="00465790" w:rsidRPr="00BC083E" w:rsidRDefault="00465790">
      <w:pPr>
        <w:pStyle w:val="FootnoteText"/>
      </w:pPr>
      <w:r w:rsidRPr="00BC083E">
        <w:rPr>
          <w:rStyle w:val="FootnoteReference"/>
        </w:rPr>
        <w:footnoteRef/>
      </w:r>
      <w:r w:rsidRPr="00BC083E">
        <w:t xml:space="preserve"> </w:t>
      </w:r>
      <w:r w:rsidRPr="00BC083E">
        <w:rPr>
          <w:rFonts w:ascii="Segoe UI" w:hAnsi="Segoe UI" w:cs="Segoe UI"/>
          <w:color w:val="212121"/>
          <w:shd w:val="clear" w:color="auto" w:fill="FFFFFF"/>
        </w:rPr>
        <w:t>Norman R, Mulhern B, Lancsar E, Lorgelly P, Ratcliffe J, Street D, Viney R. The Use of a Discrete Choice Experiment Including Both Duration and Dead for the Development of an EQ-5D-5L Value Set for Australia. Pharmacoeconomics. 2023 Apr;41(4):427-438. doi: 10.1007/s40273-023-01243-0. Epub 2023 Jan 31. PMID: 36720793; PMCID: PMC10020301.</w:t>
      </w:r>
    </w:p>
  </w:footnote>
  <w:footnote w:id="9">
    <w:p w14:paraId="7D321DB8" w14:textId="5D8987D5" w:rsidR="00F515BC" w:rsidRDefault="00F515BC">
      <w:pPr>
        <w:pStyle w:val="FootnoteText"/>
      </w:pPr>
      <w:r>
        <w:rPr>
          <w:rStyle w:val="FootnoteReference"/>
        </w:rPr>
        <w:footnoteRef/>
      </w:r>
      <w:r>
        <w:t xml:space="preserve"> Revised </w:t>
      </w:r>
      <w:r w:rsidR="009E41C6">
        <w:t xml:space="preserve">to correct removal of sacituzumab </w:t>
      </w:r>
      <w:r w:rsidR="003E3328">
        <w:t>govitecan</w:t>
      </w:r>
      <w:r w:rsidR="009E41C6">
        <w:t xml:space="preserve">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DD72" w14:textId="4A7D1506" w:rsidR="00A1135A" w:rsidRPr="00195452" w:rsidRDefault="00857EAA" w:rsidP="00D822E2">
    <w:pPr>
      <w:pStyle w:val="Header"/>
      <w:rPr>
        <w:rFonts w:asciiTheme="minorHAnsi" w:hAnsiTheme="minorHAnsi"/>
        <w:i/>
        <w:color w:val="808080"/>
      </w:rPr>
    </w:pPr>
    <w:r>
      <w:rPr>
        <w:rFonts w:asciiTheme="minorHAnsi" w:hAnsiTheme="minorHAnsi"/>
        <w:i/>
        <w:color w:val="808080"/>
      </w:rPr>
      <w:t>Public Summary Document</w:t>
    </w:r>
    <w:r w:rsidR="004B1EC1" w:rsidRPr="00056684">
      <w:rPr>
        <w:rFonts w:asciiTheme="minorHAnsi" w:hAnsiTheme="minorHAnsi"/>
        <w:i/>
        <w:color w:val="808080"/>
      </w:rPr>
      <w:t xml:space="preserve"> –</w:t>
    </w:r>
    <w:r w:rsidR="004B1EC1">
      <w:rPr>
        <w:rFonts w:asciiTheme="minorHAnsi" w:hAnsiTheme="minorHAnsi"/>
        <w:i/>
        <w:color w:val="808080"/>
      </w:rPr>
      <w:t xml:space="preserve"> </w:t>
    </w:r>
    <w:r w:rsidR="00DC6275">
      <w:rPr>
        <w:rFonts w:asciiTheme="minorHAnsi" w:hAnsiTheme="minorHAnsi"/>
        <w:i/>
        <w:color w:val="808080"/>
      </w:rPr>
      <w:t>July 2024</w:t>
    </w:r>
    <w:r w:rsidR="00A1135A">
      <w:rPr>
        <w:rFonts w:asciiTheme="minorHAnsi" w:hAnsiTheme="minorHAnsi"/>
        <w:i/>
        <w:color w:val="808080"/>
      </w:rPr>
      <w:t xml:space="preserve"> </w:t>
    </w:r>
    <w:r w:rsidR="00A1135A" w:rsidRPr="00195452">
      <w:rPr>
        <w:rFonts w:asciiTheme="minorHAnsi" w:hAnsiTheme="minorHAnsi"/>
        <w:i/>
        <w:color w:val="808080"/>
      </w:rPr>
      <w:t>PBAC Meeting</w:t>
    </w:r>
  </w:p>
  <w:p w14:paraId="0EF0298F" w14:textId="77777777" w:rsidR="00A1135A" w:rsidRPr="008C7ECB" w:rsidRDefault="00A11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C89D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B11A2"/>
    <w:multiLevelType w:val="hybridMultilevel"/>
    <w:tmpl w:val="524815B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02E5EFA"/>
    <w:multiLevelType w:val="hybridMultilevel"/>
    <w:tmpl w:val="D3C47E5A"/>
    <w:lvl w:ilvl="0" w:tplc="04090003">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4E0090"/>
    <w:multiLevelType w:val="hybridMultilevel"/>
    <w:tmpl w:val="7890B9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03164C"/>
    <w:multiLevelType w:val="hybridMultilevel"/>
    <w:tmpl w:val="3CAE4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9432E4"/>
    <w:multiLevelType w:val="hybridMultilevel"/>
    <w:tmpl w:val="0254C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D5982"/>
    <w:multiLevelType w:val="hybridMultilevel"/>
    <w:tmpl w:val="93E07A7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A054B"/>
    <w:multiLevelType w:val="hybridMultilevel"/>
    <w:tmpl w:val="88ACB5AC"/>
    <w:lvl w:ilvl="0" w:tplc="066A8DD0">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3837425"/>
    <w:multiLevelType w:val="hybridMultilevel"/>
    <w:tmpl w:val="09509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07023B"/>
    <w:multiLevelType w:val="hybridMultilevel"/>
    <w:tmpl w:val="80FA9F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635649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EF0EDC"/>
    <w:multiLevelType w:val="hybridMultilevel"/>
    <w:tmpl w:val="651EBE6C"/>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7" w15:restartNumberingAfterBreak="0">
    <w:nsid w:val="4AA438AE"/>
    <w:multiLevelType w:val="hybridMultilevel"/>
    <w:tmpl w:val="36060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CD3FDE"/>
    <w:multiLevelType w:val="hybridMultilevel"/>
    <w:tmpl w:val="00E6E85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C653DB"/>
    <w:multiLevelType w:val="hybridMultilevel"/>
    <w:tmpl w:val="8E001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779F5E1D"/>
    <w:multiLevelType w:val="multilevel"/>
    <w:tmpl w:val="A88A2F1A"/>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84D033C"/>
    <w:multiLevelType w:val="multilevel"/>
    <w:tmpl w:val="8280DEE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Calibri" w:hAnsi="Calibri" w:cs="Calibri" w:hint="default"/>
        <w:b w:val="0"/>
        <w:bCs w:val="0"/>
        <w:i w:val="0"/>
        <w:iCs w:val="0"/>
        <w:color w:val="auto"/>
        <w:specVanish w:val="0"/>
      </w:rPr>
    </w:lvl>
    <w:lvl w:ilvl="2">
      <w:start w:val="1"/>
      <w:numFmt w:val="bullet"/>
      <w:lvlText w:val=""/>
      <w:lvlJc w:val="left"/>
      <w:pPr>
        <w:ind w:left="360" w:hanging="360"/>
      </w:pPr>
      <w:rPr>
        <w:rFonts w:ascii="Symbol" w:hAnsi="Symbol"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8B3F85"/>
    <w:multiLevelType w:val="hybridMultilevel"/>
    <w:tmpl w:val="076C3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98F3004"/>
    <w:multiLevelType w:val="hybridMultilevel"/>
    <w:tmpl w:val="759EB82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31362558">
    <w:abstractNumId w:val="24"/>
  </w:num>
  <w:num w:numId="2" w16cid:durableId="1643656089">
    <w:abstractNumId w:val="14"/>
  </w:num>
  <w:num w:numId="3" w16cid:durableId="523177237">
    <w:abstractNumId w:val="15"/>
  </w:num>
  <w:num w:numId="4" w16cid:durableId="574631395">
    <w:abstractNumId w:val="0"/>
  </w:num>
  <w:num w:numId="5" w16cid:durableId="462888981">
    <w:abstractNumId w:val="22"/>
  </w:num>
  <w:num w:numId="6" w16cid:durableId="2071297828">
    <w:abstractNumId w:val="1"/>
  </w:num>
  <w:num w:numId="7" w16cid:durableId="1496065685">
    <w:abstractNumId w:val="16"/>
  </w:num>
  <w:num w:numId="8" w16cid:durableId="1730180561">
    <w:abstractNumId w:val="18"/>
  </w:num>
  <w:num w:numId="9" w16cid:durableId="581911803">
    <w:abstractNumId w:val="10"/>
  </w:num>
  <w:num w:numId="10" w16cid:durableId="72050068">
    <w:abstractNumId w:val="12"/>
  </w:num>
  <w:num w:numId="11" w16cid:durableId="987169709">
    <w:abstractNumId w:val="21"/>
  </w:num>
  <w:num w:numId="12" w16cid:durableId="966737667">
    <w:abstractNumId w:val="13"/>
  </w:num>
  <w:num w:numId="13" w16cid:durableId="381447740">
    <w:abstractNumId w:val="25"/>
  </w:num>
  <w:num w:numId="14" w16cid:durableId="1323386146">
    <w:abstractNumId w:val="26"/>
  </w:num>
  <w:num w:numId="15" w16cid:durableId="2079327740">
    <w:abstractNumId w:val="6"/>
  </w:num>
  <w:num w:numId="16" w16cid:durableId="907613700">
    <w:abstractNumId w:val="11"/>
  </w:num>
  <w:num w:numId="17" w16cid:durableId="1466434551">
    <w:abstractNumId w:val="4"/>
  </w:num>
  <w:num w:numId="18" w16cid:durableId="972831181">
    <w:abstractNumId w:val="20"/>
  </w:num>
  <w:num w:numId="19" w16cid:durableId="769199850">
    <w:abstractNumId w:val="8"/>
  </w:num>
  <w:num w:numId="20" w16cid:durableId="1582137073">
    <w:abstractNumId w:val="7"/>
  </w:num>
  <w:num w:numId="21" w16cid:durableId="672073151">
    <w:abstractNumId w:val="5"/>
  </w:num>
  <w:num w:numId="22" w16cid:durableId="538786553">
    <w:abstractNumId w:val="2"/>
  </w:num>
  <w:num w:numId="23" w16cid:durableId="455372425">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2141033">
    <w:abstractNumId w:val="0"/>
  </w:num>
  <w:num w:numId="25" w16cid:durableId="50466346">
    <w:abstractNumId w:val="19"/>
  </w:num>
  <w:num w:numId="26" w16cid:durableId="135806411">
    <w:abstractNumId w:val="24"/>
  </w:num>
  <w:num w:numId="27" w16cid:durableId="1425496151">
    <w:abstractNumId w:val="24"/>
  </w:num>
  <w:num w:numId="28" w16cid:durableId="1354527999">
    <w:abstractNumId w:val="24"/>
  </w:num>
  <w:num w:numId="29" w16cid:durableId="508717988">
    <w:abstractNumId w:val="0"/>
  </w:num>
  <w:num w:numId="30" w16cid:durableId="1408919909">
    <w:abstractNumId w:val="24"/>
  </w:num>
  <w:num w:numId="31" w16cid:durableId="542406912">
    <w:abstractNumId w:val="24"/>
  </w:num>
  <w:num w:numId="32" w16cid:durableId="1505784858">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937206">
    <w:abstractNumId w:val="24"/>
  </w:num>
  <w:num w:numId="34" w16cid:durableId="832985364">
    <w:abstractNumId w:val="17"/>
  </w:num>
  <w:num w:numId="35" w16cid:durableId="628585007">
    <w:abstractNumId w:val="9"/>
  </w:num>
  <w:num w:numId="36" w16cid:durableId="901402703">
    <w:abstractNumId w:val="3"/>
  </w:num>
  <w:num w:numId="37" w16cid:durableId="59359007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3E9"/>
    <w:rsid w:val="00000417"/>
    <w:rsid w:val="00000790"/>
    <w:rsid w:val="00000946"/>
    <w:rsid w:val="0000103E"/>
    <w:rsid w:val="0000110B"/>
    <w:rsid w:val="000016FA"/>
    <w:rsid w:val="00002508"/>
    <w:rsid w:val="00003499"/>
    <w:rsid w:val="000039B7"/>
    <w:rsid w:val="000056B9"/>
    <w:rsid w:val="0000576B"/>
    <w:rsid w:val="0000639A"/>
    <w:rsid w:val="00006528"/>
    <w:rsid w:val="00006CC0"/>
    <w:rsid w:val="00006E92"/>
    <w:rsid w:val="0000705F"/>
    <w:rsid w:val="0000796E"/>
    <w:rsid w:val="00007AB8"/>
    <w:rsid w:val="00007E01"/>
    <w:rsid w:val="00010261"/>
    <w:rsid w:val="00011FCA"/>
    <w:rsid w:val="000125D3"/>
    <w:rsid w:val="00012E97"/>
    <w:rsid w:val="00013247"/>
    <w:rsid w:val="00013425"/>
    <w:rsid w:val="00013445"/>
    <w:rsid w:val="000135B5"/>
    <w:rsid w:val="00013D47"/>
    <w:rsid w:val="00015886"/>
    <w:rsid w:val="000162EF"/>
    <w:rsid w:val="000207C9"/>
    <w:rsid w:val="000210B4"/>
    <w:rsid w:val="000220D1"/>
    <w:rsid w:val="0002225F"/>
    <w:rsid w:val="00023763"/>
    <w:rsid w:val="00024EB5"/>
    <w:rsid w:val="00025300"/>
    <w:rsid w:val="00026545"/>
    <w:rsid w:val="00026770"/>
    <w:rsid w:val="00026A6A"/>
    <w:rsid w:val="000274B8"/>
    <w:rsid w:val="00027874"/>
    <w:rsid w:val="00027DBB"/>
    <w:rsid w:val="000308CB"/>
    <w:rsid w:val="0003162F"/>
    <w:rsid w:val="000321BF"/>
    <w:rsid w:val="000324D1"/>
    <w:rsid w:val="00032B65"/>
    <w:rsid w:val="00033638"/>
    <w:rsid w:val="00033863"/>
    <w:rsid w:val="00035250"/>
    <w:rsid w:val="00035B15"/>
    <w:rsid w:val="00035B80"/>
    <w:rsid w:val="00035DC0"/>
    <w:rsid w:val="00036828"/>
    <w:rsid w:val="00036829"/>
    <w:rsid w:val="00036990"/>
    <w:rsid w:val="00036E5F"/>
    <w:rsid w:val="00037185"/>
    <w:rsid w:val="0004037B"/>
    <w:rsid w:val="00040895"/>
    <w:rsid w:val="000410A0"/>
    <w:rsid w:val="00041D51"/>
    <w:rsid w:val="00042DA3"/>
    <w:rsid w:val="000435EE"/>
    <w:rsid w:val="00043C37"/>
    <w:rsid w:val="00044963"/>
    <w:rsid w:val="00044B37"/>
    <w:rsid w:val="00045017"/>
    <w:rsid w:val="000452D9"/>
    <w:rsid w:val="000454C1"/>
    <w:rsid w:val="00045A2B"/>
    <w:rsid w:val="00046353"/>
    <w:rsid w:val="0004698F"/>
    <w:rsid w:val="00046D64"/>
    <w:rsid w:val="0004712C"/>
    <w:rsid w:val="000502D2"/>
    <w:rsid w:val="000508C2"/>
    <w:rsid w:val="00050A19"/>
    <w:rsid w:val="0005260D"/>
    <w:rsid w:val="00052CCF"/>
    <w:rsid w:val="000539D0"/>
    <w:rsid w:val="00053BAD"/>
    <w:rsid w:val="00053D3A"/>
    <w:rsid w:val="00054621"/>
    <w:rsid w:val="000546D7"/>
    <w:rsid w:val="00054A8D"/>
    <w:rsid w:val="000559B5"/>
    <w:rsid w:val="00056ECF"/>
    <w:rsid w:val="00056F91"/>
    <w:rsid w:val="00057514"/>
    <w:rsid w:val="00060403"/>
    <w:rsid w:val="000604DF"/>
    <w:rsid w:val="000605FB"/>
    <w:rsid w:val="000609F7"/>
    <w:rsid w:val="00060A1A"/>
    <w:rsid w:val="00061336"/>
    <w:rsid w:val="00061B5F"/>
    <w:rsid w:val="00062324"/>
    <w:rsid w:val="00063B12"/>
    <w:rsid w:val="00063FA2"/>
    <w:rsid w:val="000653B5"/>
    <w:rsid w:val="00066360"/>
    <w:rsid w:val="00066AF8"/>
    <w:rsid w:val="00067FFB"/>
    <w:rsid w:val="000705E5"/>
    <w:rsid w:val="00070B1C"/>
    <w:rsid w:val="00071248"/>
    <w:rsid w:val="000719DE"/>
    <w:rsid w:val="000720B9"/>
    <w:rsid w:val="000737F7"/>
    <w:rsid w:val="00074032"/>
    <w:rsid w:val="000751C0"/>
    <w:rsid w:val="00075223"/>
    <w:rsid w:val="000755D1"/>
    <w:rsid w:val="00075AAD"/>
    <w:rsid w:val="000762A4"/>
    <w:rsid w:val="0007672F"/>
    <w:rsid w:val="00076B54"/>
    <w:rsid w:val="000774F0"/>
    <w:rsid w:val="000777E5"/>
    <w:rsid w:val="000778D3"/>
    <w:rsid w:val="00080725"/>
    <w:rsid w:val="000807E3"/>
    <w:rsid w:val="000808C2"/>
    <w:rsid w:val="00080909"/>
    <w:rsid w:val="00080F8F"/>
    <w:rsid w:val="000812CA"/>
    <w:rsid w:val="00081E63"/>
    <w:rsid w:val="00082032"/>
    <w:rsid w:val="0008258D"/>
    <w:rsid w:val="0008277C"/>
    <w:rsid w:val="000834A8"/>
    <w:rsid w:val="00083607"/>
    <w:rsid w:val="000839D0"/>
    <w:rsid w:val="00083DC3"/>
    <w:rsid w:val="00083E99"/>
    <w:rsid w:val="00084FA8"/>
    <w:rsid w:val="000856C5"/>
    <w:rsid w:val="00085A7B"/>
    <w:rsid w:val="00085C31"/>
    <w:rsid w:val="000902D9"/>
    <w:rsid w:val="0009068E"/>
    <w:rsid w:val="00090C7E"/>
    <w:rsid w:val="00091001"/>
    <w:rsid w:val="000911AC"/>
    <w:rsid w:val="00092600"/>
    <w:rsid w:val="0009262B"/>
    <w:rsid w:val="0009323F"/>
    <w:rsid w:val="00093310"/>
    <w:rsid w:val="00093ADD"/>
    <w:rsid w:val="0009445C"/>
    <w:rsid w:val="00094E86"/>
    <w:rsid w:val="00095200"/>
    <w:rsid w:val="00095FE5"/>
    <w:rsid w:val="0009623A"/>
    <w:rsid w:val="00096284"/>
    <w:rsid w:val="000966C6"/>
    <w:rsid w:val="00096AC0"/>
    <w:rsid w:val="000A0D2B"/>
    <w:rsid w:val="000A177B"/>
    <w:rsid w:val="000A1BC0"/>
    <w:rsid w:val="000A1C55"/>
    <w:rsid w:val="000A20F1"/>
    <w:rsid w:val="000A2F9E"/>
    <w:rsid w:val="000A3A5F"/>
    <w:rsid w:val="000A3E47"/>
    <w:rsid w:val="000A4480"/>
    <w:rsid w:val="000A45BA"/>
    <w:rsid w:val="000A47D9"/>
    <w:rsid w:val="000A4949"/>
    <w:rsid w:val="000A4F09"/>
    <w:rsid w:val="000A522B"/>
    <w:rsid w:val="000A576B"/>
    <w:rsid w:val="000A6039"/>
    <w:rsid w:val="000A6201"/>
    <w:rsid w:val="000A7453"/>
    <w:rsid w:val="000A7B61"/>
    <w:rsid w:val="000A7D08"/>
    <w:rsid w:val="000A7D1F"/>
    <w:rsid w:val="000B0121"/>
    <w:rsid w:val="000B0373"/>
    <w:rsid w:val="000B0670"/>
    <w:rsid w:val="000B0CB5"/>
    <w:rsid w:val="000B0E75"/>
    <w:rsid w:val="000B1860"/>
    <w:rsid w:val="000B2172"/>
    <w:rsid w:val="000B2DCB"/>
    <w:rsid w:val="000B3141"/>
    <w:rsid w:val="000B397F"/>
    <w:rsid w:val="000B4F21"/>
    <w:rsid w:val="000B5CE0"/>
    <w:rsid w:val="000B5EC7"/>
    <w:rsid w:val="000B6066"/>
    <w:rsid w:val="000B6CAC"/>
    <w:rsid w:val="000B7612"/>
    <w:rsid w:val="000B78AE"/>
    <w:rsid w:val="000B7AFD"/>
    <w:rsid w:val="000B7B50"/>
    <w:rsid w:val="000C0BCF"/>
    <w:rsid w:val="000C2278"/>
    <w:rsid w:val="000C2D87"/>
    <w:rsid w:val="000C2E99"/>
    <w:rsid w:val="000C3235"/>
    <w:rsid w:val="000C34EB"/>
    <w:rsid w:val="000C3DF9"/>
    <w:rsid w:val="000C4CB9"/>
    <w:rsid w:val="000C4CF2"/>
    <w:rsid w:val="000C5143"/>
    <w:rsid w:val="000C5D8D"/>
    <w:rsid w:val="000C6536"/>
    <w:rsid w:val="000C6713"/>
    <w:rsid w:val="000C6DDC"/>
    <w:rsid w:val="000C792E"/>
    <w:rsid w:val="000C796B"/>
    <w:rsid w:val="000C7C96"/>
    <w:rsid w:val="000D0047"/>
    <w:rsid w:val="000D13DC"/>
    <w:rsid w:val="000D1BFC"/>
    <w:rsid w:val="000D1D33"/>
    <w:rsid w:val="000D1D5D"/>
    <w:rsid w:val="000D1FE3"/>
    <w:rsid w:val="000D281A"/>
    <w:rsid w:val="000D2848"/>
    <w:rsid w:val="000D2E9C"/>
    <w:rsid w:val="000D326A"/>
    <w:rsid w:val="000D34E7"/>
    <w:rsid w:val="000D3C37"/>
    <w:rsid w:val="000D5011"/>
    <w:rsid w:val="000D50A0"/>
    <w:rsid w:val="000D51FB"/>
    <w:rsid w:val="000D5217"/>
    <w:rsid w:val="000D5E52"/>
    <w:rsid w:val="000D639B"/>
    <w:rsid w:val="000D683F"/>
    <w:rsid w:val="000D6A97"/>
    <w:rsid w:val="000E0640"/>
    <w:rsid w:val="000E135D"/>
    <w:rsid w:val="000E1C3C"/>
    <w:rsid w:val="000E1DF6"/>
    <w:rsid w:val="000E2ED8"/>
    <w:rsid w:val="000E3BEB"/>
    <w:rsid w:val="000E44DC"/>
    <w:rsid w:val="000E49E3"/>
    <w:rsid w:val="000E5B41"/>
    <w:rsid w:val="000E607C"/>
    <w:rsid w:val="000E63BD"/>
    <w:rsid w:val="000E6D13"/>
    <w:rsid w:val="000E77FE"/>
    <w:rsid w:val="000E78AA"/>
    <w:rsid w:val="000E7A45"/>
    <w:rsid w:val="000F00BA"/>
    <w:rsid w:val="000F059A"/>
    <w:rsid w:val="000F068B"/>
    <w:rsid w:val="000F1354"/>
    <w:rsid w:val="000F1AC7"/>
    <w:rsid w:val="000F1B74"/>
    <w:rsid w:val="000F220B"/>
    <w:rsid w:val="000F251A"/>
    <w:rsid w:val="000F2662"/>
    <w:rsid w:val="000F2BE8"/>
    <w:rsid w:val="000F316A"/>
    <w:rsid w:val="000F3C74"/>
    <w:rsid w:val="000F4BB8"/>
    <w:rsid w:val="000F4FA9"/>
    <w:rsid w:val="000F53FB"/>
    <w:rsid w:val="000F5D80"/>
    <w:rsid w:val="000F690D"/>
    <w:rsid w:val="000F6DBB"/>
    <w:rsid w:val="000F7127"/>
    <w:rsid w:val="000F7192"/>
    <w:rsid w:val="000F7B54"/>
    <w:rsid w:val="001000B3"/>
    <w:rsid w:val="001004FB"/>
    <w:rsid w:val="00100592"/>
    <w:rsid w:val="00100F8A"/>
    <w:rsid w:val="001016CB"/>
    <w:rsid w:val="00101A56"/>
    <w:rsid w:val="0010452E"/>
    <w:rsid w:val="00105AE2"/>
    <w:rsid w:val="001060C6"/>
    <w:rsid w:val="00106B80"/>
    <w:rsid w:val="00106C1E"/>
    <w:rsid w:val="00107FD7"/>
    <w:rsid w:val="0011032E"/>
    <w:rsid w:val="001103F0"/>
    <w:rsid w:val="00110581"/>
    <w:rsid w:val="001112BE"/>
    <w:rsid w:val="0011348B"/>
    <w:rsid w:val="00115115"/>
    <w:rsid w:val="0011523D"/>
    <w:rsid w:val="0011575D"/>
    <w:rsid w:val="00115982"/>
    <w:rsid w:val="00116C53"/>
    <w:rsid w:val="00116DC8"/>
    <w:rsid w:val="00117676"/>
    <w:rsid w:val="001179E5"/>
    <w:rsid w:val="00120090"/>
    <w:rsid w:val="00120205"/>
    <w:rsid w:val="0012021F"/>
    <w:rsid w:val="00120F88"/>
    <w:rsid w:val="00121799"/>
    <w:rsid w:val="001218FD"/>
    <w:rsid w:val="001222FC"/>
    <w:rsid w:val="00122E11"/>
    <w:rsid w:val="0012308B"/>
    <w:rsid w:val="00123145"/>
    <w:rsid w:val="00123902"/>
    <w:rsid w:val="00123F12"/>
    <w:rsid w:val="00124960"/>
    <w:rsid w:val="00124A51"/>
    <w:rsid w:val="00124D6F"/>
    <w:rsid w:val="001252C9"/>
    <w:rsid w:val="001255B4"/>
    <w:rsid w:val="00125E4F"/>
    <w:rsid w:val="00125FFC"/>
    <w:rsid w:val="001262E0"/>
    <w:rsid w:val="00126621"/>
    <w:rsid w:val="00126B1D"/>
    <w:rsid w:val="00127D2A"/>
    <w:rsid w:val="001301E9"/>
    <w:rsid w:val="0013038F"/>
    <w:rsid w:val="00130D4C"/>
    <w:rsid w:val="00131192"/>
    <w:rsid w:val="001314D4"/>
    <w:rsid w:val="0013183C"/>
    <w:rsid w:val="00131D82"/>
    <w:rsid w:val="00132B22"/>
    <w:rsid w:val="0013309B"/>
    <w:rsid w:val="001338C6"/>
    <w:rsid w:val="00133D36"/>
    <w:rsid w:val="001342A8"/>
    <w:rsid w:val="001347DE"/>
    <w:rsid w:val="00134922"/>
    <w:rsid w:val="00135142"/>
    <w:rsid w:val="001358C2"/>
    <w:rsid w:val="00135B14"/>
    <w:rsid w:val="00136D97"/>
    <w:rsid w:val="00137645"/>
    <w:rsid w:val="0014015A"/>
    <w:rsid w:val="001402F3"/>
    <w:rsid w:val="00140895"/>
    <w:rsid w:val="00140E99"/>
    <w:rsid w:val="001417FA"/>
    <w:rsid w:val="00142784"/>
    <w:rsid w:val="00142A1E"/>
    <w:rsid w:val="00142AD8"/>
    <w:rsid w:val="00143255"/>
    <w:rsid w:val="0014350A"/>
    <w:rsid w:val="00143F67"/>
    <w:rsid w:val="00145234"/>
    <w:rsid w:val="001452A7"/>
    <w:rsid w:val="00145540"/>
    <w:rsid w:val="001455AD"/>
    <w:rsid w:val="001456B0"/>
    <w:rsid w:val="00146195"/>
    <w:rsid w:val="0014786C"/>
    <w:rsid w:val="00147A01"/>
    <w:rsid w:val="001507E0"/>
    <w:rsid w:val="001513E5"/>
    <w:rsid w:val="00152FC8"/>
    <w:rsid w:val="001530CE"/>
    <w:rsid w:val="00153357"/>
    <w:rsid w:val="00153982"/>
    <w:rsid w:val="001542C6"/>
    <w:rsid w:val="001547AB"/>
    <w:rsid w:val="00154CF0"/>
    <w:rsid w:val="00154DE2"/>
    <w:rsid w:val="00155A0E"/>
    <w:rsid w:val="00155BE7"/>
    <w:rsid w:val="00155DCB"/>
    <w:rsid w:val="00156608"/>
    <w:rsid w:val="0015679A"/>
    <w:rsid w:val="00156823"/>
    <w:rsid w:val="00156DCA"/>
    <w:rsid w:val="00156F8F"/>
    <w:rsid w:val="00157130"/>
    <w:rsid w:val="001576B1"/>
    <w:rsid w:val="00157F60"/>
    <w:rsid w:val="0016047B"/>
    <w:rsid w:val="00160A4C"/>
    <w:rsid w:val="00161153"/>
    <w:rsid w:val="00162103"/>
    <w:rsid w:val="001628A2"/>
    <w:rsid w:val="00162913"/>
    <w:rsid w:val="001629EA"/>
    <w:rsid w:val="00162D7C"/>
    <w:rsid w:val="001637A6"/>
    <w:rsid w:val="00163EFF"/>
    <w:rsid w:val="00163F66"/>
    <w:rsid w:val="001640B4"/>
    <w:rsid w:val="0016478E"/>
    <w:rsid w:val="00164B87"/>
    <w:rsid w:val="0016512F"/>
    <w:rsid w:val="0016565F"/>
    <w:rsid w:val="00165B00"/>
    <w:rsid w:val="00165EC4"/>
    <w:rsid w:val="001661BD"/>
    <w:rsid w:val="001661FB"/>
    <w:rsid w:val="001664B1"/>
    <w:rsid w:val="00166BCD"/>
    <w:rsid w:val="001671A0"/>
    <w:rsid w:val="0016767F"/>
    <w:rsid w:val="001715B8"/>
    <w:rsid w:val="00171A49"/>
    <w:rsid w:val="001725D8"/>
    <w:rsid w:val="001734F5"/>
    <w:rsid w:val="00173565"/>
    <w:rsid w:val="00173B07"/>
    <w:rsid w:val="00174DA4"/>
    <w:rsid w:val="001751FA"/>
    <w:rsid w:val="00175326"/>
    <w:rsid w:val="00176711"/>
    <w:rsid w:val="00176EB8"/>
    <w:rsid w:val="00181000"/>
    <w:rsid w:val="0018141D"/>
    <w:rsid w:val="00181C10"/>
    <w:rsid w:val="00181D9C"/>
    <w:rsid w:val="001836F3"/>
    <w:rsid w:val="001837FF"/>
    <w:rsid w:val="00183F58"/>
    <w:rsid w:val="00184B0E"/>
    <w:rsid w:val="00185148"/>
    <w:rsid w:val="0018522A"/>
    <w:rsid w:val="001854B2"/>
    <w:rsid w:val="00185ECC"/>
    <w:rsid w:val="001861E7"/>
    <w:rsid w:val="00186AE1"/>
    <w:rsid w:val="001870E6"/>
    <w:rsid w:val="00187484"/>
    <w:rsid w:val="0018752F"/>
    <w:rsid w:val="0019085C"/>
    <w:rsid w:val="00191A78"/>
    <w:rsid w:val="00193838"/>
    <w:rsid w:val="001949B5"/>
    <w:rsid w:val="00194AD8"/>
    <w:rsid w:val="00194C14"/>
    <w:rsid w:val="00194E40"/>
    <w:rsid w:val="00195222"/>
    <w:rsid w:val="00195452"/>
    <w:rsid w:val="001958FC"/>
    <w:rsid w:val="0019603B"/>
    <w:rsid w:val="001968C7"/>
    <w:rsid w:val="001971C6"/>
    <w:rsid w:val="001975D8"/>
    <w:rsid w:val="0019785E"/>
    <w:rsid w:val="001A02D4"/>
    <w:rsid w:val="001A0814"/>
    <w:rsid w:val="001A177E"/>
    <w:rsid w:val="001A178E"/>
    <w:rsid w:val="001A1E72"/>
    <w:rsid w:val="001A23D6"/>
    <w:rsid w:val="001A2EF0"/>
    <w:rsid w:val="001A36DA"/>
    <w:rsid w:val="001A43FA"/>
    <w:rsid w:val="001A47C5"/>
    <w:rsid w:val="001A59FB"/>
    <w:rsid w:val="001A5CA4"/>
    <w:rsid w:val="001A5E9E"/>
    <w:rsid w:val="001A5EF0"/>
    <w:rsid w:val="001A6354"/>
    <w:rsid w:val="001A6366"/>
    <w:rsid w:val="001A6902"/>
    <w:rsid w:val="001A7918"/>
    <w:rsid w:val="001A7AE8"/>
    <w:rsid w:val="001A7C88"/>
    <w:rsid w:val="001A7DAF"/>
    <w:rsid w:val="001B0126"/>
    <w:rsid w:val="001B07F0"/>
    <w:rsid w:val="001B0F1D"/>
    <w:rsid w:val="001B204E"/>
    <w:rsid w:val="001B2372"/>
    <w:rsid w:val="001B3443"/>
    <w:rsid w:val="001B4D20"/>
    <w:rsid w:val="001B66A3"/>
    <w:rsid w:val="001B7C41"/>
    <w:rsid w:val="001B7F84"/>
    <w:rsid w:val="001C0F3E"/>
    <w:rsid w:val="001C16EC"/>
    <w:rsid w:val="001C1BB9"/>
    <w:rsid w:val="001C26A3"/>
    <w:rsid w:val="001C2A9B"/>
    <w:rsid w:val="001C30C4"/>
    <w:rsid w:val="001C37DF"/>
    <w:rsid w:val="001C3961"/>
    <w:rsid w:val="001C3DD6"/>
    <w:rsid w:val="001C4299"/>
    <w:rsid w:val="001C4874"/>
    <w:rsid w:val="001C55E8"/>
    <w:rsid w:val="001C5786"/>
    <w:rsid w:val="001C5F94"/>
    <w:rsid w:val="001C61FD"/>
    <w:rsid w:val="001C6AFE"/>
    <w:rsid w:val="001C6E66"/>
    <w:rsid w:val="001D0BF3"/>
    <w:rsid w:val="001D0C91"/>
    <w:rsid w:val="001D1100"/>
    <w:rsid w:val="001D1391"/>
    <w:rsid w:val="001D16B8"/>
    <w:rsid w:val="001D1884"/>
    <w:rsid w:val="001D25D7"/>
    <w:rsid w:val="001D2A4A"/>
    <w:rsid w:val="001D35CE"/>
    <w:rsid w:val="001D3ED0"/>
    <w:rsid w:val="001D4428"/>
    <w:rsid w:val="001D501B"/>
    <w:rsid w:val="001D50B2"/>
    <w:rsid w:val="001D702D"/>
    <w:rsid w:val="001D71F4"/>
    <w:rsid w:val="001D7645"/>
    <w:rsid w:val="001E0104"/>
    <w:rsid w:val="001E0E36"/>
    <w:rsid w:val="001E104D"/>
    <w:rsid w:val="001E16B1"/>
    <w:rsid w:val="001E1E86"/>
    <w:rsid w:val="001E238E"/>
    <w:rsid w:val="001E2483"/>
    <w:rsid w:val="001E2B1E"/>
    <w:rsid w:val="001E2CFF"/>
    <w:rsid w:val="001E2F24"/>
    <w:rsid w:val="001E30D4"/>
    <w:rsid w:val="001E34DF"/>
    <w:rsid w:val="001E440C"/>
    <w:rsid w:val="001E496B"/>
    <w:rsid w:val="001E52EB"/>
    <w:rsid w:val="001E61D2"/>
    <w:rsid w:val="001E7154"/>
    <w:rsid w:val="001E740C"/>
    <w:rsid w:val="001E759B"/>
    <w:rsid w:val="001E78B0"/>
    <w:rsid w:val="001F08D9"/>
    <w:rsid w:val="001F09F1"/>
    <w:rsid w:val="001F1235"/>
    <w:rsid w:val="001F1695"/>
    <w:rsid w:val="001F1CB3"/>
    <w:rsid w:val="001F2AF7"/>
    <w:rsid w:val="001F322F"/>
    <w:rsid w:val="001F38B5"/>
    <w:rsid w:val="001F39C6"/>
    <w:rsid w:val="001F3A70"/>
    <w:rsid w:val="001F4081"/>
    <w:rsid w:val="001F5056"/>
    <w:rsid w:val="001F5A64"/>
    <w:rsid w:val="001F6524"/>
    <w:rsid w:val="001F6A6A"/>
    <w:rsid w:val="001F7361"/>
    <w:rsid w:val="002011B0"/>
    <w:rsid w:val="002011CE"/>
    <w:rsid w:val="00201D26"/>
    <w:rsid w:val="002022F8"/>
    <w:rsid w:val="00203181"/>
    <w:rsid w:val="00203783"/>
    <w:rsid w:val="0020381A"/>
    <w:rsid w:val="0020385F"/>
    <w:rsid w:val="002038ED"/>
    <w:rsid w:val="00203C44"/>
    <w:rsid w:val="00203D3F"/>
    <w:rsid w:val="00204A62"/>
    <w:rsid w:val="00205BE2"/>
    <w:rsid w:val="00205D81"/>
    <w:rsid w:val="002068A0"/>
    <w:rsid w:val="00207021"/>
    <w:rsid w:val="0020732F"/>
    <w:rsid w:val="00207D00"/>
    <w:rsid w:val="0021057D"/>
    <w:rsid w:val="002105C1"/>
    <w:rsid w:val="00211415"/>
    <w:rsid w:val="002114F5"/>
    <w:rsid w:val="00211591"/>
    <w:rsid w:val="0021163D"/>
    <w:rsid w:val="002116FD"/>
    <w:rsid w:val="002124CC"/>
    <w:rsid w:val="0021271B"/>
    <w:rsid w:val="002132F9"/>
    <w:rsid w:val="00213EF5"/>
    <w:rsid w:val="00214493"/>
    <w:rsid w:val="0021537A"/>
    <w:rsid w:val="00215BD5"/>
    <w:rsid w:val="00216615"/>
    <w:rsid w:val="00216BF5"/>
    <w:rsid w:val="0021778F"/>
    <w:rsid w:val="00220FA9"/>
    <w:rsid w:val="0022102A"/>
    <w:rsid w:val="00221B41"/>
    <w:rsid w:val="00222AF9"/>
    <w:rsid w:val="00223B49"/>
    <w:rsid w:val="00223D5A"/>
    <w:rsid w:val="00223DC8"/>
    <w:rsid w:val="00224DD4"/>
    <w:rsid w:val="0022532B"/>
    <w:rsid w:val="0022553B"/>
    <w:rsid w:val="00225756"/>
    <w:rsid w:val="00226424"/>
    <w:rsid w:val="0022733B"/>
    <w:rsid w:val="002278A0"/>
    <w:rsid w:val="0023055B"/>
    <w:rsid w:val="002309CC"/>
    <w:rsid w:val="00230DC1"/>
    <w:rsid w:val="00230F93"/>
    <w:rsid w:val="002310D4"/>
    <w:rsid w:val="00231812"/>
    <w:rsid w:val="00231987"/>
    <w:rsid w:val="00231BA9"/>
    <w:rsid w:val="00231C1E"/>
    <w:rsid w:val="0023209F"/>
    <w:rsid w:val="002321D8"/>
    <w:rsid w:val="0023221E"/>
    <w:rsid w:val="002324CE"/>
    <w:rsid w:val="00233439"/>
    <w:rsid w:val="0023360D"/>
    <w:rsid w:val="00233C01"/>
    <w:rsid w:val="0023413C"/>
    <w:rsid w:val="002346F0"/>
    <w:rsid w:val="0023629D"/>
    <w:rsid w:val="00236594"/>
    <w:rsid w:val="00236B9F"/>
    <w:rsid w:val="002370E4"/>
    <w:rsid w:val="00237255"/>
    <w:rsid w:val="00240A67"/>
    <w:rsid w:val="002411E9"/>
    <w:rsid w:val="00241BE9"/>
    <w:rsid w:val="002423D8"/>
    <w:rsid w:val="002424AF"/>
    <w:rsid w:val="00242639"/>
    <w:rsid w:val="002439DC"/>
    <w:rsid w:val="002441D2"/>
    <w:rsid w:val="00244A6B"/>
    <w:rsid w:val="00244AE4"/>
    <w:rsid w:val="00244DC8"/>
    <w:rsid w:val="002456C4"/>
    <w:rsid w:val="002458BA"/>
    <w:rsid w:val="00245CE9"/>
    <w:rsid w:val="002460B9"/>
    <w:rsid w:val="0024636C"/>
    <w:rsid w:val="002468FB"/>
    <w:rsid w:val="00246C49"/>
    <w:rsid w:val="002470DD"/>
    <w:rsid w:val="002476AE"/>
    <w:rsid w:val="00247925"/>
    <w:rsid w:val="00247C63"/>
    <w:rsid w:val="00251006"/>
    <w:rsid w:val="00251102"/>
    <w:rsid w:val="00251758"/>
    <w:rsid w:val="00251BF1"/>
    <w:rsid w:val="00251E55"/>
    <w:rsid w:val="002524D5"/>
    <w:rsid w:val="002527F9"/>
    <w:rsid w:val="00253563"/>
    <w:rsid w:val="00253B1D"/>
    <w:rsid w:val="00254DCF"/>
    <w:rsid w:val="0025534B"/>
    <w:rsid w:val="002558E3"/>
    <w:rsid w:val="00255BB7"/>
    <w:rsid w:val="002561D2"/>
    <w:rsid w:val="00257359"/>
    <w:rsid w:val="00257541"/>
    <w:rsid w:val="00257A39"/>
    <w:rsid w:val="00257AC4"/>
    <w:rsid w:val="00257BBE"/>
    <w:rsid w:val="00257C81"/>
    <w:rsid w:val="00260C1B"/>
    <w:rsid w:val="002616CC"/>
    <w:rsid w:val="00261EEF"/>
    <w:rsid w:val="00262A1A"/>
    <w:rsid w:val="00262A2E"/>
    <w:rsid w:val="00262A87"/>
    <w:rsid w:val="00262C92"/>
    <w:rsid w:val="00262DF7"/>
    <w:rsid w:val="00263D16"/>
    <w:rsid w:val="0026421E"/>
    <w:rsid w:val="00264973"/>
    <w:rsid w:val="00264D26"/>
    <w:rsid w:val="00264E93"/>
    <w:rsid w:val="002658B8"/>
    <w:rsid w:val="00265E06"/>
    <w:rsid w:val="00266E31"/>
    <w:rsid w:val="00267642"/>
    <w:rsid w:val="00267A31"/>
    <w:rsid w:val="00267AEA"/>
    <w:rsid w:val="00267BA1"/>
    <w:rsid w:val="00267E4D"/>
    <w:rsid w:val="002700E6"/>
    <w:rsid w:val="00270243"/>
    <w:rsid w:val="00270DC4"/>
    <w:rsid w:val="002713C0"/>
    <w:rsid w:val="00272783"/>
    <w:rsid w:val="0027294B"/>
    <w:rsid w:val="00272951"/>
    <w:rsid w:val="00272D5D"/>
    <w:rsid w:val="00272DFF"/>
    <w:rsid w:val="002731CA"/>
    <w:rsid w:val="00273818"/>
    <w:rsid w:val="00273BA7"/>
    <w:rsid w:val="00273EB4"/>
    <w:rsid w:val="00274234"/>
    <w:rsid w:val="00274682"/>
    <w:rsid w:val="00275158"/>
    <w:rsid w:val="002754A5"/>
    <w:rsid w:val="00275C5A"/>
    <w:rsid w:val="00276255"/>
    <w:rsid w:val="00276665"/>
    <w:rsid w:val="00276B5E"/>
    <w:rsid w:val="0028023C"/>
    <w:rsid w:val="00280AA2"/>
    <w:rsid w:val="00280E3B"/>
    <w:rsid w:val="00281014"/>
    <w:rsid w:val="0028141D"/>
    <w:rsid w:val="00281AD8"/>
    <w:rsid w:val="002848A9"/>
    <w:rsid w:val="00284BA5"/>
    <w:rsid w:val="00285694"/>
    <w:rsid w:val="00285BCE"/>
    <w:rsid w:val="002860E9"/>
    <w:rsid w:val="0028665D"/>
    <w:rsid w:val="00286DC7"/>
    <w:rsid w:val="00287DA6"/>
    <w:rsid w:val="00291334"/>
    <w:rsid w:val="00291932"/>
    <w:rsid w:val="00291B81"/>
    <w:rsid w:val="00291F1E"/>
    <w:rsid w:val="00292F11"/>
    <w:rsid w:val="002939DF"/>
    <w:rsid w:val="00293F3C"/>
    <w:rsid w:val="00295792"/>
    <w:rsid w:val="002A022C"/>
    <w:rsid w:val="002A0C8F"/>
    <w:rsid w:val="002A14AB"/>
    <w:rsid w:val="002A1A93"/>
    <w:rsid w:val="002A2ADE"/>
    <w:rsid w:val="002A2E33"/>
    <w:rsid w:val="002A2F50"/>
    <w:rsid w:val="002A3235"/>
    <w:rsid w:val="002A4D61"/>
    <w:rsid w:val="002A57D1"/>
    <w:rsid w:val="002A5980"/>
    <w:rsid w:val="002A5A4B"/>
    <w:rsid w:val="002A62B0"/>
    <w:rsid w:val="002A63F0"/>
    <w:rsid w:val="002A7124"/>
    <w:rsid w:val="002A7943"/>
    <w:rsid w:val="002B05A1"/>
    <w:rsid w:val="002B08FE"/>
    <w:rsid w:val="002B09A4"/>
    <w:rsid w:val="002B172F"/>
    <w:rsid w:val="002B1C1F"/>
    <w:rsid w:val="002B1D36"/>
    <w:rsid w:val="002B3452"/>
    <w:rsid w:val="002B37EA"/>
    <w:rsid w:val="002B3D84"/>
    <w:rsid w:val="002B432F"/>
    <w:rsid w:val="002B5403"/>
    <w:rsid w:val="002B62B3"/>
    <w:rsid w:val="002B65EB"/>
    <w:rsid w:val="002B6754"/>
    <w:rsid w:val="002B6CCE"/>
    <w:rsid w:val="002B722B"/>
    <w:rsid w:val="002B7761"/>
    <w:rsid w:val="002C0EBB"/>
    <w:rsid w:val="002C1030"/>
    <w:rsid w:val="002C1FEF"/>
    <w:rsid w:val="002C2510"/>
    <w:rsid w:val="002C2775"/>
    <w:rsid w:val="002C277A"/>
    <w:rsid w:val="002C27C1"/>
    <w:rsid w:val="002C2D76"/>
    <w:rsid w:val="002C36E3"/>
    <w:rsid w:val="002C4797"/>
    <w:rsid w:val="002C4A64"/>
    <w:rsid w:val="002C5099"/>
    <w:rsid w:val="002C5681"/>
    <w:rsid w:val="002C5889"/>
    <w:rsid w:val="002C71CE"/>
    <w:rsid w:val="002C74D3"/>
    <w:rsid w:val="002C7709"/>
    <w:rsid w:val="002C778C"/>
    <w:rsid w:val="002D032A"/>
    <w:rsid w:val="002D08F8"/>
    <w:rsid w:val="002D1F13"/>
    <w:rsid w:val="002D1FD2"/>
    <w:rsid w:val="002D4F20"/>
    <w:rsid w:val="002D4F6D"/>
    <w:rsid w:val="002D577C"/>
    <w:rsid w:val="002D6031"/>
    <w:rsid w:val="002D610B"/>
    <w:rsid w:val="002D7832"/>
    <w:rsid w:val="002E0B17"/>
    <w:rsid w:val="002E1071"/>
    <w:rsid w:val="002E15B9"/>
    <w:rsid w:val="002E1CAE"/>
    <w:rsid w:val="002E2158"/>
    <w:rsid w:val="002E3A36"/>
    <w:rsid w:val="002E4401"/>
    <w:rsid w:val="002E4F02"/>
    <w:rsid w:val="002E6AED"/>
    <w:rsid w:val="002E6DD9"/>
    <w:rsid w:val="002E7722"/>
    <w:rsid w:val="002F07BA"/>
    <w:rsid w:val="002F07CD"/>
    <w:rsid w:val="002F0DA9"/>
    <w:rsid w:val="002F0E85"/>
    <w:rsid w:val="002F1014"/>
    <w:rsid w:val="002F1E3B"/>
    <w:rsid w:val="002F3329"/>
    <w:rsid w:val="002F34B8"/>
    <w:rsid w:val="002F3917"/>
    <w:rsid w:val="002F3E9C"/>
    <w:rsid w:val="002F5418"/>
    <w:rsid w:val="002F643C"/>
    <w:rsid w:val="002F6710"/>
    <w:rsid w:val="002F6E3B"/>
    <w:rsid w:val="002F71C0"/>
    <w:rsid w:val="002F74F1"/>
    <w:rsid w:val="002F7853"/>
    <w:rsid w:val="00300E3B"/>
    <w:rsid w:val="00301017"/>
    <w:rsid w:val="0030155F"/>
    <w:rsid w:val="0030191C"/>
    <w:rsid w:val="00302695"/>
    <w:rsid w:val="003029D1"/>
    <w:rsid w:val="0030451C"/>
    <w:rsid w:val="00304722"/>
    <w:rsid w:val="0030487D"/>
    <w:rsid w:val="00304E22"/>
    <w:rsid w:val="00305020"/>
    <w:rsid w:val="0030587B"/>
    <w:rsid w:val="00306D98"/>
    <w:rsid w:val="00306E8E"/>
    <w:rsid w:val="003073C6"/>
    <w:rsid w:val="0030786C"/>
    <w:rsid w:val="00307E65"/>
    <w:rsid w:val="00310246"/>
    <w:rsid w:val="0031024E"/>
    <w:rsid w:val="0031031A"/>
    <w:rsid w:val="00310981"/>
    <w:rsid w:val="00311510"/>
    <w:rsid w:val="003117C5"/>
    <w:rsid w:val="00311BFB"/>
    <w:rsid w:val="00311D9B"/>
    <w:rsid w:val="0031237F"/>
    <w:rsid w:val="003124D9"/>
    <w:rsid w:val="00312594"/>
    <w:rsid w:val="00313B81"/>
    <w:rsid w:val="0031418E"/>
    <w:rsid w:val="00315498"/>
    <w:rsid w:val="00316474"/>
    <w:rsid w:val="003165E8"/>
    <w:rsid w:val="003167C3"/>
    <w:rsid w:val="003174D8"/>
    <w:rsid w:val="00317930"/>
    <w:rsid w:val="00317AC1"/>
    <w:rsid w:val="00321765"/>
    <w:rsid w:val="00321A25"/>
    <w:rsid w:val="00321BD9"/>
    <w:rsid w:val="00322107"/>
    <w:rsid w:val="00322355"/>
    <w:rsid w:val="00322538"/>
    <w:rsid w:val="00322679"/>
    <w:rsid w:val="00322846"/>
    <w:rsid w:val="00323687"/>
    <w:rsid w:val="003240FC"/>
    <w:rsid w:val="00324B63"/>
    <w:rsid w:val="00325359"/>
    <w:rsid w:val="0032555B"/>
    <w:rsid w:val="00326147"/>
    <w:rsid w:val="0032626B"/>
    <w:rsid w:val="00326BC4"/>
    <w:rsid w:val="00326C67"/>
    <w:rsid w:val="00326DA7"/>
    <w:rsid w:val="00326DE1"/>
    <w:rsid w:val="003270E4"/>
    <w:rsid w:val="00327A40"/>
    <w:rsid w:val="00330881"/>
    <w:rsid w:val="00330DAA"/>
    <w:rsid w:val="00330F5C"/>
    <w:rsid w:val="00330F7A"/>
    <w:rsid w:val="00331384"/>
    <w:rsid w:val="0033170C"/>
    <w:rsid w:val="003319C3"/>
    <w:rsid w:val="00332960"/>
    <w:rsid w:val="00332998"/>
    <w:rsid w:val="00332D4B"/>
    <w:rsid w:val="00333ECB"/>
    <w:rsid w:val="00334735"/>
    <w:rsid w:val="00335CEF"/>
    <w:rsid w:val="003366C9"/>
    <w:rsid w:val="0033678A"/>
    <w:rsid w:val="003371B0"/>
    <w:rsid w:val="00337925"/>
    <w:rsid w:val="003379F2"/>
    <w:rsid w:val="00337A43"/>
    <w:rsid w:val="00337A9B"/>
    <w:rsid w:val="0034006B"/>
    <w:rsid w:val="003403E4"/>
    <w:rsid w:val="00340BBD"/>
    <w:rsid w:val="00340DF1"/>
    <w:rsid w:val="00345FE8"/>
    <w:rsid w:val="003471ED"/>
    <w:rsid w:val="00347DE5"/>
    <w:rsid w:val="00347E45"/>
    <w:rsid w:val="0035065F"/>
    <w:rsid w:val="00350664"/>
    <w:rsid w:val="00350716"/>
    <w:rsid w:val="00351497"/>
    <w:rsid w:val="003517F9"/>
    <w:rsid w:val="003518E1"/>
    <w:rsid w:val="00351BA9"/>
    <w:rsid w:val="00353004"/>
    <w:rsid w:val="003535A6"/>
    <w:rsid w:val="00353D83"/>
    <w:rsid w:val="0035459A"/>
    <w:rsid w:val="00354F64"/>
    <w:rsid w:val="003552C6"/>
    <w:rsid w:val="0035620E"/>
    <w:rsid w:val="0035624F"/>
    <w:rsid w:val="00356A69"/>
    <w:rsid w:val="00356EBF"/>
    <w:rsid w:val="003575BE"/>
    <w:rsid w:val="00357635"/>
    <w:rsid w:val="00357B9C"/>
    <w:rsid w:val="00360345"/>
    <w:rsid w:val="00360BB7"/>
    <w:rsid w:val="00360E3C"/>
    <w:rsid w:val="00361856"/>
    <w:rsid w:val="00361A05"/>
    <w:rsid w:val="003624C4"/>
    <w:rsid w:val="003633C9"/>
    <w:rsid w:val="00363B00"/>
    <w:rsid w:val="00363E46"/>
    <w:rsid w:val="003648FD"/>
    <w:rsid w:val="003649F7"/>
    <w:rsid w:val="00364A6B"/>
    <w:rsid w:val="003654AC"/>
    <w:rsid w:val="00365509"/>
    <w:rsid w:val="00366090"/>
    <w:rsid w:val="00367DB4"/>
    <w:rsid w:val="003710CF"/>
    <w:rsid w:val="00371262"/>
    <w:rsid w:val="003714DF"/>
    <w:rsid w:val="00371FF9"/>
    <w:rsid w:val="00372C17"/>
    <w:rsid w:val="0037358A"/>
    <w:rsid w:val="003740DD"/>
    <w:rsid w:val="0037410F"/>
    <w:rsid w:val="00374F2F"/>
    <w:rsid w:val="00374F4F"/>
    <w:rsid w:val="003750F6"/>
    <w:rsid w:val="00375427"/>
    <w:rsid w:val="003760FC"/>
    <w:rsid w:val="00376A4D"/>
    <w:rsid w:val="00376F29"/>
    <w:rsid w:val="00377E34"/>
    <w:rsid w:val="00380044"/>
    <w:rsid w:val="00380562"/>
    <w:rsid w:val="00381867"/>
    <w:rsid w:val="00381D83"/>
    <w:rsid w:val="0038365C"/>
    <w:rsid w:val="0038369B"/>
    <w:rsid w:val="00383B78"/>
    <w:rsid w:val="003849D3"/>
    <w:rsid w:val="00385025"/>
    <w:rsid w:val="00385244"/>
    <w:rsid w:val="00385545"/>
    <w:rsid w:val="00385800"/>
    <w:rsid w:val="00385972"/>
    <w:rsid w:val="00385A9D"/>
    <w:rsid w:val="00385F75"/>
    <w:rsid w:val="00387121"/>
    <w:rsid w:val="00387EFC"/>
    <w:rsid w:val="003902B1"/>
    <w:rsid w:val="003903B5"/>
    <w:rsid w:val="00391590"/>
    <w:rsid w:val="0039179C"/>
    <w:rsid w:val="00391D53"/>
    <w:rsid w:val="003928EC"/>
    <w:rsid w:val="00392DC1"/>
    <w:rsid w:val="0039324E"/>
    <w:rsid w:val="00396896"/>
    <w:rsid w:val="00396953"/>
    <w:rsid w:val="00396D02"/>
    <w:rsid w:val="00396FD0"/>
    <w:rsid w:val="00397624"/>
    <w:rsid w:val="00397770"/>
    <w:rsid w:val="003A04A1"/>
    <w:rsid w:val="003A0777"/>
    <w:rsid w:val="003A1A7A"/>
    <w:rsid w:val="003A2392"/>
    <w:rsid w:val="003A2831"/>
    <w:rsid w:val="003A28DD"/>
    <w:rsid w:val="003A2943"/>
    <w:rsid w:val="003A2F27"/>
    <w:rsid w:val="003A34A1"/>
    <w:rsid w:val="003A35E4"/>
    <w:rsid w:val="003A3B25"/>
    <w:rsid w:val="003A3BF0"/>
    <w:rsid w:val="003A3CB6"/>
    <w:rsid w:val="003A3D0D"/>
    <w:rsid w:val="003A3ED1"/>
    <w:rsid w:val="003A440A"/>
    <w:rsid w:val="003A44DB"/>
    <w:rsid w:val="003A4C14"/>
    <w:rsid w:val="003A7008"/>
    <w:rsid w:val="003A70D8"/>
    <w:rsid w:val="003B2EB1"/>
    <w:rsid w:val="003B3271"/>
    <w:rsid w:val="003B3971"/>
    <w:rsid w:val="003B3A66"/>
    <w:rsid w:val="003B502A"/>
    <w:rsid w:val="003B5333"/>
    <w:rsid w:val="003B55D1"/>
    <w:rsid w:val="003B5A53"/>
    <w:rsid w:val="003B5B61"/>
    <w:rsid w:val="003B5C34"/>
    <w:rsid w:val="003B5E65"/>
    <w:rsid w:val="003B766E"/>
    <w:rsid w:val="003B76E5"/>
    <w:rsid w:val="003B7777"/>
    <w:rsid w:val="003B7D62"/>
    <w:rsid w:val="003C0517"/>
    <w:rsid w:val="003C05A0"/>
    <w:rsid w:val="003C0D4C"/>
    <w:rsid w:val="003C1654"/>
    <w:rsid w:val="003C1EF6"/>
    <w:rsid w:val="003C264C"/>
    <w:rsid w:val="003C3004"/>
    <w:rsid w:val="003C3692"/>
    <w:rsid w:val="003C4AF5"/>
    <w:rsid w:val="003C4C7A"/>
    <w:rsid w:val="003C5542"/>
    <w:rsid w:val="003C59BA"/>
    <w:rsid w:val="003C5EEF"/>
    <w:rsid w:val="003C659F"/>
    <w:rsid w:val="003C6919"/>
    <w:rsid w:val="003C6A2C"/>
    <w:rsid w:val="003C6F82"/>
    <w:rsid w:val="003C766E"/>
    <w:rsid w:val="003C7C15"/>
    <w:rsid w:val="003C7D19"/>
    <w:rsid w:val="003C7D2F"/>
    <w:rsid w:val="003D0388"/>
    <w:rsid w:val="003D0A86"/>
    <w:rsid w:val="003D0C5A"/>
    <w:rsid w:val="003D1828"/>
    <w:rsid w:val="003D1DE4"/>
    <w:rsid w:val="003D1E9A"/>
    <w:rsid w:val="003D2422"/>
    <w:rsid w:val="003D39A1"/>
    <w:rsid w:val="003D3EDE"/>
    <w:rsid w:val="003D3FBF"/>
    <w:rsid w:val="003D442A"/>
    <w:rsid w:val="003D4A30"/>
    <w:rsid w:val="003D5055"/>
    <w:rsid w:val="003D533B"/>
    <w:rsid w:val="003D5F0C"/>
    <w:rsid w:val="003D6301"/>
    <w:rsid w:val="003D6950"/>
    <w:rsid w:val="003D7452"/>
    <w:rsid w:val="003D76FA"/>
    <w:rsid w:val="003D79BB"/>
    <w:rsid w:val="003D7C98"/>
    <w:rsid w:val="003D7D9D"/>
    <w:rsid w:val="003E0543"/>
    <w:rsid w:val="003E0AC9"/>
    <w:rsid w:val="003E1245"/>
    <w:rsid w:val="003E1ECA"/>
    <w:rsid w:val="003E3328"/>
    <w:rsid w:val="003E40A5"/>
    <w:rsid w:val="003E40FC"/>
    <w:rsid w:val="003E41B0"/>
    <w:rsid w:val="003E51AD"/>
    <w:rsid w:val="003E5223"/>
    <w:rsid w:val="003E5367"/>
    <w:rsid w:val="003E5603"/>
    <w:rsid w:val="003E6449"/>
    <w:rsid w:val="003E749E"/>
    <w:rsid w:val="003F057F"/>
    <w:rsid w:val="003F0CB4"/>
    <w:rsid w:val="003F0E73"/>
    <w:rsid w:val="003F1004"/>
    <w:rsid w:val="003F111A"/>
    <w:rsid w:val="003F18C1"/>
    <w:rsid w:val="003F1B6E"/>
    <w:rsid w:val="003F3547"/>
    <w:rsid w:val="003F390B"/>
    <w:rsid w:val="003F3AA1"/>
    <w:rsid w:val="003F4156"/>
    <w:rsid w:val="003F4412"/>
    <w:rsid w:val="003F5150"/>
    <w:rsid w:val="003F57A2"/>
    <w:rsid w:val="003F5ADF"/>
    <w:rsid w:val="003F5D91"/>
    <w:rsid w:val="003F62F3"/>
    <w:rsid w:val="003F736C"/>
    <w:rsid w:val="00400229"/>
    <w:rsid w:val="004002FB"/>
    <w:rsid w:val="00400912"/>
    <w:rsid w:val="00400B29"/>
    <w:rsid w:val="00400F51"/>
    <w:rsid w:val="00402812"/>
    <w:rsid w:val="00402CE5"/>
    <w:rsid w:val="004033BF"/>
    <w:rsid w:val="004037D6"/>
    <w:rsid w:val="0040504B"/>
    <w:rsid w:val="004059F4"/>
    <w:rsid w:val="004066D0"/>
    <w:rsid w:val="00406B2B"/>
    <w:rsid w:val="00406FC6"/>
    <w:rsid w:val="00407FE5"/>
    <w:rsid w:val="004101B0"/>
    <w:rsid w:val="00410326"/>
    <w:rsid w:val="00410708"/>
    <w:rsid w:val="00410BAB"/>
    <w:rsid w:val="00410CF6"/>
    <w:rsid w:val="00410EC7"/>
    <w:rsid w:val="00411B39"/>
    <w:rsid w:val="004127A7"/>
    <w:rsid w:val="0041359E"/>
    <w:rsid w:val="00413A1E"/>
    <w:rsid w:val="00414476"/>
    <w:rsid w:val="00414913"/>
    <w:rsid w:val="00414C2E"/>
    <w:rsid w:val="004151CF"/>
    <w:rsid w:val="00415867"/>
    <w:rsid w:val="00416364"/>
    <w:rsid w:val="00416664"/>
    <w:rsid w:val="00416CA2"/>
    <w:rsid w:val="0041710B"/>
    <w:rsid w:val="004177FA"/>
    <w:rsid w:val="00420226"/>
    <w:rsid w:val="0042045D"/>
    <w:rsid w:val="0042047F"/>
    <w:rsid w:val="00420AA6"/>
    <w:rsid w:val="00420AE5"/>
    <w:rsid w:val="00420B9F"/>
    <w:rsid w:val="0042192C"/>
    <w:rsid w:val="00422260"/>
    <w:rsid w:val="00422E7D"/>
    <w:rsid w:val="0042348F"/>
    <w:rsid w:val="004239F1"/>
    <w:rsid w:val="00423DCF"/>
    <w:rsid w:val="0042413F"/>
    <w:rsid w:val="00424480"/>
    <w:rsid w:val="00425485"/>
    <w:rsid w:val="00427BB9"/>
    <w:rsid w:val="004305E9"/>
    <w:rsid w:val="0043131F"/>
    <w:rsid w:val="00431495"/>
    <w:rsid w:val="00431672"/>
    <w:rsid w:val="004319F8"/>
    <w:rsid w:val="00431E55"/>
    <w:rsid w:val="004321F6"/>
    <w:rsid w:val="00433029"/>
    <w:rsid w:val="00433044"/>
    <w:rsid w:val="00433118"/>
    <w:rsid w:val="00433F6A"/>
    <w:rsid w:val="00434088"/>
    <w:rsid w:val="00434385"/>
    <w:rsid w:val="00434910"/>
    <w:rsid w:val="00434B6B"/>
    <w:rsid w:val="00435321"/>
    <w:rsid w:val="00435A00"/>
    <w:rsid w:val="004375B9"/>
    <w:rsid w:val="00440931"/>
    <w:rsid w:val="00442251"/>
    <w:rsid w:val="004428D0"/>
    <w:rsid w:val="00443B8A"/>
    <w:rsid w:val="00443C9E"/>
    <w:rsid w:val="00444185"/>
    <w:rsid w:val="004443A7"/>
    <w:rsid w:val="0044442C"/>
    <w:rsid w:val="00445941"/>
    <w:rsid w:val="004464EB"/>
    <w:rsid w:val="00447D26"/>
    <w:rsid w:val="00447DFC"/>
    <w:rsid w:val="004509F6"/>
    <w:rsid w:val="00451603"/>
    <w:rsid w:val="004516C0"/>
    <w:rsid w:val="00451F0F"/>
    <w:rsid w:val="00452B69"/>
    <w:rsid w:val="0045352B"/>
    <w:rsid w:val="00453A08"/>
    <w:rsid w:val="00454D19"/>
    <w:rsid w:val="0045584E"/>
    <w:rsid w:val="00455D45"/>
    <w:rsid w:val="00456A6A"/>
    <w:rsid w:val="00456A8A"/>
    <w:rsid w:val="004573F2"/>
    <w:rsid w:val="00457497"/>
    <w:rsid w:val="0045759B"/>
    <w:rsid w:val="00460FB7"/>
    <w:rsid w:val="00461759"/>
    <w:rsid w:val="00463E00"/>
    <w:rsid w:val="0046414E"/>
    <w:rsid w:val="004644BD"/>
    <w:rsid w:val="00464595"/>
    <w:rsid w:val="00464971"/>
    <w:rsid w:val="00464DEF"/>
    <w:rsid w:val="00464FFA"/>
    <w:rsid w:val="0046549B"/>
    <w:rsid w:val="00465790"/>
    <w:rsid w:val="004658B5"/>
    <w:rsid w:val="00466641"/>
    <w:rsid w:val="00467065"/>
    <w:rsid w:val="004672B8"/>
    <w:rsid w:val="00467502"/>
    <w:rsid w:val="004677DE"/>
    <w:rsid w:val="00467821"/>
    <w:rsid w:val="00467940"/>
    <w:rsid w:val="00471EA5"/>
    <w:rsid w:val="004721B8"/>
    <w:rsid w:val="0047251E"/>
    <w:rsid w:val="00472A79"/>
    <w:rsid w:val="00473097"/>
    <w:rsid w:val="00473F19"/>
    <w:rsid w:val="00474901"/>
    <w:rsid w:val="004756F1"/>
    <w:rsid w:val="00475E22"/>
    <w:rsid w:val="0047694A"/>
    <w:rsid w:val="004776D5"/>
    <w:rsid w:val="00477714"/>
    <w:rsid w:val="0048088E"/>
    <w:rsid w:val="00480F2B"/>
    <w:rsid w:val="00481EFF"/>
    <w:rsid w:val="00482691"/>
    <w:rsid w:val="00482720"/>
    <w:rsid w:val="004835E7"/>
    <w:rsid w:val="004858CA"/>
    <w:rsid w:val="004859E1"/>
    <w:rsid w:val="00485B34"/>
    <w:rsid w:val="004867E2"/>
    <w:rsid w:val="004873E2"/>
    <w:rsid w:val="00487856"/>
    <w:rsid w:val="00487A4F"/>
    <w:rsid w:val="004901F9"/>
    <w:rsid w:val="00490B17"/>
    <w:rsid w:val="00491821"/>
    <w:rsid w:val="00491B3A"/>
    <w:rsid w:val="00492578"/>
    <w:rsid w:val="00492634"/>
    <w:rsid w:val="00492857"/>
    <w:rsid w:val="00492CFD"/>
    <w:rsid w:val="00493B17"/>
    <w:rsid w:val="00494207"/>
    <w:rsid w:val="00494220"/>
    <w:rsid w:val="004943BE"/>
    <w:rsid w:val="00494543"/>
    <w:rsid w:val="00494756"/>
    <w:rsid w:val="00494969"/>
    <w:rsid w:val="00494DD5"/>
    <w:rsid w:val="00495872"/>
    <w:rsid w:val="004962D2"/>
    <w:rsid w:val="00496512"/>
    <w:rsid w:val="00496EB9"/>
    <w:rsid w:val="00497489"/>
    <w:rsid w:val="00497770"/>
    <w:rsid w:val="0049784F"/>
    <w:rsid w:val="004A030E"/>
    <w:rsid w:val="004A0DA1"/>
    <w:rsid w:val="004A0E6E"/>
    <w:rsid w:val="004A11C0"/>
    <w:rsid w:val="004A13D6"/>
    <w:rsid w:val="004A187D"/>
    <w:rsid w:val="004A1EE5"/>
    <w:rsid w:val="004A1EF1"/>
    <w:rsid w:val="004A213E"/>
    <w:rsid w:val="004A2216"/>
    <w:rsid w:val="004A2D1E"/>
    <w:rsid w:val="004A3754"/>
    <w:rsid w:val="004A37FA"/>
    <w:rsid w:val="004A3973"/>
    <w:rsid w:val="004A3BD9"/>
    <w:rsid w:val="004A3FB5"/>
    <w:rsid w:val="004A45F4"/>
    <w:rsid w:val="004A48C4"/>
    <w:rsid w:val="004A52E9"/>
    <w:rsid w:val="004A5910"/>
    <w:rsid w:val="004A5945"/>
    <w:rsid w:val="004A6040"/>
    <w:rsid w:val="004A6597"/>
    <w:rsid w:val="004A7129"/>
    <w:rsid w:val="004A7848"/>
    <w:rsid w:val="004A793B"/>
    <w:rsid w:val="004B0A81"/>
    <w:rsid w:val="004B0B7C"/>
    <w:rsid w:val="004B1CB4"/>
    <w:rsid w:val="004B1EC1"/>
    <w:rsid w:val="004B22DA"/>
    <w:rsid w:val="004B2F18"/>
    <w:rsid w:val="004B30A0"/>
    <w:rsid w:val="004B3922"/>
    <w:rsid w:val="004B39DA"/>
    <w:rsid w:val="004B3DDB"/>
    <w:rsid w:val="004B3F2B"/>
    <w:rsid w:val="004B41B0"/>
    <w:rsid w:val="004B44FD"/>
    <w:rsid w:val="004B584B"/>
    <w:rsid w:val="004B596E"/>
    <w:rsid w:val="004B5CFC"/>
    <w:rsid w:val="004B6F79"/>
    <w:rsid w:val="004B72D3"/>
    <w:rsid w:val="004B7524"/>
    <w:rsid w:val="004B774D"/>
    <w:rsid w:val="004B7D83"/>
    <w:rsid w:val="004C0D47"/>
    <w:rsid w:val="004C204D"/>
    <w:rsid w:val="004C2113"/>
    <w:rsid w:val="004C2AC2"/>
    <w:rsid w:val="004C3774"/>
    <w:rsid w:val="004C3AD3"/>
    <w:rsid w:val="004C3E08"/>
    <w:rsid w:val="004C4AED"/>
    <w:rsid w:val="004C5695"/>
    <w:rsid w:val="004C5BF0"/>
    <w:rsid w:val="004C5D9B"/>
    <w:rsid w:val="004C64FB"/>
    <w:rsid w:val="004C694B"/>
    <w:rsid w:val="004C6AE8"/>
    <w:rsid w:val="004C7502"/>
    <w:rsid w:val="004C75FF"/>
    <w:rsid w:val="004C760A"/>
    <w:rsid w:val="004C79FE"/>
    <w:rsid w:val="004D09BB"/>
    <w:rsid w:val="004D11E6"/>
    <w:rsid w:val="004D1865"/>
    <w:rsid w:val="004D1953"/>
    <w:rsid w:val="004D1C24"/>
    <w:rsid w:val="004D2B24"/>
    <w:rsid w:val="004D2C2D"/>
    <w:rsid w:val="004D2FE9"/>
    <w:rsid w:val="004D46C1"/>
    <w:rsid w:val="004D4CCB"/>
    <w:rsid w:val="004D5092"/>
    <w:rsid w:val="004D61B4"/>
    <w:rsid w:val="004D6327"/>
    <w:rsid w:val="004D69B5"/>
    <w:rsid w:val="004D6ECA"/>
    <w:rsid w:val="004D70F4"/>
    <w:rsid w:val="004D7227"/>
    <w:rsid w:val="004D7B5E"/>
    <w:rsid w:val="004E0049"/>
    <w:rsid w:val="004E0E7F"/>
    <w:rsid w:val="004E0EB8"/>
    <w:rsid w:val="004E13D2"/>
    <w:rsid w:val="004E17C3"/>
    <w:rsid w:val="004E18E9"/>
    <w:rsid w:val="004E2914"/>
    <w:rsid w:val="004E2ADC"/>
    <w:rsid w:val="004E2D6C"/>
    <w:rsid w:val="004E339D"/>
    <w:rsid w:val="004E43B2"/>
    <w:rsid w:val="004E4A54"/>
    <w:rsid w:val="004E5C3E"/>
    <w:rsid w:val="004E7599"/>
    <w:rsid w:val="004F0469"/>
    <w:rsid w:val="004F0C58"/>
    <w:rsid w:val="004F184A"/>
    <w:rsid w:val="004F1D02"/>
    <w:rsid w:val="004F1EE1"/>
    <w:rsid w:val="004F2679"/>
    <w:rsid w:val="004F2913"/>
    <w:rsid w:val="004F2F21"/>
    <w:rsid w:val="004F3883"/>
    <w:rsid w:val="004F3DE5"/>
    <w:rsid w:val="004F51EB"/>
    <w:rsid w:val="004F6262"/>
    <w:rsid w:val="004F6913"/>
    <w:rsid w:val="004F7865"/>
    <w:rsid w:val="004F7B29"/>
    <w:rsid w:val="004F7CAE"/>
    <w:rsid w:val="00500712"/>
    <w:rsid w:val="005008FD"/>
    <w:rsid w:val="00500B69"/>
    <w:rsid w:val="00500EC8"/>
    <w:rsid w:val="00501466"/>
    <w:rsid w:val="00501496"/>
    <w:rsid w:val="005014E4"/>
    <w:rsid w:val="0050174E"/>
    <w:rsid w:val="00501801"/>
    <w:rsid w:val="00501854"/>
    <w:rsid w:val="00501B39"/>
    <w:rsid w:val="0050219B"/>
    <w:rsid w:val="005030D8"/>
    <w:rsid w:val="00503F17"/>
    <w:rsid w:val="00503F3A"/>
    <w:rsid w:val="0050480D"/>
    <w:rsid w:val="00505316"/>
    <w:rsid w:val="00506460"/>
    <w:rsid w:val="0050683C"/>
    <w:rsid w:val="005068C6"/>
    <w:rsid w:val="00506928"/>
    <w:rsid w:val="005077EF"/>
    <w:rsid w:val="00507946"/>
    <w:rsid w:val="00507C0B"/>
    <w:rsid w:val="00507E05"/>
    <w:rsid w:val="005102B0"/>
    <w:rsid w:val="005115A2"/>
    <w:rsid w:val="00511AD5"/>
    <w:rsid w:val="00511DC7"/>
    <w:rsid w:val="00512435"/>
    <w:rsid w:val="00512AE9"/>
    <w:rsid w:val="005133E6"/>
    <w:rsid w:val="005142C5"/>
    <w:rsid w:val="00514ABC"/>
    <w:rsid w:val="00514D48"/>
    <w:rsid w:val="0051501B"/>
    <w:rsid w:val="005152B5"/>
    <w:rsid w:val="005155A5"/>
    <w:rsid w:val="00515886"/>
    <w:rsid w:val="00516155"/>
    <w:rsid w:val="00517776"/>
    <w:rsid w:val="005177F4"/>
    <w:rsid w:val="00517C83"/>
    <w:rsid w:val="0052012C"/>
    <w:rsid w:val="00520598"/>
    <w:rsid w:val="0052098D"/>
    <w:rsid w:val="0052119B"/>
    <w:rsid w:val="0052123C"/>
    <w:rsid w:val="00521281"/>
    <w:rsid w:val="00521319"/>
    <w:rsid w:val="00522BC8"/>
    <w:rsid w:val="00523C28"/>
    <w:rsid w:val="005259F1"/>
    <w:rsid w:val="00525D02"/>
    <w:rsid w:val="005260EB"/>
    <w:rsid w:val="0052699C"/>
    <w:rsid w:val="005275F9"/>
    <w:rsid w:val="005301EF"/>
    <w:rsid w:val="0053176B"/>
    <w:rsid w:val="00531D7B"/>
    <w:rsid w:val="00532F2B"/>
    <w:rsid w:val="00533B13"/>
    <w:rsid w:val="00533F2C"/>
    <w:rsid w:val="005341B3"/>
    <w:rsid w:val="00535EF7"/>
    <w:rsid w:val="00536429"/>
    <w:rsid w:val="00536A2B"/>
    <w:rsid w:val="00536E64"/>
    <w:rsid w:val="00536F42"/>
    <w:rsid w:val="00537182"/>
    <w:rsid w:val="005377C9"/>
    <w:rsid w:val="00537F9E"/>
    <w:rsid w:val="00540B6B"/>
    <w:rsid w:val="005413F0"/>
    <w:rsid w:val="00541EDD"/>
    <w:rsid w:val="00542705"/>
    <w:rsid w:val="00542743"/>
    <w:rsid w:val="00542A83"/>
    <w:rsid w:val="00542C2D"/>
    <w:rsid w:val="00543E66"/>
    <w:rsid w:val="005464FA"/>
    <w:rsid w:val="0054687B"/>
    <w:rsid w:val="00547213"/>
    <w:rsid w:val="00547453"/>
    <w:rsid w:val="005478BD"/>
    <w:rsid w:val="005479E3"/>
    <w:rsid w:val="00550041"/>
    <w:rsid w:val="005514F2"/>
    <w:rsid w:val="00551724"/>
    <w:rsid w:val="00551985"/>
    <w:rsid w:val="00551C7B"/>
    <w:rsid w:val="00552BD3"/>
    <w:rsid w:val="00552E0D"/>
    <w:rsid w:val="005532A0"/>
    <w:rsid w:val="0055410D"/>
    <w:rsid w:val="00555109"/>
    <w:rsid w:val="005557B4"/>
    <w:rsid w:val="005557B7"/>
    <w:rsid w:val="005558B8"/>
    <w:rsid w:val="00556B35"/>
    <w:rsid w:val="00557015"/>
    <w:rsid w:val="0055741A"/>
    <w:rsid w:val="00557951"/>
    <w:rsid w:val="00560C40"/>
    <w:rsid w:val="005611B7"/>
    <w:rsid w:val="005618D4"/>
    <w:rsid w:val="00561AB3"/>
    <w:rsid w:val="00561C2C"/>
    <w:rsid w:val="00562575"/>
    <w:rsid w:val="00562704"/>
    <w:rsid w:val="00562A3E"/>
    <w:rsid w:val="00562B10"/>
    <w:rsid w:val="005634A5"/>
    <w:rsid w:val="005640E3"/>
    <w:rsid w:val="0056410C"/>
    <w:rsid w:val="00564867"/>
    <w:rsid w:val="0056493A"/>
    <w:rsid w:val="00564AFC"/>
    <w:rsid w:val="005658B2"/>
    <w:rsid w:val="00565C79"/>
    <w:rsid w:val="00565DF0"/>
    <w:rsid w:val="0056680A"/>
    <w:rsid w:val="005668FE"/>
    <w:rsid w:val="0056696F"/>
    <w:rsid w:val="00566C84"/>
    <w:rsid w:val="005670C1"/>
    <w:rsid w:val="005674B1"/>
    <w:rsid w:val="00567F42"/>
    <w:rsid w:val="005702FD"/>
    <w:rsid w:val="00571CB6"/>
    <w:rsid w:val="00572243"/>
    <w:rsid w:val="00572269"/>
    <w:rsid w:val="005723A7"/>
    <w:rsid w:val="0057244A"/>
    <w:rsid w:val="00572F26"/>
    <w:rsid w:val="00574B3F"/>
    <w:rsid w:val="005750C5"/>
    <w:rsid w:val="005752DE"/>
    <w:rsid w:val="00575D60"/>
    <w:rsid w:val="00575D8D"/>
    <w:rsid w:val="0057605D"/>
    <w:rsid w:val="00576972"/>
    <w:rsid w:val="00576B89"/>
    <w:rsid w:val="00577105"/>
    <w:rsid w:val="00577248"/>
    <w:rsid w:val="005803C9"/>
    <w:rsid w:val="00581519"/>
    <w:rsid w:val="00581F5C"/>
    <w:rsid w:val="00583699"/>
    <w:rsid w:val="00583F76"/>
    <w:rsid w:val="00584BD8"/>
    <w:rsid w:val="00585CDD"/>
    <w:rsid w:val="00586843"/>
    <w:rsid w:val="00586F35"/>
    <w:rsid w:val="00587058"/>
    <w:rsid w:val="00587A9E"/>
    <w:rsid w:val="0059004C"/>
    <w:rsid w:val="00590514"/>
    <w:rsid w:val="005905E2"/>
    <w:rsid w:val="00590CF8"/>
    <w:rsid w:val="00590D7A"/>
    <w:rsid w:val="005911EF"/>
    <w:rsid w:val="00591957"/>
    <w:rsid w:val="00592FA4"/>
    <w:rsid w:val="00593000"/>
    <w:rsid w:val="00593349"/>
    <w:rsid w:val="005941E9"/>
    <w:rsid w:val="00594B8B"/>
    <w:rsid w:val="00594FBC"/>
    <w:rsid w:val="005952E3"/>
    <w:rsid w:val="005974FD"/>
    <w:rsid w:val="00597B23"/>
    <w:rsid w:val="00597BF9"/>
    <w:rsid w:val="005A0A9B"/>
    <w:rsid w:val="005A0C11"/>
    <w:rsid w:val="005A0C20"/>
    <w:rsid w:val="005A10E1"/>
    <w:rsid w:val="005A22E2"/>
    <w:rsid w:val="005A309A"/>
    <w:rsid w:val="005A373D"/>
    <w:rsid w:val="005A6156"/>
    <w:rsid w:val="005A6347"/>
    <w:rsid w:val="005A681D"/>
    <w:rsid w:val="005A7332"/>
    <w:rsid w:val="005A7426"/>
    <w:rsid w:val="005A7E97"/>
    <w:rsid w:val="005B083B"/>
    <w:rsid w:val="005B0B58"/>
    <w:rsid w:val="005B20F7"/>
    <w:rsid w:val="005B48AF"/>
    <w:rsid w:val="005B48CC"/>
    <w:rsid w:val="005B4E53"/>
    <w:rsid w:val="005B503D"/>
    <w:rsid w:val="005B5857"/>
    <w:rsid w:val="005B5ACA"/>
    <w:rsid w:val="005B5B4F"/>
    <w:rsid w:val="005B63F9"/>
    <w:rsid w:val="005B786E"/>
    <w:rsid w:val="005B7A6C"/>
    <w:rsid w:val="005C06F0"/>
    <w:rsid w:val="005C07A9"/>
    <w:rsid w:val="005C0BE7"/>
    <w:rsid w:val="005C19C4"/>
    <w:rsid w:val="005C1B83"/>
    <w:rsid w:val="005C25FF"/>
    <w:rsid w:val="005C2B52"/>
    <w:rsid w:val="005C2D55"/>
    <w:rsid w:val="005C346B"/>
    <w:rsid w:val="005C5ABC"/>
    <w:rsid w:val="005C763E"/>
    <w:rsid w:val="005C7C86"/>
    <w:rsid w:val="005D0338"/>
    <w:rsid w:val="005D044D"/>
    <w:rsid w:val="005D0819"/>
    <w:rsid w:val="005D0ABD"/>
    <w:rsid w:val="005D15C1"/>
    <w:rsid w:val="005D18AD"/>
    <w:rsid w:val="005D26B4"/>
    <w:rsid w:val="005D2A83"/>
    <w:rsid w:val="005D489B"/>
    <w:rsid w:val="005D4A87"/>
    <w:rsid w:val="005D4AF0"/>
    <w:rsid w:val="005D4D52"/>
    <w:rsid w:val="005D6468"/>
    <w:rsid w:val="005D739A"/>
    <w:rsid w:val="005E04E8"/>
    <w:rsid w:val="005E1995"/>
    <w:rsid w:val="005E2512"/>
    <w:rsid w:val="005E2749"/>
    <w:rsid w:val="005E2C82"/>
    <w:rsid w:val="005E3513"/>
    <w:rsid w:val="005E554D"/>
    <w:rsid w:val="005E5E0B"/>
    <w:rsid w:val="005E68AB"/>
    <w:rsid w:val="005E6CBC"/>
    <w:rsid w:val="005E708A"/>
    <w:rsid w:val="005E72FF"/>
    <w:rsid w:val="005E73C0"/>
    <w:rsid w:val="005E7B3E"/>
    <w:rsid w:val="005F07ED"/>
    <w:rsid w:val="005F089F"/>
    <w:rsid w:val="005F08D0"/>
    <w:rsid w:val="005F103A"/>
    <w:rsid w:val="005F1088"/>
    <w:rsid w:val="005F1D36"/>
    <w:rsid w:val="005F2706"/>
    <w:rsid w:val="005F3F38"/>
    <w:rsid w:val="005F4283"/>
    <w:rsid w:val="005F4DFD"/>
    <w:rsid w:val="005F522F"/>
    <w:rsid w:val="005F5987"/>
    <w:rsid w:val="005F60A7"/>
    <w:rsid w:val="005F6A8F"/>
    <w:rsid w:val="005F6BB7"/>
    <w:rsid w:val="005F7539"/>
    <w:rsid w:val="005F7588"/>
    <w:rsid w:val="00600616"/>
    <w:rsid w:val="00600D5F"/>
    <w:rsid w:val="0060120D"/>
    <w:rsid w:val="006012C3"/>
    <w:rsid w:val="00601677"/>
    <w:rsid w:val="0060177F"/>
    <w:rsid w:val="00601DEC"/>
    <w:rsid w:val="006024AF"/>
    <w:rsid w:val="0060259A"/>
    <w:rsid w:val="00603D99"/>
    <w:rsid w:val="00603DB9"/>
    <w:rsid w:val="00603F3A"/>
    <w:rsid w:val="00605858"/>
    <w:rsid w:val="00605A4B"/>
    <w:rsid w:val="00605C6F"/>
    <w:rsid w:val="006067E7"/>
    <w:rsid w:val="00606F6D"/>
    <w:rsid w:val="00606FBA"/>
    <w:rsid w:val="006075F4"/>
    <w:rsid w:val="00607669"/>
    <w:rsid w:val="006076F4"/>
    <w:rsid w:val="00607977"/>
    <w:rsid w:val="00607AFD"/>
    <w:rsid w:val="00611B12"/>
    <w:rsid w:val="006122AD"/>
    <w:rsid w:val="00612F97"/>
    <w:rsid w:val="00613294"/>
    <w:rsid w:val="0061345D"/>
    <w:rsid w:val="00613984"/>
    <w:rsid w:val="006141CD"/>
    <w:rsid w:val="0061471B"/>
    <w:rsid w:val="006151CE"/>
    <w:rsid w:val="0061549B"/>
    <w:rsid w:val="0061565D"/>
    <w:rsid w:val="00615E4A"/>
    <w:rsid w:val="00616006"/>
    <w:rsid w:val="00616802"/>
    <w:rsid w:val="006169AC"/>
    <w:rsid w:val="00617E12"/>
    <w:rsid w:val="00620C25"/>
    <w:rsid w:val="00621477"/>
    <w:rsid w:val="00621ADA"/>
    <w:rsid w:val="00621C06"/>
    <w:rsid w:val="00622928"/>
    <w:rsid w:val="00622A3C"/>
    <w:rsid w:val="00622FCD"/>
    <w:rsid w:val="0062345B"/>
    <w:rsid w:val="00623BED"/>
    <w:rsid w:val="00623F7B"/>
    <w:rsid w:val="006243D7"/>
    <w:rsid w:val="00624BD4"/>
    <w:rsid w:val="00625370"/>
    <w:rsid w:val="006254E8"/>
    <w:rsid w:val="00625AC9"/>
    <w:rsid w:val="00626516"/>
    <w:rsid w:val="00630702"/>
    <w:rsid w:val="0063112F"/>
    <w:rsid w:val="0063158F"/>
    <w:rsid w:val="00631D6B"/>
    <w:rsid w:val="00631E5C"/>
    <w:rsid w:val="0063210C"/>
    <w:rsid w:val="00632183"/>
    <w:rsid w:val="00632208"/>
    <w:rsid w:val="006330A1"/>
    <w:rsid w:val="006336EF"/>
    <w:rsid w:val="0063479F"/>
    <w:rsid w:val="00634A34"/>
    <w:rsid w:val="00634A70"/>
    <w:rsid w:val="006351A9"/>
    <w:rsid w:val="006353F0"/>
    <w:rsid w:val="006357B5"/>
    <w:rsid w:val="006364A1"/>
    <w:rsid w:val="0063678E"/>
    <w:rsid w:val="00636E31"/>
    <w:rsid w:val="0063793B"/>
    <w:rsid w:val="00637BFD"/>
    <w:rsid w:val="00637C5C"/>
    <w:rsid w:val="0064015C"/>
    <w:rsid w:val="00641144"/>
    <w:rsid w:val="00641C4E"/>
    <w:rsid w:val="00641CBC"/>
    <w:rsid w:val="00641FB3"/>
    <w:rsid w:val="00642B19"/>
    <w:rsid w:val="0064394D"/>
    <w:rsid w:val="00643B3D"/>
    <w:rsid w:val="0064434C"/>
    <w:rsid w:val="00646FDF"/>
    <w:rsid w:val="006471CC"/>
    <w:rsid w:val="006472FE"/>
    <w:rsid w:val="00647616"/>
    <w:rsid w:val="00647A29"/>
    <w:rsid w:val="00647B0E"/>
    <w:rsid w:val="00650528"/>
    <w:rsid w:val="006506A0"/>
    <w:rsid w:val="0065079F"/>
    <w:rsid w:val="00650DFD"/>
    <w:rsid w:val="006514B0"/>
    <w:rsid w:val="00652612"/>
    <w:rsid w:val="00652A28"/>
    <w:rsid w:val="0065348E"/>
    <w:rsid w:val="006536E7"/>
    <w:rsid w:val="0065379F"/>
    <w:rsid w:val="00656188"/>
    <w:rsid w:val="006562C3"/>
    <w:rsid w:val="0065715A"/>
    <w:rsid w:val="006573CA"/>
    <w:rsid w:val="00660C79"/>
    <w:rsid w:val="006610F1"/>
    <w:rsid w:val="006613AC"/>
    <w:rsid w:val="00661C6B"/>
    <w:rsid w:val="0066284B"/>
    <w:rsid w:val="00662D3E"/>
    <w:rsid w:val="0066374E"/>
    <w:rsid w:val="0066440B"/>
    <w:rsid w:val="00664B08"/>
    <w:rsid w:val="00664F52"/>
    <w:rsid w:val="00665DC1"/>
    <w:rsid w:val="00666724"/>
    <w:rsid w:val="00666B28"/>
    <w:rsid w:val="00666B2B"/>
    <w:rsid w:val="00667BE3"/>
    <w:rsid w:val="00671004"/>
    <w:rsid w:val="00672646"/>
    <w:rsid w:val="00672939"/>
    <w:rsid w:val="00672BA6"/>
    <w:rsid w:val="00672D9A"/>
    <w:rsid w:val="00672FA2"/>
    <w:rsid w:val="0067467A"/>
    <w:rsid w:val="00674E42"/>
    <w:rsid w:val="006755B3"/>
    <w:rsid w:val="006757D4"/>
    <w:rsid w:val="00675F5A"/>
    <w:rsid w:val="006760E1"/>
    <w:rsid w:val="00676563"/>
    <w:rsid w:val="00676F7A"/>
    <w:rsid w:val="00677AC8"/>
    <w:rsid w:val="00680025"/>
    <w:rsid w:val="006802A3"/>
    <w:rsid w:val="006804B1"/>
    <w:rsid w:val="006813F8"/>
    <w:rsid w:val="00682112"/>
    <w:rsid w:val="006822BD"/>
    <w:rsid w:val="00682BA6"/>
    <w:rsid w:val="00683EF9"/>
    <w:rsid w:val="00684456"/>
    <w:rsid w:val="00685E8F"/>
    <w:rsid w:val="00685EAF"/>
    <w:rsid w:val="006867EE"/>
    <w:rsid w:val="00686957"/>
    <w:rsid w:val="00687203"/>
    <w:rsid w:val="006872BA"/>
    <w:rsid w:val="00690093"/>
    <w:rsid w:val="006901CE"/>
    <w:rsid w:val="00690490"/>
    <w:rsid w:val="00690795"/>
    <w:rsid w:val="00690CD2"/>
    <w:rsid w:val="00691648"/>
    <w:rsid w:val="006917D7"/>
    <w:rsid w:val="0069434C"/>
    <w:rsid w:val="00694EFC"/>
    <w:rsid w:val="00694F44"/>
    <w:rsid w:val="00695166"/>
    <w:rsid w:val="006952A3"/>
    <w:rsid w:val="006953AF"/>
    <w:rsid w:val="00696EF9"/>
    <w:rsid w:val="00696F51"/>
    <w:rsid w:val="006979A5"/>
    <w:rsid w:val="00697CBF"/>
    <w:rsid w:val="006A016F"/>
    <w:rsid w:val="006A06B1"/>
    <w:rsid w:val="006A0DF7"/>
    <w:rsid w:val="006A237B"/>
    <w:rsid w:val="006A24FB"/>
    <w:rsid w:val="006A2D28"/>
    <w:rsid w:val="006A3177"/>
    <w:rsid w:val="006A4321"/>
    <w:rsid w:val="006A43A5"/>
    <w:rsid w:val="006A43D9"/>
    <w:rsid w:val="006A4417"/>
    <w:rsid w:val="006A5303"/>
    <w:rsid w:val="006A6B99"/>
    <w:rsid w:val="006A7E5F"/>
    <w:rsid w:val="006A7FDA"/>
    <w:rsid w:val="006B04C7"/>
    <w:rsid w:val="006B0892"/>
    <w:rsid w:val="006B0EA5"/>
    <w:rsid w:val="006B17FA"/>
    <w:rsid w:val="006B261B"/>
    <w:rsid w:val="006B2736"/>
    <w:rsid w:val="006B2766"/>
    <w:rsid w:val="006B282F"/>
    <w:rsid w:val="006B2C90"/>
    <w:rsid w:val="006B317B"/>
    <w:rsid w:val="006B35E6"/>
    <w:rsid w:val="006B465A"/>
    <w:rsid w:val="006B5CDC"/>
    <w:rsid w:val="006B6B35"/>
    <w:rsid w:val="006B6DD0"/>
    <w:rsid w:val="006C01D2"/>
    <w:rsid w:val="006C0399"/>
    <w:rsid w:val="006C1B2D"/>
    <w:rsid w:val="006C2573"/>
    <w:rsid w:val="006C261B"/>
    <w:rsid w:val="006C2677"/>
    <w:rsid w:val="006C2A8E"/>
    <w:rsid w:val="006C3255"/>
    <w:rsid w:val="006C3602"/>
    <w:rsid w:val="006C3E2A"/>
    <w:rsid w:val="006C3F26"/>
    <w:rsid w:val="006C7578"/>
    <w:rsid w:val="006C778F"/>
    <w:rsid w:val="006D0D17"/>
    <w:rsid w:val="006D2044"/>
    <w:rsid w:val="006D2E36"/>
    <w:rsid w:val="006D344E"/>
    <w:rsid w:val="006D3707"/>
    <w:rsid w:val="006D3C7D"/>
    <w:rsid w:val="006D3CDF"/>
    <w:rsid w:val="006D4659"/>
    <w:rsid w:val="006D5275"/>
    <w:rsid w:val="006D5D5F"/>
    <w:rsid w:val="006D67BE"/>
    <w:rsid w:val="006D68FB"/>
    <w:rsid w:val="006D7D30"/>
    <w:rsid w:val="006E0499"/>
    <w:rsid w:val="006E066C"/>
    <w:rsid w:val="006E09AE"/>
    <w:rsid w:val="006E1108"/>
    <w:rsid w:val="006E12C5"/>
    <w:rsid w:val="006E185D"/>
    <w:rsid w:val="006E2868"/>
    <w:rsid w:val="006E5914"/>
    <w:rsid w:val="006F0244"/>
    <w:rsid w:val="006F04F3"/>
    <w:rsid w:val="006F073A"/>
    <w:rsid w:val="006F0BA4"/>
    <w:rsid w:val="006F152F"/>
    <w:rsid w:val="006F1F11"/>
    <w:rsid w:val="006F2B73"/>
    <w:rsid w:val="006F2BAA"/>
    <w:rsid w:val="006F2F3C"/>
    <w:rsid w:val="006F306C"/>
    <w:rsid w:val="006F35EC"/>
    <w:rsid w:val="006F37E5"/>
    <w:rsid w:val="006F38AD"/>
    <w:rsid w:val="006F3B3F"/>
    <w:rsid w:val="006F3D57"/>
    <w:rsid w:val="006F4BA0"/>
    <w:rsid w:val="006F63A5"/>
    <w:rsid w:val="006F7F68"/>
    <w:rsid w:val="0070068D"/>
    <w:rsid w:val="00700706"/>
    <w:rsid w:val="00700A31"/>
    <w:rsid w:val="0070100D"/>
    <w:rsid w:val="0070142B"/>
    <w:rsid w:val="00701CD3"/>
    <w:rsid w:val="00702325"/>
    <w:rsid w:val="0070276E"/>
    <w:rsid w:val="00702C32"/>
    <w:rsid w:val="00702F8F"/>
    <w:rsid w:val="00703D33"/>
    <w:rsid w:val="007043EA"/>
    <w:rsid w:val="00704665"/>
    <w:rsid w:val="00704D54"/>
    <w:rsid w:val="0070524E"/>
    <w:rsid w:val="0070559B"/>
    <w:rsid w:val="007059DF"/>
    <w:rsid w:val="007067BE"/>
    <w:rsid w:val="00706824"/>
    <w:rsid w:val="0070770F"/>
    <w:rsid w:val="007079FC"/>
    <w:rsid w:val="00710146"/>
    <w:rsid w:val="0071087D"/>
    <w:rsid w:val="007114B7"/>
    <w:rsid w:val="00711A36"/>
    <w:rsid w:val="00711E00"/>
    <w:rsid w:val="00712124"/>
    <w:rsid w:val="0071227E"/>
    <w:rsid w:val="007125D3"/>
    <w:rsid w:val="0071262A"/>
    <w:rsid w:val="00712AC4"/>
    <w:rsid w:val="00713EC4"/>
    <w:rsid w:val="007147B3"/>
    <w:rsid w:val="00714C26"/>
    <w:rsid w:val="0071529C"/>
    <w:rsid w:val="00716FEE"/>
    <w:rsid w:val="007170DA"/>
    <w:rsid w:val="007172AD"/>
    <w:rsid w:val="00717546"/>
    <w:rsid w:val="00717681"/>
    <w:rsid w:val="00720691"/>
    <w:rsid w:val="007206FF"/>
    <w:rsid w:val="007207C1"/>
    <w:rsid w:val="00720801"/>
    <w:rsid w:val="00720D36"/>
    <w:rsid w:val="00722B1B"/>
    <w:rsid w:val="007232D2"/>
    <w:rsid w:val="00723A4C"/>
    <w:rsid w:val="0072416F"/>
    <w:rsid w:val="00724958"/>
    <w:rsid w:val="0072497F"/>
    <w:rsid w:val="007253B3"/>
    <w:rsid w:val="00727C94"/>
    <w:rsid w:val="007305C9"/>
    <w:rsid w:val="00730D9E"/>
    <w:rsid w:val="00730E9E"/>
    <w:rsid w:val="007312C0"/>
    <w:rsid w:val="00731B0A"/>
    <w:rsid w:val="00731EAE"/>
    <w:rsid w:val="007327CF"/>
    <w:rsid w:val="00732F8C"/>
    <w:rsid w:val="00733073"/>
    <w:rsid w:val="007330CD"/>
    <w:rsid w:val="00734552"/>
    <w:rsid w:val="00734CCA"/>
    <w:rsid w:val="00735033"/>
    <w:rsid w:val="00735328"/>
    <w:rsid w:val="00736140"/>
    <w:rsid w:val="0073685B"/>
    <w:rsid w:val="007374B5"/>
    <w:rsid w:val="0073752A"/>
    <w:rsid w:val="00737E5E"/>
    <w:rsid w:val="0074222C"/>
    <w:rsid w:val="007422D8"/>
    <w:rsid w:val="00742510"/>
    <w:rsid w:val="00742C7F"/>
    <w:rsid w:val="00744234"/>
    <w:rsid w:val="00744759"/>
    <w:rsid w:val="00744840"/>
    <w:rsid w:val="007449BF"/>
    <w:rsid w:val="007463FE"/>
    <w:rsid w:val="007468B0"/>
    <w:rsid w:val="00746BC0"/>
    <w:rsid w:val="00750094"/>
    <w:rsid w:val="007510B4"/>
    <w:rsid w:val="00751A04"/>
    <w:rsid w:val="00751DD4"/>
    <w:rsid w:val="00752142"/>
    <w:rsid w:val="007522E9"/>
    <w:rsid w:val="007523F9"/>
    <w:rsid w:val="00752853"/>
    <w:rsid w:val="00752E2B"/>
    <w:rsid w:val="00753325"/>
    <w:rsid w:val="0075357E"/>
    <w:rsid w:val="00753B29"/>
    <w:rsid w:val="00754EB6"/>
    <w:rsid w:val="007554BA"/>
    <w:rsid w:val="00755CCC"/>
    <w:rsid w:val="00755CE9"/>
    <w:rsid w:val="00755F91"/>
    <w:rsid w:val="007563E8"/>
    <w:rsid w:val="007573E8"/>
    <w:rsid w:val="00757893"/>
    <w:rsid w:val="00757CFE"/>
    <w:rsid w:val="00760C4E"/>
    <w:rsid w:val="00760F9E"/>
    <w:rsid w:val="00761449"/>
    <w:rsid w:val="0076152E"/>
    <w:rsid w:val="007616E6"/>
    <w:rsid w:val="00762413"/>
    <w:rsid w:val="007627BE"/>
    <w:rsid w:val="00762F8E"/>
    <w:rsid w:val="0076357E"/>
    <w:rsid w:val="00763888"/>
    <w:rsid w:val="00763A98"/>
    <w:rsid w:val="007641D7"/>
    <w:rsid w:val="00764F03"/>
    <w:rsid w:val="0076519C"/>
    <w:rsid w:val="00765B1A"/>
    <w:rsid w:val="00765BE3"/>
    <w:rsid w:val="00765DC1"/>
    <w:rsid w:val="007661CE"/>
    <w:rsid w:val="007675CC"/>
    <w:rsid w:val="00770246"/>
    <w:rsid w:val="007704AF"/>
    <w:rsid w:val="0077071E"/>
    <w:rsid w:val="00770801"/>
    <w:rsid w:val="00770876"/>
    <w:rsid w:val="0077253D"/>
    <w:rsid w:val="00772DF3"/>
    <w:rsid w:val="007733C9"/>
    <w:rsid w:val="007739BE"/>
    <w:rsid w:val="00773D3C"/>
    <w:rsid w:val="0077420C"/>
    <w:rsid w:val="00774574"/>
    <w:rsid w:val="00777335"/>
    <w:rsid w:val="0077749C"/>
    <w:rsid w:val="00780AA5"/>
    <w:rsid w:val="00780C50"/>
    <w:rsid w:val="0078158D"/>
    <w:rsid w:val="00781DCA"/>
    <w:rsid w:val="0078215C"/>
    <w:rsid w:val="00782DA3"/>
    <w:rsid w:val="00782EA5"/>
    <w:rsid w:val="00783BC5"/>
    <w:rsid w:val="00783F6E"/>
    <w:rsid w:val="007843F2"/>
    <w:rsid w:val="00784523"/>
    <w:rsid w:val="007846FA"/>
    <w:rsid w:val="00785A9F"/>
    <w:rsid w:val="0078667B"/>
    <w:rsid w:val="00786797"/>
    <w:rsid w:val="0078791C"/>
    <w:rsid w:val="00787C90"/>
    <w:rsid w:val="00790441"/>
    <w:rsid w:val="00790AAB"/>
    <w:rsid w:val="00790F54"/>
    <w:rsid w:val="0079187F"/>
    <w:rsid w:val="007925DF"/>
    <w:rsid w:val="00793623"/>
    <w:rsid w:val="00794495"/>
    <w:rsid w:val="00794854"/>
    <w:rsid w:val="00796689"/>
    <w:rsid w:val="007A0282"/>
    <w:rsid w:val="007A04B6"/>
    <w:rsid w:val="007A08AA"/>
    <w:rsid w:val="007A0A12"/>
    <w:rsid w:val="007A132D"/>
    <w:rsid w:val="007A1345"/>
    <w:rsid w:val="007A1C21"/>
    <w:rsid w:val="007A271C"/>
    <w:rsid w:val="007A2906"/>
    <w:rsid w:val="007A2DDB"/>
    <w:rsid w:val="007A325F"/>
    <w:rsid w:val="007A436D"/>
    <w:rsid w:val="007A5443"/>
    <w:rsid w:val="007A6F24"/>
    <w:rsid w:val="007A70BA"/>
    <w:rsid w:val="007A74CA"/>
    <w:rsid w:val="007B0252"/>
    <w:rsid w:val="007B0D68"/>
    <w:rsid w:val="007B14AE"/>
    <w:rsid w:val="007B251D"/>
    <w:rsid w:val="007B3533"/>
    <w:rsid w:val="007B3C1B"/>
    <w:rsid w:val="007B46C8"/>
    <w:rsid w:val="007B4E17"/>
    <w:rsid w:val="007B4F58"/>
    <w:rsid w:val="007B528D"/>
    <w:rsid w:val="007B5D6F"/>
    <w:rsid w:val="007B6122"/>
    <w:rsid w:val="007B63CA"/>
    <w:rsid w:val="007B647C"/>
    <w:rsid w:val="007B6DE7"/>
    <w:rsid w:val="007B6EBB"/>
    <w:rsid w:val="007B7109"/>
    <w:rsid w:val="007B77D1"/>
    <w:rsid w:val="007B7AAA"/>
    <w:rsid w:val="007C07C7"/>
    <w:rsid w:val="007C0D89"/>
    <w:rsid w:val="007C0DB6"/>
    <w:rsid w:val="007C0E48"/>
    <w:rsid w:val="007C1CD9"/>
    <w:rsid w:val="007C1FE7"/>
    <w:rsid w:val="007C234D"/>
    <w:rsid w:val="007C3195"/>
    <w:rsid w:val="007C32EF"/>
    <w:rsid w:val="007C361D"/>
    <w:rsid w:val="007C3D04"/>
    <w:rsid w:val="007C4B84"/>
    <w:rsid w:val="007C68CF"/>
    <w:rsid w:val="007C69D8"/>
    <w:rsid w:val="007C6D68"/>
    <w:rsid w:val="007C6D6C"/>
    <w:rsid w:val="007C70FF"/>
    <w:rsid w:val="007C7C25"/>
    <w:rsid w:val="007C7D10"/>
    <w:rsid w:val="007D004F"/>
    <w:rsid w:val="007D035F"/>
    <w:rsid w:val="007D06B2"/>
    <w:rsid w:val="007D0B38"/>
    <w:rsid w:val="007D0B60"/>
    <w:rsid w:val="007D10B7"/>
    <w:rsid w:val="007D1BBE"/>
    <w:rsid w:val="007D21D6"/>
    <w:rsid w:val="007D4289"/>
    <w:rsid w:val="007D4B5E"/>
    <w:rsid w:val="007D4C00"/>
    <w:rsid w:val="007D4DB2"/>
    <w:rsid w:val="007D5440"/>
    <w:rsid w:val="007D5ED9"/>
    <w:rsid w:val="007D69EB"/>
    <w:rsid w:val="007D6CB0"/>
    <w:rsid w:val="007D6E21"/>
    <w:rsid w:val="007D7340"/>
    <w:rsid w:val="007E10C4"/>
    <w:rsid w:val="007E11CF"/>
    <w:rsid w:val="007E128F"/>
    <w:rsid w:val="007E1926"/>
    <w:rsid w:val="007E1FD4"/>
    <w:rsid w:val="007E25B4"/>
    <w:rsid w:val="007E2F02"/>
    <w:rsid w:val="007E2F74"/>
    <w:rsid w:val="007E3002"/>
    <w:rsid w:val="007E30C0"/>
    <w:rsid w:val="007E3297"/>
    <w:rsid w:val="007E3469"/>
    <w:rsid w:val="007E3847"/>
    <w:rsid w:val="007E4023"/>
    <w:rsid w:val="007E4342"/>
    <w:rsid w:val="007E5917"/>
    <w:rsid w:val="007E5A76"/>
    <w:rsid w:val="007E5E12"/>
    <w:rsid w:val="007E793E"/>
    <w:rsid w:val="007E7FBB"/>
    <w:rsid w:val="007F02D2"/>
    <w:rsid w:val="007F032C"/>
    <w:rsid w:val="007F1017"/>
    <w:rsid w:val="007F17AC"/>
    <w:rsid w:val="007F2117"/>
    <w:rsid w:val="007F2B82"/>
    <w:rsid w:val="007F2E2C"/>
    <w:rsid w:val="007F3C32"/>
    <w:rsid w:val="007F4A3F"/>
    <w:rsid w:val="007F4A61"/>
    <w:rsid w:val="007F5255"/>
    <w:rsid w:val="007F56CC"/>
    <w:rsid w:val="007F5FB8"/>
    <w:rsid w:val="007F6075"/>
    <w:rsid w:val="007F61C2"/>
    <w:rsid w:val="007F6A65"/>
    <w:rsid w:val="007F7653"/>
    <w:rsid w:val="007F781F"/>
    <w:rsid w:val="007F7F5F"/>
    <w:rsid w:val="008004B7"/>
    <w:rsid w:val="00800AAF"/>
    <w:rsid w:val="0080138E"/>
    <w:rsid w:val="0080144F"/>
    <w:rsid w:val="00801D1D"/>
    <w:rsid w:val="00802951"/>
    <w:rsid w:val="00802BC8"/>
    <w:rsid w:val="0080326E"/>
    <w:rsid w:val="00803782"/>
    <w:rsid w:val="00804819"/>
    <w:rsid w:val="00804963"/>
    <w:rsid w:val="00804BD0"/>
    <w:rsid w:val="00805142"/>
    <w:rsid w:val="008053C8"/>
    <w:rsid w:val="00805BCF"/>
    <w:rsid w:val="00805F20"/>
    <w:rsid w:val="00805FCE"/>
    <w:rsid w:val="00806E7C"/>
    <w:rsid w:val="008077D9"/>
    <w:rsid w:val="0080791B"/>
    <w:rsid w:val="00807A8B"/>
    <w:rsid w:val="00810BBA"/>
    <w:rsid w:val="008112AA"/>
    <w:rsid w:val="00811383"/>
    <w:rsid w:val="00811E0E"/>
    <w:rsid w:val="00812149"/>
    <w:rsid w:val="008129FC"/>
    <w:rsid w:val="00812CAC"/>
    <w:rsid w:val="008149D2"/>
    <w:rsid w:val="008153FB"/>
    <w:rsid w:val="008158E9"/>
    <w:rsid w:val="00815D83"/>
    <w:rsid w:val="008162E5"/>
    <w:rsid w:val="00816361"/>
    <w:rsid w:val="008166EF"/>
    <w:rsid w:val="008168D9"/>
    <w:rsid w:val="00816FEF"/>
    <w:rsid w:val="008203DD"/>
    <w:rsid w:val="00820480"/>
    <w:rsid w:val="00820A8C"/>
    <w:rsid w:val="00821240"/>
    <w:rsid w:val="008213AC"/>
    <w:rsid w:val="008215FB"/>
    <w:rsid w:val="008220CC"/>
    <w:rsid w:val="00822141"/>
    <w:rsid w:val="00823130"/>
    <w:rsid w:val="00823174"/>
    <w:rsid w:val="00825751"/>
    <w:rsid w:val="008264EB"/>
    <w:rsid w:val="008268CE"/>
    <w:rsid w:val="008270F0"/>
    <w:rsid w:val="00827339"/>
    <w:rsid w:val="00827A3C"/>
    <w:rsid w:val="00827C23"/>
    <w:rsid w:val="0083166D"/>
    <w:rsid w:val="00831DE9"/>
    <w:rsid w:val="00831E08"/>
    <w:rsid w:val="008322DF"/>
    <w:rsid w:val="00832C99"/>
    <w:rsid w:val="008334D8"/>
    <w:rsid w:val="0083390D"/>
    <w:rsid w:val="008339F6"/>
    <w:rsid w:val="00833A74"/>
    <w:rsid w:val="00833B05"/>
    <w:rsid w:val="00834255"/>
    <w:rsid w:val="0083438B"/>
    <w:rsid w:val="00835B57"/>
    <w:rsid w:val="00835D22"/>
    <w:rsid w:val="00835E10"/>
    <w:rsid w:val="00835FD6"/>
    <w:rsid w:val="008361C5"/>
    <w:rsid w:val="008362B4"/>
    <w:rsid w:val="00837049"/>
    <w:rsid w:val="00837FEB"/>
    <w:rsid w:val="00840148"/>
    <w:rsid w:val="008402ED"/>
    <w:rsid w:val="00840CA2"/>
    <w:rsid w:val="00841737"/>
    <w:rsid w:val="008421B7"/>
    <w:rsid w:val="0084263C"/>
    <w:rsid w:val="00843141"/>
    <w:rsid w:val="00843345"/>
    <w:rsid w:val="0084374F"/>
    <w:rsid w:val="00844A22"/>
    <w:rsid w:val="0084528A"/>
    <w:rsid w:val="0084625F"/>
    <w:rsid w:val="00847703"/>
    <w:rsid w:val="00847DF5"/>
    <w:rsid w:val="008501ED"/>
    <w:rsid w:val="00850248"/>
    <w:rsid w:val="008508CB"/>
    <w:rsid w:val="0085238C"/>
    <w:rsid w:val="008529B4"/>
    <w:rsid w:val="0085309D"/>
    <w:rsid w:val="008534A5"/>
    <w:rsid w:val="008535C7"/>
    <w:rsid w:val="008544B6"/>
    <w:rsid w:val="00854A15"/>
    <w:rsid w:val="008566F5"/>
    <w:rsid w:val="00856897"/>
    <w:rsid w:val="00856D10"/>
    <w:rsid w:val="00856E9A"/>
    <w:rsid w:val="008577A7"/>
    <w:rsid w:val="00857EAA"/>
    <w:rsid w:val="0086075D"/>
    <w:rsid w:val="00860E51"/>
    <w:rsid w:val="008617E6"/>
    <w:rsid w:val="00861BAC"/>
    <w:rsid w:val="00861CDE"/>
    <w:rsid w:val="00862502"/>
    <w:rsid w:val="00862CC1"/>
    <w:rsid w:val="00862ECA"/>
    <w:rsid w:val="00864218"/>
    <w:rsid w:val="008642A7"/>
    <w:rsid w:val="0086454E"/>
    <w:rsid w:val="00864656"/>
    <w:rsid w:val="00865E09"/>
    <w:rsid w:val="00865F4A"/>
    <w:rsid w:val="008660D4"/>
    <w:rsid w:val="00867391"/>
    <w:rsid w:val="008675DF"/>
    <w:rsid w:val="00867BA4"/>
    <w:rsid w:val="0087055D"/>
    <w:rsid w:val="00870DC6"/>
    <w:rsid w:val="00870EE0"/>
    <w:rsid w:val="008716B8"/>
    <w:rsid w:val="00871795"/>
    <w:rsid w:val="00871FA9"/>
    <w:rsid w:val="008728E9"/>
    <w:rsid w:val="00873291"/>
    <w:rsid w:val="008746A4"/>
    <w:rsid w:val="00874DC7"/>
    <w:rsid w:val="00874E0C"/>
    <w:rsid w:val="008752C0"/>
    <w:rsid w:val="008761A3"/>
    <w:rsid w:val="00876792"/>
    <w:rsid w:val="0088117A"/>
    <w:rsid w:val="008822D9"/>
    <w:rsid w:val="00882383"/>
    <w:rsid w:val="00882874"/>
    <w:rsid w:val="00882D2A"/>
    <w:rsid w:val="00882DEB"/>
    <w:rsid w:val="00882E3C"/>
    <w:rsid w:val="0088308A"/>
    <w:rsid w:val="00883265"/>
    <w:rsid w:val="00883295"/>
    <w:rsid w:val="00883787"/>
    <w:rsid w:val="00884467"/>
    <w:rsid w:val="00884B8A"/>
    <w:rsid w:val="008855E4"/>
    <w:rsid w:val="00886CD2"/>
    <w:rsid w:val="00886E82"/>
    <w:rsid w:val="008873BC"/>
    <w:rsid w:val="008878E9"/>
    <w:rsid w:val="0089074E"/>
    <w:rsid w:val="00891E6F"/>
    <w:rsid w:val="0089254C"/>
    <w:rsid w:val="0089275D"/>
    <w:rsid w:val="00892A36"/>
    <w:rsid w:val="00892C7D"/>
    <w:rsid w:val="0089303C"/>
    <w:rsid w:val="00893239"/>
    <w:rsid w:val="00894489"/>
    <w:rsid w:val="00894B0B"/>
    <w:rsid w:val="00894CCD"/>
    <w:rsid w:val="00894CD6"/>
    <w:rsid w:val="008963A5"/>
    <w:rsid w:val="00896D5D"/>
    <w:rsid w:val="00896E22"/>
    <w:rsid w:val="008974DB"/>
    <w:rsid w:val="00897BEC"/>
    <w:rsid w:val="00897C88"/>
    <w:rsid w:val="008A11A2"/>
    <w:rsid w:val="008A13DD"/>
    <w:rsid w:val="008A2CC1"/>
    <w:rsid w:val="008A3065"/>
    <w:rsid w:val="008A3158"/>
    <w:rsid w:val="008A32B6"/>
    <w:rsid w:val="008A3363"/>
    <w:rsid w:val="008A3371"/>
    <w:rsid w:val="008A3C3E"/>
    <w:rsid w:val="008A41B1"/>
    <w:rsid w:val="008A4F92"/>
    <w:rsid w:val="008A542A"/>
    <w:rsid w:val="008A5457"/>
    <w:rsid w:val="008A56AB"/>
    <w:rsid w:val="008A56C2"/>
    <w:rsid w:val="008A64E0"/>
    <w:rsid w:val="008A6DFB"/>
    <w:rsid w:val="008A79DE"/>
    <w:rsid w:val="008A7E1B"/>
    <w:rsid w:val="008B00AF"/>
    <w:rsid w:val="008B0C62"/>
    <w:rsid w:val="008B0CF6"/>
    <w:rsid w:val="008B11C9"/>
    <w:rsid w:val="008B1757"/>
    <w:rsid w:val="008B1C33"/>
    <w:rsid w:val="008B2046"/>
    <w:rsid w:val="008B2675"/>
    <w:rsid w:val="008B2961"/>
    <w:rsid w:val="008B2F28"/>
    <w:rsid w:val="008B4AD3"/>
    <w:rsid w:val="008B4B17"/>
    <w:rsid w:val="008B4B6F"/>
    <w:rsid w:val="008B4E18"/>
    <w:rsid w:val="008B6A54"/>
    <w:rsid w:val="008B7992"/>
    <w:rsid w:val="008B7D7E"/>
    <w:rsid w:val="008C0536"/>
    <w:rsid w:val="008C23EB"/>
    <w:rsid w:val="008C292A"/>
    <w:rsid w:val="008C2BBC"/>
    <w:rsid w:val="008C2DF6"/>
    <w:rsid w:val="008C3912"/>
    <w:rsid w:val="008C3BCD"/>
    <w:rsid w:val="008C4195"/>
    <w:rsid w:val="008C49AF"/>
    <w:rsid w:val="008C4D15"/>
    <w:rsid w:val="008C5610"/>
    <w:rsid w:val="008C5739"/>
    <w:rsid w:val="008C5BBA"/>
    <w:rsid w:val="008C7282"/>
    <w:rsid w:val="008C72F8"/>
    <w:rsid w:val="008C7ECB"/>
    <w:rsid w:val="008D07C2"/>
    <w:rsid w:val="008D0DF3"/>
    <w:rsid w:val="008D1630"/>
    <w:rsid w:val="008D16AD"/>
    <w:rsid w:val="008D18BC"/>
    <w:rsid w:val="008D1C81"/>
    <w:rsid w:val="008D1FB6"/>
    <w:rsid w:val="008D1FFD"/>
    <w:rsid w:val="008D2605"/>
    <w:rsid w:val="008D3B86"/>
    <w:rsid w:val="008D40F1"/>
    <w:rsid w:val="008D43FD"/>
    <w:rsid w:val="008D441B"/>
    <w:rsid w:val="008D4755"/>
    <w:rsid w:val="008D4C3D"/>
    <w:rsid w:val="008D4C86"/>
    <w:rsid w:val="008D5350"/>
    <w:rsid w:val="008D56A2"/>
    <w:rsid w:val="008D5A8C"/>
    <w:rsid w:val="008D685C"/>
    <w:rsid w:val="008D68E5"/>
    <w:rsid w:val="008D6C18"/>
    <w:rsid w:val="008D743C"/>
    <w:rsid w:val="008E06DB"/>
    <w:rsid w:val="008E0A79"/>
    <w:rsid w:val="008E0D3C"/>
    <w:rsid w:val="008E1A68"/>
    <w:rsid w:val="008E1B9E"/>
    <w:rsid w:val="008E1D1A"/>
    <w:rsid w:val="008E201D"/>
    <w:rsid w:val="008E264D"/>
    <w:rsid w:val="008E3399"/>
    <w:rsid w:val="008E445C"/>
    <w:rsid w:val="008E545B"/>
    <w:rsid w:val="008E55AB"/>
    <w:rsid w:val="008E67B2"/>
    <w:rsid w:val="008F0B6E"/>
    <w:rsid w:val="008F120A"/>
    <w:rsid w:val="008F27E0"/>
    <w:rsid w:val="008F3530"/>
    <w:rsid w:val="008F4646"/>
    <w:rsid w:val="008F48EB"/>
    <w:rsid w:val="008F4F0B"/>
    <w:rsid w:val="008F51C1"/>
    <w:rsid w:val="008F5472"/>
    <w:rsid w:val="008F6D48"/>
    <w:rsid w:val="008F6EB8"/>
    <w:rsid w:val="008F6F20"/>
    <w:rsid w:val="008F7D2F"/>
    <w:rsid w:val="00900EE2"/>
    <w:rsid w:val="009021A2"/>
    <w:rsid w:val="0090257F"/>
    <w:rsid w:val="009037DA"/>
    <w:rsid w:val="00904002"/>
    <w:rsid w:val="009046C4"/>
    <w:rsid w:val="00904D00"/>
    <w:rsid w:val="00905339"/>
    <w:rsid w:val="009062A5"/>
    <w:rsid w:val="00906DE6"/>
    <w:rsid w:val="00907288"/>
    <w:rsid w:val="009073FB"/>
    <w:rsid w:val="00907524"/>
    <w:rsid w:val="00907606"/>
    <w:rsid w:val="00907699"/>
    <w:rsid w:val="009076CC"/>
    <w:rsid w:val="00907E4D"/>
    <w:rsid w:val="00907E88"/>
    <w:rsid w:val="00910D63"/>
    <w:rsid w:val="00910FA7"/>
    <w:rsid w:val="00911244"/>
    <w:rsid w:val="00911272"/>
    <w:rsid w:val="009112A9"/>
    <w:rsid w:val="00911339"/>
    <w:rsid w:val="0091133E"/>
    <w:rsid w:val="00911549"/>
    <w:rsid w:val="00911D15"/>
    <w:rsid w:val="009124FE"/>
    <w:rsid w:val="00912510"/>
    <w:rsid w:val="00912C94"/>
    <w:rsid w:val="009135D6"/>
    <w:rsid w:val="00914397"/>
    <w:rsid w:val="00914941"/>
    <w:rsid w:val="00914C77"/>
    <w:rsid w:val="0091596E"/>
    <w:rsid w:val="009164BC"/>
    <w:rsid w:val="00917C0B"/>
    <w:rsid w:val="00917D39"/>
    <w:rsid w:val="00921153"/>
    <w:rsid w:val="0092117F"/>
    <w:rsid w:val="00921ACB"/>
    <w:rsid w:val="00922DD2"/>
    <w:rsid w:val="00923181"/>
    <w:rsid w:val="0092369B"/>
    <w:rsid w:val="009242A8"/>
    <w:rsid w:val="00925AEC"/>
    <w:rsid w:val="00926A2C"/>
    <w:rsid w:val="00927F32"/>
    <w:rsid w:val="00930E7B"/>
    <w:rsid w:val="009315B2"/>
    <w:rsid w:val="00931AD6"/>
    <w:rsid w:val="00933852"/>
    <w:rsid w:val="00933E0D"/>
    <w:rsid w:val="00933E24"/>
    <w:rsid w:val="00934337"/>
    <w:rsid w:val="00934988"/>
    <w:rsid w:val="009351F1"/>
    <w:rsid w:val="00935AC4"/>
    <w:rsid w:val="00935D30"/>
    <w:rsid w:val="00936253"/>
    <w:rsid w:val="00936A1C"/>
    <w:rsid w:val="00936D42"/>
    <w:rsid w:val="00937089"/>
    <w:rsid w:val="00937401"/>
    <w:rsid w:val="00937929"/>
    <w:rsid w:val="00937CAF"/>
    <w:rsid w:val="00937CF8"/>
    <w:rsid w:val="00940E16"/>
    <w:rsid w:val="009416A1"/>
    <w:rsid w:val="009420C9"/>
    <w:rsid w:val="009423D0"/>
    <w:rsid w:val="009425C8"/>
    <w:rsid w:val="0094267C"/>
    <w:rsid w:val="009435A3"/>
    <w:rsid w:val="0094394D"/>
    <w:rsid w:val="00943F9F"/>
    <w:rsid w:val="00944DD6"/>
    <w:rsid w:val="00944F8A"/>
    <w:rsid w:val="00945168"/>
    <w:rsid w:val="009452DC"/>
    <w:rsid w:val="00945575"/>
    <w:rsid w:val="00945F5A"/>
    <w:rsid w:val="00946173"/>
    <w:rsid w:val="00947720"/>
    <w:rsid w:val="00950305"/>
    <w:rsid w:val="009503B1"/>
    <w:rsid w:val="009510A2"/>
    <w:rsid w:val="009516E2"/>
    <w:rsid w:val="00953257"/>
    <w:rsid w:val="00953E3C"/>
    <w:rsid w:val="009543E4"/>
    <w:rsid w:val="0095474C"/>
    <w:rsid w:val="00954D7C"/>
    <w:rsid w:val="00955853"/>
    <w:rsid w:val="00956C6E"/>
    <w:rsid w:val="009572FB"/>
    <w:rsid w:val="0095754C"/>
    <w:rsid w:val="00957D92"/>
    <w:rsid w:val="009606B8"/>
    <w:rsid w:val="00960D03"/>
    <w:rsid w:val="0096168C"/>
    <w:rsid w:val="009625AA"/>
    <w:rsid w:val="00962763"/>
    <w:rsid w:val="00962CB9"/>
    <w:rsid w:val="00964312"/>
    <w:rsid w:val="0096589B"/>
    <w:rsid w:val="00965B8A"/>
    <w:rsid w:val="00965EFE"/>
    <w:rsid w:val="00966E89"/>
    <w:rsid w:val="00967AB6"/>
    <w:rsid w:val="00967D46"/>
    <w:rsid w:val="00967FF7"/>
    <w:rsid w:val="0097071F"/>
    <w:rsid w:val="00971473"/>
    <w:rsid w:val="009717AC"/>
    <w:rsid w:val="00972091"/>
    <w:rsid w:val="00972826"/>
    <w:rsid w:val="00973530"/>
    <w:rsid w:val="00974467"/>
    <w:rsid w:val="009751C1"/>
    <w:rsid w:val="0097706B"/>
    <w:rsid w:val="009775CB"/>
    <w:rsid w:val="0098014F"/>
    <w:rsid w:val="00980352"/>
    <w:rsid w:val="009811F1"/>
    <w:rsid w:val="00982D9D"/>
    <w:rsid w:val="00983AFC"/>
    <w:rsid w:val="00983E57"/>
    <w:rsid w:val="00983EFE"/>
    <w:rsid w:val="0098518C"/>
    <w:rsid w:val="0098541E"/>
    <w:rsid w:val="00985DE2"/>
    <w:rsid w:val="00985F28"/>
    <w:rsid w:val="00986179"/>
    <w:rsid w:val="0098675D"/>
    <w:rsid w:val="009869F7"/>
    <w:rsid w:val="00987BA4"/>
    <w:rsid w:val="00991230"/>
    <w:rsid w:val="009926E0"/>
    <w:rsid w:val="00992B84"/>
    <w:rsid w:val="0099451E"/>
    <w:rsid w:val="009957C5"/>
    <w:rsid w:val="00996400"/>
    <w:rsid w:val="00996B1A"/>
    <w:rsid w:val="00997250"/>
    <w:rsid w:val="009A0C99"/>
    <w:rsid w:val="009A1587"/>
    <w:rsid w:val="009A18F6"/>
    <w:rsid w:val="009A1F99"/>
    <w:rsid w:val="009A2DCC"/>
    <w:rsid w:val="009A3B5D"/>
    <w:rsid w:val="009A3E18"/>
    <w:rsid w:val="009A4CB6"/>
    <w:rsid w:val="009A5ABC"/>
    <w:rsid w:val="009A5E87"/>
    <w:rsid w:val="009A63F2"/>
    <w:rsid w:val="009A6CAC"/>
    <w:rsid w:val="009A6DC5"/>
    <w:rsid w:val="009A7F10"/>
    <w:rsid w:val="009B0FDA"/>
    <w:rsid w:val="009B1985"/>
    <w:rsid w:val="009B2208"/>
    <w:rsid w:val="009B26E8"/>
    <w:rsid w:val="009B3539"/>
    <w:rsid w:val="009B3E26"/>
    <w:rsid w:val="009B4D76"/>
    <w:rsid w:val="009B5AA0"/>
    <w:rsid w:val="009B6225"/>
    <w:rsid w:val="009B654A"/>
    <w:rsid w:val="009B6F39"/>
    <w:rsid w:val="009B7087"/>
    <w:rsid w:val="009B7444"/>
    <w:rsid w:val="009C0188"/>
    <w:rsid w:val="009C0410"/>
    <w:rsid w:val="009C0479"/>
    <w:rsid w:val="009C079F"/>
    <w:rsid w:val="009C1271"/>
    <w:rsid w:val="009C14BE"/>
    <w:rsid w:val="009C23A5"/>
    <w:rsid w:val="009C2947"/>
    <w:rsid w:val="009C33A4"/>
    <w:rsid w:val="009C3685"/>
    <w:rsid w:val="009C3706"/>
    <w:rsid w:val="009C397C"/>
    <w:rsid w:val="009C3A3A"/>
    <w:rsid w:val="009C4566"/>
    <w:rsid w:val="009C6936"/>
    <w:rsid w:val="009C6C08"/>
    <w:rsid w:val="009C6C37"/>
    <w:rsid w:val="009C6CEA"/>
    <w:rsid w:val="009C7B85"/>
    <w:rsid w:val="009D0254"/>
    <w:rsid w:val="009D0267"/>
    <w:rsid w:val="009D082B"/>
    <w:rsid w:val="009D0862"/>
    <w:rsid w:val="009D17AC"/>
    <w:rsid w:val="009D1A64"/>
    <w:rsid w:val="009D1D4D"/>
    <w:rsid w:val="009D294C"/>
    <w:rsid w:val="009D3F86"/>
    <w:rsid w:val="009D455B"/>
    <w:rsid w:val="009D5178"/>
    <w:rsid w:val="009D5B91"/>
    <w:rsid w:val="009D5DF5"/>
    <w:rsid w:val="009D6488"/>
    <w:rsid w:val="009D663A"/>
    <w:rsid w:val="009D6FA8"/>
    <w:rsid w:val="009D70DD"/>
    <w:rsid w:val="009D792E"/>
    <w:rsid w:val="009D7EAE"/>
    <w:rsid w:val="009E0A67"/>
    <w:rsid w:val="009E0DFE"/>
    <w:rsid w:val="009E10EF"/>
    <w:rsid w:val="009E1514"/>
    <w:rsid w:val="009E2068"/>
    <w:rsid w:val="009E28FE"/>
    <w:rsid w:val="009E2C67"/>
    <w:rsid w:val="009E2E3E"/>
    <w:rsid w:val="009E31F6"/>
    <w:rsid w:val="009E39E3"/>
    <w:rsid w:val="009E3CA9"/>
    <w:rsid w:val="009E40D8"/>
    <w:rsid w:val="009E41C6"/>
    <w:rsid w:val="009E4367"/>
    <w:rsid w:val="009E4564"/>
    <w:rsid w:val="009E4863"/>
    <w:rsid w:val="009E4C07"/>
    <w:rsid w:val="009E55E7"/>
    <w:rsid w:val="009E648D"/>
    <w:rsid w:val="009E777F"/>
    <w:rsid w:val="009F1F95"/>
    <w:rsid w:val="009F1FE4"/>
    <w:rsid w:val="009F2D2E"/>
    <w:rsid w:val="009F391A"/>
    <w:rsid w:val="009F3943"/>
    <w:rsid w:val="009F3DB9"/>
    <w:rsid w:val="009F5B43"/>
    <w:rsid w:val="009F5CD1"/>
    <w:rsid w:val="009F6120"/>
    <w:rsid w:val="009F7175"/>
    <w:rsid w:val="009F7382"/>
    <w:rsid w:val="009F755E"/>
    <w:rsid w:val="00A00D76"/>
    <w:rsid w:val="00A01184"/>
    <w:rsid w:val="00A01449"/>
    <w:rsid w:val="00A01C91"/>
    <w:rsid w:val="00A02A21"/>
    <w:rsid w:val="00A03309"/>
    <w:rsid w:val="00A037C2"/>
    <w:rsid w:val="00A03D43"/>
    <w:rsid w:val="00A04380"/>
    <w:rsid w:val="00A04786"/>
    <w:rsid w:val="00A04AFD"/>
    <w:rsid w:val="00A05472"/>
    <w:rsid w:val="00A05C32"/>
    <w:rsid w:val="00A0653F"/>
    <w:rsid w:val="00A06BB7"/>
    <w:rsid w:val="00A07108"/>
    <w:rsid w:val="00A07414"/>
    <w:rsid w:val="00A07689"/>
    <w:rsid w:val="00A07A98"/>
    <w:rsid w:val="00A07BC3"/>
    <w:rsid w:val="00A10406"/>
    <w:rsid w:val="00A110D3"/>
    <w:rsid w:val="00A1135A"/>
    <w:rsid w:val="00A1170E"/>
    <w:rsid w:val="00A11CD0"/>
    <w:rsid w:val="00A12296"/>
    <w:rsid w:val="00A12B01"/>
    <w:rsid w:val="00A135AE"/>
    <w:rsid w:val="00A13948"/>
    <w:rsid w:val="00A1555B"/>
    <w:rsid w:val="00A155C5"/>
    <w:rsid w:val="00A15612"/>
    <w:rsid w:val="00A16AD8"/>
    <w:rsid w:val="00A17361"/>
    <w:rsid w:val="00A17386"/>
    <w:rsid w:val="00A1790A"/>
    <w:rsid w:val="00A17A42"/>
    <w:rsid w:val="00A2021E"/>
    <w:rsid w:val="00A203E9"/>
    <w:rsid w:val="00A2046A"/>
    <w:rsid w:val="00A2057A"/>
    <w:rsid w:val="00A20D51"/>
    <w:rsid w:val="00A20F28"/>
    <w:rsid w:val="00A21356"/>
    <w:rsid w:val="00A21C95"/>
    <w:rsid w:val="00A21CF3"/>
    <w:rsid w:val="00A21E03"/>
    <w:rsid w:val="00A21EB6"/>
    <w:rsid w:val="00A229D1"/>
    <w:rsid w:val="00A232ED"/>
    <w:rsid w:val="00A24813"/>
    <w:rsid w:val="00A24823"/>
    <w:rsid w:val="00A267C7"/>
    <w:rsid w:val="00A26C4E"/>
    <w:rsid w:val="00A27AEC"/>
    <w:rsid w:val="00A305F7"/>
    <w:rsid w:val="00A308F2"/>
    <w:rsid w:val="00A320DB"/>
    <w:rsid w:val="00A34F48"/>
    <w:rsid w:val="00A356BA"/>
    <w:rsid w:val="00A35D16"/>
    <w:rsid w:val="00A363C8"/>
    <w:rsid w:val="00A37BCD"/>
    <w:rsid w:val="00A4013A"/>
    <w:rsid w:val="00A4018F"/>
    <w:rsid w:val="00A40EC3"/>
    <w:rsid w:val="00A41267"/>
    <w:rsid w:val="00A41689"/>
    <w:rsid w:val="00A42561"/>
    <w:rsid w:val="00A42592"/>
    <w:rsid w:val="00A426EF"/>
    <w:rsid w:val="00A42D3B"/>
    <w:rsid w:val="00A42F5D"/>
    <w:rsid w:val="00A4330C"/>
    <w:rsid w:val="00A4384F"/>
    <w:rsid w:val="00A43C59"/>
    <w:rsid w:val="00A44EC0"/>
    <w:rsid w:val="00A47916"/>
    <w:rsid w:val="00A50E36"/>
    <w:rsid w:val="00A50ECD"/>
    <w:rsid w:val="00A518F3"/>
    <w:rsid w:val="00A52221"/>
    <w:rsid w:val="00A52729"/>
    <w:rsid w:val="00A52B72"/>
    <w:rsid w:val="00A52C3B"/>
    <w:rsid w:val="00A53469"/>
    <w:rsid w:val="00A53675"/>
    <w:rsid w:val="00A5382E"/>
    <w:rsid w:val="00A56091"/>
    <w:rsid w:val="00A56461"/>
    <w:rsid w:val="00A564D7"/>
    <w:rsid w:val="00A56B6A"/>
    <w:rsid w:val="00A56E4A"/>
    <w:rsid w:val="00A56EB0"/>
    <w:rsid w:val="00A574B6"/>
    <w:rsid w:val="00A578DC"/>
    <w:rsid w:val="00A57D26"/>
    <w:rsid w:val="00A57EC5"/>
    <w:rsid w:val="00A60FC1"/>
    <w:rsid w:val="00A61440"/>
    <w:rsid w:val="00A61BD0"/>
    <w:rsid w:val="00A6204B"/>
    <w:rsid w:val="00A63E8A"/>
    <w:rsid w:val="00A640E2"/>
    <w:rsid w:val="00A64870"/>
    <w:rsid w:val="00A64D65"/>
    <w:rsid w:val="00A65008"/>
    <w:rsid w:val="00A65C9C"/>
    <w:rsid w:val="00A6725B"/>
    <w:rsid w:val="00A67C92"/>
    <w:rsid w:val="00A70065"/>
    <w:rsid w:val="00A70605"/>
    <w:rsid w:val="00A72693"/>
    <w:rsid w:val="00A73134"/>
    <w:rsid w:val="00A7355E"/>
    <w:rsid w:val="00A7365A"/>
    <w:rsid w:val="00A736E9"/>
    <w:rsid w:val="00A7397E"/>
    <w:rsid w:val="00A747F4"/>
    <w:rsid w:val="00A74A16"/>
    <w:rsid w:val="00A75C16"/>
    <w:rsid w:val="00A76001"/>
    <w:rsid w:val="00A76210"/>
    <w:rsid w:val="00A76D10"/>
    <w:rsid w:val="00A777B2"/>
    <w:rsid w:val="00A77B66"/>
    <w:rsid w:val="00A77D1F"/>
    <w:rsid w:val="00A8087F"/>
    <w:rsid w:val="00A80981"/>
    <w:rsid w:val="00A811DF"/>
    <w:rsid w:val="00A82549"/>
    <w:rsid w:val="00A825D4"/>
    <w:rsid w:val="00A828F6"/>
    <w:rsid w:val="00A82B73"/>
    <w:rsid w:val="00A82D1B"/>
    <w:rsid w:val="00A84037"/>
    <w:rsid w:val="00A84166"/>
    <w:rsid w:val="00A848C5"/>
    <w:rsid w:val="00A84AFE"/>
    <w:rsid w:val="00A84C5A"/>
    <w:rsid w:val="00A85CB8"/>
    <w:rsid w:val="00A861CF"/>
    <w:rsid w:val="00A86BFA"/>
    <w:rsid w:val="00A86E8B"/>
    <w:rsid w:val="00A87164"/>
    <w:rsid w:val="00A871A9"/>
    <w:rsid w:val="00A905D0"/>
    <w:rsid w:val="00A90E9D"/>
    <w:rsid w:val="00A914A2"/>
    <w:rsid w:val="00A914FA"/>
    <w:rsid w:val="00A93072"/>
    <w:rsid w:val="00A938BD"/>
    <w:rsid w:val="00A93953"/>
    <w:rsid w:val="00A93D94"/>
    <w:rsid w:val="00A94030"/>
    <w:rsid w:val="00A959D8"/>
    <w:rsid w:val="00A9727D"/>
    <w:rsid w:val="00A9773B"/>
    <w:rsid w:val="00A97B47"/>
    <w:rsid w:val="00A97E96"/>
    <w:rsid w:val="00AA0401"/>
    <w:rsid w:val="00AA0A40"/>
    <w:rsid w:val="00AA0D54"/>
    <w:rsid w:val="00AA113D"/>
    <w:rsid w:val="00AA1A8D"/>
    <w:rsid w:val="00AA1F95"/>
    <w:rsid w:val="00AA25A5"/>
    <w:rsid w:val="00AA25C8"/>
    <w:rsid w:val="00AA2F7A"/>
    <w:rsid w:val="00AA31CF"/>
    <w:rsid w:val="00AA446A"/>
    <w:rsid w:val="00AA4826"/>
    <w:rsid w:val="00AA5781"/>
    <w:rsid w:val="00AA6BD5"/>
    <w:rsid w:val="00AA6BD8"/>
    <w:rsid w:val="00AA6C7D"/>
    <w:rsid w:val="00AA6EBA"/>
    <w:rsid w:val="00AA7DE7"/>
    <w:rsid w:val="00AA7FD6"/>
    <w:rsid w:val="00AB0174"/>
    <w:rsid w:val="00AB042A"/>
    <w:rsid w:val="00AB0A41"/>
    <w:rsid w:val="00AB0AD5"/>
    <w:rsid w:val="00AB0B1E"/>
    <w:rsid w:val="00AB0D17"/>
    <w:rsid w:val="00AB0D54"/>
    <w:rsid w:val="00AB0E11"/>
    <w:rsid w:val="00AB11AD"/>
    <w:rsid w:val="00AB19EF"/>
    <w:rsid w:val="00AB1AC4"/>
    <w:rsid w:val="00AB1F99"/>
    <w:rsid w:val="00AB220F"/>
    <w:rsid w:val="00AB2495"/>
    <w:rsid w:val="00AB2D34"/>
    <w:rsid w:val="00AB3430"/>
    <w:rsid w:val="00AB3502"/>
    <w:rsid w:val="00AB37B9"/>
    <w:rsid w:val="00AB3F44"/>
    <w:rsid w:val="00AB4AD1"/>
    <w:rsid w:val="00AB511B"/>
    <w:rsid w:val="00AB5E07"/>
    <w:rsid w:val="00AB6008"/>
    <w:rsid w:val="00AB6809"/>
    <w:rsid w:val="00AB7CFA"/>
    <w:rsid w:val="00AC1B5E"/>
    <w:rsid w:val="00AC2E82"/>
    <w:rsid w:val="00AC3437"/>
    <w:rsid w:val="00AC418D"/>
    <w:rsid w:val="00AC4DB5"/>
    <w:rsid w:val="00AC5203"/>
    <w:rsid w:val="00AC5B42"/>
    <w:rsid w:val="00AC5B48"/>
    <w:rsid w:val="00AC653F"/>
    <w:rsid w:val="00AC67E7"/>
    <w:rsid w:val="00AC6842"/>
    <w:rsid w:val="00AC6CA0"/>
    <w:rsid w:val="00AC7CAF"/>
    <w:rsid w:val="00AD0527"/>
    <w:rsid w:val="00AD07BD"/>
    <w:rsid w:val="00AD0865"/>
    <w:rsid w:val="00AD1450"/>
    <w:rsid w:val="00AD15E8"/>
    <w:rsid w:val="00AD1965"/>
    <w:rsid w:val="00AD1C7A"/>
    <w:rsid w:val="00AD2333"/>
    <w:rsid w:val="00AD2447"/>
    <w:rsid w:val="00AD2BBC"/>
    <w:rsid w:val="00AD356D"/>
    <w:rsid w:val="00AD5653"/>
    <w:rsid w:val="00AD5F3E"/>
    <w:rsid w:val="00AD6502"/>
    <w:rsid w:val="00AD670D"/>
    <w:rsid w:val="00AD6796"/>
    <w:rsid w:val="00AD69B7"/>
    <w:rsid w:val="00AD6FA6"/>
    <w:rsid w:val="00AE067F"/>
    <w:rsid w:val="00AE0695"/>
    <w:rsid w:val="00AE1EE2"/>
    <w:rsid w:val="00AE265B"/>
    <w:rsid w:val="00AE3254"/>
    <w:rsid w:val="00AE34F4"/>
    <w:rsid w:val="00AE38B1"/>
    <w:rsid w:val="00AE3B2C"/>
    <w:rsid w:val="00AE3E7E"/>
    <w:rsid w:val="00AE450D"/>
    <w:rsid w:val="00AE4D24"/>
    <w:rsid w:val="00AE6234"/>
    <w:rsid w:val="00AE7B58"/>
    <w:rsid w:val="00AE7E53"/>
    <w:rsid w:val="00AF1315"/>
    <w:rsid w:val="00AF142B"/>
    <w:rsid w:val="00AF19BF"/>
    <w:rsid w:val="00AF1C7F"/>
    <w:rsid w:val="00AF27B6"/>
    <w:rsid w:val="00AF2DC3"/>
    <w:rsid w:val="00AF3154"/>
    <w:rsid w:val="00AF3470"/>
    <w:rsid w:val="00AF49B9"/>
    <w:rsid w:val="00AF545A"/>
    <w:rsid w:val="00AF62C0"/>
    <w:rsid w:val="00AF64DC"/>
    <w:rsid w:val="00AF6A3C"/>
    <w:rsid w:val="00AF72F3"/>
    <w:rsid w:val="00B001E2"/>
    <w:rsid w:val="00B00B2F"/>
    <w:rsid w:val="00B00D04"/>
    <w:rsid w:val="00B00DB6"/>
    <w:rsid w:val="00B01050"/>
    <w:rsid w:val="00B01CAB"/>
    <w:rsid w:val="00B01F61"/>
    <w:rsid w:val="00B02F15"/>
    <w:rsid w:val="00B033E5"/>
    <w:rsid w:val="00B03A63"/>
    <w:rsid w:val="00B0717E"/>
    <w:rsid w:val="00B071F0"/>
    <w:rsid w:val="00B10901"/>
    <w:rsid w:val="00B1117D"/>
    <w:rsid w:val="00B129A4"/>
    <w:rsid w:val="00B178D6"/>
    <w:rsid w:val="00B201A4"/>
    <w:rsid w:val="00B201D1"/>
    <w:rsid w:val="00B21026"/>
    <w:rsid w:val="00B213A6"/>
    <w:rsid w:val="00B235B0"/>
    <w:rsid w:val="00B2367E"/>
    <w:rsid w:val="00B23BA7"/>
    <w:rsid w:val="00B24DF6"/>
    <w:rsid w:val="00B24EE1"/>
    <w:rsid w:val="00B256A0"/>
    <w:rsid w:val="00B25A2F"/>
    <w:rsid w:val="00B263AA"/>
    <w:rsid w:val="00B269AB"/>
    <w:rsid w:val="00B26E47"/>
    <w:rsid w:val="00B26ED8"/>
    <w:rsid w:val="00B279AE"/>
    <w:rsid w:val="00B27A61"/>
    <w:rsid w:val="00B30D26"/>
    <w:rsid w:val="00B32014"/>
    <w:rsid w:val="00B32309"/>
    <w:rsid w:val="00B323D7"/>
    <w:rsid w:val="00B32910"/>
    <w:rsid w:val="00B3383C"/>
    <w:rsid w:val="00B344CD"/>
    <w:rsid w:val="00B34FE2"/>
    <w:rsid w:val="00B35166"/>
    <w:rsid w:val="00B357D8"/>
    <w:rsid w:val="00B360F4"/>
    <w:rsid w:val="00B36A00"/>
    <w:rsid w:val="00B37823"/>
    <w:rsid w:val="00B3792B"/>
    <w:rsid w:val="00B37BFC"/>
    <w:rsid w:val="00B37E57"/>
    <w:rsid w:val="00B40358"/>
    <w:rsid w:val="00B4048B"/>
    <w:rsid w:val="00B40641"/>
    <w:rsid w:val="00B41157"/>
    <w:rsid w:val="00B413E9"/>
    <w:rsid w:val="00B415EA"/>
    <w:rsid w:val="00B41614"/>
    <w:rsid w:val="00B41638"/>
    <w:rsid w:val="00B41884"/>
    <w:rsid w:val="00B41DC4"/>
    <w:rsid w:val="00B42851"/>
    <w:rsid w:val="00B42D39"/>
    <w:rsid w:val="00B42F80"/>
    <w:rsid w:val="00B435CB"/>
    <w:rsid w:val="00B436FF"/>
    <w:rsid w:val="00B43D4C"/>
    <w:rsid w:val="00B45709"/>
    <w:rsid w:val="00B463F8"/>
    <w:rsid w:val="00B465EC"/>
    <w:rsid w:val="00B47E30"/>
    <w:rsid w:val="00B5007F"/>
    <w:rsid w:val="00B50234"/>
    <w:rsid w:val="00B502D1"/>
    <w:rsid w:val="00B505C8"/>
    <w:rsid w:val="00B5068D"/>
    <w:rsid w:val="00B50DB8"/>
    <w:rsid w:val="00B51580"/>
    <w:rsid w:val="00B5159F"/>
    <w:rsid w:val="00B5245C"/>
    <w:rsid w:val="00B52F2C"/>
    <w:rsid w:val="00B53654"/>
    <w:rsid w:val="00B53905"/>
    <w:rsid w:val="00B53B7E"/>
    <w:rsid w:val="00B546DB"/>
    <w:rsid w:val="00B54B5B"/>
    <w:rsid w:val="00B5562E"/>
    <w:rsid w:val="00B55862"/>
    <w:rsid w:val="00B55D65"/>
    <w:rsid w:val="00B56305"/>
    <w:rsid w:val="00B5637C"/>
    <w:rsid w:val="00B57000"/>
    <w:rsid w:val="00B57434"/>
    <w:rsid w:val="00B574FA"/>
    <w:rsid w:val="00B57656"/>
    <w:rsid w:val="00B57D6E"/>
    <w:rsid w:val="00B60185"/>
    <w:rsid w:val="00B60939"/>
    <w:rsid w:val="00B60AFD"/>
    <w:rsid w:val="00B6218B"/>
    <w:rsid w:val="00B621CF"/>
    <w:rsid w:val="00B6228D"/>
    <w:rsid w:val="00B62715"/>
    <w:rsid w:val="00B641A3"/>
    <w:rsid w:val="00B6459D"/>
    <w:rsid w:val="00B65611"/>
    <w:rsid w:val="00B67812"/>
    <w:rsid w:val="00B705C9"/>
    <w:rsid w:val="00B70DF2"/>
    <w:rsid w:val="00B70E8E"/>
    <w:rsid w:val="00B71B2E"/>
    <w:rsid w:val="00B71E76"/>
    <w:rsid w:val="00B73AE1"/>
    <w:rsid w:val="00B753C4"/>
    <w:rsid w:val="00B759EC"/>
    <w:rsid w:val="00B760F5"/>
    <w:rsid w:val="00B76C92"/>
    <w:rsid w:val="00B772E9"/>
    <w:rsid w:val="00B77A5F"/>
    <w:rsid w:val="00B806F9"/>
    <w:rsid w:val="00B80EFD"/>
    <w:rsid w:val="00B8110A"/>
    <w:rsid w:val="00B81131"/>
    <w:rsid w:val="00B817D2"/>
    <w:rsid w:val="00B817E8"/>
    <w:rsid w:val="00B818A4"/>
    <w:rsid w:val="00B82717"/>
    <w:rsid w:val="00B83739"/>
    <w:rsid w:val="00B84117"/>
    <w:rsid w:val="00B858F0"/>
    <w:rsid w:val="00B85AA2"/>
    <w:rsid w:val="00B8611B"/>
    <w:rsid w:val="00B8649C"/>
    <w:rsid w:val="00B8695D"/>
    <w:rsid w:val="00B87510"/>
    <w:rsid w:val="00B87F0A"/>
    <w:rsid w:val="00B9034E"/>
    <w:rsid w:val="00B90481"/>
    <w:rsid w:val="00B9060B"/>
    <w:rsid w:val="00B90831"/>
    <w:rsid w:val="00B91CED"/>
    <w:rsid w:val="00B929B2"/>
    <w:rsid w:val="00B92D0B"/>
    <w:rsid w:val="00B9345E"/>
    <w:rsid w:val="00B93E9A"/>
    <w:rsid w:val="00B93F0D"/>
    <w:rsid w:val="00B9410E"/>
    <w:rsid w:val="00B942CE"/>
    <w:rsid w:val="00B948F8"/>
    <w:rsid w:val="00B94945"/>
    <w:rsid w:val="00B94D40"/>
    <w:rsid w:val="00B94DD6"/>
    <w:rsid w:val="00B972EB"/>
    <w:rsid w:val="00B97844"/>
    <w:rsid w:val="00B97A3B"/>
    <w:rsid w:val="00B97A9E"/>
    <w:rsid w:val="00B97EF1"/>
    <w:rsid w:val="00BA0584"/>
    <w:rsid w:val="00BA0A8A"/>
    <w:rsid w:val="00BA322D"/>
    <w:rsid w:val="00BA63FA"/>
    <w:rsid w:val="00BA7070"/>
    <w:rsid w:val="00BA70AB"/>
    <w:rsid w:val="00BA784D"/>
    <w:rsid w:val="00BB00B3"/>
    <w:rsid w:val="00BB084D"/>
    <w:rsid w:val="00BB0997"/>
    <w:rsid w:val="00BB0BDD"/>
    <w:rsid w:val="00BB176C"/>
    <w:rsid w:val="00BB27EE"/>
    <w:rsid w:val="00BB2A73"/>
    <w:rsid w:val="00BB3038"/>
    <w:rsid w:val="00BB3A45"/>
    <w:rsid w:val="00BB43F0"/>
    <w:rsid w:val="00BB4ACC"/>
    <w:rsid w:val="00BB5A3F"/>
    <w:rsid w:val="00BB703E"/>
    <w:rsid w:val="00BB723E"/>
    <w:rsid w:val="00BB732D"/>
    <w:rsid w:val="00BB7405"/>
    <w:rsid w:val="00BC083E"/>
    <w:rsid w:val="00BC2B0E"/>
    <w:rsid w:val="00BC2E99"/>
    <w:rsid w:val="00BC2F08"/>
    <w:rsid w:val="00BC3631"/>
    <w:rsid w:val="00BC37F3"/>
    <w:rsid w:val="00BC3BCB"/>
    <w:rsid w:val="00BC402E"/>
    <w:rsid w:val="00BC4450"/>
    <w:rsid w:val="00BC47BD"/>
    <w:rsid w:val="00BC52DA"/>
    <w:rsid w:val="00BC591F"/>
    <w:rsid w:val="00BC59B9"/>
    <w:rsid w:val="00BC7002"/>
    <w:rsid w:val="00BC74C2"/>
    <w:rsid w:val="00BC78CF"/>
    <w:rsid w:val="00BC7922"/>
    <w:rsid w:val="00BC7CBF"/>
    <w:rsid w:val="00BC7D6D"/>
    <w:rsid w:val="00BD0450"/>
    <w:rsid w:val="00BD2108"/>
    <w:rsid w:val="00BD21B7"/>
    <w:rsid w:val="00BD2AA3"/>
    <w:rsid w:val="00BD2F17"/>
    <w:rsid w:val="00BD472C"/>
    <w:rsid w:val="00BD4829"/>
    <w:rsid w:val="00BD59C7"/>
    <w:rsid w:val="00BD5CA9"/>
    <w:rsid w:val="00BD68A3"/>
    <w:rsid w:val="00BD6938"/>
    <w:rsid w:val="00BD6CF3"/>
    <w:rsid w:val="00BD6DB2"/>
    <w:rsid w:val="00BD7AFF"/>
    <w:rsid w:val="00BD7F72"/>
    <w:rsid w:val="00BE022B"/>
    <w:rsid w:val="00BE0ECA"/>
    <w:rsid w:val="00BE101E"/>
    <w:rsid w:val="00BE1199"/>
    <w:rsid w:val="00BE11AF"/>
    <w:rsid w:val="00BE190B"/>
    <w:rsid w:val="00BE1B12"/>
    <w:rsid w:val="00BE2180"/>
    <w:rsid w:val="00BE21F2"/>
    <w:rsid w:val="00BE22BF"/>
    <w:rsid w:val="00BE2DFD"/>
    <w:rsid w:val="00BE3894"/>
    <w:rsid w:val="00BE4275"/>
    <w:rsid w:val="00BE453C"/>
    <w:rsid w:val="00BE4B2C"/>
    <w:rsid w:val="00BE4CB7"/>
    <w:rsid w:val="00BE52F8"/>
    <w:rsid w:val="00BE564D"/>
    <w:rsid w:val="00BE6052"/>
    <w:rsid w:val="00BE630B"/>
    <w:rsid w:val="00BE7DB1"/>
    <w:rsid w:val="00BE7F30"/>
    <w:rsid w:val="00BF0330"/>
    <w:rsid w:val="00BF06AE"/>
    <w:rsid w:val="00BF0F95"/>
    <w:rsid w:val="00BF171C"/>
    <w:rsid w:val="00BF1A0C"/>
    <w:rsid w:val="00BF2433"/>
    <w:rsid w:val="00BF25AB"/>
    <w:rsid w:val="00BF2E6E"/>
    <w:rsid w:val="00BF3823"/>
    <w:rsid w:val="00BF4EC2"/>
    <w:rsid w:val="00BF5730"/>
    <w:rsid w:val="00BF609E"/>
    <w:rsid w:val="00BF61C9"/>
    <w:rsid w:val="00BF6C94"/>
    <w:rsid w:val="00BF7E9C"/>
    <w:rsid w:val="00BF7F41"/>
    <w:rsid w:val="00C0011F"/>
    <w:rsid w:val="00C00424"/>
    <w:rsid w:val="00C004F7"/>
    <w:rsid w:val="00C00ADF"/>
    <w:rsid w:val="00C00BB0"/>
    <w:rsid w:val="00C01F1F"/>
    <w:rsid w:val="00C02934"/>
    <w:rsid w:val="00C042F9"/>
    <w:rsid w:val="00C043DE"/>
    <w:rsid w:val="00C04F8D"/>
    <w:rsid w:val="00C05333"/>
    <w:rsid w:val="00C05418"/>
    <w:rsid w:val="00C056A1"/>
    <w:rsid w:val="00C05835"/>
    <w:rsid w:val="00C05CC7"/>
    <w:rsid w:val="00C06325"/>
    <w:rsid w:val="00C0687E"/>
    <w:rsid w:val="00C07D9E"/>
    <w:rsid w:val="00C07E81"/>
    <w:rsid w:val="00C104D2"/>
    <w:rsid w:val="00C11296"/>
    <w:rsid w:val="00C1179F"/>
    <w:rsid w:val="00C11E2E"/>
    <w:rsid w:val="00C120F8"/>
    <w:rsid w:val="00C127B9"/>
    <w:rsid w:val="00C128FA"/>
    <w:rsid w:val="00C12C14"/>
    <w:rsid w:val="00C132CD"/>
    <w:rsid w:val="00C14168"/>
    <w:rsid w:val="00C149E1"/>
    <w:rsid w:val="00C15846"/>
    <w:rsid w:val="00C15F04"/>
    <w:rsid w:val="00C179B3"/>
    <w:rsid w:val="00C17E3F"/>
    <w:rsid w:val="00C200AA"/>
    <w:rsid w:val="00C20E1A"/>
    <w:rsid w:val="00C20E7F"/>
    <w:rsid w:val="00C20EA2"/>
    <w:rsid w:val="00C213DD"/>
    <w:rsid w:val="00C2214F"/>
    <w:rsid w:val="00C223CE"/>
    <w:rsid w:val="00C22DAB"/>
    <w:rsid w:val="00C23034"/>
    <w:rsid w:val="00C237ED"/>
    <w:rsid w:val="00C239E7"/>
    <w:rsid w:val="00C24632"/>
    <w:rsid w:val="00C24684"/>
    <w:rsid w:val="00C25418"/>
    <w:rsid w:val="00C25D9C"/>
    <w:rsid w:val="00C267C0"/>
    <w:rsid w:val="00C26D99"/>
    <w:rsid w:val="00C2778B"/>
    <w:rsid w:val="00C31649"/>
    <w:rsid w:val="00C32250"/>
    <w:rsid w:val="00C327A1"/>
    <w:rsid w:val="00C33238"/>
    <w:rsid w:val="00C336D4"/>
    <w:rsid w:val="00C3371D"/>
    <w:rsid w:val="00C3434C"/>
    <w:rsid w:val="00C34506"/>
    <w:rsid w:val="00C34D2C"/>
    <w:rsid w:val="00C40385"/>
    <w:rsid w:val="00C40C64"/>
    <w:rsid w:val="00C40EC5"/>
    <w:rsid w:val="00C41768"/>
    <w:rsid w:val="00C43087"/>
    <w:rsid w:val="00C442F0"/>
    <w:rsid w:val="00C45CE4"/>
    <w:rsid w:val="00C45D9A"/>
    <w:rsid w:val="00C45EF7"/>
    <w:rsid w:val="00C462C2"/>
    <w:rsid w:val="00C475AA"/>
    <w:rsid w:val="00C47787"/>
    <w:rsid w:val="00C50725"/>
    <w:rsid w:val="00C51972"/>
    <w:rsid w:val="00C523D2"/>
    <w:rsid w:val="00C526B1"/>
    <w:rsid w:val="00C527C7"/>
    <w:rsid w:val="00C52D08"/>
    <w:rsid w:val="00C530D6"/>
    <w:rsid w:val="00C53C98"/>
    <w:rsid w:val="00C54068"/>
    <w:rsid w:val="00C558F9"/>
    <w:rsid w:val="00C564B1"/>
    <w:rsid w:val="00C56FCF"/>
    <w:rsid w:val="00C57B6C"/>
    <w:rsid w:val="00C57D46"/>
    <w:rsid w:val="00C57EF5"/>
    <w:rsid w:val="00C603E7"/>
    <w:rsid w:val="00C604DD"/>
    <w:rsid w:val="00C6085E"/>
    <w:rsid w:val="00C608E6"/>
    <w:rsid w:val="00C60B4D"/>
    <w:rsid w:val="00C60CF7"/>
    <w:rsid w:val="00C614D4"/>
    <w:rsid w:val="00C6173C"/>
    <w:rsid w:val="00C61A59"/>
    <w:rsid w:val="00C628A6"/>
    <w:rsid w:val="00C628E7"/>
    <w:rsid w:val="00C62DF4"/>
    <w:rsid w:val="00C6340A"/>
    <w:rsid w:val="00C63B7F"/>
    <w:rsid w:val="00C64344"/>
    <w:rsid w:val="00C650A6"/>
    <w:rsid w:val="00C65108"/>
    <w:rsid w:val="00C65576"/>
    <w:rsid w:val="00C65B34"/>
    <w:rsid w:val="00C66165"/>
    <w:rsid w:val="00C667A2"/>
    <w:rsid w:val="00C66A12"/>
    <w:rsid w:val="00C677AE"/>
    <w:rsid w:val="00C678C9"/>
    <w:rsid w:val="00C7060A"/>
    <w:rsid w:val="00C70EFB"/>
    <w:rsid w:val="00C71251"/>
    <w:rsid w:val="00C7151A"/>
    <w:rsid w:val="00C717E3"/>
    <w:rsid w:val="00C71F60"/>
    <w:rsid w:val="00C72241"/>
    <w:rsid w:val="00C72857"/>
    <w:rsid w:val="00C7313B"/>
    <w:rsid w:val="00C735C7"/>
    <w:rsid w:val="00C74550"/>
    <w:rsid w:val="00C749E1"/>
    <w:rsid w:val="00C74C4D"/>
    <w:rsid w:val="00C74F5C"/>
    <w:rsid w:val="00C750C8"/>
    <w:rsid w:val="00C7560F"/>
    <w:rsid w:val="00C76B92"/>
    <w:rsid w:val="00C800AE"/>
    <w:rsid w:val="00C8023F"/>
    <w:rsid w:val="00C809D4"/>
    <w:rsid w:val="00C80A0E"/>
    <w:rsid w:val="00C81D02"/>
    <w:rsid w:val="00C8213F"/>
    <w:rsid w:val="00C8250A"/>
    <w:rsid w:val="00C82BEA"/>
    <w:rsid w:val="00C82FF1"/>
    <w:rsid w:val="00C8303F"/>
    <w:rsid w:val="00C85154"/>
    <w:rsid w:val="00C8527F"/>
    <w:rsid w:val="00C85A70"/>
    <w:rsid w:val="00C86A61"/>
    <w:rsid w:val="00C8797A"/>
    <w:rsid w:val="00C87A9A"/>
    <w:rsid w:val="00C900B8"/>
    <w:rsid w:val="00C90197"/>
    <w:rsid w:val="00C90C3F"/>
    <w:rsid w:val="00C90C71"/>
    <w:rsid w:val="00C912DF"/>
    <w:rsid w:val="00C91952"/>
    <w:rsid w:val="00C91FD1"/>
    <w:rsid w:val="00C9297C"/>
    <w:rsid w:val="00C92A32"/>
    <w:rsid w:val="00C931CF"/>
    <w:rsid w:val="00C9343D"/>
    <w:rsid w:val="00C938CF"/>
    <w:rsid w:val="00C93976"/>
    <w:rsid w:val="00C94053"/>
    <w:rsid w:val="00C950FC"/>
    <w:rsid w:val="00C951AF"/>
    <w:rsid w:val="00C95E14"/>
    <w:rsid w:val="00C9624D"/>
    <w:rsid w:val="00C969DA"/>
    <w:rsid w:val="00C96B9C"/>
    <w:rsid w:val="00C97B88"/>
    <w:rsid w:val="00CA17DF"/>
    <w:rsid w:val="00CA1BA8"/>
    <w:rsid w:val="00CA1C56"/>
    <w:rsid w:val="00CA1C6F"/>
    <w:rsid w:val="00CA2724"/>
    <w:rsid w:val="00CA2C77"/>
    <w:rsid w:val="00CA387D"/>
    <w:rsid w:val="00CA444F"/>
    <w:rsid w:val="00CA5245"/>
    <w:rsid w:val="00CA6ED0"/>
    <w:rsid w:val="00CA71F4"/>
    <w:rsid w:val="00CA7722"/>
    <w:rsid w:val="00CA7B09"/>
    <w:rsid w:val="00CB01DD"/>
    <w:rsid w:val="00CB03A7"/>
    <w:rsid w:val="00CB053D"/>
    <w:rsid w:val="00CB12A5"/>
    <w:rsid w:val="00CB1CAC"/>
    <w:rsid w:val="00CB1F9E"/>
    <w:rsid w:val="00CB21EE"/>
    <w:rsid w:val="00CB21F1"/>
    <w:rsid w:val="00CB274A"/>
    <w:rsid w:val="00CB2DA4"/>
    <w:rsid w:val="00CB2F2A"/>
    <w:rsid w:val="00CB407F"/>
    <w:rsid w:val="00CB5B1A"/>
    <w:rsid w:val="00CB5F8B"/>
    <w:rsid w:val="00CB5FAF"/>
    <w:rsid w:val="00CB6B22"/>
    <w:rsid w:val="00CB6CE9"/>
    <w:rsid w:val="00CB6FA0"/>
    <w:rsid w:val="00CB712C"/>
    <w:rsid w:val="00CB7304"/>
    <w:rsid w:val="00CB7984"/>
    <w:rsid w:val="00CB7F5F"/>
    <w:rsid w:val="00CC0E70"/>
    <w:rsid w:val="00CC1B39"/>
    <w:rsid w:val="00CC1BFA"/>
    <w:rsid w:val="00CC222D"/>
    <w:rsid w:val="00CC280C"/>
    <w:rsid w:val="00CC2E9F"/>
    <w:rsid w:val="00CC2EE1"/>
    <w:rsid w:val="00CC35EA"/>
    <w:rsid w:val="00CC3848"/>
    <w:rsid w:val="00CC46F6"/>
    <w:rsid w:val="00CC4B76"/>
    <w:rsid w:val="00CC5A86"/>
    <w:rsid w:val="00CC5ED9"/>
    <w:rsid w:val="00CC641F"/>
    <w:rsid w:val="00CC6D5E"/>
    <w:rsid w:val="00CC6E3D"/>
    <w:rsid w:val="00CD0200"/>
    <w:rsid w:val="00CD0476"/>
    <w:rsid w:val="00CD0AAE"/>
    <w:rsid w:val="00CD13C1"/>
    <w:rsid w:val="00CD22C5"/>
    <w:rsid w:val="00CD2359"/>
    <w:rsid w:val="00CD2464"/>
    <w:rsid w:val="00CD30D4"/>
    <w:rsid w:val="00CD315D"/>
    <w:rsid w:val="00CD3371"/>
    <w:rsid w:val="00CD380B"/>
    <w:rsid w:val="00CD390D"/>
    <w:rsid w:val="00CD3A94"/>
    <w:rsid w:val="00CD3F77"/>
    <w:rsid w:val="00CD5782"/>
    <w:rsid w:val="00CD5847"/>
    <w:rsid w:val="00CD5961"/>
    <w:rsid w:val="00CD5BAB"/>
    <w:rsid w:val="00CD6ADC"/>
    <w:rsid w:val="00CD6AE2"/>
    <w:rsid w:val="00CD7193"/>
    <w:rsid w:val="00CD7884"/>
    <w:rsid w:val="00CE02EB"/>
    <w:rsid w:val="00CE0779"/>
    <w:rsid w:val="00CE0DA0"/>
    <w:rsid w:val="00CE0DE7"/>
    <w:rsid w:val="00CE1284"/>
    <w:rsid w:val="00CE1D77"/>
    <w:rsid w:val="00CE1E0D"/>
    <w:rsid w:val="00CE2657"/>
    <w:rsid w:val="00CE2A4C"/>
    <w:rsid w:val="00CE3864"/>
    <w:rsid w:val="00CE38C8"/>
    <w:rsid w:val="00CE524F"/>
    <w:rsid w:val="00CE58CC"/>
    <w:rsid w:val="00CE6274"/>
    <w:rsid w:val="00CE70CD"/>
    <w:rsid w:val="00CE77B6"/>
    <w:rsid w:val="00CE7958"/>
    <w:rsid w:val="00CF001A"/>
    <w:rsid w:val="00CF0336"/>
    <w:rsid w:val="00CF2784"/>
    <w:rsid w:val="00CF2790"/>
    <w:rsid w:val="00CF2882"/>
    <w:rsid w:val="00CF2B8D"/>
    <w:rsid w:val="00CF327B"/>
    <w:rsid w:val="00CF3A1B"/>
    <w:rsid w:val="00CF3A3B"/>
    <w:rsid w:val="00CF456B"/>
    <w:rsid w:val="00CF45C0"/>
    <w:rsid w:val="00CF516A"/>
    <w:rsid w:val="00CF56C1"/>
    <w:rsid w:val="00CF5A22"/>
    <w:rsid w:val="00CF5F09"/>
    <w:rsid w:val="00CF603E"/>
    <w:rsid w:val="00CF63EE"/>
    <w:rsid w:val="00CF6CA0"/>
    <w:rsid w:val="00D00720"/>
    <w:rsid w:val="00D0111B"/>
    <w:rsid w:val="00D0262E"/>
    <w:rsid w:val="00D03679"/>
    <w:rsid w:val="00D03981"/>
    <w:rsid w:val="00D045F4"/>
    <w:rsid w:val="00D04B13"/>
    <w:rsid w:val="00D04CF6"/>
    <w:rsid w:val="00D05015"/>
    <w:rsid w:val="00D05E3D"/>
    <w:rsid w:val="00D06139"/>
    <w:rsid w:val="00D06C46"/>
    <w:rsid w:val="00D070BA"/>
    <w:rsid w:val="00D110BD"/>
    <w:rsid w:val="00D13675"/>
    <w:rsid w:val="00D137DF"/>
    <w:rsid w:val="00D13CD2"/>
    <w:rsid w:val="00D141E1"/>
    <w:rsid w:val="00D14AFA"/>
    <w:rsid w:val="00D1525A"/>
    <w:rsid w:val="00D15314"/>
    <w:rsid w:val="00D15469"/>
    <w:rsid w:val="00D15B48"/>
    <w:rsid w:val="00D1661C"/>
    <w:rsid w:val="00D16D4E"/>
    <w:rsid w:val="00D177C2"/>
    <w:rsid w:val="00D17D6C"/>
    <w:rsid w:val="00D20672"/>
    <w:rsid w:val="00D2155B"/>
    <w:rsid w:val="00D21DF1"/>
    <w:rsid w:val="00D23D11"/>
    <w:rsid w:val="00D23EDC"/>
    <w:rsid w:val="00D244B6"/>
    <w:rsid w:val="00D245F9"/>
    <w:rsid w:val="00D25A43"/>
    <w:rsid w:val="00D26C4E"/>
    <w:rsid w:val="00D2754D"/>
    <w:rsid w:val="00D276AF"/>
    <w:rsid w:val="00D27B27"/>
    <w:rsid w:val="00D27B90"/>
    <w:rsid w:val="00D300C0"/>
    <w:rsid w:val="00D30995"/>
    <w:rsid w:val="00D30D5B"/>
    <w:rsid w:val="00D318E5"/>
    <w:rsid w:val="00D3279C"/>
    <w:rsid w:val="00D328A1"/>
    <w:rsid w:val="00D32C68"/>
    <w:rsid w:val="00D33BE9"/>
    <w:rsid w:val="00D33F93"/>
    <w:rsid w:val="00D341CB"/>
    <w:rsid w:val="00D350A3"/>
    <w:rsid w:val="00D357FF"/>
    <w:rsid w:val="00D3654C"/>
    <w:rsid w:val="00D36ACD"/>
    <w:rsid w:val="00D37024"/>
    <w:rsid w:val="00D413DD"/>
    <w:rsid w:val="00D41BC3"/>
    <w:rsid w:val="00D41FE3"/>
    <w:rsid w:val="00D424C7"/>
    <w:rsid w:val="00D43B2A"/>
    <w:rsid w:val="00D43CF1"/>
    <w:rsid w:val="00D43D83"/>
    <w:rsid w:val="00D444F8"/>
    <w:rsid w:val="00D44F88"/>
    <w:rsid w:val="00D46025"/>
    <w:rsid w:val="00D47575"/>
    <w:rsid w:val="00D5081D"/>
    <w:rsid w:val="00D50EFC"/>
    <w:rsid w:val="00D51208"/>
    <w:rsid w:val="00D51EC7"/>
    <w:rsid w:val="00D5243B"/>
    <w:rsid w:val="00D52814"/>
    <w:rsid w:val="00D52D5E"/>
    <w:rsid w:val="00D533EC"/>
    <w:rsid w:val="00D53599"/>
    <w:rsid w:val="00D53892"/>
    <w:rsid w:val="00D53C3D"/>
    <w:rsid w:val="00D54609"/>
    <w:rsid w:val="00D552D5"/>
    <w:rsid w:val="00D55418"/>
    <w:rsid w:val="00D5585B"/>
    <w:rsid w:val="00D56A95"/>
    <w:rsid w:val="00D56E2A"/>
    <w:rsid w:val="00D6076E"/>
    <w:rsid w:val="00D60AD9"/>
    <w:rsid w:val="00D611D4"/>
    <w:rsid w:val="00D6175D"/>
    <w:rsid w:val="00D62BBC"/>
    <w:rsid w:val="00D6393E"/>
    <w:rsid w:val="00D63B16"/>
    <w:rsid w:val="00D64816"/>
    <w:rsid w:val="00D64A13"/>
    <w:rsid w:val="00D65DBA"/>
    <w:rsid w:val="00D6654C"/>
    <w:rsid w:val="00D6695A"/>
    <w:rsid w:val="00D66C9C"/>
    <w:rsid w:val="00D70F16"/>
    <w:rsid w:val="00D71A81"/>
    <w:rsid w:val="00D71D5F"/>
    <w:rsid w:val="00D72617"/>
    <w:rsid w:val="00D72F57"/>
    <w:rsid w:val="00D73F02"/>
    <w:rsid w:val="00D74404"/>
    <w:rsid w:val="00D74BF4"/>
    <w:rsid w:val="00D7606A"/>
    <w:rsid w:val="00D76549"/>
    <w:rsid w:val="00D76A44"/>
    <w:rsid w:val="00D76ABA"/>
    <w:rsid w:val="00D80508"/>
    <w:rsid w:val="00D80B77"/>
    <w:rsid w:val="00D815EF"/>
    <w:rsid w:val="00D81943"/>
    <w:rsid w:val="00D81949"/>
    <w:rsid w:val="00D81F26"/>
    <w:rsid w:val="00D822E2"/>
    <w:rsid w:val="00D82D6F"/>
    <w:rsid w:val="00D83103"/>
    <w:rsid w:val="00D832F4"/>
    <w:rsid w:val="00D843F2"/>
    <w:rsid w:val="00D85ACD"/>
    <w:rsid w:val="00D86231"/>
    <w:rsid w:val="00D86897"/>
    <w:rsid w:val="00D86E4D"/>
    <w:rsid w:val="00D90727"/>
    <w:rsid w:val="00D912AB"/>
    <w:rsid w:val="00D91923"/>
    <w:rsid w:val="00D91F2E"/>
    <w:rsid w:val="00D92FD4"/>
    <w:rsid w:val="00D9330A"/>
    <w:rsid w:val="00D9359A"/>
    <w:rsid w:val="00D93753"/>
    <w:rsid w:val="00D93A30"/>
    <w:rsid w:val="00D945D3"/>
    <w:rsid w:val="00D958CD"/>
    <w:rsid w:val="00D95C25"/>
    <w:rsid w:val="00D962BD"/>
    <w:rsid w:val="00D97D58"/>
    <w:rsid w:val="00D97E6B"/>
    <w:rsid w:val="00DA021D"/>
    <w:rsid w:val="00DA2A42"/>
    <w:rsid w:val="00DA3167"/>
    <w:rsid w:val="00DA4DC3"/>
    <w:rsid w:val="00DA4EB7"/>
    <w:rsid w:val="00DA513E"/>
    <w:rsid w:val="00DA6A37"/>
    <w:rsid w:val="00DA6D72"/>
    <w:rsid w:val="00DA747B"/>
    <w:rsid w:val="00DA77A5"/>
    <w:rsid w:val="00DA78BF"/>
    <w:rsid w:val="00DB0E36"/>
    <w:rsid w:val="00DB0EFD"/>
    <w:rsid w:val="00DB1770"/>
    <w:rsid w:val="00DB2050"/>
    <w:rsid w:val="00DB23ED"/>
    <w:rsid w:val="00DB397F"/>
    <w:rsid w:val="00DB3D2E"/>
    <w:rsid w:val="00DB3DBF"/>
    <w:rsid w:val="00DB457F"/>
    <w:rsid w:val="00DB484F"/>
    <w:rsid w:val="00DB4A49"/>
    <w:rsid w:val="00DB4D31"/>
    <w:rsid w:val="00DB7C90"/>
    <w:rsid w:val="00DC009F"/>
    <w:rsid w:val="00DC04F6"/>
    <w:rsid w:val="00DC0690"/>
    <w:rsid w:val="00DC1B04"/>
    <w:rsid w:val="00DC1D65"/>
    <w:rsid w:val="00DC269D"/>
    <w:rsid w:val="00DC333E"/>
    <w:rsid w:val="00DC3C57"/>
    <w:rsid w:val="00DC3D97"/>
    <w:rsid w:val="00DC3F89"/>
    <w:rsid w:val="00DC4A7A"/>
    <w:rsid w:val="00DC50BE"/>
    <w:rsid w:val="00DC5190"/>
    <w:rsid w:val="00DC5501"/>
    <w:rsid w:val="00DC5DE4"/>
    <w:rsid w:val="00DC5F64"/>
    <w:rsid w:val="00DC6275"/>
    <w:rsid w:val="00DC6536"/>
    <w:rsid w:val="00DC65DE"/>
    <w:rsid w:val="00DC6B34"/>
    <w:rsid w:val="00DC7154"/>
    <w:rsid w:val="00DC76D6"/>
    <w:rsid w:val="00DC7E8A"/>
    <w:rsid w:val="00DD0D7E"/>
    <w:rsid w:val="00DD0F78"/>
    <w:rsid w:val="00DD1573"/>
    <w:rsid w:val="00DD273C"/>
    <w:rsid w:val="00DD3F28"/>
    <w:rsid w:val="00DD4093"/>
    <w:rsid w:val="00DD4446"/>
    <w:rsid w:val="00DD4502"/>
    <w:rsid w:val="00DD4537"/>
    <w:rsid w:val="00DD4D59"/>
    <w:rsid w:val="00DD4E15"/>
    <w:rsid w:val="00DD5663"/>
    <w:rsid w:val="00DD58C2"/>
    <w:rsid w:val="00DD62FD"/>
    <w:rsid w:val="00DD6412"/>
    <w:rsid w:val="00DE02D5"/>
    <w:rsid w:val="00DE0D1A"/>
    <w:rsid w:val="00DE14CE"/>
    <w:rsid w:val="00DE1F1C"/>
    <w:rsid w:val="00DE2304"/>
    <w:rsid w:val="00DE241A"/>
    <w:rsid w:val="00DE3138"/>
    <w:rsid w:val="00DE37F8"/>
    <w:rsid w:val="00DE38B7"/>
    <w:rsid w:val="00DE4273"/>
    <w:rsid w:val="00DE4FCB"/>
    <w:rsid w:val="00DE542A"/>
    <w:rsid w:val="00DE5C5A"/>
    <w:rsid w:val="00DE5D07"/>
    <w:rsid w:val="00DE68F9"/>
    <w:rsid w:val="00DE7098"/>
    <w:rsid w:val="00DE72A7"/>
    <w:rsid w:val="00DE7564"/>
    <w:rsid w:val="00DE7832"/>
    <w:rsid w:val="00DF18FC"/>
    <w:rsid w:val="00DF3C0D"/>
    <w:rsid w:val="00DF3D24"/>
    <w:rsid w:val="00DF4003"/>
    <w:rsid w:val="00DF44E9"/>
    <w:rsid w:val="00DF5867"/>
    <w:rsid w:val="00DF5B67"/>
    <w:rsid w:val="00DF5D2B"/>
    <w:rsid w:val="00DF5DC0"/>
    <w:rsid w:val="00DF6341"/>
    <w:rsid w:val="00DF6BCB"/>
    <w:rsid w:val="00DF6D40"/>
    <w:rsid w:val="00DF7B73"/>
    <w:rsid w:val="00E00E8E"/>
    <w:rsid w:val="00E02F06"/>
    <w:rsid w:val="00E03CAC"/>
    <w:rsid w:val="00E04966"/>
    <w:rsid w:val="00E053B6"/>
    <w:rsid w:val="00E05630"/>
    <w:rsid w:val="00E0581C"/>
    <w:rsid w:val="00E061EA"/>
    <w:rsid w:val="00E066EB"/>
    <w:rsid w:val="00E06DBB"/>
    <w:rsid w:val="00E07A92"/>
    <w:rsid w:val="00E10149"/>
    <w:rsid w:val="00E11340"/>
    <w:rsid w:val="00E12102"/>
    <w:rsid w:val="00E122A1"/>
    <w:rsid w:val="00E12DFA"/>
    <w:rsid w:val="00E1332D"/>
    <w:rsid w:val="00E138E7"/>
    <w:rsid w:val="00E13DCE"/>
    <w:rsid w:val="00E14097"/>
    <w:rsid w:val="00E16372"/>
    <w:rsid w:val="00E16AD8"/>
    <w:rsid w:val="00E17194"/>
    <w:rsid w:val="00E17FFA"/>
    <w:rsid w:val="00E20A65"/>
    <w:rsid w:val="00E20E4D"/>
    <w:rsid w:val="00E20ED6"/>
    <w:rsid w:val="00E21358"/>
    <w:rsid w:val="00E21BA0"/>
    <w:rsid w:val="00E22223"/>
    <w:rsid w:val="00E2249B"/>
    <w:rsid w:val="00E22A0D"/>
    <w:rsid w:val="00E235D0"/>
    <w:rsid w:val="00E23A3B"/>
    <w:rsid w:val="00E244F6"/>
    <w:rsid w:val="00E24656"/>
    <w:rsid w:val="00E248AD"/>
    <w:rsid w:val="00E2544F"/>
    <w:rsid w:val="00E25582"/>
    <w:rsid w:val="00E258DB"/>
    <w:rsid w:val="00E26254"/>
    <w:rsid w:val="00E269FA"/>
    <w:rsid w:val="00E26AC2"/>
    <w:rsid w:val="00E26C96"/>
    <w:rsid w:val="00E2771E"/>
    <w:rsid w:val="00E27CD6"/>
    <w:rsid w:val="00E30A44"/>
    <w:rsid w:val="00E311EF"/>
    <w:rsid w:val="00E312C5"/>
    <w:rsid w:val="00E32180"/>
    <w:rsid w:val="00E325B5"/>
    <w:rsid w:val="00E3271C"/>
    <w:rsid w:val="00E32778"/>
    <w:rsid w:val="00E32C28"/>
    <w:rsid w:val="00E3306E"/>
    <w:rsid w:val="00E33F32"/>
    <w:rsid w:val="00E343F1"/>
    <w:rsid w:val="00E34948"/>
    <w:rsid w:val="00E34D3C"/>
    <w:rsid w:val="00E360F4"/>
    <w:rsid w:val="00E37569"/>
    <w:rsid w:val="00E401B2"/>
    <w:rsid w:val="00E4045F"/>
    <w:rsid w:val="00E41AFC"/>
    <w:rsid w:val="00E41E30"/>
    <w:rsid w:val="00E42C59"/>
    <w:rsid w:val="00E42F73"/>
    <w:rsid w:val="00E4302A"/>
    <w:rsid w:val="00E433DB"/>
    <w:rsid w:val="00E43D70"/>
    <w:rsid w:val="00E460DB"/>
    <w:rsid w:val="00E46152"/>
    <w:rsid w:val="00E461E5"/>
    <w:rsid w:val="00E466F3"/>
    <w:rsid w:val="00E471C5"/>
    <w:rsid w:val="00E47B2C"/>
    <w:rsid w:val="00E503C0"/>
    <w:rsid w:val="00E50E55"/>
    <w:rsid w:val="00E51560"/>
    <w:rsid w:val="00E51821"/>
    <w:rsid w:val="00E51BDD"/>
    <w:rsid w:val="00E51DB8"/>
    <w:rsid w:val="00E52E55"/>
    <w:rsid w:val="00E53217"/>
    <w:rsid w:val="00E53FC8"/>
    <w:rsid w:val="00E54347"/>
    <w:rsid w:val="00E54504"/>
    <w:rsid w:val="00E545A8"/>
    <w:rsid w:val="00E55424"/>
    <w:rsid w:val="00E55820"/>
    <w:rsid w:val="00E55915"/>
    <w:rsid w:val="00E55BB5"/>
    <w:rsid w:val="00E55E7D"/>
    <w:rsid w:val="00E564DC"/>
    <w:rsid w:val="00E61139"/>
    <w:rsid w:val="00E611DF"/>
    <w:rsid w:val="00E645C7"/>
    <w:rsid w:val="00E65C29"/>
    <w:rsid w:val="00E65E79"/>
    <w:rsid w:val="00E66BA2"/>
    <w:rsid w:val="00E67416"/>
    <w:rsid w:val="00E67440"/>
    <w:rsid w:val="00E678AA"/>
    <w:rsid w:val="00E67A83"/>
    <w:rsid w:val="00E67C65"/>
    <w:rsid w:val="00E705B6"/>
    <w:rsid w:val="00E70AF8"/>
    <w:rsid w:val="00E718B6"/>
    <w:rsid w:val="00E71DE3"/>
    <w:rsid w:val="00E71E8C"/>
    <w:rsid w:val="00E723BA"/>
    <w:rsid w:val="00E72DD7"/>
    <w:rsid w:val="00E73581"/>
    <w:rsid w:val="00E73AB2"/>
    <w:rsid w:val="00E746B1"/>
    <w:rsid w:val="00E75513"/>
    <w:rsid w:val="00E7576B"/>
    <w:rsid w:val="00E759EF"/>
    <w:rsid w:val="00E75A42"/>
    <w:rsid w:val="00E76764"/>
    <w:rsid w:val="00E77EB1"/>
    <w:rsid w:val="00E81640"/>
    <w:rsid w:val="00E824DD"/>
    <w:rsid w:val="00E82746"/>
    <w:rsid w:val="00E833F7"/>
    <w:rsid w:val="00E83BDF"/>
    <w:rsid w:val="00E840ED"/>
    <w:rsid w:val="00E843F1"/>
    <w:rsid w:val="00E84CBD"/>
    <w:rsid w:val="00E84FCC"/>
    <w:rsid w:val="00E85686"/>
    <w:rsid w:val="00E868ED"/>
    <w:rsid w:val="00E86FCC"/>
    <w:rsid w:val="00E87A1D"/>
    <w:rsid w:val="00E90024"/>
    <w:rsid w:val="00E9035D"/>
    <w:rsid w:val="00E90604"/>
    <w:rsid w:val="00E9094A"/>
    <w:rsid w:val="00E90A57"/>
    <w:rsid w:val="00E9126D"/>
    <w:rsid w:val="00E91BFA"/>
    <w:rsid w:val="00E91D35"/>
    <w:rsid w:val="00E92056"/>
    <w:rsid w:val="00E926A5"/>
    <w:rsid w:val="00E92E98"/>
    <w:rsid w:val="00E9473F"/>
    <w:rsid w:val="00E94E29"/>
    <w:rsid w:val="00E962CC"/>
    <w:rsid w:val="00E96A4B"/>
    <w:rsid w:val="00E96C67"/>
    <w:rsid w:val="00EA1551"/>
    <w:rsid w:val="00EA17C3"/>
    <w:rsid w:val="00EA1920"/>
    <w:rsid w:val="00EA2846"/>
    <w:rsid w:val="00EA2CAA"/>
    <w:rsid w:val="00EA3864"/>
    <w:rsid w:val="00EA389E"/>
    <w:rsid w:val="00EA4C9F"/>
    <w:rsid w:val="00EA5E5D"/>
    <w:rsid w:val="00EA7F1C"/>
    <w:rsid w:val="00EB0113"/>
    <w:rsid w:val="00EB0E4D"/>
    <w:rsid w:val="00EB15B6"/>
    <w:rsid w:val="00EB222F"/>
    <w:rsid w:val="00EB25CF"/>
    <w:rsid w:val="00EB3A62"/>
    <w:rsid w:val="00EB3D06"/>
    <w:rsid w:val="00EB4916"/>
    <w:rsid w:val="00EB527A"/>
    <w:rsid w:val="00EB5337"/>
    <w:rsid w:val="00EB5F73"/>
    <w:rsid w:val="00EB6113"/>
    <w:rsid w:val="00EB66B8"/>
    <w:rsid w:val="00EB6722"/>
    <w:rsid w:val="00EB67B9"/>
    <w:rsid w:val="00EB7451"/>
    <w:rsid w:val="00EC00C9"/>
    <w:rsid w:val="00EC0DD9"/>
    <w:rsid w:val="00EC150B"/>
    <w:rsid w:val="00EC20B2"/>
    <w:rsid w:val="00EC2649"/>
    <w:rsid w:val="00EC31ED"/>
    <w:rsid w:val="00EC4421"/>
    <w:rsid w:val="00EC5836"/>
    <w:rsid w:val="00EC59D7"/>
    <w:rsid w:val="00EC5A8C"/>
    <w:rsid w:val="00EC64B6"/>
    <w:rsid w:val="00EC6783"/>
    <w:rsid w:val="00EC688C"/>
    <w:rsid w:val="00EC6F2C"/>
    <w:rsid w:val="00ED12E3"/>
    <w:rsid w:val="00ED2F31"/>
    <w:rsid w:val="00ED41EE"/>
    <w:rsid w:val="00ED48E6"/>
    <w:rsid w:val="00ED4B04"/>
    <w:rsid w:val="00ED569A"/>
    <w:rsid w:val="00ED57EA"/>
    <w:rsid w:val="00ED58A4"/>
    <w:rsid w:val="00ED5BD4"/>
    <w:rsid w:val="00ED6AC0"/>
    <w:rsid w:val="00ED7F24"/>
    <w:rsid w:val="00EE01C4"/>
    <w:rsid w:val="00EE07D3"/>
    <w:rsid w:val="00EE0A40"/>
    <w:rsid w:val="00EE112E"/>
    <w:rsid w:val="00EE1996"/>
    <w:rsid w:val="00EE1C01"/>
    <w:rsid w:val="00EE1D32"/>
    <w:rsid w:val="00EE20EE"/>
    <w:rsid w:val="00EE22AF"/>
    <w:rsid w:val="00EE2848"/>
    <w:rsid w:val="00EE2915"/>
    <w:rsid w:val="00EE2BA8"/>
    <w:rsid w:val="00EE3316"/>
    <w:rsid w:val="00EE3AF2"/>
    <w:rsid w:val="00EE3BD9"/>
    <w:rsid w:val="00EE4089"/>
    <w:rsid w:val="00EE4509"/>
    <w:rsid w:val="00EE4BF6"/>
    <w:rsid w:val="00EF0171"/>
    <w:rsid w:val="00EF0435"/>
    <w:rsid w:val="00EF1325"/>
    <w:rsid w:val="00EF19A3"/>
    <w:rsid w:val="00EF1B25"/>
    <w:rsid w:val="00EF1DA0"/>
    <w:rsid w:val="00EF28B2"/>
    <w:rsid w:val="00EF2CC1"/>
    <w:rsid w:val="00EF2D00"/>
    <w:rsid w:val="00EF37CC"/>
    <w:rsid w:val="00EF4747"/>
    <w:rsid w:val="00EF4BF8"/>
    <w:rsid w:val="00EF4DF3"/>
    <w:rsid w:val="00EF595E"/>
    <w:rsid w:val="00EF5977"/>
    <w:rsid w:val="00EF5FF0"/>
    <w:rsid w:val="00EF71E0"/>
    <w:rsid w:val="00F006E3"/>
    <w:rsid w:val="00F00B87"/>
    <w:rsid w:val="00F00C32"/>
    <w:rsid w:val="00F00C95"/>
    <w:rsid w:val="00F00FC9"/>
    <w:rsid w:val="00F01152"/>
    <w:rsid w:val="00F0119A"/>
    <w:rsid w:val="00F02253"/>
    <w:rsid w:val="00F03C2E"/>
    <w:rsid w:val="00F04230"/>
    <w:rsid w:val="00F04463"/>
    <w:rsid w:val="00F04A66"/>
    <w:rsid w:val="00F04B4B"/>
    <w:rsid w:val="00F0516C"/>
    <w:rsid w:val="00F067A2"/>
    <w:rsid w:val="00F07787"/>
    <w:rsid w:val="00F07B35"/>
    <w:rsid w:val="00F07B9E"/>
    <w:rsid w:val="00F07C29"/>
    <w:rsid w:val="00F10417"/>
    <w:rsid w:val="00F10B6D"/>
    <w:rsid w:val="00F10C2B"/>
    <w:rsid w:val="00F1116F"/>
    <w:rsid w:val="00F1167C"/>
    <w:rsid w:val="00F1193A"/>
    <w:rsid w:val="00F12164"/>
    <w:rsid w:val="00F1263A"/>
    <w:rsid w:val="00F13803"/>
    <w:rsid w:val="00F139C5"/>
    <w:rsid w:val="00F13A91"/>
    <w:rsid w:val="00F14768"/>
    <w:rsid w:val="00F14EA7"/>
    <w:rsid w:val="00F15149"/>
    <w:rsid w:val="00F15B77"/>
    <w:rsid w:val="00F1623B"/>
    <w:rsid w:val="00F16707"/>
    <w:rsid w:val="00F16BE1"/>
    <w:rsid w:val="00F20B87"/>
    <w:rsid w:val="00F21236"/>
    <w:rsid w:val="00F22F57"/>
    <w:rsid w:val="00F238C3"/>
    <w:rsid w:val="00F23961"/>
    <w:rsid w:val="00F239DF"/>
    <w:rsid w:val="00F24837"/>
    <w:rsid w:val="00F256E1"/>
    <w:rsid w:val="00F2575F"/>
    <w:rsid w:val="00F25E07"/>
    <w:rsid w:val="00F25F61"/>
    <w:rsid w:val="00F27565"/>
    <w:rsid w:val="00F275C5"/>
    <w:rsid w:val="00F27BE6"/>
    <w:rsid w:val="00F27CBA"/>
    <w:rsid w:val="00F310D4"/>
    <w:rsid w:val="00F317B9"/>
    <w:rsid w:val="00F31D5A"/>
    <w:rsid w:val="00F3225B"/>
    <w:rsid w:val="00F3282C"/>
    <w:rsid w:val="00F32EE3"/>
    <w:rsid w:val="00F333B4"/>
    <w:rsid w:val="00F33975"/>
    <w:rsid w:val="00F33DE9"/>
    <w:rsid w:val="00F3407F"/>
    <w:rsid w:val="00F34133"/>
    <w:rsid w:val="00F346B8"/>
    <w:rsid w:val="00F34E15"/>
    <w:rsid w:val="00F356D8"/>
    <w:rsid w:val="00F35E6D"/>
    <w:rsid w:val="00F3619A"/>
    <w:rsid w:val="00F3644E"/>
    <w:rsid w:val="00F36877"/>
    <w:rsid w:val="00F368FA"/>
    <w:rsid w:val="00F374C9"/>
    <w:rsid w:val="00F37FF7"/>
    <w:rsid w:val="00F40017"/>
    <w:rsid w:val="00F40A6D"/>
    <w:rsid w:val="00F40AAA"/>
    <w:rsid w:val="00F40BA7"/>
    <w:rsid w:val="00F40F9D"/>
    <w:rsid w:val="00F41ACD"/>
    <w:rsid w:val="00F41ECA"/>
    <w:rsid w:val="00F427C1"/>
    <w:rsid w:val="00F4291B"/>
    <w:rsid w:val="00F42A0C"/>
    <w:rsid w:val="00F430A0"/>
    <w:rsid w:val="00F4327F"/>
    <w:rsid w:val="00F43AB4"/>
    <w:rsid w:val="00F43BD3"/>
    <w:rsid w:val="00F452DB"/>
    <w:rsid w:val="00F45D27"/>
    <w:rsid w:val="00F4607A"/>
    <w:rsid w:val="00F4631E"/>
    <w:rsid w:val="00F46ACA"/>
    <w:rsid w:val="00F46CB6"/>
    <w:rsid w:val="00F46FC9"/>
    <w:rsid w:val="00F4756D"/>
    <w:rsid w:val="00F47DE8"/>
    <w:rsid w:val="00F47E4F"/>
    <w:rsid w:val="00F502B2"/>
    <w:rsid w:val="00F515BC"/>
    <w:rsid w:val="00F536E9"/>
    <w:rsid w:val="00F542C1"/>
    <w:rsid w:val="00F5442D"/>
    <w:rsid w:val="00F548DB"/>
    <w:rsid w:val="00F550E3"/>
    <w:rsid w:val="00F55BB2"/>
    <w:rsid w:val="00F55E73"/>
    <w:rsid w:val="00F55EDA"/>
    <w:rsid w:val="00F56686"/>
    <w:rsid w:val="00F56C80"/>
    <w:rsid w:val="00F56CF5"/>
    <w:rsid w:val="00F57296"/>
    <w:rsid w:val="00F57726"/>
    <w:rsid w:val="00F60092"/>
    <w:rsid w:val="00F60395"/>
    <w:rsid w:val="00F6043B"/>
    <w:rsid w:val="00F612F9"/>
    <w:rsid w:val="00F61C18"/>
    <w:rsid w:val="00F6386C"/>
    <w:rsid w:val="00F64BF0"/>
    <w:rsid w:val="00F64CC1"/>
    <w:rsid w:val="00F64FAD"/>
    <w:rsid w:val="00F65F4B"/>
    <w:rsid w:val="00F667E2"/>
    <w:rsid w:val="00F66F33"/>
    <w:rsid w:val="00F6713E"/>
    <w:rsid w:val="00F67A69"/>
    <w:rsid w:val="00F70BFF"/>
    <w:rsid w:val="00F70C9D"/>
    <w:rsid w:val="00F715D2"/>
    <w:rsid w:val="00F72141"/>
    <w:rsid w:val="00F72851"/>
    <w:rsid w:val="00F735CF"/>
    <w:rsid w:val="00F738F0"/>
    <w:rsid w:val="00F73E08"/>
    <w:rsid w:val="00F74204"/>
    <w:rsid w:val="00F74914"/>
    <w:rsid w:val="00F74C8B"/>
    <w:rsid w:val="00F74CD9"/>
    <w:rsid w:val="00F74D05"/>
    <w:rsid w:val="00F76A94"/>
    <w:rsid w:val="00F80A7B"/>
    <w:rsid w:val="00F80E5D"/>
    <w:rsid w:val="00F81D9F"/>
    <w:rsid w:val="00F81E78"/>
    <w:rsid w:val="00F8222F"/>
    <w:rsid w:val="00F8256D"/>
    <w:rsid w:val="00F82771"/>
    <w:rsid w:val="00F83876"/>
    <w:rsid w:val="00F83916"/>
    <w:rsid w:val="00F847EA"/>
    <w:rsid w:val="00F84AA9"/>
    <w:rsid w:val="00F851CE"/>
    <w:rsid w:val="00F86462"/>
    <w:rsid w:val="00F86E62"/>
    <w:rsid w:val="00F86FA0"/>
    <w:rsid w:val="00F9115B"/>
    <w:rsid w:val="00F9117A"/>
    <w:rsid w:val="00F91219"/>
    <w:rsid w:val="00F92444"/>
    <w:rsid w:val="00F92807"/>
    <w:rsid w:val="00F9393E"/>
    <w:rsid w:val="00F945BE"/>
    <w:rsid w:val="00F94E48"/>
    <w:rsid w:val="00F95EEA"/>
    <w:rsid w:val="00F96FD0"/>
    <w:rsid w:val="00F979D7"/>
    <w:rsid w:val="00F97A78"/>
    <w:rsid w:val="00FA0402"/>
    <w:rsid w:val="00FA069C"/>
    <w:rsid w:val="00FA0B20"/>
    <w:rsid w:val="00FA0EC0"/>
    <w:rsid w:val="00FA17B4"/>
    <w:rsid w:val="00FA24E7"/>
    <w:rsid w:val="00FA2B81"/>
    <w:rsid w:val="00FA3197"/>
    <w:rsid w:val="00FA3913"/>
    <w:rsid w:val="00FA429F"/>
    <w:rsid w:val="00FA478F"/>
    <w:rsid w:val="00FA557A"/>
    <w:rsid w:val="00FA5EE6"/>
    <w:rsid w:val="00FA6E3D"/>
    <w:rsid w:val="00FA7956"/>
    <w:rsid w:val="00FB02B8"/>
    <w:rsid w:val="00FB0824"/>
    <w:rsid w:val="00FB27F7"/>
    <w:rsid w:val="00FB2FCB"/>
    <w:rsid w:val="00FB3268"/>
    <w:rsid w:val="00FB35D8"/>
    <w:rsid w:val="00FB4C9C"/>
    <w:rsid w:val="00FB5228"/>
    <w:rsid w:val="00FB6198"/>
    <w:rsid w:val="00FB6E32"/>
    <w:rsid w:val="00FB7112"/>
    <w:rsid w:val="00FB72EF"/>
    <w:rsid w:val="00FB7C55"/>
    <w:rsid w:val="00FB7C82"/>
    <w:rsid w:val="00FC0DF6"/>
    <w:rsid w:val="00FC1074"/>
    <w:rsid w:val="00FC125C"/>
    <w:rsid w:val="00FC178E"/>
    <w:rsid w:val="00FC1884"/>
    <w:rsid w:val="00FC1940"/>
    <w:rsid w:val="00FC22FF"/>
    <w:rsid w:val="00FC2D3B"/>
    <w:rsid w:val="00FC371D"/>
    <w:rsid w:val="00FC3A3C"/>
    <w:rsid w:val="00FC4EEF"/>
    <w:rsid w:val="00FC520A"/>
    <w:rsid w:val="00FC5F0B"/>
    <w:rsid w:val="00FC6C45"/>
    <w:rsid w:val="00FC795C"/>
    <w:rsid w:val="00FD00C1"/>
    <w:rsid w:val="00FD0608"/>
    <w:rsid w:val="00FD0EF0"/>
    <w:rsid w:val="00FD1EC0"/>
    <w:rsid w:val="00FD2100"/>
    <w:rsid w:val="00FD23D6"/>
    <w:rsid w:val="00FD3A0B"/>
    <w:rsid w:val="00FD3ADA"/>
    <w:rsid w:val="00FD3F37"/>
    <w:rsid w:val="00FD436C"/>
    <w:rsid w:val="00FD446D"/>
    <w:rsid w:val="00FD4F2C"/>
    <w:rsid w:val="00FD6394"/>
    <w:rsid w:val="00FD6E47"/>
    <w:rsid w:val="00FD7C58"/>
    <w:rsid w:val="00FD7C91"/>
    <w:rsid w:val="00FE0460"/>
    <w:rsid w:val="00FE0E6C"/>
    <w:rsid w:val="00FE1CDC"/>
    <w:rsid w:val="00FE34D2"/>
    <w:rsid w:val="00FE4027"/>
    <w:rsid w:val="00FE4468"/>
    <w:rsid w:val="00FE4B6C"/>
    <w:rsid w:val="00FE5309"/>
    <w:rsid w:val="00FE70C3"/>
    <w:rsid w:val="00FE7402"/>
    <w:rsid w:val="00FE7540"/>
    <w:rsid w:val="00FE7698"/>
    <w:rsid w:val="00FE7E86"/>
    <w:rsid w:val="00FE7F38"/>
    <w:rsid w:val="00FF1A8B"/>
    <w:rsid w:val="00FF2535"/>
    <w:rsid w:val="00FF2913"/>
    <w:rsid w:val="00FF2AD9"/>
    <w:rsid w:val="00FF359F"/>
    <w:rsid w:val="00FF35AD"/>
    <w:rsid w:val="00FF3894"/>
    <w:rsid w:val="00FF3DCF"/>
    <w:rsid w:val="00FF40A7"/>
    <w:rsid w:val="00FF4535"/>
    <w:rsid w:val="00FF492C"/>
    <w:rsid w:val="00FF4A21"/>
    <w:rsid w:val="00FF5496"/>
    <w:rsid w:val="00FF5AA3"/>
    <w:rsid w:val="00FF5AD8"/>
    <w:rsid w:val="00FF7D4D"/>
    <w:rsid w:val="00FF7F47"/>
    <w:rsid w:val="0EDAA0FA"/>
    <w:rsid w:val="4532F641"/>
    <w:rsid w:val="50833F31"/>
    <w:rsid w:val="653A70A8"/>
    <w:rsid w:val="7444622D"/>
    <w:rsid w:val="7D7BD58B"/>
    <w:rsid w:val="7E02FCA1"/>
    <w:rsid w:val="7FF767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89F"/>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Fig caption,Caption Char1 Char,Caption Char Char Char,Caption Char1 Char Char Char,Caption Char Char Char Char Char,Caption Char Char1 Char,Caption Char1 Char1,Caption Char Char Char1,Caption Char1,Caption Char Char,Caption Char2 Char,Bullet"/>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Fig caption Char,Caption Char1 Char Char,Caption Char Char Char Char,Caption Char1 Char Char Char Char,Caption Char Char Char Char Char Char,Caption Char Char1 Char Char,Caption Char1 Char1 Char,Caption Char Char Char1 Char,Bullet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MSD Table Grid,RTI AMCP Table,Dossier table,Summary Table,PHE Table Grid,Lash Style Table,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C63B7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244AE4"/>
    <w:pPr>
      <w:tabs>
        <w:tab w:val="left" w:pos="440"/>
        <w:tab w:val="right" w:leader="dot" w:pos="9016"/>
      </w:tabs>
      <w:spacing w:after="120"/>
      <w:jc w:val="left"/>
    </w:pPr>
    <w:rPr>
      <w:bCs/>
      <w:sz w:val="20"/>
    </w:rPr>
  </w:style>
  <w:style w:type="character" w:styleId="Hyperlink">
    <w:name w:val="Hyperlink"/>
    <w:aliases w:val="Hyperlink - H39"/>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textleft">
    <w:name w:val="Table text left"/>
    <w:basedOn w:val="Normal"/>
    <w:link w:val="TabletextleftChar"/>
    <w:qFormat/>
    <w:rsid w:val="00A305F7"/>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A305F7"/>
    <w:rPr>
      <w:rFonts w:asciiTheme="minorHAnsi" w:hAnsiTheme="minorHAnsi"/>
      <w:sz w:val="18"/>
    </w:rPr>
  </w:style>
  <w:style w:type="table" w:customStyle="1" w:styleId="HTAsimpletable">
    <w:name w:val="HTA simple table"/>
    <w:basedOn w:val="TableNormal"/>
    <w:uiPriority w:val="99"/>
    <w:rsid w:val="00DB397F"/>
    <w:rPr>
      <w:rFonts w:asciiTheme="minorHAnsi" w:eastAsia="SimSun" w:hAnsiTheme="minorHAnsi" w:cstheme="minorBidi"/>
      <w:sz w:val="22"/>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sz w:val="18"/>
      </w:rPr>
    </w:tblStylePr>
    <w:tblStylePr w:type="band2Horz">
      <w:pPr>
        <w:wordWrap/>
        <w:spacing w:beforeLines="0" w:before="20" w:beforeAutospacing="0" w:afterLines="0" w:after="20" w:afterAutospacing="0" w:line="240" w:lineRule="auto"/>
      </w:pPr>
    </w:tblStylePr>
  </w:style>
  <w:style w:type="paragraph" w:customStyle="1" w:styleId="TableH2">
    <w:name w:val="Table H2"/>
    <w:basedOn w:val="Normal"/>
    <w:next w:val="Tabletextleft"/>
    <w:uiPriority w:val="4"/>
    <w:qFormat/>
    <w:rsid w:val="00DB397F"/>
    <w:pPr>
      <w:keepNext/>
      <w:tabs>
        <w:tab w:val="left" w:pos="416"/>
        <w:tab w:val="left" w:pos="582"/>
        <w:tab w:val="left" w:pos="1134"/>
      </w:tabs>
      <w:spacing w:before="40" w:after="40"/>
    </w:pPr>
    <w:rPr>
      <w:rFonts w:asciiTheme="minorHAnsi" w:eastAsia="SimSun" w:hAnsiTheme="minorHAnsi" w:cs="Tahoma"/>
      <w:b/>
      <w:spacing w:val="-1"/>
      <w:sz w:val="18"/>
      <w:szCs w:val="18"/>
      <w:lang w:val="en-US" w:eastAsia="en-US"/>
    </w:rPr>
  </w:style>
  <w:style w:type="paragraph" w:customStyle="1" w:styleId="Dash0">
    <w:name w:val="Dash+0"/>
    <w:basedOn w:val="Normal"/>
    <w:uiPriority w:val="2"/>
    <w:rsid w:val="00DB397F"/>
    <w:pPr>
      <w:numPr>
        <w:numId w:val="6"/>
      </w:numPr>
      <w:tabs>
        <w:tab w:val="left" w:pos="1134"/>
      </w:tabs>
      <w:spacing w:line="276" w:lineRule="auto"/>
    </w:pPr>
    <w:rPr>
      <w:rFonts w:asciiTheme="minorHAnsi" w:eastAsia="SimSun" w:hAnsiTheme="minorHAnsi" w:cs="Tahoma"/>
      <w:color w:val="000000"/>
      <w:sz w:val="22"/>
      <w:szCs w:val="22"/>
    </w:rPr>
  </w:style>
  <w:style w:type="paragraph" w:customStyle="1" w:styleId="TableHeadingleft">
    <w:name w:val="Table Heading left"/>
    <w:basedOn w:val="Normal"/>
    <w:next w:val="Tabletextleft"/>
    <w:qFormat/>
    <w:rsid w:val="00DB397F"/>
    <w:pPr>
      <w:spacing w:before="40" w:after="40"/>
      <w:jc w:val="left"/>
    </w:pPr>
    <w:rPr>
      <w:rFonts w:asciiTheme="minorHAnsi" w:eastAsia="SimSun" w:hAnsiTheme="minorHAnsi" w:cs="Tahoma"/>
      <w:b/>
      <w:sz w:val="18"/>
      <w:szCs w:val="18"/>
      <w:lang w:val="de-DE" w:eastAsia="en-US"/>
    </w:rPr>
  </w:style>
  <w:style w:type="paragraph" w:customStyle="1" w:styleId="Tableheadingcent">
    <w:name w:val="Table heading cent"/>
    <w:basedOn w:val="TableHeadingleft"/>
    <w:qFormat/>
    <w:rsid w:val="00DB397F"/>
    <w:pPr>
      <w:jc w:val="center"/>
    </w:pPr>
  </w:style>
  <w:style w:type="paragraph" w:customStyle="1" w:styleId="HAppendix2">
    <w:name w:val="H Appendix 2"/>
    <w:basedOn w:val="Normal"/>
    <w:next w:val="BodyText"/>
    <w:qFormat/>
    <w:rsid w:val="00DB397F"/>
    <w:pPr>
      <w:keepNext/>
      <w:pageBreakBefore/>
      <w:pBdr>
        <w:bottom w:val="single" w:sz="4" w:space="1" w:color="auto"/>
      </w:pBdr>
      <w:spacing w:after="200" w:line="276" w:lineRule="auto"/>
      <w:jc w:val="left"/>
      <w:outlineLvl w:val="0"/>
    </w:pPr>
    <w:rPr>
      <w:rFonts w:ascii="Tahoma" w:eastAsia="SimSun" w:hAnsi="Tahoma" w:cs="Tahoma"/>
      <w:sz w:val="40"/>
      <w:szCs w:val="22"/>
      <w:lang w:val="en-GB" w:eastAsia="en-GB"/>
    </w:rPr>
  </w:style>
  <w:style w:type="paragraph" w:customStyle="1" w:styleId="Tablebulletlist">
    <w:name w:val="Table bullet list"/>
    <w:basedOn w:val="Tabletextleft"/>
    <w:qFormat/>
    <w:rsid w:val="00DB397F"/>
    <w:pPr>
      <w:widowControl w:val="0"/>
      <w:numPr>
        <w:numId w:val="7"/>
      </w:numPr>
      <w:tabs>
        <w:tab w:val="left" w:pos="464"/>
      </w:tabs>
      <w:spacing w:before="34" w:after="0"/>
    </w:pPr>
    <w:rPr>
      <w:rFonts w:eastAsia="Calibri"/>
      <w:szCs w:val="18"/>
      <w:lang w:val="en-US"/>
    </w:rPr>
  </w:style>
  <w:style w:type="paragraph" w:customStyle="1" w:styleId="TableBullet">
    <w:name w:val="Table Bullet"/>
    <w:basedOn w:val="TableText0"/>
    <w:qFormat/>
    <w:rsid w:val="00DB397F"/>
    <w:pPr>
      <w:keepNext w:val="0"/>
      <w:numPr>
        <w:numId w:val="8"/>
      </w:numPr>
      <w:spacing w:before="20" w:after="20" w:line="276" w:lineRule="auto"/>
      <w:ind w:left="284" w:hanging="284"/>
    </w:pPr>
    <w:rPr>
      <w:rFonts w:cs="Arial"/>
      <w:bCs w:val="0"/>
      <w:szCs w:val="20"/>
      <w:lang w:bidi="en-US"/>
    </w:rPr>
  </w:style>
  <w:style w:type="paragraph" w:styleId="FootnoteText">
    <w:name w:val="footnote text"/>
    <w:basedOn w:val="Normal"/>
    <w:link w:val="FootnoteTextChar"/>
    <w:unhideWhenUsed/>
    <w:rsid w:val="00784523"/>
    <w:rPr>
      <w:sz w:val="20"/>
      <w:szCs w:val="20"/>
    </w:rPr>
  </w:style>
  <w:style w:type="character" w:customStyle="1" w:styleId="FootnoteTextChar">
    <w:name w:val="Footnote Text Char"/>
    <w:basedOn w:val="DefaultParagraphFont"/>
    <w:link w:val="FootnoteText"/>
    <w:rsid w:val="00784523"/>
    <w:rPr>
      <w:rFonts w:ascii="Calibri" w:hAnsi="Calibri" w:cs="Arial"/>
    </w:rPr>
  </w:style>
  <w:style w:type="character" w:styleId="FootnoteReference">
    <w:name w:val="footnote reference"/>
    <w:basedOn w:val="DefaultParagraphFont"/>
    <w:semiHidden/>
    <w:unhideWhenUsed/>
    <w:rsid w:val="00784523"/>
    <w:rPr>
      <w:vertAlign w:val="superscript"/>
    </w:rPr>
  </w:style>
  <w:style w:type="paragraph" w:customStyle="1" w:styleId="TableFigNotes0">
    <w:name w:val="TableFigNotes+0"/>
    <w:basedOn w:val="Normal"/>
    <w:uiPriority w:val="4"/>
    <w:rsid w:val="00467940"/>
    <w:pPr>
      <w:keepNext/>
      <w:keepLines/>
      <w:spacing w:after="360"/>
      <w:contextualSpacing/>
      <w:jc w:val="left"/>
    </w:pPr>
    <w:rPr>
      <w:rFonts w:cs="Tahoma"/>
      <w:color w:val="000000"/>
      <w:sz w:val="16"/>
      <w:szCs w:val="18"/>
      <w:lang w:val="en-US"/>
    </w:rPr>
  </w:style>
  <w:style w:type="character" w:styleId="UnresolvedMention">
    <w:name w:val="Unresolved Mention"/>
    <w:basedOn w:val="DefaultParagraphFont"/>
    <w:uiPriority w:val="99"/>
    <w:semiHidden/>
    <w:unhideWhenUsed/>
    <w:rsid w:val="000D5217"/>
    <w:rPr>
      <w:color w:val="605E5C"/>
      <w:shd w:val="clear" w:color="auto" w:fill="E1DFDD"/>
    </w:rPr>
  </w:style>
  <w:style w:type="table" w:customStyle="1" w:styleId="Table">
    <w:name w:val="Table"/>
    <w:semiHidden/>
    <w:unhideWhenUsed/>
    <w:qFormat/>
    <w:rsid w:val="00B00DB6"/>
    <w:pPr>
      <w:spacing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HTATableshaded">
    <w:name w:val="HTA Table shaded"/>
    <w:basedOn w:val="TableNormal"/>
    <w:rsid w:val="00B00DB6"/>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item-code">
    <w:name w:val="item-code"/>
    <w:basedOn w:val="DefaultParagraphFont"/>
    <w:rsid w:val="00533F2C"/>
  </w:style>
  <w:style w:type="table" w:customStyle="1" w:styleId="Summarybox1">
    <w:name w:val="Summary box1"/>
    <w:basedOn w:val="TableNormal"/>
    <w:next w:val="TableGrid"/>
    <w:rsid w:val="003E1ECA"/>
    <w:pPr>
      <w:jc w:val="both"/>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39"/>
    <w:rsid w:val="003E1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D6FA6"/>
    <w:pPr>
      <w:jc w:val="left"/>
    </w:pPr>
    <w:rPr>
      <w:rFonts w:ascii="Aptos" w:eastAsiaTheme="minorHAnsi" w:hAnsi="Aptos" w:cs="Aptos"/>
      <w:sz w:val="20"/>
      <w:szCs w:val="20"/>
    </w:rPr>
  </w:style>
  <w:style w:type="character" w:customStyle="1" w:styleId="normaltextrun">
    <w:name w:val="normaltextrun"/>
    <w:basedOn w:val="DefaultParagraphFont"/>
    <w:rsid w:val="00641144"/>
  </w:style>
  <w:style w:type="paragraph" w:customStyle="1" w:styleId="3-SubsectionHeading">
    <w:name w:val="3-Subsection Heading"/>
    <w:basedOn w:val="Heading2"/>
    <w:next w:val="Normal"/>
    <w:link w:val="3-SubsectionHeadingChar"/>
    <w:qFormat/>
    <w:rsid w:val="00162D7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62D7C"/>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0C3235"/>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0C3235"/>
    <w:pPr>
      <w:numPr>
        <w:ilvl w:val="2"/>
        <w:numId w:val="36"/>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0C3235"/>
    <w:pPr>
      <w:numPr>
        <w:numId w:val="36"/>
      </w:numPr>
    </w:pPr>
  </w:style>
  <w:style w:type="paragraph" w:customStyle="1" w:styleId="COMH1numbered">
    <w:name w:val="COM H1 numbered"/>
    <w:next w:val="Normal"/>
    <w:link w:val="COMH1numberedChar"/>
    <w:qFormat/>
    <w:rsid w:val="000C3235"/>
    <w:pPr>
      <w:keepNext/>
      <w:numPr>
        <w:numId w:val="36"/>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0C3235"/>
    <w:rPr>
      <w:rFonts w:asciiTheme="minorHAnsi" w:hAnsiTheme="minorHAnsi" w:cs="Arial"/>
      <w:b/>
      <w:snapToGrid w:val="0"/>
      <w:sz w:val="32"/>
      <w:szCs w:val="32"/>
    </w:rPr>
  </w:style>
  <w:style w:type="paragraph" w:styleId="ListBullet2">
    <w:name w:val="List Bullet 2"/>
    <w:basedOn w:val="Normal"/>
    <w:semiHidden/>
    <w:unhideWhenUsed/>
    <w:rsid w:val="000C3235"/>
    <w:pPr>
      <w:ind w:left="425" w:hanging="425"/>
      <w:contextualSpacing/>
    </w:pPr>
  </w:style>
  <w:style w:type="paragraph" w:styleId="ListBullet3">
    <w:name w:val="List Bullet 3"/>
    <w:basedOn w:val="Normal"/>
    <w:semiHidden/>
    <w:unhideWhenUsed/>
    <w:rsid w:val="000C3235"/>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62">
      <w:bodyDiv w:val="1"/>
      <w:marLeft w:val="0"/>
      <w:marRight w:val="0"/>
      <w:marTop w:val="0"/>
      <w:marBottom w:val="0"/>
      <w:divBdr>
        <w:top w:val="none" w:sz="0" w:space="0" w:color="auto"/>
        <w:left w:val="none" w:sz="0" w:space="0" w:color="auto"/>
        <w:bottom w:val="none" w:sz="0" w:space="0" w:color="auto"/>
        <w:right w:val="none" w:sz="0" w:space="0" w:color="auto"/>
      </w:divBdr>
    </w:div>
    <w:div w:id="24528607">
      <w:bodyDiv w:val="1"/>
      <w:marLeft w:val="0"/>
      <w:marRight w:val="0"/>
      <w:marTop w:val="0"/>
      <w:marBottom w:val="0"/>
      <w:divBdr>
        <w:top w:val="none" w:sz="0" w:space="0" w:color="auto"/>
        <w:left w:val="none" w:sz="0" w:space="0" w:color="auto"/>
        <w:bottom w:val="none" w:sz="0" w:space="0" w:color="auto"/>
        <w:right w:val="none" w:sz="0" w:space="0" w:color="auto"/>
      </w:divBdr>
    </w:div>
    <w:div w:id="69547075">
      <w:bodyDiv w:val="1"/>
      <w:marLeft w:val="0"/>
      <w:marRight w:val="0"/>
      <w:marTop w:val="0"/>
      <w:marBottom w:val="0"/>
      <w:divBdr>
        <w:top w:val="none" w:sz="0" w:space="0" w:color="auto"/>
        <w:left w:val="none" w:sz="0" w:space="0" w:color="auto"/>
        <w:bottom w:val="none" w:sz="0" w:space="0" w:color="auto"/>
        <w:right w:val="none" w:sz="0" w:space="0" w:color="auto"/>
      </w:divBdr>
    </w:div>
    <w:div w:id="96147772">
      <w:bodyDiv w:val="1"/>
      <w:marLeft w:val="0"/>
      <w:marRight w:val="0"/>
      <w:marTop w:val="0"/>
      <w:marBottom w:val="0"/>
      <w:divBdr>
        <w:top w:val="none" w:sz="0" w:space="0" w:color="auto"/>
        <w:left w:val="none" w:sz="0" w:space="0" w:color="auto"/>
        <w:bottom w:val="none" w:sz="0" w:space="0" w:color="auto"/>
        <w:right w:val="none" w:sz="0" w:space="0" w:color="auto"/>
      </w:divBdr>
    </w:div>
    <w:div w:id="10073428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8935751">
      <w:bodyDiv w:val="1"/>
      <w:marLeft w:val="0"/>
      <w:marRight w:val="0"/>
      <w:marTop w:val="0"/>
      <w:marBottom w:val="0"/>
      <w:divBdr>
        <w:top w:val="none" w:sz="0" w:space="0" w:color="auto"/>
        <w:left w:val="none" w:sz="0" w:space="0" w:color="auto"/>
        <w:bottom w:val="none" w:sz="0" w:space="0" w:color="auto"/>
        <w:right w:val="none" w:sz="0" w:space="0" w:color="auto"/>
      </w:divBdr>
      <w:divsChild>
        <w:div w:id="946888290">
          <w:marLeft w:val="0"/>
          <w:marRight w:val="0"/>
          <w:marTop w:val="0"/>
          <w:marBottom w:val="0"/>
          <w:divBdr>
            <w:top w:val="none" w:sz="0" w:space="0" w:color="auto"/>
            <w:left w:val="none" w:sz="0" w:space="0" w:color="auto"/>
            <w:bottom w:val="none" w:sz="0" w:space="0" w:color="auto"/>
            <w:right w:val="none" w:sz="0" w:space="0" w:color="auto"/>
          </w:divBdr>
          <w:divsChild>
            <w:div w:id="18003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4733003">
      <w:bodyDiv w:val="1"/>
      <w:marLeft w:val="0"/>
      <w:marRight w:val="0"/>
      <w:marTop w:val="0"/>
      <w:marBottom w:val="0"/>
      <w:divBdr>
        <w:top w:val="none" w:sz="0" w:space="0" w:color="auto"/>
        <w:left w:val="none" w:sz="0" w:space="0" w:color="auto"/>
        <w:bottom w:val="none" w:sz="0" w:space="0" w:color="auto"/>
        <w:right w:val="none" w:sz="0" w:space="0" w:color="auto"/>
      </w:divBdr>
    </w:div>
    <w:div w:id="155995165">
      <w:bodyDiv w:val="1"/>
      <w:marLeft w:val="0"/>
      <w:marRight w:val="0"/>
      <w:marTop w:val="0"/>
      <w:marBottom w:val="0"/>
      <w:divBdr>
        <w:top w:val="none" w:sz="0" w:space="0" w:color="auto"/>
        <w:left w:val="none" w:sz="0" w:space="0" w:color="auto"/>
        <w:bottom w:val="none" w:sz="0" w:space="0" w:color="auto"/>
        <w:right w:val="none" w:sz="0" w:space="0" w:color="auto"/>
      </w:divBdr>
    </w:div>
    <w:div w:id="197819638">
      <w:bodyDiv w:val="1"/>
      <w:marLeft w:val="0"/>
      <w:marRight w:val="0"/>
      <w:marTop w:val="0"/>
      <w:marBottom w:val="0"/>
      <w:divBdr>
        <w:top w:val="none" w:sz="0" w:space="0" w:color="auto"/>
        <w:left w:val="none" w:sz="0" w:space="0" w:color="auto"/>
        <w:bottom w:val="none" w:sz="0" w:space="0" w:color="auto"/>
        <w:right w:val="none" w:sz="0" w:space="0" w:color="auto"/>
      </w:divBdr>
    </w:div>
    <w:div w:id="260186771">
      <w:bodyDiv w:val="1"/>
      <w:marLeft w:val="0"/>
      <w:marRight w:val="0"/>
      <w:marTop w:val="0"/>
      <w:marBottom w:val="0"/>
      <w:divBdr>
        <w:top w:val="none" w:sz="0" w:space="0" w:color="auto"/>
        <w:left w:val="none" w:sz="0" w:space="0" w:color="auto"/>
        <w:bottom w:val="none" w:sz="0" w:space="0" w:color="auto"/>
        <w:right w:val="none" w:sz="0" w:space="0" w:color="auto"/>
      </w:divBdr>
    </w:div>
    <w:div w:id="274022213">
      <w:bodyDiv w:val="1"/>
      <w:marLeft w:val="0"/>
      <w:marRight w:val="0"/>
      <w:marTop w:val="0"/>
      <w:marBottom w:val="0"/>
      <w:divBdr>
        <w:top w:val="none" w:sz="0" w:space="0" w:color="auto"/>
        <w:left w:val="none" w:sz="0" w:space="0" w:color="auto"/>
        <w:bottom w:val="none" w:sz="0" w:space="0" w:color="auto"/>
        <w:right w:val="none" w:sz="0" w:space="0" w:color="auto"/>
      </w:divBdr>
    </w:div>
    <w:div w:id="287782744">
      <w:bodyDiv w:val="1"/>
      <w:marLeft w:val="0"/>
      <w:marRight w:val="0"/>
      <w:marTop w:val="0"/>
      <w:marBottom w:val="0"/>
      <w:divBdr>
        <w:top w:val="none" w:sz="0" w:space="0" w:color="auto"/>
        <w:left w:val="none" w:sz="0" w:space="0" w:color="auto"/>
        <w:bottom w:val="none" w:sz="0" w:space="0" w:color="auto"/>
        <w:right w:val="none" w:sz="0" w:space="0" w:color="auto"/>
      </w:divBdr>
    </w:div>
    <w:div w:id="30100910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9937723">
      <w:bodyDiv w:val="1"/>
      <w:marLeft w:val="0"/>
      <w:marRight w:val="0"/>
      <w:marTop w:val="0"/>
      <w:marBottom w:val="0"/>
      <w:divBdr>
        <w:top w:val="none" w:sz="0" w:space="0" w:color="auto"/>
        <w:left w:val="none" w:sz="0" w:space="0" w:color="auto"/>
        <w:bottom w:val="none" w:sz="0" w:space="0" w:color="auto"/>
        <w:right w:val="none" w:sz="0" w:space="0" w:color="auto"/>
      </w:divBdr>
    </w:div>
    <w:div w:id="471531738">
      <w:bodyDiv w:val="1"/>
      <w:marLeft w:val="0"/>
      <w:marRight w:val="0"/>
      <w:marTop w:val="0"/>
      <w:marBottom w:val="0"/>
      <w:divBdr>
        <w:top w:val="none" w:sz="0" w:space="0" w:color="auto"/>
        <w:left w:val="none" w:sz="0" w:space="0" w:color="auto"/>
        <w:bottom w:val="none" w:sz="0" w:space="0" w:color="auto"/>
        <w:right w:val="none" w:sz="0" w:space="0" w:color="auto"/>
      </w:divBdr>
    </w:div>
    <w:div w:id="611285508">
      <w:bodyDiv w:val="1"/>
      <w:marLeft w:val="0"/>
      <w:marRight w:val="0"/>
      <w:marTop w:val="0"/>
      <w:marBottom w:val="0"/>
      <w:divBdr>
        <w:top w:val="none" w:sz="0" w:space="0" w:color="auto"/>
        <w:left w:val="none" w:sz="0" w:space="0" w:color="auto"/>
        <w:bottom w:val="none" w:sz="0" w:space="0" w:color="auto"/>
        <w:right w:val="none" w:sz="0" w:space="0" w:color="auto"/>
      </w:divBdr>
      <w:divsChild>
        <w:div w:id="1487237372">
          <w:marLeft w:val="1166"/>
          <w:marRight w:val="0"/>
          <w:marTop w:val="96"/>
          <w:marBottom w:val="0"/>
          <w:divBdr>
            <w:top w:val="none" w:sz="0" w:space="0" w:color="auto"/>
            <w:left w:val="none" w:sz="0" w:space="0" w:color="auto"/>
            <w:bottom w:val="none" w:sz="0" w:space="0" w:color="auto"/>
            <w:right w:val="none" w:sz="0" w:space="0" w:color="auto"/>
          </w:divBdr>
        </w:div>
      </w:divsChild>
    </w:div>
    <w:div w:id="633296723">
      <w:bodyDiv w:val="1"/>
      <w:marLeft w:val="0"/>
      <w:marRight w:val="0"/>
      <w:marTop w:val="0"/>
      <w:marBottom w:val="0"/>
      <w:divBdr>
        <w:top w:val="none" w:sz="0" w:space="0" w:color="auto"/>
        <w:left w:val="none" w:sz="0" w:space="0" w:color="auto"/>
        <w:bottom w:val="none" w:sz="0" w:space="0" w:color="auto"/>
        <w:right w:val="none" w:sz="0" w:space="0" w:color="auto"/>
      </w:divBdr>
    </w:div>
    <w:div w:id="665472053">
      <w:bodyDiv w:val="1"/>
      <w:marLeft w:val="0"/>
      <w:marRight w:val="0"/>
      <w:marTop w:val="0"/>
      <w:marBottom w:val="0"/>
      <w:divBdr>
        <w:top w:val="none" w:sz="0" w:space="0" w:color="auto"/>
        <w:left w:val="none" w:sz="0" w:space="0" w:color="auto"/>
        <w:bottom w:val="none" w:sz="0" w:space="0" w:color="auto"/>
        <w:right w:val="none" w:sz="0" w:space="0" w:color="auto"/>
      </w:divBdr>
    </w:div>
    <w:div w:id="672613726">
      <w:bodyDiv w:val="1"/>
      <w:marLeft w:val="0"/>
      <w:marRight w:val="0"/>
      <w:marTop w:val="0"/>
      <w:marBottom w:val="0"/>
      <w:divBdr>
        <w:top w:val="none" w:sz="0" w:space="0" w:color="auto"/>
        <w:left w:val="none" w:sz="0" w:space="0" w:color="auto"/>
        <w:bottom w:val="none" w:sz="0" w:space="0" w:color="auto"/>
        <w:right w:val="none" w:sz="0" w:space="0" w:color="auto"/>
      </w:divBdr>
    </w:div>
    <w:div w:id="721056856">
      <w:bodyDiv w:val="1"/>
      <w:marLeft w:val="0"/>
      <w:marRight w:val="0"/>
      <w:marTop w:val="0"/>
      <w:marBottom w:val="0"/>
      <w:divBdr>
        <w:top w:val="none" w:sz="0" w:space="0" w:color="auto"/>
        <w:left w:val="none" w:sz="0" w:space="0" w:color="auto"/>
        <w:bottom w:val="none" w:sz="0" w:space="0" w:color="auto"/>
        <w:right w:val="none" w:sz="0" w:space="0" w:color="auto"/>
      </w:divBdr>
    </w:div>
    <w:div w:id="732504993">
      <w:bodyDiv w:val="1"/>
      <w:marLeft w:val="0"/>
      <w:marRight w:val="0"/>
      <w:marTop w:val="0"/>
      <w:marBottom w:val="0"/>
      <w:divBdr>
        <w:top w:val="none" w:sz="0" w:space="0" w:color="auto"/>
        <w:left w:val="none" w:sz="0" w:space="0" w:color="auto"/>
        <w:bottom w:val="none" w:sz="0" w:space="0" w:color="auto"/>
        <w:right w:val="none" w:sz="0" w:space="0" w:color="auto"/>
      </w:divBdr>
    </w:div>
    <w:div w:id="752943138">
      <w:bodyDiv w:val="1"/>
      <w:marLeft w:val="0"/>
      <w:marRight w:val="0"/>
      <w:marTop w:val="0"/>
      <w:marBottom w:val="0"/>
      <w:divBdr>
        <w:top w:val="none" w:sz="0" w:space="0" w:color="auto"/>
        <w:left w:val="none" w:sz="0" w:space="0" w:color="auto"/>
        <w:bottom w:val="none" w:sz="0" w:space="0" w:color="auto"/>
        <w:right w:val="none" w:sz="0" w:space="0" w:color="auto"/>
      </w:divBdr>
    </w:div>
    <w:div w:id="763771327">
      <w:bodyDiv w:val="1"/>
      <w:marLeft w:val="0"/>
      <w:marRight w:val="0"/>
      <w:marTop w:val="0"/>
      <w:marBottom w:val="0"/>
      <w:divBdr>
        <w:top w:val="none" w:sz="0" w:space="0" w:color="auto"/>
        <w:left w:val="none" w:sz="0" w:space="0" w:color="auto"/>
        <w:bottom w:val="none" w:sz="0" w:space="0" w:color="auto"/>
        <w:right w:val="none" w:sz="0" w:space="0" w:color="auto"/>
      </w:divBdr>
    </w:div>
    <w:div w:id="78153851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84567322">
      <w:bodyDiv w:val="1"/>
      <w:marLeft w:val="0"/>
      <w:marRight w:val="0"/>
      <w:marTop w:val="0"/>
      <w:marBottom w:val="0"/>
      <w:divBdr>
        <w:top w:val="none" w:sz="0" w:space="0" w:color="auto"/>
        <w:left w:val="none" w:sz="0" w:space="0" w:color="auto"/>
        <w:bottom w:val="none" w:sz="0" w:space="0" w:color="auto"/>
        <w:right w:val="none" w:sz="0" w:space="0" w:color="auto"/>
      </w:divBdr>
    </w:div>
    <w:div w:id="901058681">
      <w:bodyDiv w:val="1"/>
      <w:marLeft w:val="0"/>
      <w:marRight w:val="0"/>
      <w:marTop w:val="0"/>
      <w:marBottom w:val="0"/>
      <w:divBdr>
        <w:top w:val="none" w:sz="0" w:space="0" w:color="auto"/>
        <w:left w:val="none" w:sz="0" w:space="0" w:color="auto"/>
        <w:bottom w:val="none" w:sz="0" w:space="0" w:color="auto"/>
        <w:right w:val="none" w:sz="0" w:space="0" w:color="auto"/>
      </w:divBdr>
    </w:div>
    <w:div w:id="916213707">
      <w:bodyDiv w:val="1"/>
      <w:marLeft w:val="0"/>
      <w:marRight w:val="0"/>
      <w:marTop w:val="0"/>
      <w:marBottom w:val="0"/>
      <w:divBdr>
        <w:top w:val="none" w:sz="0" w:space="0" w:color="auto"/>
        <w:left w:val="none" w:sz="0" w:space="0" w:color="auto"/>
        <w:bottom w:val="none" w:sz="0" w:space="0" w:color="auto"/>
        <w:right w:val="none" w:sz="0" w:space="0" w:color="auto"/>
      </w:divBdr>
    </w:div>
    <w:div w:id="921991106">
      <w:bodyDiv w:val="1"/>
      <w:marLeft w:val="0"/>
      <w:marRight w:val="0"/>
      <w:marTop w:val="0"/>
      <w:marBottom w:val="0"/>
      <w:divBdr>
        <w:top w:val="none" w:sz="0" w:space="0" w:color="auto"/>
        <w:left w:val="none" w:sz="0" w:space="0" w:color="auto"/>
        <w:bottom w:val="none" w:sz="0" w:space="0" w:color="auto"/>
        <w:right w:val="none" w:sz="0" w:space="0" w:color="auto"/>
      </w:divBdr>
    </w:div>
    <w:div w:id="934244110">
      <w:bodyDiv w:val="1"/>
      <w:marLeft w:val="0"/>
      <w:marRight w:val="0"/>
      <w:marTop w:val="0"/>
      <w:marBottom w:val="0"/>
      <w:divBdr>
        <w:top w:val="none" w:sz="0" w:space="0" w:color="auto"/>
        <w:left w:val="none" w:sz="0" w:space="0" w:color="auto"/>
        <w:bottom w:val="none" w:sz="0" w:space="0" w:color="auto"/>
        <w:right w:val="none" w:sz="0" w:space="0" w:color="auto"/>
      </w:divBdr>
    </w:div>
    <w:div w:id="945620738">
      <w:bodyDiv w:val="1"/>
      <w:marLeft w:val="0"/>
      <w:marRight w:val="0"/>
      <w:marTop w:val="0"/>
      <w:marBottom w:val="0"/>
      <w:divBdr>
        <w:top w:val="none" w:sz="0" w:space="0" w:color="auto"/>
        <w:left w:val="none" w:sz="0" w:space="0" w:color="auto"/>
        <w:bottom w:val="none" w:sz="0" w:space="0" w:color="auto"/>
        <w:right w:val="none" w:sz="0" w:space="0" w:color="auto"/>
      </w:divBdr>
    </w:div>
    <w:div w:id="967512022">
      <w:bodyDiv w:val="1"/>
      <w:marLeft w:val="0"/>
      <w:marRight w:val="0"/>
      <w:marTop w:val="0"/>
      <w:marBottom w:val="0"/>
      <w:divBdr>
        <w:top w:val="none" w:sz="0" w:space="0" w:color="auto"/>
        <w:left w:val="none" w:sz="0" w:space="0" w:color="auto"/>
        <w:bottom w:val="none" w:sz="0" w:space="0" w:color="auto"/>
        <w:right w:val="none" w:sz="0" w:space="0" w:color="auto"/>
      </w:divBdr>
    </w:div>
    <w:div w:id="985889318">
      <w:bodyDiv w:val="1"/>
      <w:marLeft w:val="0"/>
      <w:marRight w:val="0"/>
      <w:marTop w:val="0"/>
      <w:marBottom w:val="0"/>
      <w:divBdr>
        <w:top w:val="none" w:sz="0" w:space="0" w:color="auto"/>
        <w:left w:val="none" w:sz="0" w:space="0" w:color="auto"/>
        <w:bottom w:val="none" w:sz="0" w:space="0" w:color="auto"/>
        <w:right w:val="none" w:sz="0" w:space="0" w:color="auto"/>
      </w:divBdr>
    </w:div>
    <w:div w:id="1019046580">
      <w:bodyDiv w:val="1"/>
      <w:marLeft w:val="0"/>
      <w:marRight w:val="0"/>
      <w:marTop w:val="0"/>
      <w:marBottom w:val="0"/>
      <w:divBdr>
        <w:top w:val="none" w:sz="0" w:space="0" w:color="auto"/>
        <w:left w:val="none" w:sz="0" w:space="0" w:color="auto"/>
        <w:bottom w:val="none" w:sz="0" w:space="0" w:color="auto"/>
        <w:right w:val="none" w:sz="0" w:space="0" w:color="auto"/>
      </w:divBdr>
      <w:divsChild>
        <w:div w:id="639581040">
          <w:marLeft w:val="0"/>
          <w:marRight w:val="0"/>
          <w:marTop w:val="0"/>
          <w:marBottom w:val="0"/>
          <w:divBdr>
            <w:top w:val="none" w:sz="0" w:space="0" w:color="auto"/>
            <w:left w:val="none" w:sz="0" w:space="0" w:color="auto"/>
            <w:bottom w:val="none" w:sz="0" w:space="0" w:color="auto"/>
            <w:right w:val="none" w:sz="0" w:space="0" w:color="auto"/>
          </w:divBdr>
        </w:div>
        <w:div w:id="1602494004">
          <w:marLeft w:val="0"/>
          <w:marRight w:val="0"/>
          <w:marTop w:val="0"/>
          <w:marBottom w:val="0"/>
          <w:divBdr>
            <w:top w:val="none" w:sz="0" w:space="0" w:color="auto"/>
            <w:left w:val="none" w:sz="0" w:space="0" w:color="auto"/>
            <w:bottom w:val="none" w:sz="0" w:space="0" w:color="auto"/>
            <w:right w:val="none" w:sz="0" w:space="0" w:color="auto"/>
          </w:divBdr>
        </w:div>
        <w:div w:id="1626690123">
          <w:marLeft w:val="0"/>
          <w:marRight w:val="0"/>
          <w:marTop w:val="0"/>
          <w:marBottom w:val="0"/>
          <w:divBdr>
            <w:top w:val="none" w:sz="0" w:space="0" w:color="auto"/>
            <w:left w:val="none" w:sz="0" w:space="0" w:color="auto"/>
            <w:bottom w:val="none" w:sz="0" w:space="0" w:color="auto"/>
            <w:right w:val="none" w:sz="0" w:space="0" w:color="auto"/>
          </w:divBdr>
        </w:div>
      </w:divsChild>
    </w:div>
    <w:div w:id="1037198517">
      <w:bodyDiv w:val="1"/>
      <w:marLeft w:val="0"/>
      <w:marRight w:val="0"/>
      <w:marTop w:val="0"/>
      <w:marBottom w:val="0"/>
      <w:divBdr>
        <w:top w:val="none" w:sz="0" w:space="0" w:color="auto"/>
        <w:left w:val="none" w:sz="0" w:space="0" w:color="auto"/>
        <w:bottom w:val="none" w:sz="0" w:space="0" w:color="auto"/>
        <w:right w:val="none" w:sz="0" w:space="0" w:color="auto"/>
      </w:divBdr>
    </w:div>
    <w:div w:id="1096905094">
      <w:bodyDiv w:val="1"/>
      <w:marLeft w:val="0"/>
      <w:marRight w:val="0"/>
      <w:marTop w:val="0"/>
      <w:marBottom w:val="0"/>
      <w:divBdr>
        <w:top w:val="none" w:sz="0" w:space="0" w:color="auto"/>
        <w:left w:val="none" w:sz="0" w:space="0" w:color="auto"/>
        <w:bottom w:val="none" w:sz="0" w:space="0" w:color="auto"/>
        <w:right w:val="none" w:sz="0" w:space="0" w:color="auto"/>
      </w:divBdr>
    </w:div>
    <w:div w:id="1165050052">
      <w:bodyDiv w:val="1"/>
      <w:marLeft w:val="0"/>
      <w:marRight w:val="0"/>
      <w:marTop w:val="0"/>
      <w:marBottom w:val="0"/>
      <w:divBdr>
        <w:top w:val="none" w:sz="0" w:space="0" w:color="auto"/>
        <w:left w:val="none" w:sz="0" w:space="0" w:color="auto"/>
        <w:bottom w:val="none" w:sz="0" w:space="0" w:color="auto"/>
        <w:right w:val="none" w:sz="0" w:space="0" w:color="auto"/>
      </w:divBdr>
    </w:div>
    <w:div w:id="116970901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89373">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4531524">
      <w:bodyDiv w:val="1"/>
      <w:marLeft w:val="0"/>
      <w:marRight w:val="0"/>
      <w:marTop w:val="0"/>
      <w:marBottom w:val="0"/>
      <w:divBdr>
        <w:top w:val="none" w:sz="0" w:space="0" w:color="auto"/>
        <w:left w:val="none" w:sz="0" w:space="0" w:color="auto"/>
        <w:bottom w:val="none" w:sz="0" w:space="0" w:color="auto"/>
        <w:right w:val="none" w:sz="0" w:space="0" w:color="auto"/>
      </w:divBdr>
    </w:div>
    <w:div w:id="1256523733">
      <w:bodyDiv w:val="1"/>
      <w:marLeft w:val="0"/>
      <w:marRight w:val="0"/>
      <w:marTop w:val="0"/>
      <w:marBottom w:val="0"/>
      <w:divBdr>
        <w:top w:val="none" w:sz="0" w:space="0" w:color="auto"/>
        <w:left w:val="none" w:sz="0" w:space="0" w:color="auto"/>
        <w:bottom w:val="none" w:sz="0" w:space="0" w:color="auto"/>
        <w:right w:val="none" w:sz="0" w:space="0" w:color="auto"/>
      </w:divBdr>
    </w:div>
    <w:div w:id="1267735964">
      <w:bodyDiv w:val="1"/>
      <w:marLeft w:val="0"/>
      <w:marRight w:val="0"/>
      <w:marTop w:val="0"/>
      <w:marBottom w:val="0"/>
      <w:divBdr>
        <w:top w:val="none" w:sz="0" w:space="0" w:color="auto"/>
        <w:left w:val="none" w:sz="0" w:space="0" w:color="auto"/>
        <w:bottom w:val="none" w:sz="0" w:space="0" w:color="auto"/>
        <w:right w:val="none" w:sz="0" w:space="0" w:color="auto"/>
      </w:divBdr>
    </w:div>
    <w:div w:id="1282148625">
      <w:bodyDiv w:val="1"/>
      <w:marLeft w:val="0"/>
      <w:marRight w:val="0"/>
      <w:marTop w:val="0"/>
      <w:marBottom w:val="0"/>
      <w:divBdr>
        <w:top w:val="none" w:sz="0" w:space="0" w:color="auto"/>
        <w:left w:val="none" w:sz="0" w:space="0" w:color="auto"/>
        <w:bottom w:val="none" w:sz="0" w:space="0" w:color="auto"/>
        <w:right w:val="none" w:sz="0" w:space="0" w:color="auto"/>
      </w:divBdr>
    </w:div>
    <w:div w:id="1293830953">
      <w:bodyDiv w:val="1"/>
      <w:marLeft w:val="0"/>
      <w:marRight w:val="0"/>
      <w:marTop w:val="0"/>
      <w:marBottom w:val="0"/>
      <w:divBdr>
        <w:top w:val="none" w:sz="0" w:space="0" w:color="auto"/>
        <w:left w:val="none" w:sz="0" w:space="0" w:color="auto"/>
        <w:bottom w:val="none" w:sz="0" w:space="0" w:color="auto"/>
        <w:right w:val="none" w:sz="0" w:space="0" w:color="auto"/>
      </w:divBdr>
    </w:div>
    <w:div w:id="1317344571">
      <w:bodyDiv w:val="1"/>
      <w:marLeft w:val="0"/>
      <w:marRight w:val="0"/>
      <w:marTop w:val="0"/>
      <w:marBottom w:val="0"/>
      <w:divBdr>
        <w:top w:val="none" w:sz="0" w:space="0" w:color="auto"/>
        <w:left w:val="none" w:sz="0" w:space="0" w:color="auto"/>
        <w:bottom w:val="none" w:sz="0" w:space="0" w:color="auto"/>
        <w:right w:val="none" w:sz="0" w:space="0" w:color="auto"/>
      </w:divBdr>
      <w:divsChild>
        <w:div w:id="205604104">
          <w:marLeft w:val="0"/>
          <w:marRight w:val="0"/>
          <w:marTop w:val="0"/>
          <w:marBottom w:val="0"/>
          <w:divBdr>
            <w:top w:val="none" w:sz="0" w:space="0" w:color="auto"/>
            <w:left w:val="none" w:sz="0" w:space="0" w:color="auto"/>
            <w:bottom w:val="none" w:sz="0" w:space="0" w:color="auto"/>
            <w:right w:val="none" w:sz="0" w:space="0" w:color="auto"/>
          </w:divBdr>
        </w:div>
        <w:div w:id="1651639646">
          <w:marLeft w:val="0"/>
          <w:marRight w:val="0"/>
          <w:marTop w:val="0"/>
          <w:marBottom w:val="0"/>
          <w:divBdr>
            <w:top w:val="none" w:sz="0" w:space="0" w:color="auto"/>
            <w:left w:val="none" w:sz="0" w:space="0" w:color="auto"/>
            <w:bottom w:val="none" w:sz="0" w:space="0" w:color="auto"/>
            <w:right w:val="none" w:sz="0" w:space="0" w:color="auto"/>
          </w:divBdr>
        </w:div>
        <w:div w:id="1717121663">
          <w:marLeft w:val="0"/>
          <w:marRight w:val="0"/>
          <w:marTop w:val="0"/>
          <w:marBottom w:val="0"/>
          <w:divBdr>
            <w:top w:val="none" w:sz="0" w:space="0" w:color="auto"/>
            <w:left w:val="none" w:sz="0" w:space="0" w:color="auto"/>
            <w:bottom w:val="none" w:sz="0" w:space="0" w:color="auto"/>
            <w:right w:val="none" w:sz="0" w:space="0" w:color="auto"/>
          </w:divBdr>
        </w:div>
      </w:divsChild>
    </w:div>
    <w:div w:id="1330406453">
      <w:bodyDiv w:val="1"/>
      <w:marLeft w:val="0"/>
      <w:marRight w:val="0"/>
      <w:marTop w:val="0"/>
      <w:marBottom w:val="0"/>
      <w:divBdr>
        <w:top w:val="none" w:sz="0" w:space="0" w:color="auto"/>
        <w:left w:val="none" w:sz="0" w:space="0" w:color="auto"/>
        <w:bottom w:val="none" w:sz="0" w:space="0" w:color="auto"/>
        <w:right w:val="none" w:sz="0" w:space="0" w:color="auto"/>
      </w:divBdr>
    </w:div>
    <w:div w:id="1337879228">
      <w:bodyDiv w:val="1"/>
      <w:marLeft w:val="0"/>
      <w:marRight w:val="0"/>
      <w:marTop w:val="0"/>
      <w:marBottom w:val="0"/>
      <w:divBdr>
        <w:top w:val="none" w:sz="0" w:space="0" w:color="auto"/>
        <w:left w:val="none" w:sz="0" w:space="0" w:color="auto"/>
        <w:bottom w:val="none" w:sz="0" w:space="0" w:color="auto"/>
        <w:right w:val="none" w:sz="0" w:space="0" w:color="auto"/>
      </w:divBdr>
    </w:div>
    <w:div w:id="1401640409">
      <w:bodyDiv w:val="1"/>
      <w:marLeft w:val="0"/>
      <w:marRight w:val="0"/>
      <w:marTop w:val="0"/>
      <w:marBottom w:val="0"/>
      <w:divBdr>
        <w:top w:val="none" w:sz="0" w:space="0" w:color="auto"/>
        <w:left w:val="none" w:sz="0" w:space="0" w:color="auto"/>
        <w:bottom w:val="none" w:sz="0" w:space="0" w:color="auto"/>
        <w:right w:val="none" w:sz="0" w:space="0" w:color="auto"/>
      </w:divBdr>
    </w:div>
    <w:div w:id="1513955903">
      <w:bodyDiv w:val="1"/>
      <w:marLeft w:val="0"/>
      <w:marRight w:val="0"/>
      <w:marTop w:val="0"/>
      <w:marBottom w:val="0"/>
      <w:divBdr>
        <w:top w:val="none" w:sz="0" w:space="0" w:color="auto"/>
        <w:left w:val="none" w:sz="0" w:space="0" w:color="auto"/>
        <w:bottom w:val="none" w:sz="0" w:space="0" w:color="auto"/>
        <w:right w:val="none" w:sz="0" w:space="0" w:color="auto"/>
      </w:divBdr>
    </w:div>
    <w:div w:id="1545093418">
      <w:bodyDiv w:val="1"/>
      <w:marLeft w:val="0"/>
      <w:marRight w:val="0"/>
      <w:marTop w:val="0"/>
      <w:marBottom w:val="0"/>
      <w:divBdr>
        <w:top w:val="none" w:sz="0" w:space="0" w:color="auto"/>
        <w:left w:val="none" w:sz="0" w:space="0" w:color="auto"/>
        <w:bottom w:val="none" w:sz="0" w:space="0" w:color="auto"/>
        <w:right w:val="none" w:sz="0" w:space="0" w:color="auto"/>
      </w:divBdr>
    </w:div>
    <w:div w:id="1606227458">
      <w:bodyDiv w:val="1"/>
      <w:marLeft w:val="0"/>
      <w:marRight w:val="0"/>
      <w:marTop w:val="0"/>
      <w:marBottom w:val="0"/>
      <w:divBdr>
        <w:top w:val="none" w:sz="0" w:space="0" w:color="auto"/>
        <w:left w:val="none" w:sz="0" w:space="0" w:color="auto"/>
        <w:bottom w:val="none" w:sz="0" w:space="0" w:color="auto"/>
        <w:right w:val="none" w:sz="0" w:space="0" w:color="auto"/>
      </w:divBdr>
    </w:div>
    <w:div w:id="1606840091">
      <w:bodyDiv w:val="1"/>
      <w:marLeft w:val="0"/>
      <w:marRight w:val="0"/>
      <w:marTop w:val="0"/>
      <w:marBottom w:val="0"/>
      <w:divBdr>
        <w:top w:val="none" w:sz="0" w:space="0" w:color="auto"/>
        <w:left w:val="none" w:sz="0" w:space="0" w:color="auto"/>
        <w:bottom w:val="none" w:sz="0" w:space="0" w:color="auto"/>
        <w:right w:val="none" w:sz="0" w:space="0" w:color="auto"/>
      </w:divBdr>
    </w:div>
    <w:div w:id="1625580210">
      <w:bodyDiv w:val="1"/>
      <w:marLeft w:val="0"/>
      <w:marRight w:val="0"/>
      <w:marTop w:val="0"/>
      <w:marBottom w:val="0"/>
      <w:divBdr>
        <w:top w:val="none" w:sz="0" w:space="0" w:color="auto"/>
        <w:left w:val="none" w:sz="0" w:space="0" w:color="auto"/>
        <w:bottom w:val="none" w:sz="0" w:space="0" w:color="auto"/>
        <w:right w:val="none" w:sz="0" w:space="0" w:color="auto"/>
      </w:divBdr>
    </w:div>
    <w:div w:id="1725711789">
      <w:bodyDiv w:val="1"/>
      <w:marLeft w:val="0"/>
      <w:marRight w:val="0"/>
      <w:marTop w:val="0"/>
      <w:marBottom w:val="0"/>
      <w:divBdr>
        <w:top w:val="none" w:sz="0" w:space="0" w:color="auto"/>
        <w:left w:val="none" w:sz="0" w:space="0" w:color="auto"/>
        <w:bottom w:val="none" w:sz="0" w:space="0" w:color="auto"/>
        <w:right w:val="none" w:sz="0" w:space="0" w:color="auto"/>
      </w:divBdr>
    </w:div>
    <w:div w:id="1752651686">
      <w:bodyDiv w:val="1"/>
      <w:marLeft w:val="0"/>
      <w:marRight w:val="0"/>
      <w:marTop w:val="0"/>
      <w:marBottom w:val="0"/>
      <w:divBdr>
        <w:top w:val="none" w:sz="0" w:space="0" w:color="auto"/>
        <w:left w:val="none" w:sz="0" w:space="0" w:color="auto"/>
        <w:bottom w:val="none" w:sz="0" w:space="0" w:color="auto"/>
        <w:right w:val="none" w:sz="0" w:space="0" w:color="auto"/>
      </w:divBdr>
    </w:div>
    <w:div w:id="1772817796">
      <w:bodyDiv w:val="1"/>
      <w:marLeft w:val="0"/>
      <w:marRight w:val="0"/>
      <w:marTop w:val="0"/>
      <w:marBottom w:val="0"/>
      <w:divBdr>
        <w:top w:val="none" w:sz="0" w:space="0" w:color="auto"/>
        <w:left w:val="none" w:sz="0" w:space="0" w:color="auto"/>
        <w:bottom w:val="none" w:sz="0" w:space="0" w:color="auto"/>
        <w:right w:val="none" w:sz="0" w:space="0" w:color="auto"/>
      </w:divBdr>
    </w:div>
    <w:div w:id="1775633855">
      <w:bodyDiv w:val="1"/>
      <w:marLeft w:val="0"/>
      <w:marRight w:val="0"/>
      <w:marTop w:val="0"/>
      <w:marBottom w:val="0"/>
      <w:divBdr>
        <w:top w:val="none" w:sz="0" w:space="0" w:color="auto"/>
        <w:left w:val="none" w:sz="0" w:space="0" w:color="auto"/>
        <w:bottom w:val="none" w:sz="0" w:space="0" w:color="auto"/>
        <w:right w:val="none" w:sz="0" w:space="0" w:color="auto"/>
      </w:divBdr>
    </w:div>
    <w:div w:id="1798185406">
      <w:bodyDiv w:val="1"/>
      <w:marLeft w:val="0"/>
      <w:marRight w:val="0"/>
      <w:marTop w:val="0"/>
      <w:marBottom w:val="0"/>
      <w:divBdr>
        <w:top w:val="none" w:sz="0" w:space="0" w:color="auto"/>
        <w:left w:val="none" w:sz="0" w:space="0" w:color="auto"/>
        <w:bottom w:val="none" w:sz="0" w:space="0" w:color="auto"/>
        <w:right w:val="none" w:sz="0" w:space="0" w:color="auto"/>
      </w:divBdr>
    </w:div>
    <w:div w:id="1868446972">
      <w:bodyDiv w:val="1"/>
      <w:marLeft w:val="0"/>
      <w:marRight w:val="0"/>
      <w:marTop w:val="0"/>
      <w:marBottom w:val="0"/>
      <w:divBdr>
        <w:top w:val="none" w:sz="0" w:space="0" w:color="auto"/>
        <w:left w:val="none" w:sz="0" w:space="0" w:color="auto"/>
        <w:bottom w:val="none" w:sz="0" w:space="0" w:color="auto"/>
        <w:right w:val="none" w:sz="0" w:space="0" w:color="auto"/>
      </w:divBdr>
    </w:div>
    <w:div w:id="189210804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8511376">
      <w:bodyDiv w:val="1"/>
      <w:marLeft w:val="0"/>
      <w:marRight w:val="0"/>
      <w:marTop w:val="0"/>
      <w:marBottom w:val="0"/>
      <w:divBdr>
        <w:top w:val="none" w:sz="0" w:space="0" w:color="auto"/>
        <w:left w:val="none" w:sz="0" w:space="0" w:color="auto"/>
        <w:bottom w:val="none" w:sz="0" w:space="0" w:color="auto"/>
        <w:right w:val="none" w:sz="0" w:space="0" w:color="auto"/>
      </w:divBdr>
    </w:div>
    <w:div w:id="1972905881">
      <w:bodyDiv w:val="1"/>
      <w:marLeft w:val="0"/>
      <w:marRight w:val="0"/>
      <w:marTop w:val="0"/>
      <w:marBottom w:val="0"/>
      <w:divBdr>
        <w:top w:val="none" w:sz="0" w:space="0" w:color="auto"/>
        <w:left w:val="none" w:sz="0" w:space="0" w:color="auto"/>
        <w:bottom w:val="none" w:sz="0" w:space="0" w:color="auto"/>
        <w:right w:val="none" w:sz="0" w:space="0" w:color="auto"/>
      </w:divBdr>
    </w:div>
    <w:div w:id="2008900420">
      <w:bodyDiv w:val="1"/>
      <w:marLeft w:val="0"/>
      <w:marRight w:val="0"/>
      <w:marTop w:val="0"/>
      <w:marBottom w:val="0"/>
      <w:divBdr>
        <w:top w:val="none" w:sz="0" w:space="0" w:color="auto"/>
        <w:left w:val="none" w:sz="0" w:space="0" w:color="auto"/>
        <w:bottom w:val="none" w:sz="0" w:space="0" w:color="auto"/>
        <w:right w:val="none" w:sz="0" w:space="0" w:color="auto"/>
      </w:divBdr>
    </w:div>
    <w:div w:id="2017687283">
      <w:bodyDiv w:val="1"/>
      <w:marLeft w:val="0"/>
      <w:marRight w:val="0"/>
      <w:marTop w:val="0"/>
      <w:marBottom w:val="0"/>
      <w:divBdr>
        <w:top w:val="none" w:sz="0" w:space="0" w:color="auto"/>
        <w:left w:val="none" w:sz="0" w:space="0" w:color="auto"/>
        <w:bottom w:val="none" w:sz="0" w:space="0" w:color="auto"/>
        <w:right w:val="none" w:sz="0" w:space="0" w:color="auto"/>
      </w:divBdr>
    </w:div>
    <w:div w:id="2056268159">
      <w:bodyDiv w:val="1"/>
      <w:marLeft w:val="0"/>
      <w:marRight w:val="0"/>
      <w:marTop w:val="0"/>
      <w:marBottom w:val="0"/>
      <w:divBdr>
        <w:top w:val="none" w:sz="0" w:space="0" w:color="auto"/>
        <w:left w:val="none" w:sz="0" w:space="0" w:color="auto"/>
        <w:bottom w:val="none" w:sz="0" w:space="0" w:color="auto"/>
        <w:right w:val="none" w:sz="0" w:space="0" w:color="auto"/>
      </w:divBdr>
    </w:div>
    <w:div w:id="2142844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3F48E-FF24-4563-9935-E5C40200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21009</Words>
  <Characters>119754</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2024-10-28T05:38:00Z</dcterms:created>
  <dcterms:modified xsi:type="dcterms:W3CDTF">2024-10-28T05:39:00Z</dcterms:modified>
</cp:coreProperties>
</file>