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EDD5" w14:textId="470D4002" w:rsidR="00BF6C94" w:rsidRPr="00731632" w:rsidRDefault="00524A29" w:rsidP="00307320">
      <w:pPr>
        <w:pStyle w:val="1-MainHeading"/>
      </w:pPr>
      <w:bookmarkStart w:id="0" w:name="_Toc167276225"/>
      <w:r w:rsidRPr="00731632">
        <w:t>5</w:t>
      </w:r>
      <w:r w:rsidR="00433044" w:rsidRPr="00731632">
        <w:t>.</w:t>
      </w:r>
      <w:r w:rsidRPr="00731632">
        <w:t>11</w:t>
      </w:r>
      <w:r w:rsidR="00163F66" w:rsidRPr="00731632">
        <w:tab/>
      </w:r>
      <w:r w:rsidR="00475C92" w:rsidRPr="00731632">
        <w:t>N</w:t>
      </w:r>
      <w:r w:rsidR="00CA567D" w:rsidRPr="00731632">
        <w:t>IRSEVIMAB</w:t>
      </w:r>
      <w:r w:rsidR="00163F66" w:rsidRPr="00731632">
        <w:t>,</w:t>
      </w:r>
      <w:r w:rsidR="00163F66" w:rsidRPr="00731632">
        <w:br/>
      </w:r>
      <w:r w:rsidR="00BB0253" w:rsidRPr="00731632">
        <w:t>Solution for injection 50 mg in 0.5 mL pre-filled syringe</w:t>
      </w:r>
      <w:r w:rsidR="00BB0253" w:rsidRPr="00731632">
        <w:br/>
        <w:t>Solution for injection 100 mg in 1 mL pre-filled syringe</w:t>
      </w:r>
      <w:r w:rsidR="00BB0253" w:rsidRPr="00731632">
        <w:br/>
      </w:r>
      <w:r w:rsidR="00475C92" w:rsidRPr="00731632">
        <w:t>Beyfortus</w:t>
      </w:r>
      <w:r w:rsidR="00B60939" w:rsidRPr="00731632">
        <w:rPr>
          <w:vertAlign w:val="superscript"/>
        </w:rPr>
        <w:t>®</w:t>
      </w:r>
      <w:r w:rsidR="004A6040" w:rsidRPr="00731632">
        <w:t>,</w:t>
      </w:r>
      <w:r w:rsidR="004A6040" w:rsidRPr="00731632">
        <w:br/>
      </w:r>
      <w:r w:rsidR="00433044" w:rsidRPr="00731632">
        <w:t>S</w:t>
      </w:r>
      <w:r w:rsidR="00475C92" w:rsidRPr="00731632">
        <w:t>ANOFI-AVENTIS AUSTRALIA PTY LTD</w:t>
      </w:r>
      <w:r w:rsidR="00B60939" w:rsidRPr="00731632">
        <w:t>.</w:t>
      </w:r>
      <w:bookmarkEnd w:id="0"/>
    </w:p>
    <w:p w14:paraId="3947F2C0" w14:textId="77777777" w:rsidR="00B50DB8" w:rsidRPr="00731632" w:rsidRDefault="00B50DB8" w:rsidP="004A6040">
      <w:pPr>
        <w:pStyle w:val="2-SectionHeading"/>
      </w:pPr>
      <w:bookmarkStart w:id="1" w:name="_Toc167276227"/>
      <w:r w:rsidRPr="00731632">
        <w:t xml:space="preserve">Purpose of </w:t>
      </w:r>
      <w:r w:rsidR="00CD7193" w:rsidRPr="00731632">
        <w:t>s</w:t>
      </w:r>
      <w:r w:rsidR="00BB3A45" w:rsidRPr="00731632">
        <w:t>ubmission</w:t>
      </w:r>
      <w:bookmarkEnd w:id="1"/>
    </w:p>
    <w:p w14:paraId="18388D6A" w14:textId="75E6AF16" w:rsidR="002C2775" w:rsidRPr="00731632" w:rsidRDefault="007170DA" w:rsidP="004E18E9">
      <w:pPr>
        <w:pStyle w:val="3-BodyText"/>
      </w:pPr>
      <w:r w:rsidRPr="00731632">
        <w:t xml:space="preserve">The </w:t>
      </w:r>
      <w:r w:rsidR="00F73E08" w:rsidRPr="00731632">
        <w:t xml:space="preserve">Category </w:t>
      </w:r>
      <w:r w:rsidR="00830E7E" w:rsidRPr="00731632">
        <w:t>1</w:t>
      </w:r>
      <w:r w:rsidR="003C7C15" w:rsidRPr="00731632">
        <w:t xml:space="preserve"> </w:t>
      </w:r>
      <w:r w:rsidRPr="00731632">
        <w:t>submission requested</w:t>
      </w:r>
      <w:r w:rsidR="009303E1" w:rsidRPr="00731632">
        <w:t xml:space="preserve"> </w:t>
      </w:r>
      <w:r w:rsidR="00744E80" w:rsidRPr="00731632">
        <w:t xml:space="preserve">a </w:t>
      </w:r>
      <w:r w:rsidR="009303E1" w:rsidRPr="00731632">
        <w:t>General Schedule</w:t>
      </w:r>
      <w:r w:rsidR="008B1757" w:rsidRPr="00731632">
        <w:t xml:space="preserve"> Restricted Benefit listing for </w:t>
      </w:r>
      <w:r w:rsidR="009303E1" w:rsidRPr="00731632">
        <w:t>nirsevimab</w:t>
      </w:r>
      <w:r w:rsidR="008B1757" w:rsidRPr="00731632">
        <w:t xml:space="preserve"> for </w:t>
      </w:r>
      <w:r w:rsidR="0050174E" w:rsidRPr="00731632">
        <w:t xml:space="preserve">the </w:t>
      </w:r>
      <w:r w:rsidR="00857550" w:rsidRPr="00731632">
        <w:t xml:space="preserve">prevention of </w:t>
      </w:r>
      <w:r w:rsidR="007E5D28" w:rsidRPr="00731632">
        <w:t>respiratory syncytial virus (</w:t>
      </w:r>
      <w:r w:rsidR="00857550" w:rsidRPr="00731632">
        <w:t>RSV</w:t>
      </w:r>
      <w:r w:rsidR="007E5D28" w:rsidRPr="00731632">
        <w:t>)</w:t>
      </w:r>
      <w:r w:rsidR="00857550" w:rsidRPr="00731632">
        <w:t xml:space="preserve"> lower respiratory tract disease</w:t>
      </w:r>
      <w:r w:rsidR="001F13EF" w:rsidRPr="00731632">
        <w:t xml:space="preserve"> (L</w:t>
      </w:r>
      <w:r w:rsidR="007E5D28" w:rsidRPr="00731632">
        <w:t>RT</w:t>
      </w:r>
      <w:r w:rsidR="001F13EF" w:rsidRPr="00731632">
        <w:t>D)</w:t>
      </w:r>
      <w:r w:rsidR="00857550" w:rsidRPr="00731632">
        <w:t xml:space="preserve"> in neonates and infants born during or entering their first RSV season; and children up to 24 months of age who remain vulnerable to severe RSV disease through their second RSV season.</w:t>
      </w:r>
    </w:p>
    <w:p w14:paraId="4C95D0EE" w14:textId="51EC91C1" w:rsidR="00C2778B" w:rsidRPr="00731632" w:rsidRDefault="005750C5" w:rsidP="004E18E9">
      <w:pPr>
        <w:pStyle w:val="3-BodyText"/>
      </w:pPr>
      <w:r w:rsidRPr="00731632">
        <w:t xml:space="preserve">Listing was requested on the basis of a cost-effectiveness analysis versus </w:t>
      </w:r>
      <w:r w:rsidR="00857550" w:rsidRPr="00731632">
        <w:t>the main comparator of placebo</w:t>
      </w:r>
      <w:r w:rsidR="00D92E0F" w:rsidRPr="00731632">
        <w:t xml:space="preserve"> (no immunisation)</w:t>
      </w:r>
      <w:r w:rsidR="00857550" w:rsidRPr="00731632">
        <w:t>.</w:t>
      </w:r>
      <w:r w:rsidR="00BC591F" w:rsidRPr="00731632">
        <w:rPr>
          <w:color w:val="0066FF"/>
        </w:rPr>
        <w:t xml:space="preserve"> </w:t>
      </w:r>
    </w:p>
    <w:p w14:paraId="2A7D27DC" w14:textId="001C3169" w:rsidR="008B1757" w:rsidRPr="00731632" w:rsidRDefault="00696EF9" w:rsidP="00743403">
      <w:pPr>
        <w:pStyle w:val="TableFigureHeading"/>
        <w:rPr>
          <w:rStyle w:val="CommentReference"/>
          <w:b/>
          <w:szCs w:val="24"/>
        </w:rPr>
      </w:pPr>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w:t>
      </w:r>
      <w:r w:rsidR="00BD1FC6" w:rsidRPr="00731632">
        <w:fldChar w:fldCharType="end"/>
      </w:r>
      <w:r w:rsidRPr="00731632">
        <w:t>:</w:t>
      </w:r>
      <w:r w:rsidR="00BC591F" w:rsidRPr="00731632">
        <w:rPr>
          <w:rStyle w:val="CommentReference"/>
          <w:b/>
          <w:szCs w:val="24"/>
        </w:rPr>
        <w:t xml:space="preserve"> </w:t>
      </w:r>
      <w:r w:rsidR="008B1757" w:rsidRPr="00731632">
        <w:rPr>
          <w:rStyle w:val="CommentReference"/>
          <w:b/>
          <w:szCs w:val="24"/>
        </w:rPr>
        <w:t>Key components of the clinical issue addressed by the submission</w:t>
      </w:r>
      <w:r w:rsidR="007170DA" w:rsidRPr="00731632">
        <w:rPr>
          <w:rStyle w:val="CommentReference"/>
          <w:b/>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413"/>
        <w:gridCol w:w="7743"/>
      </w:tblGrid>
      <w:tr w:rsidR="00857550" w:rsidRPr="00731632" w14:paraId="28F90993" w14:textId="77777777" w:rsidTr="000E5A9E">
        <w:tc>
          <w:tcPr>
            <w:tcW w:w="1413" w:type="dxa"/>
            <w:vAlign w:val="center"/>
          </w:tcPr>
          <w:p w14:paraId="36D447A0" w14:textId="77777777" w:rsidR="00857550" w:rsidRPr="00731632" w:rsidRDefault="00857550" w:rsidP="00743403">
            <w:pPr>
              <w:pStyle w:val="In-tableHeading"/>
              <w:rPr>
                <w:szCs w:val="20"/>
                <w:lang w:val="en-AU"/>
              </w:rPr>
            </w:pPr>
            <w:r w:rsidRPr="00731632">
              <w:rPr>
                <w:szCs w:val="20"/>
                <w:lang w:val="en-AU"/>
              </w:rPr>
              <w:t>Component</w:t>
            </w:r>
          </w:p>
        </w:tc>
        <w:tc>
          <w:tcPr>
            <w:tcW w:w="7743" w:type="dxa"/>
            <w:vAlign w:val="center"/>
          </w:tcPr>
          <w:p w14:paraId="08CC8438" w14:textId="77777777" w:rsidR="00857550" w:rsidRPr="00731632" w:rsidRDefault="00857550" w:rsidP="00743403">
            <w:pPr>
              <w:pStyle w:val="In-tableHeading"/>
              <w:rPr>
                <w:szCs w:val="20"/>
                <w:lang w:val="en-AU"/>
              </w:rPr>
            </w:pPr>
            <w:r w:rsidRPr="00731632">
              <w:rPr>
                <w:szCs w:val="20"/>
                <w:lang w:val="en-AU"/>
              </w:rPr>
              <w:t>Description</w:t>
            </w:r>
          </w:p>
        </w:tc>
      </w:tr>
      <w:tr w:rsidR="00857550" w:rsidRPr="00731632" w14:paraId="676B20B1" w14:textId="77777777" w:rsidTr="000E5A9E">
        <w:tc>
          <w:tcPr>
            <w:tcW w:w="1413" w:type="dxa"/>
            <w:vAlign w:val="center"/>
          </w:tcPr>
          <w:p w14:paraId="74F10CD6" w14:textId="77777777" w:rsidR="00857550" w:rsidRPr="00731632" w:rsidRDefault="00857550" w:rsidP="00743403">
            <w:pPr>
              <w:pStyle w:val="TableText0"/>
              <w:rPr>
                <w:szCs w:val="20"/>
              </w:rPr>
            </w:pPr>
            <w:r w:rsidRPr="00731632">
              <w:rPr>
                <w:szCs w:val="20"/>
              </w:rPr>
              <w:t>Population</w:t>
            </w:r>
          </w:p>
        </w:tc>
        <w:tc>
          <w:tcPr>
            <w:tcW w:w="7743" w:type="dxa"/>
            <w:vAlign w:val="center"/>
          </w:tcPr>
          <w:p w14:paraId="5E867609" w14:textId="77777777" w:rsidR="00857550" w:rsidRPr="00731632" w:rsidRDefault="00857550" w:rsidP="00743403">
            <w:pPr>
              <w:pStyle w:val="TableText0"/>
              <w:rPr>
                <w:szCs w:val="20"/>
              </w:rPr>
            </w:pPr>
            <w:r w:rsidRPr="00731632">
              <w:rPr>
                <w:szCs w:val="20"/>
              </w:rPr>
              <w:t>(i) Neonates and infants born during or entering their first RSV season; (ii) Children up to 24 months of age who remain vulnerable to severe RSV disease through their second RSV season</w:t>
            </w:r>
          </w:p>
        </w:tc>
      </w:tr>
      <w:tr w:rsidR="00857550" w:rsidRPr="00731632" w14:paraId="18B79B53" w14:textId="77777777" w:rsidTr="000E5A9E">
        <w:tc>
          <w:tcPr>
            <w:tcW w:w="1413" w:type="dxa"/>
            <w:vAlign w:val="center"/>
          </w:tcPr>
          <w:p w14:paraId="13D215F2" w14:textId="77777777" w:rsidR="00857550" w:rsidRPr="00731632" w:rsidRDefault="00857550" w:rsidP="00743403">
            <w:pPr>
              <w:pStyle w:val="TableText0"/>
              <w:rPr>
                <w:szCs w:val="20"/>
              </w:rPr>
            </w:pPr>
            <w:r w:rsidRPr="00731632">
              <w:rPr>
                <w:szCs w:val="20"/>
              </w:rPr>
              <w:t>Intervention</w:t>
            </w:r>
          </w:p>
        </w:tc>
        <w:tc>
          <w:tcPr>
            <w:tcW w:w="7743" w:type="dxa"/>
            <w:vAlign w:val="center"/>
          </w:tcPr>
          <w:p w14:paraId="7DA0B11D" w14:textId="2F4F7943" w:rsidR="00857550" w:rsidRPr="00731632" w:rsidRDefault="00857550" w:rsidP="00743403">
            <w:pPr>
              <w:pStyle w:val="TableText0"/>
              <w:rPr>
                <w:szCs w:val="20"/>
              </w:rPr>
            </w:pPr>
            <w:r w:rsidRPr="00731632">
              <w:rPr>
                <w:szCs w:val="20"/>
              </w:rPr>
              <w:t>BEYFORTUS</w:t>
            </w:r>
            <w:r w:rsidRPr="00731632">
              <w:rPr>
                <w:szCs w:val="20"/>
                <w:vertAlign w:val="superscript"/>
              </w:rPr>
              <w:t>®</w:t>
            </w:r>
            <w:r w:rsidRPr="00731632">
              <w:rPr>
                <w:szCs w:val="20"/>
              </w:rPr>
              <w:t xml:space="preserve"> (nirsevimab) 50</w:t>
            </w:r>
            <w:r w:rsidR="00744E80" w:rsidRPr="00731632">
              <w:rPr>
                <w:szCs w:val="20"/>
              </w:rPr>
              <w:t> </w:t>
            </w:r>
            <w:r w:rsidRPr="00731632">
              <w:rPr>
                <w:szCs w:val="20"/>
              </w:rPr>
              <w:t>mg/0.5</w:t>
            </w:r>
            <w:r w:rsidR="00710AA0" w:rsidRPr="00731632">
              <w:rPr>
                <w:szCs w:val="20"/>
              </w:rPr>
              <w:t xml:space="preserve"> mL </w:t>
            </w:r>
            <w:r w:rsidRPr="00731632">
              <w:rPr>
                <w:szCs w:val="20"/>
              </w:rPr>
              <w:t>and 100 mg/</w:t>
            </w:r>
            <w:r w:rsidR="00744E80" w:rsidRPr="00731632">
              <w:rPr>
                <w:szCs w:val="20"/>
              </w:rPr>
              <w:t>1 </w:t>
            </w:r>
            <w:r w:rsidR="00710AA0" w:rsidRPr="00731632">
              <w:rPr>
                <w:szCs w:val="20"/>
              </w:rPr>
              <w:t xml:space="preserve">mL </w:t>
            </w:r>
            <w:r w:rsidRPr="00731632">
              <w:rPr>
                <w:szCs w:val="20"/>
              </w:rPr>
              <w:t>solution for injection in prefilled syringe</w:t>
            </w:r>
          </w:p>
        </w:tc>
      </w:tr>
      <w:tr w:rsidR="00857550" w:rsidRPr="00731632" w14:paraId="6F2334BF" w14:textId="77777777" w:rsidTr="000E5A9E">
        <w:tc>
          <w:tcPr>
            <w:tcW w:w="1413" w:type="dxa"/>
            <w:vAlign w:val="center"/>
          </w:tcPr>
          <w:p w14:paraId="56CE874F" w14:textId="77777777" w:rsidR="00857550" w:rsidRPr="00731632" w:rsidRDefault="00857550" w:rsidP="00743403">
            <w:pPr>
              <w:pStyle w:val="TableText0"/>
              <w:rPr>
                <w:szCs w:val="20"/>
              </w:rPr>
            </w:pPr>
            <w:r w:rsidRPr="00731632">
              <w:rPr>
                <w:szCs w:val="20"/>
              </w:rPr>
              <w:t>Comparator</w:t>
            </w:r>
          </w:p>
        </w:tc>
        <w:tc>
          <w:tcPr>
            <w:tcW w:w="7743" w:type="dxa"/>
            <w:vAlign w:val="center"/>
          </w:tcPr>
          <w:p w14:paraId="4C29B877" w14:textId="77777777" w:rsidR="00857550" w:rsidRPr="00731632" w:rsidRDefault="00857550" w:rsidP="00743403">
            <w:pPr>
              <w:pStyle w:val="TableText0"/>
              <w:rPr>
                <w:szCs w:val="20"/>
              </w:rPr>
            </w:pPr>
            <w:r w:rsidRPr="00731632">
              <w:rPr>
                <w:szCs w:val="20"/>
              </w:rPr>
              <w:t>Population (i)</w:t>
            </w:r>
          </w:p>
          <w:p w14:paraId="7796941B" w14:textId="77777777" w:rsidR="00857550" w:rsidRPr="00731632" w:rsidRDefault="00857550" w:rsidP="00743403">
            <w:pPr>
              <w:pStyle w:val="TableText0"/>
              <w:rPr>
                <w:szCs w:val="20"/>
              </w:rPr>
            </w:pPr>
            <w:r w:rsidRPr="00731632">
              <w:rPr>
                <w:szCs w:val="20"/>
              </w:rPr>
              <w:t>• Main comparator – No immunisation (supportive care) in Season 1</w:t>
            </w:r>
          </w:p>
          <w:p w14:paraId="66BCB8B5" w14:textId="3393654A" w:rsidR="00857550" w:rsidRPr="00731632" w:rsidRDefault="00857550" w:rsidP="00743403">
            <w:pPr>
              <w:pStyle w:val="TableText0"/>
              <w:rPr>
                <w:szCs w:val="20"/>
              </w:rPr>
            </w:pPr>
            <w:r w:rsidRPr="00731632">
              <w:rPr>
                <w:szCs w:val="20"/>
              </w:rPr>
              <w:t>• Near market comparator – RSVpreF maternal immunisation</w:t>
            </w:r>
            <w:r w:rsidR="00B320C6" w:rsidRPr="00731632">
              <w:rPr>
                <w:szCs w:val="20"/>
              </w:rPr>
              <w:t xml:space="preserve"> (MI)</w:t>
            </w:r>
            <w:r w:rsidRPr="00731632">
              <w:rPr>
                <w:szCs w:val="20"/>
              </w:rPr>
              <w:t xml:space="preserve"> in Season 1</w:t>
            </w:r>
          </w:p>
          <w:p w14:paraId="7106DCFB" w14:textId="77777777" w:rsidR="00857550" w:rsidRPr="00731632" w:rsidRDefault="00857550" w:rsidP="00743403">
            <w:pPr>
              <w:pStyle w:val="TableText0"/>
              <w:rPr>
                <w:szCs w:val="20"/>
              </w:rPr>
            </w:pPr>
            <w:r w:rsidRPr="00731632">
              <w:rPr>
                <w:szCs w:val="20"/>
              </w:rPr>
              <w:t>Populations (i) and (ii)</w:t>
            </w:r>
          </w:p>
          <w:p w14:paraId="2F58723C" w14:textId="77777777" w:rsidR="00857550" w:rsidRPr="00731632" w:rsidRDefault="00857550" w:rsidP="00743403">
            <w:pPr>
              <w:pStyle w:val="TableText0"/>
              <w:rPr>
                <w:szCs w:val="20"/>
              </w:rPr>
            </w:pPr>
            <w:r w:rsidRPr="00731632">
              <w:rPr>
                <w:szCs w:val="20"/>
              </w:rPr>
              <w:t>• Supplementary comparator – Non-PBS listed palivizumab for children vulnerable to severe RSV disease in Seasons 1 and 2</w:t>
            </w:r>
          </w:p>
        </w:tc>
      </w:tr>
      <w:tr w:rsidR="00857550" w:rsidRPr="00731632" w14:paraId="41E19A16" w14:textId="77777777" w:rsidTr="000E5A9E">
        <w:tc>
          <w:tcPr>
            <w:tcW w:w="1413" w:type="dxa"/>
            <w:vAlign w:val="center"/>
          </w:tcPr>
          <w:p w14:paraId="34AB7222" w14:textId="77777777" w:rsidR="00857550" w:rsidRPr="00731632" w:rsidRDefault="00857550" w:rsidP="00743403">
            <w:pPr>
              <w:pStyle w:val="TableText0"/>
              <w:rPr>
                <w:szCs w:val="20"/>
              </w:rPr>
            </w:pPr>
            <w:r w:rsidRPr="00731632">
              <w:rPr>
                <w:szCs w:val="20"/>
              </w:rPr>
              <w:t>Outcomes</w:t>
            </w:r>
          </w:p>
        </w:tc>
        <w:tc>
          <w:tcPr>
            <w:tcW w:w="7743" w:type="dxa"/>
            <w:vAlign w:val="center"/>
          </w:tcPr>
          <w:p w14:paraId="304647D0" w14:textId="65612498" w:rsidR="00857550" w:rsidRPr="00731632" w:rsidRDefault="00857550" w:rsidP="00743403">
            <w:pPr>
              <w:pStyle w:val="TableText0"/>
              <w:rPr>
                <w:szCs w:val="20"/>
              </w:rPr>
            </w:pPr>
            <w:r w:rsidRPr="00731632">
              <w:rPr>
                <w:szCs w:val="20"/>
              </w:rPr>
              <w:t>Efficacy: Incidence of MA-LRTI, incidence of MA-LRTI resulting in hospitalisation.</w:t>
            </w:r>
            <w:r w:rsidR="008174D6" w:rsidRPr="00731632">
              <w:rPr>
                <w:szCs w:val="20"/>
              </w:rPr>
              <w:t xml:space="preserve"> </w:t>
            </w:r>
          </w:p>
          <w:p w14:paraId="133DB8A7" w14:textId="77777777" w:rsidR="00857550" w:rsidRPr="00731632" w:rsidRDefault="00857550" w:rsidP="00743403">
            <w:pPr>
              <w:pStyle w:val="TableText0"/>
              <w:rPr>
                <w:szCs w:val="20"/>
              </w:rPr>
            </w:pPr>
            <w:r w:rsidRPr="00731632">
              <w:rPr>
                <w:szCs w:val="20"/>
              </w:rPr>
              <w:t>Safety: TEAEs/TESAEs, AESIs, NOCD, immunogenicity.</w:t>
            </w:r>
          </w:p>
        </w:tc>
      </w:tr>
      <w:tr w:rsidR="00857550" w:rsidRPr="00731632" w14:paraId="09B5C5DA" w14:textId="77777777" w:rsidTr="000E5A9E">
        <w:tc>
          <w:tcPr>
            <w:tcW w:w="1413" w:type="dxa"/>
            <w:vAlign w:val="center"/>
          </w:tcPr>
          <w:p w14:paraId="06E11969" w14:textId="77777777" w:rsidR="00857550" w:rsidRPr="00731632" w:rsidRDefault="00857550" w:rsidP="00743403">
            <w:pPr>
              <w:pStyle w:val="TableText0"/>
              <w:rPr>
                <w:szCs w:val="20"/>
              </w:rPr>
            </w:pPr>
            <w:r w:rsidRPr="00731632">
              <w:rPr>
                <w:szCs w:val="20"/>
              </w:rPr>
              <w:t>Clinical claim</w:t>
            </w:r>
          </w:p>
        </w:tc>
        <w:tc>
          <w:tcPr>
            <w:tcW w:w="7743" w:type="dxa"/>
            <w:vAlign w:val="center"/>
          </w:tcPr>
          <w:p w14:paraId="67DA33D0" w14:textId="77777777" w:rsidR="00857550" w:rsidRPr="00731632" w:rsidRDefault="00857550" w:rsidP="00743403">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0"/>
                <w:szCs w:val="20"/>
                <w:u w:val="single"/>
              </w:rPr>
            </w:pPr>
            <w:r w:rsidRPr="00731632">
              <w:rPr>
                <w:rFonts w:ascii="Arial Narrow" w:hAnsi="Arial Narrow" w:cstheme="minorHAnsi"/>
                <w:color w:val="000000" w:themeColor="text1"/>
                <w:sz w:val="20"/>
                <w:szCs w:val="20"/>
                <w:u w:val="single"/>
              </w:rPr>
              <w:t>Population (i)</w:t>
            </w:r>
          </w:p>
          <w:p w14:paraId="3902AF05" w14:textId="77777777" w:rsidR="00857550" w:rsidRPr="00731632" w:rsidRDefault="00857550" w:rsidP="00743403">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0"/>
                <w:szCs w:val="20"/>
              </w:rPr>
            </w:pPr>
            <w:r w:rsidRPr="00731632">
              <w:rPr>
                <w:rFonts w:ascii="Arial Narrow" w:hAnsi="Arial Narrow" w:cstheme="minorHAnsi"/>
                <w:color w:val="000000" w:themeColor="text1"/>
                <w:sz w:val="20"/>
                <w:szCs w:val="20"/>
              </w:rPr>
              <w:t>Nirsevimab vs Placebo (no immunisation)</w:t>
            </w:r>
          </w:p>
          <w:p w14:paraId="37012158" w14:textId="77777777" w:rsidR="00857550" w:rsidRPr="00731632" w:rsidRDefault="00857550" w:rsidP="00743403">
            <w:pPr>
              <w:pStyle w:val="ListParagraph"/>
              <w:keepNex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Arial Narrow" w:hAnsi="Arial Narrow" w:cstheme="minorHAnsi"/>
                <w:color w:val="000000" w:themeColor="text1"/>
                <w:sz w:val="20"/>
                <w:szCs w:val="20"/>
                <w:u w:color="FFFFFF"/>
              </w:rPr>
            </w:pPr>
            <w:r w:rsidRPr="00731632">
              <w:rPr>
                <w:rFonts w:ascii="Arial Narrow" w:hAnsi="Arial Narrow" w:cstheme="minorHAnsi"/>
                <w:color w:val="000000" w:themeColor="text1"/>
                <w:sz w:val="20"/>
                <w:szCs w:val="20"/>
                <w:u w:color="FFFFFF"/>
              </w:rPr>
              <w:t>Superiority in terms of comparative clinical effectiveness versus placebo</w:t>
            </w:r>
          </w:p>
          <w:p w14:paraId="4168EE3B" w14:textId="77777777" w:rsidR="00857550" w:rsidRPr="00731632" w:rsidRDefault="00857550" w:rsidP="00743403">
            <w:pPr>
              <w:pStyle w:val="ListParagraph"/>
              <w:keepNex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contextualSpacing/>
              <w:rPr>
                <w:rFonts w:ascii="Arial Narrow" w:hAnsi="Arial Narrow" w:cstheme="minorHAnsi"/>
                <w:color w:val="000000" w:themeColor="text1"/>
                <w:sz w:val="20"/>
                <w:szCs w:val="20"/>
                <w:u w:color="FFFFFF"/>
              </w:rPr>
            </w:pPr>
            <w:r w:rsidRPr="00731632">
              <w:rPr>
                <w:rFonts w:ascii="Arial Narrow" w:hAnsi="Arial Narrow" w:cstheme="minorHAnsi"/>
                <w:color w:val="000000" w:themeColor="text1"/>
                <w:sz w:val="20"/>
                <w:szCs w:val="20"/>
                <w:u w:color="FFFFFF"/>
              </w:rPr>
              <w:t xml:space="preserve">Non-inferiority in terms of comparative safety versus placebo </w:t>
            </w:r>
          </w:p>
          <w:p w14:paraId="71882F4A" w14:textId="77777777" w:rsidR="00857550" w:rsidRPr="00731632" w:rsidRDefault="00857550" w:rsidP="00743403">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0"/>
                <w:szCs w:val="20"/>
              </w:rPr>
            </w:pPr>
            <w:r w:rsidRPr="00731632">
              <w:rPr>
                <w:rFonts w:ascii="Arial Narrow" w:hAnsi="Arial Narrow" w:cstheme="minorHAnsi"/>
                <w:color w:val="000000" w:themeColor="text1"/>
                <w:sz w:val="20"/>
                <w:szCs w:val="20"/>
              </w:rPr>
              <w:t>Nirsevimab vs Maternal immunisation (near-market comparator)</w:t>
            </w:r>
          </w:p>
          <w:p w14:paraId="108B0C44" w14:textId="77777777" w:rsidR="00857550" w:rsidRPr="00731632" w:rsidRDefault="00857550" w:rsidP="00743403">
            <w:pPr>
              <w:pStyle w:val="ListParagraph"/>
              <w:keepNex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Arial Narrow" w:hAnsi="Arial Narrow" w:cstheme="minorHAnsi"/>
                <w:color w:val="000000" w:themeColor="text1"/>
                <w:sz w:val="20"/>
                <w:szCs w:val="20"/>
                <w:u w:color="FFFFFF"/>
              </w:rPr>
            </w:pPr>
            <w:r w:rsidRPr="00731632">
              <w:rPr>
                <w:rFonts w:ascii="Arial Narrow" w:hAnsi="Arial Narrow" w:cstheme="minorHAnsi"/>
                <w:color w:val="000000" w:themeColor="text1"/>
                <w:sz w:val="20"/>
                <w:szCs w:val="20"/>
                <w:u w:color="FFFFFF"/>
              </w:rPr>
              <w:t>Superiority in terms of comparative clinical effectiveness versus MI</w:t>
            </w:r>
          </w:p>
          <w:p w14:paraId="41625336" w14:textId="77777777" w:rsidR="00857550" w:rsidRPr="00731632" w:rsidRDefault="00857550" w:rsidP="00743403">
            <w:pPr>
              <w:pStyle w:val="ListParagraph"/>
              <w:keepNex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contextualSpacing/>
              <w:rPr>
                <w:rFonts w:ascii="Arial Narrow" w:hAnsi="Arial Narrow" w:cstheme="minorHAnsi"/>
                <w:color w:val="000000" w:themeColor="text1"/>
                <w:sz w:val="20"/>
                <w:szCs w:val="20"/>
                <w:u w:color="FFFFFF"/>
              </w:rPr>
            </w:pPr>
            <w:r w:rsidRPr="00731632">
              <w:rPr>
                <w:rFonts w:ascii="Arial Narrow" w:hAnsi="Arial Narrow" w:cstheme="minorHAnsi"/>
                <w:color w:val="000000" w:themeColor="text1"/>
                <w:sz w:val="20"/>
                <w:szCs w:val="20"/>
                <w:u w:color="FFFFFF"/>
              </w:rPr>
              <w:t xml:space="preserve">Non-inferiority in terms of comparative safety versus MI. </w:t>
            </w:r>
          </w:p>
          <w:p w14:paraId="741F1588" w14:textId="77777777" w:rsidR="00857550" w:rsidRPr="00731632" w:rsidRDefault="00857550" w:rsidP="00743403">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0"/>
                <w:szCs w:val="20"/>
                <w:u w:val="single"/>
              </w:rPr>
            </w:pPr>
            <w:r w:rsidRPr="00731632">
              <w:rPr>
                <w:rFonts w:ascii="Arial Narrow" w:hAnsi="Arial Narrow" w:cstheme="minorHAnsi"/>
                <w:color w:val="000000" w:themeColor="text1"/>
                <w:sz w:val="20"/>
                <w:szCs w:val="20"/>
                <w:u w:val="single"/>
              </w:rPr>
              <w:t>Populations (i) and (ii)</w:t>
            </w:r>
          </w:p>
          <w:p w14:paraId="6789F738" w14:textId="77777777" w:rsidR="00857550" w:rsidRPr="00731632" w:rsidRDefault="00857550" w:rsidP="00743403">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heme="minorHAnsi"/>
                <w:color w:val="000000" w:themeColor="text1"/>
                <w:sz w:val="20"/>
                <w:szCs w:val="20"/>
              </w:rPr>
            </w:pPr>
            <w:r w:rsidRPr="00731632">
              <w:rPr>
                <w:rFonts w:ascii="Arial Narrow" w:hAnsi="Arial Narrow" w:cstheme="minorHAnsi"/>
                <w:color w:val="000000" w:themeColor="text1"/>
                <w:sz w:val="20"/>
                <w:szCs w:val="20"/>
              </w:rPr>
              <w:t>Nirsevimab vs Palivizumab (supplementary comparator)</w:t>
            </w:r>
          </w:p>
          <w:p w14:paraId="32DE0014" w14:textId="77777777" w:rsidR="00857550" w:rsidRPr="00731632" w:rsidRDefault="00857550" w:rsidP="00743403">
            <w:pPr>
              <w:pStyle w:val="TableText0"/>
              <w:rPr>
                <w:szCs w:val="20"/>
              </w:rPr>
            </w:pPr>
            <w:r w:rsidRPr="00731632">
              <w:rPr>
                <w:color w:val="000000" w:themeColor="text1"/>
                <w:szCs w:val="20"/>
                <w:u w:color="FFFFFF"/>
              </w:rPr>
              <w:t>Non-inferiority in terms of comparative clinical effectiveness and safety versus palivizumab.</w:t>
            </w:r>
          </w:p>
        </w:tc>
      </w:tr>
    </w:tbl>
    <w:p w14:paraId="32164CBE" w14:textId="77777777" w:rsidR="00857550" w:rsidRPr="00731632" w:rsidRDefault="00857550" w:rsidP="00743403">
      <w:pPr>
        <w:pStyle w:val="FooterTableFigure"/>
        <w:keepNext/>
      </w:pPr>
      <w:r w:rsidRPr="00731632">
        <w:t>Source: Table 1.1.1, pp2-3 of the submission.</w:t>
      </w:r>
    </w:p>
    <w:p w14:paraId="1C8AE5E0" w14:textId="77777777" w:rsidR="00857550" w:rsidRPr="00731632" w:rsidRDefault="00857550" w:rsidP="00743403">
      <w:pPr>
        <w:pStyle w:val="FooterTableFigure"/>
        <w:keepNext/>
      </w:pPr>
      <w:r w:rsidRPr="00731632">
        <w:lastRenderedPageBreak/>
        <w:t>RSV = respiratory syncytial virus; MA-LRTI = medically attended lower respiratory tract infection; TEAEs/TESAEs = Treatment-emergent adverse/serious adverse events; AESIs = adverse events of special interest; NOCD = new onset chronic disease; MI = Maternal immunisation; PI = product information</w:t>
      </w:r>
    </w:p>
    <w:p w14:paraId="1AD5CEDD" w14:textId="7F43813E" w:rsidR="004E43B2" w:rsidRPr="00731632" w:rsidRDefault="00857550" w:rsidP="00857550">
      <w:pPr>
        <w:pStyle w:val="FooterTableFigure"/>
        <w:rPr>
          <w:sz w:val="20"/>
        </w:rPr>
      </w:pPr>
      <w:r w:rsidRPr="00731632">
        <w:t xml:space="preserve">Notes: Clinical vulnerability to severe RSV disease is defined as per the palivizumab PI - having a history of prematurity (less than or equal to 35 weeks at birth), or established bronchopulmonary dysplasia, or haemodynamically significant congenital heart disease. Additionally, infants of Aboriginal and Torres Strait Island descent are included in this population, regardless of gestational age at birth or </w:t>
      </w:r>
      <w:r w:rsidR="00411264" w:rsidRPr="00731632">
        <w:t>comorbidities.</w:t>
      </w:r>
    </w:p>
    <w:p w14:paraId="176DB660" w14:textId="1E3303EE" w:rsidR="005C25FF" w:rsidRPr="00731632" w:rsidRDefault="005C25FF" w:rsidP="00A40773">
      <w:pPr>
        <w:pStyle w:val="2-SectionHeading"/>
        <w:keepLines/>
      </w:pPr>
      <w:bookmarkStart w:id="2" w:name="_Toc167276228"/>
      <w:r w:rsidRPr="00731632">
        <w:t>Background</w:t>
      </w:r>
      <w:bookmarkEnd w:id="2"/>
    </w:p>
    <w:p w14:paraId="66FA47CB" w14:textId="77777777" w:rsidR="005C25FF" w:rsidRPr="00731632" w:rsidRDefault="005C25FF" w:rsidP="00A40773">
      <w:pPr>
        <w:pStyle w:val="4-SubsectionHeading"/>
        <w:keepLines/>
      </w:pPr>
      <w:bookmarkStart w:id="3" w:name="_Toc22897638"/>
      <w:bookmarkStart w:id="4" w:name="_Toc167276229"/>
      <w:r w:rsidRPr="00731632">
        <w:t>Registration status</w:t>
      </w:r>
      <w:bookmarkEnd w:id="3"/>
      <w:bookmarkEnd w:id="4"/>
    </w:p>
    <w:p w14:paraId="198D6500" w14:textId="4A31E3DD" w:rsidR="00AB5A8E" w:rsidRPr="00731632" w:rsidRDefault="00AB5A8E" w:rsidP="00743403">
      <w:pPr>
        <w:pStyle w:val="3-BodyText"/>
        <w:keepNext/>
        <w:keepLines/>
      </w:pPr>
      <w:r w:rsidRPr="00731632">
        <w:t>Nirsevimab</w:t>
      </w:r>
      <w:r w:rsidR="005C25FF" w:rsidRPr="00731632">
        <w:t xml:space="preserve"> was TGA registered on </w:t>
      </w:r>
      <w:r w:rsidRPr="00731632">
        <w:t>24 November 2023</w:t>
      </w:r>
      <w:r w:rsidR="005C25FF" w:rsidRPr="00731632">
        <w:t xml:space="preserve"> for</w:t>
      </w:r>
      <w:r w:rsidRPr="00731632">
        <w:rPr>
          <w:color w:val="0066FF"/>
        </w:rPr>
        <w:t xml:space="preserve"> </w:t>
      </w:r>
      <w:r w:rsidRPr="00731632">
        <w:t xml:space="preserve">the prevention of RSV </w:t>
      </w:r>
      <w:r w:rsidR="001F13EF" w:rsidRPr="00731632">
        <w:t>LRTD</w:t>
      </w:r>
      <w:r w:rsidRPr="00731632">
        <w:t xml:space="preserve"> in:</w:t>
      </w:r>
    </w:p>
    <w:p w14:paraId="3F9702C6" w14:textId="77777777" w:rsidR="00AB5A8E" w:rsidRPr="00731632" w:rsidRDefault="00AB5A8E" w:rsidP="00743403">
      <w:pPr>
        <w:pStyle w:val="3-BodyText"/>
        <w:keepNext/>
        <w:keepLines/>
        <w:numPr>
          <w:ilvl w:val="0"/>
          <w:numId w:val="9"/>
        </w:numPr>
        <w:ind w:left="1134"/>
      </w:pPr>
      <w:r w:rsidRPr="00731632">
        <w:t>Neonates and infants born during or entering their first RSV season.</w:t>
      </w:r>
    </w:p>
    <w:p w14:paraId="02747022" w14:textId="1CA262BD" w:rsidR="00AB5A8E" w:rsidRPr="00731632" w:rsidRDefault="00AB5A8E" w:rsidP="00743403">
      <w:pPr>
        <w:pStyle w:val="3-BodyText"/>
        <w:keepNext/>
        <w:keepLines/>
        <w:numPr>
          <w:ilvl w:val="0"/>
          <w:numId w:val="9"/>
        </w:numPr>
        <w:ind w:left="1134"/>
      </w:pPr>
      <w:r w:rsidRPr="00731632">
        <w:t>Children up to 24 months of age who remain vulnerable to severe RSV disease through their second RSV season.</w:t>
      </w:r>
      <w:r w:rsidR="005C25FF" w:rsidRPr="00731632">
        <w:rPr>
          <w:color w:val="0066FF"/>
        </w:rPr>
        <w:t xml:space="preserve"> </w:t>
      </w:r>
    </w:p>
    <w:p w14:paraId="56D3F84E" w14:textId="3D1004AB" w:rsidR="006D3C4C" w:rsidRPr="00731632" w:rsidRDefault="00830E7E" w:rsidP="00D42CE6">
      <w:pPr>
        <w:pStyle w:val="3-BodyText"/>
      </w:pPr>
      <w:r w:rsidRPr="00731632">
        <w:t>The TGA-approved indication also states that nirsevimab should be used in accordance with official recommendations.</w:t>
      </w:r>
      <w:r w:rsidR="00D43D83" w:rsidRPr="00731632">
        <w:t xml:space="preserve"> </w:t>
      </w:r>
    </w:p>
    <w:p w14:paraId="623CCC21" w14:textId="61470FA1" w:rsidR="003A4C14" w:rsidRPr="00731632" w:rsidRDefault="00B50DB8" w:rsidP="003A4C14">
      <w:pPr>
        <w:pStyle w:val="2-SectionHeading"/>
      </w:pPr>
      <w:bookmarkStart w:id="5" w:name="_Toc107902078"/>
      <w:bookmarkStart w:id="6" w:name="_Toc167276230"/>
      <w:bookmarkEnd w:id="5"/>
      <w:r w:rsidRPr="00731632">
        <w:t>Requested listing</w:t>
      </w:r>
      <w:bookmarkEnd w:id="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1561"/>
        <w:gridCol w:w="992"/>
        <w:gridCol w:w="992"/>
        <w:gridCol w:w="899"/>
        <w:gridCol w:w="1086"/>
      </w:tblGrid>
      <w:tr w:rsidR="003B0AA1" w:rsidRPr="00731632" w14:paraId="0847F82F" w14:textId="77777777" w:rsidTr="00743403">
        <w:trPr>
          <w:cantSplit/>
          <w:trHeight w:val="20"/>
        </w:trPr>
        <w:tc>
          <w:tcPr>
            <w:tcW w:w="3396" w:type="dxa"/>
            <w:vAlign w:val="center"/>
          </w:tcPr>
          <w:p w14:paraId="2E3F9F7C" w14:textId="77777777" w:rsidR="003B0AA1" w:rsidRPr="00731632" w:rsidRDefault="003B0AA1" w:rsidP="00866F91">
            <w:pPr>
              <w:keepNext/>
              <w:keepLines/>
              <w:rPr>
                <w:rFonts w:ascii="Arial Narrow" w:hAnsi="Arial Narrow"/>
                <w:b/>
                <w:bCs/>
                <w:sz w:val="20"/>
                <w:szCs w:val="20"/>
              </w:rPr>
            </w:pPr>
            <w:r w:rsidRPr="00731632">
              <w:rPr>
                <w:rFonts w:ascii="Arial Narrow" w:hAnsi="Arial Narrow"/>
                <w:b/>
                <w:bCs/>
                <w:sz w:val="20"/>
                <w:szCs w:val="20"/>
              </w:rPr>
              <w:t>MEDICINAL PRODUCT</w:t>
            </w:r>
          </w:p>
          <w:p w14:paraId="59D631BC" w14:textId="77777777" w:rsidR="003B0AA1" w:rsidRPr="00731632" w:rsidRDefault="003B0AA1" w:rsidP="00866F91">
            <w:pPr>
              <w:keepNext/>
              <w:keepLines/>
              <w:rPr>
                <w:rFonts w:ascii="Arial Narrow" w:hAnsi="Arial Narrow"/>
                <w:b/>
                <w:sz w:val="20"/>
                <w:szCs w:val="20"/>
              </w:rPr>
            </w:pPr>
            <w:r w:rsidRPr="00731632">
              <w:rPr>
                <w:rFonts w:ascii="Arial Narrow" w:hAnsi="Arial Narrow"/>
                <w:b/>
                <w:bCs/>
                <w:sz w:val="20"/>
                <w:szCs w:val="20"/>
              </w:rPr>
              <w:t>medicinal product pack</w:t>
            </w:r>
          </w:p>
        </w:tc>
        <w:tc>
          <w:tcPr>
            <w:tcW w:w="1561" w:type="dxa"/>
            <w:vAlign w:val="center"/>
          </w:tcPr>
          <w:p w14:paraId="093EE366" w14:textId="77777777" w:rsidR="003B0AA1" w:rsidRPr="00731632" w:rsidRDefault="003B0AA1" w:rsidP="00866F91">
            <w:pPr>
              <w:pStyle w:val="TableText0"/>
              <w:keepLines/>
              <w:rPr>
                <w:b/>
                <w:bCs w:val="0"/>
                <w:szCs w:val="20"/>
              </w:rPr>
            </w:pPr>
            <w:r w:rsidRPr="00731632">
              <w:rPr>
                <w:b/>
                <w:bCs w:val="0"/>
                <w:snapToGrid w:val="0"/>
              </w:rPr>
              <w:t xml:space="preserve">Dispensed Price for Max. Qty </w:t>
            </w:r>
          </w:p>
        </w:tc>
        <w:tc>
          <w:tcPr>
            <w:tcW w:w="992" w:type="dxa"/>
            <w:vAlign w:val="center"/>
          </w:tcPr>
          <w:p w14:paraId="4CA67B53" w14:textId="77777777" w:rsidR="003B0AA1" w:rsidRPr="00731632" w:rsidRDefault="003B0AA1" w:rsidP="00866F91">
            <w:pPr>
              <w:keepNext/>
              <w:keepLines/>
              <w:jc w:val="center"/>
              <w:rPr>
                <w:rFonts w:ascii="Arial Narrow" w:hAnsi="Arial Narrow"/>
                <w:b/>
                <w:sz w:val="20"/>
                <w:szCs w:val="20"/>
              </w:rPr>
            </w:pPr>
            <w:r w:rsidRPr="00731632">
              <w:rPr>
                <w:rFonts w:ascii="Arial Narrow" w:hAnsi="Arial Narrow"/>
                <w:b/>
                <w:sz w:val="20"/>
                <w:szCs w:val="20"/>
              </w:rPr>
              <w:t>Max. qty packs</w:t>
            </w:r>
          </w:p>
        </w:tc>
        <w:tc>
          <w:tcPr>
            <w:tcW w:w="992" w:type="dxa"/>
            <w:vAlign w:val="center"/>
          </w:tcPr>
          <w:p w14:paraId="29D5ECA1" w14:textId="77777777" w:rsidR="003B0AA1" w:rsidRPr="00731632" w:rsidRDefault="003B0AA1" w:rsidP="00866F91">
            <w:pPr>
              <w:keepNext/>
              <w:keepLines/>
              <w:jc w:val="center"/>
              <w:rPr>
                <w:rFonts w:ascii="Arial Narrow" w:hAnsi="Arial Narrow"/>
                <w:b/>
                <w:sz w:val="20"/>
                <w:szCs w:val="20"/>
              </w:rPr>
            </w:pPr>
            <w:r w:rsidRPr="00731632">
              <w:rPr>
                <w:rFonts w:ascii="Arial Narrow" w:hAnsi="Arial Narrow"/>
                <w:b/>
                <w:sz w:val="20"/>
                <w:szCs w:val="20"/>
              </w:rPr>
              <w:t>Max. qty units</w:t>
            </w:r>
          </w:p>
        </w:tc>
        <w:tc>
          <w:tcPr>
            <w:tcW w:w="899" w:type="dxa"/>
            <w:vAlign w:val="center"/>
          </w:tcPr>
          <w:p w14:paraId="0EE3AF4A" w14:textId="77777777" w:rsidR="003B0AA1" w:rsidRPr="00731632" w:rsidRDefault="003B0AA1" w:rsidP="00866F91">
            <w:pPr>
              <w:keepNext/>
              <w:keepLines/>
              <w:jc w:val="center"/>
              <w:rPr>
                <w:rFonts w:ascii="Arial Narrow" w:hAnsi="Arial Narrow"/>
                <w:b/>
                <w:sz w:val="20"/>
                <w:szCs w:val="20"/>
              </w:rPr>
            </w:pPr>
            <w:r w:rsidRPr="00731632">
              <w:rPr>
                <w:rFonts w:ascii="Arial Narrow" w:hAnsi="Arial Narrow"/>
                <w:b/>
                <w:sz w:val="20"/>
                <w:szCs w:val="20"/>
              </w:rPr>
              <w:t>№.of</w:t>
            </w:r>
          </w:p>
          <w:p w14:paraId="4FC85258" w14:textId="77777777" w:rsidR="003B0AA1" w:rsidRPr="00731632" w:rsidRDefault="003B0AA1" w:rsidP="00866F91">
            <w:pPr>
              <w:keepNext/>
              <w:keepLines/>
              <w:jc w:val="center"/>
              <w:rPr>
                <w:rFonts w:ascii="Arial Narrow" w:hAnsi="Arial Narrow"/>
                <w:b/>
                <w:sz w:val="20"/>
                <w:szCs w:val="20"/>
              </w:rPr>
            </w:pPr>
            <w:r w:rsidRPr="00731632">
              <w:rPr>
                <w:rFonts w:ascii="Arial Narrow" w:hAnsi="Arial Narrow"/>
                <w:b/>
                <w:sz w:val="20"/>
                <w:szCs w:val="20"/>
              </w:rPr>
              <w:t>Rpts</w:t>
            </w:r>
          </w:p>
        </w:tc>
        <w:tc>
          <w:tcPr>
            <w:tcW w:w="1086" w:type="dxa"/>
            <w:vAlign w:val="center"/>
          </w:tcPr>
          <w:p w14:paraId="530BD71B" w14:textId="77777777" w:rsidR="003B0AA1" w:rsidRPr="00731632" w:rsidRDefault="003B0AA1" w:rsidP="00866F91">
            <w:pPr>
              <w:keepNext/>
              <w:keepLines/>
              <w:rPr>
                <w:rFonts w:ascii="Arial Narrow" w:hAnsi="Arial Narrow"/>
                <w:b/>
                <w:sz w:val="20"/>
                <w:szCs w:val="20"/>
              </w:rPr>
            </w:pPr>
            <w:r w:rsidRPr="00731632">
              <w:rPr>
                <w:rFonts w:ascii="Arial Narrow" w:hAnsi="Arial Narrow"/>
                <w:b/>
                <w:sz w:val="20"/>
                <w:szCs w:val="20"/>
              </w:rPr>
              <w:t>Available brands</w:t>
            </w:r>
          </w:p>
        </w:tc>
      </w:tr>
      <w:tr w:rsidR="003B0AA1" w:rsidRPr="00731632" w14:paraId="1F45F403" w14:textId="77777777" w:rsidTr="00743403">
        <w:trPr>
          <w:cantSplit/>
          <w:trHeight w:val="20"/>
        </w:trPr>
        <w:tc>
          <w:tcPr>
            <w:tcW w:w="3396" w:type="dxa"/>
            <w:vAlign w:val="center"/>
          </w:tcPr>
          <w:p w14:paraId="1C3987EF" w14:textId="77777777" w:rsidR="003B0AA1" w:rsidRPr="00731632" w:rsidRDefault="003B0AA1" w:rsidP="00866F91">
            <w:pPr>
              <w:pStyle w:val="TableText0"/>
            </w:pPr>
            <w:r w:rsidRPr="00731632">
              <w:t>Nirsevimab, 50mg/0.5 mL, pre-filled syringe</w:t>
            </w:r>
          </w:p>
        </w:tc>
        <w:tc>
          <w:tcPr>
            <w:tcW w:w="1561" w:type="dxa"/>
          </w:tcPr>
          <w:p w14:paraId="66208F86" w14:textId="1246BA64" w:rsidR="003B0AA1" w:rsidRPr="003E2155" w:rsidRDefault="003B0AA1" w:rsidP="00866F91">
            <w:pPr>
              <w:pStyle w:val="TableText0"/>
              <w:keepLines/>
              <w:jc w:val="center"/>
              <w:rPr>
                <w:szCs w:val="20"/>
              </w:rPr>
            </w:pPr>
            <w:r w:rsidRPr="003E2155">
              <w:t>$</w:t>
            </w:r>
            <w:r w:rsidR="009F6D97" w:rsidRPr="009F6D97">
              <w:rPr>
                <w:color w:val="000000"/>
                <w:shd w:val="solid" w:color="000000" w:fill="000000"/>
                <w14:textFill>
                  <w14:solidFill>
                    <w14:srgbClr w14:val="000000">
                      <w14:alpha w14:val="100000"/>
                    </w14:srgbClr>
                  </w14:solidFill>
                </w14:textFill>
              </w:rPr>
              <w:t>|</w:t>
            </w:r>
          </w:p>
        </w:tc>
        <w:tc>
          <w:tcPr>
            <w:tcW w:w="992" w:type="dxa"/>
            <w:vAlign w:val="center"/>
          </w:tcPr>
          <w:p w14:paraId="0A2EEE43"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rPr>
              <w:t>1</w:t>
            </w:r>
          </w:p>
        </w:tc>
        <w:tc>
          <w:tcPr>
            <w:tcW w:w="992" w:type="dxa"/>
            <w:vAlign w:val="center"/>
          </w:tcPr>
          <w:p w14:paraId="45772701"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rPr>
              <w:t>1</w:t>
            </w:r>
          </w:p>
        </w:tc>
        <w:tc>
          <w:tcPr>
            <w:tcW w:w="899" w:type="dxa"/>
            <w:vAlign w:val="center"/>
          </w:tcPr>
          <w:p w14:paraId="072020B7"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rPr>
              <w:t>0</w:t>
            </w:r>
          </w:p>
        </w:tc>
        <w:tc>
          <w:tcPr>
            <w:tcW w:w="1086" w:type="dxa"/>
            <w:vMerge w:val="restart"/>
            <w:vAlign w:val="center"/>
          </w:tcPr>
          <w:p w14:paraId="7693CDAA" w14:textId="7E8855CC" w:rsidR="003B0AA1" w:rsidRPr="00731632" w:rsidRDefault="00524A29" w:rsidP="00866F91">
            <w:pPr>
              <w:keepNext/>
              <w:keepLines/>
              <w:rPr>
                <w:rFonts w:ascii="Arial Narrow" w:hAnsi="Arial Narrow"/>
                <w:color w:val="0066FF"/>
                <w:sz w:val="20"/>
                <w:szCs w:val="20"/>
              </w:rPr>
            </w:pPr>
            <w:r w:rsidRPr="00731632">
              <w:rPr>
                <w:rFonts w:ascii="Arial Narrow" w:hAnsi="Arial Narrow"/>
                <w:sz w:val="20"/>
                <w:szCs w:val="20"/>
              </w:rPr>
              <w:t>Beyfortus</w:t>
            </w:r>
          </w:p>
        </w:tc>
      </w:tr>
      <w:tr w:rsidR="003B0AA1" w:rsidRPr="00731632" w14:paraId="54240E72" w14:textId="77777777" w:rsidTr="00743403">
        <w:trPr>
          <w:cantSplit/>
          <w:trHeight w:val="20"/>
        </w:trPr>
        <w:tc>
          <w:tcPr>
            <w:tcW w:w="3396" w:type="dxa"/>
            <w:vAlign w:val="center"/>
          </w:tcPr>
          <w:p w14:paraId="59AED74D" w14:textId="77777777" w:rsidR="003B0AA1" w:rsidRPr="00731632" w:rsidRDefault="003B0AA1" w:rsidP="00866F91">
            <w:pPr>
              <w:pStyle w:val="TableText0"/>
            </w:pPr>
            <w:r w:rsidRPr="00731632">
              <w:t>Nirsevimab, 100mg/1 mL, pre-filled syringe</w:t>
            </w:r>
          </w:p>
        </w:tc>
        <w:tc>
          <w:tcPr>
            <w:tcW w:w="1561" w:type="dxa"/>
          </w:tcPr>
          <w:p w14:paraId="2386985D" w14:textId="64547A18" w:rsidR="003B0AA1" w:rsidRPr="003E2155" w:rsidRDefault="003B0AA1" w:rsidP="00866F91">
            <w:pPr>
              <w:pStyle w:val="TableText0"/>
              <w:keepLines/>
              <w:jc w:val="center"/>
              <w:rPr>
                <w:szCs w:val="20"/>
              </w:rPr>
            </w:pPr>
            <w:r w:rsidRPr="003E2155">
              <w:t>$</w:t>
            </w:r>
            <w:r w:rsidR="009F6D97" w:rsidRPr="009F6D97">
              <w:rPr>
                <w:color w:val="000000"/>
                <w:shd w:val="solid" w:color="000000" w:fill="000000"/>
                <w14:textFill>
                  <w14:solidFill>
                    <w14:srgbClr w14:val="000000">
                      <w14:alpha w14:val="100000"/>
                    </w14:srgbClr>
                  </w14:solidFill>
                </w14:textFill>
              </w:rPr>
              <w:t>|</w:t>
            </w:r>
          </w:p>
        </w:tc>
        <w:tc>
          <w:tcPr>
            <w:tcW w:w="992" w:type="dxa"/>
            <w:vAlign w:val="center"/>
          </w:tcPr>
          <w:p w14:paraId="7D8FF721"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szCs w:val="20"/>
              </w:rPr>
              <w:t>1</w:t>
            </w:r>
          </w:p>
        </w:tc>
        <w:tc>
          <w:tcPr>
            <w:tcW w:w="992" w:type="dxa"/>
            <w:vAlign w:val="center"/>
          </w:tcPr>
          <w:p w14:paraId="1708BAE8"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rPr>
              <w:t>1</w:t>
            </w:r>
          </w:p>
        </w:tc>
        <w:tc>
          <w:tcPr>
            <w:tcW w:w="899" w:type="dxa"/>
            <w:vAlign w:val="center"/>
          </w:tcPr>
          <w:p w14:paraId="44F70AF5"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rPr>
              <w:t>0</w:t>
            </w:r>
          </w:p>
        </w:tc>
        <w:tc>
          <w:tcPr>
            <w:tcW w:w="1086" w:type="dxa"/>
            <w:vMerge/>
            <w:vAlign w:val="center"/>
          </w:tcPr>
          <w:p w14:paraId="546C2714" w14:textId="77777777" w:rsidR="003B0AA1" w:rsidRPr="00731632" w:rsidRDefault="003B0AA1" w:rsidP="00866F91">
            <w:pPr>
              <w:keepNext/>
              <w:keepLines/>
              <w:rPr>
                <w:rFonts w:ascii="Arial Narrow" w:hAnsi="Arial Narrow"/>
                <w:color w:val="0066FF"/>
                <w:sz w:val="20"/>
                <w:szCs w:val="20"/>
              </w:rPr>
            </w:pPr>
          </w:p>
        </w:tc>
      </w:tr>
      <w:tr w:rsidR="003B0AA1" w:rsidRPr="00731632" w14:paraId="351C1003" w14:textId="77777777" w:rsidTr="00743403">
        <w:trPr>
          <w:cantSplit/>
          <w:trHeight w:val="20"/>
        </w:trPr>
        <w:tc>
          <w:tcPr>
            <w:tcW w:w="3396" w:type="dxa"/>
            <w:vAlign w:val="center"/>
          </w:tcPr>
          <w:p w14:paraId="064AFFA3" w14:textId="77777777" w:rsidR="003B0AA1" w:rsidRPr="00731632" w:rsidRDefault="003B0AA1" w:rsidP="00866F91">
            <w:pPr>
              <w:pStyle w:val="TableText0"/>
            </w:pPr>
            <w:r w:rsidRPr="00731632">
              <w:t>Nirsevimab, 100mg/1 mL, pre-filled syringe</w:t>
            </w:r>
          </w:p>
        </w:tc>
        <w:tc>
          <w:tcPr>
            <w:tcW w:w="1561" w:type="dxa"/>
            <w:vAlign w:val="center"/>
          </w:tcPr>
          <w:p w14:paraId="063DC9FD" w14:textId="3DF464C0" w:rsidR="003B0AA1" w:rsidRPr="003E2155" w:rsidRDefault="003B0AA1" w:rsidP="00866F91">
            <w:pPr>
              <w:keepNext/>
              <w:keepLines/>
              <w:jc w:val="center"/>
              <w:rPr>
                <w:rFonts w:ascii="Arial Narrow" w:hAnsi="Arial Narrow"/>
                <w:sz w:val="20"/>
                <w:szCs w:val="20"/>
              </w:rPr>
            </w:pPr>
            <w:r w:rsidRPr="003E2155">
              <w:rPr>
                <w:rFonts w:ascii="Arial Narrow" w:hAnsi="Arial Narrow"/>
                <w:sz w:val="20"/>
                <w:szCs w:val="20"/>
              </w:rPr>
              <w:t>$</w:t>
            </w:r>
            <w:r w:rsidR="009F6D97" w:rsidRPr="009F6D97">
              <w:rPr>
                <w:rFonts w:ascii="Arial Narrow" w:hAnsi="Arial Narrow"/>
                <w:color w:val="000000"/>
                <w:sz w:val="20"/>
                <w:szCs w:val="20"/>
                <w:shd w:val="solid" w:color="000000" w:fill="000000"/>
                <w14:textFill>
                  <w14:solidFill>
                    <w14:srgbClr w14:val="000000">
                      <w14:alpha w14:val="100000"/>
                    </w14:srgbClr>
                  </w14:solidFill>
                </w14:textFill>
              </w:rPr>
              <w:t>|</w:t>
            </w:r>
          </w:p>
        </w:tc>
        <w:tc>
          <w:tcPr>
            <w:tcW w:w="992" w:type="dxa"/>
            <w:vAlign w:val="center"/>
          </w:tcPr>
          <w:p w14:paraId="0B7AA41D"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szCs w:val="20"/>
              </w:rPr>
              <w:t>2</w:t>
            </w:r>
          </w:p>
        </w:tc>
        <w:tc>
          <w:tcPr>
            <w:tcW w:w="992" w:type="dxa"/>
            <w:vAlign w:val="center"/>
          </w:tcPr>
          <w:p w14:paraId="7AF69EA9"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szCs w:val="20"/>
              </w:rPr>
              <w:t>2</w:t>
            </w:r>
          </w:p>
        </w:tc>
        <w:tc>
          <w:tcPr>
            <w:tcW w:w="899" w:type="dxa"/>
            <w:vAlign w:val="center"/>
          </w:tcPr>
          <w:p w14:paraId="6231A716" w14:textId="77777777" w:rsidR="003B0AA1" w:rsidRPr="00731632" w:rsidRDefault="003B0AA1" w:rsidP="00866F91">
            <w:pPr>
              <w:keepNext/>
              <w:keepLines/>
              <w:jc w:val="center"/>
              <w:rPr>
                <w:rFonts w:ascii="Arial Narrow" w:hAnsi="Arial Narrow"/>
                <w:sz w:val="20"/>
                <w:szCs w:val="20"/>
              </w:rPr>
            </w:pPr>
            <w:r w:rsidRPr="00731632">
              <w:rPr>
                <w:rFonts w:ascii="Arial Narrow" w:hAnsi="Arial Narrow"/>
                <w:sz w:val="20"/>
                <w:szCs w:val="20"/>
              </w:rPr>
              <w:t>0</w:t>
            </w:r>
          </w:p>
        </w:tc>
        <w:tc>
          <w:tcPr>
            <w:tcW w:w="1086" w:type="dxa"/>
            <w:vMerge/>
            <w:vAlign w:val="center"/>
          </w:tcPr>
          <w:p w14:paraId="25E3F433" w14:textId="77777777" w:rsidR="003B0AA1" w:rsidRPr="00731632" w:rsidRDefault="003B0AA1" w:rsidP="00866F91">
            <w:pPr>
              <w:keepNext/>
              <w:keepLines/>
              <w:jc w:val="center"/>
              <w:rPr>
                <w:rFonts w:ascii="Arial Narrow" w:hAnsi="Arial Narrow"/>
                <w:sz w:val="20"/>
                <w:szCs w:val="20"/>
              </w:rPr>
            </w:pPr>
          </w:p>
        </w:tc>
      </w:tr>
    </w:tbl>
    <w:p w14:paraId="45FF75D9" w14:textId="7E2F8A19" w:rsidR="003B0AA1" w:rsidRPr="00731632" w:rsidRDefault="003B0AA1" w:rsidP="00743403">
      <w:pPr>
        <w:pStyle w:val="TableFooter"/>
        <w:keepNext/>
        <w:keepLines/>
        <w:spacing w:after="120"/>
      </w:pPr>
      <w:r w:rsidRPr="00731632">
        <w:t>Source: Table 1.4.1 of the submission.</w:t>
      </w:r>
    </w:p>
    <w:p w14:paraId="2955B8FC" w14:textId="77777777" w:rsidR="003B0AA1" w:rsidRPr="00731632" w:rsidRDefault="003B0AA1" w:rsidP="00411264">
      <w:pPr>
        <w:pStyle w:val="In-tableHeading"/>
        <w:rPr>
          <w:lang w:val="en-AU"/>
        </w:rPr>
      </w:pPr>
      <w:r w:rsidRPr="00731632">
        <w:rPr>
          <w:bCs/>
          <w:szCs w:val="20"/>
          <w:lang w:val="en-AU"/>
        </w:rPr>
        <w:t>Proposed PBS restriction wording for neonates and infants born during or entering their first RSV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B0AA1" w:rsidRPr="00731632" w14:paraId="0290C40F" w14:textId="77777777" w:rsidTr="00866F91">
        <w:trPr>
          <w:cantSplit/>
          <w:trHeight w:val="20"/>
        </w:trPr>
        <w:tc>
          <w:tcPr>
            <w:tcW w:w="5000" w:type="pct"/>
          </w:tcPr>
          <w:p w14:paraId="58A66580" w14:textId="77777777" w:rsidR="003B0AA1" w:rsidRPr="00731632" w:rsidRDefault="003B0AA1" w:rsidP="00A40773">
            <w:pPr>
              <w:pStyle w:val="TableText0"/>
              <w:keepNext w:val="0"/>
            </w:pPr>
            <w:r w:rsidRPr="00731632">
              <w:rPr>
                <w:b/>
              </w:rPr>
              <w:t xml:space="preserve">Category / Program: </w:t>
            </w:r>
            <w:r w:rsidRPr="00731632">
              <w:rPr>
                <w:rFonts w:eastAsia="Times New Roman"/>
              </w:rPr>
              <w:t>Section 85 (general schedule)</w:t>
            </w:r>
          </w:p>
        </w:tc>
      </w:tr>
      <w:tr w:rsidR="003B0AA1" w:rsidRPr="00731632" w14:paraId="4689738D" w14:textId="77777777" w:rsidTr="00866F91">
        <w:trPr>
          <w:cantSplit/>
          <w:trHeight w:val="20"/>
        </w:trPr>
        <w:tc>
          <w:tcPr>
            <w:tcW w:w="5000" w:type="pct"/>
          </w:tcPr>
          <w:p w14:paraId="06BE1DCA" w14:textId="77777777" w:rsidR="003B0AA1" w:rsidRPr="00731632" w:rsidRDefault="003B0AA1" w:rsidP="00A40773">
            <w:pPr>
              <w:pStyle w:val="TableText0"/>
              <w:keepNext w:val="0"/>
              <w:rPr>
                <w:b/>
              </w:rPr>
            </w:pPr>
            <w:r w:rsidRPr="00731632">
              <w:rPr>
                <w:b/>
              </w:rPr>
              <w:t xml:space="preserve">Prescriber type: </w:t>
            </w:r>
            <w:r w:rsidRPr="00731632">
              <w:fldChar w:fldCharType="begin">
                <w:ffData>
                  <w:name w:val="Check1"/>
                  <w:enabled/>
                  <w:calcOnExit w:val="0"/>
                  <w:checkBox>
                    <w:sizeAuto/>
                    <w:default w:val="0"/>
                  </w:checkBox>
                </w:ffData>
              </w:fldChar>
            </w:r>
            <w:r w:rsidRPr="00731632">
              <w:instrText xml:space="preserve"> FORMCHECKBOX </w:instrText>
            </w:r>
            <w:r w:rsidR="00D770BB">
              <w:fldChar w:fldCharType="separate"/>
            </w:r>
            <w:r w:rsidRPr="00731632">
              <w:fldChar w:fldCharType="end"/>
            </w:r>
            <w:r w:rsidRPr="00731632">
              <w:t xml:space="preserve">Dental </w:t>
            </w:r>
            <w:r w:rsidRPr="00731632">
              <w:fldChar w:fldCharType="begin">
                <w:ffData>
                  <w:name w:val=""/>
                  <w:enabled/>
                  <w:calcOnExit w:val="0"/>
                  <w:checkBox>
                    <w:sizeAuto/>
                    <w:default w:val="1"/>
                  </w:checkBox>
                </w:ffData>
              </w:fldChar>
            </w:r>
            <w:r w:rsidRPr="00731632">
              <w:instrText xml:space="preserve"> FORMCHECKBOX </w:instrText>
            </w:r>
            <w:r w:rsidR="00D770BB">
              <w:fldChar w:fldCharType="separate"/>
            </w:r>
            <w:r w:rsidRPr="00731632">
              <w:fldChar w:fldCharType="end"/>
            </w:r>
            <w:r w:rsidRPr="00731632">
              <w:t xml:space="preserve">Medical Practitioners </w:t>
            </w:r>
            <w:r w:rsidRPr="00731632">
              <w:fldChar w:fldCharType="begin">
                <w:ffData>
                  <w:name w:val="Check3"/>
                  <w:enabled/>
                  <w:calcOnExit w:val="0"/>
                  <w:checkBox>
                    <w:sizeAuto/>
                    <w:default w:val="1"/>
                  </w:checkBox>
                </w:ffData>
              </w:fldChar>
            </w:r>
            <w:r w:rsidRPr="00731632">
              <w:instrText xml:space="preserve"> FORMCHECKBOX </w:instrText>
            </w:r>
            <w:r w:rsidR="00D770BB">
              <w:fldChar w:fldCharType="separate"/>
            </w:r>
            <w:r w:rsidRPr="00731632">
              <w:fldChar w:fldCharType="end"/>
            </w:r>
            <w:r w:rsidRPr="00731632">
              <w:t xml:space="preserve">Nurse practitioners </w:t>
            </w:r>
            <w:r w:rsidRPr="00731632">
              <w:fldChar w:fldCharType="begin">
                <w:ffData>
                  <w:name w:val=""/>
                  <w:enabled/>
                  <w:calcOnExit w:val="0"/>
                  <w:checkBox>
                    <w:sizeAuto/>
                    <w:default w:val="0"/>
                  </w:checkBox>
                </w:ffData>
              </w:fldChar>
            </w:r>
            <w:r w:rsidRPr="00731632">
              <w:instrText xml:space="preserve"> FORMCHECKBOX </w:instrText>
            </w:r>
            <w:r w:rsidR="00D770BB">
              <w:fldChar w:fldCharType="separate"/>
            </w:r>
            <w:r w:rsidRPr="00731632">
              <w:fldChar w:fldCharType="end"/>
            </w:r>
            <w:r w:rsidRPr="00731632">
              <w:t xml:space="preserve">Optometrists </w:t>
            </w:r>
            <w:r w:rsidRPr="00731632">
              <w:fldChar w:fldCharType="begin">
                <w:ffData>
                  <w:name w:val="Check5"/>
                  <w:enabled/>
                  <w:calcOnExit w:val="0"/>
                  <w:checkBox>
                    <w:sizeAuto/>
                    <w:default w:val="1"/>
                  </w:checkBox>
                </w:ffData>
              </w:fldChar>
            </w:r>
            <w:r w:rsidRPr="00731632">
              <w:instrText xml:space="preserve"> FORMCHECKBOX </w:instrText>
            </w:r>
            <w:r w:rsidR="00D770BB">
              <w:fldChar w:fldCharType="separate"/>
            </w:r>
            <w:r w:rsidRPr="00731632">
              <w:fldChar w:fldCharType="end"/>
            </w:r>
            <w:r w:rsidRPr="00731632">
              <w:t xml:space="preserve"> Midwives</w:t>
            </w:r>
          </w:p>
        </w:tc>
      </w:tr>
      <w:tr w:rsidR="003B0AA1" w:rsidRPr="00731632" w14:paraId="28B809C7" w14:textId="77777777" w:rsidTr="00866F91">
        <w:trPr>
          <w:cantSplit/>
          <w:trHeight w:val="20"/>
        </w:trPr>
        <w:tc>
          <w:tcPr>
            <w:tcW w:w="5000" w:type="pct"/>
          </w:tcPr>
          <w:p w14:paraId="2222B64A" w14:textId="77777777" w:rsidR="003B0AA1" w:rsidRPr="00731632" w:rsidRDefault="003B0AA1" w:rsidP="00A40773">
            <w:pPr>
              <w:pStyle w:val="TableText0"/>
              <w:keepNext w:val="0"/>
              <w:rPr>
                <w:rFonts w:eastAsia="Times New Roman"/>
              </w:rPr>
            </w:pPr>
            <w:r w:rsidRPr="00731632">
              <w:rPr>
                <w:b/>
              </w:rPr>
              <w:t>Restriction type:</w:t>
            </w:r>
            <w:r w:rsidRPr="00731632">
              <w:rPr>
                <w:rFonts w:eastAsia="Times New Roman"/>
              </w:rPr>
              <w:t xml:space="preserve"> </w:t>
            </w:r>
            <w:r w:rsidRPr="00731632">
              <w:rPr>
                <w:rFonts w:eastAsia="Times New Roman"/>
              </w:rPr>
              <w:fldChar w:fldCharType="begin">
                <w:ffData>
                  <w:name w:val="Check1"/>
                  <w:enabled/>
                  <w:calcOnExit w:val="0"/>
                  <w:checkBox>
                    <w:sizeAuto/>
                    <w:default w:val="1"/>
                  </w:checkBox>
                </w:ffData>
              </w:fldChar>
            </w:r>
            <w:r w:rsidRPr="00731632">
              <w:rPr>
                <w:rFonts w:eastAsia="Times New Roman"/>
              </w:rPr>
              <w:instrText xml:space="preserve"> FORMCHECKBOX </w:instrText>
            </w:r>
            <w:r w:rsidR="00D770BB">
              <w:rPr>
                <w:rFonts w:eastAsia="Times New Roman"/>
              </w:rPr>
            </w:r>
            <w:r w:rsidR="00D770BB">
              <w:rPr>
                <w:rFonts w:eastAsia="Times New Roman"/>
              </w:rPr>
              <w:fldChar w:fldCharType="separate"/>
            </w:r>
            <w:r w:rsidRPr="00731632">
              <w:rPr>
                <w:rFonts w:eastAsia="Times New Roman"/>
              </w:rPr>
              <w:fldChar w:fldCharType="end"/>
            </w:r>
            <w:r w:rsidRPr="00731632">
              <w:rPr>
                <w:rFonts w:eastAsia="Times New Roman"/>
              </w:rPr>
              <w:t>Restricted benefit</w:t>
            </w:r>
          </w:p>
        </w:tc>
      </w:tr>
      <w:tr w:rsidR="003B0AA1" w:rsidRPr="00731632" w14:paraId="5C166458" w14:textId="77777777" w:rsidTr="00866F91">
        <w:trPr>
          <w:cantSplit/>
          <w:trHeight w:val="20"/>
        </w:trPr>
        <w:tc>
          <w:tcPr>
            <w:tcW w:w="5000" w:type="pct"/>
            <w:vAlign w:val="center"/>
          </w:tcPr>
          <w:p w14:paraId="375BE96A" w14:textId="4347D2E5" w:rsidR="003B0AA1" w:rsidRPr="00731632" w:rsidRDefault="003B0AA1" w:rsidP="00A40773">
            <w:pPr>
              <w:pStyle w:val="TableText0"/>
              <w:keepNext w:val="0"/>
              <w:rPr>
                <w:b/>
              </w:rPr>
            </w:pPr>
            <w:r w:rsidRPr="00731632">
              <w:rPr>
                <w:b/>
              </w:rPr>
              <w:t xml:space="preserve">Condition: </w:t>
            </w:r>
            <w:r w:rsidRPr="00731632">
              <w:rPr>
                <w:bCs w:val="0"/>
              </w:rPr>
              <w:t xml:space="preserve">respiratory syncytial virus </w:t>
            </w:r>
            <w:r w:rsidR="00876266" w:rsidRPr="00731632">
              <w:rPr>
                <w:bCs w:val="0"/>
              </w:rPr>
              <w:t>infection</w:t>
            </w:r>
          </w:p>
        </w:tc>
      </w:tr>
      <w:tr w:rsidR="003B0AA1" w:rsidRPr="00731632" w14:paraId="42AD3C61" w14:textId="77777777" w:rsidTr="00866F91">
        <w:trPr>
          <w:cantSplit/>
          <w:trHeight w:val="20"/>
        </w:trPr>
        <w:tc>
          <w:tcPr>
            <w:tcW w:w="5000" w:type="pct"/>
            <w:vAlign w:val="center"/>
            <w:hideMark/>
          </w:tcPr>
          <w:p w14:paraId="62145FD4" w14:textId="77777777" w:rsidR="003B0AA1" w:rsidRPr="00731632" w:rsidRDefault="003B0AA1" w:rsidP="00A40773">
            <w:pPr>
              <w:pStyle w:val="TableText0"/>
              <w:keepNext w:val="0"/>
            </w:pPr>
            <w:r w:rsidRPr="00731632">
              <w:rPr>
                <w:b/>
              </w:rPr>
              <w:t>Indication:</w:t>
            </w:r>
            <w:r w:rsidRPr="00731632">
              <w:t xml:space="preserve"> </w:t>
            </w:r>
            <w:r w:rsidRPr="00731632">
              <w:rPr>
                <w:rFonts w:eastAsia="Times New Roman"/>
              </w:rPr>
              <w:t>Prevention of lower respiratory tract infection caused by respiratory syncytial virus (RSV)</w:t>
            </w:r>
          </w:p>
        </w:tc>
      </w:tr>
      <w:tr w:rsidR="003B0AA1" w:rsidRPr="00731632" w14:paraId="08863E1F" w14:textId="77777777" w:rsidTr="00866F91">
        <w:trPr>
          <w:cantSplit/>
          <w:trHeight w:val="20"/>
        </w:trPr>
        <w:tc>
          <w:tcPr>
            <w:tcW w:w="5000" w:type="pct"/>
            <w:vAlign w:val="center"/>
            <w:hideMark/>
          </w:tcPr>
          <w:p w14:paraId="0AF23274" w14:textId="77777777" w:rsidR="003B0AA1" w:rsidRPr="00731632" w:rsidRDefault="003B0AA1" w:rsidP="00A40773">
            <w:pPr>
              <w:pStyle w:val="TableText0"/>
              <w:keepNext w:val="0"/>
            </w:pPr>
            <w:r w:rsidRPr="00731632">
              <w:rPr>
                <w:b/>
              </w:rPr>
              <w:t>Clinical criteria:</w:t>
            </w:r>
          </w:p>
        </w:tc>
      </w:tr>
      <w:tr w:rsidR="003B0AA1" w:rsidRPr="00731632" w14:paraId="1395E01E" w14:textId="77777777" w:rsidTr="00866F91">
        <w:trPr>
          <w:cantSplit/>
          <w:trHeight w:val="20"/>
        </w:trPr>
        <w:tc>
          <w:tcPr>
            <w:tcW w:w="5000" w:type="pct"/>
            <w:vAlign w:val="center"/>
            <w:hideMark/>
          </w:tcPr>
          <w:p w14:paraId="2109E4A9" w14:textId="5CDC1D39" w:rsidR="003B0AA1" w:rsidRPr="00731632" w:rsidRDefault="003B0AA1" w:rsidP="00A40773">
            <w:pPr>
              <w:rPr>
                <w:rFonts w:ascii="Arial Narrow" w:hAnsi="Arial Narrow"/>
                <w:sz w:val="18"/>
              </w:rPr>
            </w:pPr>
            <w:r w:rsidRPr="00731632">
              <w:rPr>
                <w:rFonts w:ascii="Arial Narrow" w:hAnsi="Arial Narrow"/>
                <w:sz w:val="20"/>
                <w:szCs w:val="28"/>
              </w:rPr>
              <w:t>Patient’s mother must not have received immunisation against respiratory syncytial virus (RSV) while pregnant, and the patient must not have received a prophylactic antibody treatment against RSV</w:t>
            </w:r>
            <w:r w:rsidR="00153A9C" w:rsidRPr="00731632">
              <w:rPr>
                <w:rFonts w:ascii="Arial Narrow" w:hAnsi="Arial Narrow"/>
                <w:sz w:val="20"/>
                <w:szCs w:val="28"/>
              </w:rPr>
              <w:t>.</w:t>
            </w:r>
          </w:p>
        </w:tc>
      </w:tr>
      <w:tr w:rsidR="003B0AA1" w:rsidRPr="00731632" w14:paraId="27B5FD50" w14:textId="77777777" w:rsidTr="00866F91">
        <w:trPr>
          <w:cantSplit/>
          <w:trHeight w:val="20"/>
        </w:trPr>
        <w:tc>
          <w:tcPr>
            <w:tcW w:w="5000" w:type="pct"/>
            <w:vAlign w:val="center"/>
            <w:hideMark/>
          </w:tcPr>
          <w:p w14:paraId="77C3A5A1" w14:textId="77777777" w:rsidR="003B0AA1" w:rsidRPr="00731632" w:rsidRDefault="003B0AA1" w:rsidP="00A40773">
            <w:pPr>
              <w:pStyle w:val="TableText0"/>
              <w:keepNext w:val="0"/>
            </w:pPr>
            <w:r w:rsidRPr="00731632">
              <w:rPr>
                <w:b/>
              </w:rPr>
              <w:t>AND</w:t>
            </w:r>
          </w:p>
        </w:tc>
      </w:tr>
      <w:tr w:rsidR="003B0AA1" w:rsidRPr="00731632" w14:paraId="6C197B74" w14:textId="77777777" w:rsidTr="00866F91">
        <w:trPr>
          <w:cantSplit/>
          <w:trHeight w:val="20"/>
        </w:trPr>
        <w:tc>
          <w:tcPr>
            <w:tcW w:w="5000" w:type="pct"/>
            <w:vAlign w:val="center"/>
            <w:hideMark/>
          </w:tcPr>
          <w:p w14:paraId="0BC3A83A" w14:textId="77777777" w:rsidR="003B0AA1" w:rsidRPr="00731632" w:rsidRDefault="003B0AA1" w:rsidP="00A40773">
            <w:pPr>
              <w:pStyle w:val="TableText0"/>
              <w:keepNext w:val="0"/>
            </w:pPr>
            <w:r w:rsidRPr="00731632">
              <w:rPr>
                <w:b/>
              </w:rPr>
              <w:t>Clinical criteria:</w:t>
            </w:r>
          </w:p>
        </w:tc>
      </w:tr>
      <w:tr w:rsidR="003B0AA1" w:rsidRPr="00731632" w14:paraId="6C1E731C" w14:textId="77777777" w:rsidTr="00866F91">
        <w:trPr>
          <w:cantSplit/>
          <w:trHeight w:val="20"/>
        </w:trPr>
        <w:tc>
          <w:tcPr>
            <w:tcW w:w="5000" w:type="pct"/>
            <w:vAlign w:val="center"/>
            <w:hideMark/>
          </w:tcPr>
          <w:p w14:paraId="28A20ECC" w14:textId="77777777" w:rsidR="003B0AA1" w:rsidRPr="00731632" w:rsidRDefault="003B0AA1" w:rsidP="00A40773">
            <w:pPr>
              <w:pStyle w:val="TableText0"/>
              <w:keepNext w:val="0"/>
              <w:rPr>
                <w:color w:val="0066FF"/>
                <w:szCs w:val="20"/>
              </w:rPr>
            </w:pPr>
            <w:r w:rsidRPr="00731632">
              <w:rPr>
                <w:rFonts w:eastAsia="Times New Roman" w:cs="Arial"/>
                <w:szCs w:val="20"/>
              </w:rPr>
              <w:t>The treatment must be the sole PBS-subsidised therapy for this condition.</w:t>
            </w:r>
          </w:p>
        </w:tc>
      </w:tr>
      <w:tr w:rsidR="003B0AA1" w:rsidRPr="00731632" w14:paraId="28901551" w14:textId="77777777" w:rsidTr="00866F91">
        <w:trPr>
          <w:cantSplit/>
          <w:trHeight w:val="20"/>
        </w:trPr>
        <w:tc>
          <w:tcPr>
            <w:tcW w:w="5000" w:type="pct"/>
            <w:vAlign w:val="center"/>
            <w:hideMark/>
          </w:tcPr>
          <w:p w14:paraId="6732F28E" w14:textId="77777777" w:rsidR="003B0AA1" w:rsidRPr="00731632" w:rsidRDefault="003B0AA1" w:rsidP="00A40773">
            <w:pPr>
              <w:pStyle w:val="TableText0"/>
              <w:keepNext w:val="0"/>
            </w:pPr>
            <w:r w:rsidRPr="00731632">
              <w:rPr>
                <w:b/>
              </w:rPr>
              <w:t>Treatment criteria:</w:t>
            </w:r>
          </w:p>
        </w:tc>
      </w:tr>
      <w:tr w:rsidR="003B0AA1" w:rsidRPr="00731632" w14:paraId="0AFE9807" w14:textId="77777777" w:rsidTr="00866F91">
        <w:trPr>
          <w:cantSplit/>
          <w:trHeight w:val="20"/>
        </w:trPr>
        <w:tc>
          <w:tcPr>
            <w:tcW w:w="5000" w:type="pct"/>
            <w:vAlign w:val="center"/>
            <w:hideMark/>
          </w:tcPr>
          <w:p w14:paraId="3A8E9533" w14:textId="77777777" w:rsidR="003B0AA1" w:rsidRPr="00731632" w:rsidRDefault="003B0AA1" w:rsidP="00A40773">
            <w:pPr>
              <w:pStyle w:val="TableText0"/>
              <w:keepNext w:val="0"/>
              <w:rPr>
                <w:i/>
                <w:iCs/>
              </w:rPr>
            </w:pPr>
            <w:r w:rsidRPr="00731632">
              <w:rPr>
                <w:rFonts w:eastAsia="Times New Roman" w:cs="Arial"/>
              </w:rPr>
              <w:t>Must be treated by a medical practitioner, a nurse practitioner or a midwife.</w:t>
            </w:r>
          </w:p>
        </w:tc>
      </w:tr>
      <w:tr w:rsidR="003B0AA1" w:rsidRPr="00731632" w14:paraId="79958A64" w14:textId="77777777" w:rsidTr="00866F91">
        <w:trPr>
          <w:cantSplit/>
          <w:trHeight w:val="20"/>
        </w:trPr>
        <w:tc>
          <w:tcPr>
            <w:tcW w:w="5000" w:type="pct"/>
            <w:vAlign w:val="center"/>
            <w:hideMark/>
          </w:tcPr>
          <w:p w14:paraId="641AF77E" w14:textId="77777777" w:rsidR="003B0AA1" w:rsidRPr="00731632" w:rsidRDefault="003B0AA1" w:rsidP="00A40773">
            <w:pPr>
              <w:pStyle w:val="TableText0"/>
              <w:keepNext w:val="0"/>
            </w:pPr>
            <w:r w:rsidRPr="00731632">
              <w:rPr>
                <w:b/>
              </w:rPr>
              <w:t>Population criteria:</w:t>
            </w:r>
          </w:p>
        </w:tc>
      </w:tr>
      <w:tr w:rsidR="003B0AA1" w:rsidRPr="00731632" w14:paraId="6D80CA6D" w14:textId="77777777" w:rsidTr="00866F91">
        <w:trPr>
          <w:cantSplit/>
          <w:trHeight w:val="20"/>
        </w:trPr>
        <w:tc>
          <w:tcPr>
            <w:tcW w:w="5000" w:type="pct"/>
            <w:vAlign w:val="center"/>
          </w:tcPr>
          <w:p w14:paraId="78EB1490" w14:textId="77777777" w:rsidR="003B0AA1" w:rsidRPr="00731632" w:rsidRDefault="003B0AA1" w:rsidP="00A40773">
            <w:pPr>
              <w:contextualSpacing/>
              <w:rPr>
                <w:rFonts w:ascii="Arial Narrow" w:hAnsi="Arial Narrow"/>
                <w:sz w:val="20"/>
              </w:rPr>
            </w:pPr>
            <w:r w:rsidRPr="00731632">
              <w:rPr>
                <w:rFonts w:ascii="Arial Narrow" w:hAnsi="Arial Narrow"/>
                <w:sz w:val="20"/>
              </w:rPr>
              <w:t>Patient must be younger than 12 months of age</w:t>
            </w:r>
          </w:p>
        </w:tc>
      </w:tr>
      <w:tr w:rsidR="003B0AA1" w:rsidRPr="00731632" w14:paraId="12A11D05" w14:textId="77777777" w:rsidTr="00866F91">
        <w:trPr>
          <w:cantSplit/>
          <w:trHeight w:val="20"/>
        </w:trPr>
        <w:tc>
          <w:tcPr>
            <w:tcW w:w="5000" w:type="pct"/>
            <w:vAlign w:val="center"/>
          </w:tcPr>
          <w:p w14:paraId="00E2AA04" w14:textId="77777777" w:rsidR="003B0AA1" w:rsidRPr="00731632" w:rsidRDefault="003B0AA1" w:rsidP="00A40773">
            <w:pPr>
              <w:contextualSpacing/>
              <w:rPr>
                <w:rFonts w:ascii="Arial Narrow" w:hAnsi="Arial Narrow"/>
                <w:b/>
                <w:bCs/>
                <w:sz w:val="20"/>
              </w:rPr>
            </w:pPr>
            <w:r w:rsidRPr="00731632">
              <w:rPr>
                <w:rFonts w:ascii="Arial Narrow" w:hAnsi="Arial Narrow"/>
                <w:b/>
                <w:bCs/>
                <w:sz w:val="20"/>
              </w:rPr>
              <w:t>AND</w:t>
            </w:r>
          </w:p>
        </w:tc>
      </w:tr>
      <w:tr w:rsidR="003B0AA1" w:rsidRPr="00731632" w14:paraId="2396CAB0" w14:textId="77777777" w:rsidTr="00866F91">
        <w:trPr>
          <w:cantSplit/>
          <w:trHeight w:val="20"/>
        </w:trPr>
        <w:tc>
          <w:tcPr>
            <w:tcW w:w="5000" w:type="pct"/>
            <w:vAlign w:val="center"/>
          </w:tcPr>
          <w:p w14:paraId="49E2F9D2" w14:textId="0E3917CB" w:rsidR="003B0AA1" w:rsidRPr="00731632" w:rsidRDefault="003B0AA1" w:rsidP="00A40773">
            <w:pPr>
              <w:contextualSpacing/>
              <w:rPr>
                <w:rFonts w:ascii="Arial Narrow" w:hAnsi="Arial Narrow"/>
                <w:b/>
                <w:bCs/>
                <w:sz w:val="20"/>
              </w:rPr>
            </w:pPr>
            <w:r w:rsidRPr="00731632">
              <w:rPr>
                <w:rFonts w:ascii="Arial Narrow" w:hAnsi="Arial Narrow"/>
                <w:sz w:val="20"/>
              </w:rPr>
              <w:t>Patient is born during or entering the</w:t>
            </w:r>
            <w:r w:rsidR="00BB19BB" w:rsidRPr="00731632">
              <w:rPr>
                <w:rFonts w:ascii="Arial Narrow" w:hAnsi="Arial Narrow"/>
                <w:sz w:val="20"/>
              </w:rPr>
              <w:t>ir</w:t>
            </w:r>
            <w:r w:rsidRPr="00731632">
              <w:rPr>
                <w:rFonts w:ascii="Arial Narrow" w:hAnsi="Arial Narrow"/>
                <w:sz w:val="20"/>
              </w:rPr>
              <w:t xml:space="preserve"> first RSV season.</w:t>
            </w:r>
          </w:p>
        </w:tc>
      </w:tr>
      <w:tr w:rsidR="003B0AA1" w:rsidRPr="00731632" w14:paraId="61AC25A3" w14:textId="77777777" w:rsidTr="00866F91">
        <w:trPr>
          <w:cantSplit/>
          <w:trHeight w:val="20"/>
        </w:trPr>
        <w:tc>
          <w:tcPr>
            <w:tcW w:w="5000" w:type="pct"/>
            <w:vAlign w:val="center"/>
            <w:hideMark/>
          </w:tcPr>
          <w:p w14:paraId="6AEA988D" w14:textId="127FDAE7" w:rsidR="003B0AA1" w:rsidRPr="00731632" w:rsidRDefault="003B0AA1" w:rsidP="00A40773">
            <w:pPr>
              <w:pStyle w:val="TableText0"/>
              <w:keepNext w:val="0"/>
              <w:rPr>
                <w:bCs w:val="0"/>
              </w:rPr>
            </w:pPr>
            <w:r w:rsidRPr="00731632">
              <w:rPr>
                <w:b/>
              </w:rPr>
              <w:t xml:space="preserve">Administrative Advice: </w:t>
            </w:r>
            <w:r w:rsidRPr="00731632">
              <w:rPr>
                <w:bCs w:val="0"/>
              </w:rPr>
              <w:t>Nirsevimab is intended to prevent and not treat RSV disease</w:t>
            </w:r>
            <w:r w:rsidR="008E3D74" w:rsidRPr="00731632">
              <w:rPr>
                <w:bCs w:val="0"/>
              </w:rPr>
              <w:t xml:space="preserve">. </w:t>
            </w:r>
          </w:p>
          <w:p w14:paraId="44EB5887" w14:textId="77777777" w:rsidR="003B0AA1" w:rsidRPr="00731632" w:rsidRDefault="003B0AA1" w:rsidP="00A40773">
            <w:pPr>
              <w:pStyle w:val="TableText0"/>
              <w:keepNext w:val="0"/>
              <w:rPr>
                <w:bCs w:val="0"/>
              </w:rPr>
            </w:pPr>
          </w:p>
          <w:p w14:paraId="13AFFDE6" w14:textId="715D687A" w:rsidR="003B0AA1" w:rsidRPr="00731632" w:rsidRDefault="003B0AA1" w:rsidP="00A40773">
            <w:pPr>
              <w:pStyle w:val="TableText0"/>
              <w:keepNext w:val="0"/>
            </w:pPr>
            <w:r w:rsidRPr="00731632">
              <w:rPr>
                <w:bCs w:val="0"/>
              </w:rPr>
              <w:t>Nirsevimab should be administered prior to the RSV season according to local guidelines and recommendations. If the patient is born during the RSV season, nirsevimab should be administered as soon as possible after birth</w:t>
            </w:r>
            <w:r w:rsidRPr="00731632">
              <w:rPr>
                <w:bCs w:val="0"/>
                <w:color w:val="0066FF"/>
              </w:rPr>
              <w:t>.</w:t>
            </w:r>
            <w:r w:rsidR="008174D6" w:rsidRPr="00731632">
              <w:rPr>
                <w:bCs w:val="0"/>
                <w:color w:val="0066FF"/>
              </w:rPr>
              <w:t xml:space="preserve"> </w:t>
            </w:r>
          </w:p>
        </w:tc>
      </w:tr>
    </w:tbl>
    <w:p w14:paraId="4233C431" w14:textId="77777777" w:rsidR="003B0AA1" w:rsidRPr="00731632" w:rsidRDefault="003B0AA1" w:rsidP="00411264">
      <w:pPr>
        <w:keepNext/>
      </w:pPr>
    </w:p>
    <w:p w14:paraId="27F1AAFC" w14:textId="55299816" w:rsidR="003B0AA1" w:rsidRPr="00731632" w:rsidRDefault="003B0AA1" w:rsidP="00411264">
      <w:pPr>
        <w:pStyle w:val="FooterTableFigure"/>
        <w:keepLines/>
        <w:widowControl w:val="0"/>
        <w:spacing w:after="0"/>
      </w:pPr>
      <w:r w:rsidRPr="00731632">
        <w:rPr>
          <w:b/>
          <w:bCs/>
          <w:sz w:val="20"/>
          <w:szCs w:val="20"/>
        </w:rPr>
        <w:t>Proposed PBS restriction wording for children up to 24 months of age who remain vulnerable to severe RSV disease through their second RSV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B0AA1" w:rsidRPr="00731632" w14:paraId="1A780862" w14:textId="77777777" w:rsidTr="00866F91">
        <w:trPr>
          <w:cantSplit/>
          <w:trHeight w:val="20"/>
        </w:trPr>
        <w:tc>
          <w:tcPr>
            <w:tcW w:w="5000" w:type="pct"/>
          </w:tcPr>
          <w:p w14:paraId="7D394E26" w14:textId="77777777" w:rsidR="003B0AA1" w:rsidRPr="00731632" w:rsidRDefault="003B0AA1" w:rsidP="00411264">
            <w:pPr>
              <w:pStyle w:val="TableText0"/>
              <w:keepNext w:val="0"/>
              <w:keepLines/>
              <w:widowControl w:val="0"/>
            </w:pPr>
            <w:r w:rsidRPr="00731632">
              <w:rPr>
                <w:b/>
              </w:rPr>
              <w:t xml:space="preserve">Category / Program: </w:t>
            </w:r>
            <w:r w:rsidRPr="00731632">
              <w:rPr>
                <w:rFonts w:eastAsia="Times New Roman"/>
              </w:rPr>
              <w:t>Section 85 (general schedule)</w:t>
            </w:r>
          </w:p>
        </w:tc>
      </w:tr>
      <w:tr w:rsidR="003B0AA1" w:rsidRPr="00731632" w14:paraId="66DA61E5" w14:textId="77777777" w:rsidTr="00866F91">
        <w:trPr>
          <w:cantSplit/>
          <w:trHeight w:val="20"/>
        </w:trPr>
        <w:tc>
          <w:tcPr>
            <w:tcW w:w="5000" w:type="pct"/>
          </w:tcPr>
          <w:p w14:paraId="09E665C1" w14:textId="77777777" w:rsidR="003B0AA1" w:rsidRPr="00731632" w:rsidRDefault="003B0AA1" w:rsidP="00411264">
            <w:pPr>
              <w:pStyle w:val="TableText0"/>
              <w:keepNext w:val="0"/>
              <w:keepLines/>
              <w:widowControl w:val="0"/>
              <w:rPr>
                <w:b/>
              </w:rPr>
            </w:pPr>
            <w:r w:rsidRPr="00731632">
              <w:rPr>
                <w:b/>
              </w:rPr>
              <w:t xml:space="preserve">Prescriber type: </w:t>
            </w:r>
            <w:r w:rsidRPr="00731632">
              <w:fldChar w:fldCharType="begin">
                <w:ffData>
                  <w:name w:val="Check1"/>
                  <w:enabled/>
                  <w:calcOnExit w:val="0"/>
                  <w:checkBox>
                    <w:sizeAuto/>
                    <w:default w:val="0"/>
                  </w:checkBox>
                </w:ffData>
              </w:fldChar>
            </w:r>
            <w:r w:rsidRPr="00731632">
              <w:instrText xml:space="preserve"> FORMCHECKBOX </w:instrText>
            </w:r>
            <w:r w:rsidR="00D770BB">
              <w:fldChar w:fldCharType="separate"/>
            </w:r>
            <w:r w:rsidRPr="00731632">
              <w:fldChar w:fldCharType="end"/>
            </w:r>
            <w:r w:rsidRPr="00731632">
              <w:t xml:space="preserve">Dental </w:t>
            </w:r>
            <w:r w:rsidRPr="00731632">
              <w:fldChar w:fldCharType="begin">
                <w:ffData>
                  <w:name w:val=""/>
                  <w:enabled/>
                  <w:calcOnExit w:val="0"/>
                  <w:checkBox>
                    <w:sizeAuto/>
                    <w:default w:val="1"/>
                  </w:checkBox>
                </w:ffData>
              </w:fldChar>
            </w:r>
            <w:r w:rsidRPr="00731632">
              <w:instrText xml:space="preserve"> FORMCHECKBOX </w:instrText>
            </w:r>
            <w:r w:rsidR="00D770BB">
              <w:fldChar w:fldCharType="separate"/>
            </w:r>
            <w:r w:rsidRPr="00731632">
              <w:fldChar w:fldCharType="end"/>
            </w:r>
            <w:r w:rsidRPr="00731632">
              <w:t xml:space="preserve">Medical Practitioners </w:t>
            </w:r>
            <w:r w:rsidRPr="00731632">
              <w:fldChar w:fldCharType="begin">
                <w:ffData>
                  <w:name w:val="Check3"/>
                  <w:enabled/>
                  <w:calcOnExit w:val="0"/>
                  <w:checkBox>
                    <w:sizeAuto/>
                    <w:default w:val="1"/>
                  </w:checkBox>
                </w:ffData>
              </w:fldChar>
            </w:r>
            <w:r w:rsidRPr="00731632">
              <w:instrText xml:space="preserve"> FORMCHECKBOX </w:instrText>
            </w:r>
            <w:r w:rsidR="00D770BB">
              <w:fldChar w:fldCharType="separate"/>
            </w:r>
            <w:r w:rsidRPr="00731632">
              <w:fldChar w:fldCharType="end"/>
            </w:r>
            <w:r w:rsidRPr="00731632">
              <w:t xml:space="preserve">Nurse practitioners </w:t>
            </w:r>
            <w:r w:rsidRPr="00731632">
              <w:fldChar w:fldCharType="begin">
                <w:ffData>
                  <w:name w:val=""/>
                  <w:enabled/>
                  <w:calcOnExit w:val="0"/>
                  <w:checkBox>
                    <w:sizeAuto/>
                    <w:default w:val="0"/>
                  </w:checkBox>
                </w:ffData>
              </w:fldChar>
            </w:r>
            <w:r w:rsidRPr="00731632">
              <w:instrText xml:space="preserve"> FORMCHECKBOX </w:instrText>
            </w:r>
            <w:r w:rsidR="00D770BB">
              <w:fldChar w:fldCharType="separate"/>
            </w:r>
            <w:r w:rsidRPr="00731632">
              <w:fldChar w:fldCharType="end"/>
            </w:r>
            <w:r w:rsidRPr="00731632">
              <w:t xml:space="preserve">Optometrists </w:t>
            </w:r>
            <w:r w:rsidRPr="00731632">
              <w:fldChar w:fldCharType="begin">
                <w:ffData>
                  <w:name w:val="Check5"/>
                  <w:enabled/>
                  <w:calcOnExit w:val="0"/>
                  <w:checkBox>
                    <w:sizeAuto/>
                    <w:default w:val="1"/>
                  </w:checkBox>
                </w:ffData>
              </w:fldChar>
            </w:r>
            <w:r w:rsidRPr="00731632">
              <w:instrText xml:space="preserve"> FORMCHECKBOX </w:instrText>
            </w:r>
            <w:r w:rsidR="00D770BB">
              <w:fldChar w:fldCharType="separate"/>
            </w:r>
            <w:r w:rsidRPr="00731632">
              <w:fldChar w:fldCharType="end"/>
            </w:r>
            <w:r w:rsidRPr="00731632">
              <w:t xml:space="preserve"> Midwives</w:t>
            </w:r>
          </w:p>
        </w:tc>
      </w:tr>
      <w:tr w:rsidR="003B0AA1" w:rsidRPr="00731632" w14:paraId="59EFDB2D" w14:textId="77777777" w:rsidTr="00866F91">
        <w:trPr>
          <w:cantSplit/>
          <w:trHeight w:val="20"/>
        </w:trPr>
        <w:tc>
          <w:tcPr>
            <w:tcW w:w="5000" w:type="pct"/>
          </w:tcPr>
          <w:p w14:paraId="62EA84A7" w14:textId="77777777" w:rsidR="003B0AA1" w:rsidRPr="00731632" w:rsidRDefault="003B0AA1" w:rsidP="00411264">
            <w:pPr>
              <w:pStyle w:val="TableText0"/>
              <w:keepNext w:val="0"/>
              <w:keepLines/>
              <w:widowControl w:val="0"/>
              <w:rPr>
                <w:rFonts w:eastAsia="Times New Roman"/>
              </w:rPr>
            </w:pPr>
            <w:r w:rsidRPr="00731632">
              <w:rPr>
                <w:b/>
              </w:rPr>
              <w:t>Restriction type:</w:t>
            </w:r>
            <w:r w:rsidRPr="00731632">
              <w:rPr>
                <w:rFonts w:eastAsia="Times New Roman"/>
              </w:rPr>
              <w:t xml:space="preserve"> </w:t>
            </w:r>
            <w:r w:rsidRPr="00731632">
              <w:rPr>
                <w:rFonts w:eastAsia="Times New Roman"/>
              </w:rPr>
              <w:fldChar w:fldCharType="begin">
                <w:ffData>
                  <w:name w:val="Check1"/>
                  <w:enabled/>
                  <w:calcOnExit w:val="0"/>
                  <w:checkBox>
                    <w:sizeAuto/>
                    <w:default w:val="1"/>
                  </w:checkBox>
                </w:ffData>
              </w:fldChar>
            </w:r>
            <w:r w:rsidRPr="00731632">
              <w:rPr>
                <w:rFonts w:eastAsia="Times New Roman"/>
              </w:rPr>
              <w:instrText xml:space="preserve"> FORMCHECKBOX </w:instrText>
            </w:r>
            <w:r w:rsidR="00D770BB">
              <w:rPr>
                <w:rFonts w:eastAsia="Times New Roman"/>
              </w:rPr>
            </w:r>
            <w:r w:rsidR="00D770BB">
              <w:rPr>
                <w:rFonts w:eastAsia="Times New Roman"/>
              </w:rPr>
              <w:fldChar w:fldCharType="separate"/>
            </w:r>
            <w:r w:rsidRPr="00731632">
              <w:rPr>
                <w:rFonts w:eastAsia="Times New Roman"/>
              </w:rPr>
              <w:fldChar w:fldCharType="end"/>
            </w:r>
            <w:r w:rsidRPr="00731632">
              <w:rPr>
                <w:rFonts w:eastAsia="Times New Roman"/>
              </w:rPr>
              <w:t>Restricted benefit</w:t>
            </w:r>
          </w:p>
        </w:tc>
      </w:tr>
      <w:tr w:rsidR="003B0AA1" w:rsidRPr="00731632" w14:paraId="707F3136" w14:textId="77777777" w:rsidTr="00866F91">
        <w:trPr>
          <w:cantSplit/>
          <w:trHeight w:val="20"/>
        </w:trPr>
        <w:tc>
          <w:tcPr>
            <w:tcW w:w="5000" w:type="pct"/>
            <w:vAlign w:val="center"/>
          </w:tcPr>
          <w:p w14:paraId="61B82563" w14:textId="7291803D" w:rsidR="003B0AA1" w:rsidRPr="00731632" w:rsidRDefault="003B0AA1" w:rsidP="00411264">
            <w:pPr>
              <w:pStyle w:val="TableText0"/>
              <w:keepNext w:val="0"/>
              <w:keepLines/>
              <w:widowControl w:val="0"/>
              <w:rPr>
                <w:b/>
              </w:rPr>
            </w:pPr>
            <w:r w:rsidRPr="00731632">
              <w:rPr>
                <w:b/>
              </w:rPr>
              <w:t xml:space="preserve">Condition: </w:t>
            </w:r>
            <w:r w:rsidRPr="00731632">
              <w:rPr>
                <w:bCs w:val="0"/>
              </w:rPr>
              <w:t xml:space="preserve">respiratory syncytial virus </w:t>
            </w:r>
            <w:r w:rsidR="00876266" w:rsidRPr="00731632">
              <w:rPr>
                <w:bCs w:val="0"/>
              </w:rPr>
              <w:t>infection</w:t>
            </w:r>
          </w:p>
        </w:tc>
      </w:tr>
      <w:tr w:rsidR="003B0AA1" w:rsidRPr="00731632" w14:paraId="5ACBFABF" w14:textId="77777777" w:rsidTr="00866F91">
        <w:trPr>
          <w:cantSplit/>
          <w:trHeight w:val="20"/>
        </w:trPr>
        <w:tc>
          <w:tcPr>
            <w:tcW w:w="5000" w:type="pct"/>
            <w:vAlign w:val="center"/>
            <w:hideMark/>
          </w:tcPr>
          <w:p w14:paraId="5A8FD42F" w14:textId="77777777" w:rsidR="003B0AA1" w:rsidRPr="00731632" w:rsidRDefault="003B0AA1" w:rsidP="00411264">
            <w:pPr>
              <w:pStyle w:val="TableText0"/>
              <w:keepNext w:val="0"/>
              <w:keepLines/>
              <w:widowControl w:val="0"/>
            </w:pPr>
            <w:r w:rsidRPr="00731632">
              <w:rPr>
                <w:b/>
              </w:rPr>
              <w:t>Indication:</w:t>
            </w:r>
            <w:r w:rsidRPr="00731632">
              <w:t xml:space="preserve"> </w:t>
            </w:r>
            <w:r w:rsidRPr="00731632">
              <w:rPr>
                <w:rFonts w:eastAsia="Times New Roman"/>
              </w:rPr>
              <w:t>Prevention of lower respiratory tract infection caused by respiratory syncytial virus (RSV)</w:t>
            </w:r>
          </w:p>
        </w:tc>
      </w:tr>
      <w:tr w:rsidR="003B0AA1" w:rsidRPr="00731632" w14:paraId="08EFA095" w14:textId="77777777" w:rsidTr="00866F91">
        <w:trPr>
          <w:cantSplit/>
          <w:trHeight w:val="20"/>
        </w:trPr>
        <w:tc>
          <w:tcPr>
            <w:tcW w:w="5000" w:type="pct"/>
            <w:vAlign w:val="center"/>
            <w:hideMark/>
          </w:tcPr>
          <w:p w14:paraId="5E5F4BE6" w14:textId="77777777" w:rsidR="003B0AA1" w:rsidRPr="00731632" w:rsidRDefault="003B0AA1" w:rsidP="00411264">
            <w:pPr>
              <w:pStyle w:val="TableText0"/>
              <w:keepNext w:val="0"/>
              <w:keepLines/>
              <w:widowControl w:val="0"/>
            </w:pPr>
            <w:r w:rsidRPr="00731632">
              <w:rPr>
                <w:b/>
              </w:rPr>
              <w:t>Clinical criteria:</w:t>
            </w:r>
          </w:p>
        </w:tc>
      </w:tr>
      <w:tr w:rsidR="003B0AA1" w:rsidRPr="00731632" w14:paraId="334CA172" w14:textId="77777777" w:rsidTr="00866F91">
        <w:trPr>
          <w:cantSplit/>
          <w:trHeight w:val="20"/>
        </w:trPr>
        <w:tc>
          <w:tcPr>
            <w:tcW w:w="5000" w:type="pct"/>
            <w:vAlign w:val="center"/>
            <w:hideMark/>
          </w:tcPr>
          <w:p w14:paraId="6BF0286D" w14:textId="77777777" w:rsidR="003B0AA1" w:rsidRPr="00731632" w:rsidRDefault="003B0AA1" w:rsidP="00411264">
            <w:pPr>
              <w:keepLines/>
              <w:widowControl w:val="0"/>
              <w:rPr>
                <w:rFonts w:ascii="Arial Narrow" w:hAnsi="Arial Narrow"/>
                <w:sz w:val="20"/>
              </w:rPr>
            </w:pPr>
            <w:r w:rsidRPr="00731632">
              <w:rPr>
                <w:rFonts w:ascii="Arial Narrow" w:hAnsi="Arial Narrow"/>
                <w:sz w:val="20"/>
              </w:rPr>
              <w:t xml:space="preserve">Patient is at risk of severe RSV disease defined as: </w:t>
            </w:r>
          </w:p>
          <w:p w14:paraId="774BD58E" w14:textId="77777777" w:rsidR="003B0AA1" w:rsidRPr="00731632" w:rsidRDefault="003B0AA1" w:rsidP="00411264">
            <w:pPr>
              <w:keepLines/>
              <w:widowControl w:val="0"/>
              <w:rPr>
                <w:rFonts w:ascii="Arial Narrow" w:hAnsi="Arial Narrow"/>
                <w:sz w:val="20"/>
              </w:rPr>
            </w:pPr>
            <w:r w:rsidRPr="00731632">
              <w:rPr>
                <w:rFonts w:ascii="Arial Narrow" w:hAnsi="Arial Narrow"/>
                <w:sz w:val="20"/>
              </w:rPr>
              <w:t xml:space="preserve">Having a history of prematurity (less than or equal to 35 weeks at birth), </w:t>
            </w:r>
          </w:p>
        </w:tc>
      </w:tr>
      <w:tr w:rsidR="003B0AA1" w:rsidRPr="00731632" w14:paraId="5F668C0F" w14:textId="77777777" w:rsidTr="00866F91">
        <w:trPr>
          <w:cantSplit/>
          <w:trHeight w:val="20"/>
        </w:trPr>
        <w:tc>
          <w:tcPr>
            <w:tcW w:w="5000" w:type="pct"/>
            <w:vAlign w:val="center"/>
            <w:hideMark/>
          </w:tcPr>
          <w:p w14:paraId="1DDA6BCE" w14:textId="77777777" w:rsidR="003B0AA1" w:rsidRPr="00731632" w:rsidRDefault="003B0AA1" w:rsidP="00411264">
            <w:pPr>
              <w:pStyle w:val="TableText0"/>
              <w:keepNext w:val="0"/>
              <w:keepLines/>
              <w:widowControl w:val="0"/>
              <w:rPr>
                <w:b/>
                <w:bCs w:val="0"/>
              </w:rPr>
            </w:pPr>
            <w:r w:rsidRPr="00731632">
              <w:rPr>
                <w:b/>
                <w:bCs w:val="0"/>
              </w:rPr>
              <w:t>OR</w:t>
            </w:r>
          </w:p>
        </w:tc>
      </w:tr>
      <w:tr w:rsidR="003B0AA1" w:rsidRPr="00731632" w14:paraId="41CD3FA7" w14:textId="77777777" w:rsidTr="00866F91">
        <w:trPr>
          <w:cantSplit/>
          <w:trHeight w:val="20"/>
        </w:trPr>
        <w:tc>
          <w:tcPr>
            <w:tcW w:w="5000" w:type="pct"/>
            <w:vAlign w:val="center"/>
            <w:hideMark/>
          </w:tcPr>
          <w:p w14:paraId="7C180D90" w14:textId="77777777" w:rsidR="003B0AA1" w:rsidRPr="00731632" w:rsidRDefault="003B0AA1" w:rsidP="00411264">
            <w:pPr>
              <w:pStyle w:val="TableText0"/>
              <w:keepNext w:val="0"/>
              <w:keepLines/>
              <w:widowControl w:val="0"/>
              <w:rPr>
                <w:color w:val="0066FF"/>
              </w:rPr>
            </w:pPr>
            <w:r w:rsidRPr="00731632">
              <w:rPr>
                <w:rFonts w:eastAsia="Times New Roman"/>
              </w:rPr>
              <w:t>Patient must have established bronchopulmonary dysplasia</w:t>
            </w:r>
          </w:p>
        </w:tc>
      </w:tr>
      <w:tr w:rsidR="003B0AA1" w:rsidRPr="00731632" w14:paraId="4AE0177C" w14:textId="77777777" w:rsidTr="00866F91">
        <w:trPr>
          <w:cantSplit/>
          <w:trHeight w:val="20"/>
        </w:trPr>
        <w:tc>
          <w:tcPr>
            <w:tcW w:w="5000" w:type="pct"/>
            <w:vAlign w:val="center"/>
          </w:tcPr>
          <w:p w14:paraId="7A0FCAB2" w14:textId="77777777" w:rsidR="003B0AA1" w:rsidRPr="00731632" w:rsidRDefault="003B0AA1" w:rsidP="00411264">
            <w:pPr>
              <w:pStyle w:val="TableText0"/>
              <w:keepNext w:val="0"/>
              <w:keepLines/>
              <w:widowControl w:val="0"/>
              <w:rPr>
                <w:rFonts w:eastAsia="Times New Roman"/>
                <w:b/>
                <w:bCs w:val="0"/>
              </w:rPr>
            </w:pPr>
            <w:r w:rsidRPr="00731632">
              <w:rPr>
                <w:rFonts w:eastAsia="Times New Roman"/>
                <w:b/>
                <w:bCs w:val="0"/>
              </w:rPr>
              <w:t>OR</w:t>
            </w:r>
          </w:p>
        </w:tc>
      </w:tr>
      <w:tr w:rsidR="003B0AA1" w:rsidRPr="00731632" w14:paraId="0203705A" w14:textId="77777777" w:rsidTr="00866F91">
        <w:trPr>
          <w:cantSplit/>
          <w:trHeight w:val="20"/>
        </w:trPr>
        <w:tc>
          <w:tcPr>
            <w:tcW w:w="5000" w:type="pct"/>
            <w:vAlign w:val="center"/>
          </w:tcPr>
          <w:p w14:paraId="11F1BD9A" w14:textId="77777777" w:rsidR="003B0AA1" w:rsidRPr="00731632" w:rsidRDefault="003B0AA1" w:rsidP="00411264">
            <w:pPr>
              <w:pStyle w:val="TableText0"/>
              <w:keepNext w:val="0"/>
              <w:keepLines/>
              <w:widowControl w:val="0"/>
              <w:rPr>
                <w:rFonts w:eastAsia="Times New Roman"/>
              </w:rPr>
            </w:pPr>
            <w:r w:rsidRPr="00731632">
              <w:rPr>
                <w:rFonts w:eastAsia="Times New Roman"/>
              </w:rPr>
              <w:t>Patient must have haemodynamically significant congenital heart disease</w:t>
            </w:r>
          </w:p>
        </w:tc>
      </w:tr>
      <w:tr w:rsidR="003B0AA1" w:rsidRPr="00731632" w14:paraId="02D523C9" w14:textId="77777777" w:rsidTr="00866F91">
        <w:trPr>
          <w:cantSplit/>
          <w:trHeight w:val="20"/>
        </w:trPr>
        <w:tc>
          <w:tcPr>
            <w:tcW w:w="5000" w:type="pct"/>
            <w:vAlign w:val="center"/>
          </w:tcPr>
          <w:p w14:paraId="58F9D109" w14:textId="77777777" w:rsidR="003B0AA1" w:rsidRPr="00731632" w:rsidRDefault="003B0AA1" w:rsidP="00411264">
            <w:pPr>
              <w:pStyle w:val="TableText0"/>
              <w:keepNext w:val="0"/>
              <w:keepLines/>
              <w:widowControl w:val="0"/>
              <w:rPr>
                <w:rFonts w:eastAsia="Times New Roman"/>
                <w:b/>
                <w:bCs w:val="0"/>
              </w:rPr>
            </w:pPr>
            <w:r w:rsidRPr="00731632">
              <w:rPr>
                <w:rFonts w:eastAsia="Times New Roman"/>
                <w:b/>
                <w:bCs w:val="0"/>
              </w:rPr>
              <w:t>AND</w:t>
            </w:r>
          </w:p>
        </w:tc>
      </w:tr>
      <w:tr w:rsidR="003B0AA1" w:rsidRPr="00731632" w14:paraId="07B02BCE" w14:textId="77777777" w:rsidTr="00866F91">
        <w:trPr>
          <w:cantSplit/>
          <w:trHeight w:val="20"/>
        </w:trPr>
        <w:tc>
          <w:tcPr>
            <w:tcW w:w="5000" w:type="pct"/>
            <w:vAlign w:val="center"/>
          </w:tcPr>
          <w:p w14:paraId="45CA9482" w14:textId="77777777" w:rsidR="003B0AA1" w:rsidRPr="00731632" w:rsidRDefault="003B0AA1" w:rsidP="00411264">
            <w:pPr>
              <w:pStyle w:val="TableText0"/>
              <w:keepNext w:val="0"/>
              <w:keepLines/>
              <w:widowControl w:val="0"/>
              <w:rPr>
                <w:rFonts w:eastAsia="Times New Roman"/>
              </w:rPr>
            </w:pPr>
            <w:r w:rsidRPr="00731632">
              <w:rPr>
                <w:b/>
              </w:rPr>
              <w:t>Clinical criteria:</w:t>
            </w:r>
          </w:p>
        </w:tc>
      </w:tr>
      <w:tr w:rsidR="003B0AA1" w:rsidRPr="00731632" w14:paraId="1E7EA930" w14:textId="77777777" w:rsidTr="00866F91">
        <w:trPr>
          <w:cantSplit/>
          <w:trHeight w:val="20"/>
        </w:trPr>
        <w:tc>
          <w:tcPr>
            <w:tcW w:w="5000" w:type="pct"/>
            <w:vAlign w:val="center"/>
          </w:tcPr>
          <w:p w14:paraId="0C8D2986" w14:textId="77777777" w:rsidR="003B0AA1" w:rsidRPr="00731632" w:rsidRDefault="003B0AA1" w:rsidP="00411264">
            <w:pPr>
              <w:pStyle w:val="TableText0"/>
              <w:keepNext w:val="0"/>
              <w:keepLines/>
              <w:widowControl w:val="0"/>
              <w:rPr>
                <w:rFonts w:eastAsia="Times New Roman"/>
              </w:rPr>
            </w:pPr>
            <w:r w:rsidRPr="00731632">
              <w:rPr>
                <w:rFonts w:eastAsia="Times New Roman"/>
                <w:szCs w:val="20"/>
              </w:rPr>
              <w:t>The treatment must be the sole PBS-subsidised therapy for this condition.</w:t>
            </w:r>
          </w:p>
        </w:tc>
      </w:tr>
      <w:tr w:rsidR="003B0AA1" w:rsidRPr="00731632" w14:paraId="71651D12" w14:textId="77777777" w:rsidTr="00866F91">
        <w:trPr>
          <w:cantSplit/>
          <w:trHeight w:val="20"/>
        </w:trPr>
        <w:tc>
          <w:tcPr>
            <w:tcW w:w="5000" w:type="pct"/>
            <w:vAlign w:val="center"/>
            <w:hideMark/>
          </w:tcPr>
          <w:p w14:paraId="7C2D500E" w14:textId="77777777" w:rsidR="003B0AA1" w:rsidRPr="00731632" w:rsidRDefault="003B0AA1" w:rsidP="00411264">
            <w:pPr>
              <w:pStyle w:val="TableText0"/>
              <w:keepNext w:val="0"/>
              <w:keepLines/>
              <w:widowControl w:val="0"/>
            </w:pPr>
            <w:r w:rsidRPr="00731632">
              <w:rPr>
                <w:b/>
              </w:rPr>
              <w:t>Treatment criteria:</w:t>
            </w:r>
          </w:p>
        </w:tc>
      </w:tr>
      <w:tr w:rsidR="003B0AA1" w:rsidRPr="00731632" w14:paraId="171E2DE0" w14:textId="77777777" w:rsidTr="00866F91">
        <w:trPr>
          <w:cantSplit/>
          <w:trHeight w:val="20"/>
        </w:trPr>
        <w:tc>
          <w:tcPr>
            <w:tcW w:w="5000" w:type="pct"/>
            <w:vAlign w:val="center"/>
            <w:hideMark/>
          </w:tcPr>
          <w:p w14:paraId="4F1942A2" w14:textId="77777777" w:rsidR="003B0AA1" w:rsidRPr="00731632" w:rsidRDefault="003B0AA1" w:rsidP="00411264">
            <w:pPr>
              <w:pStyle w:val="TableText0"/>
              <w:keepNext w:val="0"/>
              <w:keepLines/>
              <w:widowControl w:val="0"/>
              <w:rPr>
                <w:i/>
                <w:iCs/>
              </w:rPr>
            </w:pPr>
            <w:r w:rsidRPr="00731632">
              <w:rPr>
                <w:rFonts w:eastAsia="Times New Roman" w:cs="Arial"/>
              </w:rPr>
              <w:t>Must be treated by a medical practitioner, a nurse practitioner or a midwife.</w:t>
            </w:r>
          </w:p>
        </w:tc>
      </w:tr>
      <w:tr w:rsidR="003B0AA1" w:rsidRPr="00731632" w14:paraId="5BA512DB" w14:textId="77777777" w:rsidTr="00866F91">
        <w:trPr>
          <w:cantSplit/>
          <w:trHeight w:val="20"/>
        </w:trPr>
        <w:tc>
          <w:tcPr>
            <w:tcW w:w="5000" w:type="pct"/>
            <w:vAlign w:val="center"/>
            <w:hideMark/>
          </w:tcPr>
          <w:p w14:paraId="7BD2A8DD" w14:textId="77777777" w:rsidR="003B0AA1" w:rsidRPr="00731632" w:rsidRDefault="003B0AA1" w:rsidP="00411264">
            <w:pPr>
              <w:pStyle w:val="TableText0"/>
              <w:keepNext w:val="0"/>
              <w:keepLines/>
              <w:widowControl w:val="0"/>
            </w:pPr>
            <w:r w:rsidRPr="00731632">
              <w:rPr>
                <w:b/>
              </w:rPr>
              <w:t>Population criteria:</w:t>
            </w:r>
          </w:p>
        </w:tc>
      </w:tr>
      <w:tr w:rsidR="003B0AA1" w:rsidRPr="00731632" w14:paraId="041F8E8A" w14:textId="77777777" w:rsidTr="00866F91">
        <w:trPr>
          <w:cantSplit/>
          <w:trHeight w:val="20"/>
        </w:trPr>
        <w:tc>
          <w:tcPr>
            <w:tcW w:w="5000" w:type="pct"/>
            <w:vAlign w:val="center"/>
          </w:tcPr>
          <w:p w14:paraId="66D13D0A" w14:textId="052ED62F" w:rsidR="003B0AA1" w:rsidRPr="00731632" w:rsidRDefault="003B0AA1" w:rsidP="00411264">
            <w:pPr>
              <w:keepLines/>
              <w:widowControl w:val="0"/>
              <w:rPr>
                <w:rFonts w:ascii="Arial Narrow" w:hAnsi="Arial Narrow"/>
                <w:sz w:val="20"/>
              </w:rPr>
            </w:pPr>
            <w:r w:rsidRPr="00731632">
              <w:rPr>
                <w:rFonts w:ascii="Arial Narrow" w:hAnsi="Arial Narrow"/>
                <w:sz w:val="20"/>
              </w:rPr>
              <w:t>Patient must be 24 months of age or younger</w:t>
            </w:r>
            <w:r w:rsidR="00266A98" w:rsidRPr="00731632">
              <w:rPr>
                <w:rFonts w:ascii="Arial Narrow" w:hAnsi="Arial Narrow"/>
                <w:sz w:val="20"/>
              </w:rPr>
              <w:t xml:space="preserve">   </w:t>
            </w:r>
          </w:p>
        </w:tc>
      </w:tr>
      <w:tr w:rsidR="003B0AA1" w:rsidRPr="00731632" w14:paraId="6574EB46" w14:textId="77777777" w:rsidTr="00866F91">
        <w:trPr>
          <w:cantSplit/>
          <w:trHeight w:val="20"/>
        </w:trPr>
        <w:tc>
          <w:tcPr>
            <w:tcW w:w="5000" w:type="pct"/>
            <w:vAlign w:val="center"/>
          </w:tcPr>
          <w:p w14:paraId="49ABF8CF" w14:textId="77777777" w:rsidR="003B0AA1" w:rsidRPr="00731632" w:rsidRDefault="003B0AA1" w:rsidP="00411264">
            <w:pPr>
              <w:keepLines/>
              <w:widowControl w:val="0"/>
              <w:contextualSpacing/>
              <w:rPr>
                <w:rFonts w:ascii="Arial Narrow" w:hAnsi="Arial Narrow"/>
                <w:b/>
                <w:bCs/>
                <w:sz w:val="20"/>
              </w:rPr>
            </w:pPr>
            <w:r w:rsidRPr="00731632">
              <w:rPr>
                <w:rFonts w:ascii="Arial Narrow" w:hAnsi="Arial Narrow"/>
                <w:b/>
                <w:bCs/>
                <w:sz w:val="20"/>
              </w:rPr>
              <w:t>AND</w:t>
            </w:r>
          </w:p>
        </w:tc>
      </w:tr>
      <w:tr w:rsidR="003B0AA1" w:rsidRPr="00731632" w14:paraId="3A53F4E4" w14:textId="77777777" w:rsidTr="00866F91">
        <w:trPr>
          <w:cantSplit/>
          <w:trHeight w:val="20"/>
        </w:trPr>
        <w:tc>
          <w:tcPr>
            <w:tcW w:w="5000" w:type="pct"/>
            <w:vAlign w:val="center"/>
          </w:tcPr>
          <w:p w14:paraId="5172C09C" w14:textId="77777777" w:rsidR="003B0AA1" w:rsidRPr="00731632" w:rsidRDefault="003B0AA1" w:rsidP="00411264">
            <w:pPr>
              <w:keepLines/>
              <w:widowControl w:val="0"/>
              <w:contextualSpacing/>
              <w:rPr>
                <w:rFonts w:ascii="Arial Narrow" w:hAnsi="Arial Narrow"/>
                <w:b/>
                <w:bCs/>
                <w:sz w:val="20"/>
              </w:rPr>
            </w:pPr>
            <w:r w:rsidRPr="00731632">
              <w:rPr>
                <w:rFonts w:ascii="Arial Narrow" w:hAnsi="Arial Narrow"/>
                <w:sz w:val="20"/>
              </w:rPr>
              <w:t>Patient is entering their second RSV season</w:t>
            </w:r>
          </w:p>
        </w:tc>
      </w:tr>
      <w:tr w:rsidR="003B0AA1" w:rsidRPr="00731632" w14:paraId="3C24F8F4" w14:textId="77777777" w:rsidTr="00866F91">
        <w:trPr>
          <w:cantSplit/>
          <w:trHeight w:val="20"/>
        </w:trPr>
        <w:tc>
          <w:tcPr>
            <w:tcW w:w="5000" w:type="pct"/>
            <w:vAlign w:val="center"/>
            <w:hideMark/>
          </w:tcPr>
          <w:p w14:paraId="41E6AEF6" w14:textId="04598131" w:rsidR="003B0AA1" w:rsidRPr="00731632" w:rsidRDefault="003B0AA1" w:rsidP="00411264">
            <w:pPr>
              <w:pStyle w:val="TableText0"/>
              <w:keepNext w:val="0"/>
              <w:keepLines/>
              <w:widowControl w:val="0"/>
              <w:rPr>
                <w:bCs w:val="0"/>
              </w:rPr>
            </w:pPr>
            <w:r w:rsidRPr="00731632">
              <w:rPr>
                <w:b/>
              </w:rPr>
              <w:t xml:space="preserve">Administrative Advice: </w:t>
            </w:r>
            <w:r w:rsidRPr="00731632">
              <w:rPr>
                <w:bCs w:val="0"/>
              </w:rPr>
              <w:t>Nirsevimab is intended to prevent and not treat RSV disease</w:t>
            </w:r>
            <w:r w:rsidR="008E3D74" w:rsidRPr="00731632">
              <w:rPr>
                <w:bCs w:val="0"/>
              </w:rPr>
              <w:t xml:space="preserve">. </w:t>
            </w:r>
          </w:p>
          <w:p w14:paraId="49D2EEEE" w14:textId="77777777" w:rsidR="003B0AA1" w:rsidRPr="00731632" w:rsidRDefault="003B0AA1" w:rsidP="00411264">
            <w:pPr>
              <w:pStyle w:val="TableText0"/>
              <w:keepNext w:val="0"/>
              <w:keepLines/>
              <w:widowControl w:val="0"/>
            </w:pPr>
            <w:r w:rsidRPr="00731632">
              <w:rPr>
                <w:rFonts w:eastAsia="Times New Roman" w:cs="Arial"/>
              </w:rPr>
              <w:t>Nirsevimab should be administered in time for the second RSV season according to local guidelines and recommendations.</w:t>
            </w:r>
          </w:p>
        </w:tc>
      </w:tr>
    </w:tbl>
    <w:p w14:paraId="5ABAF742" w14:textId="77777777" w:rsidR="00046D64" w:rsidRPr="00743403" w:rsidRDefault="00046D64" w:rsidP="004B1CB4">
      <w:pPr>
        <w:rPr>
          <w:sz w:val="12"/>
          <w:szCs w:val="12"/>
        </w:rPr>
      </w:pPr>
    </w:p>
    <w:p w14:paraId="30EFBA3F" w14:textId="6D98052A" w:rsidR="004D4E5C" w:rsidRPr="00731632" w:rsidRDefault="00EA333C" w:rsidP="007153DC">
      <w:pPr>
        <w:pStyle w:val="3-BodyText"/>
      </w:pPr>
      <w:r w:rsidRPr="00731632">
        <w:t>The submission requested a PBS listing for nirsevimab</w:t>
      </w:r>
      <w:r w:rsidR="004D4E5C" w:rsidRPr="00731632">
        <w:t xml:space="preserve"> in either 50</w:t>
      </w:r>
      <w:r w:rsidR="0010601C" w:rsidRPr="00731632">
        <w:t xml:space="preserve"> </w:t>
      </w:r>
      <w:r w:rsidR="004D4E5C" w:rsidRPr="00731632">
        <w:t>mg/0.5 mL or 100</w:t>
      </w:r>
      <w:r w:rsidR="000C320B" w:rsidRPr="00731632">
        <w:t> </w:t>
      </w:r>
      <w:r w:rsidR="004D4E5C" w:rsidRPr="00731632">
        <w:t>mg/1 mL of solution for use in neonates and infants younger than 12 months of age</w:t>
      </w:r>
      <w:r w:rsidR="007153DC" w:rsidRPr="00731632">
        <w:t xml:space="preserve">. </w:t>
      </w:r>
      <w:r w:rsidR="000C320B" w:rsidRPr="00731632">
        <w:t>I</w:t>
      </w:r>
      <w:r w:rsidR="007153DC" w:rsidRPr="00731632">
        <w:t>nfant</w:t>
      </w:r>
      <w:r w:rsidR="0013546D" w:rsidRPr="00731632">
        <w:t>s</w:t>
      </w:r>
      <w:r w:rsidR="007153DC" w:rsidRPr="00731632">
        <w:t xml:space="preserve"> weighing</w:t>
      </w:r>
      <w:r w:rsidR="004D4E5C" w:rsidRPr="00731632">
        <w:t xml:space="preserve"> &lt;5 kg </w:t>
      </w:r>
      <w:r w:rsidR="000C320B" w:rsidRPr="00731632">
        <w:t xml:space="preserve">would </w:t>
      </w:r>
      <w:r w:rsidR="007153DC" w:rsidRPr="00731632">
        <w:t>receiv</w:t>
      </w:r>
      <w:r w:rsidR="000C320B" w:rsidRPr="00731632">
        <w:t>e</w:t>
      </w:r>
      <w:r w:rsidR="007153DC" w:rsidRPr="00731632">
        <w:t xml:space="preserve"> 50</w:t>
      </w:r>
      <w:r w:rsidR="0010601C" w:rsidRPr="00731632">
        <w:t xml:space="preserve"> </w:t>
      </w:r>
      <w:r w:rsidR="007153DC" w:rsidRPr="00731632">
        <w:t>mg and infants weighing</w:t>
      </w:r>
      <w:r w:rsidR="004D4E5C" w:rsidRPr="00731632">
        <w:t xml:space="preserve"> ≥5 kg</w:t>
      </w:r>
      <w:r w:rsidR="007153DC" w:rsidRPr="00731632">
        <w:t xml:space="preserve"> </w:t>
      </w:r>
      <w:r w:rsidR="000C320B" w:rsidRPr="00731632">
        <w:t xml:space="preserve">would </w:t>
      </w:r>
      <w:r w:rsidR="007153DC" w:rsidRPr="00731632">
        <w:t>receiv</w:t>
      </w:r>
      <w:r w:rsidR="000C320B" w:rsidRPr="00731632">
        <w:t>e</w:t>
      </w:r>
      <w:r w:rsidR="007153DC" w:rsidRPr="00731632">
        <w:t xml:space="preserve"> 100</w:t>
      </w:r>
      <w:r w:rsidR="000C320B" w:rsidRPr="00731632">
        <w:t> </w:t>
      </w:r>
      <w:r w:rsidR="007153DC" w:rsidRPr="00731632">
        <w:t>mg</w:t>
      </w:r>
      <w:r w:rsidR="00165AF8" w:rsidRPr="00731632">
        <w:rPr>
          <w:rStyle w:val="FootnoteReference"/>
        </w:rPr>
        <w:footnoteReference w:id="2"/>
      </w:r>
      <w:r w:rsidR="004D4E5C" w:rsidRPr="00731632">
        <w:t xml:space="preserve">. </w:t>
      </w:r>
      <w:r w:rsidR="007153DC" w:rsidRPr="00731632">
        <w:t xml:space="preserve">Additionally, </w:t>
      </w:r>
      <w:r w:rsidR="007E5D28" w:rsidRPr="00731632">
        <w:t>f</w:t>
      </w:r>
      <w:r w:rsidR="004D4E5C" w:rsidRPr="00731632">
        <w:t>or infants requiring nirsevimab in their second year</w:t>
      </w:r>
      <w:r w:rsidR="007153DC" w:rsidRPr="00731632">
        <w:t xml:space="preserve">, a </w:t>
      </w:r>
      <w:r w:rsidR="004D4E5C" w:rsidRPr="00731632">
        <w:t>200 mg</w:t>
      </w:r>
      <w:r w:rsidR="007153DC" w:rsidRPr="00731632">
        <w:t xml:space="preserve"> </w:t>
      </w:r>
      <w:r w:rsidR="00876266" w:rsidRPr="00731632">
        <w:t xml:space="preserve">dose </w:t>
      </w:r>
      <w:r w:rsidR="007153DC" w:rsidRPr="00731632">
        <w:t>was requested</w:t>
      </w:r>
      <w:r w:rsidR="000C4EB1" w:rsidRPr="00731632">
        <w:t xml:space="preserve">. This </w:t>
      </w:r>
      <w:r w:rsidR="007153DC" w:rsidRPr="00731632">
        <w:t xml:space="preserve">would </w:t>
      </w:r>
      <w:r w:rsidR="000C4EB1" w:rsidRPr="00731632">
        <w:t>require</w:t>
      </w:r>
      <w:r w:rsidR="004D4E5C" w:rsidRPr="00731632">
        <w:t xml:space="preserve"> two 100</w:t>
      </w:r>
      <w:r w:rsidR="0010601C" w:rsidRPr="00731632">
        <w:t xml:space="preserve"> </w:t>
      </w:r>
      <w:r w:rsidR="004D4E5C" w:rsidRPr="00731632">
        <w:t>mg/1</w:t>
      </w:r>
      <w:r w:rsidR="0010601C" w:rsidRPr="00731632">
        <w:t xml:space="preserve"> </w:t>
      </w:r>
      <w:r w:rsidR="004D4E5C" w:rsidRPr="00731632">
        <w:t>mL prefilled syringes</w:t>
      </w:r>
      <w:r w:rsidR="000C320B" w:rsidRPr="00731632">
        <w:t>,</w:t>
      </w:r>
      <w:r w:rsidR="004D4E5C" w:rsidRPr="00731632">
        <w:t xml:space="preserve"> as the complete dose must be given in one sitting. </w:t>
      </w:r>
    </w:p>
    <w:p w14:paraId="647D17AA" w14:textId="246E8954" w:rsidR="00F67A69" w:rsidRPr="00731632" w:rsidRDefault="004D4E5C" w:rsidP="004D4E5C">
      <w:pPr>
        <w:pStyle w:val="3-BodyText"/>
        <w:rPr>
          <w:color w:val="0066FF"/>
        </w:rPr>
      </w:pPr>
      <w:r w:rsidRPr="00731632">
        <w:t xml:space="preserve">Only a single </w:t>
      </w:r>
      <w:r w:rsidR="000C320B" w:rsidRPr="00731632">
        <w:t xml:space="preserve">administration </w:t>
      </w:r>
      <w:r w:rsidRPr="00731632">
        <w:t>of nirsevimab is needed</w:t>
      </w:r>
      <w:r w:rsidR="000C320B" w:rsidRPr="00731632">
        <w:t xml:space="preserve"> (comprising 1 or 2 syringes)</w:t>
      </w:r>
      <w:r w:rsidRPr="00731632">
        <w:t>, therefore there are no repeats needed for any listings.</w:t>
      </w:r>
      <w:r w:rsidR="00376C70" w:rsidRPr="00731632">
        <w:t xml:space="preserve"> However, the</w:t>
      </w:r>
      <w:r w:rsidR="000C320B" w:rsidRPr="00731632">
        <w:t xml:space="preserve"> approved</w:t>
      </w:r>
      <w:r w:rsidR="00376C70" w:rsidRPr="00731632">
        <w:t xml:space="preserve"> </w:t>
      </w:r>
      <w:r w:rsidR="000C320B" w:rsidRPr="00731632">
        <w:t>P</w:t>
      </w:r>
      <w:r w:rsidR="00376C70" w:rsidRPr="00731632">
        <w:t xml:space="preserve">roduct </w:t>
      </w:r>
      <w:r w:rsidR="000C320B" w:rsidRPr="00731632">
        <w:t>I</w:t>
      </w:r>
      <w:r w:rsidR="00376C70" w:rsidRPr="00731632">
        <w:t xml:space="preserve">nformation states that if a child is having a heart operation, they may be given an extra dose of nirsevimab after the operation. </w:t>
      </w:r>
      <w:r w:rsidR="00376C70" w:rsidRPr="00731632">
        <w:rPr>
          <w:iCs/>
        </w:rPr>
        <w:t xml:space="preserve">This </w:t>
      </w:r>
      <w:r w:rsidR="008466C4" w:rsidRPr="00731632">
        <w:rPr>
          <w:iCs/>
        </w:rPr>
        <w:t xml:space="preserve">was </w:t>
      </w:r>
      <w:r w:rsidR="00376C70" w:rsidRPr="00731632">
        <w:rPr>
          <w:iCs/>
        </w:rPr>
        <w:t>not reflected in the proposed listing.</w:t>
      </w:r>
    </w:p>
    <w:p w14:paraId="003D586D" w14:textId="10F77793" w:rsidR="004D4E5C" w:rsidRPr="00731632" w:rsidRDefault="004D4E5C" w:rsidP="00A232EB">
      <w:pPr>
        <w:pStyle w:val="ListParagraph"/>
        <w:numPr>
          <w:ilvl w:val="1"/>
          <w:numId w:val="1"/>
        </w:numPr>
        <w:rPr>
          <w:iCs/>
          <w:color w:val="0066FF"/>
        </w:rPr>
      </w:pPr>
      <w:r w:rsidRPr="00731632">
        <w:t>Although the submission requested PBS listing for nirsevimab, the sponsor was of the opinion that listing of nirsevimab on the</w:t>
      </w:r>
      <w:r w:rsidR="0010601C" w:rsidRPr="00731632">
        <w:t xml:space="preserve"> National Immunisation Program (</w:t>
      </w:r>
      <w:r w:rsidRPr="00731632">
        <w:t>NIP</w:t>
      </w:r>
      <w:r w:rsidR="0010601C" w:rsidRPr="00731632">
        <w:t>) Schedule</w:t>
      </w:r>
      <w:r w:rsidRPr="00731632">
        <w:t xml:space="preserve"> would be appropriate. </w:t>
      </w:r>
      <w:r w:rsidR="00E16BD9" w:rsidRPr="00731632">
        <w:t>The sponsor argued that the NIP was a better framework for a whole of population program and that it would allow for optimal uptake and coverage to protect against RSV. The sponsor recogni</w:t>
      </w:r>
      <w:r w:rsidR="00C67460" w:rsidRPr="00731632">
        <w:t>s</w:t>
      </w:r>
      <w:r w:rsidR="00E16BD9" w:rsidRPr="00731632">
        <w:t xml:space="preserve">ed that the current legislative framework underpinning the NIP may not support the inclusion of passive immunisation strategies like nirsevimab. As such, the sponsor requested PBS listing of nirsevimab to </w:t>
      </w:r>
      <w:r w:rsidR="006A0D22" w:rsidRPr="00731632">
        <w:t xml:space="preserve">provide </w:t>
      </w:r>
      <w:r w:rsidR="00E16BD9" w:rsidRPr="00731632">
        <w:t>access until there is further clarification regarding NIP listing.</w:t>
      </w:r>
      <w:r w:rsidR="001D09D0" w:rsidRPr="00731632">
        <w:t xml:space="preserve"> </w:t>
      </w:r>
    </w:p>
    <w:p w14:paraId="0E5F3BC6" w14:textId="7399110D" w:rsidR="007D3CD1" w:rsidRPr="00731632" w:rsidRDefault="002D48F2" w:rsidP="00866F91">
      <w:pPr>
        <w:pStyle w:val="3-BodyText"/>
      </w:pPr>
      <w:r w:rsidRPr="00731632">
        <w:t xml:space="preserve">The </w:t>
      </w:r>
      <w:r w:rsidR="003E5FE9" w:rsidRPr="003E5FE9">
        <w:t xml:space="preserve">Economic Sub-Committee </w:t>
      </w:r>
      <w:r w:rsidR="003E5FE9">
        <w:t>(</w:t>
      </w:r>
      <w:r w:rsidRPr="00731632">
        <w:t>ESC</w:t>
      </w:r>
      <w:r w:rsidR="003E5FE9">
        <w:t>)</w:t>
      </w:r>
      <w:r w:rsidRPr="00731632">
        <w:t xml:space="preserve"> noted that inclusion </w:t>
      </w:r>
      <w:r w:rsidRPr="00731632">
        <w:rPr>
          <w:color w:val="000000" w:themeColor="text1"/>
        </w:rPr>
        <w:t>on</w:t>
      </w:r>
      <w:r w:rsidR="00F85D93" w:rsidRPr="00731632">
        <w:rPr>
          <w:color w:val="000000" w:themeColor="text1"/>
        </w:rPr>
        <w:t xml:space="preserve"> the</w:t>
      </w:r>
      <w:r w:rsidRPr="00731632">
        <w:rPr>
          <w:color w:val="000000" w:themeColor="text1"/>
        </w:rPr>
        <w:t xml:space="preserve"> National Immunisation Program would likely increase uptake of nirsevimab and </w:t>
      </w:r>
      <w:r w:rsidR="00601247" w:rsidRPr="00731632">
        <w:rPr>
          <w:color w:val="000000" w:themeColor="text1"/>
        </w:rPr>
        <w:t>optimise use</w:t>
      </w:r>
      <w:r w:rsidRPr="00731632">
        <w:rPr>
          <w:color w:val="000000" w:themeColor="text1"/>
        </w:rPr>
        <w:t xml:space="preserve">, in comparison with the proposed PBS listing, as it would reduce prescription and co-payment barriers. </w:t>
      </w:r>
      <w:r w:rsidR="007D3CD1" w:rsidRPr="00731632">
        <w:t>The ESC considered that a coordinated population-based program under the NIP would be preferred for nirsevimab, rather than PBS listing.</w:t>
      </w:r>
    </w:p>
    <w:p w14:paraId="4D03B2D2" w14:textId="1D80DB1C" w:rsidR="002A455E" w:rsidRPr="00731632" w:rsidRDefault="00BD253F" w:rsidP="00866F91">
      <w:pPr>
        <w:pStyle w:val="3-BodyText"/>
        <w:rPr>
          <w:iCs/>
        </w:rPr>
      </w:pPr>
      <w:r w:rsidRPr="00731632">
        <w:rPr>
          <w:iCs/>
        </w:rPr>
        <w:t>The proposed restriction state</w:t>
      </w:r>
      <w:r w:rsidR="006A0D22" w:rsidRPr="00731632">
        <w:rPr>
          <w:iCs/>
        </w:rPr>
        <w:t>d</w:t>
      </w:r>
      <w:r w:rsidRPr="00731632">
        <w:rPr>
          <w:iCs/>
        </w:rPr>
        <w:t xml:space="preserve"> that </w:t>
      </w:r>
      <w:r w:rsidRPr="00731632">
        <w:rPr>
          <w:bCs/>
          <w:szCs w:val="20"/>
        </w:rPr>
        <w:t>for neonates and infants born during or entering their first RSV season,</w:t>
      </w:r>
      <w:r w:rsidRPr="00731632">
        <w:rPr>
          <w:iCs/>
        </w:rPr>
        <w:t xml:space="preserve"> a patient’s mother must not have received immunisation against RSV while pregnant, and the patient must not have received a prophylactic antibody treatment against RSV. The evaluation noted that this may be interpreted to exclude </w:t>
      </w:r>
      <w:r w:rsidR="00B63F4A" w:rsidRPr="00731632">
        <w:rPr>
          <w:iCs/>
        </w:rPr>
        <w:t>infants</w:t>
      </w:r>
      <w:r w:rsidRPr="00731632">
        <w:rPr>
          <w:iCs/>
        </w:rPr>
        <w:t xml:space="preserve"> who could potentially benefit from nirsevimab, such as </w:t>
      </w:r>
      <w:r w:rsidR="00B63F4A" w:rsidRPr="00731632">
        <w:rPr>
          <w:iCs/>
        </w:rPr>
        <w:t>infants</w:t>
      </w:r>
      <w:r w:rsidRPr="00731632">
        <w:rPr>
          <w:iCs/>
        </w:rPr>
        <w:t xml:space="preserve"> born before sufficient placental transfer of anti-RSV antibodies could occur (i.e. within 14</w:t>
      </w:r>
      <w:r w:rsidR="00743403">
        <w:rPr>
          <w:iCs/>
        </w:rPr>
        <w:t> </w:t>
      </w:r>
      <w:r w:rsidRPr="00731632">
        <w:rPr>
          <w:iCs/>
        </w:rPr>
        <w:t xml:space="preserve">days of maternal vaccination with RSVpreF), although this is likely to be a small population. </w:t>
      </w:r>
      <w:r w:rsidR="00BA20B0" w:rsidRPr="00731632">
        <w:rPr>
          <w:iCs/>
        </w:rPr>
        <w:t xml:space="preserve">The </w:t>
      </w:r>
      <w:r w:rsidR="003E5FE9" w:rsidRPr="003E5FE9">
        <w:rPr>
          <w:iCs/>
        </w:rPr>
        <w:t xml:space="preserve">Pre-Sub-Committee Response </w:t>
      </w:r>
      <w:r w:rsidR="003E5FE9">
        <w:rPr>
          <w:iCs/>
        </w:rPr>
        <w:t>(</w:t>
      </w:r>
      <w:r w:rsidR="00BA20B0" w:rsidRPr="00731632">
        <w:rPr>
          <w:iCs/>
        </w:rPr>
        <w:t>PSCR</w:t>
      </w:r>
      <w:r w:rsidR="003E5FE9">
        <w:rPr>
          <w:iCs/>
        </w:rPr>
        <w:t>)</w:t>
      </w:r>
      <w:r w:rsidR="00BA20B0" w:rsidRPr="00731632">
        <w:rPr>
          <w:iCs/>
        </w:rPr>
        <w:t xml:space="preserve"> clarified</w:t>
      </w:r>
      <w:r w:rsidR="00892A2F" w:rsidRPr="00731632">
        <w:rPr>
          <w:iCs/>
        </w:rPr>
        <w:t xml:space="preserve"> </w:t>
      </w:r>
      <w:r w:rsidR="00BA20B0" w:rsidRPr="00731632">
        <w:rPr>
          <w:iCs/>
        </w:rPr>
        <w:t>that the proposed restriction was based on the consideration that maternal immunisation and nirsevimab would be two alternative forms of immunisation against RSV infection</w:t>
      </w:r>
      <w:r w:rsidRPr="00731632">
        <w:rPr>
          <w:iCs/>
        </w:rPr>
        <w:t>.</w:t>
      </w:r>
      <w:r w:rsidR="003F79F7" w:rsidRPr="00731632">
        <w:rPr>
          <w:iCs/>
        </w:rPr>
        <w:t xml:space="preserve"> </w:t>
      </w:r>
      <w:r w:rsidR="00C81A8E" w:rsidRPr="00731632">
        <w:rPr>
          <w:iCs/>
        </w:rPr>
        <w:t xml:space="preserve">The ESC noted that </w:t>
      </w:r>
      <w:r w:rsidR="004557DC" w:rsidRPr="00731632">
        <w:rPr>
          <w:iCs/>
        </w:rPr>
        <w:t xml:space="preserve">any </w:t>
      </w:r>
      <w:r w:rsidR="00C81A8E" w:rsidRPr="00731632">
        <w:rPr>
          <w:iCs/>
        </w:rPr>
        <w:t>additional benefit of maternal vaccination plus nirsevimab is unable to be predicted due to limited data, and cost</w:t>
      </w:r>
      <w:r w:rsidR="002C7A0C" w:rsidRPr="00731632">
        <w:rPr>
          <w:iCs/>
        </w:rPr>
        <w:t>-</w:t>
      </w:r>
      <w:r w:rsidR="00C81A8E" w:rsidRPr="00731632">
        <w:rPr>
          <w:iCs/>
        </w:rPr>
        <w:t>effectiveness would be undermined if infants received passive immunisation from both nirsevimab and maternal RSVpreF.</w:t>
      </w:r>
      <w:r w:rsidR="009F42A0" w:rsidRPr="00731632">
        <w:rPr>
          <w:iCs/>
        </w:rPr>
        <w:t xml:space="preserve"> </w:t>
      </w:r>
    </w:p>
    <w:p w14:paraId="4D6B2D0D" w14:textId="240BA928" w:rsidR="0045212B" w:rsidRPr="00731632" w:rsidRDefault="0045212B" w:rsidP="00866F91">
      <w:pPr>
        <w:pStyle w:val="3-BodyText"/>
        <w:rPr>
          <w:iCs/>
          <w:color w:val="0066FF"/>
        </w:rPr>
      </w:pPr>
      <w:bookmarkStart w:id="7" w:name="_Ref167274269"/>
      <w:r w:rsidRPr="00731632">
        <w:t>T</w:t>
      </w:r>
      <w:r w:rsidR="00F07B63" w:rsidRPr="00731632">
        <w:t>he submission</w:t>
      </w:r>
      <w:r w:rsidRPr="00731632">
        <w:t xml:space="preserve"> proposed </w:t>
      </w:r>
      <w:r w:rsidR="00CF379A" w:rsidRPr="00731632">
        <w:t>that</w:t>
      </w:r>
      <w:r w:rsidR="000E3A63" w:rsidRPr="00731632">
        <w:t xml:space="preserve"> children up to 24 months of age who remain vulnerable to severe RSV disease through their second RSV season</w:t>
      </w:r>
      <w:r w:rsidRPr="00731632">
        <w:t xml:space="preserve"> </w:t>
      </w:r>
      <w:r w:rsidR="00CF379A" w:rsidRPr="00731632">
        <w:t>should satisfy</w:t>
      </w:r>
      <w:r w:rsidR="000E3A63" w:rsidRPr="00731632">
        <w:t xml:space="preserve"> at least one of the following</w:t>
      </w:r>
      <w:r w:rsidR="00CF379A" w:rsidRPr="00731632">
        <w:t xml:space="preserve"> risk</w:t>
      </w:r>
      <w:r w:rsidR="00CC30E8" w:rsidRPr="00731632">
        <w:t xml:space="preserve"> criteria</w:t>
      </w:r>
      <w:r w:rsidR="00CF379A" w:rsidRPr="00731632">
        <w:t>:</w:t>
      </w:r>
      <w:r w:rsidR="000E3A63" w:rsidRPr="00731632">
        <w:t xml:space="preserve"> </w:t>
      </w:r>
    </w:p>
    <w:p w14:paraId="72775FA4" w14:textId="77777777" w:rsidR="0045212B" w:rsidRPr="00731632" w:rsidRDefault="000E3A63" w:rsidP="00743403">
      <w:pPr>
        <w:pStyle w:val="3-BodyText"/>
        <w:numPr>
          <w:ilvl w:val="0"/>
          <w:numId w:val="0"/>
        </w:numPr>
        <w:ind w:left="1440" w:hanging="589"/>
        <w:rPr>
          <w:iCs/>
          <w:color w:val="0066FF"/>
        </w:rPr>
      </w:pPr>
      <w:r w:rsidRPr="00731632">
        <w:t xml:space="preserve">1) history of prematurity (less than or equal to 35 weeks at birth); </w:t>
      </w:r>
    </w:p>
    <w:p w14:paraId="6234C987" w14:textId="77777777" w:rsidR="00CF379A" w:rsidRPr="00731632" w:rsidRDefault="000E3A63" w:rsidP="00743403">
      <w:pPr>
        <w:pStyle w:val="3-BodyText"/>
        <w:numPr>
          <w:ilvl w:val="0"/>
          <w:numId w:val="0"/>
        </w:numPr>
        <w:ind w:left="1440" w:hanging="589"/>
        <w:rPr>
          <w:iCs/>
          <w:color w:val="0066FF"/>
        </w:rPr>
      </w:pPr>
      <w:r w:rsidRPr="00731632">
        <w:t xml:space="preserve">2) established bronchopulmonary dysplasia; and </w:t>
      </w:r>
    </w:p>
    <w:p w14:paraId="47196EF7" w14:textId="2DE0013F" w:rsidR="0045212B" w:rsidRPr="00731632" w:rsidRDefault="000E3A63" w:rsidP="00743403">
      <w:pPr>
        <w:pStyle w:val="3-BodyText"/>
        <w:numPr>
          <w:ilvl w:val="0"/>
          <w:numId w:val="0"/>
        </w:numPr>
        <w:ind w:left="1440" w:hanging="589"/>
        <w:rPr>
          <w:iCs/>
          <w:color w:val="0066FF"/>
        </w:rPr>
      </w:pPr>
      <w:r w:rsidRPr="00731632">
        <w:t>3) haemodynamically significant congenital heart disease.</w:t>
      </w:r>
      <w:r w:rsidR="008174D6" w:rsidRPr="00731632">
        <w:t xml:space="preserve"> </w:t>
      </w:r>
    </w:p>
    <w:p w14:paraId="5388D920" w14:textId="08BA420F" w:rsidR="000E3A63" w:rsidRPr="00731632" w:rsidRDefault="000E3A63" w:rsidP="00CF379A">
      <w:pPr>
        <w:pStyle w:val="3-BodyText"/>
        <w:numPr>
          <w:ilvl w:val="0"/>
          <w:numId w:val="0"/>
        </w:numPr>
        <w:ind w:left="720"/>
        <w:rPr>
          <w:iCs/>
        </w:rPr>
      </w:pPr>
      <w:r w:rsidRPr="00731632">
        <w:t>This is a smaller list in comparison with the risk conditions for severe RSV disease in infants and young children noted in</w:t>
      </w:r>
      <w:r w:rsidR="00C67460" w:rsidRPr="00731632">
        <w:t xml:space="preserve"> the</w:t>
      </w:r>
      <w:r w:rsidRPr="00731632">
        <w:t xml:space="preserve"> statement</w:t>
      </w:r>
      <w:r w:rsidR="00C67460" w:rsidRPr="00731632">
        <w:t xml:space="preserve"> from the Australian Technical Advisory Group on Immunisation (ATAGI)</w:t>
      </w:r>
      <w:r w:rsidRPr="00731632">
        <w:t xml:space="preserve"> on the clinical use of nirsevimab for prevention of severe disease due to </w:t>
      </w:r>
      <w:r w:rsidR="004557DC" w:rsidRPr="00731632">
        <w:t>R</w:t>
      </w:r>
      <w:r w:rsidRPr="00731632">
        <w:t>SV in infants</w:t>
      </w:r>
      <w:r w:rsidRPr="00731632">
        <w:rPr>
          <w:rStyle w:val="FootnoteReference"/>
        </w:rPr>
        <w:footnoteReference w:id="3"/>
      </w:r>
      <w:r w:rsidR="006D5DD3" w:rsidRPr="00731632">
        <w:t xml:space="preserve"> </w:t>
      </w:r>
      <w:r w:rsidR="000137B2" w:rsidRPr="00731632">
        <w:t>(</w:t>
      </w:r>
      <w:r w:rsidR="006D5DD3" w:rsidRPr="00731632">
        <w:fldChar w:fldCharType="begin"/>
      </w:r>
      <w:r w:rsidR="006D5DD3" w:rsidRPr="00731632">
        <w:instrText xml:space="preserve"> REF _Ref167214528 \h </w:instrText>
      </w:r>
      <w:r w:rsidR="006D5DD3" w:rsidRPr="00731632">
        <w:fldChar w:fldCharType="separate"/>
      </w:r>
      <w:r w:rsidR="00D770BB" w:rsidRPr="00731632">
        <w:t xml:space="preserve">Table </w:t>
      </w:r>
      <w:r w:rsidR="00D770BB">
        <w:rPr>
          <w:noProof/>
        </w:rPr>
        <w:t>2</w:t>
      </w:r>
      <w:r w:rsidR="006D5DD3" w:rsidRPr="00731632">
        <w:fldChar w:fldCharType="end"/>
      </w:r>
      <w:r w:rsidR="000137B2" w:rsidRPr="00731632">
        <w:t>)</w:t>
      </w:r>
      <w:r w:rsidR="006D5DD3" w:rsidRPr="00731632">
        <w:t xml:space="preserve">. A list of other relevant considerations described by ATAGI is </w:t>
      </w:r>
      <w:r w:rsidR="00856BF8" w:rsidRPr="00731632">
        <w:t>also</w:t>
      </w:r>
      <w:r w:rsidR="006D5DD3" w:rsidRPr="00731632">
        <w:t xml:space="preserve"> provided in </w:t>
      </w:r>
      <w:r w:rsidR="006D5DD3" w:rsidRPr="00731632">
        <w:fldChar w:fldCharType="begin"/>
      </w:r>
      <w:r w:rsidR="006D5DD3" w:rsidRPr="00731632">
        <w:instrText xml:space="preserve"> REF _Ref167214529 \h </w:instrText>
      </w:r>
      <w:r w:rsidR="006D5DD3" w:rsidRPr="00731632">
        <w:fldChar w:fldCharType="separate"/>
      </w:r>
      <w:r w:rsidR="00D770BB" w:rsidRPr="00731632">
        <w:t xml:space="preserve">Table </w:t>
      </w:r>
      <w:r w:rsidR="00D770BB">
        <w:rPr>
          <w:noProof/>
        </w:rPr>
        <w:t>3</w:t>
      </w:r>
      <w:r w:rsidR="006D5DD3" w:rsidRPr="00731632">
        <w:fldChar w:fldCharType="end"/>
      </w:r>
      <w:r w:rsidR="006D5DD3" w:rsidRPr="00731632">
        <w:t xml:space="preserve">. </w:t>
      </w:r>
      <w:bookmarkEnd w:id="7"/>
    </w:p>
    <w:p w14:paraId="4AC2CD7C" w14:textId="4C831C6A" w:rsidR="00E905EF" w:rsidRPr="00743403" w:rsidRDefault="00E905EF" w:rsidP="00743403">
      <w:pPr>
        <w:pStyle w:val="3-BodyText"/>
        <w:rPr>
          <w:iCs/>
          <w:color w:val="0066FF"/>
        </w:rPr>
      </w:pPr>
      <w:bookmarkStart w:id="8" w:name="_Hlk166500702"/>
      <w:r w:rsidRPr="00731632">
        <w:t xml:space="preserve">The definition of high-risk for children up to 24 months of age who remain vulnerable to severe RSV disease through their second RSV season aligns with the definition used in the MEDLEY trial. </w:t>
      </w:r>
      <w:r w:rsidRPr="00731632">
        <w:rPr>
          <w:iCs/>
        </w:rPr>
        <w:t>The evaluation noted that there are other populations who are at a high-risk of severe RSV disease who may additionally benefit from nirsevimab. Of particular relevance to the Australian setting are children who are Aboriginal or Torres Strait Islander, as there is a higher risk of RSV-associated hospitalisation compared with non-Indigenous Australians</w:t>
      </w:r>
      <w:r w:rsidRPr="00731632">
        <w:rPr>
          <w:rStyle w:val="FootnoteReference"/>
          <w:iCs/>
        </w:rPr>
        <w:footnoteReference w:id="4"/>
      </w:r>
      <w:r w:rsidRPr="00731632">
        <w:rPr>
          <w:iCs/>
        </w:rPr>
        <w:t>. The Product Information for the nominated secondary comparator, palivizumab, includes children of Aboriginal or Torres Strait Islander descent in the definition of high-risk populations</w:t>
      </w:r>
      <w:bookmarkEnd w:id="8"/>
      <w:r w:rsidRPr="00731632">
        <w:rPr>
          <w:iCs/>
        </w:rPr>
        <w:t xml:space="preserve">. </w:t>
      </w:r>
    </w:p>
    <w:p w14:paraId="1DDC39D7" w14:textId="45378BEB" w:rsidR="00A142E0" w:rsidRPr="00731632" w:rsidRDefault="00A142E0" w:rsidP="00A142E0">
      <w:pPr>
        <w:pStyle w:val="Caption"/>
      </w:pPr>
      <w:bookmarkStart w:id="9" w:name="_Ref167214528"/>
      <w:r w:rsidRPr="00731632">
        <w:t xml:space="preserve">Table </w:t>
      </w:r>
      <w:r w:rsidRPr="00731632">
        <w:fldChar w:fldCharType="begin"/>
      </w:r>
      <w:r w:rsidRPr="00731632">
        <w:instrText xml:space="preserve"> SEQ Table \* ARABIC </w:instrText>
      </w:r>
      <w:r w:rsidRPr="00731632">
        <w:fldChar w:fldCharType="separate"/>
      </w:r>
      <w:r w:rsidR="00D770BB">
        <w:rPr>
          <w:noProof/>
        </w:rPr>
        <w:t>2</w:t>
      </w:r>
      <w:r w:rsidRPr="00731632">
        <w:fldChar w:fldCharType="end"/>
      </w:r>
      <w:bookmarkEnd w:id="9"/>
      <w:r w:rsidRPr="00731632">
        <w:t>: Risk conditions for severe RSV disease in infants and young children reported by ATAGI statement on nirsevimab 2024</w:t>
      </w:r>
    </w:p>
    <w:tbl>
      <w:tblPr>
        <w:tblStyle w:val="TableGrid"/>
        <w:tblW w:w="0" w:type="auto"/>
        <w:tblLook w:val="0020" w:firstRow="1" w:lastRow="0" w:firstColumn="0" w:lastColumn="0" w:noHBand="0" w:noVBand="0"/>
        <w:tblCaption w:val="Table 2: Risk conditions for severe RSV disease in infants and young children reported by ATAGI statement on nirsevimab 2024"/>
      </w:tblPr>
      <w:tblGrid>
        <w:gridCol w:w="308"/>
        <w:gridCol w:w="8709"/>
      </w:tblGrid>
      <w:tr w:rsidR="00E905EF" w:rsidRPr="00731632" w14:paraId="5439712D" w14:textId="77777777" w:rsidTr="000E5A9E">
        <w:trPr>
          <w:trHeight w:val="20"/>
          <w:tblHeader/>
        </w:trPr>
        <w:tc>
          <w:tcPr>
            <w:tcW w:w="0" w:type="auto"/>
          </w:tcPr>
          <w:p w14:paraId="24A3A408" w14:textId="77777777" w:rsidR="00A142E0" w:rsidRPr="00731632" w:rsidRDefault="00A142E0" w:rsidP="00866F91">
            <w:pPr>
              <w:pStyle w:val="TableText0"/>
            </w:pPr>
            <w:r w:rsidRPr="00731632">
              <w:t>1</w:t>
            </w:r>
          </w:p>
        </w:tc>
        <w:tc>
          <w:tcPr>
            <w:tcW w:w="0" w:type="auto"/>
          </w:tcPr>
          <w:p w14:paraId="34D87FDA" w14:textId="77777777" w:rsidR="00A142E0" w:rsidRPr="00731632" w:rsidRDefault="00A142E0" w:rsidP="00866F91">
            <w:pPr>
              <w:pStyle w:val="TableText0"/>
            </w:pPr>
            <w:r w:rsidRPr="00731632">
              <w:t xml:space="preserve">Prematurity (particularly infants born &lt;32 weeks gestational age) </w:t>
            </w:r>
          </w:p>
        </w:tc>
      </w:tr>
      <w:tr w:rsidR="00E905EF" w:rsidRPr="00731632" w14:paraId="7A147676" w14:textId="77777777" w:rsidTr="000E5A9E">
        <w:trPr>
          <w:trHeight w:val="20"/>
        </w:trPr>
        <w:tc>
          <w:tcPr>
            <w:tcW w:w="0" w:type="auto"/>
          </w:tcPr>
          <w:p w14:paraId="51592FD6" w14:textId="77777777" w:rsidR="00A142E0" w:rsidRPr="00731632" w:rsidRDefault="00A142E0" w:rsidP="00866F91">
            <w:pPr>
              <w:pStyle w:val="TableText0"/>
            </w:pPr>
            <w:r w:rsidRPr="00731632">
              <w:t>2</w:t>
            </w:r>
          </w:p>
        </w:tc>
        <w:tc>
          <w:tcPr>
            <w:tcW w:w="0" w:type="auto"/>
          </w:tcPr>
          <w:p w14:paraId="658D0E77" w14:textId="77777777" w:rsidR="00A142E0" w:rsidRPr="00731632" w:rsidRDefault="00A142E0" w:rsidP="00866F91">
            <w:pPr>
              <w:pStyle w:val="TableText0"/>
            </w:pPr>
            <w:r w:rsidRPr="00731632">
              <w:t>Haemodynamically significant congenital heart disease</w:t>
            </w:r>
          </w:p>
        </w:tc>
      </w:tr>
      <w:tr w:rsidR="00E905EF" w:rsidRPr="00731632" w14:paraId="558BE75B" w14:textId="77777777" w:rsidTr="000E5A9E">
        <w:trPr>
          <w:trHeight w:val="20"/>
        </w:trPr>
        <w:tc>
          <w:tcPr>
            <w:tcW w:w="0" w:type="auto"/>
          </w:tcPr>
          <w:p w14:paraId="55F721AF" w14:textId="77777777" w:rsidR="00A142E0" w:rsidRPr="00731632" w:rsidRDefault="00A142E0" w:rsidP="00866F91">
            <w:pPr>
              <w:pStyle w:val="TableText0"/>
            </w:pPr>
            <w:r w:rsidRPr="00731632">
              <w:t>3</w:t>
            </w:r>
          </w:p>
        </w:tc>
        <w:tc>
          <w:tcPr>
            <w:tcW w:w="0" w:type="auto"/>
          </w:tcPr>
          <w:p w14:paraId="04D40793" w14:textId="77777777" w:rsidR="00A142E0" w:rsidRPr="00731632" w:rsidRDefault="00A142E0" w:rsidP="00866F91">
            <w:pPr>
              <w:pStyle w:val="TableText0"/>
            </w:pPr>
            <w:r w:rsidRPr="00731632">
              <w:t xml:space="preserve">Significant immunosuppression, e.g. due to solid organ transplant, haematopoietic stem cell transplant, or primary immune deficiencies such as severe combined immunodeficiency (SCID) </w:t>
            </w:r>
          </w:p>
        </w:tc>
      </w:tr>
      <w:tr w:rsidR="00E905EF" w:rsidRPr="00731632" w14:paraId="24BB4080" w14:textId="77777777" w:rsidTr="000E5A9E">
        <w:trPr>
          <w:trHeight w:val="20"/>
        </w:trPr>
        <w:tc>
          <w:tcPr>
            <w:tcW w:w="0" w:type="auto"/>
          </w:tcPr>
          <w:p w14:paraId="2D14E301" w14:textId="77777777" w:rsidR="00A142E0" w:rsidRPr="00731632" w:rsidRDefault="00A142E0" w:rsidP="00866F91">
            <w:pPr>
              <w:pStyle w:val="TableText0"/>
            </w:pPr>
            <w:r w:rsidRPr="00731632">
              <w:t>4</w:t>
            </w:r>
          </w:p>
        </w:tc>
        <w:tc>
          <w:tcPr>
            <w:tcW w:w="0" w:type="auto"/>
          </w:tcPr>
          <w:p w14:paraId="155565BF" w14:textId="77777777" w:rsidR="00A142E0" w:rsidRPr="00731632" w:rsidRDefault="00A142E0" w:rsidP="00866F91">
            <w:pPr>
              <w:pStyle w:val="TableText0"/>
            </w:pPr>
            <w:r w:rsidRPr="00731632">
              <w:t>Chronic lung disease that requires oxygen or respiratory support beyond 36 weeks gestation or at hospital discharge</w:t>
            </w:r>
          </w:p>
        </w:tc>
      </w:tr>
      <w:tr w:rsidR="00E905EF" w:rsidRPr="00731632" w14:paraId="4C6D9EAA" w14:textId="77777777" w:rsidTr="000E5A9E">
        <w:trPr>
          <w:trHeight w:val="20"/>
        </w:trPr>
        <w:tc>
          <w:tcPr>
            <w:tcW w:w="0" w:type="auto"/>
          </w:tcPr>
          <w:p w14:paraId="44A6282D" w14:textId="77777777" w:rsidR="00A142E0" w:rsidRPr="00731632" w:rsidRDefault="00A142E0" w:rsidP="00866F91">
            <w:pPr>
              <w:pStyle w:val="TableText0"/>
            </w:pPr>
            <w:r w:rsidRPr="00731632">
              <w:t>5</w:t>
            </w:r>
          </w:p>
        </w:tc>
        <w:tc>
          <w:tcPr>
            <w:tcW w:w="0" w:type="auto"/>
          </w:tcPr>
          <w:p w14:paraId="3560305F" w14:textId="77777777" w:rsidR="00A142E0" w:rsidRPr="00731632" w:rsidRDefault="00A142E0" w:rsidP="00866F91">
            <w:pPr>
              <w:pStyle w:val="TableText0"/>
            </w:pPr>
            <w:r w:rsidRPr="00731632">
              <w:t>Neurological conditions that impair respiratory function</w:t>
            </w:r>
          </w:p>
        </w:tc>
      </w:tr>
      <w:tr w:rsidR="00E905EF" w:rsidRPr="00731632" w14:paraId="242E1A63" w14:textId="77777777" w:rsidTr="000E5A9E">
        <w:trPr>
          <w:trHeight w:val="20"/>
        </w:trPr>
        <w:tc>
          <w:tcPr>
            <w:tcW w:w="0" w:type="auto"/>
          </w:tcPr>
          <w:p w14:paraId="354A9AF2" w14:textId="77777777" w:rsidR="00A142E0" w:rsidRPr="00731632" w:rsidRDefault="00A142E0" w:rsidP="00866F91">
            <w:pPr>
              <w:pStyle w:val="TableText0"/>
            </w:pPr>
            <w:r w:rsidRPr="00731632">
              <w:t>6</w:t>
            </w:r>
          </w:p>
        </w:tc>
        <w:tc>
          <w:tcPr>
            <w:tcW w:w="0" w:type="auto"/>
          </w:tcPr>
          <w:p w14:paraId="0A270857" w14:textId="77777777" w:rsidR="00A142E0" w:rsidRPr="00731632" w:rsidRDefault="00A142E0" w:rsidP="00866F91">
            <w:pPr>
              <w:pStyle w:val="TableText0"/>
            </w:pPr>
            <w:r w:rsidRPr="00731632">
              <w:t>Cystic fibrosis with severe lung disease or weight for length &lt;10</w:t>
            </w:r>
            <w:r w:rsidRPr="00731632">
              <w:rPr>
                <w:vertAlign w:val="superscript"/>
              </w:rPr>
              <w:t>th</w:t>
            </w:r>
            <w:r w:rsidRPr="00731632">
              <w:t> percentile</w:t>
            </w:r>
          </w:p>
        </w:tc>
      </w:tr>
      <w:tr w:rsidR="00E905EF" w:rsidRPr="00731632" w14:paraId="584C4751" w14:textId="77777777" w:rsidTr="000E5A9E">
        <w:trPr>
          <w:trHeight w:val="20"/>
        </w:trPr>
        <w:tc>
          <w:tcPr>
            <w:tcW w:w="0" w:type="auto"/>
          </w:tcPr>
          <w:p w14:paraId="05E5753D" w14:textId="77777777" w:rsidR="00A142E0" w:rsidRPr="00731632" w:rsidRDefault="00A142E0" w:rsidP="00866F91">
            <w:pPr>
              <w:pStyle w:val="TableText0"/>
            </w:pPr>
            <w:r w:rsidRPr="00731632">
              <w:t>7</w:t>
            </w:r>
          </w:p>
        </w:tc>
        <w:tc>
          <w:tcPr>
            <w:tcW w:w="0" w:type="auto"/>
          </w:tcPr>
          <w:p w14:paraId="4ECF4E4C" w14:textId="77777777" w:rsidR="00A142E0" w:rsidRPr="00731632" w:rsidRDefault="00A142E0" w:rsidP="00866F91">
            <w:pPr>
              <w:pStyle w:val="TableText0"/>
            </w:pPr>
            <w:r w:rsidRPr="00731632">
              <w:t>Trisomy 21 or other genetic conditions that increase the risk of RSV</w:t>
            </w:r>
          </w:p>
        </w:tc>
      </w:tr>
    </w:tbl>
    <w:p w14:paraId="48AF12CE" w14:textId="281BCBC3" w:rsidR="00A142E0" w:rsidRPr="00743403" w:rsidRDefault="00A142E0" w:rsidP="00743403">
      <w:pPr>
        <w:pStyle w:val="FootnoteText"/>
        <w:spacing w:after="120"/>
        <w:rPr>
          <w:rFonts w:ascii="Arial Narrow" w:hAnsi="Arial Narrow"/>
          <w:sz w:val="18"/>
          <w:szCs w:val="18"/>
        </w:rPr>
      </w:pPr>
      <w:bookmarkStart w:id="10" w:name="_Hlk172716043"/>
      <w:r w:rsidRPr="00731632">
        <w:rPr>
          <w:rFonts w:ascii="Arial Narrow" w:hAnsi="Arial Narrow"/>
          <w:sz w:val="18"/>
          <w:szCs w:val="18"/>
        </w:rPr>
        <w:t xml:space="preserve">Source: ATAGI statement on nirsevimab for the prevention of severe disease due to respiratory syncytial virus (RSV) in infants. Publication date 26 March 2024. </w:t>
      </w:r>
      <w:bookmarkEnd w:id="10"/>
    </w:p>
    <w:p w14:paraId="7F713EDA" w14:textId="35B9516B" w:rsidR="00A142E0" w:rsidRPr="00731632" w:rsidRDefault="00A142E0" w:rsidP="00A142E0">
      <w:pPr>
        <w:pStyle w:val="Caption"/>
      </w:pPr>
      <w:bookmarkStart w:id="11" w:name="_Ref167214529"/>
      <w:r w:rsidRPr="00731632">
        <w:t xml:space="preserve">Table </w:t>
      </w:r>
      <w:r w:rsidRPr="00731632">
        <w:fldChar w:fldCharType="begin"/>
      </w:r>
      <w:r w:rsidRPr="00731632">
        <w:instrText xml:space="preserve"> SEQ Table \* ARABIC </w:instrText>
      </w:r>
      <w:r w:rsidRPr="00731632">
        <w:fldChar w:fldCharType="separate"/>
      </w:r>
      <w:r w:rsidR="00D770BB">
        <w:rPr>
          <w:noProof/>
        </w:rPr>
        <w:t>3</w:t>
      </w:r>
      <w:r w:rsidRPr="00731632">
        <w:fldChar w:fldCharType="end"/>
      </w:r>
      <w:bookmarkEnd w:id="11"/>
      <w:r w:rsidRPr="00731632">
        <w:t>: Other considerations relevant to benefit from nirsevimab reported by ATAGI statement on nirsevimab 2024</w:t>
      </w:r>
    </w:p>
    <w:tbl>
      <w:tblPr>
        <w:tblStyle w:val="TableGrid"/>
        <w:tblW w:w="0" w:type="auto"/>
        <w:tblLook w:val="0020" w:firstRow="1" w:lastRow="0" w:firstColumn="0" w:lastColumn="0" w:noHBand="0" w:noVBand="0"/>
        <w:tblCaption w:val="Table 3: Other considerations relevant to benefit from nirsevimab reported by ATAGI statement on nirsevimab 2024"/>
      </w:tblPr>
      <w:tblGrid>
        <w:gridCol w:w="308"/>
        <w:gridCol w:w="8709"/>
      </w:tblGrid>
      <w:tr w:rsidR="00E905EF" w:rsidRPr="00731632" w14:paraId="2FC0E8C2" w14:textId="77777777" w:rsidTr="000E5A9E">
        <w:trPr>
          <w:trHeight w:val="20"/>
          <w:tblHeader/>
        </w:trPr>
        <w:tc>
          <w:tcPr>
            <w:tcW w:w="0" w:type="auto"/>
          </w:tcPr>
          <w:p w14:paraId="36851F1E" w14:textId="77777777" w:rsidR="00A142E0" w:rsidRPr="00731632" w:rsidRDefault="00A142E0" w:rsidP="00866F91">
            <w:pPr>
              <w:pStyle w:val="TableText0"/>
            </w:pPr>
            <w:r w:rsidRPr="00731632">
              <w:t>1</w:t>
            </w:r>
          </w:p>
        </w:tc>
        <w:tc>
          <w:tcPr>
            <w:tcW w:w="0" w:type="auto"/>
          </w:tcPr>
          <w:p w14:paraId="2C07875C" w14:textId="77777777" w:rsidR="00A142E0" w:rsidRPr="00731632" w:rsidRDefault="00A142E0" w:rsidP="00866F91">
            <w:pPr>
              <w:pStyle w:val="TableText0"/>
            </w:pPr>
            <w:r w:rsidRPr="00731632">
              <w:t>Infants with multiple risk factors for severe RSV disease are likely to have an even higher risk of severe outcomes – for example, prematurity and a medical risk condition.</w:t>
            </w:r>
          </w:p>
        </w:tc>
      </w:tr>
      <w:tr w:rsidR="00E905EF" w:rsidRPr="00731632" w14:paraId="4AEAD631" w14:textId="77777777" w:rsidTr="000E5A9E">
        <w:trPr>
          <w:trHeight w:val="20"/>
        </w:trPr>
        <w:tc>
          <w:tcPr>
            <w:tcW w:w="0" w:type="auto"/>
          </w:tcPr>
          <w:p w14:paraId="3DFADB02" w14:textId="77777777" w:rsidR="00A142E0" w:rsidRPr="00731632" w:rsidRDefault="00A142E0" w:rsidP="00866F91">
            <w:pPr>
              <w:pStyle w:val="TableText0"/>
            </w:pPr>
            <w:r w:rsidRPr="00731632">
              <w:t>2</w:t>
            </w:r>
          </w:p>
        </w:tc>
        <w:tc>
          <w:tcPr>
            <w:tcW w:w="0" w:type="auto"/>
          </w:tcPr>
          <w:p w14:paraId="5BB0B723" w14:textId="77777777" w:rsidR="00A142E0" w:rsidRPr="00731632" w:rsidRDefault="00A142E0" w:rsidP="00866F91">
            <w:pPr>
              <w:pStyle w:val="TableText0"/>
            </w:pPr>
            <w:r w:rsidRPr="00731632">
              <w:t>The risk of hospitalisation from RSV for Aboriginal and Torres Strait Islander infants is approximately 2 times that of other infants of the same age.</w:t>
            </w:r>
          </w:p>
        </w:tc>
      </w:tr>
      <w:tr w:rsidR="00E905EF" w:rsidRPr="00731632" w14:paraId="6717B72F" w14:textId="77777777" w:rsidTr="000E5A9E">
        <w:trPr>
          <w:trHeight w:val="20"/>
        </w:trPr>
        <w:tc>
          <w:tcPr>
            <w:tcW w:w="0" w:type="auto"/>
          </w:tcPr>
          <w:p w14:paraId="2194D86D" w14:textId="77777777" w:rsidR="00A142E0" w:rsidRPr="00731632" w:rsidRDefault="00A142E0" w:rsidP="00866F91">
            <w:pPr>
              <w:pStyle w:val="TableText0"/>
            </w:pPr>
            <w:r w:rsidRPr="00731632">
              <w:t>3</w:t>
            </w:r>
          </w:p>
        </w:tc>
        <w:tc>
          <w:tcPr>
            <w:tcW w:w="0" w:type="auto"/>
          </w:tcPr>
          <w:p w14:paraId="663FA3B0" w14:textId="77777777" w:rsidR="00A142E0" w:rsidRPr="00731632" w:rsidRDefault="00A142E0" w:rsidP="00866F91">
            <w:pPr>
              <w:pStyle w:val="TableText0"/>
            </w:pPr>
            <w:r w:rsidRPr="00731632">
              <w:t>Infants who cannot readily access advanced care for severe RSV because they live in remote regions may have greater benefit.</w:t>
            </w:r>
          </w:p>
        </w:tc>
      </w:tr>
      <w:tr w:rsidR="00E905EF" w:rsidRPr="00731632" w14:paraId="07C9F14E" w14:textId="77777777" w:rsidTr="000E5A9E">
        <w:trPr>
          <w:trHeight w:val="20"/>
        </w:trPr>
        <w:tc>
          <w:tcPr>
            <w:tcW w:w="0" w:type="auto"/>
          </w:tcPr>
          <w:p w14:paraId="2F3C0548" w14:textId="77777777" w:rsidR="00A142E0" w:rsidRPr="00731632" w:rsidRDefault="00A142E0" w:rsidP="00866F91">
            <w:pPr>
              <w:pStyle w:val="TableText0"/>
            </w:pPr>
            <w:r w:rsidRPr="00731632">
              <w:t>4</w:t>
            </w:r>
          </w:p>
        </w:tc>
        <w:tc>
          <w:tcPr>
            <w:tcW w:w="0" w:type="auto"/>
          </w:tcPr>
          <w:p w14:paraId="2CA356A7" w14:textId="77777777" w:rsidR="00A142E0" w:rsidRPr="00731632" w:rsidRDefault="00A142E0" w:rsidP="00866F91">
            <w:pPr>
              <w:pStyle w:val="TableText0"/>
            </w:pPr>
            <w:r w:rsidRPr="00731632">
              <w:t>The availability and eligibility for palivizumab as an alternate RSV mAb.</w:t>
            </w:r>
          </w:p>
        </w:tc>
      </w:tr>
    </w:tbl>
    <w:p w14:paraId="20F9663F" w14:textId="592E4DD2" w:rsidR="002F01CD" w:rsidRPr="00731632" w:rsidRDefault="00A142E0" w:rsidP="002F01CD">
      <w:pPr>
        <w:pStyle w:val="FootnoteText"/>
      </w:pPr>
      <w:r w:rsidRPr="00731632">
        <w:rPr>
          <w:rFonts w:ascii="Arial Narrow" w:hAnsi="Arial Narrow"/>
          <w:sz w:val="18"/>
          <w:szCs w:val="18"/>
        </w:rPr>
        <w:t xml:space="preserve">Source: ATAGI statement on nirsevimab for the prevention of severe disease due to respiratory syncytial virus (RSV) in infants. Publication date 26 March 2024. </w:t>
      </w:r>
    </w:p>
    <w:p w14:paraId="082FD704" w14:textId="765BCA08" w:rsidR="002F01CD" w:rsidRPr="00731632" w:rsidRDefault="002F01CD" w:rsidP="002F01CD">
      <w:pPr>
        <w:pStyle w:val="3-BodyText"/>
        <w:spacing w:before="120"/>
      </w:pPr>
      <w:r w:rsidRPr="00731632">
        <w:t xml:space="preserve">ATAGI’s statement on the clinical use of nirsevimab for prevention of severe disease due to RSV in infants states that nirsevimab provides protection for at least 5 months via passive immunisation directly to the infant or young child and works immediately after injection. From 15 March 2024, immunisation providers can report receipt of nirsevimab to the Australian Immunisation Register (AIR). </w:t>
      </w:r>
    </w:p>
    <w:p w14:paraId="0183D7EE" w14:textId="3A80CE6C" w:rsidR="000A208B" w:rsidRPr="00731632" w:rsidRDefault="00057B85" w:rsidP="00866F91">
      <w:pPr>
        <w:pStyle w:val="3-BodyText"/>
      </w:pPr>
      <w:bookmarkStart w:id="12" w:name="_Ref172751041"/>
      <w:bookmarkStart w:id="13" w:name="_Ref172803755"/>
      <w:r w:rsidRPr="00731632">
        <w:t>The RSV chapter of the Australian Immunisation Handbook (AIH) was recently updated, and includes recommendations for use of vaccines and monoclonal antibodies for prophylaxis of RSV disease</w:t>
      </w:r>
      <w:r w:rsidRPr="00731632">
        <w:rPr>
          <w:vertAlign w:val="superscript"/>
        </w:rPr>
        <w:footnoteReference w:id="5"/>
      </w:r>
      <w:r w:rsidRPr="00731632">
        <w:t>.</w:t>
      </w:r>
      <w:bookmarkEnd w:id="12"/>
      <w:r w:rsidRPr="00731632">
        <w:t xml:space="preserve"> </w:t>
      </w:r>
      <w:r w:rsidR="000A208B" w:rsidRPr="00731632">
        <w:t xml:space="preserve">The AIH recommends a single dose of RSVpreF is recommended for use in pregnant women to protect infants. It is noted that infants are not expected to be adequately protected unless they are born at least 2 weeks after their mother received the vaccine. </w:t>
      </w:r>
      <w:r w:rsidR="008466C4" w:rsidRPr="00731632">
        <w:t>The AIH notes that a</w:t>
      </w:r>
      <w:r w:rsidR="000A208B" w:rsidRPr="00731632">
        <w:t>dvice on revaccination in subsequent pregnancies will be provided when data are available.</w:t>
      </w:r>
    </w:p>
    <w:p w14:paraId="1E152829" w14:textId="25A9FF74" w:rsidR="00057B85" w:rsidRPr="00731632" w:rsidRDefault="002F3EB6" w:rsidP="002F3EB6">
      <w:pPr>
        <w:pStyle w:val="3-BodyText"/>
      </w:pPr>
      <w:bookmarkStart w:id="14" w:name="_Ref173400511"/>
      <w:r w:rsidRPr="00731632">
        <w:t>The AIH recommends nirsevimab for neonates and infants of mothers who either did not receive RSV vaccine during pregnancy or receive</w:t>
      </w:r>
      <w:r w:rsidR="000A208B" w:rsidRPr="00731632">
        <w:t>d</w:t>
      </w:r>
      <w:r w:rsidRPr="00731632">
        <w:t xml:space="preserve"> the vaccine within 2 weeks of delivery.</w:t>
      </w:r>
      <w:r w:rsidR="003E1422">
        <w:t xml:space="preserve"> </w:t>
      </w:r>
      <w:r w:rsidRPr="00731632">
        <w:t>The AIH also proposes a number of other clinical circumstances in which administration of nirsevimab may be appropriate, such as 1) infants with risk conditions for severe RSV disease regardless of maternal vaccination status; 2) infants born to mothers with severe immunosuppression; and 3) infants whose mothers have received RSV vaccine in pregnancy but have subsequently undergone a treatment that has led to loss of maternal antibodies.</w:t>
      </w:r>
      <w:bookmarkEnd w:id="13"/>
      <w:bookmarkEnd w:id="14"/>
    </w:p>
    <w:p w14:paraId="60593622" w14:textId="77777777" w:rsidR="0098331D" w:rsidRPr="00731632" w:rsidRDefault="0098331D" w:rsidP="008F0BFE">
      <w:pPr>
        <w:pStyle w:val="3-BodyText"/>
      </w:pPr>
      <w:r w:rsidRPr="00731632">
        <w:rPr>
          <w:iCs/>
        </w:rPr>
        <w:t>The timing of the RSV season is variable, depending on the region of Australia. The submission stated that</w:t>
      </w:r>
      <w:r w:rsidRPr="00731632">
        <w:t xml:space="preserve"> in general, nirsevimab should be given either:</w:t>
      </w:r>
    </w:p>
    <w:p w14:paraId="597EB009" w14:textId="047F4180" w:rsidR="0098331D" w:rsidRPr="00731632" w:rsidRDefault="0098331D" w:rsidP="00743403">
      <w:pPr>
        <w:pStyle w:val="3-BodyText"/>
        <w:numPr>
          <w:ilvl w:val="0"/>
          <w:numId w:val="11"/>
        </w:numPr>
        <w:ind w:left="993" w:hanging="283"/>
      </w:pPr>
      <w:r w:rsidRPr="00731632">
        <w:t>Prior to the typical RSV winter season, in May – In temperate regions, defined as New South Wales, Victoria, South Australia, Tasmania, the Australian Capital Territory, and lower Western Australia (i.e</w:t>
      </w:r>
      <w:r w:rsidR="00A93A85" w:rsidRPr="00731632">
        <w:t>.</w:t>
      </w:r>
      <w:r w:rsidRPr="00731632">
        <w:t xml:space="preserve"> Perth, Bunbury, Geraldton, etc);</w:t>
      </w:r>
    </w:p>
    <w:p w14:paraId="6C342282" w14:textId="77777777" w:rsidR="0098331D" w:rsidRPr="00731632" w:rsidRDefault="0098331D" w:rsidP="00743403">
      <w:pPr>
        <w:pStyle w:val="3-BodyText"/>
        <w:numPr>
          <w:ilvl w:val="0"/>
          <w:numId w:val="11"/>
        </w:numPr>
        <w:ind w:left="993" w:hanging="283"/>
      </w:pPr>
      <w:r w:rsidRPr="00731632">
        <w:t>Throughout the year at birth – In northern subtropical regions, and regions with poorly defined seasons due to climate, defined as Queensland, the Northern Territory, and northern Western Australia (i.e. Broome, the Kimberley Region, etc).</w:t>
      </w:r>
    </w:p>
    <w:p w14:paraId="271CBBE1" w14:textId="14FDD734" w:rsidR="0098331D" w:rsidRPr="00731632" w:rsidRDefault="0098331D" w:rsidP="008F0BFE">
      <w:pPr>
        <w:pStyle w:val="3-BodyText"/>
        <w:numPr>
          <w:ilvl w:val="0"/>
          <w:numId w:val="0"/>
        </w:numPr>
        <w:ind w:left="720"/>
        <w:rPr>
          <w:iCs/>
        </w:rPr>
      </w:pPr>
      <w:r w:rsidRPr="00731632">
        <w:t>The submission stated that ultimately, treatment should be guided by local recommendations, given seasonal dynamics that vary by region</w:t>
      </w:r>
      <w:r w:rsidRPr="00731632">
        <w:rPr>
          <w:iCs/>
        </w:rPr>
        <w:t>.</w:t>
      </w:r>
    </w:p>
    <w:p w14:paraId="6833BE34" w14:textId="1A7D5AE9" w:rsidR="00A224A1" w:rsidRPr="00731632" w:rsidRDefault="00A224A1" w:rsidP="00A224A1">
      <w:pPr>
        <w:pStyle w:val="3-BodyText"/>
      </w:pPr>
      <w:r w:rsidRPr="00731632">
        <w:t xml:space="preserve">The submission provided further information about </w:t>
      </w:r>
      <w:r w:rsidR="00043A41" w:rsidRPr="00731632">
        <w:t>the RSV seasons</w:t>
      </w:r>
      <w:r w:rsidRPr="00731632">
        <w:t xml:space="preserve"> for temperate and tropical regions </w:t>
      </w:r>
      <w:r w:rsidR="0054352B" w:rsidRPr="00731632">
        <w:t xml:space="preserve">as </w:t>
      </w:r>
      <w:r w:rsidRPr="00731632">
        <w:t>follows:</w:t>
      </w:r>
    </w:p>
    <w:p w14:paraId="2414B6B8" w14:textId="77777777" w:rsidR="00A224A1" w:rsidRPr="00731632" w:rsidRDefault="00A224A1" w:rsidP="00743403">
      <w:pPr>
        <w:pStyle w:val="3-BodyText"/>
        <w:numPr>
          <w:ilvl w:val="0"/>
          <w:numId w:val="11"/>
        </w:numPr>
        <w:ind w:left="993" w:hanging="283"/>
      </w:pPr>
      <w:r w:rsidRPr="00731632">
        <w:t>In temperate regions, the RSV season coincides with the flu season, peaking during winter and trailing off through September and October.</w:t>
      </w:r>
    </w:p>
    <w:p w14:paraId="49B284EA" w14:textId="77777777" w:rsidR="00A224A1" w:rsidRPr="00731632" w:rsidRDefault="00A224A1" w:rsidP="00743403">
      <w:pPr>
        <w:pStyle w:val="3-BodyText"/>
        <w:numPr>
          <w:ilvl w:val="0"/>
          <w:numId w:val="11"/>
        </w:numPr>
        <w:ind w:left="993" w:hanging="283"/>
      </w:pPr>
      <w:r w:rsidRPr="00731632">
        <w:t xml:space="preserve">Typically, the tropical RSV season occurs during the wet season, usually starting in December and peaking in March to May. However, predicting rainfall in northern Australia is difficult as rainfall patterns can vary substantially from year to year, even with regions with similar average rainfall. </w:t>
      </w:r>
    </w:p>
    <w:p w14:paraId="42B0B4C5" w14:textId="4B60AC38" w:rsidR="0098331D" w:rsidRPr="00731632" w:rsidRDefault="0098331D" w:rsidP="00C84BEE">
      <w:pPr>
        <w:pStyle w:val="3-BodyText"/>
      </w:pPr>
      <w:r w:rsidRPr="00731632">
        <w:t xml:space="preserve">The evaluation noted that the timing of the RSV season can vary year to year. As nirsevimab provides 5 months of protection, monitoring of the RSV season via the National Notifiable Diseases Surveillance System would be important for the optimal use of nirsevimab. A key driver of the economic model is the ability to map the RSV season in different jurisdictions, and provide advice about the optimal timing of nirsevimab administration and for this advice to be accurately followed (see paragraph </w:t>
      </w:r>
      <w:r w:rsidRPr="00731632">
        <w:fldChar w:fldCharType="begin"/>
      </w:r>
      <w:r w:rsidRPr="00731632">
        <w:instrText xml:space="preserve"> REF _Ref167196900 \r \h  \* MERGEFORMAT </w:instrText>
      </w:r>
      <w:r w:rsidRPr="00731632">
        <w:fldChar w:fldCharType="separate"/>
      </w:r>
      <w:r w:rsidR="00D770BB">
        <w:t>6.79</w:t>
      </w:r>
      <w:r w:rsidRPr="00731632">
        <w:fldChar w:fldCharType="end"/>
      </w:r>
      <w:r w:rsidRPr="00731632">
        <w:t>).</w:t>
      </w:r>
    </w:p>
    <w:p w14:paraId="1C986D18" w14:textId="668CCD66" w:rsidR="006D3C4C" w:rsidRPr="00731632" w:rsidRDefault="006D3C4C" w:rsidP="006D3C4C">
      <w:pPr>
        <w:pStyle w:val="3-BodyText"/>
        <w:numPr>
          <w:ilvl w:val="0"/>
          <w:numId w:val="0"/>
        </w:numPr>
        <w:ind w:left="720"/>
        <w:rPr>
          <w:color w:val="0066FF"/>
        </w:rPr>
      </w:pPr>
      <w:r w:rsidRPr="00731632">
        <w:rPr>
          <w:i/>
        </w:rPr>
        <w:t>For more detail on PBAC’s view, see section 7 PBAC outcome.</w:t>
      </w:r>
    </w:p>
    <w:p w14:paraId="158AA79B" w14:textId="77777777" w:rsidR="00B50DB8" w:rsidRPr="00731632" w:rsidDel="00195452" w:rsidRDefault="00203181" w:rsidP="004E18E9">
      <w:pPr>
        <w:pStyle w:val="2-SectionHeading"/>
      </w:pPr>
      <w:bookmarkStart w:id="15" w:name="_Toc167276231"/>
      <w:r w:rsidRPr="00731632" w:rsidDel="00195452">
        <w:t xml:space="preserve">Population and </w:t>
      </w:r>
      <w:r w:rsidR="008E0D3C" w:rsidRPr="00731632" w:rsidDel="00195452">
        <w:t>d</w:t>
      </w:r>
      <w:r w:rsidRPr="00731632" w:rsidDel="00195452">
        <w:t>isease</w:t>
      </w:r>
      <w:bookmarkEnd w:id="15"/>
    </w:p>
    <w:p w14:paraId="5D78F283" w14:textId="69707C50" w:rsidR="004A67F4" w:rsidRPr="00731632" w:rsidRDefault="004A67F4" w:rsidP="004A67F4">
      <w:pPr>
        <w:pStyle w:val="3-BodyText"/>
      </w:pPr>
      <w:bookmarkStart w:id="16" w:name="_Hlk153191370"/>
      <w:r w:rsidRPr="00731632">
        <w:t xml:space="preserve">RSV is the most common viral cause of bronchiolitis and pneumonia in children under five (50% to 80% of cases), posing a significant risk to infants in their first six months of life. </w:t>
      </w:r>
      <w:r w:rsidR="00196368" w:rsidRPr="00731632">
        <w:t xml:space="preserve">The ESC noted the high </w:t>
      </w:r>
      <w:r w:rsidR="009F3626" w:rsidRPr="00731632">
        <w:t>rates</w:t>
      </w:r>
      <w:r w:rsidR="00196368" w:rsidRPr="00731632">
        <w:t xml:space="preserve"> of hospitalisation associated with RSV; </w:t>
      </w:r>
      <w:r w:rsidR="009F3626" w:rsidRPr="00731632">
        <w:t>i</w:t>
      </w:r>
      <w:r w:rsidRPr="00731632">
        <w:t>n Australia it has been estimated that hospitalisation rates range from 2.2 to 4.9 per 1,000 among children under five years old and between 8.7 and 17.4 per 1,000 among children under one year old</w:t>
      </w:r>
      <w:r w:rsidRPr="00731632">
        <w:rPr>
          <w:rStyle w:val="FootnoteReference"/>
        </w:rPr>
        <w:footnoteReference w:id="6"/>
      </w:r>
      <w:r w:rsidRPr="00731632">
        <w:t xml:space="preserve">. </w:t>
      </w:r>
      <w:bookmarkStart w:id="17" w:name="_Hlk155876468"/>
      <w:r w:rsidRPr="00731632">
        <w:t>The RSV-confirmed hospitalisation rate among First Nations infants has been reported to be 2.3 times higher in infant</w:t>
      </w:r>
      <w:r w:rsidR="008E2D01" w:rsidRPr="00731632">
        <w:t>s</w:t>
      </w:r>
      <w:r w:rsidRPr="00731632">
        <w:t xml:space="preserve"> 0-3 months of age and 3.2 times higher in Aboriginal infants 4-6 months of age</w:t>
      </w:r>
      <w:bookmarkEnd w:id="17"/>
      <w:r w:rsidRPr="00731632">
        <w:rPr>
          <w:rStyle w:val="FootnoteReference"/>
        </w:rPr>
        <w:footnoteReference w:id="7"/>
      </w:r>
      <w:r w:rsidRPr="00731632">
        <w:t xml:space="preserve">. </w:t>
      </w:r>
    </w:p>
    <w:p w14:paraId="03FC62A9" w14:textId="2E89DF35" w:rsidR="004A67F4" w:rsidRPr="00731632" w:rsidRDefault="004A67F4" w:rsidP="004A67F4">
      <w:pPr>
        <w:pStyle w:val="3-BodyText"/>
      </w:pPr>
      <w:r w:rsidRPr="00731632">
        <w:t>Symptoms typically include a low-grade fever, cough, and respiratory distress, potentially escalating to severe conditions requiring hospital care</w:t>
      </w:r>
      <w:r w:rsidRPr="00731632">
        <w:rPr>
          <w:rStyle w:val="FootnoteReference"/>
        </w:rPr>
        <w:footnoteReference w:id="8"/>
      </w:r>
      <w:r w:rsidRPr="00731632">
        <w:t>. Risk factors for severe RSV</w:t>
      </w:r>
      <w:r w:rsidR="00CD63BC" w:rsidRPr="00731632">
        <w:t xml:space="preserve"> and RSV</w:t>
      </w:r>
      <w:r w:rsidR="008F0BFE" w:rsidRPr="00731632">
        <w:t>-</w:t>
      </w:r>
      <w:r w:rsidR="00CD63BC" w:rsidRPr="00731632">
        <w:t>associated hospitalisation</w:t>
      </w:r>
      <w:r w:rsidRPr="00731632">
        <w:t xml:space="preserve"> include very young age, particularly less than three months old, preterm birth, certain congenital heart conditions, chronic lung diseases, and environmental factors like exposure to tobacco smoke</w:t>
      </w:r>
      <w:r w:rsidRPr="00731632">
        <w:rPr>
          <w:rStyle w:val="FootnoteReference"/>
        </w:rPr>
        <w:footnoteReference w:id="9"/>
      </w:r>
      <w:r w:rsidRPr="00731632">
        <w:t>. High-risk infants often experience longer hospital stays and may require intensive care.</w:t>
      </w:r>
    </w:p>
    <w:p w14:paraId="0461A36C" w14:textId="461C5B52" w:rsidR="004A67F4" w:rsidRPr="00731632" w:rsidRDefault="004A67F4" w:rsidP="004A67F4">
      <w:pPr>
        <w:pStyle w:val="3-BodyText"/>
      </w:pPr>
      <w:r w:rsidRPr="00731632">
        <w:t>RSV is primarily transmitted through direct contact with an infected person or by touching surfaces contaminated with the virus</w:t>
      </w:r>
      <w:r w:rsidRPr="00731632">
        <w:rPr>
          <w:vertAlign w:val="superscript"/>
        </w:rPr>
        <w:t>2</w:t>
      </w:r>
      <w:r w:rsidRPr="00731632">
        <w:t>. Individuals infected with RSV, including infants and those with weakened immune systems, can remain contagious for a period ranging from 3 to 8 days, and in some cases, up to 4 weeks</w:t>
      </w:r>
      <w:r w:rsidRPr="00731632">
        <w:rPr>
          <w:rStyle w:val="FootnoteReference"/>
        </w:rPr>
        <w:footnoteReference w:id="10"/>
      </w:r>
      <w:r w:rsidRPr="00731632">
        <w:t xml:space="preserve">. In familial settings, infants often contract RSV from older siblings or parents. Research in Australia has shown that infants less than a year old with one, two, or </w:t>
      </w:r>
      <w:r w:rsidRPr="00731632">
        <w:rPr>
          <w:rFonts w:cstheme="minorHAnsi"/>
        </w:rPr>
        <w:t>≥</w:t>
      </w:r>
      <w:r w:rsidRPr="00731632">
        <w:t xml:space="preserve"> 3 older siblings face a significantly increased risk of RSV infection</w:t>
      </w:r>
      <w:r w:rsidR="003E1422">
        <w:t xml:space="preserve"> </w:t>
      </w:r>
      <w:r w:rsidRPr="00731632">
        <w:t>compared to those infants without siblings</w:t>
      </w:r>
      <w:r w:rsidRPr="00731632">
        <w:rPr>
          <w:rStyle w:val="FootnoteReference"/>
        </w:rPr>
        <w:footnoteReference w:id="11"/>
      </w:r>
      <w:r w:rsidRPr="00731632">
        <w:t>.</w:t>
      </w:r>
    </w:p>
    <w:p w14:paraId="2DB33EDA" w14:textId="371875E6" w:rsidR="004A67F4" w:rsidRPr="00731632" w:rsidRDefault="004A67F4" w:rsidP="004A67F4">
      <w:pPr>
        <w:pStyle w:val="3-BodyText"/>
      </w:pPr>
      <w:r w:rsidRPr="00731632">
        <w:t>The COVID-19 pandemic notably disrupted the typical patterns of RSV transmission. Measures taken to curb the spread of COVID-19, such as social distancing and mask-wearing, also impacted the transmission of RSV, leading to changes in the usual seasonal patterns of the virus. For instance, Australia saw a significant decline in RSV cases in 2020 due to COVID-19 related restrictions, followed by a surge in cases the following year</w:t>
      </w:r>
      <w:r w:rsidRPr="00731632">
        <w:rPr>
          <w:rStyle w:val="FootnoteReference"/>
        </w:rPr>
        <w:footnoteReference w:id="12"/>
      </w:r>
      <w:r w:rsidRPr="00731632">
        <w:t xml:space="preserve">. </w:t>
      </w:r>
    </w:p>
    <w:p w14:paraId="6073E778" w14:textId="10FC045E" w:rsidR="00BC173C" w:rsidRPr="00731632" w:rsidRDefault="00FD36E4" w:rsidP="00866F91">
      <w:pPr>
        <w:pStyle w:val="3-BodyText"/>
        <w:rPr>
          <w:iCs/>
        </w:rPr>
      </w:pPr>
      <w:bookmarkStart w:id="18" w:name="_Ref173497566"/>
      <w:bookmarkEnd w:id="16"/>
      <w:r w:rsidRPr="00731632">
        <w:rPr>
          <w:rFonts w:cstheme="minorBidi"/>
        </w:rPr>
        <w:t>Nirsevimab is a recombinant neutralising human IgG1ĸ long-acting monoclonal antibody to the prefusion conformation of the RSV F protein. Nirsevimab inhibits the essential membrane fusion step in the viral entry process, neutralising the virus and blocking cell-to-cell fusion.</w:t>
      </w:r>
      <w:r w:rsidR="003E1422">
        <w:rPr>
          <w:rFonts w:cstheme="minorBidi"/>
        </w:rPr>
        <w:t xml:space="preserve"> </w:t>
      </w:r>
      <w:r w:rsidR="00BC173C" w:rsidRPr="00731632">
        <w:t>The duration of protection offered by a single dose of nirsevimab is at least 5 months based on clinical and pharmacokinetic data (TGA</w:t>
      </w:r>
      <w:r w:rsidR="00BC173C" w:rsidRPr="00731632">
        <w:noBreakHyphen/>
        <w:t>approved product information).</w:t>
      </w:r>
      <w:bookmarkEnd w:id="18"/>
    </w:p>
    <w:p w14:paraId="3AF46CA1" w14:textId="210087F8" w:rsidR="00DF2579" w:rsidRPr="00731632" w:rsidRDefault="00DF2579" w:rsidP="00DF2579">
      <w:pPr>
        <w:pStyle w:val="3-BodyText"/>
        <w:rPr>
          <w:i/>
          <w:iCs/>
        </w:rPr>
      </w:pPr>
      <w:r w:rsidRPr="00731632">
        <w:t xml:space="preserve">The submission stated that potential emergence of variants of RSV that may theoretically impact the efficacy of nirsevimab is being monitored with surveillance virology and clinical virology analysis programs, to genotypically track the prevalence and emergence of F protein sequence variations among RSV isolates, and to phenotypically evaluate the impact of these amino acid substitutions on the efficacy of nirsevimab using an in vitro neutralisation susceptibility assay. </w:t>
      </w:r>
      <w:r w:rsidR="004557DC" w:rsidRPr="00731632">
        <w:t>T</w:t>
      </w:r>
      <w:r w:rsidRPr="00731632">
        <w:t>he ESC considered</w:t>
      </w:r>
      <w:r w:rsidR="00BF49F5" w:rsidRPr="00731632">
        <w:t xml:space="preserve"> that</w:t>
      </w:r>
      <w:r w:rsidRPr="00731632">
        <w:t xml:space="preserve"> the potential for resistance to nirsevimab</w:t>
      </w:r>
      <w:r w:rsidR="00BF49F5" w:rsidRPr="00731632">
        <w:t>,</w:t>
      </w:r>
      <w:r w:rsidRPr="00731632">
        <w:t xml:space="preserve"> and</w:t>
      </w:r>
      <w:r w:rsidR="00BF49F5" w:rsidRPr="00731632">
        <w:t xml:space="preserve"> the possibility</w:t>
      </w:r>
      <w:r w:rsidRPr="00731632">
        <w:t xml:space="preserve"> that variants with reduced susceptibility to nirsevimab will emerge and become prevalent in the future</w:t>
      </w:r>
      <w:r w:rsidR="00BF49F5" w:rsidRPr="00731632">
        <w:t>,</w:t>
      </w:r>
      <w:r w:rsidR="00A93A85" w:rsidRPr="00731632">
        <w:t xml:space="preserve"> </w:t>
      </w:r>
      <w:r w:rsidR="00BF49F5" w:rsidRPr="00731632">
        <w:t>are both</w:t>
      </w:r>
      <w:r w:rsidRPr="00731632">
        <w:t xml:space="preserve"> area</w:t>
      </w:r>
      <w:r w:rsidR="00BF49F5" w:rsidRPr="00731632">
        <w:t>s</w:t>
      </w:r>
      <w:r w:rsidRPr="00731632">
        <w:t xml:space="preserve"> of uncertainty.</w:t>
      </w:r>
      <w:r w:rsidRPr="00731632">
        <w:rPr>
          <w:i/>
          <w:iCs/>
        </w:rPr>
        <w:t xml:space="preserve"> </w:t>
      </w:r>
    </w:p>
    <w:p w14:paraId="350D77A9" w14:textId="0680BDEE" w:rsidR="006D3C4C" w:rsidRPr="00731632" w:rsidDel="00195452" w:rsidRDefault="006D3C4C" w:rsidP="006D3C4C">
      <w:pPr>
        <w:ind w:left="720"/>
      </w:pPr>
      <w:r w:rsidRPr="00731632">
        <w:rPr>
          <w:rFonts w:asciiTheme="minorHAnsi" w:hAnsiTheme="minorHAnsi"/>
          <w:i/>
        </w:rPr>
        <w:t>For more detail on PBAC’s view, see section 7 PBAC outcome.</w:t>
      </w:r>
    </w:p>
    <w:p w14:paraId="0B234DA1" w14:textId="38714034" w:rsidR="00B50DB8" w:rsidRPr="00731632" w:rsidRDefault="00B50DB8" w:rsidP="004E18E9">
      <w:pPr>
        <w:pStyle w:val="2-SectionHeading"/>
      </w:pPr>
      <w:bookmarkStart w:id="19" w:name="_Toc167276232"/>
      <w:r w:rsidRPr="00731632">
        <w:t>Comparator</w:t>
      </w:r>
      <w:bookmarkEnd w:id="19"/>
    </w:p>
    <w:p w14:paraId="6465D428" w14:textId="39FF03CE" w:rsidR="00A05472" w:rsidRPr="00731632" w:rsidRDefault="005226D5" w:rsidP="00882E3C">
      <w:pPr>
        <w:pStyle w:val="3-BodyText"/>
        <w:rPr>
          <w:snapToGrid/>
        </w:rPr>
      </w:pPr>
      <w:r w:rsidRPr="00731632">
        <w:t xml:space="preserve">At the time of the submission, there was no </w:t>
      </w:r>
      <w:r w:rsidR="000A49A0" w:rsidRPr="00731632">
        <w:t xml:space="preserve">prophylactic </w:t>
      </w:r>
      <w:r w:rsidRPr="00731632">
        <w:t>therapy</w:t>
      </w:r>
      <w:r w:rsidR="000A49A0" w:rsidRPr="00731632">
        <w:t xml:space="preserve"> or vaccine</w:t>
      </w:r>
      <w:r w:rsidRPr="00731632">
        <w:t xml:space="preserve"> listed on either the PBS or NIP for the prevention of RSV</w:t>
      </w:r>
      <w:r w:rsidR="000A49A0" w:rsidRPr="00731632">
        <w:t xml:space="preserve"> </w:t>
      </w:r>
      <w:r w:rsidRPr="00731632">
        <w:t>which nirsevimab would replace. As such, the main comparator nominated was no immunisation</w:t>
      </w:r>
      <w:r w:rsidR="00725270" w:rsidRPr="00731632">
        <w:t xml:space="preserve"> (placebo)</w:t>
      </w:r>
      <w:r w:rsidRPr="00731632">
        <w:t>.</w:t>
      </w:r>
      <w:r w:rsidR="008174D6" w:rsidRPr="00731632">
        <w:t xml:space="preserve"> </w:t>
      </w:r>
    </w:p>
    <w:p w14:paraId="62861ACA" w14:textId="1E65E6AE" w:rsidR="000E3E8E" w:rsidRPr="00731632" w:rsidRDefault="000E3E8E" w:rsidP="000E3E8E">
      <w:pPr>
        <w:pStyle w:val="3-BodyText"/>
        <w:rPr>
          <w:snapToGrid/>
        </w:rPr>
      </w:pPr>
      <w:bookmarkStart w:id="20" w:name="_Ref173488205"/>
      <w:r w:rsidRPr="00731632">
        <w:rPr>
          <w:snapToGrid/>
        </w:rPr>
        <w:t>The submission nominated palivizumab as a supplementary comparator. Palivizumab is TGA</w:t>
      </w:r>
      <w:r w:rsidR="00106E6E" w:rsidRPr="00731632">
        <w:rPr>
          <w:snapToGrid/>
        </w:rPr>
        <w:noBreakHyphen/>
      </w:r>
      <w:r w:rsidRPr="00731632">
        <w:rPr>
          <w:snapToGrid/>
        </w:rPr>
        <w:t xml:space="preserve">registered for the prevention of serious lower respiratory tract disease caused by RSV in children at high-risk of RSV disease as defined by: children with bronchopulmonary dysplasia (BPD), infants with a history of prematurity (gestational age less than or equal to 35 weeks at birth) and children with hemodynamically significant congenital heart disease (CHD). However, palivizumab is not PBS listed and was rejected at the March 2005 PBAC meeting because it was </w:t>
      </w:r>
      <w:r w:rsidR="00E1273A" w:rsidRPr="00731632">
        <w:rPr>
          <w:snapToGrid/>
        </w:rPr>
        <w:t xml:space="preserve">not </w:t>
      </w:r>
      <w:r w:rsidRPr="00731632">
        <w:rPr>
          <w:snapToGrid/>
        </w:rPr>
        <w:t>considered cost</w:t>
      </w:r>
      <w:r w:rsidR="00CA13AB" w:rsidRPr="00731632">
        <w:rPr>
          <w:snapToGrid/>
        </w:rPr>
        <w:noBreakHyphen/>
      </w:r>
      <w:r w:rsidRPr="00731632">
        <w:rPr>
          <w:snapToGrid/>
        </w:rPr>
        <w:t>effective.</w:t>
      </w:r>
      <w:bookmarkEnd w:id="20"/>
      <w:r w:rsidRPr="00731632">
        <w:rPr>
          <w:snapToGrid/>
        </w:rPr>
        <w:t xml:space="preserve"> </w:t>
      </w:r>
    </w:p>
    <w:p w14:paraId="7E1950DB" w14:textId="736872AA" w:rsidR="00106E6E" w:rsidRPr="00731632" w:rsidRDefault="005226D5" w:rsidP="00866F91">
      <w:pPr>
        <w:pStyle w:val="3-BodyText"/>
        <w:rPr>
          <w:snapToGrid/>
        </w:rPr>
      </w:pPr>
      <w:bookmarkStart w:id="21" w:name="_Ref173405390"/>
      <w:r w:rsidRPr="00731632">
        <w:t>The submission noted that a bivalent maternal RSV prefusion F (RSVpreF</w:t>
      </w:r>
      <w:r w:rsidR="002646CB" w:rsidRPr="00731632">
        <w:t>, Abrysvo®</w:t>
      </w:r>
      <w:r w:rsidRPr="00731632">
        <w:t>)</w:t>
      </w:r>
      <w:r w:rsidR="00542142" w:rsidRPr="00731632">
        <w:t xml:space="preserve"> vaccine</w:t>
      </w:r>
      <w:r w:rsidRPr="00731632">
        <w:t xml:space="preserve"> was submitted to the PBAC for consideration at the March 2024 meeting, requesting a NIP listing for the prevention of lower respiratory tract illness caused by RSV in infants from birth through to 6 months of age by active immunisation of pregnant individuals. The PBAC </w:t>
      </w:r>
      <w:r w:rsidR="00731C2C" w:rsidRPr="00731632">
        <w:t>did not recommend RSVpreF</w:t>
      </w:r>
      <w:r w:rsidR="00106E6E" w:rsidRPr="00731632">
        <w:t xml:space="preserve"> in March 2024</w:t>
      </w:r>
      <w:r w:rsidR="004F13ED" w:rsidRPr="00731632">
        <w:rPr>
          <w:rStyle w:val="FootnoteReference"/>
        </w:rPr>
        <w:footnoteReference w:id="13"/>
      </w:r>
      <w:r w:rsidR="00106E6E" w:rsidRPr="00731632">
        <w:t xml:space="preserve">. However, the RSVpreF vaccine was recommended for listing </w:t>
      </w:r>
      <w:r w:rsidR="003D417B" w:rsidRPr="00731632">
        <w:t xml:space="preserve">by the PBAC following consideration of a resubmission </w:t>
      </w:r>
      <w:r w:rsidR="00106E6E" w:rsidRPr="00731632">
        <w:t>in May 2024</w:t>
      </w:r>
      <w:r w:rsidR="00106E6E" w:rsidRPr="00731632">
        <w:rPr>
          <w:rStyle w:val="FootnoteReference"/>
        </w:rPr>
        <w:footnoteReference w:id="14"/>
      </w:r>
      <w:r w:rsidR="00106E6E" w:rsidRPr="00731632">
        <w:t>.</w:t>
      </w:r>
      <w:bookmarkEnd w:id="21"/>
    </w:p>
    <w:p w14:paraId="31EDC451" w14:textId="2249E1C4" w:rsidR="00940523" w:rsidRPr="00731632" w:rsidRDefault="00940523" w:rsidP="00940523">
      <w:pPr>
        <w:pStyle w:val="3-BodyText"/>
        <w:rPr>
          <w:snapToGrid/>
        </w:rPr>
      </w:pPr>
      <w:r w:rsidRPr="00731632">
        <w:rPr>
          <w:snapToGrid/>
        </w:rPr>
        <w:t xml:space="preserve">In summary, </w:t>
      </w:r>
      <w:r w:rsidR="0032680E" w:rsidRPr="00731632">
        <w:rPr>
          <w:snapToGrid/>
        </w:rPr>
        <w:t>the comparators for nirsevimab nominated in the</w:t>
      </w:r>
      <w:r w:rsidRPr="00731632">
        <w:rPr>
          <w:snapToGrid/>
        </w:rPr>
        <w:t xml:space="preserve"> submission</w:t>
      </w:r>
      <w:r w:rsidR="0032680E" w:rsidRPr="00731632">
        <w:rPr>
          <w:snapToGrid/>
        </w:rPr>
        <w:t xml:space="preserve"> </w:t>
      </w:r>
      <w:r w:rsidR="00C10600" w:rsidRPr="00731632">
        <w:rPr>
          <w:snapToGrid/>
        </w:rPr>
        <w:t>were</w:t>
      </w:r>
      <w:r w:rsidRPr="00731632">
        <w:rPr>
          <w:snapToGrid/>
        </w:rPr>
        <w:t xml:space="preserve">: </w:t>
      </w:r>
    </w:p>
    <w:p w14:paraId="09912C9F" w14:textId="0766E8DC" w:rsidR="00940523" w:rsidRPr="00731632" w:rsidRDefault="00940523" w:rsidP="00736431">
      <w:pPr>
        <w:pStyle w:val="3-BodyText"/>
        <w:numPr>
          <w:ilvl w:val="0"/>
          <w:numId w:val="11"/>
        </w:numPr>
        <w:ind w:left="993" w:hanging="283"/>
        <w:rPr>
          <w:snapToGrid/>
        </w:rPr>
      </w:pPr>
      <w:r w:rsidRPr="00731632">
        <w:rPr>
          <w:snapToGrid/>
        </w:rPr>
        <w:t xml:space="preserve">Main comparator – No </w:t>
      </w:r>
      <w:r w:rsidR="00C10600" w:rsidRPr="00731632">
        <w:rPr>
          <w:snapToGrid/>
        </w:rPr>
        <w:t xml:space="preserve">immunisation </w:t>
      </w:r>
      <w:r w:rsidRPr="00731632">
        <w:rPr>
          <w:snapToGrid/>
        </w:rPr>
        <w:t>in Season 1</w:t>
      </w:r>
      <w:r w:rsidR="00745FCC" w:rsidRPr="00731632">
        <w:rPr>
          <w:snapToGrid/>
        </w:rPr>
        <w:t>;</w:t>
      </w:r>
    </w:p>
    <w:p w14:paraId="6AE1CA0B" w14:textId="4E33A00E" w:rsidR="00940523" w:rsidRPr="00731632" w:rsidRDefault="00940523" w:rsidP="00736431">
      <w:pPr>
        <w:pStyle w:val="3-BodyText"/>
        <w:numPr>
          <w:ilvl w:val="0"/>
          <w:numId w:val="11"/>
        </w:numPr>
        <w:ind w:left="993" w:hanging="283"/>
        <w:rPr>
          <w:snapToGrid/>
        </w:rPr>
      </w:pPr>
      <w:r w:rsidRPr="00731632">
        <w:rPr>
          <w:snapToGrid/>
        </w:rPr>
        <w:t xml:space="preserve">Supplementary comparator – </w:t>
      </w:r>
      <w:r w:rsidR="00B2473E" w:rsidRPr="00731632">
        <w:rPr>
          <w:snapToGrid/>
        </w:rPr>
        <w:t>non-PBS</w:t>
      </w:r>
      <w:r w:rsidRPr="00731632">
        <w:rPr>
          <w:snapToGrid/>
        </w:rPr>
        <w:t xml:space="preserve"> listed palivizumab for high-risk infants, in both Seasons 1 and 2</w:t>
      </w:r>
      <w:r w:rsidR="00745FCC" w:rsidRPr="00731632">
        <w:rPr>
          <w:snapToGrid/>
        </w:rPr>
        <w:t>;</w:t>
      </w:r>
    </w:p>
    <w:p w14:paraId="7A254F64" w14:textId="76027E20" w:rsidR="0060703F" w:rsidRPr="00731632" w:rsidRDefault="0060703F" w:rsidP="00736431">
      <w:pPr>
        <w:pStyle w:val="3-BodyText"/>
        <w:numPr>
          <w:ilvl w:val="0"/>
          <w:numId w:val="11"/>
        </w:numPr>
        <w:ind w:left="993" w:hanging="283"/>
        <w:rPr>
          <w:snapToGrid/>
        </w:rPr>
      </w:pPr>
      <w:r w:rsidRPr="00731632">
        <w:rPr>
          <w:snapToGrid/>
        </w:rPr>
        <w:t>Near market comparator – RSVpreF maternal immunisation in Season 1</w:t>
      </w:r>
      <w:r w:rsidR="00745FCC" w:rsidRPr="00731632">
        <w:rPr>
          <w:snapToGrid/>
        </w:rPr>
        <w:t>.</w:t>
      </w:r>
    </w:p>
    <w:p w14:paraId="1F6EA0BC" w14:textId="2A58E4F8" w:rsidR="001E7125" w:rsidRPr="00731632" w:rsidRDefault="006205EF" w:rsidP="001E7125">
      <w:pPr>
        <w:pStyle w:val="3-BodyText"/>
        <w:rPr>
          <w:iCs/>
          <w:snapToGrid/>
        </w:rPr>
      </w:pPr>
      <w:bookmarkStart w:id="22" w:name="_Ref172740153"/>
      <w:r w:rsidRPr="00731632">
        <w:rPr>
          <w:iCs/>
          <w:snapToGrid/>
        </w:rPr>
        <w:t>While t</w:t>
      </w:r>
      <w:r w:rsidR="00543513" w:rsidRPr="00731632">
        <w:rPr>
          <w:iCs/>
          <w:snapToGrid/>
        </w:rPr>
        <w:t>he evaluation and ESC considered that t</w:t>
      </w:r>
      <w:r w:rsidR="00E14E6E" w:rsidRPr="00731632">
        <w:rPr>
          <w:iCs/>
          <w:snapToGrid/>
        </w:rPr>
        <w:t xml:space="preserve">he nominated comparators </w:t>
      </w:r>
      <w:r w:rsidR="001E7125" w:rsidRPr="00731632">
        <w:rPr>
          <w:iCs/>
          <w:snapToGrid/>
        </w:rPr>
        <w:t>were</w:t>
      </w:r>
      <w:r w:rsidR="00E14E6E" w:rsidRPr="00731632">
        <w:rPr>
          <w:iCs/>
          <w:snapToGrid/>
        </w:rPr>
        <w:t xml:space="preserve"> </w:t>
      </w:r>
      <w:r w:rsidR="001E7125" w:rsidRPr="00731632">
        <w:rPr>
          <w:iCs/>
          <w:snapToGrid/>
        </w:rPr>
        <w:t>appropriate</w:t>
      </w:r>
      <w:r w:rsidRPr="00731632">
        <w:rPr>
          <w:iCs/>
          <w:snapToGrid/>
        </w:rPr>
        <w:t>,</w:t>
      </w:r>
      <w:r w:rsidR="008169E3" w:rsidRPr="00731632">
        <w:rPr>
          <w:iCs/>
          <w:snapToGrid/>
        </w:rPr>
        <w:t xml:space="preserve"> </w:t>
      </w:r>
      <w:r w:rsidRPr="00731632">
        <w:rPr>
          <w:iCs/>
          <w:snapToGrid/>
        </w:rPr>
        <w:t xml:space="preserve">both agreed that </w:t>
      </w:r>
      <w:r w:rsidR="008169E3" w:rsidRPr="00731632">
        <w:rPr>
          <w:iCs/>
          <w:snapToGrid/>
        </w:rPr>
        <w:t xml:space="preserve">for the high-risk </w:t>
      </w:r>
      <w:r w:rsidR="00B63F4A" w:rsidRPr="00731632">
        <w:rPr>
          <w:iCs/>
          <w:snapToGrid/>
        </w:rPr>
        <w:t xml:space="preserve">children </w:t>
      </w:r>
      <w:r w:rsidRPr="00731632">
        <w:rPr>
          <w:iCs/>
          <w:snapToGrid/>
        </w:rPr>
        <w:t>entering</w:t>
      </w:r>
      <w:r w:rsidR="008169E3" w:rsidRPr="00731632">
        <w:rPr>
          <w:iCs/>
          <w:snapToGrid/>
        </w:rPr>
        <w:t xml:space="preserve"> their second season of RSV, both palivizumab and no </w:t>
      </w:r>
      <w:r w:rsidR="00DE5E57" w:rsidRPr="00731632">
        <w:rPr>
          <w:iCs/>
          <w:snapToGrid/>
        </w:rPr>
        <w:t xml:space="preserve">immunisation </w:t>
      </w:r>
      <w:r w:rsidR="008169E3" w:rsidRPr="00731632">
        <w:rPr>
          <w:iCs/>
          <w:snapToGrid/>
        </w:rPr>
        <w:t>should be comparators due to the low use of palivizumab.</w:t>
      </w:r>
      <w:r w:rsidRPr="00731632">
        <w:rPr>
          <w:iCs/>
          <w:snapToGrid/>
        </w:rPr>
        <w:t xml:space="preserve"> </w:t>
      </w:r>
      <w:r w:rsidRPr="00731632">
        <w:rPr>
          <w:rFonts w:cstheme="minorHAnsi"/>
          <w:iCs/>
          <w:snapToGrid/>
        </w:rPr>
        <w:t>The PSCR</w:t>
      </w:r>
      <w:r w:rsidR="00C85C3C" w:rsidRPr="00731632">
        <w:rPr>
          <w:rFonts w:cstheme="minorHAnsi"/>
          <w:iCs/>
          <w:snapToGrid/>
        </w:rPr>
        <w:t xml:space="preserve"> and pre-PBAC response</w:t>
      </w:r>
      <w:r w:rsidRPr="00731632">
        <w:rPr>
          <w:rFonts w:cstheme="minorHAnsi"/>
          <w:iCs/>
          <w:snapToGrid/>
        </w:rPr>
        <w:t xml:space="preserve"> maintained that palivizumab should be considered the only comparator for high-risk infants</w:t>
      </w:r>
      <w:r w:rsidR="00B60F45" w:rsidRPr="00731632">
        <w:rPr>
          <w:rFonts w:cstheme="minorHAnsi"/>
          <w:iCs/>
          <w:snapToGrid/>
        </w:rPr>
        <w:t xml:space="preserve"> as, although its use is inconsistent, it receives funding for high-risk infants </w:t>
      </w:r>
      <w:r w:rsidR="00B60F45" w:rsidRPr="00731632">
        <w:rPr>
          <w:rStyle w:val="cf01"/>
          <w:rFonts w:asciiTheme="minorHAnsi" w:hAnsiTheme="minorHAnsi" w:cstheme="minorHAnsi"/>
          <w:iCs/>
          <w:sz w:val="24"/>
          <w:szCs w:val="24"/>
        </w:rPr>
        <w:t xml:space="preserve">via </w:t>
      </w:r>
      <w:r w:rsidR="00F20469" w:rsidRPr="00731632">
        <w:rPr>
          <w:rStyle w:val="cf01"/>
          <w:rFonts w:asciiTheme="minorHAnsi" w:hAnsiTheme="minorHAnsi" w:cstheme="minorHAnsi"/>
          <w:iCs/>
          <w:sz w:val="24"/>
          <w:szCs w:val="24"/>
        </w:rPr>
        <w:t>some s</w:t>
      </w:r>
      <w:r w:rsidR="00B60F45" w:rsidRPr="00731632">
        <w:rPr>
          <w:rStyle w:val="cf01"/>
          <w:rFonts w:asciiTheme="minorHAnsi" w:hAnsiTheme="minorHAnsi" w:cstheme="minorHAnsi"/>
          <w:iCs/>
          <w:sz w:val="24"/>
          <w:szCs w:val="24"/>
        </w:rPr>
        <w:t>tate health programs and hospitals.</w:t>
      </w:r>
      <w:r w:rsidR="00FA6F7B" w:rsidRPr="00731632">
        <w:rPr>
          <w:rStyle w:val="cf01"/>
          <w:rFonts w:asciiTheme="minorHAnsi" w:hAnsiTheme="minorHAnsi" w:cstheme="minorHAnsi"/>
          <w:iCs/>
          <w:sz w:val="24"/>
          <w:szCs w:val="24"/>
        </w:rPr>
        <w:t xml:space="preserve"> </w:t>
      </w:r>
      <w:r w:rsidR="008174D6" w:rsidRPr="00731632">
        <w:rPr>
          <w:rStyle w:val="cf01"/>
          <w:rFonts w:asciiTheme="minorHAnsi" w:hAnsiTheme="minorHAnsi" w:cstheme="minorHAnsi"/>
          <w:iCs/>
          <w:sz w:val="24"/>
          <w:szCs w:val="24"/>
        </w:rPr>
        <w:t>However, t</w:t>
      </w:r>
      <w:r w:rsidR="00FA6F7B" w:rsidRPr="00731632">
        <w:rPr>
          <w:rStyle w:val="cf01"/>
          <w:rFonts w:asciiTheme="minorHAnsi" w:hAnsiTheme="minorHAnsi" w:cstheme="minorHAnsi"/>
          <w:iCs/>
          <w:sz w:val="24"/>
          <w:szCs w:val="24"/>
        </w:rPr>
        <w:t>he ESC</w:t>
      </w:r>
      <w:r w:rsidR="00C85C3C" w:rsidRPr="00731632">
        <w:rPr>
          <w:rStyle w:val="cf01"/>
          <w:rFonts w:asciiTheme="minorHAnsi" w:hAnsiTheme="minorHAnsi" w:cstheme="minorHAnsi"/>
          <w:iCs/>
          <w:sz w:val="24"/>
          <w:szCs w:val="24"/>
        </w:rPr>
        <w:t xml:space="preserve"> and the PBAC</w:t>
      </w:r>
      <w:r w:rsidR="00FA6F7B" w:rsidRPr="00731632">
        <w:rPr>
          <w:rStyle w:val="cf01"/>
          <w:rFonts w:asciiTheme="minorHAnsi" w:hAnsiTheme="minorHAnsi" w:cstheme="minorHAnsi"/>
          <w:iCs/>
          <w:sz w:val="24"/>
          <w:szCs w:val="24"/>
        </w:rPr>
        <w:t xml:space="preserve"> considered that </w:t>
      </w:r>
      <w:r w:rsidR="00FA6F7B" w:rsidRPr="00731632">
        <w:rPr>
          <w:iCs/>
          <w:snapToGrid/>
        </w:rPr>
        <w:t xml:space="preserve">no immunisation should be considered the main comparator for the second season, given </w:t>
      </w:r>
      <w:r w:rsidR="002D48F2" w:rsidRPr="00731632">
        <w:rPr>
          <w:iCs/>
          <w:snapToGrid/>
        </w:rPr>
        <w:t>that</w:t>
      </w:r>
      <w:r w:rsidR="00FA6F7B" w:rsidRPr="00731632">
        <w:rPr>
          <w:iCs/>
          <w:snapToGrid/>
        </w:rPr>
        <w:t xml:space="preserve"> palivizumab </w:t>
      </w:r>
      <w:r w:rsidR="002D48F2" w:rsidRPr="00731632">
        <w:rPr>
          <w:iCs/>
          <w:snapToGrid/>
        </w:rPr>
        <w:t>is not widely available</w:t>
      </w:r>
      <w:r w:rsidR="00FA6F7B" w:rsidRPr="00731632">
        <w:rPr>
          <w:iCs/>
          <w:snapToGrid/>
        </w:rPr>
        <w:t>.</w:t>
      </w:r>
      <w:bookmarkEnd w:id="22"/>
    </w:p>
    <w:p w14:paraId="60978895" w14:textId="4D7DE932" w:rsidR="006D3C4C" w:rsidRPr="00731632" w:rsidRDefault="006D3C4C" w:rsidP="006D3C4C">
      <w:pPr>
        <w:pStyle w:val="3-BodyText"/>
        <w:numPr>
          <w:ilvl w:val="0"/>
          <w:numId w:val="0"/>
        </w:numPr>
        <w:ind w:left="720"/>
        <w:rPr>
          <w:iCs/>
          <w:snapToGrid/>
        </w:rPr>
      </w:pPr>
      <w:r w:rsidRPr="00731632">
        <w:rPr>
          <w:i/>
        </w:rPr>
        <w:t>For more detail on PBAC’s view, see section 7 PBAC outcome.</w:t>
      </w:r>
    </w:p>
    <w:p w14:paraId="4B98C8C6" w14:textId="77777777" w:rsidR="00223D5A" w:rsidRPr="00731632" w:rsidRDefault="00223D5A" w:rsidP="00223D5A">
      <w:pPr>
        <w:pStyle w:val="2-SectionHeading"/>
        <w:numPr>
          <w:ilvl w:val="0"/>
          <w:numId w:val="1"/>
        </w:numPr>
      </w:pPr>
      <w:bookmarkStart w:id="23" w:name="_Toc167276233"/>
      <w:bookmarkStart w:id="24" w:name="_Toc22897640"/>
      <w:r w:rsidRPr="00731632">
        <w:t>Consideration of the evidence</w:t>
      </w:r>
      <w:bookmarkEnd w:id="23"/>
    </w:p>
    <w:p w14:paraId="71899773" w14:textId="77777777" w:rsidR="006D3C4C" w:rsidRPr="00731632" w:rsidRDefault="006D3C4C" w:rsidP="006D3C4C">
      <w:pPr>
        <w:pStyle w:val="4-SubsectionHeading"/>
      </w:pPr>
      <w:bookmarkStart w:id="25" w:name="_Hlk76375935"/>
      <w:bookmarkStart w:id="26" w:name="_Toc167276234"/>
      <w:r w:rsidRPr="00731632">
        <w:t>Sponsor hearing</w:t>
      </w:r>
    </w:p>
    <w:p w14:paraId="528F82A8" w14:textId="70DD4322" w:rsidR="006D3C4C" w:rsidRPr="00731632" w:rsidRDefault="007C0553" w:rsidP="006D3C4C">
      <w:pPr>
        <w:widowControl w:val="0"/>
        <w:numPr>
          <w:ilvl w:val="1"/>
          <w:numId w:val="1"/>
        </w:numPr>
        <w:spacing w:after="120"/>
        <w:rPr>
          <w:rFonts w:cs="Calibri"/>
          <w:bCs/>
          <w:snapToGrid w:val="0"/>
        </w:rPr>
      </w:pPr>
      <w:r w:rsidRPr="00731632">
        <w:rPr>
          <w:rFonts w:cs="Calibri"/>
          <w:bCs/>
          <w:snapToGrid w:val="0"/>
        </w:rPr>
        <w:t>There was no hearing for this item.</w:t>
      </w:r>
    </w:p>
    <w:p w14:paraId="61C88E54" w14:textId="77777777" w:rsidR="006D3C4C" w:rsidRPr="00731632" w:rsidRDefault="006D3C4C" w:rsidP="006D3C4C">
      <w:pPr>
        <w:pStyle w:val="4-SubsectionHeading"/>
      </w:pPr>
      <w:r w:rsidRPr="00731632">
        <w:t>Consumer comments</w:t>
      </w:r>
    </w:p>
    <w:p w14:paraId="68801EFD" w14:textId="77777777" w:rsidR="006B262D" w:rsidRPr="00731632" w:rsidRDefault="00D35945" w:rsidP="00D35945">
      <w:pPr>
        <w:widowControl w:val="0"/>
        <w:numPr>
          <w:ilvl w:val="1"/>
          <w:numId w:val="1"/>
        </w:numPr>
        <w:spacing w:after="120"/>
        <w:rPr>
          <w:rFonts w:asciiTheme="minorHAnsi" w:hAnsiTheme="minorHAnsi"/>
          <w:bCs/>
          <w:snapToGrid w:val="0"/>
        </w:rPr>
      </w:pPr>
      <w:bookmarkStart w:id="27" w:name="_Hlk76382618"/>
      <w:bookmarkEnd w:id="25"/>
      <w:r w:rsidRPr="00731632">
        <w:rPr>
          <w:rFonts w:asciiTheme="minorHAnsi" w:hAnsiTheme="minorHAnsi"/>
          <w:bCs/>
          <w:snapToGrid w:val="0"/>
        </w:rPr>
        <w:t xml:space="preserve">The PBAC noted and welcomed the input from individuals (15), health care professionals (2) and organisations (8) via the Consumer Comments facility on the PBS website. </w:t>
      </w:r>
    </w:p>
    <w:p w14:paraId="5A8016C9" w14:textId="3709DDF9" w:rsidR="006B262D" w:rsidRPr="00731632" w:rsidRDefault="006B262D" w:rsidP="007C5B40">
      <w:pPr>
        <w:widowControl w:val="0"/>
        <w:numPr>
          <w:ilvl w:val="1"/>
          <w:numId w:val="1"/>
        </w:numPr>
        <w:spacing w:after="120"/>
        <w:rPr>
          <w:rFonts w:asciiTheme="minorHAnsi" w:hAnsiTheme="minorHAnsi" w:cstheme="minorHAnsi"/>
          <w:bCs/>
          <w:snapToGrid w:val="0"/>
        </w:rPr>
      </w:pPr>
      <w:r w:rsidRPr="00731632">
        <w:rPr>
          <w:rFonts w:asciiTheme="minorHAnsi" w:hAnsiTheme="minorHAnsi" w:cstheme="minorHAnsi"/>
          <w:bCs/>
          <w:snapToGrid w:val="0"/>
        </w:rPr>
        <w:t>The comments from individuals, in particular parents of infants</w:t>
      </w:r>
      <w:r w:rsidR="00BC6A1B" w:rsidRPr="00731632">
        <w:rPr>
          <w:rFonts w:asciiTheme="minorHAnsi" w:hAnsiTheme="minorHAnsi" w:cstheme="minorHAnsi"/>
          <w:bCs/>
          <w:snapToGrid w:val="0"/>
        </w:rPr>
        <w:t xml:space="preserve"> who had experienced RSV infections</w:t>
      </w:r>
      <w:r w:rsidRPr="00731632">
        <w:rPr>
          <w:rFonts w:asciiTheme="minorHAnsi" w:hAnsiTheme="minorHAnsi" w:cstheme="minorHAnsi"/>
          <w:bCs/>
          <w:snapToGrid w:val="0"/>
        </w:rPr>
        <w:t xml:space="preserve">, described </w:t>
      </w:r>
      <w:r w:rsidR="00BC6A1B" w:rsidRPr="00731632">
        <w:rPr>
          <w:rFonts w:asciiTheme="minorHAnsi" w:hAnsiTheme="minorHAnsi" w:cstheme="minorHAnsi"/>
          <w:bCs/>
          <w:snapToGrid w:val="0"/>
        </w:rPr>
        <w:t xml:space="preserve">concerns associated with the condition including </w:t>
      </w:r>
      <w:r w:rsidRPr="00731632">
        <w:rPr>
          <w:rFonts w:asciiTheme="minorHAnsi" w:hAnsiTheme="minorHAnsi" w:cstheme="minorHAnsi"/>
        </w:rPr>
        <w:t>respiratory distress</w:t>
      </w:r>
      <w:r w:rsidR="007C5B40" w:rsidRPr="00731632">
        <w:rPr>
          <w:rFonts w:asciiTheme="minorHAnsi" w:hAnsiTheme="minorHAnsi" w:cstheme="minorHAnsi"/>
        </w:rPr>
        <w:t xml:space="preserve"> and need for</w:t>
      </w:r>
      <w:r w:rsidRPr="00731632">
        <w:rPr>
          <w:rFonts w:asciiTheme="minorHAnsi" w:hAnsiTheme="minorHAnsi" w:cstheme="minorHAnsi"/>
        </w:rPr>
        <w:t xml:space="preserve"> hospitalisation, noting that nirsevimab would help to prevent severe illness in </w:t>
      </w:r>
      <w:r w:rsidR="007C5B40" w:rsidRPr="00731632">
        <w:rPr>
          <w:rFonts w:asciiTheme="minorHAnsi" w:hAnsiTheme="minorHAnsi" w:cstheme="minorHAnsi"/>
        </w:rPr>
        <w:t>infants and young children</w:t>
      </w:r>
      <w:r w:rsidRPr="00731632">
        <w:rPr>
          <w:rFonts w:asciiTheme="minorHAnsi" w:hAnsiTheme="minorHAnsi" w:cstheme="minorHAnsi"/>
        </w:rPr>
        <w:t xml:space="preserve">. The comments also described the unaffordability of </w:t>
      </w:r>
      <w:r w:rsidR="007C5B40" w:rsidRPr="00731632">
        <w:rPr>
          <w:rFonts w:asciiTheme="minorHAnsi" w:hAnsiTheme="minorHAnsi" w:cstheme="minorHAnsi"/>
        </w:rPr>
        <w:t xml:space="preserve">nirsevimab without subsidy, </w:t>
      </w:r>
      <w:r w:rsidR="00B210ED" w:rsidRPr="00731632">
        <w:rPr>
          <w:rFonts w:asciiTheme="minorHAnsi" w:hAnsiTheme="minorHAnsi" w:cstheme="minorHAnsi"/>
        </w:rPr>
        <w:t xml:space="preserve">and </w:t>
      </w:r>
      <w:r w:rsidRPr="00731632">
        <w:rPr>
          <w:rFonts w:asciiTheme="minorHAnsi" w:hAnsiTheme="minorHAnsi" w:cstheme="minorHAnsi"/>
        </w:rPr>
        <w:t>health system pressures resulting from RSV-related attendance at hospitals.</w:t>
      </w:r>
      <w:r w:rsidR="0068351B" w:rsidRPr="00731632">
        <w:rPr>
          <w:rFonts w:asciiTheme="minorHAnsi" w:hAnsiTheme="minorHAnsi" w:cstheme="minorHAnsi"/>
        </w:rPr>
        <w:t xml:space="preserve"> </w:t>
      </w:r>
      <w:r w:rsidR="007C5B40" w:rsidRPr="00731632">
        <w:rPr>
          <w:rFonts w:asciiTheme="minorHAnsi" w:hAnsiTheme="minorHAnsi" w:cstheme="minorHAnsi"/>
        </w:rPr>
        <w:t>The c</w:t>
      </w:r>
      <w:r w:rsidR="0068351B" w:rsidRPr="00731632">
        <w:rPr>
          <w:rFonts w:asciiTheme="minorHAnsi" w:hAnsiTheme="minorHAnsi" w:cstheme="minorHAnsi"/>
        </w:rPr>
        <w:t xml:space="preserve">omments </w:t>
      </w:r>
      <w:r w:rsidR="007C5B40" w:rsidRPr="00731632">
        <w:rPr>
          <w:rFonts w:asciiTheme="minorHAnsi" w:hAnsiTheme="minorHAnsi" w:cstheme="minorHAnsi"/>
        </w:rPr>
        <w:t xml:space="preserve">noted </w:t>
      </w:r>
      <w:r w:rsidR="0068351B" w:rsidRPr="00731632">
        <w:rPr>
          <w:rFonts w:asciiTheme="minorHAnsi" w:hAnsiTheme="minorHAnsi" w:cstheme="minorHAnsi"/>
        </w:rPr>
        <w:t>inequity of access due to eligibility criteria and State-based subsidies not being uniform across the nation.</w:t>
      </w:r>
    </w:p>
    <w:p w14:paraId="2FB3E128" w14:textId="00216B73" w:rsidR="0068351B" w:rsidRPr="00731632" w:rsidRDefault="0068351B" w:rsidP="0068351B">
      <w:pPr>
        <w:pStyle w:val="3-BodyText"/>
        <w:rPr>
          <w:bCs/>
        </w:rPr>
      </w:pPr>
      <w:r w:rsidRPr="00731632">
        <w:t xml:space="preserve">In addition to the comments from individuals, health care professionals described current treatment options for RSV as only supportive in terms of controlling symptoms </w:t>
      </w:r>
      <w:r w:rsidR="007C5B40" w:rsidRPr="00731632">
        <w:t>and</w:t>
      </w:r>
      <w:r w:rsidRPr="00731632">
        <w:t xml:space="preserve"> not offering a cure. The clinicians noted that clinical trials have demonstrated the effectiveness of RSV monoclonal antibodies in infants. </w:t>
      </w:r>
      <w:r w:rsidRPr="00731632">
        <w:rPr>
          <w:bCs/>
        </w:rPr>
        <w:t>The clinicians outlined the capacity to educate providers such as midwives, pharmacists, GPs, Primary Healthcare Nurses, and Aboriginal Health Practitioners, about RSV disease and prevention, and the need to implement a nationally-funded monoclonal antibody immunisation program offering equal access to all infants.</w:t>
      </w:r>
    </w:p>
    <w:p w14:paraId="0737C1A7" w14:textId="0E4EA228" w:rsidR="00505896" w:rsidRPr="00731632" w:rsidRDefault="00505896" w:rsidP="0068351B">
      <w:pPr>
        <w:pStyle w:val="3-BodyText"/>
        <w:rPr>
          <w:bCs/>
        </w:rPr>
      </w:pPr>
      <w:r w:rsidRPr="00731632">
        <w:rPr>
          <w:bCs/>
        </w:rPr>
        <w:t xml:space="preserve">The organisations that provided comments </w:t>
      </w:r>
      <w:r w:rsidR="007C5B40" w:rsidRPr="00731632">
        <w:rPr>
          <w:bCs/>
        </w:rPr>
        <w:t xml:space="preserve">are listed below along with </w:t>
      </w:r>
      <w:r w:rsidRPr="00731632">
        <w:rPr>
          <w:bCs/>
        </w:rPr>
        <w:t>comments not covered above:</w:t>
      </w:r>
    </w:p>
    <w:p w14:paraId="0CBD6B16" w14:textId="23B5E7DE" w:rsidR="00505896" w:rsidRPr="00731632" w:rsidRDefault="00505896" w:rsidP="00736431">
      <w:pPr>
        <w:pStyle w:val="3-BodyText"/>
        <w:numPr>
          <w:ilvl w:val="0"/>
          <w:numId w:val="36"/>
        </w:numPr>
        <w:ind w:left="1134"/>
        <w:rPr>
          <w:bCs/>
        </w:rPr>
      </w:pPr>
      <w:r w:rsidRPr="00731632">
        <w:rPr>
          <w:bCs/>
        </w:rPr>
        <w:t xml:space="preserve">Lung Foundation Australia – </w:t>
      </w:r>
      <w:r w:rsidR="00151627" w:rsidRPr="00731632">
        <w:rPr>
          <w:bCs/>
        </w:rPr>
        <w:t>access to nirsevimab will reduce the risk of disease, disability and death associated with RSV, and strengthen the respiratory health of the Australian community;</w:t>
      </w:r>
      <w:r w:rsidRPr="00731632">
        <w:rPr>
          <w:bCs/>
        </w:rPr>
        <w:t xml:space="preserve"> </w:t>
      </w:r>
    </w:p>
    <w:p w14:paraId="0F9894FC" w14:textId="342FAF7C" w:rsidR="00505896" w:rsidRPr="00731632" w:rsidRDefault="00505896" w:rsidP="00736431">
      <w:pPr>
        <w:pStyle w:val="3-BodyText"/>
        <w:numPr>
          <w:ilvl w:val="0"/>
          <w:numId w:val="36"/>
        </w:numPr>
        <w:ind w:left="1134"/>
        <w:rPr>
          <w:bCs/>
        </w:rPr>
      </w:pPr>
      <w:r w:rsidRPr="00731632">
        <w:rPr>
          <w:bCs/>
        </w:rPr>
        <w:t>Asthma Australia</w:t>
      </w:r>
      <w:r w:rsidR="00151627" w:rsidRPr="00731632">
        <w:rPr>
          <w:bCs/>
        </w:rPr>
        <w:t xml:space="preserve"> – RSV infections in infancy have been associated with the development of childhood allergic asthma;</w:t>
      </w:r>
    </w:p>
    <w:p w14:paraId="442689FE" w14:textId="6756828E" w:rsidR="00505896" w:rsidRPr="00731632" w:rsidRDefault="00505896" w:rsidP="00736431">
      <w:pPr>
        <w:pStyle w:val="3-BodyText"/>
        <w:numPr>
          <w:ilvl w:val="0"/>
          <w:numId w:val="36"/>
        </w:numPr>
        <w:ind w:left="1134"/>
        <w:rPr>
          <w:bCs/>
        </w:rPr>
      </w:pPr>
      <w:r w:rsidRPr="00731632">
        <w:rPr>
          <w:bCs/>
        </w:rPr>
        <w:t>National Paediatric Medicines Forum</w:t>
      </w:r>
      <w:r w:rsidR="00151627" w:rsidRPr="00731632">
        <w:rPr>
          <w:bCs/>
        </w:rPr>
        <w:t xml:space="preserve"> – preliminary data has indicated a large uptake by clinicians, parents and carers to protect their infants from RSV this winter season. Expanding access will improve uptake particularly for rural and remote </w:t>
      </w:r>
      <w:r w:rsidR="003627B6" w:rsidRPr="00731632">
        <w:rPr>
          <w:bCs/>
        </w:rPr>
        <w:t>areas</w:t>
      </w:r>
      <w:r w:rsidR="00B63F4A" w:rsidRPr="00731632">
        <w:rPr>
          <w:bCs/>
        </w:rPr>
        <w:t xml:space="preserve"> </w:t>
      </w:r>
      <w:r w:rsidR="00151627" w:rsidRPr="00731632">
        <w:rPr>
          <w:bCs/>
        </w:rPr>
        <w:t>that may not be part of a hospital local area network</w:t>
      </w:r>
      <w:r w:rsidR="0015403A" w:rsidRPr="00731632">
        <w:rPr>
          <w:bCs/>
        </w:rPr>
        <w:t>;</w:t>
      </w:r>
    </w:p>
    <w:p w14:paraId="6F2C28AB" w14:textId="7351A7FB" w:rsidR="00505896" w:rsidRPr="00731632" w:rsidRDefault="00151627" w:rsidP="00736431">
      <w:pPr>
        <w:pStyle w:val="3-BodyText"/>
        <w:numPr>
          <w:ilvl w:val="0"/>
          <w:numId w:val="36"/>
        </w:numPr>
        <w:ind w:left="1134"/>
        <w:rPr>
          <w:bCs/>
        </w:rPr>
      </w:pPr>
      <w:r w:rsidRPr="00731632">
        <w:rPr>
          <w:bCs/>
        </w:rPr>
        <w:t>National Aboriginal Community Controlled Health Organisation (</w:t>
      </w:r>
      <w:r w:rsidR="00505896" w:rsidRPr="00731632">
        <w:rPr>
          <w:bCs/>
        </w:rPr>
        <w:t>NACCHO</w:t>
      </w:r>
      <w:r w:rsidRPr="00731632">
        <w:rPr>
          <w:bCs/>
        </w:rPr>
        <w:t>)</w:t>
      </w:r>
      <w:r w:rsidR="00275FF3" w:rsidRPr="00731632">
        <w:rPr>
          <w:bCs/>
        </w:rPr>
        <w:t xml:space="preserve"> –Aboriginal and Torres Strait Islander infants</w:t>
      </w:r>
      <w:r w:rsidR="007C5B40" w:rsidRPr="00731632">
        <w:rPr>
          <w:bCs/>
        </w:rPr>
        <w:t xml:space="preserve"> experience a high burden of disease due to RSV</w:t>
      </w:r>
      <w:r w:rsidR="00275FF3" w:rsidRPr="00731632">
        <w:rPr>
          <w:bCs/>
        </w:rPr>
        <w:t>, accounting for 86% of RSV hospitalisations in the Northern Territory;</w:t>
      </w:r>
    </w:p>
    <w:p w14:paraId="3AA29933" w14:textId="2EDD2B83" w:rsidR="00505896" w:rsidRPr="00731632" w:rsidRDefault="00505896" w:rsidP="00736431">
      <w:pPr>
        <w:pStyle w:val="3-BodyText"/>
        <w:numPr>
          <w:ilvl w:val="0"/>
          <w:numId w:val="36"/>
        </w:numPr>
        <w:ind w:left="1134"/>
        <w:rPr>
          <w:bCs/>
        </w:rPr>
      </w:pPr>
      <w:r w:rsidRPr="00731632">
        <w:rPr>
          <w:bCs/>
        </w:rPr>
        <w:t>Immunisation Foundation of Australia</w:t>
      </w:r>
      <w:r w:rsidR="004F773E" w:rsidRPr="00731632">
        <w:rPr>
          <w:bCs/>
        </w:rPr>
        <w:t xml:space="preserve"> – babies with severe RSV have required hospitalisation with some placed in intensive care and intubated, which impacts on breastfeeding and physical/mental health of all involved;</w:t>
      </w:r>
    </w:p>
    <w:p w14:paraId="3C0DC09A" w14:textId="598615C5" w:rsidR="00505896" w:rsidRPr="00731632" w:rsidRDefault="00505896" w:rsidP="00736431">
      <w:pPr>
        <w:pStyle w:val="3-BodyText"/>
        <w:numPr>
          <w:ilvl w:val="0"/>
          <w:numId w:val="36"/>
        </w:numPr>
        <w:ind w:left="1134"/>
        <w:rPr>
          <w:bCs/>
        </w:rPr>
      </w:pPr>
      <w:r w:rsidRPr="00731632">
        <w:rPr>
          <w:bCs/>
        </w:rPr>
        <w:t>The Australasian Society for Infectious Diseases (ASID)</w:t>
      </w:r>
      <w:r w:rsidR="004F773E" w:rsidRPr="00731632">
        <w:rPr>
          <w:bCs/>
        </w:rPr>
        <w:t xml:space="preserve"> - </w:t>
      </w:r>
      <w:r w:rsidR="00491E08" w:rsidRPr="00731632">
        <w:rPr>
          <w:bCs/>
        </w:rPr>
        <w:t xml:space="preserve">noted that </w:t>
      </w:r>
      <w:r w:rsidR="004F773E" w:rsidRPr="00731632">
        <w:rPr>
          <w:bCs/>
        </w:rPr>
        <w:t>hospitals are often overburdened with infants admitted due to RSV infection</w:t>
      </w:r>
      <w:r w:rsidR="00491E08" w:rsidRPr="00731632">
        <w:rPr>
          <w:bCs/>
        </w:rPr>
        <w:t xml:space="preserve"> in winter, and that nirsevimab represents a significant step forward for Australian infants</w:t>
      </w:r>
      <w:r w:rsidRPr="00731632">
        <w:rPr>
          <w:bCs/>
        </w:rPr>
        <w:t>;</w:t>
      </w:r>
    </w:p>
    <w:p w14:paraId="16458651" w14:textId="0427A2F9" w:rsidR="00505896" w:rsidRPr="00731632" w:rsidRDefault="00505896" w:rsidP="00736431">
      <w:pPr>
        <w:pStyle w:val="3-BodyText"/>
        <w:numPr>
          <w:ilvl w:val="0"/>
          <w:numId w:val="36"/>
        </w:numPr>
        <w:ind w:left="1134"/>
        <w:rPr>
          <w:bCs/>
        </w:rPr>
      </w:pPr>
      <w:r w:rsidRPr="00731632">
        <w:rPr>
          <w:bCs/>
        </w:rPr>
        <w:t>Western Australian Department of Health</w:t>
      </w:r>
      <w:r w:rsidR="00CB6608" w:rsidRPr="00731632">
        <w:rPr>
          <w:bCs/>
        </w:rPr>
        <w:t xml:space="preserve"> - if not funded by government the cost may be prohibitive for many families with a newborn child to care for;</w:t>
      </w:r>
    </w:p>
    <w:p w14:paraId="3F7AAC90" w14:textId="37EF0765" w:rsidR="00976ADA" w:rsidRPr="00731632" w:rsidRDefault="00505896" w:rsidP="00736431">
      <w:pPr>
        <w:pStyle w:val="3-BodyText"/>
        <w:numPr>
          <w:ilvl w:val="0"/>
          <w:numId w:val="36"/>
        </w:numPr>
        <w:ind w:left="1134"/>
        <w:rPr>
          <w:bCs/>
        </w:rPr>
      </w:pPr>
      <w:r w:rsidRPr="00731632">
        <w:rPr>
          <w:bCs/>
        </w:rPr>
        <w:t>RSV and Other Respiratory Illnesses Community Reference Group</w:t>
      </w:r>
      <w:r w:rsidR="00CB6608" w:rsidRPr="00731632">
        <w:rPr>
          <w:bCs/>
        </w:rPr>
        <w:t xml:space="preserve"> – access to nirsevimab will allow children to undergo scheduled hospital-based procedures on the planned dates, even during RSV season.</w:t>
      </w:r>
    </w:p>
    <w:p w14:paraId="61CF3DDE" w14:textId="57759ABA" w:rsidR="00D35945" w:rsidRPr="00731632" w:rsidRDefault="00D35945" w:rsidP="00D35945">
      <w:pPr>
        <w:widowControl w:val="0"/>
        <w:numPr>
          <w:ilvl w:val="1"/>
          <w:numId w:val="1"/>
        </w:numPr>
        <w:spacing w:after="120"/>
        <w:rPr>
          <w:rFonts w:asciiTheme="minorHAnsi" w:hAnsiTheme="minorHAnsi"/>
          <w:bCs/>
          <w:snapToGrid w:val="0"/>
        </w:rPr>
      </w:pPr>
      <w:r w:rsidRPr="00731632">
        <w:rPr>
          <w:rFonts w:asciiTheme="minorHAnsi" w:hAnsiTheme="minorHAnsi"/>
          <w:bCs/>
          <w:snapToGrid w:val="0"/>
        </w:rPr>
        <w:t xml:space="preserve">The PBAC noted that </w:t>
      </w:r>
      <w:r w:rsidR="00976ADA" w:rsidRPr="00731632">
        <w:rPr>
          <w:rFonts w:asciiTheme="minorHAnsi" w:hAnsiTheme="minorHAnsi"/>
          <w:bCs/>
          <w:snapToGrid w:val="0"/>
        </w:rPr>
        <w:t>the</w:t>
      </w:r>
      <w:r w:rsidRPr="00731632">
        <w:rPr>
          <w:rFonts w:asciiTheme="minorHAnsi" w:hAnsiTheme="minorHAnsi"/>
          <w:bCs/>
          <w:snapToGrid w:val="0"/>
        </w:rPr>
        <w:t xml:space="preserve"> advice</w:t>
      </w:r>
      <w:r w:rsidR="00976ADA" w:rsidRPr="00731632">
        <w:rPr>
          <w:rFonts w:asciiTheme="minorHAnsi" w:hAnsiTheme="minorHAnsi"/>
          <w:bCs/>
          <w:snapToGrid w:val="0"/>
        </w:rPr>
        <w:t xml:space="preserve"> from consumers</w:t>
      </w:r>
      <w:r w:rsidRPr="00731632">
        <w:rPr>
          <w:rFonts w:asciiTheme="minorHAnsi" w:hAnsiTheme="minorHAnsi"/>
          <w:bCs/>
          <w:snapToGrid w:val="0"/>
        </w:rPr>
        <w:t xml:space="preserve"> was supportive of the evidence provided in the submission.</w:t>
      </w:r>
    </w:p>
    <w:bookmarkEnd w:id="27"/>
    <w:p w14:paraId="3F5B30B1" w14:textId="604C40F2" w:rsidR="00B60939" w:rsidRPr="00731632" w:rsidRDefault="00B60939" w:rsidP="002E4F02">
      <w:pPr>
        <w:pStyle w:val="4-SubsectionHeading"/>
      </w:pPr>
      <w:r w:rsidRPr="00731632">
        <w:t>Clinical trials</w:t>
      </w:r>
      <w:bookmarkEnd w:id="24"/>
      <w:bookmarkEnd w:id="26"/>
    </w:p>
    <w:p w14:paraId="2867CB32" w14:textId="3DD8A63D" w:rsidR="007F1017" w:rsidRPr="00731632" w:rsidRDefault="00A73134" w:rsidP="00D14280">
      <w:pPr>
        <w:pStyle w:val="3-BodyText"/>
        <w:rPr>
          <w:snapToGrid/>
        </w:rPr>
      </w:pPr>
      <w:r w:rsidRPr="00731632">
        <w:rPr>
          <w:snapToGrid/>
        </w:rPr>
        <w:t xml:space="preserve">The submission </w:t>
      </w:r>
      <w:r w:rsidR="00D5243B" w:rsidRPr="00731632">
        <w:rPr>
          <w:snapToGrid/>
        </w:rPr>
        <w:t>wa</w:t>
      </w:r>
      <w:r w:rsidRPr="00731632">
        <w:rPr>
          <w:snapToGrid/>
        </w:rPr>
        <w:t xml:space="preserve">s based on </w:t>
      </w:r>
      <w:r w:rsidR="00D14280" w:rsidRPr="00731632">
        <w:rPr>
          <w:snapToGrid/>
        </w:rPr>
        <w:t>two</w:t>
      </w:r>
      <w:r w:rsidRPr="00731632">
        <w:rPr>
          <w:snapToGrid/>
        </w:rPr>
        <w:t xml:space="preserve"> head-to-head trial</w:t>
      </w:r>
      <w:r w:rsidR="00D14280" w:rsidRPr="00731632">
        <w:rPr>
          <w:snapToGrid/>
        </w:rPr>
        <w:t>s</w:t>
      </w:r>
      <w:r w:rsidRPr="00731632">
        <w:rPr>
          <w:snapToGrid/>
        </w:rPr>
        <w:t xml:space="preserve"> comparing </w:t>
      </w:r>
      <w:r w:rsidR="00D14280" w:rsidRPr="00731632">
        <w:rPr>
          <w:snapToGrid/>
        </w:rPr>
        <w:t>nirsevimab</w:t>
      </w:r>
      <w:r w:rsidRPr="00731632">
        <w:rPr>
          <w:snapToGrid/>
        </w:rPr>
        <w:t xml:space="preserve"> to </w:t>
      </w:r>
      <w:r w:rsidR="00D14280" w:rsidRPr="00731632">
        <w:rPr>
          <w:snapToGrid/>
        </w:rPr>
        <w:t>placebo</w:t>
      </w:r>
      <w:r w:rsidR="00A16C33" w:rsidRPr="00731632">
        <w:rPr>
          <w:snapToGrid/>
        </w:rPr>
        <w:t xml:space="preserve"> (main com</w:t>
      </w:r>
      <w:r w:rsidR="00E86F9D" w:rsidRPr="00731632">
        <w:rPr>
          <w:snapToGrid/>
        </w:rPr>
        <w:t>p</w:t>
      </w:r>
      <w:r w:rsidR="00A16C33" w:rsidRPr="00731632">
        <w:rPr>
          <w:snapToGrid/>
        </w:rPr>
        <w:t>arator)</w:t>
      </w:r>
      <w:r w:rsidR="00D14280" w:rsidRPr="00731632">
        <w:rPr>
          <w:snapToGrid/>
        </w:rPr>
        <w:t>, MELODY (</w:t>
      </w:r>
      <w:r w:rsidR="00133163" w:rsidRPr="00731632">
        <w:rPr>
          <w:snapToGrid/>
        </w:rPr>
        <w:t>N</w:t>
      </w:r>
      <w:r w:rsidR="00D14280" w:rsidRPr="00731632">
        <w:rPr>
          <w:snapToGrid/>
        </w:rPr>
        <w:t xml:space="preserve"> = 1490) and Phase II</w:t>
      </w:r>
      <w:r w:rsidR="00A4640B" w:rsidRPr="00731632">
        <w:rPr>
          <w:snapToGrid/>
        </w:rPr>
        <w:t>b</w:t>
      </w:r>
      <w:r w:rsidR="00D14280" w:rsidRPr="00731632">
        <w:rPr>
          <w:snapToGrid/>
        </w:rPr>
        <w:t xml:space="preserve"> (D5290C00003</w:t>
      </w:r>
      <w:r w:rsidR="00E86F9D" w:rsidRPr="00731632">
        <w:rPr>
          <w:snapToGrid/>
        </w:rPr>
        <w:t>; herein called Phase II</w:t>
      </w:r>
      <w:r w:rsidR="00A4640B" w:rsidRPr="00731632">
        <w:rPr>
          <w:snapToGrid/>
        </w:rPr>
        <w:t>b</w:t>
      </w:r>
      <w:r w:rsidR="00D14280" w:rsidRPr="00731632">
        <w:rPr>
          <w:snapToGrid/>
        </w:rPr>
        <w:t>) (</w:t>
      </w:r>
      <w:r w:rsidR="00133163" w:rsidRPr="00731632">
        <w:rPr>
          <w:snapToGrid/>
        </w:rPr>
        <w:t>N</w:t>
      </w:r>
      <w:r w:rsidR="00D14280" w:rsidRPr="00731632">
        <w:rPr>
          <w:snapToGrid/>
        </w:rPr>
        <w:t xml:space="preserve"> = 1453) and one study comparing nirsevimab to palivizumab</w:t>
      </w:r>
      <w:r w:rsidR="00A16C33" w:rsidRPr="00731632">
        <w:rPr>
          <w:snapToGrid/>
        </w:rPr>
        <w:t xml:space="preserve"> (supplementary comparator)</w:t>
      </w:r>
      <w:r w:rsidR="00411264" w:rsidRPr="00731632">
        <w:rPr>
          <w:snapToGrid/>
        </w:rPr>
        <w:t>,</w:t>
      </w:r>
      <w:r w:rsidR="00D14280" w:rsidRPr="00731632">
        <w:rPr>
          <w:snapToGrid/>
        </w:rPr>
        <w:t xml:space="preserve"> the MEDLEY trial (</w:t>
      </w:r>
      <w:r w:rsidR="00133163" w:rsidRPr="00731632">
        <w:rPr>
          <w:snapToGrid/>
        </w:rPr>
        <w:t>N</w:t>
      </w:r>
      <w:r w:rsidR="00D14280" w:rsidRPr="00731632">
        <w:rPr>
          <w:snapToGrid/>
        </w:rPr>
        <w:t xml:space="preserve"> = 925). Additionally, the submission used the MATISSE tri</w:t>
      </w:r>
      <w:r w:rsidR="00A13392" w:rsidRPr="00731632">
        <w:rPr>
          <w:snapToGrid/>
        </w:rPr>
        <w:t>a</w:t>
      </w:r>
      <w:r w:rsidR="00D14280" w:rsidRPr="00731632">
        <w:rPr>
          <w:snapToGrid/>
        </w:rPr>
        <w:t>l (</w:t>
      </w:r>
      <w:r w:rsidR="00133163" w:rsidRPr="00731632">
        <w:rPr>
          <w:snapToGrid/>
        </w:rPr>
        <w:t>N</w:t>
      </w:r>
      <w:r w:rsidR="00D14280" w:rsidRPr="00731632">
        <w:rPr>
          <w:snapToGrid/>
        </w:rPr>
        <w:t xml:space="preserve"> = </w:t>
      </w:r>
      <w:r w:rsidR="000E27BA" w:rsidRPr="00731632">
        <w:rPr>
          <w:snapToGrid/>
        </w:rPr>
        <w:t>7126), which compared RSVpreF</w:t>
      </w:r>
      <w:r w:rsidR="00A16C33" w:rsidRPr="00731632">
        <w:rPr>
          <w:snapToGrid/>
        </w:rPr>
        <w:t xml:space="preserve"> (near market comparator)</w:t>
      </w:r>
      <w:r w:rsidR="000E27BA" w:rsidRPr="00731632">
        <w:rPr>
          <w:snapToGrid/>
        </w:rPr>
        <w:t xml:space="preserve"> to placebo, to inform </w:t>
      </w:r>
      <w:r w:rsidR="00411264" w:rsidRPr="00731632">
        <w:rPr>
          <w:snapToGrid/>
        </w:rPr>
        <w:t>an indirect treatment comparison</w:t>
      </w:r>
      <w:r w:rsidR="000E27BA" w:rsidRPr="00731632">
        <w:rPr>
          <w:snapToGrid/>
        </w:rPr>
        <w:t xml:space="preserve"> </w:t>
      </w:r>
      <w:r w:rsidR="00411264" w:rsidRPr="00731632">
        <w:rPr>
          <w:snapToGrid/>
        </w:rPr>
        <w:t>(</w:t>
      </w:r>
      <w:r w:rsidR="000E27BA" w:rsidRPr="00731632">
        <w:rPr>
          <w:snapToGrid/>
        </w:rPr>
        <w:t>ITC</w:t>
      </w:r>
      <w:r w:rsidR="00411264" w:rsidRPr="00731632">
        <w:rPr>
          <w:snapToGrid/>
        </w:rPr>
        <w:t>)</w:t>
      </w:r>
      <w:r w:rsidR="000E27BA" w:rsidRPr="00731632">
        <w:rPr>
          <w:snapToGrid/>
        </w:rPr>
        <w:t>.</w:t>
      </w:r>
      <w:r w:rsidR="00D14280" w:rsidRPr="00731632">
        <w:rPr>
          <w:snapToGrid/>
        </w:rPr>
        <w:t xml:space="preserve"> </w:t>
      </w:r>
      <w:r w:rsidR="000E27BA" w:rsidRPr="00731632">
        <w:rPr>
          <w:snapToGrid/>
        </w:rPr>
        <w:t>Also used in the indirect comparison were two meta-analyses which combined data from</w:t>
      </w:r>
      <w:r w:rsidR="00142F91" w:rsidRPr="00731632">
        <w:rPr>
          <w:snapToGrid/>
        </w:rPr>
        <w:t xml:space="preserve"> the nirsevimab trials,</w:t>
      </w:r>
      <w:r w:rsidR="000E27BA" w:rsidRPr="00731632">
        <w:rPr>
          <w:snapToGrid/>
        </w:rPr>
        <w:t xml:space="preserve"> MELODY and Phase II</w:t>
      </w:r>
      <w:r w:rsidR="00A4640B" w:rsidRPr="00731632">
        <w:rPr>
          <w:snapToGrid/>
        </w:rPr>
        <w:t>b</w:t>
      </w:r>
      <w:r w:rsidR="000E27BA" w:rsidRPr="00731632">
        <w:rPr>
          <w:snapToGrid/>
        </w:rPr>
        <w:t>.</w:t>
      </w:r>
    </w:p>
    <w:p w14:paraId="30EB0F49" w14:textId="0250AB84" w:rsidR="00862502" w:rsidRPr="00731632" w:rsidRDefault="00A73134" w:rsidP="002E4F02">
      <w:pPr>
        <w:pStyle w:val="3-BodyText"/>
      </w:pPr>
      <w:r w:rsidRPr="00731632">
        <w:rPr>
          <w:snapToGrid/>
        </w:rPr>
        <w:t xml:space="preserve">Details of the trials presented in the submission are provided in </w:t>
      </w:r>
      <w:r w:rsidR="00696EF9" w:rsidRPr="00731632">
        <w:rPr>
          <w:snapToGrid/>
        </w:rPr>
        <w:fldChar w:fldCharType="begin"/>
      </w:r>
      <w:r w:rsidR="00696EF9" w:rsidRPr="00731632">
        <w:rPr>
          <w:snapToGrid/>
        </w:rPr>
        <w:instrText xml:space="preserve"> REF _Ref104803956 \h </w:instrText>
      </w:r>
      <w:r w:rsidR="00696EF9" w:rsidRPr="00731632">
        <w:rPr>
          <w:snapToGrid/>
        </w:rPr>
      </w:r>
      <w:r w:rsidR="00696EF9" w:rsidRPr="00731632">
        <w:rPr>
          <w:snapToGrid/>
        </w:rPr>
        <w:fldChar w:fldCharType="separate"/>
      </w:r>
      <w:r w:rsidR="00D770BB" w:rsidRPr="00731632">
        <w:t xml:space="preserve">Table </w:t>
      </w:r>
      <w:r w:rsidR="00D770BB">
        <w:rPr>
          <w:noProof/>
        </w:rPr>
        <w:t>4</w:t>
      </w:r>
      <w:r w:rsidR="00696EF9" w:rsidRPr="00731632">
        <w:rPr>
          <w:snapToGrid/>
        </w:rPr>
        <w:fldChar w:fldCharType="end"/>
      </w:r>
      <w:r w:rsidRPr="00731632">
        <w:rPr>
          <w:snapToGrid/>
        </w:rPr>
        <w:t>.</w:t>
      </w:r>
      <w:r w:rsidR="00BC591F" w:rsidRPr="00731632">
        <w:rPr>
          <w:snapToGrid/>
        </w:rPr>
        <w:t xml:space="preserve"> </w:t>
      </w:r>
    </w:p>
    <w:p w14:paraId="44B6405B" w14:textId="1A1F32DA" w:rsidR="008E0D3C" w:rsidRPr="00731632" w:rsidRDefault="00696EF9" w:rsidP="000E27BA">
      <w:pPr>
        <w:pStyle w:val="TableFigureHeading"/>
        <w:rPr>
          <w:rStyle w:val="CommentReference"/>
          <w:b/>
          <w:szCs w:val="24"/>
        </w:rPr>
      </w:pPr>
      <w:bookmarkStart w:id="28" w:name="_Ref104803956"/>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4</w:t>
      </w:r>
      <w:r w:rsidR="00BD1FC6" w:rsidRPr="00731632">
        <w:fldChar w:fldCharType="end"/>
      </w:r>
      <w:bookmarkEnd w:id="28"/>
      <w:r w:rsidRPr="00731632">
        <w:t>:</w:t>
      </w:r>
      <w:r w:rsidR="00BC591F" w:rsidRPr="00731632">
        <w:rPr>
          <w:rStyle w:val="CommentReference"/>
          <w:b/>
          <w:szCs w:val="24"/>
        </w:rPr>
        <w:t xml:space="preserve"> </w:t>
      </w:r>
      <w:r w:rsidR="00D14280" w:rsidRPr="00731632">
        <w:rPr>
          <w:rStyle w:val="CommentReference"/>
          <w:b/>
          <w:szCs w:val="24"/>
        </w:rPr>
        <w:t xml:space="preserve">Key </w:t>
      </w:r>
      <w:r w:rsidR="000E27BA" w:rsidRPr="00731632">
        <w:rPr>
          <w:rStyle w:val="CommentReference"/>
          <w:b/>
          <w:szCs w:val="24"/>
        </w:rPr>
        <w:t>trials</w:t>
      </w:r>
      <w:r w:rsidR="008E0D3C" w:rsidRPr="00731632">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Key trials and associated reports presented in the submission"/>
      </w:tblPr>
      <w:tblGrid>
        <w:gridCol w:w="1435"/>
        <w:gridCol w:w="5459"/>
        <w:gridCol w:w="2123"/>
      </w:tblGrid>
      <w:tr w:rsidR="009F48A6" w:rsidRPr="00731632" w14:paraId="2355A299" w14:textId="77777777" w:rsidTr="000E27BA">
        <w:trPr>
          <w:tblHeader/>
        </w:trPr>
        <w:tc>
          <w:tcPr>
            <w:tcW w:w="796" w:type="pct"/>
            <w:vAlign w:val="center"/>
          </w:tcPr>
          <w:p w14:paraId="6A7249FA" w14:textId="77777777" w:rsidR="009F48A6" w:rsidRPr="00731632" w:rsidRDefault="009F48A6" w:rsidP="000E27BA">
            <w:pPr>
              <w:pStyle w:val="In-tableHeading"/>
              <w:rPr>
                <w:szCs w:val="20"/>
                <w:lang w:val="en-AU"/>
              </w:rPr>
            </w:pPr>
            <w:r w:rsidRPr="00731632">
              <w:rPr>
                <w:szCs w:val="20"/>
                <w:lang w:val="en-AU"/>
              </w:rPr>
              <w:t>Trial ID</w:t>
            </w:r>
          </w:p>
        </w:tc>
        <w:tc>
          <w:tcPr>
            <w:tcW w:w="3027" w:type="pct"/>
            <w:vAlign w:val="center"/>
          </w:tcPr>
          <w:p w14:paraId="3D8CF31B" w14:textId="77777777" w:rsidR="009F48A6" w:rsidRPr="00731632" w:rsidRDefault="009F48A6" w:rsidP="000E27BA">
            <w:pPr>
              <w:pStyle w:val="In-tableHeading"/>
              <w:rPr>
                <w:szCs w:val="20"/>
                <w:lang w:val="en-AU"/>
              </w:rPr>
            </w:pPr>
            <w:r w:rsidRPr="00731632">
              <w:rPr>
                <w:szCs w:val="20"/>
                <w:lang w:val="en-AU"/>
              </w:rPr>
              <w:t>Protocol title/ Publication title</w:t>
            </w:r>
          </w:p>
        </w:tc>
        <w:tc>
          <w:tcPr>
            <w:tcW w:w="1177" w:type="pct"/>
            <w:vAlign w:val="center"/>
          </w:tcPr>
          <w:p w14:paraId="6357333D" w14:textId="77777777" w:rsidR="009F48A6" w:rsidRPr="00731632" w:rsidRDefault="009F48A6" w:rsidP="000E27BA">
            <w:pPr>
              <w:pStyle w:val="In-tableHeading"/>
              <w:rPr>
                <w:szCs w:val="20"/>
                <w:lang w:val="en-AU"/>
              </w:rPr>
            </w:pPr>
            <w:r w:rsidRPr="00731632">
              <w:rPr>
                <w:szCs w:val="20"/>
                <w:lang w:val="en-AU"/>
              </w:rPr>
              <w:t>Publication citation</w:t>
            </w:r>
          </w:p>
        </w:tc>
      </w:tr>
      <w:tr w:rsidR="009F48A6" w:rsidRPr="00731632" w14:paraId="18D05CB0" w14:textId="77777777" w:rsidTr="00866F91">
        <w:trPr>
          <w:tblHeader/>
        </w:trPr>
        <w:tc>
          <w:tcPr>
            <w:tcW w:w="5000" w:type="pct"/>
            <w:gridSpan w:val="3"/>
            <w:vAlign w:val="center"/>
          </w:tcPr>
          <w:p w14:paraId="274B8F97" w14:textId="67BAC26D" w:rsidR="009F48A6" w:rsidRPr="00731632" w:rsidRDefault="00851507" w:rsidP="000E27BA">
            <w:pPr>
              <w:pStyle w:val="In-tableHeading"/>
              <w:rPr>
                <w:szCs w:val="20"/>
                <w:lang w:val="en-AU"/>
              </w:rPr>
            </w:pPr>
            <w:r w:rsidRPr="00731632">
              <w:rPr>
                <w:rFonts w:cstheme="minorHAnsi"/>
                <w:bCs/>
                <w:szCs w:val="20"/>
                <w:lang w:val="en-AU"/>
              </w:rPr>
              <w:t>Nirsevimab v</w:t>
            </w:r>
            <w:r w:rsidR="009C519B" w:rsidRPr="00731632">
              <w:rPr>
                <w:rFonts w:cstheme="minorHAnsi"/>
                <w:bCs/>
                <w:szCs w:val="20"/>
                <w:lang w:val="en-AU"/>
              </w:rPr>
              <w:t>s.</w:t>
            </w:r>
            <w:r w:rsidR="009F48A6" w:rsidRPr="00731632">
              <w:rPr>
                <w:rFonts w:cstheme="minorHAnsi"/>
                <w:bCs/>
                <w:szCs w:val="20"/>
                <w:lang w:val="en-AU"/>
              </w:rPr>
              <w:t xml:space="preserve"> standard care/no treatment/placebo</w:t>
            </w:r>
          </w:p>
        </w:tc>
      </w:tr>
      <w:tr w:rsidR="009F48A6" w:rsidRPr="00731632" w14:paraId="1D418242" w14:textId="77777777" w:rsidTr="00866F91">
        <w:tc>
          <w:tcPr>
            <w:tcW w:w="796" w:type="pct"/>
            <w:tcBorders>
              <w:bottom w:val="nil"/>
            </w:tcBorders>
            <w:vAlign w:val="center"/>
          </w:tcPr>
          <w:p w14:paraId="0C8094B2" w14:textId="77777777" w:rsidR="009F48A6" w:rsidRPr="00731632" w:rsidRDefault="009F48A6" w:rsidP="000E27BA">
            <w:pPr>
              <w:pStyle w:val="TableText0"/>
              <w:rPr>
                <w:szCs w:val="20"/>
              </w:rPr>
            </w:pPr>
            <w:r w:rsidRPr="00731632">
              <w:rPr>
                <w:szCs w:val="20"/>
              </w:rPr>
              <w:t>MELODY</w:t>
            </w:r>
          </w:p>
        </w:tc>
        <w:tc>
          <w:tcPr>
            <w:tcW w:w="3027" w:type="pct"/>
            <w:tcBorders>
              <w:bottom w:val="nil"/>
            </w:tcBorders>
            <w:vAlign w:val="center"/>
          </w:tcPr>
          <w:p w14:paraId="3BD53274" w14:textId="77777777" w:rsidR="009F48A6" w:rsidRPr="00731632" w:rsidRDefault="009F48A6" w:rsidP="000E27BA">
            <w:pPr>
              <w:pStyle w:val="TableText0"/>
              <w:rPr>
                <w:szCs w:val="20"/>
              </w:rPr>
            </w:pPr>
            <w:r w:rsidRPr="00731632">
              <w:rPr>
                <w:szCs w:val="20"/>
              </w:rPr>
              <w:t>Hammitt, L.L., Dagan, R., Yuan, Y., Baca Cots, M., Bosheva, M., Madhi, S.A., Muller, W.J., Zar, H.J., Brooks, D., Grenham, A. and Wählby Hamrén, U. Nirsevimab for prevention of RSV in healthy late-preterm and term infants</w:t>
            </w:r>
          </w:p>
        </w:tc>
        <w:tc>
          <w:tcPr>
            <w:tcW w:w="1177" w:type="pct"/>
            <w:tcBorders>
              <w:bottom w:val="nil"/>
            </w:tcBorders>
            <w:vAlign w:val="center"/>
          </w:tcPr>
          <w:p w14:paraId="7CFD520C" w14:textId="77777777" w:rsidR="009F48A6" w:rsidRPr="00731632" w:rsidRDefault="009F48A6" w:rsidP="000E27BA">
            <w:pPr>
              <w:pStyle w:val="TableText0"/>
              <w:rPr>
                <w:szCs w:val="20"/>
              </w:rPr>
            </w:pPr>
            <w:r w:rsidRPr="00731632">
              <w:rPr>
                <w:iCs/>
                <w:szCs w:val="20"/>
              </w:rPr>
              <w:t>New England Journal of Medicine</w:t>
            </w:r>
            <w:r w:rsidRPr="00731632">
              <w:rPr>
                <w:szCs w:val="20"/>
              </w:rPr>
              <w:t xml:space="preserve"> 2022, 386(9): 837-846.</w:t>
            </w:r>
          </w:p>
        </w:tc>
      </w:tr>
      <w:tr w:rsidR="009F48A6" w:rsidRPr="00731632" w14:paraId="3BD21874" w14:textId="77777777" w:rsidTr="00866F91">
        <w:tc>
          <w:tcPr>
            <w:tcW w:w="796" w:type="pct"/>
            <w:tcBorders>
              <w:bottom w:val="nil"/>
            </w:tcBorders>
            <w:vAlign w:val="center"/>
          </w:tcPr>
          <w:p w14:paraId="752EE707" w14:textId="091E2057" w:rsidR="009F48A6" w:rsidRPr="00731632" w:rsidRDefault="009F48A6" w:rsidP="000E27BA">
            <w:pPr>
              <w:keepNext/>
              <w:rPr>
                <w:rFonts w:ascii="Arial Narrow" w:hAnsi="Arial Narrow" w:cstheme="minorHAnsi"/>
                <w:sz w:val="20"/>
                <w:szCs w:val="20"/>
              </w:rPr>
            </w:pPr>
            <w:r w:rsidRPr="00731632">
              <w:rPr>
                <w:rFonts w:ascii="Arial Narrow" w:hAnsi="Arial Narrow" w:cstheme="minorHAnsi"/>
                <w:sz w:val="20"/>
                <w:szCs w:val="20"/>
              </w:rPr>
              <w:t>Phase II</w:t>
            </w:r>
            <w:r w:rsidR="00A4640B" w:rsidRPr="00731632">
              <w:rPr>
                <w:rFonts w:ascii="Arial Narrow" w:hAnsi="Arial Narrow" w:cstheme="minorHAnsi"/>
                <w:sz w:val="20"/>
                <w:szCs w:val="20"/>
              </w:rPr>
              <w:t>b</w:t>
            </w:r>
          </w:p>
          <w:p w14:paraId="2361FB92" w14:textId="77777777" w:rsidR="009F48A6" w:rsidRPr="00731632" w:rsidRDefault="009F48A6" w:rsidP="000E27BA">
            <w:pPr>
              <w:pStyle w:val="TableText0"/>
              <w:rPr>
                <w:szCs w:val="20"/>
              </w:rPr>
            </w:pPr>
            <w:r w:rsidRPr="00731632">
              <w:rPr>
                <w:rFonts w:cstheme="minorHAnsi"/>
                <w:szCs w:val="20"/>
              </w:rPr>
              <w:t>D5290C00003</w:t>
            </w:r>
          </w:p>
        </w:tc>
        <w:tc>
          <w:tcPr>
            <w:tcW w:w="3027" w:type="pct"/>
            <w:tcBorders>
              <w:bottom w:val="nil"/>
            </w:tcBorders>
            <w:vAlign w:val="center"/>
          </w:tcPr>
          <w:p w14:paraId="00FCC59E" w14:textId="0C7903E6" w:rsidR="009F48A6" w:rsidRPr="00731632" w:rsidRDefault="009F48A6" w:rsidP="000E27BA">
            <w:pPr>
              <w:pStyle w:val="TableText0"/>
              <w:rPr>
                <w:szCs w:val="20"/>
              </w:rPr>
            </w:pPr>
            <w:r w:rsidRPr="00731632">
              <w:rPr>
                <w:szCs w:val="20"/>
              </w:rPr>
              <w:t>Griffin, M.P., Yuan, Y., Takas, T., Domachowske, J.B., Madhi, S.A., Manzoni, P., Simões, E.A., Esser, M.T., Khan, A.A., Dubovsky, F. and Villafana, T. Single-dose nirsevimab for prevention of RSV in preterm infants.</w:t>
            </w:r>
          </w:p>
        </w:tc>
        <w:tc>
          <w:tcPr>
            <w:tcW w:w="1177" w:type="pct"/>
            <w:tcBorders>
              <w:bottom w:val="nil"/>
            </w:tcBorders>
            <w:vAlign w:val="center"/>
          </w:tcPr>
          <w:p w14:paraId="7C35ED00" w14:textId="77777777" w:rsidR="009F48A6" w:rsidRPr="00731632" w:rsidRDefault="009F48A6" w:rsidP="000E27BA">
            <w:pPr>
              <w:pStyle w:val="TableText0"/>
              <w:rPr>
                <w:szCs w:val="20"/>
              </w:rPr>
            </w:pPr>
            <w:r w:rsidRPr="00731632">
              <w:rPr>
                <w:iCs/>
                <w:szCs w:val="20"/>
              </w:rPr>
              <w:t>New England Journal of Medicine</w:t>
            </w:r>
            <w:r w:rsidRPr="00731632">
              <w:rPr>
                <w:szCs w:val="20"/>
              </w:rPr>
              <w:t xml:space="preserve"> 2020, 383(5): 415-425.</w:t>
            </w:r>
          </w:p>
        </w:tc>
      </w:tr>
      <w:tr w:rsidR="009F48A6" w:rsidRPr="00731632" w14:paraId="64BBF262" w14:textId="77777777" w:rsidTr="009F48A6">
        <w:tc>
          <w:tcPr>
            <w:tcW w:w="5000" w:type="pct"/>
            <w:gridSpan w:val="3"/>
            <w:tcBorders>
              <w:top w:val="single" w:sz="4" w:space="0" w:color="auto"/>
              <w:bottom w:val="single" w:sz="4" w:space="0" w:color="auto"/>
            </w:tcBorders>
            <w:vAlign w:val="center"/>
          </w:tcPr>
          <w:p w14:paraId="6FECA67D" w14:textId="3D13A0DC" w:rsidR="009F48A6" w:rsidRPr="00731632" w:rsidRDefault="00851507" w:rsidP="000E27BA">
            <w:pPr>
              <w:pStyle w:val="TableText0"/>
              <w:rPr>
                <w:b/>
                <w:bCs w:val="0"/>
                <w:iCs/>
                <w:szCs w:val="20"/>
              </w:rPr>
            </w:pPr>
            <w:r w:rsidRPr="00731632">
              <w:rPr>
                <w:b/>
                <w:bCs w:val="0"/>
                <w:iCs/>
                <w:szCs w:val="20"/>
              </w:rPr>
              <w:t>Nirsevimab v</w:t>
            </w:r>
            <w:r w:rsidR="009C519B" w:rsidRPr="00731632">
              <w:rPr>
                <w:b/>
                <w:bCs w:val="0"/>
                <w:iCs/>
                <w:szCs w:val="20"/>
              </w:rPr>
              <w:t>s.</w:t>
            </w:r>
            <w:r w:rsidR="009F48A6" w:rsidRPr="00731632">
              <w:rPr>
                <w:b/>
                <w:bCs w:val="0"/>
                <w:iCs/>
                <w:szCs w:val="20"/>
              </w:rPr>
              <w:t xml:space="preserve"> palivizumab</w:t>
            </w:r>
          </w:p>
        </w:tc>
      </w:tr>
      <w:tr w:rsidR="006A74CA" w:rsidRPr="00731632" w14:paraId="3C5DD6C3" w14:textId="77777777" w:rsidTr="006A74CA">
        <w:tc>
          <w:tcPr>
            <w:tcW w:w="796" w:type="pct"/>
            <w:vMerge w:val="restart"/>
            <w:tcBorders>
              <w:top w:val="single" w:sz="4" w:space="0" w:color="auto"/>
            </w:tcBorders>
            <w:vAlign w:val="center"/>
          </w:tcPr>
          <w:p w14:paraId="194E85E0" w14:textId="7DB25BCC" w:rsidR="006A74CA" w:rsidRPr="00731632" w:rsidRDefault="006A74CA" w:rsidP="000E27BA">
            <w:pPr>
              <w:pStyle w:val="TableText0"/>
              <w:rPr>
                <w:rFonts w:cstheme="minorHAnsi"/>
                <w:szCs w:val="20"/>
              </w:rPr>
            </w:pPr>
            <w:r w:rsidRPr="00731632">
              <w:rPr>
                <w:rFonts w:cstheme="minorHAnsi"/>
                <w:szCs w:val="20"/>
              </w:rPr>
              <w:t>MEDLEY</w:t>
            </w:r>
          </w:p>
        </w:tc>
        <w:tc>
          <w:tcPr>
            <w:tcW w:w="3027" w:type="pct"/>
            <w:tcBorders>
              <w:top w:val="single" w:sz="4" w:space="0" w:color="auto"/>
              <w:bottom w:val="nil"/>
            </w:tcBorders>
            <w:vAlign w:val="center"/>
          </w:tcPr>
          <w:p w14:paraId="7472A7E8" w14:textId="2EDA5533" w:rsidR="006A74CA" w:rsidRPr="00731632" w:rsidRDefault="006A74CA" w:rsidP="000E27BA">
            <w:pPr>
              <w:keepNext/>
              <w:rPr>
                <w:rFonts w:ascii="Arial Narrow" w:hAnsi="Arial Narrow"/>
                <w:sz w:val="20"/>
                <w:szCs w:val="20"/>
              </w:rPr>
            </w:pPr>
            <w:r w:rsidRPr="00731632">
              <w:rPr>
                <w:rFonts w:ascii="Arial Narrow" w:hAnsi="Arial Narrow" w:cstheme="minorHAnsi"/>
                <w:color w:val="222222"/>
                <w:sz w:val="20"/>
                <w:szCs w:val="20"/>
                <w:shd w:val="clear" w:color="auto" w:fill="FFFFFF"/>
              </w:rPr>
              <w:t>Domachowske, J., Madhi, S.A., Simões, E.A., Atanasova, V., Cabañas, F., Furuno, K., Garcia-Garcia, M.L., Grantina, I., Nguyen, K.A., Brooks, D. and Chang, Y. Safety of nirsevimab for RSV in infants with heart or lung disease or prematurity. </w:t>
            </w:r>
          </w:p>
        </w:tc>
        <w:tc>
          <w:tcPr>
            <w:tcW w:w="1177" w:type="pct"/>
            <w:tcBorders>
              <w:top w:val="single" w:sz="4" w:space="0" w:color="auto"/>
              <w:bottom w:val="nil"/>
            </w:tcBorders>
            <w:vAlign w:val="center"/>
          </w:tcPr>
          <w:p w14:paraId="07F5F490" w14:textId="539CB79A" w:rsidR="006A74CA" w:rsidRPr="00731632" w:rsidRDefault="006A74CA" w:rsidP="000E27BA">
            <w:pPr>
              <w:keepNext/>
              <w:rPr>
                <w:rFonts w:ascii="Arial Narrow" w:hAnsi="Arial Narrow" w:cstheme="minorHAnsi"/>
                <w:color w:val="222222"/>
                <w:sz w:val="20"/>
                <w:szCs w:val="20"/>
                <w:shd w:val="clear" w:color="auto" w:fill="FFFFFF"/>
              </w:rPr>
            </w:pPr>
            <w:r w:rsidRPr="00731632">
              <w:rPr>
                <w:rFonts w:ascii="Arial Narrow" w:hAnsi="Arial Narrow" w:cstheme="minorHAnsi"/>
                <w:iCs/>
                <w:color w:val="222222"/>
                <w:sz w:val="20"/>
                <w:szCs w:val="20"/>
                <w:shd w:val="clear" w:color="auto" w:fill="FFFFFF"/>
              </w:rPr>
              <w:t xml:space="preserve">New England Journal of Medicine </w:t>
            </w:r>
            <w:r w:rsidRPr="00731632">
              <w:rPr>
                <w:rFonts w:ascii="Arial Narrow" w:hAnsi="Arial Narrow" w:cstheme="minorHAnsi"/>
                <w:color w:val="222222"/>
                <w:sz w:val="20"/>
                <w:szCs w:val="20"/>
                <w:shd w:val="clear" w:color="auto" w:fill="FFFFFF"/>
              </w:rPr>
              <w:t>2022, 386(9): 892-894.</w:t>
            </w:r>
          </w:p>
          <w:p w14:paraId="6DA05EB2" w14:textId="77777777" w:rsidR="006A74CA" w:rsidRPr="00731632" w:rsidRDefault="006A74CA" w:rsidP="000E27BA">
            <w:pPr>
              <w:pStyle w:val="TableText0"/>
              <w:rPr>
                <w:i/>
                <w:szCs w:val="20"/>
              </w:rPr>
            </w:pPr>
          </w:p>
        </w:tc>
      </w:tr>
      <w:tr w:rsidR="006A74CA" w:rsidRPr="00731632" w14:paraId="01AC7091" w14:textId="77777777" w:rsidTr="006A74CA">
        <w:tc>
          <w:tcPr>
            <w:tcW w:w="796" w:type="pct"/>
            <w:vMerge/>
            <w:tcBorders>
              <w:top w:val="nil"/>
              <w:bottom w:val="single" w:sz="4" w:space="0" w:color="auto"/>
            </w:tcBorders>
            <w:vAlign w:val="center"/>
          </w:tcPr>
          <w:p w14:paraId="26D4A234" w14:textId="77777777" w:rsidR="006A74CA" w:rsidRPr="00731632" w:rsidRDefault="006A74CA" w:rsidP="000E27BA">
            <w:pPr>
              <w:pStyle w:val="TableText0"/>
              <w:rPr>
                <w:rFonts w:cstheme="minorHAnsi"/>
                <w:szCs w:val="20"/>
              </w:rPr>
            </w:pPr>
          </w:p>
        </w:tc>
        <w:tc>
          <w:tcPr>
            <w:tcW w:w="3027" w:type="pct"/>
            <w:tcBorders>
              <w:top w:val="nil"/>
              <w:bottom w:val="single" w:sz="4" w:space="0" w:color="auto"/>
            </w:tcBorders>
            <w:vAlign w:val="center"/>
          </w:tcPr>
          <w:p w14:paraId="465F6627" w14:textId="0A5A7AB9" w:rsidR="006A74CA" w:rsidRPr="00731632" w:rsidRDefault="006A74CA" w:rsidP="000E27BA">
            <w:pPr>
              <w:pStyle w:val="TableText0"/>
              <w:rPr>
                <w:szCs w:val="20"/>
              </w:rPr>
            </w:pPr>
            <w:r w:rsidRPr="00731632">
              <w:rPr>
                <w:rFonts w:cstheme="minorHAnsi"/>
                <w:szCs w:val="20"/>
              </w:rPr>
              <w:t>Domachowske, J.B., Chang, Y., Atanasova, V., Cabañas, F., Furuno, K., Nguyen, K.A., Banu, I., Kubiak, R.J., Leach, A., Mankad, V.S. and Shroff, M</w:t>
            </w:r>
            <w:r w:rsidRPr="00731632">
              <w:rPr>
                <w:rFonts w:cstheme="minorHAnsi"/>
                <w:iCs/>
                <w:szCs w:val="20"/>
              </w:rPr>
              <w:t xml:space="preserve">. </w:t>
            </w:r>
            <w:r w:rsidRPr="00731632">
              <w:rPr>
                <w:rFonts w:cstheme="minorHAnsi"/>
                <w:szCs w:val="20"/>
              </w:rPr>
              <w:t>Safety of re-dosing nirsevimab prior to RSV season 2 in children with heart or lung disease.</w:t>
            </w:r>
            <w:r w:rsidRPr="00731632">
              <w:rPr>
                <w:rFonts w:cstheme="minorHAnsi"/>
                <w:iCs/>
                <w:szCs w:val="20"/>
              </w:rPr>
              <w:t xml:space="preserve"> </w:t>
            </w:r>
          </w:p>
        </w:tc>
        <w:tc>
          <w:tcPr>
            <w:tcW w:w="1177" w:type="pct"/>
            <w:tcBorders>
              <w:top w:val="nil"/>
              <w:bottom w:val="single" w:sz="4" w:space="0" w:color="auto"/>
            </w:tcBorders>
            <w:vAlign w:val="center"/>
          </w:tcPr>
          <w:p w14:paraId="54DEC806" w14:textId="4E388FA7" w:rsidR="006A74CA" w:rsidRPr="00731632" w:rsidRDefault="006A74CA" w:rsidP="000E27BA">
            <w:pPr>
              <w:pStyle w:val="TableText0"/>
              <w:rPr>
                <w:i/>
                <w:szCs w:val="20"/>
              </w:rPr>
            </w:pPr>
            <w:r w:rsidRPr="00731632">
              <w:rPr>
                <w:rFonts w:cstheme="minorHAnsi"/>
                <w:iCs/>
                <w:szCs w:val="20"/>
              </w:rPr>
              <w:t xml:space="preserve">Journal of the Pediatric Infectious Diseases Society </w:t>
            </w:r>
            <w:r w:rsidRPr="00731632">
              <w:rPr>
                <w:rFonts w:cstheme="minorHAnsi"/>
                <w:szCs w:val="20"/>
              </w:rPr>
              <w:t>2023</w:t>
            </w:r>
            <w:r w:rsidRPr="00731632">
              <w:rPr>
                <w:rFonts w:cstheme="minorHAnsi"/>
                <w:iCs/>
                <w:szCs w:val="20"/>
              </w:rPr>
              <w:t xml:space="preserve">, </w:t>
            </w:r>
            <w:r w:rsidRPr="00731632">
              <w:rPr>
                <w:rFonts w:cstheme="minorHAnsi"/>
                <w:szCs w:val="20"/>
              </w:rPr>
              <w:t>12(8): 477-480.</w:t>
            </w:r>
          </w:p>
        </w:tc>
      </w:tr>
      <w:tr w:rsidR="006A74CA" w:rsidRPr="00731632" w14:paraId="7E2EBD85" w14:textId="77777777" w:rsidTr="006A74CA">
        <w:tc>
          <w:tcPr>
            <w:tcW w:w="5000" w:type="pct"/>
            <w:gridSpan w:val="3"/>
            <w:tcBorders>
              <w:top w:val="single" w:sz="4" w:space="0" w:color="auto"/>
              <w:bottom w:val="single" w:sz="4" w:space="0" w:color="auto"/>
            </w:tcBorders>
            <w:vAlign w:val="center"/>
          </w:tcPr>
          <w:p w14:paraId="19CD908A" w14:textId="350EFBBA" w:rsidR="006A74CA" w:rsidRPr="00731632" w:rsidRDefault="006A74CA" w:rsidP="000E27BA">
            <w:pPr>
              <w:pStyle w:val="TableText0"/>
              <w:rPr>
                <w:b/>
                <w:bCs w:val="0"/>
                <w:iCs/>
                <w:szCs w:val="20"/>
              </w:rPr>
            </w:pPr>
            <w:r w:rsidRPr="00731632">
              <w:rPr>
                <w:b/>
                <w:bCs w:val="0"/>
                <w:iCs/>
                <w:szCs w:val="20"/>
              </w:rPr>
              <w:t>RSVpreF</w:t>
            </w:r>
            <w:r w:rsidR="008169C5" w:rsidRPr="00731632">
              <w:rPr>
                <w:b/>
                <w:bCs w:val="0"/>
                <w:iCs/>
                <w:szCs w:val="20"/>
              </w:rPr>
              <w:t xml:space="preserve"> vaccine </w:t>
            </w:r>
            <w:r w:rsidR="00851507" w:rsidRPr="00731632">
              <w:rPr>
                <w:b/>
                <w:bCs w:val="0"/>
                <w:iCs/>
                <w:szCs w:val="20"/>
              </w:rPr>
              <w:t>vs</w:t>
            </w:r>
            <w:r w:rsidR="009C519B" w:rsidRPr="00731632">
              <w:rPr>
                <w:b/>
                <w:bCs w:val="0"/>
                <w:iCs/>
                <w:szCs w:val="20"/>
              </w:rPr>
              <w:t>.</w:t>
            </w:r>
            <w:r w:rsidR="00851507" w:rsidRPr="00731632">
              <w:rPr>
                <w:b/>
                <w:bCs w:val="0"/>
                <w:iCs/>
                <w:szCs w:val="20"/>
              </w:rPr>
              <w:t xml:space="preserve"> </w:t>
            </w:r>
            <w:r w:rsidR="008169C5" w:rsidRPr="00731632">
              <w:rPr>
                <w:b/>
                <w:bCs w:val="0"/>
                <w:iCs/>
                <w:szCs w:val="20"/>
              </w:rPr>
              <w:t>placebo</w:t>
            </w:r>
          </w:p>
        </w:tc>
      </w:tr>
      <w:tr w:rsidR="008169C5" w:rsidRPr="00731632" w14:paraId="2ECB458E" w14:textId="77777777" w:rsidTr="00866F91">
        <w:tc>
          <w:tcPr>
            <w:tcW w:w="796" w:type="pct"/>
            <w:tcBorders>
              <w:top w:val="single" w:sz="4" w:space="0" w:color="auto"/>
              <w:bottom w:val="single" w:sz="4" w:space="0" w:color="auto"/>
            </w:tcBorders>
          </w:tcPr>
          <w:p w14:paraId="5FA12457" w14:textId="5B3D7346" w:rsidR="008169C5" w:rsidRPr="00731632" w:rsidRDefault="008169C5" w:rsidP="000E27BA">
            <w:pPr>
              <w:pStyle w:val="TableText0"/>
              <w:rPr>
                <w:rFonts w:cstheme="minorHAnsi"/>
                <w:szCs w:val="20"/>
              </w:rPr>
            </w:pPr>
            <w:r w:rsidRPr="00731632">
              <w:rPr>
                <w:rFonts w:cstheme="minorHAnsi"/>
                <w:szCs w:val="20"/>
              </w:rPr>
              <w:t>MATISSE</w:t>
            </w:r>
          </w:p>
        </w:tc>
        <w:tc>
          <w:tcPr>
            <w:tcW w:w="3027" w:type="pct"/>
            <w:tcBorders>
              <w:top w:val="single" w:sz="4" w:space="0" w:color="auto"/>
              <w:bottom w:val="single" w:sz="4" w:space="0" w:color="auto"/>
            </w:tcBorders>
          </w:tcPr>
          <w:p w14:paraId="43FC12F2" w14:textId="6BE94639" w:rsidR="008169C5" w:rsidRPr="00731632" w:rsidRDefault="008169C5" w:rsidP="000E27BA">
            <w:pPr>
              <w:pStyle w:val="TableText0"/>
              <w:rPr>
                <w:szCs w:val="20"/>
              </w:rPr>
            </w:pPr>
            <w:r w:rsidRPr="00731632">
              <w:rPr>
                <w:rFonts w:cstheme="minorHAnsi"/>
                <w:color w:val="222222"/>
                <w:szCs w:val="20"/>
                <w:shd w:val="clear" w:color="auto" w:fill="FFFFFF"/>
              </w:rPr>
              <w:t>Kampmann, B., Madhi, S.A., Munjal, I., Simões, E.A., Pahud, B.A., Llapur, C., Baker, J., Pérez Marc, G., Radley, D., Shittu, E. and Glanternik, J. Bivalent prefusion F vaccine in pregnancy to prevent RSV illness in infants. </w:t>
            </w:r>
          </w:p>
        </w:tc>
        <w:tc>
          <w:tcPr>
            <w:tcW w:w="1177" w:type="pct"/>
            <w:tcBorders>
              <w:top w:val="single" w:sz="4" w:space="0" w:color="auto"/>
              <w:bottom w:val="single" w:sz="4" w:space="0" w:color="auto"/>
            </w:tcBorders>
            <w:vAlign w:val="center"/>
          </w:tcPr>
          <w:p w14:paraId="386FA9A1" w14:textId="4D89401A" w:rsidR="008169C5" w:rsidRPr="00731632" w:rsidRDefault="008169C5" w:rsidP="000E27BA">
            <w:pPr>
              <w:pStyle w:val="TableText0"/>
              <w:rPr>
                <w:i/>
                <w:szCs w:val="20"/>
              </w:rPr>
            </w:pPr>
            <w:r w:rsidRPr="00731632">
              <w:rPr>
                <w:rFonts w:cstheme="minorHAnsi"/>
                <w:iCs/>
                <w:color w:val="222222"/>
                <w:szCs w:val="20"/>
                <w:shd w:val="clear" w:color="auto" w:fill="FFFFFF"/>
              </w:rPr>
              <w:t xml:space="preserve">New England Journal of Medicine </w:t>
            </w:r>
            <w:r w:rsidRPr="00731632">
              <w:rPr>
                <w:rFonts w:cstheme="minorHAnsi"/>
                <w:color w:val="222222"/>
                <w:szCs w:val="20"/>
                <w:shd w:val="clear" w:color="auto" w:fill="FFFFFF"/>
              </w:rPr>
              <w:t>2023, 388(16), pp.1451-1464.</w:t>
            </w:r>
          </w:p>
        </w:tc>
      </w:tr>
    </w:tbl>
    <w:p w14:paraId="1DE6A64A" w14:textId="356C3F8F" w:rsidR="008E0D3C" w:rsidRPr="00731632" w:rsidRDefault="008E0D3C" w:rsidP="00736431">
      <w:pPr>
        <w:pStyle w:val="FooterTableFigure"/>
        <w:rPr>
          <w:sz w:val="20"/>
        </w:rPr>
      </w:pPr>
      <w:r w:rsidRPr="00731632">
        <w:t>Source: Table</w:t>
      </w:r>
      <w:r w:rsidR="00D134F5" w:rsidRPr="00731632">
        <w:t xml:space="preserve"> 2.2.1</w:t>
      </w:r>
      <w:r w:rsidRPr="00731632">
        <w:t>, of the submission.</w:t>
      </w:r>
    </w:p>
    <w:p w14:paraId="34862C5E" w14:textId="3AB48378" w:rsidR="007F1017" w:rsidRPr="00731632" w:rsidRDefault="008F120A" w:rsidP="00EC5836">
      <w:pPr>
        <w:pStyle w:val="3-BodyText"/>
        <w:rPr>
          <w:color w:val="0066FF"/>
        </w:rPr>
      </w:pPr>
      <w:r w:rsidRPr="00731632">
        <w:t xml:space="preserve">The key features of the direct randomised </w:t>
      </w:r>
      <w:r w:rsidR="007170DA" w:rsidRPr="00731632">
        <w:t>studies</w:t>
      </w:r>
      <w:r w:rsidRPr="00731632">
        <w:t xml:space="preserve"> are summarised in</w:t>
      </w:r>
      <w:r w:rsidR="00D6076E" w:rsidRPr="00731632">
        <w:t xml:space="preserve"> </w:t>
      </w:r>
      <w:r w:rsidR="00D6076E" w:rsidRPr="00731632">
        <w:fldChar w:fldCharType="begin"/>
      </w:r>
      <w:r w:rsidR="00D6076E" w:rsidRPr="00731632">
        <w:instrText xml:space="preserve"> REF _Ref104804098 \h  \* MERGEFORMAT </w:instrText>
      </w:r>
      <w:r w:rsidR="00D6076E" w:rsidRPr="00731632">
        <w:fldChar w:fldCharType="separate"/>
      </w:r>
      <w:r w:rsidR="00D770BB" w:rsidRPr="00D770BB">
        <w:t>Table 5</w:t>
      </w:r>
      <w:r w:rsidR="00D6076E" w:rsidRPr="00731632">
        <w:fldChar w:fldCharType="end"/>
      </w:r>
      <w:r w:rsidR="009D4992" w:rsidRPr="00731632">
        <w:t>.</w:t>
      </w:r>
      <w:r w:rsidR="000E27BA" w:rsidRPr="00731632">
        <w:t xml:space="preserve"> </w:t>
      </w:r>
    </w:p>
    <w:p w14:paraId="1A60D091" w14:textId="4DB04FB2" w:rsidR="007F1017" w:rsidRPr="00731632" w:rsidRDefault="00696EF9" w:rsidP="00D6076E">
      <w:pPr>
        <w:pStyle w:val="Caption"/>
        <w:rPr>
          <w:rStyle w:val="CommentReference"/>
          <w:rFonts w:eastAsiaTheme="majorEastAsia" w:cstheme="majorBidi"/>
          <w:b/>
          <w:szCs w:val="24"/>
        </w:rPr>
      </w:pPr>
      <w:bookmarkStart w:id="29" w:name="_Ref104804098"/>
      <w:r w:rsidRPr="00731632">
        <w:rPr>
          <w:rStyle w:val="CommentReference"/>
          <w:rFonts w:eastAsiaTheme="majorEastAsia" w:cstheme="majorBidi"/>
          <w:b/>
          <w:szCs w:val="24"/>
        </w:rPr>
        <w:t xml:space="preserve">Table </w:t>
      </w:r>
      <w:r w:rsidRPr="00731632">
        <w:rPr>
          <w:rStyle w:val="CommentReference"/>
          <w:rFonts w:eastAsiaTheme="majorEastAsia" w:cstheme="majorBidi"/>
          <w:b/>
          <w:szCs w:val="24"/>
        </w:rPr>
        <w:fldChar w:fldCharType="begin"/>
      </w:r>
      <w:r w:rsidRPr="00731632">
        <w:rPr>
          <w:rStyle w:val="CommentReference"/>
          <w:rFonts w:eastAsiaTheme="majorEastAsia" w:cstheme="majorBidi"/>
          <w:b/>
          <w:szCs w:val="24"/>
        </w:rPr>
        <w:instrText xml:space="preserve"> SEQ Table \* ARABIC </w:instrText>
      </w:r>
      <w:r w:rsidRPr="00731632">
        <w:rPr>
          <w:rStyle w:val="CommentReference"/>
          <w:rFonts w:eastAsiaTheme="majorEastAsia" w:cstheme="majorBidi"/>
          <w:b/>
          <w:szCs w:val="24"/>
        </w:rPr>
        <w:fldChar w:fldCharType="separate"/>
      </w:r>
      <w:r w:rsidR="00D770BB">
        <w:rPr>
          <w:rStyle w:val="CommentReference"/>
          <w:rFonts w:eastAsiaTheme="majorEastAsia" w:cstheme="majorBidi"/>
          <w:b/>
          <w:noProof/>
          <w:szCs w:val="24"/>
        </w:rPr>
        <w:t>5</w:t>
      </w:r>
      <w:r w:rsidRPr="00731632">
        <w:rPr>
          <w:rStyle w:val="CommentReference"/>
          <w:rFonts w:eastAsiaTheme="majorEastAsia" w:cstheme="majorBidi"/>
          <w:b/>
          <w:szCs w:val="24"/>
        </w:rPr>
        <w:fldChar w:fldCharType="end"/>
      </w:r>
      <w:bookmarkEnd w:id="29"/>
      <w:r w:rsidR="00D6076E" w:rsidRPr="00731632">
        <w:rPr>
          <w:rStyle w:val="CommentReference"/>
          <w:rFonts w:eastAsiaTheme="majorEastAsia" w:cstheme="majorBidi"/>
          <w:b/>
          <w:szCs w:val="24"/>
        </w:rPr>
        <w:t xml:space="preserve">: </w:t>
      </w:r>
      <w:r w:rsidR="007F1017" w:rsidRPr="00731632">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213"/>
        <w:gridCol w:w="768"/>
        <w:gridCol w:w="1270"/>
        <w:gridCol w:w="994"/>
        <w:gridCol w:w="1845"/>
        <w:gridCol w:w="1556"/>
        <w:gridCol w:w="1371"/>
      </w:tblGrid>
      <w:tr w:rsidR="00B41614" w:rsidRPr="00731632" w14:paraId="3282CB45" w14:textId="77777777" w:rsidTr="00736431">
        <w:trPr>
          <w:cantSplit/>
          <w:tblHeader/>
        </w:trPr>
        <w:tc>
          <w:tcPr>
            <w:tcW w:w="673" w:type="pct"/>
            <w:shd w:val="clear" w:color="auto" w:fill="auto"/>
            <w:vAlign w:val="center"/>
          </w:tcPr>
          <w:p w14:paraId="0F2E09EB" w14:textId="77777777" w:rsidR="007F1017" w:rsidRPr="00731632" w:rsidRDefault="007F1017" w:rsidP="001E34DF">
            <w:pPr>
              <w:pStyle w:val="In-tableHeading"/>
              <w:rPr>
                <w:lang w:val="en-AU"/>
              </w:rPr>
            </w:pPr>
            <w:r w:rsidRPr="00731632">
              <w:rPr>
                <w:lang w:val="en-AU"/>
              </w:rPr>
              <w:t>Trial</w:t>
            </w:r>
          </w:p>
        </w:tc>
        <w:tc>
          <w:tcPr>
            <w:tcW w:w="426" w:type="pct"/>
            <w:shd w:val="clear" w:color="auto" w:fill="auto"/>
            <w:vAlign w:val="center"/>
          </w:tcPr>
          <w:p w14:paraId="743F3B88" w14:textId="77777777" w:rsidR="007F1017" w:rsidRPr="00731632" w:rsidRDefault="007F1017" w:rsidP="00EC5836">
            <w:pPr>
              <w:pStyle w:val="In-tableHeading"/>
              <w:jc w:val="center"/>
              <w:rPr>
                <w:lang w:val="en-AU"/>
              </w:rPr>
            </w:pPr>
            <w:r w:rsidRPr="00731632">
              <w:rPr>
                <w:lang w:val="en-AU"/>
              </w:rPr>
              <w:t>N</w:t>
            </w:r>
          </w:p>
        </w:tc>
        <w:tc>
          <w:tcPr>
            <w:tcW w:w="704" w:type="pct"/>
            <w:shd w:val="clear" w:color="auto" w:fill="auto"/>
            <w:vAlign w:val="center"/>
          </w:tcPr>
          <w:p w14:paraId="38DBD554" w14:textId="77777777" w:rsidR="007F1017" w:rsidRPr="00731632" w:rsidRDefault="007F1017" w:rsidP="00EC5836">
            <w:pPr>
              <w:pStyle w:val="In-tableHeading"/>
              <w:jc w:val="center"/>
              <w:rPr>
                <w:lang w:val="en-AU"/>
              </w:rPr>
            </w:pPr>
            <w:r w:rsidRPr="00731632">
              <w:rPr>
                <w:lang w:val="en-AU"/>
              </w:rPr>
              <w:t>Design/ duration</w:t>
            </w:r>
          </w:p>
        </w:tc>
        <w:tc>
          <w:tcPr>
            <w:tcW w:w="551" w:type="pct"/>
            <w:shd w:val="clear" w:color="auto" w:fill="auto"/>
            <w:vAlign w:val="center"/>
          </w:tcPr>
          <w:p w14:paraId="6493DA58" w14:textId="77777777" w:rsidR="007F1017" w:rsidRPr="00731632" w:rsidRDefault="007F1017" w:rsidP="00EC5836">
            <w:pPr>
              <w:pStyle w:val="In-tableHeading"/>
              <w:jc w:val="center"/>
              <w:rPr>
                <w:lang w:val="en-AU"/>
              </w:rPr>
            </w:pPr>
            <w:r w:rsidRPr="00731632">
              <w:rPr>
                <w:lang w:val="en-AU"/>
              </w:rPr>
              <w:t>Risk of bias</w:t>
            </w:r>
          </w:p>
        </w:tc>
        <w:tc>
          <w:tcPr>
            <w:tcW w:w="1023" w:type="pct"/>
            <w:shd w:val="clear" w:color="auto" w:fill="auto"/>
            <w:vAlign w:val="center"/>
          </w:tcPr>
          <w:p w14:paraId="172C5237" w14:textId="77777777" w:rsidR="007F1017" w:rsidRPr="00731632" w:rsidRDefault="007F1017" w:rsidP="00EC5836">
            <w:pPr>
              <w:pStyle w:val="In-tableHeading"/>
              <w:jc w:val="center"/>
              <w:rPr>
                <w:lang w:val="en-AU"/>
              </w:rPr>
            </w:pPr>
            <w:r w:rsidRPr="00731632">
              <w:rPr>
                <w:lang w:val="en-AU"/>
              </w:rPr>
              <w:t>Patient population</w:t>
            </w:r>
          </w:p>
        </w:tc>
        <w:tc>
          <w:tcPr>
            <w:tcW w:w="863" w:type="pct"/>
            <w:shd w:val="clear" w:color="auto" w:fill="auto"/>
            <w:vAlign w:val="center"/>
          </w:tcPr>
          <w:p w14:paraId="1A5ABF35" w14:textId="77777777" w:rsidR="007F1017" w:rsidRPr="00731632" w:rsidRDefault="007F1017" w:rsidP="00EC5836">
            <w:pPr>
              <w:pStyle w:val="In-tableHeading"/>
              <w:jc w:val="center"/>
              <w:rPr>
                <w:lang w:val="en-AU"/>
              </w:rPr>
            </w:pPr>
            <w:r w:rsidRPr="00731632">
              <w:rPr>
                <w:lang w:val="en-AU"/>
              </w:rPr>
              <w:t>Outcome(s)</w:t>
            </w:r>
          </w:p>
        </w:tc>
        <w:tc>
          <w:tcPr>
            <w:tcW w:w="759" w:type="pct"/>
            <w:shd w:val="clear" w:color="auto" w:fill="auto"/>
            <w:vAlign w:val="center"/>
          </w:tcPr>
          <w:p w14:paraId="266602B6" w14:textId="77777777" w:rsidR="007F1017" w:rsidRPr="00731632" w:rsidRDefault="007F1017" w:rsidP="00EC5836">
            <w:pPr>
              <w:pStyle w:val="In-tableHeading"/>
              <w:jc w:val="center"/>
              <w:rPr>
                <w:lang w:val="en-AU"/>
              </w:rPr>
            </w:pPr>
            <w:r w:rsidRPr="00731632">
              <w:rPr>
                <w:lang w:val="en-AU"/>
              </w:rPr>
              <w:t>Use in modelled evaluation</w:t>
            </w:r>
          </w:p>
        </w:tc>
      </w:tr>
      <w:tr w:rsidR="007F1017" w:rsidRPr="00731632" w14:paraId="125D7CAC" w14:textId="77777777" w:rsidTr="00682BA6">
        <w:trPr>
          <w:cantSplit/>
        </w:trPr>
        <w:tc>
          <w:tcPr>
            <w:tcW w:w="5000" w:type="pct"/>
            <w:gridSpan w:val="7"/>
            <w:shd w:val="clear" w:color="auto" w:fill="auto"/>
            <w:vAlign w:val="center"/>
          </w:tcPr>
          <w:p w14:paraId="5EBCF706" w14:textId="15D0894D" w:rsidR="007F1017" w:rsidRPr="00731632" w:rsidRDefault="00BE50E4" w:rsidP="00EC5836">
            <w:pPr>
              <w:pStyle w:val="In-tableHeading"/>
              <w:rPr>
                <w:lang w:val="en-AU"/>
              </w:rPr>
            </w:pPr>
            <w:r w:rsidRPr="00731632">
              <w:rPr>
                <w:lang w:val="en-AU"/>
              </w:rPr>
              <w:t>Nirsevimab vs. placebo</w:t>
            </w:r>
          </w:p>
        </w:tc>
      </w:tr>
      <w:tr w:rsidR="00B41614" w:rsidRPr="00731632" w14:paraId="65A8F0A6" w14:textId="77777777" w:rsidTr="00736431">
        <w:trPr>
          <w:cantSplit/>
        </w:trPr>
        <w:tc>
          <w:tcPr>
            <w:tcW w:w="673" w:type="pct"/>
            <w:shd w:val="clear" w:color="auto" w:fill="auto"/>
            <w:vAlign w:val="center"/>
          </w:tcPr>
          <w:p w14:paraId="27847DA5" w14:textId="56198DE3" w:rsidR="007F1017" w:rsidRPr="00731632" w:rsidRDefault="00BE50E4" w:rsidP="00EC5836">
            <w:pPr>
              <w:pStyle w:val="TableText0"/>
            </w:pPr>
            <w:r w:rsidRPr="00731632">
              <w:t>MELODY</w:t>
            </w:r>
          </w:p>
        </w:tc>
        <w:tc>
          <w:tcPr>
            <w:tcW w:w="426" w:type="pct"/>
            <w:shd w:val="clear" w:color="auto" w:fill="auto"/>
            <w:vAlign w:val="center"/>
          </w:tcPr>
          <w:p w14:paraId="20D4EE65" w14:textId="7EBCFD8C" w:rsidR="007F1017" w:rsidRPr="00731632" w:rsidRDefault="00BE50E4" w:rsidP="00EC5836">
            <w:pPr>
              <w:pStyle w:val="TableText0"/>
              <w:jc w:val="center"/>
            </w:pPr>
            <w:r w:rsidRPr="00731632">
              <w:t>1490</w:t>
            </w:r>
          </w:p>
        </w:tc>
        <w:tc>
          <w:tcPr>
            <w:tcW w:w="704" w:type="pct"/>
            <w:shd w:val="clear" w:color="auto" w:fill="auto"/>
            <w:vAlign w:val="center"/>
          </w:tcPr>
          <w:p w14:paraId="71FA95DA" w14:textId="77777777" w:rsidR="007F1017" w:rsidRPr="00731632" w:rsidRDefault="00956638" w:rsidP="00EC5836">
            <w:pPr>
              <w:pStyle w:val="TableText0"/>
              <w:jc w:val="center"/>
            </w:pPr>
            <w:r w:rsidRPr="00731632">
              <w:t>R, DB, MC</w:t>
            </w:r>
          </w:p>
          <w:p w14:paraId="281742E6" w14:textId="09F0BD90" w:rsidR="00806827" w:rsidRPr="00731632" w:rsidRDefault="00806827" w:rsidP="00EC5836">
            <w:pPr>
              <w:pStyle w:val="TableText0"/>
              <w:jc w:val="center"/>
            </w:pPr>
            <w:r w:rsidRPr="00731632">
              <w:t>510 days</w:t>
            </w:r>
          </w:p>
        </w:tc>
        <w:tc>
          <w:tcPr>
            <w:tcW w:w="551" w:type="pct"/>
            <w:shd w:val="clear" w:color="auto" w:fill="auto"/>
            <w:vAlign w:val="center"/>
          </w:tcPr>
          <w:p w14:paraId="1F6E4494" w14:textId="65375BE0" w:rsidR="007F1017" w:rsidRPr="00731632" w:rsidRDefault="00806827" w:rsidP="00EC5836">
            <w:pPr>
              <w:pStyle w:val="TableText0"/>
              <w:jc w:val="center"/>
            </w:pPr>
            <w:r w:rsidRPr="00731632">
              <w:t>low</w:t>
            </w:r>
          </w:p>
        </w:tc>
        <w:tc>
          <w:tcPr>
            <w:tcW w:w="1023" w:type="pct"/>
            <w:shd w:val="clear" w:color="auto" w:fill="auto"/>
            <w:vAlign w:val="center"/>
          </w:tcPr>
          <w:p w14:paraId="64499F21" w14:textId="06EF8D9B" w:rsidR="007F1017" w:rsidRPr="00731632" w:rsidRDefault="007661CD" w:rsidP="00EC5836">
            <w:pPr>
              <w:pStyle w:val="TableText0"/>
              <w:jc w:val="center"/>
            </w:pPr>
            <w:r w:rsidRPr="00731632">
              <w:t>Healthy infants in their first year of life and born ≥ 35 weeks 0 days GA and entering their first RSV season</w:t>
            </w:r>
          </w:p>
        </w:tc>
        <w:tc>
          <w:tcPr>
            <w:tcW w:w="863" w:type="pct"/>
            <w:shd w:val="clear" w:color="auto" w:fill="auto"/>
            <w:vAlign w:val="center"/>
          </w:tcPr>
          <w:p w14:paraId="7CB9F250" w14:textId="77777777" w:rsidR="007F1017" w:rsidRPr="00731632" w:rsidRDefault="00587CA9" w:rsidP="00266A98">
            <w:pPr>
              <w:pStyle w:val="TableText0"/>
              <w:numPr>
                <w:ilvl w:val="0"/>
                <w:numId w:val="12"/>
              </w:numPr>
            </w:pPr>
            <w:r w:rsidRPr="00731632">
              <w:t>MA RSV LRTI</w:t>
            </w:r>
          </w:p>
          <w:p w14:paraId="3D92DFB8" w14:textId="77777777" w:rsidR="00587CA9" w:rsidRPr="00731632" w:rsidRDefault="00587CA9" w:rsidP="00266A98">
            <w:pPr>
              <w:pStyle w:val="TableText0"/>
              <w:numPr>
                <w:ilvl w:val="0"/>
                <w:numId w:val="12"/>
              </w:numPr>
            </w:pPr>
            <w:r w:rsidRPr="00731632">
              <w:t>RSV LRTI-hospitalisations</w:t>
            </w:r>
          </w:p>
          <w:p w14:paraId="7ACD1FEB" w14:textId="77777777" w:rsidR="00587CA9" w:rsidRPr="00731632" w:rsidRDefault="00587CA9" w:rsidP="00266A98">
            <w:pPr>
              <w:pStyle w:val="TableText0"/>
              <w:keepNext w:val="0"/>
              <w:widowControl w:val="0"/>
              <w:numPr>
                <w:ilvl w:val="0"/>
                <w:numId w:val="12"/>
              </w:numPr>
            </w:pPr>
            <w:r w:rsidRPr="00731632">
              <w:t>Safety and tolerability</w:t>
            </w:r>
          </w:p>
          <w:p w14:paraId="7B37C2A3" w14:textId="77777777" w:rsidR="00587CA9" w:rsidRPr="00731632" w:rsidRDefault="00587CA9" w:rsidP="00266A98">
            <w:pPr>
              <w:pStyle w:val="TableText0"/>
              <w:keepNext w:val="0"/>
              <w:widowControl w:val="0"/>
              <w:numPr>
                <w:ilvl w:val="0"/>
                <w:numId w:val="12"/>
              </w:numPr>
            </w:pPr>
            <w:r w:rsidRPr="00731632">
              <w:t xml:space="preserve">PK </w:t>
            </w:r>
          </w:p>
          <w:p w14:paraId="776AAC1F" w14:textId="50878CF7" w:rsidR="00587CA9" w:rsidRPr="00731632" w:rsidRDefault="00587CA9" w:rsidP="00266A98">
            <w:pPr>
              <w:pStyle w:val="TableText0"/>
              <w:keepNext w:val="0"/>
              <w:widowControl w:val="0"/>
              <w:numPr>
                <w:ilvl w:val="0"/>
                <w:numId w:val="12"/>
              </w:numPr>
            </w:pPr>
            <w:r w:rsidRPr="00731632">
              <w:t>ADA</w:t>
            </w:r>
          </w:p>
        </w:tc>
        <w:tc>
          <w:tcPr>
            <w:tcW w:w="759" w:type="pct"/>
            <w:shd w:val="clear" w:color="auto" w:fill="auto"/>
            <w:vAlign w:val="center"/>
          </w:tcPr>
          <w:p w14:paraId="525A1A1F" w14:textId="0F84CEE2" w:rsidR="007F1017" w:rsidRPr="00731632" w:rsidRDefault="00C80A77" w:rsidP="00EC5836">
            <w:pPr>
              <w:pStyle w:val="TableText0"/>
              <w:jc w:val="center"/>
            </w:pPr>
            <w:r w:rsidRPr="00731632">
              <w:t>used</w:t>
            </w:r>
          </w:p>
        </w:tc>
      </w:tr>
      <w:tr w:rsidR="00B41614" w:rsidRPr="00731632" w14:paraId="43407343" w14:textId="77777777" w:rsidTr="00736431">
        <w:trPr>
          <w:cantSplit/>
        </w:trPr>
        <w:tc>
          <w:tcPr>
            <w:tcW w:w="673" w:type="pct"/>
            <w:shd w:val="clear" w:color="auto" w:fill="auto"/>
            <w:vAlign w:val="center"/>
          </w:tcPr>
          <w:p w14:paraId="04E007CC" w14:textId="0BCD1FA8" w:rsidR="00BE50E4" w:rsidRPr="00731632" w:rsidRDefault="00BE50E4" w:rsidP="00BE50E4">
            <w:pPr>
              <w:keepNext/>
              <w:rPr>
                <w:rFonts w:ascii="Arial Narrow" w:hAnsi="Arial Narrow" w:cstheme="minorHAnsi"/>
                <w:sz w:val="20"/>
                <w:szCs w:val="20"/>
              </w:rPr>
            </w:pPr>
            <w:r w:rsidRPr="00731632">
              <w:rPr>
                <w:rFonts w:ascii="Arial Narrow" w:hAnsi="Arial Narrow" w:cstheme="minorHAnsi"/>
                <w:sz w:val="20"/>
                <w:szCs w:val="20"/>
              </w:rPr>
              <w:t>Phase II</w:t>
            </w:r>
            <w:r w:rsidR="00A4640B" w:rsidRPr="00731632">
              <w:rPr>
                <w:rFonts w:ascii="Arial Narrow" w:hAnsi="Arial Narrow" w:cstheme="minorHAnsi"/>
                <w:sz w:val="20"/>
                <w:szCs w:val="20"/>
              </w:rPr>
              <w:t>b</w:t>
            </w:r>
          </w:p>
          <w:p w14:paraId="1D2504E5" w14:textId="2197C31A" w:rsidR="007F1017" w:rsidRPr="00731632" w:rsidRDefault="00BE50E4" w:rsidP="00BE50E4">
            <w:pPr>
              <w:pStyle w:val="TableText0"/>
            </w:pPr>
            <w:r w:rsidRPr="00731632">
              <w:rPr>
                <w:rFonts w:cstheme="minorHAnsi"/>
                <w:szCs w:val="20"/>
              </w:rPr>
              <w:t>D5290C00003</w:t>
            </w:r>
          </w:p>
        </w:tc>
        <w:tc>
          <w:tcPr>
            <w:tcW w:w="426" w:type="pct"/>
            <w:shd w:val="clear" w:color="auto" w:fill="auto"/>
            <w:vAlign w:val="center"/>
          </w:tcPr>
          <w:p w14:paraId="303990F2" w14:textId="10A5F7D1" w:rsidR="007F1017" w:rsidRPr="00731632" w:rsidRDefault="00BE50E4" w:rsidP="00EC5836">
            <w:pPr>
              <w:pStyle w:val="TableText0"/>
              <w:jc w:val="center"/>
            </w:pPr>
            <w:r w:rsidRPr="00731632">
              <w:t>1453</w:t>
            </w:r>
          </w:p>
        </w:tc>
        <w:tc>
          <w:tcPr>
            <w:tcW w:w="704" w:type="pct"/>
            <w:shd w:val="clear" w:color="auto" w:fill="auto"/>
            <w:vAlign w:val="center"/>
          </w:tcPr>
          <w:p w14:paraId="186F3814" w14:textId="77777777" w:rsidR="007F1017" w:rsidRPr="00731632" w:rsidRDefault="00806827" w:rsidP="00EC5836">
            <w:pPr>
              <w:pStyle w:val="TableText0"/>
              <w:jc w:val="center"/>
            </w:pPr>
            <w:r w:rsidRPr="00731632">
              <w:t>R, DB, MC</w:t>
            </w:r>
          </w:p>
          <w:p w14:paraId="10BD8EB7" w14:textId="363257B2" w:rsidR="00806827" w:rsidRPr="00731632" w:rsidRDefault="00934E09" w:rsidP="00EC5836">
            <w:pPr>
              <w:pStyle w:val="TableText0"/>
              <w:jc w:val="center"/>
            </w:pPr>
            <w:r w:rsidRPr="00731632">
              <w:t>1 year</w:t>
            </w:r>
          </w:p>
        </w:tc>
        <w:tc>
          <w:tcPr>
            <w:tcW w:w="551" w:type="pct"/>
            <w:shd w:val="clear" w:color="auto" w:fill="auto"/>
            <w:vAlign w:val="center"/>
          </w:tcPr>
          <w:p w14:paraId="5318B0A3" w14:textId="721BB860" w:rsidR="007F1017" w:rsidRPr="00731632" w:rsidRDefault="00934E09" w:rsidP="00EC5836">
            <w:pPr>
              <w:pStyle w:val="TableText0"/>
              <w:jc w:val="center"/>
            </w:pPr>
            <w:r w:rsidRPr="00731632">
              <w:t>low</w:t>
            </w:r>
          </w:p>
        </w:tc>
        <w:tc>
          <w:tcPr>
            <w:tcW w:w="1023" w:type="pct"/>
            <w:shd w:val="clear" w:color="auto" w:fill="auto"/>
            <w:vAlign w:val="center"/>
          </w:tcPr>
          <w:p w14:paraId="753D32DB" w14:textId="7C685A9B" w:rsidR="007F1017" w:rsidRPr="00731632" w:rsidRDefault="007661CD" w:rsidP="00EC5836">
            <w:pPr>
              <w:pStyle w:val="TableText0"/>
              <w:jc w:val="center"/>
            </w:pPr>
            <w:r w:rsidRPr="00731632">
              <w:t xml:space="preserve">Healthy </w:t>
            </w:r>
            <w:r w:rsidR="00FE77D6" w:rsidRPr="00731632">
              <w:t xml:space="preserve">preterm </w:t>
            </w:r>
            <w:r w:rsidRPr="00731632">
              <w:t>infants born between 29 weeks 0 days and 34 weeks 6 days GA.</w:t>
            </w:r>
          </w:p>
        </w:tc>
        <w:tc>
          <w:tcPr>
            <w:tcW w:w="863" w:type="pct"/>
            <w:shd w:val="clear" w:color="auto" w:fill="auto"/>
            <w:vAlign w:val="center"/>
          </w:tcPr>
          <w:p w14:paraId="1370CD19" w14:textId="77777777" w:rsidR="007F1017" w:rsidRPr="00731632" w:rsidRDefault="00587CA9" w:rsidP="00266A98">
            <w:pPr>
              <w:pStyle w:val="TableText0"/>
              <w:numPr>
                <w:ilvl w:val="0"/>
                <w:numId w:val="12"/>
              </w:numPr>
            </w:pPr>
            <w:r w:rsidRPr="00731632">
              <w:t>MA RSV LRTI</w:t>
            </w:r>
          </w:p>
          <w:p w14:paraId="205C642B" w14:textId="77777777" w:rsidR="00587CA9" w:rsidRPr="00731632" w:rsidRDefault="00587CA9" w:rsidP="00266A98">
            <w:pPr>
              <w:pStyle w:val="TableText0"/>
              <w:numPr>
                <w:ilvl w:val="0"/>
                <w:numId w:val="12"/>
              </w:numPr>
            </w:pPr>
            <w:r w:rsidRPr="00731632">
              <w:t>RSV LRTI-hospitalisations</w:t>
            </w:r>
          </w:p>
          <w:p w14:paraId="137B8743" w14:textId="77777777" w:rsidR="00587CA9" w:rsidRPr="00731632" w:rsidRDefault="00587CA9" w:rsidP="00266A98">
            <w:pPr>
              <w:pStyle w:val="TableText0"/>
              <w:numPr>
                <w:ilvl w:val="0"/>
                <w:numId w:val="12"/>
              </w:numPr>
            </w:pPr>
            <w:r w:rsidRPr="00731632">
              <w:t>Safety and tolerability</w:t>
            </w:r>
          </w:p>
          <w:p w14:paraId="493F6A9A" w14:textId="77777777" w:rsidR="00587CA9" w:rsidRPr="00731632" w:rsidRDefault="00587CA9" w:rsidP="00266A98">
            <w:pPr>
              <w:pStyle w:val="TableText0"/>
              <w:numPr>
                <w:ilvl w:val="0"/>
                <w:numId w:val="12"/>
              </w:numPr>
            </w:pPr>
            <w:r w:rsidRPr="00731632">
              <w:t xml:space="preserve">PK </w:t>
            </w:r>
          </w:p>
          <w:p w14:paraId="47D4ED00" w14:textId="2D239608" w:rsidR="00587CA9" w:rsidRPr="00731632" w:rsidRDefault="00587CA9" w:rsidP="00266A98">
            <w:pPr>
              <w:pStyle w:val="TableText0"/>
              <w:numPr>
                <w:ilvl w:val="0"/>
                <w:numId w:val="12"/>
              </w:numPr>
            </w:pPr>
            <w:r w:rsidRPr="00731632">
              <w:t>ADA</w:t>
            </w:r>
          </w:p>
        </w:tc>
        <w:tc>
          <w:tcPr>
            <w:tcW w:w="759" w:type="pct"/>
            <w:shd w:val="clear" w:color="auto" w:fill="auto"/>
            <w:vAlign w:val="center"/>
          </w:tcPr>
          <w:p w14:paraId="4E94F323" w14:textId="12DB9D16" w:rsidR="007F1017" w:rsidRPr="00731632" w:rsidRDefault="003E0794" w:rsidP="00EC5836">
            <w:pPr>
              <w:pStyle w:val="TableText0"/>
              <w:jc w:val="center"/>
            </w:pPr>
            <w:r w:rsidRPr="00731632">
              <w:t>used</w:t>
            </w:r>
          </w:p>
        </w:tc>
      </w:tr>
      <w:tr w:rsidR="00BE50E4" w:rsidRPr="00731632" w14:paraId="77B25E0B" w14:textId="77777777" w:rsidTr="00BE50E4">
        <w:trPr>
          <w:cantSplit/>
        </w:trPr>
        <w:tc>
          <w:tcPr>
            <w:tcW w:w="5000" w:type="pct"/>
            <w:gridSpan w:val="7"/>
            <w:shd w:val="clear" w:color="auto" w:fill="auto"/>
            <w:vAlign w:val="center"/>
          </w:tcPr>
          <w:p w14:paraId="7BF4C18E" w14:textId="5AD1D0D1" w:rsidR="00BE50E4" w:rsidRPr="00731632" w:rsidRDefault="00BE50E4" w:rsidP="00BE50E4">
            <w:pPr>
              <w:pStyle w:val="TableText0"/>
              <w:rPr>
                <w:b/>
                <w:bCs w:val="0"/>
              </w:rPr>
            </w:pPr>
            <w:r w:rsidRPr="00731632">
              <w:rPr>
                <w:b/>
                <w:bCs w:val="0"/>
              </w:rPr>
              <w:t>Nirsevimab vs</w:t>
            </w:r>
            <w:r w:rsidR="009C519B" w:rsidRPr="00731632">
              <w:rPr>
                <w:b/>
                <w:bCs w:val="0"/>
              </w:rPr>
              <w:t>.</w:t>
            </w:r>
            <w:r w:rsidRPr="00731632">
              <w:rPr>
                <w:b/>
                <w:bCs w:val="0"/>
              </w:rPr>
              <w:t xml:space="preserve"> palivizumab</w:t>
            </w:r>
          </w:p>
        </w:tc>
      </w:tr>
      <w:tr w:rsidR="00BE50E4" w:rsidRPr="00731632" w14:paraId="2C737210" w14:textId="77777777" w:rsidTr="00736431">
        <w:trPr>
          <w:cantSplit/>
        </w:trPr>
        <w:tc>
          <w:tcPr>
            <w:tcW w:w="673" w:type="pct"/>
            <w:shd w:val="clear" w:color="auto" w:fill="auto"/>
            <w:vAlign w:val="center"/>
          </w:tcPr>
          <w:p w14:paraId="5E86ECC0" w14:textId="3B131A08" w:rsidR="00BE50E4" w:rsidRPr="00731632" w:rsidRDefault="00BE50E4" w:rsidP="00EC5836">
            <w:pPr>
              <w:pStyle w:val="TableText0"/>
            </w:pPr>
            <w:r w:rsidRPr="00731632">
              <w:rPr>
                <w:rFonts w:cstheme="minorHAnsi"/>
                <w:szCs w:val="20"/>
              </w:rPr>
              <w:t>MEDLEY</w:t>
            </w:r>
          </w:p>
        </w:tc>
        <w:tc>
          <w:tcPr>
            <w:tcW w:w="426" w:type="pct"/>
            <w:shd w:val="clear" w:color="auto" w:fill="auto"/>
            <w:vAlign w:val="center"/>
          </w:tcPr>
          <w:p w14:paraId="793567E0" w14:textId="456AA793" w:rsidR="00BE50E4" w:rsidRPr="00731632" w:rsidRDefault="00BE50E4" w:rsidP="00EC5836">
            <w:pPr>
              <w:pStyle w:val="TableText0"/>
              <w:jc w:val="center"/>
            </w:pPr>
            <w:r w:rsidRPr="00731632">
              <w:t>925</w:t>
            </w:r>
          </w:p>
        </w:tc>
        <w:tc>
          <w:tcPr>
            <w:tcW w:w="704" w:type="pct"/>
            <w:shd w:val="clear" w:color="auto" w:fill="auto"/>
            <w:vAlign w:val="center"/>
          </w:tcPr>
          <w:p w14:paraId="509AE34F" w14:textId="77777777" w:rsidR="003C74FC" w:rsidRPr="00731632" w:rsidRDefault="003C74FC" w:rsidP="00EC5836">
            <w:pPr>
              <w:pStyle w:val="TableText0"/>
              <w:jc w:val="center"/>
            </w:pPr>
            <w:r w:rsidRPr="00731632">
              <w:t>R, DB, MC</w:t>
            </w:r>
          </w:p>
          <w:p w14:paraId="10DEEC52" w14:textId="35B08995" w:rsidR="00BE50E4" w:rsidRPr="00731632" w:rsidRDefault="00934E09" w:rsidP="00EC5836">
            <w:pPr>
              <w:pStyle w:val="TableText0"/>
              <w:jc w:val="center"/>
            </w:pPr>
            <w:r w:rsidRPr="00731632">
              <w:t>2 years</w:t>
            </w:r>
          </w:p>
        </w:tc>
        <w:tc>
          <w:tcPr>
            <w:tcW w:w="551" w:type="pct"/>
            <w:shd w:val="clear" w:color="auto" w:fill="auto"/>
            <w:vAlign w:val="center"/>
          </w:tcPr>
          <w:p w14:paraId="531CC7A6" w14:textId="11EBDAFB" w:rsidR="00BE50E4" w:rsidRPr="00731632" w:rsidRDefault="00934E09" w:rsidP="00EC5836">
            <w:pPr>
              <w:pStyle w:val="TableText0"/>
              <w:jc w:val="center"/>
            </w:pPr>
            <w:r w:rsidRPr="00731632">
              <w:t>low</w:t>
            </w:r>
          </w:p>
        </w:tc>
        <w:tc>
          <w:tcPr>
            <w:tcW w:w="1023" w:type="pct"/>
            <w:shd w:val="clear" w:color="auto" w:fill="auto"/>
            <w:vAlign w:val="center"/>
          </w:tcPr>
          <w:p w14:paraId="12241E8C" w14:textId="280FAAFA" w:rsidR="00BE50E4" w:rsidRPr="00731632" w:rsidRDefault="00A13392" w:rsidP="00EC5836">
            <w:pPr>
              <w:pStyle w:val="TableText0"/>
              <w:jc w:val="center"/>
            </w:pPr>
            <w:r w:rsidRPr="00731632">
              <w:t>P</w:t>
            </w:r>
            <w:r w:rsidR="007661CD" w:rsidRPr="00731632">
              <w:t>reterm infants in their first year of life and born ≤ 35 weeks 0 days GA eligible to receive palivizumab and infants in their first year of life and a diagnosis of CLD or CHD</w:t>
            </w:r>
          </w:p>
        </w:tc>
        <w:tc>
          <w:tcPr>
            <w:tcW w:w="863" w:type="pct"/>
            <w:shd w:val="clear" w:color="auto" w:fill="auto"/>
            <w:vAlign w:val="center"/>
          </w:tcPr>
          <w:p w14:paraId="05827DED" w14:textId="77777777" w:rsidR="00BE50E4" w:rsidRPr="00731632" w:rsidRDefault="00587CA9" w:rsidP="00266A98">
            <w:pPr>
              <w:pStyle w:val="TableText0"/>
              <w:numPr>
                <w:ilvl w:val="0"/>
                <w:numId w:val="12"/>
              </w:numPr>
            </w:pPr>
            <w:r w:rsidRPr="00731632">
              <w:t>MA RSV LRTI</w:t>
            </w:r>
          </w:p>
          <w:p w14:paraId="7A25ACEF" w14:textId="77777777" w:rsidR="00587CA9" w:rsidRPr="00731632" w:rsidRDefault="00587CA9" w:rsidP="00266A98">
            <w:pPr>
              <w:pStyle w:val="TableText0"/>
              <w:numPr>
                <w:ilvl w:val="0"/>
                <w:numId w:val="12"/>
              </w:numPr>
            </w:pPr>
            <w:r w:rsidRPr="00731632">
              <w:t>Safety and tolerability</w:t>
            </w:r>
          </w:p>
          <w:p w14:paraId="3EA136D9" w14:textId="77777777" w:rsidR="00587CA9" w:rsidRPr="00731632" w:rsidRDefault="00587CA9" w:rsidP="00266A98">
            <w:pPr>
              <w:pStyle w:val="TableText0"/>
              <w:numPr>
                <w:ilvl w:val="0"/>
                <w:numId w:val="12"/>
              </w:numPr>
            </w:pPr>
            <w:r w:rsidRPr="00731632">
              <w:t xml:space="preserve">PK </w:t>
            </w:r>
          </w:p>
          <w:p w14:paraId="7BB7C7CC" w14:textId="27C15331" w:rsidR="00587CA9" w:rsidRPr="00731632" w:rsidRDefault="00587CA9" w:rsidP="00266A98">
            <w:pPr>
              <w:pStyle w:val="TableText0"/>
              <w:numPr>
                <w:ilvl w:val="0"/>
                <w:numId w:val="12"/>
              </w:numPr>
            </w:pPr>
            <w:r w:rsidRPr="00731632">
              <w:t>ADA</w:t>
            </w:r>
          </w:p>
          <w:p w14:paraId="0EB4A246" w14:textId="57CD38BC" w:rsidR="00587CA9" w:rsidRPr="00731632" w:rsidRDefault="00587CA9" w:rsidP="00EC5836">
            <w:pPr>
              <w:pStyle w:val="TableText0"/>
              <w:jc w:val="center"/>
            </w:pPr>
          </w:p>
        </w:tc>
        <w:tc>
          <w:tcPr>
            <w:tcW w:w="759" w:type="pct"/>
            <w:shd w:val="clear" w:color="auto" w:fill="auto"/>
            <w:vAlign w:val="center"/>
          </w:tcPr>
          <w:p w14:paraId="42C220DC" w14:textId="370C85BC" w:rsidR="00BE50E4" w:rsidRPr="00731632" w:rsidRDefault="00D104AA" w:rsidP="00EC5836">
            <w:pPr>
              <w:pStyle w:val="TableText0"/>
              <w:jc w:val="center"/>
            </w:pPr>
            <w:r w:rsidRPr="00731632">
              <w:t>n</w:t>
            </w:r>
            <w:r w:rsidR="003E0794" w:rsidRPr="00731632">
              <w:t>ot used</w:t>
            </w:r>
          </w:p>
        </w:tc>
      </w:tr>
      <w:tr w:rsidR="00176679" w:rsidRPr="00731632" w14:paraId="131C91B9" w14:textId="77777777" w:rsidTr="00610ED6">
        <w:trPr>
          <w:cantSplit/>
        </w:trPr>
        <w:tc>
          <w:tcPr>
            <w:tcW w:w="5000" w:type="pct"/>
            <w:gridSpan w:val="7"/>
            <w:shd w:val="clear" w:color="auto" w:fill="auto"/>
            <w:vAlign w:val="center"/>
          </w:tcPr>
          <w:p w14:paraId="6CE8EEA3" w14:textId="6ED14B6B" w:rsidR="00610ED6" w:rsidRPr="00731632" w:rsidRDefault="00610ED6" w:rsidP="00610ED6">
            <w:pPr>
              <w:pStyle w:val="TableText0"/>
            </w:pPr>
            <w:r w:rsidRPr="00731632">
              <w:rPr>
                <w:b/>
                <w:bCs w:val="0"/>
                <w:iCs/>
                <w:szCs w:val="20"/>
              </w:rPr>
              <w:t>RSVpreF vaccine vs. placebo</w:t>
            </w:r>
          </w:p>
        </w:tc>
      </w:tr>
      <w:tr w:rsidR="00176679" w:rsidRPr="00731632" w14:paraId="0CEB8943" w14:textId="77777777" w:rsidTr="00736431">
        <w:trPr>
          <w:cantSplit/>
        </w:trPr>
        <w:tc>
          <w:tcPr>
            <w:tcW w:w="673" w:type="pct"/>
            <w:shd w:val="clear" w:color="auto" w:fill="auto"/>
            <w:vAlign w:val="center"/>
          </w:tcPr>
          <w:p w14:paraId="37D86CAE" w14:textId="0243DF5D" w:rsidR="00610ED6" w:rsidRPr="00731632" w:rsidRDefault="00610ED6" w:rsidP="00610ED6">
            <w:pPr>
              <w:pStyle w:val="TableText0"/>
              <w:rPr>
                <w:rFonts w:cstheme="minorHAnsi"/>
                <w:szCs w:val="20"/>
              </w:rPr>
            </w:pPr>
            <w:r w:rsidRPr="00731632">
              <w:rPr>
                <w:rFonts w:cstheme="minorHAnsi"/>
                <w:szCs w:val="20"/>
              </w:rPr>
              <w:t>MATISSE</w:t>
            </w:r>
          </w:p>
        </w:tc>
        <w:tc>
          <w:tcPr>
            <w:tcW w:w="426" w:type="pct"/>
            <w:shd w:val="clear" w:color="auto" w:fill="auto"/>
            <w:vAlign w:val="center"/>
          </w:tcPr>
          <w:p w14:paraId="04CE131A" w14:textId="4C14DB77" w:rsidR="00610ED6" w:rsidRPr="00731632" w:rsidRDefault="00610ED6" w:rsidP="00610ED6">
            <w:pPr>
              <w:pStyle w:val="TableText0"/>
              <w:jc w:val="center"/>
            </w:pPr>
            <w:r w:rsidRPr="00731632">
              <w:t>7126</w:t>
            </w:r>
          </w:p>
        </w:tc>
        <w:tc>
          <w:tcPr>
            <w:tcW w:w="704" w:type="pct"/>
            <w:shd w:val="clear" w:color="auto" w:fill="auto"/>
            <w:vAlign w:val="center"/>
          </w:tcPr>
          <w:p w14:paraId="5734512D" w14:textId="77777777" w:rsidR="00610ED6" w:rsidRPr="00731632" w:rsidRDefault="00610ED6" w:rsidP="00610ED6">
            <w:pPr>
              <w:pStyle w:val="TableText0"/>
              <w:jc w:val="center"/>
            </w:pPr>
            <w:r w:rsidRPr="00731632">
              <w:t>R, DB, MC</w:t>
            </w:r>
          </w:p>
          <w:p w14:paraId="70BF6F49" w14:textId="0D1B093C" w:rsidR="00610ED6" w:rsidRPr="00731632" w:rsidRDefault="00610ED6" w:rsidP="00610ED6">
            <w:pPr>
              <w:pStyle w:val="TableText0"/>
              <w:jc w:val="center"/>
            </w:pPr>
            <w:r w:rsidRPr="00731632">
              <w:t>2 years</w:t>
            </w:r>
          </w:p>
        </w:tc>
        <w:tc>
          <w:tcPr>
            <w:tcW w:w="551" w:type="pct"/>
            <w:shd w:val="clear" w:color="auto" w:fill="auto"/>
            <w:vAlign w:val="center"/>
          </w:tcPr>
          <w:p w14:paraId="7B1D2F1D" w14:textId="613E0D20" w:rsidR="00610ED6" w:rsidRPr="00731632" w:rsidRDefault="00610ED6" w:rsidP="00610ED6">
            <w:pPr>
              <w:pStyle w:val="TableText0"/>
              <w:jc w:val="center"/>
            </w:pPr>
            <w:r w:rsidRPr="00731632">
              <w:rPr>
                <w:iCs/>
              </w:rPr>
              <w:t>low</w:t>
            </w:r>
          </w:p>
        </w:tc>
        <w:tc>
          <w:tcPr>
            <w:tcW w:w="1023" w:type="pct"/>
            <w:shd w:val="clear" w:color="auto" w:fill="auto"/>
            <w:vAlign w:val="center"/>
          </w:tcPr>
          <w:p w14:paraId="29A56572" w14:textId="295620CA" w:rsidR="00610ED6" w:rsidRPr="00731632" w:rsidRDefault="00610ED6" w:rsidP="00610ED6">
            <w:pPr>
              <w:pStyle w:val="TableText0"/>
              <w:jc w:val="center"/>
            </w:pPr>
            <w:r w:rsidRPr="00731632">
              <w:t>Pregnant women between 24 – 36 weeks GA.</w:t>
            </w:r>
          </w:p>
        </w:tc>
        <w:tc>
          <w:tcPr>
            <w:tcW w:w="863" w:type="pct"/>
            <w:shd w:val="clear" w:color="auto" w:fill="auto"/>
            <w:vAlign w:val="center"/>
          </w:tcPr>
          <w:p w14:paraId="6834B2C8" w14:textId="77777777" w:rsidR="00610ED6" w:rsidRPr="00731632" w:rsidRDefault="00610ED6" w:rsidP="00266A98">
            <w:pPr>
              <w:pStyle w:val="TableText0"/>
              <w:numPr>
                <w:ilvl w:val="0"/>
                <w:numId w:val="12"/>
              </w:numPr>
            </w:pPr>
            <w:r w:rsidRPr="00731632">
              <w:t>MA-LRTI</w:t>
            </w:r>
          </w:p>
          <w:p w14:paraId="49318E45" w14:textId="48BB94D9" w:rsidR="00610ED6" w:rsidRPr="00731632" w:rsidRDefault="00610ED6" w:rsidP="00266A98">
            <w:pPr>
              <w:pStyle w:val="TableText0"/>
              <w:numPr>
                <w:ilvl w:val="0"/>
                <w:numId w:val="12"/>
              </w:numPr>
            </w:pPr>
            <w:r w:rsidRPr="00731632">
              <w:t>Severe MA-LRTI</w:t>
            </w:r>
          </w:p>
        </w:tc>
        <w:tc>
          <w:tcPr>
            <w:tcW w:w="759" w:type="pct"/>
            <w:shd w:val="clear" w:color="auto" w:fill="auto"/>
            <w:vAlign w:val="center"/>
          </w:tcPr>
          <w:p w14:paraId="0D2BCE54" w14:textId="2C804C0B" w:rsidR="00610ED6" w:rsidRPr="00731632" w:rsidRDefault="00610ED6" w:rsidP="00610ED6">
            <w:pPr>
              <w:pStyle w:val="TableText0"/>
              <w:jc w:val="center"/>
            </w:pPr>
            <w:r w:rsidRPr="00731632">
              <w:t>used</w:t>
            </w:r>
          </w:p>
        </w:tc>
      </w:tr>
    </w:tbl>
    <w:p w14:paraId="1CC2F4A4" w14:textId="4FD0A60E" w:rsidR="00045017" w:rsidRPr="00731632" w:rsidRDefault="00045017" w:rsidP="00EC5836">
      <w:pPr>
        <w:pStyle w:val="FooterTableFigure"/>
      </w:pPr>
      <w:r w:rsidRPr="00731632">
        <w:t xml:space="preserve">Source: </w:t>
      </w:r>
      <w:r w:rsidR="00C31F2C" w:rsidRPr="00731632">
        <w:t>Table 2.3.1, , Table 2.3.2, , Table 2.4.1,</w:t>
      </w:r>
      <w:r w:rsidR="003E1422">
        <w:t xml:space="preserve"> </w:t>
      </w:r>
      <w:r w:rsidR="00C31F2C" w:rsidRPr="00731632">
        <w:t>and Table 2.4.2</w:t>
      </w:r>
      <w:r w:rsidRPr="00731632">
        <w:t>.</w:t>
      </w:r>
      <w:r w:rsidR="00C31F2C" w:rsidRPr="00731632">
        <w:t>, of the submission.</w:t>
      </w:r>
    </w:p>
    <w:p w14:paraId="7E2FF1CB" w14:textId="2A52E7D5" w:rsidR="00620C25" w:rsidRPr="00731632" w:rsidRDefault="00C31F2C" w:rsidP="00EC5836">
      <w:pPr>
        <w:pStyle w:val="FooterTableFigure"/>
        <w:rPr>
          <w:sz w:val="20"/>
        </w:rPr>
      </w:pPr>
      <w:r w:rsidRPr="00731632">
        <w:t xml:space="preserve">ADA = anti-drug antibodies; </w:t>
      </w:r>
      <w:bookmarkStart w:id="30" w:name="_Hlk164256839"/>
      <w:r w:rsidRPr="00731632">
        <w:t>CHD = congenital heart disease; CLD = chronic lung disease</w:t>
      </w:r>
      <w:bookmarkEnd w:id="30"/>
      <w:r w:rsidRPr="00731632">
        <w:t>; DB = double blind; GA = gestational age; MA RSV LRTI = medically attended respiratory syn</w:t>
      </w:r>
      <w:r w:rsidR="000F7464" w:rsidRPr="00731632">
        <w:t xml:space="preserve">cytial virus lower respiratory tract infection; MC = multicentre; </w:t>
      </w:r>
      <w:r w:rsidR="00DF46B8" w:rsidRPr="00731632">
        <w:t xml:space="preserve">N = number of participants; </w:t>
      </w:r>
      <w:r w:rsidR="000F7464" w:rsidRPr="00731632">
        <w:t xml:space="preserve">PK = pharmacokinetics; R = randomised; RSV = respiratory syncytial virus. </w:t>
      </w:r>
    </w:p>
    <w:p w14:paraId="5706D59B" w14:textId="3EC26CFC" w:rsidR="00851507" w:rsidRPr="00731632" w:rsidRDefault="0060703F" w:rsidP="00736431">
      <w:pPr>
        <w:pStyle w:val="5-SubsectionSubheading"/>
        <w:spacing w:before="120"/>
      </w:pPr>
      <w:r w:rsidRPr="00731632">
        <w:t>Main comparison: nirsevimab versus placebo</w:t>
      </w:r>
    </w:p>
    <w:p w14:paraId="105BFE1F" w14:textId="675C34DB" w:rsidR="00045017" w:rsidRPr="00731632" w:rsidRDefault="00E7191C" w:rsidP="00A02F84">
      <w:pPr>
        <w:pStyle w:val="3-BodyText"/>
      </w:pPr>
      <w:r w:rsidRPr="00731632">
        <w:t xml:space="preserve">The </w:t>
      </w:r>
      <w:r w:rsidR="00A02F84" w:rsidRPr="00731632">
        <w:t>MELODY and Phase II</w:t>
      </w:r>
      <w:r w:rsidR="00CF3110" w:rsidRPr="00731632">
        <w:t>b</w:t>
      </w:r>
      <w:r w:rsidRPr="00731632">
        <w:t xml:space="preserve"> trials</w:t>
      </w:r>
      <w:r w:rsidR="00A02F84" w:rsidRPr="00731632">
        <w:t xml:space="preserve"> were head-to-head randomised controlled trials of nirsevimab versus placebo. </w:t>
      </w:r>
      <w:r w:rsidR="008A74F5" w:rsidRPr="00731632">
        <w:t xml:space="preserve">The </w:t>
      </w:r>
      <w:r w:rsidR="00476AFB" w:rsidRPr="00731632">
        <w:t>MELODY</w:t>
      </w:r>
      <w:r w:rsidR="008A74F5" w:rsidRPr="00731632">
        <w:t xml:space="preserve"> trial</w:t>
      </w:r>
      <w:r w:rsidR="00476AFB" w:rsidRPr="00731632">
        <w:t xml:space="preserve"> </w:t>
      </w:r>
      <w:r w:rsidR="00A02F84" w:rsidRPr="00731632">
        <w:t xml:space="preserve">required </w:t>
      </w:r>
      <w:r w:rsidR="00B63F4A" w:rsidRPr="00731632">
        <w:t>infants</w:t>
      </w:r>
      <w:r w:rsidR="00A02F84" w:rsidRPr="00731632">
        <w:t xml:space="preserve"> to be born later than 35</w:t>
      </w:r>
      <w:r w:rsidR="00736431">
        <w:t> </w:t>
      </w:r>
      <w:r w:rsidR="00A02F84" w:rsidRPr="00731632">
        <w:t xml:space="preserve">weeks gestational age </w:t>
      </w:r>
      <w:r w:rsidR="000B068D" w:rsidRPr="00731632">
        <w:t>(GA)</w:t>
      </w:r>
      <w:r w:rsidR="00FC087E" w:rsidRPr="00731632">
        <w:t>,</w:t>
      </w:r>
      <w:r w:rsidR="000B068D" w:rsidRPr="00731632">
        <w:t xml:space="preserve"> </w:t>
      </w:r>
      <w:r w:rsidR="00FC087E" w:rsidRPr="00731632">
        <w:t>w</w:t>
      </w:r>
      <w:r w:rsidR="000B068D" w:rsidRPr="00731632">
        <w:t>hereas</w:t>
      </w:r>
      <w:r w:rsidR="00A02F84" w:rsidRPr="00731632">
        <w:t xml:space="preserve"> Phase II</w:t>
      </w:r>
      <w:r w:rsidR="00CF3110" w:rsidRPr="00731632">
        <w:t>b</w:t>
      </w:r>
      <w:r w:rsidR="00A02F84" w:rsidRPr="00731632">
        <w:t xml:space="preserve"> only included infants born </w:t>
      </w:r>
      <w:r w:rsidR="000B068D" w:rsidRPr="00731632">
        <w:t xml:space="preserve">between </w:t>
      </w:r>
      <w:r w:rsidR="00A02F84" w:rsidRPr="00731632">
        <w:t>29</w:t>
      </w:r>
      <w:r w:rsidR="00736431">
        <w:t> </w:t>
      </w:r>
      <w:r w:rsidR="00A02F84" w:rsidRPr="00731632">
        <w:t xml:space="preserve">weeks 0 days and 34 weeks 6 </w:t>
      </w:r>
      <w:r w:rsidR="00B2473E" w:rsidRPr="00731632">
        <w:t xml:space="preserve">days </w:t>
      </w:r>
      <w:r w:rsidR="00A02F84" w:rsidRPr="00731632">
        <w:t>GA.</w:t>
      </w:r>
      <w:r w:rsidR="00F34F1C" w:rsidRPr="00731632">
        <w:t xml:space="preserve"> </w:t>
      </w:r>
      <w:r w:rsidR="00B2473E" w:rsidRPr="00731632">
        <w:t>Both</w:t>
      </w:r>
      <w:r w:rsidR="00F34F1C" w:rsidRPr="00731632">
        <w:t xml:space="preserve"> studies administered </w:t>
      </w:r>
      <w:r w:rsidR="00416AB8" w:rsidRPr="00731632">
        <w:t xml:space="preserve">the </w:t>
      </w:r>
      <w:r w:rsidR="00F34F1C" w:rsidRPr="00731632">
        <w:t>study drug to infant</w:t>
      </w:r>
      <w:r w:rsidR="00B2473E" w:rsidRPr="00731632">
        <w:t>s</w:t>
      </w:r>
      <w:r w:rsidR="00F34F1C" w:rsidRPr="00731632">
        <w:t xml:space="preserve"> entering their first RSV season</w:t>
      </w:r>
      <w:r w:rsidR="002829C5" w:rsidRPr="00731632">
        <w:t xml:space="preserve"> </w:t>
      </w:r>
      <w:r w:rsidR="000E6B2C" w:rsidRPr="00731632">
        <w:t>(MELODY median age</w:t>
      </w:r>
      <w:r w:rsidR="00DF2E4F" w:rsidRPr="00731632">
        <w:t xml:space="preserve"> of administration</w:t>
      </w:r>
      <w:r w:rsidR="000E6B2C" w:rsidRPr="00731632">
        <w:t>: 2.6</w:t>
      </w:r>
      <w:r w:rsidR="00736431">
        <w:t> </w:t>
      </w:r>
      <w:r w:rsidR="000E6B2C" w:rsidRPr="00731632">
        <w:t>months, range: 0.0–11.1 months</w:t>
      </w:r>
      <w:r w:rsidR="002829C5" w:rsidRPr="00731632">
        <w:t>)</w:t>
      </w:r>
      <w:r w:rsidR="00F34F1C" w:rsidRPr="00731632">
        <w:t xml:space="preserve">. </w:t>
      </w:r>
      <w:r w:rsidR="008A74F5" w:rsidRPr="00731632">
        <w:t>I</w:t>
      </w:r>
      <w:r w:rsidR="00F34F1C" w:rsidRPr="00731632">
        <w:t>n Phase II</w:t>
      </w:r>
      <w:r w:rsidR="00CF3110" w:rsidRPr="00731632">
        <w:t>b</w:t>
      </w:r>
      <w:r w:rsidR="008A74F5" w:rsidRPr="00731632">
        <w:t>,</w:t>
      </w:r>
      <w:r w:rsidR="00F34F1C" w:rsidRPr="00731632">
        <w:t xml:space="preserve"> all </w:t>
      </w:r>
      <w:r w:rsidR="00B63F4A" w:rsidRPr="00731632">
        <w:t>infants</w:t>
      </w:r>
      <w:r w:rsidR="003D01A7" w:rsidRPr="00731632">
        <w:t xml:space="preserve"> </w:t>
      </w:r>
      <w:r w:rsidR="00F34F1C" w:rsidRPr="00731632">
        <w:t xml:space="preserve">in the nirsevimab arm received a single fixed dose of 50 mg regardless of weight. </w:t>
      </w:r>
      <w:r w:rsidR="003B3A92" w:rsidRPr="00731632">
        <w:t>I</w:t>
      </w:r>
      <w:r w:rsidR="00F34F1C" w:rsidRPr="00731632">
        <w:t>n</w:t>
      </w:r>
      <w:r w:rsidR="003B3A92" w:rsidRPr="00731632">
        <w:t xml:space="preserve"> contrast, </w:t>
      </w:r>
      <w:r w:rsidR="00B63F4A" w:rsidRPr="00731632">
        <w:t>infants</w:t>
      </w:r>
      <w:r w:rsidR="003B3A92" w:rsidRPr="00731632">
        <w:t xml:space="preserve"> in</w:t>
      </w:r>
      <w:r w:rsidR="00F34F1C" w:rsidRPr="00731632">
        <w:t xml:space="preserve"> the MELODY trial </w:t>
      </w:r>
      <w:r w:rsidR="003B3A92" w:rsidRPr="00731632">
        <w:t xml:space="preserve">who were </w:t>
      </w:r>
      <w:r w:rsidR="00F34F1C" w:rsidRPr="00731632">
        <w:t>under 5</w:t>
      </w:r>
      <w:r w:rsidR="008A74F5" w:rsidRPr="00731632">
        <w:t xml:space="preserve"> </w:t>
      </w:r>
      <w:r w:rsidR="00F34F1C" w:rsidRPr="00731632">
        <w:t>kg received 5</w:t>
      </w:r>
      <w:r w:rsidR="003D01A7" w:rsidRPr="00731632">
        <w:t>0</w:t>
      </w:r>
      <w:r w:rsidR="008A74F5" w:rsidRPr="00731632">
        <w:t xml:space="preserve"> </w:t>
      </w:r>
      <w:r w:rsidR="00F34F1C" w:rsidRPr="00731632">
        <w:t>mg</w:t>
      </w:r>
      <w:r w:rsidR="00416AB8" w:rsidRPr="00731632">
        <w:t>/0.5</w:t>
      </w:r>
      <w:r w:rsidR="008A74F5" w:rsidRPr="00731632">
        <w:t xml:space="preserve"> </w:t>
      </w:r>
      <w:r w:rsidR="00416AB8" w:rsidRPr="00731632">
        <w:t>mL</w:t>
      </w:r>
      <w:r w:rsidR="00F34F1C" w:rsidRPr="00731632">
        <w:t xml:space="preserve"> and </w:t>
      </w:r>
      <w:r w:rsidR="00B63F4A" w:rsidRPr="00731632">
        <w:t>infants</w:t>
      </w:r>
      <w:r w:rsidR="003B3A92" w:rsidRPr="00731632">
        <w:t xml:space="preserve"> who were</w:t>
      </w:r>
      <w:r w:rsidR="00F34F1C" w:rsidRPr="00731632">
        <w:t xml:space="preserve"> over 5</w:t>
      </w:r>
      <w:r w:rsidR="003B3A92" w:rsidRPr="00731632">
        <w:t> </w:t>
      </w:r>
      <w:r w:rsidR="00F34F1C" w:rsidRPr="00731632">
        <w:t>kg received 100</w:t>
      </w:r>
      <w:r w:rsidR="008A74F5" w:rsidRPr="00731632">
        <w:t> </w:t>
      </w:r>
      <w:r w:rsidR="00F34F1C" w:rsidRPr="00731632">
        <w:t>mg</w:t>
      </w:r>
      <w:r w:rsidR="00416AB8" w:rsidRPr="00731632">
        <w:t>/1</w:t>
      </w:r>
      <w:r w:rsidR="008A74F5" w:rsidRPr="00731632">
        <w:t xml:space="preserve"> </w:t>
      </w:r>
      <w:r w:rsidR="00416AB8" w:rsidRPr="00731632">
        <w:t>mL</w:t>
      </w:r>
      <w:r w:rsidR="00F34F1C" w:rsidRPr="00731632">
        <w:t>.</w:t>
      </w:r>
      <w:r w:rsidR="000A26C9" w:rsidRPr="00731632">
        <w:t xml:space="preserve"> </w:t>
      </w:r>
      <w:r w:rsidR="00B63F4A" w:rsidRPr="00731632">
        <w:t>Infants</w:t>
      </w:r>
      <w:r w:rsidR="000A26C9" w:rsidRPr="00731632">
        <w:t xml:space="preserve"> in the placebo group received a corresponding volume of normal saline.</w:t>
      </w:r>
    </w:p>
    <w:p w14:paraId="6A5FF0FF" w14:textId="76E485D5" w:rsidR="00A02F84" w:rsidRPr="00731632" w:rsidRDefault="003D01A7" w:rsidP="00A02F84">
      <w:pPr>
        <w:pStyle w:val="3-BodyText"/>
      </w:pPr>
      <w:r w:rsidRPr="00731632">
        <w:t>The key efficacy outcome of MA RSV LRTI in both</w:t>
      </w:r>
      <w:r w:rsidR="00C67460" w:rsidRPr="00731632">
        <w:t xml:space="preserve"> the</w:t>
      </w:r>
      <w:r w:rsidRPr="00731632">
        <w:t xml:space="preserve"> MELODY and Phase II</w:t>
      </w:r>
      <w:r w:rsidR="00CF3110" w:rsidRPr="00731632">
        <w:t>b</w:t>
      </w:r>
      <w:r w:rsidRPr="00731632">
        <w:t xml:space="preserve"> </w:t>
      </w:r>
      <w:r w:rsidR="00C67460" w:rsidRPr="00731632">
        <w:t>trials</w:t>
      </w:r>
      <w:r w:rsidRPr="00731632">
        <w:t xml:space="preserve"> was reported </w:t>
      </w:r>
      <w:r w:rsidR="000B068D" w:rsidRPr="00731632">
        <w:t>through</w:t>
      </w:r>
      <w:r w:rsidRPr="00731632">
        <w:t xml:space="preserve"> 150 days</w:t>
      </w:r>
      <w:r w:rsidR="002B3AB7" w:rsidRPr="00731632">
        <w:t xml:space="preserve"> post administration of study drug, cov</w:t>
      </w:r>
      <w:r w:rsidR="00B2473E" w:rsidRPr="00731632">
        <w:t>er</w:t>
      </w:r>
      <w:r w:rsidR="002B3AB7" w:rsidRPr="00731632">
        <w:t>ing the pa</w:t>
      </w:r>
      <w:r w:rsidR="000B068D" w:rsidRPr="00731632">
        <w:t>rticipants</w:t>
      </w:r>
      <w:r w:rsidR="00416AB8" w:rsidRPr="00731632">
        <w:t>’</w:t>
      </w:r>
      <w:r w:rsidR="002B3AB7" w:rsidRPr="00731632">
        <w:t xml:space="preserve"> first RSV season.</w:t>
      </w:r>
    </w:p>
    <w:p w14:paraId="689D89B8" w14:textId="114BE8DF" w:rsidR="009D4992" w:rsidRPr="00731632" w:rsidRDefault="009D4992" w:rsidP="00736431">
      <w:pPr>
        <w:pStyle w:val="5-SubsectionSubheading"/>
        <w:spacing w:before="120"/>
      </w:pPr>
      <w:r w:rsidRPr="00731632">
        <w:t>Supplementary comparison: nirsevimab versus palivizumab</w:t>
      </w:r>
    </w:p>
    <w:p w14:paraId="54EFDAC0" w14:textId="60BC27A6" w:rsidR="002B3AB7" w:rsidRPr="00731632" w:rsidRDefault="00592D9F" w:rsidP="00A02F84">
      <w:pPr>
        <w:pStyle w:val="3-BodyText"/>
      </w:pPr>
      <w:r w:rsidRPr="00731632">
        <w:t>The MEDLEY trial reported MA RSV LRTI across two RSV seasons</w:t>
      </w:r>
      <w:r w:rsidR="00C90D24" w:rsidRPr="00731632">
        <w:t xml:space="preserve"> with </w:t>
      </w:r>
      <w:r w:rsidR="00B63F4A" w:rsidRPr="00731632">
        <w:t xml:space="preserve">participants </w:t>
      </w:r>
      <w:r w:rsidR="00C90D24" w:rsidRPr="00731632">
        <w:t xml:space="preserve">receiving a dose of either nirsevimab or palivizumab prior to each RSV season. </w:t>
      </w:r>
      <w:r w:rsidR="008A74F5" w:rsidRPr="00731632">
        <w:t>Two hundred and sixty</w:t>
      </w:r>
      <w:r w:rsidR="008174D6" w:rsidRPr="00731632">
        <w:t>-</w:t>
      </w:r>
      <w:r w:rsidR="008A74F5" w:rsidRPr="00731632">
        <w:t>two</w:t>
      </w:r>
      <w:r w:rsidR="000B068D" w:rsidRPr="00731632">
        <w:t xml:space="preserve"> </w:t>
      </w:r>
      <w:r w:rsidR="00B63F4A" w:rsidRPr="00731632">
        <w:t xml:space="preserve">participants </w:t>
      </w:r>
      <w:r w:rsidR="000B068D" w:rsidRPr="00731632">
        <w:t>were included in the second RSV season analysis with 42 participants receiv</w:t>
      </w:r>
      <w:r w:rsidR="00416AB8" w:rsidRPr="00731632">
        <w:t>ing</w:t>
      </w:r>
      <w:r w:rsidR="000B068D" w:rsidRPr="00731632">
        <w:t xml:space="preserve"> palivizumab in both their first and second RSV seasons, 180 participants receiv</w:t>
      </w:r>
      <w:r w:rsidR="00416AB8" w:rsidRPr="00731632">
        <w:t>ing</w:t>
      </w:r>
      <w:r w:rsidR="000B068D" w:rsidRPr="00731632">
        <w:t xml:space="preserve"> nirsevimab in both their first and second RSV seasons</w:t>
      </w:r>
      <w:r w:rsidR="002728F9" w:rsidRPr="00731632">
        <w:t>,</w:t>
      </w:r>
      <w:r w:rsidR="000B068D" w:rsidRPr="00731632">
        <w:t xml:space="preserve"> and </w:t>
      </w:r>
      <w:r w:rsidR="00C90D24" w:rsidRPr="00731632">
        <w:t xml:space="preserve">40 </w:t>
      </w:r>
      <w:r w:rsidR="00B63F4A" w:rsidRPr="00731632">
        <w:t xml:space="preserve">participants </w:t>
      </w:r>
      <w:r w:rsidR="00142F91" w:rsidRPr="00731632">
        <w:t>who</w:t>
      </w:r>
      <w:r w:rsidR="00C90D24" w:rsidRPr="00731632">
        <w:t xml:space="preserve"> received </w:t>
      </w:r>
      <w:r w:rsidR="00B2473E" w:rsidRPr="00731632">
        <w:t>palivizumab</w:t>
      </w:r>
      <w:r w:rsidR="00C90D24" w:rsidRPr="00731632">
        <w:t xml:space="preserve"> in the first season receiv</w:t>
      </w:r>
      <w:r w:rsidR="00416AB8" w:rsidRPr="00731632">
        <w:t>ing</w:t>
      </w:r>
      <w:r w:rsidR="00C90D24" w:rsidRPr="00731632">
        <w:t xml:space="preserve"> nirsevimab in the</w:t>
      </w:r>
      <w:r w:rsidR="00416AB8" w:rsidRPr="00731632">
        <w:t>ir</w:t>
      </w:r>
      <w:r w:rsidR="00C90D24" w:rsidRPr="00731632">
        <w:t xml:space="preserve"> second season</w:t>
      </w:r>
      <w:r w:rsidR="000E6B2C" w:rsidRPr="00731632">
        <w:t xml:space="preserve"> (see para</w:t>
      </w:r>
      <w:r w:rsidR="00B32B48" w:rsidRPr="00731632">
        <w:t>graphs</w:t>
      </w:r>
      <w:r w:rsidR="000E6B2C" w:rsidRPr="00731632">
        <w:t xml:space="preserve"> </w:t>
      </w:r>
      <w:r w:rsidR="008174D6" w:rsidRPr="00731632">
        <w:fldChar w:fldCharType="begin"/>
      </w:r>
      <w:r w:rsidR="008174D6" w:rsidRPr="00731632">
        <w:instrText xml:space="preserve"> REF _Ref169870038 \r \h  \* MERGEFORMAT </w:instrText>
      </w:r>
      <w:r w:rsidR="008174D6" w:rsidRPr="00731632">
        <w:fldChar w:fldCharType="separate"/>
      </w:r>
      <w:r w:rsidR="00D770BB">
        <w:t>6.24</w:t>
      </w:r>
      <w:r w:rsidR="008174D6" w:rsidRPr="00731632">
        <w:fldChar w:fldCharType="end"/>
      </w:r>
      <w:r w:rsidR="008174D6" w:rsidRPr="00731632">
        <w:t xml:space="preserve"> and </w:t>
      </w:r>
      <w:r w:rsidR="008174D6" w:rsidRPr="00731632">
        <w:fldChar w:fldCharType="begin"/>
      </w:r>
      <w:r w:rsidR="008174D6" w:rsidRPr="00731632">
        <w:instrText xml:space="preserve"> REF _Ref169870040 \r \h  \* MERGEFORMAT </w:instrText>
      </w:r>
      <w:r w:rsidR="008174D6" w:rsidRPr="00731632">
        <w:fldChar w:fldCharType="separate"/>
      </w:r>
      <w:r w:rsidR="00D770BB">
        <w:t>6.25</w:t>
      </w:r>
      <w:r w:rsidR="008174D6" w:rsidRPr="00731632">
        <w:fldChar w:fldCharType="end"/>
      </w:r>
      <w:r w:rsidR="008174D6" w:rsidRPr="00731632">
        <w:t xml:space="preserve"> </w:t>
      </w:r>
      <w:r w:rsidR="000E6B2C" w:rsidRPr="00731632">
        <w:t>for</w:t>
      </w:r>
      <w:r w:rsidR="00177CD7" w:rsidRPr="00731632">
        <w:t xml:space="preserve"> the MEDLEY randomisation methodology)</w:t>
      </w:r>
      <w:r w:rsidR="00C90D24" w:rsidRPr="00731632">
        <w:t>.</w:t>
      </w:r>
    </w:p>
    <w:p w14:paraId="3266FCB3" w14:textId="2BC4B6A8" w:rsidR="009D4992" w:rsidRPr="00731632" w:rsidRDefault="009D4992" w:rsidP="00736431">
      <w:pPr>
        <w:pStyle w:val="5-SubsectionSubheading"/>
        <w:spacing w:before="120"/>
      </w:pPr>
      <w:r w:rsidRPr="00731632">
        <w:t xml:space="preserve">Near-market comparison: </w:t>
      </w:r>
      <w:r w:rsidR="009C4490" w:rsidRPr="00731632">
        <w:t>nirsevimab versus RSVpreF maternal immunisation ITC</w:t>
      </w:r>
    </w:p>
    <w:p w14:paraId="763B396A" w14:textId="2698C0D4" w:rsidR="009D4992" w:rsidRPr="00731632" w:rsidRDefault="009D4992" w:rsidP="00A02F84">
      <w:pPr>
        <w:pStyle w:val="3-BodyText"/>
      </w:pPr>
      <w:r w:rsidRPr="00731632">
        <w:t xml:space="preserve">The key features of the studies included in the ITC are summarised in </w:t>
      </w:r>
      <w:r w:rsidRPr="00731632">
        <w:fldChar w:fldCharType="begin"/>
      </w:r>
      <w:r w:rsidRPr="00731632">
        <w:instrText xml:space="preserve"> REF _Ref163727894 \h </w:instrText>
      </w:r>
      <w:r w:rsidRPr="00731632">
        <w:fldChar w:fldCharType="separate"/>
      </w:r>
      <w:r w:rsidR="00D770BB" w:rsidRPr="00731632">
        <w:t xml:space="preserve">Table </w:t>
      </w:r>
      <w:r w:rsidR="00D770BB">
        <w:rPr>
          <w:noProof/>
        </w:rPr>
        <w:t>6</w:t>
      </w:r>
      <w:r w:rsidRPr="00731632">
        <w:fldChar w:fldCharType="end"/>
      </w:r>
      <w:r w:rsidRPr="00731632">
        <w:t>.</w:t>
      </w:r>
    </w:p>
    <w:p w14:paraId="4A1DF51F" w14:textId="5EF63A7C" w:rsidR="007F1017" w:rsidRPr="00731632" w:rsidRDefault="00D6076E" w:rsidP="00D6076E">
      <w:pPr>
        <w:pStyle w:val="TableFigureHeading"/>
        <w:rPr>
          <w:rStyle w:val="CommentReference"/>
          <w:b/>
          <w:szCs w:val="24"/>
        </w:rPr>
      </w:pPr>
      <w:bookmarkStart w:id="31" w:name="_Ref163727894"/>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6</w:t>
      </w:r>
      <w:r w:rsidR="00BD1FC6" w:rsidRPr="00731632">
        <w:fldChar w:fldCharType="end"/>
      </w:r>
      <w:bookmarkEnd w:id="31"/>
      <w:r w:rsidRPr="00731632">
        <w:t xml:space="preserve">: </w:t>
      </w:r>
      <w:r w:rsidR="007F1017" w:rsidRPr="00731632">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Key features of the included evidence – indirect comparison"/>
      </w:tblPr>
      <w:tblGrid>
        <w:gridCol w:w="1309"/>
        <w:gridCol w:w="853"/>
        <w:gridCol w:w="1426"/>
        <w:gridCol w:w="1131"/>
        <w:gridCol w:w="1560"/>
        <w:gridCol w:w="1147"/>
        <w:gridCol w:w="1591"/>
      </w:tblGrid>
      <w:tr w:rsidR="00B41614" w:rsidRPr="00731632" w14:paraId="7C62AD55" w14:textId="77777777" w:rsidTr="00682BA6">
        <w:trPr>
          <w:tblHeader/>
        </w:trPr>
        <w:tc>
          <w:tcPr>
            <w:tcW w:w="726" w:type="pct"/>
            <w:shd w:val="clear" w:color="auto" w:fill="auto"/>
            <w:vAlign w:val="center"/>
          </w:tcPr>
          <w:p w14:paraId="7A518E55" w14:textId="77777777" w:rsidR="007F1017" w:rsidRPr="00731632" w:rsidRDefault="007F1017" w:rsidP="001E34DF">
            <w:pPr>
              <w:pStyle w:val="In-tableHeading"/>
              <w:rPr>
                <w:lang w:val="en-AU"/>
              </w:rPr>
            </w:pPr>
            <w:r w:rsidRPr="00731632">
              <w:rPr>
                <w:lang w:val="en-AU"/>
              </w:rPr>
              <w:t>Trial</w:t>
            </w:r>
          </w:p>
        </w:tc>
        <w:tc>
          <w:tcPr>
            <w:tcW w:w="473" w:type="pct"/>
            <w:shd w:val="clear" w:color="auto" w:fill="auto"/>
            <w:vAlign w:val="center"/>
          </w:tcPr>
          <w:p w14:paraId="25CE5E8C" w14:textId="77777777" w:rsidR="007F1017" w:rsidRPr="00731632" w:rsidRDefault="007F1017" w:rsidP="00EC5836">
            <w:pPr>
              <w:pStyle w:val="In-tableHeading"/>
              <w:jc w:val="center"/>
              <w:rPr>
                <w:lang w:val="en-AU"/>
              </w:rPr>
            </w:pPr>
            <w:r w:rsidRPr="00731632">
              <w:rPr>
                <w:lang w:val="en-AU"/>
              </w:rPr>
              <w:t>N</w:t>
            </w:r>
          </w:p>
        </w:tc>
        <w:tc>
          <w:tcPr>
            <w:tcW w:w="791" w:type="pct"/>
            <w:shd w:val="clear" w:color="auto" w:fill="auto"/>
            <w:vAlign w:val="center"/>
          </w:tcPr>
          <w:p w14:paraId="790DEA83" w14:textId="77777777" w:rsidR="007F1017" w:rsidRPr="00731632" w:rsidRDefault="007F1017" w:rsidP="00EC5836">
            <w:pPr>
              <w:pStyle w:val="In-tableHeading"/>
              <w:jc w:val="center"/>
              <w:rPr>
                <w:lang w:val="en-AU"/>
              </w:rPr>
            </w:pPr>
            <w:r w:rsidRPr="00731632">
              <w:rPr>
                <w:lang w:val="en-AU"/>
              </w:rPr>
              <w:t>Design/ duration</w:t>
            </w:r>
          </w:p>
        </w:tc>
        <w:tc>
          <w:tcPr>
            <w:tcW w:w="627" w:type="pct"/>
            <w:shd w:val="clear" w:color="auto" w:fill="auto"/>
            <w:vAlign w:val="center"/>
          </w:tcPr>
          <w:p w14:paraId="25EA92A3" w14:textId="77777777" w:rsidR="007F1017" w:rsidRPr="00731632" w:rsidRDefault="007F1017" w:rsidP="00EC5836">
            <w:pPr>
              <w:pStyle w:val="In-tableHeading"/>
              <w:jc w:val="center"/>
              <w:rPr>
                <w:lang w:val="en-AU"/>
              </w:rPr>
            </w:pPr>
            <w:r w:rsidRPr="00731632">
              <w:rPr>
                <w:lang w:val="en-AU"/>
              </w:rPr>
              <w:t>Risk of bias</w:t>
            </w:r>
          </w:p>
        </w:tc>
        <w:tc>
          <w:tcPr>
            <w:tcW w:w="865" w:type="pct"/>
            <w:shd w:val="clear" w:color="auto" w:fill="auto"/>
            <w:vAlign w:val="center"/>
          </w:tcPr>
          <w:p w14:paraId="3308322F" w14:textId="77777777" w:rsidR="007F1017" w:rsidRPr="00731632" w:rsidRDefault="007F1017" w:rsidP="00EC5836">
            <w:pPr>
              <w:pStyle w:val="In-tableHeading"/>
              <w:jc w:val="center"/>
              <w:rPr>
                <w:lang w:val="en-AU"/>
              </w:rPr>
            </w:pPr>
            <w:r w:rsidRPr="00731632">
              <w:rPr>
                <w:lang w:val="en-AU"/>
              </w:rPr>
              <w:t>Patient population</w:t>
            </w:r>
          </w:p>
        </w:tc>
        <w:tc>
          <w:tcPr>
            <w:tcW w:w="636" w:type="pct"/>
            <w:shd w:val="clear" w:color="auto" w:fill="auto"/>
            <w:vAlign w:val="center"/>
          </w:tcPr>
          <w:p w14:paraId="5C7A0D0A" w14:textId="77777777" w:rsidR="007F1017" w:rsidRPr="00731632" w:rsidRDefault="007F1017" w:rsidP="00EC5836">
            <w:pPr>
              <w:pStyle w:val="In-tableHeading"/>
              <w:jc w:val="center"/>
              <w:rPr>
                <w:lang w:val="en-AU"/>
              </w:rPr>
            </w:pPr>
            <w:r w:rsidRPr="00731632">
              <w:rPr>
                <w:lang w:val="en-AU"/>
              </w:rPr>
              <w:t>Outcome(s)</w:t>
            </w:r>
          </w:p>
        </w:tc>
        <w:tc>
          <w:tcPr>
            <w:tcW w:w="882" w:type="pct"/>
            <w:shd w:val="clear" w:color="auto" w:fill="auto"/>
            <w:vAlign w:val="center"/>
          </w:tcPr>
          <w:p w14:paraId="51531BE9" w14:textId="77777777" w:rsidR="007F1017" w:rsidRPr="00731632" w:rsidRDefault="007F1017" w:rsidP="00EC5836">
            <w:pPr>
              <w:pStyle w:val="In-tableHeading"/>
              <w:jc w:val="center"/>
              <w:rPr>
                <w:lang w:val="en-AU"/>
              </w:rPr>
            </w:pPr>
            <w:r w:rsidRPr="00731632">
              <w:rPr>
                <w:lang w:val="en-AU"/>
              </w:rPr>
              <w:t>Use in modelled evaluation</w:t>
            </w:r>
          </w:p>
        </w:tc>
      </w:tr>
      <w:tr w:rsidR="007F1017" w:rsidRPr="00731632" w14:paraId="58859996" w14:textId="77777777" w:rsidTr="00682BA6">
        <w:tc>
          <w:tcPr>
            <w:tcW w:w="5000" w:type="pct"/>
            <w:gridSpan w:val="7"/>
            <w:shd w:val="clear" w:color="auto" w:fill="auto"/>
            <w:vAlign w:val="center"/>
          </w:tcPr>
          <w:p w14:paraId="70A08119" w14:textId="1C963221" w:rsidR="007F1017" w:rsidRPr="00731632" w:rsidRDefault="007B1FF1" w:rsidP="00EC5836">
            <w:pPr>
              <w:pStyle w:val="In-tableHeading"/>
              <w:rPr>
                <w:lang w:val="en-AU"/>
              </w:rPr>
            </w:pPr>
            <w:r w:rsidRPr="00731632">
              <w:rPr>
                <w:lang w:val="en-AU"/>
              </w:rPr>
              <w:t>Nirsevimab vs. placebo</w:t>
            </w:r>
          </w:p>
        </w:tc>
      </w:tr>
      <w:tr w:rsidR="00B41614" w:rsidRPr="00731632" w14:paraId="2FA1EEA4" w14:textId="77777777" w:rsidTr="00682BA6">
        <w:tc>
          <w:tcPr>
            <w:tcW w:w="726" w:type="pct"/>
            <w:shd w:val="clear" w:color="auto" w:fill="auto"/>
            <w:vAlign w:val="center"/>
          </w:tcPr>
          <w:p w14:paraId="2BA2DE6B" w14:textId="1609C5ED" w:rsidR="007F1017" w:rsidRPr="00731632" w:rsidRDefault="007B1FF1" w:rsidP="00EC5836">
            <w:pPr>
              <w:pStyle w:val="TableText0"/>
            </w:pPr>
            <w:r w:rsidRPr="00731632">
              <w:t>Simões 2023 (</w:t>
            </w:r>
            <w:r w:rsidR="007F1017" w:rsidRPr="00731632">
              <w:t>Meta-analysis</w:t>
            </w:r>
            <w:r w:rsidRPr="00731632">
              <w:t>)</w:t>
            </w:r>
          </w:p>
        </w:tc>
        <w:tc>
          <w:tcPr>
            <w:tcW w:w="473" w:type="pct"/>
            <w:shd w:val="clear" w:color="auto" w:fill="auto"/>
            <w:vAlign w:val="center"/>
          </w:tcPr>
          <w:p w14:paraId="223B8591" w14:textId="78D1D0CD" w:rsidR="007F1017" w:rsidRPr="00731632" w:rsidRDefault="00A461FB" w:rsidP="00EC5836">
            <w:pPr>
              <w:pStyle w:val="TableText0"/>
              <w:jc w:val="center"/>
            </w:pPr>
            <w:r w:rsidRPr="00731632">
              <w:t>2350</w:t>
            </w:r>
          </w:p>
        </w:tc>
        <w:tc>
          <w:tcPr>
            <w:tcW w:w="2919" w:type="pct"/>
            <w:gridSpan w:val="4"/>
            <w:shd w:val="clear" w:color="auto" w:fill="auto"/>
            <w:vAlign w:val="center"/>
          </w:tcPr>
          <w:p w14:paraId="607FC538" w14:textId="4E6175ED" w:rsidR="007F1017" w:rsidRPr="00731632" w:rsidRDefault="00A461FB" w:rsidP="0028626D">
            <w:pPr>
              <w:pStyle w:val="TableText0"/>
            </w:pPr>
            <w:r w:rsidRPr="00731632">
              <w:t xml:space="preserve">Included </w:t>
            </w:r>
            <w:r w:rsidR="00B63F4A" w:rsidRPr="00731632">
              <w:t>participants</w:t>
            </w:r>
            <w:r w:rsidR="00FC6C75" w:rsidRPr="00731632">
              <w:t xml:space="preserve"> from MELODY and </w:t>
            </w:r>
            <w:r w:rsidR="00B63F4A" w:rsidRPr="00731632">
              <w:t>participants</w:t>
            </w:r>
            <w:r w:rsidR="00FC6C75" w:rsidRPr="00731632">
              <w:t xml:space="preserve"> who weighed &lt;5kg from Phase II</w:t>
            </w:r>
            <w:r w:rsidR="00CF3110" w:rsidRPr="00731632">
              <w:t>b</w:t>
            </w:r>
            <w:r w:rsidR="00FC6C75" w:rsidRPr="00731632">
              <w:t xml:space="preserve"> </w:t>
            </w:r>
            <w:r w:rsidR="00FC6C75" w:rsidRPr="00731632">
              <w:rPr>
                <w:rFonts w:cstheme="minorHAnsi"/>
                <w:szCs w:val="20"/>
              </w:rPr>
              <w:t>D5290C00003</w:t>
            </w:r>
            <w:r w:rsidR="0028626D" w:rsidRPr="00731632">
              <w:rPr>
                <w:rFonts w:cstheme="minorHAnsi"/>
                <w:szCs w:val="20"/>
              </w:rPr>
              <w:t>, as such</w:t>
            </w:r>
            <w:r w:rsidR="008174D6" w:rsidRPr="00731632">
              <w:rPr>
                <w:rFonts w:cstheme="minorHAnsi"/>
                <w:szCs w:val="20"/>
              </w:rPr>
              <w:t xml:space="preserve"> it</w:t>
            </w:r>
            <w:r w:rsidR="0028626D" w:rsidRPr="00731632">
              <w:rPr>
                <w:rFonts w:cstheme="minorHAnsi"/>
                <w:szCs w:val="20"/>
              </w:rPr>
              <w:t xml:space="preserve"> included late-preterm and term infants (GA of at least 35 weeks) from MELODY; and preterm infants (GA less than 35 weeks) from Phase II</w:t>
            </w:r>
            <w:r w:rsidR="00CF3110" w:rsidRPr="00731632">
              <w:rPr>
                <w:rFonts w:cstheme="minorHAnsi"/>
                <w:szCs w:val="20"/>
              </w:rPr>
              <w:t>b</w:t>
            </w:r>
            <w:r w:rsidR="0028626D" w:rsidRPr="00731632">
              <w:rPr>
                <w:rFonts w:cstheme="minorHAnsi"/>
                <w:szCs w:val="20"/>
              </w:rPr>
              <w:t>.</w:t>
            </w:r>
          </w:p>
        </w:tc>
        <w:tc>
          <w:tcPr>
            <w:tcW w:w="882" w:type="pct"/>
            <w:shd w:val="clear" w:color="auto" w:fill="auto"/>
            <w:vAlign w:val="center"/>
          </w:tcPr>
          <w:p w14:paraId="20BDE25E" w14:textId="48166B9C" w:rsidR="007F1017" w:rsidRPr="00731632" w:rsidRDefault="003E0794" w:rsidP="00EC5836">
            <w:pPr>
              <w:pStyle w:val="TableText0"/>
              <w:jc w:val="center"/>
            </w:pPr>
            <w:r w:rsidRPr="00731632">
              <w:t>used</w:t>
            </w:r>
          </w:p>
        </w:tc>
      </w:tr>
      <w:tr w:rsidR="007B1FF1" w:rsidRPr="00731632" w14:paraId="27FB12FF" w14:textId="77777777" w:rsidTr="00682BA6">
        <w:tc>
          <w:tcPr>
            <w:tcW w:w="726" w:type="pct"/>
            <w:shd w:val="clear" w:color="auto" w:fill="auto"/>
            <w:vAlign w:val="center"/>
          </w:tcPr>
          <w:p w14:paraId="1C74A87F" w14:textId="7834AAA6" w:rsidR="007B1FF1" w:rsidRPr="00731632" w:rsidRDefault="007B1FF1" w:rsidP="00EC5836">
            <w:pPr>
              <w:pStyle w:val="TableText0"/>
            </w:pPr>
            <w:r w:rsidRPr="00731632">
              <w:t>Turalde-Mapili 2023 (Meta-analysis)</w:t>
            </w:r>
          </w:p>
        </w:tc>
        <w:tc>
          <w:tcPr>
            <w:tcW w:w="473" w:type="pct"/>
            <w:shd w:val="clear" w:color="auto" w:fill="auto"/>
            <w:vAlign w:val="center"/>
          </w:tcPr>
          <w:p w14:paraId="4270C87C" w14:textId="60E9E943" w:rsidR="007B1FF1" w:rsidRPr="00731632" w:rsidRDefault="00FC6C75" w:rsidP="00EC5836">
            <w:pPr>
              <w:pStyle w:val="TableText0"/>
              <w:jc w:val="center"/>
            </w:pPr>
            <w:r w:rsidRPr="00731632">
              <w:t>2943</w:t>
            </w:r>
          </w:p>
        </w:tc>
        <w:tc>
          <w:tcPr>
            <w:tcW w:w="2919" w:type="pct"/>
            <w:gridSpan w:val="4"/>
            <w:shd w:val="clear" w:color="auto" w:fill="auto"/>
            <w:vAlign w:val="center"/>
          </w:tcPr>
          <w:p w14:paraId="7BC8074C" w14:textId="3A1129FE" w:rsidR="007B1FF1" w:rsidRPr="00731632" w:rsidRDefault="00FC6C75" w:rsidP="00EC5836">
            <w:pPr>
              <w:pStyle w:val="TableText0"/>
            </w:pPr>
            <w:r w:rsidRPr="00731632">
              <w:t xml:space="preserve">Included all </w:t>
            </w:r>
            <w:r w:rsidR="00B63F4A" w:rsidRPr="00731632">
              <w:t>participants</w:t>
            </w:r>
            <w:r w:rsidRPr="00731632">
              <w:t xml:space="preserve"> from MELODY and Phase IIB </w:t>
            </w:r>
            <w:r w:rsidRPr="00731632">
              <w:rPr>
                <w:rFonts w:cstheme="minorHAnsi"/>
                <w:szCs w:val="20"/>
              </w:rPr>
              <w:t>D5290C00003</w:t>
            </w:r>
          </w:p>
        </w:tc>
        <w:tc>
          <w:tcPr>
            <w:tcW w:w="882" w:type="pct"/>
            <w:shd w:val="clear" w:color="auto" w:fill="auto"/>
            <w:vAlign w:val="center"/>
          </w:tcPr>
          <w:p w14:paraId="43CCEF09" w14:textId="6DB0F393" w:rsidR="007B1FF1" w:rsidRPr="00731632" w:rsidRDefault="00D104AA" w:rsidP="00EC5836">
            <w:pPr>
              <w:pStyle w:val="TableText0"/>
              <w:jc w:val="center"/>
            </w:pPr>
            <w:r w:rsidRPr="00731632">
              <w:t>n</w:t>
            </w:r>
            <w:r w:rsidR="003E0794" w:rsidRPr="00731632">
              <w:t>ot used</w:t>
            </w:r>
          </w:p>
        </w:tc>
      </w:tr>
      <w:tr w:rsidR="007F1017" w:rsidRPr="00731632" w14:paraId="07CC336E" w14:textId="77777777" w:rsidTr="00682BA6">
        <w:tc>
          <w:tcPr>
            <w:tcW w:w="5000" w:type="pct"/>
            <w:gridSpan w:val="7"/>
            <w:shd w:val="clear" w:color="auto" w:fill="auto"/>
            <w:vAlign w:val="center"/>
          </w:tcPr>
          <w:p w14:paraId="724CCFC8" w14:textId="2DF19886" w:rsidR="007F1017" w:rsidRPr="00731632" w:rsidRDefault="007408E2" w:rsidP="00EC5836">
            <w:pPr>
              <w:pStyle w:val="In-tableHeading"/>
              <w:rPr>
                <w:lang w:val="en-AU"/>
              </w:rPr>
            </w:pPr>
            <w:r w:rsidRPr="00731632">
              <w:rPr>
                <w:lang w:val="en-AU"/>
              </w:rPr>
              <w:t>RSVpreF</w:t>
            </w:r>
            <w:r w:rsidR="00E7191C" w:rsidRPr="00731632">
              <w:rPr>
                <w:lang w:val="en-AU"/>
              </w:rPr>
              <w:t xml:space="preserve"> vaccine</w:t>
            </w:r>
            <w:r w:rsidRPr="00731632">
              <w:rPr>
                <w:lang w:val="en-AU"/>
              </w:rPr>
              <w:t xml:space="preserve"> vs. placebo</w:t>
            </w:r>
          </w:p>
        </w:tc>
      </w:tr>
      <w:tr w:rsidR="00B41614" w:rsidRPr="00731632" w14:paraId="1A96A371" w14:textId="77777777" w:rsidTr="00682BA6">
        <w:tc>
          <w:tcPr>
            <w:tcW w:w="726" w:type="pct"/>
            <w:shd w:val="clear" w:color="auto" w:fill="auto"/>
            <w:vAlign w:val="center"/>
          </w:tcPr>
          <w:p w14:paraId="3FDDBB88" w14:textId="48E03D50" w:rsidR="007F1017" w:rsidRPr="00731632" w:rsidRDefault="00276F78" w:rsidP="00EC5836">
            <w:pPr>
              <w:pStyle w:val="TableText0"/>
            </w:pPr>
            <w:r w:rsidRPr="00731632">
              <w:t>MATISSE</w:t>
            </w:r>
          </w:p>
        </w:tc>
        <w:tc>
          <w:tcPr>
            <w:tcW w:w="473" w:type="pct"/>
            <w:shd w:val="clear" w:color="auto" w:fill="auto"/>
            <w:vAlign w:val="center"/>
          </w:tcPr>
          <w:p w14:paraId="38702F91" w14:textId="71C97240" w:rsidR="007F1017" w:rsidRPr="00731632" w:rsidRDefault="00276F78" w:rsidP="00276F78">
            <w:pPr>
              <w:pStyle w:val="TableText0"/>
              <w:jc w:val="center"/>
            </w:pPr>
            <w:r w:rsidRPr="00731632">
              <w:t>7126</w:t>
            </w:r>
          </w:p>
        </w:tc>
        <w:tc>
          <w:tcPr>
            <w:tcW w:w="791" w:type="pct"/>
            <w:shd w:val="clear" w:color="auto" w:fill="auto"/>
            <w:vAlign w:val="center"/>
          </w:tcPr>
          <w:p w14:paraId="19D68EC4" w14:textId="77777777" w:rsidR="007F1017" w:rsidRPr="00731632" w:rsidRDefault="007378A2" w:rsidP="007378A2">
            <w:pPr>
              <w:pStyle w:val="TableText0"/>
              <w:jc w:val="center"/>
            </w:pPr>
            <w:r w:rsidRPr="00731632">
              <w:t>R, DB, MC</w:t>
            </w:r>
          </w:p>
          <w:p w14:paraId="42DD9B60" w14:textId="0246F6DE" w:rsidR="007378A2" w:rsidRPr="00731632" w:rsidRDefault="007378A2" w:rsidP="007378A2">
            <w:pPr>
              <w:pStyle w:val="TableText0"/>
              <w:jc w:val="center"/>
            </w:pPr>
            <w:r w:rsidRPr="00731632">
              <w:t>2 years</w:t>
            </w:r>
          </w:p>
        </w:tc>
        <w:tc>
          <w:tcPr>
            <w:tcW w:w="627" w:type="pct"/>
            <w:shd w:val="clear" w:color="auto" w:fill="auto"/>
            <w:vAlign w:val="center"/>
          </w:tcPr>
          <w:p w14:paraId="4A9E9993" w14:textId="2A71F961" w:rsidR="007F1017" w:rsidRPr="00731632" w:rsidRDefault="007378A2" w:rsidP="007378A2">
            <w:pPr>
              <w:pStyle w:val="TableText0"/>
              <w:jc w:val="center"/>
              <w:rPr>
                <w:iCs/>
              </w:rPr>
            </w:pPr>
            <w:r w:rsidRPr="00731632">
              <w:rPr>
                <w:iCs/>
              </w:rPr>
              <w:t>low</w:t>
            </w:r>
          </w:p>
        </w:tc>
        <w:tc>
          <w:tcPr>
            <w:tcW w:w="865" w:type="pct"/>
            <w:shd w:val="clear" w:color="auto" w:fill="auto"/>
            <w:vAlign w:val="center"/>
          </w:tcPr>
          <w:p w14:paraId="4176853A" w14:textId="28616ED0" w:rsidR="007F1017" w:rsidRPr="00731632" w:rsidRDefault="007378A2" w:rsidP="007378A2">
            <w:pPr>
              <w:pStyle w:val="TableText0"/>
              <w:jc w:val="center"/>
            </w:pPr>
            <w:r w:rsidRPr="00731632">
              <w:t xml:space="preserve">Pregnant women between 24 – 36 weeks </w:t>
            </w:r>
            <w:r w:rsidR="00DF46B8" w:rsidRPr="00731632">
              <w:t>GA</w:t>
            </w:r>
            <w:r w:rsidRPr="00731632">
              <w:t>.</w:t>
            </w:r>
          </w:p>
        </w:tc>
        <w:tc>
          <w:tcPr>
            <w:tcW w:w="636" w:type="pct"/>
            <w:shd w:val="clear" w:color="auto" w:fill="auto"/>
            <w:vAlign w:val="center"/>
          </w:tcPr>
          <w:p w14:paraId="237F2B67" w14:textId="77777777" w:rsidR="007378A2" w:rsidRPr="00731632" w:rsidRDefault="007378A2" w:rsidP="00266A98">
            <w:pPr>
              <w:pStyle w:val="TableText0"/>
              <w:numPr>
                <w:ilvl w:val="0"/>
                <w:numId w:val="12"/>
              </w:numPr>
            </w:pPr>
            <w:r w:rsidRPr="00731632">
              <w:t>MA-LRTI</w:t>
            </w:r>
          </w:p>
          <w:p w14:paraId="7AE1E054" w14:textId="60B0DA78" w:rsidR="007F1017" w:rsidRPr="00731632" w:rsidRDefault="007378A2" w:rsidP="00266A98">
            <w:pPr>
              <w:pStyle w:val="TableText0"/>
              <w:numPr>
                <w:ilvl w:val="0"/>
                <w:numId w:val="12"/>
              </w:numPr>
            </w:pPr>
            <w:r w:rsidRPr="00731632">
              <w:t>Severe MA-LRTI</w:t>
            </w:r>
          </w:p>
        </w:tc>
        <w:tc>
          <w:tcPr>
            <w:tcW w:w="882" w:type="pct"/>
            <w:shd w:val="clear" w:color="auto" w:fill="auto"/>
            <w:vAlign w:val="center"/>
          </w:tcPr>
          <w:p w14:paraId="4667E3B0" w14:textId="4FE0635B" w:rsidR="007F1017" w:rsidRPr="00731632" w:rsidRDefault="003E0794" w:rsidP="003E0794">
            <w:pPr>
              <w:pStyle w:val="TableText0"/>
              <w:jc w:val="center"/>
            </w:pPr>
            <w:r w:rsidRPr="00731632">
              <w:t>used</w:t>
            </w:r>
          </w:p>
        </w:tc>
      </w:tr>
    </w:tbl>
    <w:p w14:paraId="010C0572" w14:textId="1CB49AE4" w:rsidR="000B068D" w:rsidRPr="00731632" w:rsidRDefault="00045017" w:rsidP="00DF46B8">
      <w:pPr>
        <w:pStyle w:val="FooterTableFigure"/>
      </w:pPr>
      <w:r w:rsidRPr="00731632">
        <w:t xml:space="preserve">Source: </w:t>
      </w:r>
      <w:r w:rsidR="00DF46B8" w:rsidRPr="00731632">
        <w:t>Table 2.4.2, , Table 2.6.1Table 2.6.2, and Table 2.6.4, of the submission</w:t>
      </w:r>
      <w:bookmarkStart w:id="32" w:name="_Toc22897641"/>
      <w:r w:rsidR="000B068D" w:rsidRPr="00731632">
        <w:t>.</w:t>
      </w:r>
    </w:p>
    <w:p w14:paraId="229DFD57" w14:textId="57649AC9" w:rsidR="00C90D24" w:rsidRPr="00731632" w:rsidRDefault="00DF46B8" w:rsidP="00DF46B8">
      <w:pPr>
        <w:pStyle w:val="FooterTableFigure"/>
      </w:pPr>
      <w:r w:rsidRPr="00731632">
        <w:t xml:space="preserve">DB = double blind; GA = gestational age; MA-LRTI = medically attended lower respiratory tract infection; MC = multicentre; N = number of participants; R = randomised; RSVpreF = respiratory syncytial virus prefusion F vaccine. </w:t>
      </w:r>
    </w:p>
    <w:p w14:paraId="6C5B8168" w14:textId="05534E66" w:rsidR="000174AC" w:rsidRPr="00731632" w:rsidRDefault="00C90D24" w:rsidP="00C90D24">
      <w:pPr>
        <w:pStyle w:val="3-BodyText"/>
        <w:rPr>
          <w:sz w:val="20"/>
        </w:rPr>
      </w:pPr>
      <w:r w:rsidRPr="00731632">
        <w:t xml:space="preserve">Simões </w:t>
      </w:r>
      <w:r w:rsidR="00B2473E" w:rsidRPr="00731632">
        <w:t>et al (</w:t>
      </w:r>
      <w:r w:rsidRPr="00731632">
        <w:t>2023</w:t>
      </w:r>
      <w:r w:rsidR="00B2473E" w:rsidRPr="00731632">
        <w:t>)</w:t>
      </w:r>
      <w:r w:rsidRPr="00731632">
        <w:t xml:space="preserve"> and Turalde-Mapili </w:t>
      </w:r>
      <w:r w:rsidR="00B2473E" w:rsidRPr="00731632">
        <w:t>et al (</w:t>
      </w:r>
      <w:r w:rsidRPr="00731632">
        <w:t>2023</w:t>
      </w:r>
      <w:r w:rsidR="00B2473E" w:rsidRPr="00731632">
        <w:t>)</w:t>
      </w:r>
      <w:r w:rsidRPr="00731632">
        <w:t xml:space="preserve"> were both meta-analyses of the MELODY and Phase II</w:t>
      </w:r>
      <w:r w:rsidR="00CF3110" w:rsidRPr="00731632">
        <w:t>b</w:t>
      </w:r>
      <w:r w:rsidR="008174D6" w:rsidRPr="00731632">
        <w:t xml:space="preserve"> </w:t>
      </w:r>
      <w:r w:rsidRPr="00731632">
        <w:rPr>
          <w:rFonts w:cstheme="minorHAnsi"/>
          <w:szCs w:val="20"/>
        </w:rPr>
        <w:t xml:space="preserve">trials. </w:t>
      </w:r>
    </w:p>
    <w:p w14:paraId="49DF4CF4" w14:textId="2F676502" w:rsidR="000174AC" w:rsidRPr="00731632" w:rsidRDefault="00442D6D" w:rsidP="00266A98">
      <w:pPr>
        <w:pStyle w:val="3-BodyText"/>
        <w:numPr>
          <w:ilvl w:val="0"/>
          <w:numId w:val="11"/>
        </w:numPr>
        <w:ind w:left="1134" w:hanging="283"/>
        <w:rPr>
          <w:sz w:val="20"/>
        </w:rPr>
      </w:pPr>
      <w:r w:rsidRPr="00731632">
        <w:t>Simões</w:t>
      </w:r>
      <w:r w:rsidR="00B2473E" w:rsidRPr="00731632">
        <w:t xml:space="preserve"> et al</w:t>
      </w:r>
      <w:r w:rsidRPr="00731632">
        <w:t xml:space="preserve"> </w:t>
      </w:r>
      <w:r w:rsidR="00B2473E" w:rsidRPr="00731632">
        <w:t>(</w:t>
      </w:r>
      <w:r w:rsidRPr="00731632">
        <w:t>2023</w:t>
      </w:r>
      <w:r w:rsidR="00B2473E" w:rsidRPr="00731632">
        <w:t>)</w:t>
      </w:r>
      <w:r w:rsidRPr="00731632">
        <w:t xml:space="preserve"> excluded p</w:t>
      </w:r>
      <w:r w:rsidR="00334F2D" w:rsidRPr="00731632">
        <w:t>articipants</w:t>
      </w:r>
      <w:r w:rsidRPr="00731632">
        <w:t xml:space="preserve"> in the Phase II</w:t>
      </w:r>
      <w:r w:rsidR="00CF3110" w:rsidRPr="00731632">
        <w:t>b</w:t>
      </w:r>
      <w:r w:rsidRPr="00731632">
        <w:t xml:space="preserve"> </w:t>
      </w:r>
      <w:r w:rsidRPr="00731632">
        <w:rPr>
          <w:rFonts w:cstheme="minorHAnsi"/>
          <w:szCs w:val="20"/>
        </w:rPr>
        <w:t>trial who were above 5</w:t>
      </w:r>
      <w:r w:rsidR="00E7191C" w:rsidRPr="00731632">
        <w:rPr>
          <w:rFonts w:cstheme="minorHAnsi"/>
          <w:szCs w:val="20"/>
        </w:rPr>
        <w:t> </w:t>
      </w:r>
      <w:r w:rsidRPr="00731632">
        <w:rPr>
          <w:rFonts w:cstheme="minorHAnsi"/>
          <w:szCs w:val="20"/>
        </w:rPr>
        <w:t>kg</w:t>
      </w:r>
      <w:r w:rsidR="00C17315" w:rsidRPr="00731632">
        <w:rPr>
          <w:rFonts w:cstheme="minorHAnsi"/>
          <w:szCs w:val="20"/>
        </w:rPr>
        <w:t xml:space="preserve">. In the </w:t>
      </w:r>
      <w:r w:rsidR="00C17315" w:rsidRPr="00731632">
        <w:t>Phase II</w:t>
      </w:r>
      <w:r w:rsidR="00CF3110" w:rsidRPr="00731632">
        <w:t>b</w:t>
      </w:r>
      <w:r w:rsidR="00C17315" w:rsidRPr="00731632">
        <w:rPr>
          <w:rFonts w:cstheme="minorHAnsi"/>
          <w:szCs w:val="20"/>
        </w:rPr>
        <w:t xml:space="preserve"> trial, all pa</w:t>
      </w:r>
      <w:r w:rsidR="00334F2D" w:rsidRPr="00731632">
        <w:rPr>
          <w:rFonts w:cstheme="minorHAnsi"/>
          <w:szCs w:val="20"/>
        </w:rPr>
        <w:t>rticipants</w:t>
      </w:r>
      <w:r w:rsidR="00C17315" w:rsidRPr="00731632">
        <w:rPr>
          <w:rFonts w:cstheme="minorHAnsi"/>
          <w:szCs w:val="20"/>
        </w:rPr>
        <w:t xml:space="preserve"> received 50</w:t>
      </w:r>
      <w:r w:rsidR="000174AC" w:rsidRPr="00731632">
        <w:rPr>
          <w:rFonts w:cstheme="minorHAnsi"/>
          <w:szCs w:val="20"/>
        </w:rPr>
        <w:t xml:space="preserve"> </w:t>
      </w:r>
      <w:r w:rsidR="00C17315" w:rsidRPr="00731632">
        <w:rPr>
          <w:rFonts w:cstheme="minorHAnsi"/>
          <w:szCs w:val="20"/>
        </w:rPr>
        <w:t>mg</w:t>
      </w:r>
      <w:r w:rsidR="00D104AA" w:rsidRPr="00731632">
        <w:rPr>
          <w:rFonts w:cstheme="minorHAnsi"/>
          <w:szCs w:val="20"/>
        </w:rPr>
        <w:t>/0.5</w:t>
      </w:r>
      <w:r w:rsidR="000174AC" w:rsidRPr="00731632">
        <w:rPr>
          <w:rFonts w:cstheme="minorHAnsi"/>
          <w:szCs w:val="20"/>
        </w:rPr>
        <w:t xml:space="preserve"> </w:t>
      </w:r>
      <w:r w:rsidR="00D104AA" w:rsidRPr="00731632">
        <w:rPr>
          <w:rFonts w:cstheme="minorHAnsi"/>
          <w:szCs w:val="20"/>
        </w:rPr>
        <w:t>mL</w:t>
      </w:r>
      <w:r w:rsidR="00C17315" w:rsidRPr="00731632">
        <w:rPr>
          <w:rFonts w:cstheme="minorHAnsi"/>
          <w:szCs w:val="20"/>
        </w:rPr>
        <w:t xml:space="preserve"> of study drug</w:t>
      </w:r>
      <w:r w:rsidR="00BF5E29" w:rsidRPr="00731632">
        <w:rPr>
          <w:rFonts w:cstheme="minorHAnsi"/>
          <w:szCs w:val="20"/>
        </w:rPr>
        <w:t>. This conflict</w:t>
      </w:r>
      <w:r w:rsidR="00B2473E" w:rsidRPr="00731632">
        <w:rPr>
          <w:rFonts w:cstheme="minorHAnsi"/>
          <w:szCs w:val="20"/>
        </w:rPr>
        <w:t>ed</w:t>
      </w:r>
      <w:r w:rsidR="00BF5E29" w:rsidRPr="00731632">
        <w:rPr>
          <w:rFonts w:cstheme="minorHAnsi"/>
          <w:szCs w:val="20"/>
        </w:rPr>
        <w:t xml:space="preserve"> with the MELODY trial</w:t>
      </w:r>
      <w:r w:rsidR="00177CD7" w:rsidRPr="00731632">
        <w:rPr>
          <w:rFonts w:cstheme="minorHAnsi"/>
          <w:szCs w:val="20"/>
        </w:rPr>
        <w:t>, the TGA product information (PI),</w:t>
      </w:r>
      <w:r w:rsidR="00BF5E29" w:rsidRPr="00731632">
        <w:rPr>
          <w:rFonts w:cstheme="minorHAnsi"/>
          <w:szCs w:val="20"/>
        </w:rPr>
        <w:t xml:space="preserve"> and the requested listing w</w:t>
      </w:r>
      <w:r w:rsidR="00334F2D" w:rsidRPr="00731632">
        <w:rPr>
          <w:rFonts w:cstheme="minorHAnsi"/>
          <w:szCs w:val="20"/>
        </w:rPr>
        <w:t>h</w:t>
      </w:r>
      <w:r w:rsidR="00BF5E29" w:rsidRPr="00731632">
        <w:rPr>
          <w:rFonts w:cstheme="minorHAnsi"/>
          <w:szCs w:val="20"/>
        </w:rPr>
        <w:t xml:space="preserve">ere </w:t>
      </w:r>
      <w:r w:rsidR="00334F2D" w:rsidRPr="00731632">
        <w:rPr>
          <w:rFonts w:cstheme="minorHAnsi"/>
          <w:szCs w:val="20"/>
        </w:rPr>
        <w:t>infants</w:t>
      </w:r>
      <w:r w:rsidR="00BF5E29" w:rsidRPr="00731632">
        <w:rPr>
          <w:rFonts w:cstheme="minorHAnsi"/>
          <w:szCs w:val="20"/>
        </w:rPr>
        <w:t xml:space="preserve"> over 5</w:t>
      </w:r>
      <w:r w:rsidR="000174AC" w:rsidRPr="00731632">
        <w:rPr>
          <w:rFonts w:cstheme="minorHAnsi"/>
          <w:szCs w:val="20"/>
        </w:rPr>
        <w:t xml:space="preserve"> </w:t>
      </w:r>
      <w:r w:rsidR="00BF5E29" w:rsidRPr="00731632">
        <w:rPr>
          <w:rFonts w:cstheme="minorHAnsi"/>
          <w:szCs w:val="20"/>
        </w:rPr>
        <w:t>kg received 100</w:t>
      </w:r>
      <w:r w:rsidR="000174AC" w:rsidRPr="00731632">
        <w:rPr>
          <w:rFonts w:cstheme="minorHAnsi"/>
          <w:szCs w:val="20"/>
        </w:rPr>
        <w:t xml:space="preserve"> </w:t>
      </w:r>
      <w:r w:rsidR="00BF5E29" w:rsidRPr="00731632">
        <w:rPr>
          <w:rFonts w:cstheme="minorHAnsi"/>
          <w:szCs w:val="20"/>
        </w:rPr>
        <w:t>mg</w:t>
      </w:r>
      <w:r w:rsidR="00D104AA" w:rsidRPr="00731632">
        <w:rPr>
          <w:rFonts w:cstheme="minorHAnsi"/>
          <w:szCs w:val="20"/>
        </w:rPr>
        <w:t>/1</w:t>
      </w:r>
      <w:r w:rsidR="000174AC" w:rsidRPr="00731632">
        <w:rPr>
          <w:rFonts w:cstheme="minorHAnsi"/>
          <w:szCs w:val="20"/>
        </w:rPr>
        <w:t xml:space="preserve"> </w:t>
      </w:r>
      <w:r w:rsidR="00D104AA" w:rsidRPr="00731632">
        <w:rPr>
          <w:rFonts w:cstheme="minorHAnsi"/>
          <w:szCs w:val="20"/>
        </w:rPr>
        <w:t>mL</w:t>
      </w:r>
      <w:r w:rsidR="00BF5E29" w:rsidRPr="00731632">
        <w:rPr>
          <w:rFonts w:cstheme="minorHAnsi"/>
          <w:szCs w:val="20"/>
        </w:rPr>
        <w:t xml:space="preserve"> and </w:t>
      </w:r>
      <w:r w:rsidR="00334F2D" w:rsidRPr="00731632">
        <w:rPr>
          <w:rFonts w:cstheme="minorHAnsi"/>
          <w:szCs w:val="20"/>
        </w:rPr>
        <w:t>infants</w:t>
      </w:r>
      <w:r w:rsidR="00BF5E29" w:rsidRPr="00731632">
        <w:rPr>
          <w:rFonts w:cstheme="minorHAnsi"/>
          <w:szCs w:val="20"/>
        </w:rPr>
        <w:t xml:space="preserve"> under 5</w:t>
      </w:r>
      <w:r w:rsidR="000174AC" w:rsidRPr="00731632">
        <w:rPr>
          <w:rFonts w:cstheme="minorHAnsi"/>
          <w:szCs w:val="20"/>
        </w:rPr>
        <w:t xml:space="preserve"> </w:t>
      </w:r>
      <w:r w:rsidR="00BF5E29" w:rsidRPr="00731632">
        <w:rPr>
          <w:rFonts w:cstheme="minorHAnsi"/>
          <w:szCs w:val="20"/>
        </w:rPr>
        <w:t>kg received 50</w:t>
      </w:r>
      <w:r w:rsidR="000174AC" w:rsidRPr="00731632">
        <w:rPr>
          <w:rFonts w:cstheme="minorHAnsi"/>
          <w:szCs w:val="20"/>
        </w:rPr>
        <w:t xml:space="preserve"> </w:t>
      </w:r>
      <w:r w:rsidR="00BF5E29" w:rsidRPr="00731632">
        <w:rPr>
          <w:rFonts w:cstheme="minorHAnsi"/>
          <w:szCs w:val="20"/>
        </w:rPr>
        <w:t>mg</w:t>
      </w:r>
      <w:r w:rsidR="00D104AA" w:rsidRPr="00731632">
        <w:rPr>
          <w:rFonts w:cstheme="minorHAnsi"/>
          <w:szCs w:val="20"/>
        </w:rPr>
        <w:t>/0.5</w:t>
      </w:r>
      <w:r w:rsidR="000174AC" w:rsidRPr="00731632">
        <w:rPr>
          <w:rFonts w:cstheme="minorHAnsi"/>
          <w:szCs w:val="20"/>
        </w:rPr>
        <w:t xml:space="preserve"> </w:t>
      </w:r>
      <w:r w:rsidR="00D104AA" w:rsidRPr="00731632">
        <w:rPr>
          <w:rFonts w:cstheme="minorHAnsi"/>
          <w:szCs w:val="20"/>
        </w:rPr>
        <w:t>mL</w:t>
      </w:r>
      <w:r w:rsidR="00BF5E29" w:rsidRPr="00731632">
        <w:rPr>
          <w:rFonts w:cstheme="minorHAnsi"/>
          <w:szCs w:val="20"/>
        </w:rPr>
        <w:t xml:space="preserve">. </w:t>
      </w:r>
    </w:p>
    <w:p w14:paraId="5DA1FEE4" w14:textId="032152B4" w:rsidR="00C90D24" w:rsidRPr="00731632" w:rsidRDefault="00BF5E29" w:rsidP="00266A98">
      <w:pPr>
        <w:pStyle w:val="3-BodyText"/>
        <w:numPr>
          <w:ilvl w:val="0"/>
          <w:numId w:val="11"/>
        </w:numPr>
        <w:ind w:left="1134" w:hanging="283"/>
        <w:rPr>
          <w:sz w:val="20"/>
        </w:rPr>
      </w:pPr>
      <w:r w:rsidRPr="00731632">
        <w:rPr>
          <w:rFonts w:cstheme="minorHAnsi"/>
          <w:szCs w:val="20"/>
        </w:rPr>
        <w:t xml:space="preserve">Turalde-Mapili </w:t>
      </w:r>
      <w:r w:rsidR="00B2473E" w:rsidRPr="00731632">
        <w:rPr>
          <w:rFonts w:cstheme="minorHAnsi"/>
          <w:szCs w:val="20"/>
        </w:rPr>
        <w:t>et al (</w:t>
      </w:r>
      <w:r w:rsidRPr="00731632">
        <w:rPr>
          <w:rFonts w:cstheme="minorHAnsi"/>
          <w:szCs w:val="20"/>
        </w:rPr>
        <w:t>2023</w:t>
      </w:r>
      <w:r w:rsidR="00B2473E" w:rsidRPr="00731632">
        <w:rPr>
          <w:rFonts w:cstheme="minorHAnsi"/>
          <w:szCs w:val="20"/>
        </w:rPr>
        <w:t>)</w:t>
      </w:r>
      <w:r w:rsidRPr="00731632">
        <w:rPr>
          <w:rFonts w:cstheme="minorHAnsi"/>
          <w:szCs w:val="20"/>
        </w:rPr>
        <w:t xml:space="preserve"> used all pa</w:t>
      </w:r>
      <w:r w:rsidR="00334F2D" w:rsidRPr="00731632">
        <w:rPr>
          <w:rFonts w:cstheme="minorHAnsi"/>
          <w:szCs w:val="20"/>
        </w:rPr>
        <w:t>rticipants</w:t>
      </w:r>
      <w:r w:rsidRPr="00731632">
        <w:rPr>
          <w:rFonts w:cstheme="minorHAnsi"/>
          <w:szCs w:val="20"/>
        </w:rPr>
        <w:t xml:space="preserve"> from both the MELODY and </w:t>
      </w:r>
      <w:r w:rsidRPr="00731632">
        <w:t>Phase II</w:t>
      </w:r>
      <w:r w:rsidR="00CF3110" w:rsidRPr="00731632">
        <w:t>b</w:t>
      </w:r>
      <w:r w:rsidRPr="00731632">
        <w:rPr>
          <w:rFonts w:cstheme="minorHAnsi"/>
          <w:szCs w:val="20"/>
        </w:rPr>
        <w:t xml:space="preserve"> trials in their meta-analysis</w:t>
      </w:r>
      <w:r w:rsidR="00177CD7" w:rsidRPr="00731632">
        <w:rPr>
          <w:rFonts w:cstheme="minorHAnsi"/>
          <w:szCs w:val="20"/>
        </w:rPr>
        <w:t xml:space="preserve">, including the </w:t>
      </w:r>
      <w:r w:rsidR="000921D6" w:rsidRPr="00731632">
        <w:rPr>
          <w:rFonts w:cstheme="minorHAnsi"/>
          <w:szCs w:val="20"/>
        </w:rPr>
        <w:t>infants &gt;5 kg</w:t>
      </w:r>
      <w:r w:rsidR="00177CD7" w:rsidRPr="00731632">
        <w:rPr>
          <w:rFonts w:cstheme="minorHAnsi"/>
          <w:szCs w:val="20"/>
        </w:rPr>
        <w:t xml:space="preserve"> who received the dose lower than the dose recommended in the TGA PI</w:t>
      </w:r>
      <w:r w:rsidRPr="00731632">
        <w:rPr>
          <w:rFonts w:cstheme="minorHAnsi"/>
          <w:szCs w:val="20"/>
        </w:rPr>
        <w:t xml:space="preserve">. </w:t>
      </w:r>
    </w:p>
    <w:p w14:paraId="44448202" w14:textId="77777777" w:rsidR="00B60939" w:rsidRPr="00731632" w:rsidRDefault="00B60939" w:rsidP="001A3A0C">
      <w:pPr>
        <w:pStyle w:val="4-SubsectionHeading"/>
        <w:keepLines/>
      </w:pPr>
      <w:bookmarkStart w:id="33" w:name="_Toc167276235"/>
      <w:r w:rsidRPr="00731632">
        <w:t>Comparative effectiveness</w:t>
      </w:r>
      <w:bookmarkEnd w:id="32"/>
      <w:bookmarkEnd w:id="33"/>
    </w:p>
    <w:p w14:paraId="60A0EC8D" w14:textId="7441B81C" w:rsidR="001A3A0C" w:rsidRPr="00731632" w:rsidRDefault="001A3A0C" w:rsidP="00972756">
      <w:pPr>
        <w:pStyle w:val="5-SubsectionSubheading"/>
      </w:pPr>
      <w:r w:rsidRPr="00731632">
        <w:t>Main comparison: nirsevimab versus placebo</w:t>
      </w:r>
    </w:p>
    <w:p w14:paraId="205C1545" w14:textId="072F3BA8" w:rsidR="001B7C8A" w:rsidRPr="00731632" w:rsidRDefault="001B7C8A" w:rsidP="001A3A0C">
      <w:pPr>
        <w:pStyle w:val="3-BodyText"/>
        <w:keepNext/>
        <w:keepLines/>
        <w:numPr>
          <w:ilvl w:val="0"/>
          <w:numId w:val="0"/>
        </w:numPr>
        <w:ind w:left="720" w:hanging="720"/>
        <w:jc w:val="left"/>
        <w:rPr>
          <w:u w:val="single"/>
        </w:rPr>
      </w:pPr>
      <w:r w:rsidRPr="00731632">
        <w:rPr>
          <w:u w:val="single"/>
        </w:rPr>
        <w:t>MELODY</w:t>
      </w:r>
      <w:r w:rsidR="001A3A0C" w:rsidRPr="00731632">
        <w:rPr>
          <w:u w:val="single"/>
        </w:rPr>
        <w:t xml:space="preserve"> trial</w:t>
      </w:r>
    </w:p>
    <w:p w14:paraId="095F626A" w14:textId="6342A550" w:rsidR="001B7C8A" w:rsidRPr="00731632" w:rsidRDefault="00334F2D" w:rsidP="001A3A0C">
      <w:pPr>
        <w:pStyle w:val="3-BodyText"/>
        <w:keepNext/>
        <w:keepLines/>
      </w:pPr>
      <w:r w:rsidRPr="00731632">
        <w:t xml:space="preserve">In the MELODY trial, </w:t>
      </w:r>
      <w:r w:rsidR="001B7C8A" w:rsidRPr="00731632">
        <w:t>MA</w:t>
      </w:r>
      <w:r w:rsidR="00B2473E" w:rsidRPr="00731632">
        <w:t xml:space="preserve"> RSV </w:t>
      </w:r>
      <w:r w:rsidR="001B7C8A" w:rsidRPr="00731632">
        <w:t>LRTI occurred in 12 infants (1.2%) in the nirsevimab group and in 25 infants (5.0%) in the placebo group, resulting in a</w:t>
      </w:r>
      <w:r w:rsidR="00614D11" w:rsidRPr="00731632">
        <w:t xml:space="preserve"> relative risk reduction (RRR)</w:t>
      </w:r>
      <w:r w:rsidR="00D104AA" w:rsidRPr="00731632">
        <w:t xml:space="preserve"> </w:t>
      </w:r>
      <w:r w:rsidR="001B7C8A" w:rsidRPr="00731632">
        <w:t>of 74.5% (95% CI, 49.6</w:t>
      </w:r>
      <w:r w:rsidR="00D104AA" w:rsidRPr="00731632">
        <w:t>%,</w:t>
      </w:r>
      <w:r w:rsidR="001B7C8A" w:rsidRPr="00731632">
        <w:t xml:space="preserve"> 87.1</w:t>
      </w:r>
      <w:r w:rsidR="00D104AA" w:rsidRPr="00731632">
        <w:t>%</w:t>
      </w:r>
      <w:r w:rsidR="001B7C8A" w:rsidRPr="00731632">
        <w:t>; P&lt;0.001) for nirsevimab</w:t>
      </w:r>
      <w:r w:rsidR="00614D11" w:rsidRPr="00731632">
        <w:t xml:space="preserve"> with respect to MA RSV LRTI</w:t>
      </w:r>
      <w:r w:rsidR="001B7C8A" w:rsidRPr="00731632">
        <w:t xml:space="preserve"> (</w:t>
      </w:r>
      <w:r w:rsidR="001B7C8A" w:rsidRPr="00731632">
        <w:fldChar w:fldCharType="begin"/>
      </w:r>
      <w:r w:rsidR="001B7C8A" w:rsidRPr="00731632">
        <w:instrText xml:space="preserve"> REF _Ref164029567 \h </w:instrText>
      </w:r>
      <w:r w:rsidR="001B7C8A" w:rsidRPr="00731632">
        <w:fldChar w:fldCharType="separate"/>
      </w:r>
      <w:r w:rsidR="00D770BB" w:rsidRPr="00731632">
        <w:t xml:space="preserve">Table </w:t>
      </w:r>
      <w:r w:rsidR="00D770BB">
        <w:rPr>
          <w:noProof/>
        </w:rPr>
        <w:t>7</w:t>
      </w:r>
      <w:r w:rsidR="001B7C8A" w:rsidRPr="00731632">
        <w:fldChar w:fldCharType="end"/>
      </w:r>
      <w:r w:rsidR="001B7C8A" w:rsidRPr="00731632">
        <w:t xml:space="preserve">). Kaplan-Meier </w:t>
      </w:r>
      <w:r w:rsidR="003850CF" w:rsidRPr="00731632">
        <w:t xml:space="preserve">(KM) </w:t>
      </w:r>
      <w:r w:rsidR="001B7C8A" w:rsidRPr="00731632">
        <w:t xml:space="preserve">curves from a time-to-event analysis of the proportion of participants free from MA RSV LRTI are shown in </w:t>
      </w:r>
      <w:r w:rsidR="0038240B" w:rsidRPr="00731632">
        <w:fldChar w:fldCharType="begin"/>
      </w:r>
      <w:r w:rsidR="0038240B" w:rsidRPr="00731632">
        <w:instrText xml:space="preserve"> REF _Ref164031367 \h </w:instrText>
      </w:r>
      <w:r w:rsidR="0038240B" w:rsidRPr="00731632">
        <w:fldChar w:fldCharType="separate"/>
      </w:r>
      <w:r w:rsidR="00D770BB" w:rsidRPr="00731632">
        <w:t xml:space="preserve">Figure </w:t>
      </w:r>
      <w:r w:rsidR="00D770BB">
        <w:rPr>
          <w:noProof/>
        </w:rPr>
        <w:t>1</w:t>
      </w:r>
      <w:r w:rsidR="0038240B" w:rsidRPr="00731632">
        <w:fldChar w:fldCharType="end"/>
      </w:r>
      <w:r w:rsidR="0038240B" w:rsidRPr="00731632">
        <w:t xml:space="preserve"> </w:t>
      </w:r>
      <w:r w:rsidR="001B7C8A" w:rsidRPr="00731632">
        <w:t>(HR = 0.23 [95% CI, 0.12</w:t>
      </w:r>
      <w:r w:rsidR="00D104AA" w:rsidRPr="00731632">
        <w:t xml:space="preserve">, </w:t>
      </w:r>
      <w:r w:rsidR="001B7C8A" w:rsidRPr="00731632">
        <w:t xml:space="preserve">0.47]). </w:t>
      </w:r>
    </w:p>
    <w:p w14:paraId="2B4F3A07" w14:textId="58AADEC4" w:rsidR="001B7C8A" w:rsidRPr="00731632" w:rsidRDefault="001B7C8A" w:rsidP="001B7C8A">
      <w:pPr>
        <w:pStyle w:val="3-BodyText"/>
      </w:pPr>
      <w:r w:rsidRPr="00731632">
        <w:t>Statistically significant relative reductions in the incidence of</w:t>
      </w:r>
      <w:r w:rsidR="00997EC6" w:rsidRPr="00731632">
        <w:t xml:space="preserve"> </w:t>
      </w:r>
      <w:r w:rsidRPr="00731632">
        <w:t>MA</w:t>
      </w:r>
      <w:r w:rsidR="00997EC6" w:rsidRPr="00731632">
        <w:t xml:space="preserve"> RSV </w:t>
      </w:r>
      <w:r w:rsidRPr="00731632">
        <w:t>LRTI were observed with nirsevimab vs. placebo across all prespecified subgroups</w:t>
      </w:r>
      <w:r w:rsidR="00122D87" w:rsidRPr="00731632">
        <w:t xml:space="preserve"> (data not shown)</w:t>
      </w:r>
      <w:r w:rsidRPr="00731632">
        <w:t xml:space="preserve">, </w:t>
      </w:r>
      <w:r w:rsidR="00997EC6" w:rsidRPr="00731632">
        <w:t>except for</w:t>
      </w:r>
      <w:r w:rsidRPr="00731632">
        <w:t xml:space="preserve"> infants who weighed &lt;5 kg on Day 1 and infants with a gestational age of ≥35 weeks to &lt;37 weeks</w:t>
      </w:r>
      <w:r w:rsidR="0038240B" w:rsidRPr="00731632">
        <w:t>.</w:t>
      </w:r>
      <w:r w:rsidR="00997EC6" w:rsidRPr="00731632">
        <w:t xml:space="preserve"> </w:t>
      </w:r>
      <w:r w:rsidR="00334F2D" w:rsidRPr="00731632">
        <w:rPr>
          <w:iCs/>
        </w:rPr>
        <w:t xml:space="preserve">However, </w:t>
      </w:r>
      <w:r w:rsidR="00D2662A" w:rsidRPr="00731632">
        <w:rPr>
          <w:iCs/>
        </w:rPr>
        <w:t xml:space="preserve">the evaluation noted that </w:t>
      </w:r>
      <w:r w:rsidR="00334F2D" w:rsidRPr="00731632">
        <w:rPr>
          <w:iCs/>
        </w:rPr>
        <w:t>b</w:t>
      </w:r>
      <w:r w:rsidR="003850CF" w:rsidRPr="00731632">
        <w:rPr>
          <w:iCs/>
        </w:rPr>
        <w:t>oth</w:t>
      </w:r>
      <w:r w:rsidR="00997EC6" w:rsidRPr="00731632">
        <w:rPr>
          <w:iCs/>
        </w:rPr>
        <w:t xml:space="preserve"> subgroups had a</w:t>
      </w:r>
      <w:r w:rsidR="003850CF" w:rsidRPr="00731632">
        <w:rPr>
          <w:iCs/>
        </w:rPr>
        <w:t xml:space="preserve"> </w:t>
      </w:r>
      <w:r w:rsidR="00997EC6" w:rsidRPr="00731632">
        <w:rPr>
          <w:iCs/>
        </w:rPr>
        <w:t xml:space="preserve">low </w:t>
      </w:r>
      <w:r w:rsidR="003850CF" w:rsidRPr="00731632">
        <w:rPr>
          <w:iCs/>
        </w:rPr>
        <w:t>number</w:t>
      </w:r>
      <w:r w:rsidR="00997EC6" w:rsidRPr="00731632">
        <w:rPr>
          <w:iCs/>
        </w:rPr>
        <w:t xml:space="preserve"> of </w:t>
      </w:r>
      <w:r w:rsidR="00334F2D" w:rsidRPr="00731632">
        <w:rPr>
          <w:iCs/>
        </w:rPr>
        <w:t xml:space="preserve">reported </w:t>
      </w:r>
      <w:r w:rsidR="00997EC6" w:rsidRPr="00731632">
        <w:rPr>
          <w:iCs/>
        </w:rPr>
        <w:t>MA RSV LRTI</w:t>
      </w:r>
      <w:r w:rsidR="003850CF" w:rsidRPr="00731632">
        <w:rPr>
          <w:iCs/>
        </w:rPr>
        <w:t xml:space="preserve"> cases</w:t>
      </w:r>
      <w:r w:rsidR="00997EC6" w:rsidRPr="00731632">
        <w:rPr>
          <w:iCs/>
        </w:rPr>
        <w:t xml:space="preserve"> (14 in the &lt;5</w:t>
      </w:r>
      <w:r w:rsidR="009C499D" w:rsidRPr="00731632">
        <w:rPr>
          <w:iCs/>
        </w:rPr>
        <w:t xml:space="preserve"> </w:t>
      </w:r>
      <w:r w:rsidR="00997EC6" w:rsidRPr="00731632">
        <w:rPr>
          <w:iCs/>
        </w:rPr>
        <w:t>kg subgroup and 7 in the gestational age of ≥35 weeks to &lt;37 weeks subgroup).</w:t>
      </w:r>
    </w:p>
    <w:p w14:paraId="64BD4EBB" w14:textId="59E725BA" w:rsidR="00B34FE2" w:rsidRPr="00731632" w:rsidRDefault="001B7C8A" w:rsidP="001B7C8A">
      <w:pPr>
        <w:pStyle w:val="3-BodyText"/>
      </w:pPr>
      <w:r w:rsidRPr="00731632">
        <w:t>Hospitalisation for RSV-associated LRTI occurred in 6 infants (0.6%) in the nirsevimab group and in 8 infants (1.6%) in the placebo group (</w:t>
      </w:r>
      <w:r w:rsidR="00F97BDE" w:rsidRPr="00731632">
        <w:t>RRR</w:t>
      </w:r>
      <w:r w:rsidRPr="00731632">
        <w:t xml:space="preserve"> 62.1%; 95% CI, −8.6</w:t>
      </w:r>
      <w:r w:rsidR="00CF4825" w:rsidRPr="00731632">
        <w:t>%, 86.8</w:t>
      </w:r>
      <w:r w:rsidR="00D104AA" w:rsidRPr="00731632">
        <w:t>%</w:t>
      </w:r>
      <w:r w:rsidRPr="00731632">
        <w:t>; P = 0.07)</w:t>
      </w:r>
      <w:r w:rsidR="00122D87" w:rsidRPr="00731632">
        <w:t xml:space="preserve"> (</w:t>
      </w:r>
      <w:r w:rsidR="00122D87" w:rsidRPr="00731632">
        <w:fldChar w:fldCharType="begin"/>
      </w:r>
      <w:r w:rsidR="00122D87" w:rsidRPr="00731632">
        <w:instrText xml:space="preserve"> REF _Ref164029567 \h </w:instrText>
      </w:r>
      <w:r w:rsidR="00122D87" w:rsidRPr="00731632">
        <w:fldChar w:fldCharType="separate"/>
      </w:r>
      <w:r w:rsidR="00D770BB" w:rsidRPr="00731632">
        <w:t xml:space="preserve">Table </w:t>
      </w:r>
      <w:r w:rsidR="00D770BB">
        <w:rPr>
          <w:noProof/>
        </w:rPr>
        <w:t>7</w:t>
      </w:r>
      <w:r w:rsidR="00122D87" w:rsidRPr="00731632">
        <w:fldChar w:fldCharType="end"/>
      </w:r>
      <w:r w:rsidR="00122D87" w:rsidRPr="00731632">
        <w:t>)</w:t>
      </w:r>
      <w:r w:rsidRPr="00731632">
        <w:t>.</w:t>
      </w:r>
    </w:p>
    <w:p w14:paraId="4B1C8F32" w14:textId="5A18056F" w:rsidR="0038240B" w:rsidRPr="00731632" w:rsidRDefault="00D6076E" w:rsidP="001A3A0C">
      <w:pPr>
        <w:pStyle w:val="TableFigureHeading"/>
        <w:keepNext w:val="0"/>
      </w:pPr>
      <w:bookmarkStart w:id="34" w:name="_Ref164029567"/>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7</w:t>
      </w:r>
      <w:r w:rsidR="00BD1FC6" w:rsidRPr="00731632">
        <w:fldChar w:fldCharType="end"/>
      </w:r>
      <w:bookmarkEnd w:id="34"/>
      <w:r w:rsidRPr="00731632">
        <w:t>:</w:t>
      </w:r>
      <w:r w:rsidR="001B7C8A" w:rsidRPr="00731632">
        <w:rPr>
          <w:rStyle w:val="CommentReference"/>
          <w:b/>
          <w:szCs w:val="24"/>
        </w:rPr>
        <w:t xml:space="preserve"> MA RSV LRTI and </w:t>
      </w:r>
      <w:r w:rsidR="0038240B" w:rsidRPr="00731632">
        <w:rPr>
          <w:rStyle w:val="CommentReference"/>
          <w:b/>
          <w:szCs w:val="24"/>
        </w:rPr>
        <w:t>hospitalisations through 150 days post dose in the MELODY trial</w:t>
      </w:r>
    </w:p>
    <w:tbl>
      <w:tblPr>
        <w:tblStyle w:val="TableGrid"/>
        <w:tblW w:w="5000" w:type="pct"/>
        <w:tblInd w:w="-5" w:type="dxa"/>
        <w:tblLook w:val="04A0" w:firstRow="1" w:lastRow="0" w:firstColumn="1" w:lastColumn="0" w:noHBand="0" w:noVBand="1"/>
        <w:tblCaption w:val="Table 7: MA RSV LRTI and hospitalisations through 150 days post dose in the MELODY trial"/>
      </w:tblPr>
      <w:tblGrid>
        <w:gridCol w:w="3170"/>
        <w:gridCol w:w="1238"/>
        <w:gridCol w:w="1018"/>
        <w:gridCol w:w="2681"/>
        <w:gridCol w:w="910"/>
      </w:tblGrid>
      <w:tr w:rsidR="00F66715" w:rsidRPr="00731632" w14:paraId="67BF91AE" w14:textId="77777777" w:rsidTr="00F66715">
        <w:tc>
          <w:tcPr>
            <w:tcW w:w="0" w:type="auto"/>
            <w:shd w:val="clear" w:color="auto" w:fill="auto"/>
            <w:vAlign w:val="center"/>
          </w:tcPr>
          <w:p w14:paraId="2920951B" w14:textId="77777777" w:rsidR="00F66715" w:rsidRPr="00731632" w:rsidRDefault="00F66715" w:rsidP="001A3A0C">
            <w:pPr>
              <w:pStyle w:val="BodyText"/>
              <w:rPr>
                <w:rFonts w:ascii="Arial Narrow" w:hAnsi="Arial Narrow" w:cstheme="minorHAnsi"/>
                <w:b/>
                <w:bCs/>
                <w:sz w:val="20"/>
                <w:szCs w:val="20"/>
              </w:rPr>
            </w:pPr>
            <w:r w:rsidRPr="00731632">
              <w:rPr>
                <w:rFonts w:ascii="Arial Narrow" w:hAnsi="Arial Narrow" w:cstheme="minorHAnsi"/>
                <w:b/>
                <w:bCs/>
                <w:sz w:val="20"/>
                <w:szCs w:val="20"/>
              </w:rPr>
              <w:t>End Point and Analysis</w:t>
            </w:r>
          </w:p>
        </w:tc>
        <w:tc>
          <w:tcPr>
            <w:tcW w:w="0" w:type="auto"/>
            <w:shd w:val="clear" w:color="auto" w:fill="auto"/>
            <w:vAlign w:val="center"/>
          </w:tcPr>
          <w:p w14:paraId="6204F915" w14:textId="77777777"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Nirsevimab</w:t>
            </w:r>
          </w:p>
          <w:p w14:paraId="73D49762" w14:textId="77777777"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 = 994)</w:t>
            </w:r>
          </w:p>
          <w:p w14:paraId="3DC07500" w14:textId="622F788A"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w:t>
            </w:r>
            <w:r w:rsidR="00ED7BEE" w:rsidRPr="00731632">
              <w:rPr>
                <w:rFonts w:ascii="Arial Narrow" w:hAnsi="Arial Narrow" w:cstheme="minorHAnsi"/>
                <w:b/>
                <w:bCs/>
                <w:sz w:val="20"/>
                <w:szCs w:val="20"/>
              </w:rPr>
              <w:t xml:space="preserve"> </w:t>
            </w:r>
            <w:r w:rsidRPr="00731632">
              <w:rPr>
                <w:rFonts w:ascii="Arial Narrow" w:hAnsi="Arial Narrow" w:cstheme="minorHAnsi"/>
                <w:b/>
                <w:bCs/>
                <w:sz w:val="20"/>
                <w:szCs w:val="20"/>
              </w:rPr>
              <w:t>(%)</w:t>
            </w:r>
          </w:p>
        </w:tc>
        <w:tc>
          <w:tcPr>
            <w:tcW w:w="0" w:type="auto"/>
            <w:shd w:val="clear" w:color="auto" w:fill="auto"/>
            <w:vAlign w:val="center"/>
          </w:tcPr>
          <w:p w14:paraId="1B555825" w14:textId="77777777"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Placebo</w:t>
            </w:r>
          </w:p>
          <w:p w14:paraId="3423406F" w14:textId="77777777"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 = 496)</w:t>
            </w:r>
          </w:p>
          <w:p w14:paraId="476BB69E" w14:textId="4FC8E637"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w:t>
            </w:r>
            <w:r w:rsidR="00ED7BEE" w:rsidRPr="00731632">
              <w:rPr>
                <w:rFonts w:ascii="Arial Narrow" w:hAnsi="Arial Narrow" w:cstheme="minorHAnsi"/>
                <w:b/>
                <w:bCs/>
                <w:sz w:val="20"/>
                <w:szCs w:val="20"/>
              </w:rPr>
              <w:t xml:space="preserve"> </w:t>
            </w:r>
            <w:r w:rsidRPr="00731632">
              <w:rPr>
                <w:rFonts w:ascii="Arial Narrow" w:hAnsi="Arial Narrow" w:cstheme="minorHAnsi"/>
                <w:b/>
                <w:bCs/>
                <w:sz w:val="20"/>
                <w:szCs w:val="20"/>
              </w:rPr>
              <w:t>(%)</w:t>
            </w:r>
          </w:p>
        </w:tc>
        <w:tc>
          <w:tcPr>
            <w:tcW w:w="0" w:type="auto"/>
            <w:shd w:val="clear" w:color="auto" w:fill="auto"/>
            <w:vAlign w:val="center"/>
          </w:tcPr>
          <w:p w14:paraId="0A49B281" w14:textId="158BF59F" w:rsidR="00F66715" w:rsidRPr="00731632" w:rsidRDefault="0001608D"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Relative Risk Reduction</w:t>
            </w:r>
            <w:r w:rsidR="00F66715" w:rsidRPr="00731632">
              <w:rPr>
                <w:rFonts w:ascii="Arial Narrow" w:hAnsi="Arial Narrow" w:cstheme="minorHAnsi"/>
                <w:b/>
                <w:bCs/>
                <w:sz w:val="20"/>
                <w:szCs w:val="20"/>
              </w:rPr>
              <w:t xml:space="preserve"> (%)</w:t>
            </w:r>
          </w:p>
          <w:p w14:paraId="4851AFF1" w14:textId="42A3CDBF" w:rsidR="00F66715" w:rsidRPr="00731632" w:rsidRDefault="00F66715" w:rsidP="001A3A0C">
            <w:pPr>
              <w:pStyle w:val="BodyText"/>
              <w:jc w:val="center"/>
              <w:rPr>
                <w:rFonts w:ascii="Arial Narrow" w:hAnsi="Arial Narrow" w:cstheme="minorHAnsi"/>
                <w:b/>
                <w:bCs/>
                <w:sz w:val="20"/>
                <w:szCs w:val="20"/>
                <w:vertAlign w:val="superscript"/>
              </w:rPr>
            </w:pPr>
            <w:r w:rsidRPr="00731632">
              <w:rPr>
                <w:rFonts w:ascii="Arial Narrow" w:hAnsi="Arial Narrow" w:cstheme="minorHAnsi"/>
                <w:b/>
                <w:bCs/>
                <w:sz w:val="20"/>
                <w:szCs w:val="20"/>
              </w:rPr>
              <w:t>(95% CI)</w:t>
            </w:r>
            <w:r w:rsidR="00334F2D" w:rsidRPr="00731632">
              <w:rPr>
                <w:rFonts w:ascii="Arial Narrow" w:hAnsi="Arial Narrow" w:cstheme="minorHAnsi"/>
                <w:b/>
                <w:bCs/>
                <w:sz w:val="20"/>
                <w:szCs w:val="20"/>
                <w:vertAlign w:val="superscript"/>
              </w:rPr>
              <w:t>a</w:t>
            </w:r>
          </w:p>
        </w:tc>
        <w:tc>
          <w:tcPr>
            <w:tcW w:w="0" w:type="auto"/>
            <w:shd w:val="clear" w:color="auto" w:fill="auto"/>
            <w:vAlign w:val="center"/>
          </w:tcPr>
          <w:p w14:paraId="00D7896B" w14:textId="77777777" w:rsidR="00F66715" w:rsidRPr="00731632" w:rsidRDefault="00F66715" w:rsidP="001A3A0C">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P Value</w:t>
            </w:r>
          </w:p>
        </w:tc>
      </w:tr>
      <w:tr w:rsidR="00F66715" w:rsidRPr="00731632" w14:paraId="540D0861" w14:textId="77777777" w:rsidTr="00F66715">
        <w:tc>
          <w:tcPr>
            <w:tcW w:w="0" w:type="auto"/>
            <w:gridSpan w:val="5"/>
            <w:vAlign w:val="center"/>
          </w:tcPr>
          <w:p w14:paraId="3B44A8D0" w14:textId="5E710508" w:rsidR="00F66715" w:rsidRPr="00731632" w:rsidRDefault="00ED7BEE" w:rsidP="001A3A0C">
            <w:pPr>
              <w:pStyle w:val="BodyText"/>
              <w:rPr>
                <w:rFonts w:ascii="Arial Narrow" w:hAnsi="Arial Narrow" w:cstheme="minorHAnsi"/>
                <w:b/>
                <w:bCs/>
                <w:sz w:val="20"/>
                <w:szCs w:val="20"/>
              </w:rPr>
            </w:pPr>
            <w:r w:rsidRPr="00731632">
              <w:rPr>
                <w:rStyle w:val="CommentReference"/>
                <w:szCs w:val="24"/>
              </w:rPr>
              <w:t>MA RSV LRTI</w:t>
            </w:r>
          </w:p>
        </w:tc>
      </w:tr>
      <w:tr w:rsidR="00F66715" w:rsidRPr="00731632" w14:paraId="538ACE02" w14:textId="77777777" w:rsidTr="00F66715">
        <w:tc>
          <w:tcPr>
            <w:tcW w:w="0" w:type="auto"/>
            <w:vAlign w:val="center"/>
          </w:tcPr>
          <w:p w14:paraId="130762C2" w14:textId="77777777" w:rsidR="00F66715" w:rsidRPr="00731632" w:rsidRDefault="00F66715" w:rsidP="001A3A0C">
            <w:pPr>
              <w:pStyle w:val="BodyText"/>
              <w:rPr>
                <w:rFonts w:ascii="Arial Narrow" w:hAnsi="Arial Narrow" w:cstheme="minorHAnsi"/>
                <w:sz w:val="20"/>
                <w:szCs w:val="20"/>
              </w:rPr>
            </w:pPr>
            <w:r w:rsidRPr="00731632">
              <w:rPr>
                <w:rFonts w:ascii="Arial Narrow" w:hAnsi="Arial Narrow" w:cstheme="minorHAnsi"/>
                <w:sz w:val="20"/>
                <w:szCs w:val="20"/>
              </w:rPr>
              <w:t>Observed events</w:t>
            </w:r>
          </w:p>
        </w:tc>
        <w:tc>
          <w:tcPr>
            <w:tcW w:w="0" w:type="auto"/>
            <w:vAlign w:val="center"/>
          </w:tcPr>
          <w:p w14:paraId="1D646713"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12 (1.2)</w:t>
            </w:r>
          </w:p>
        </w:tc>
        <w:tc>
          <w:tcPr>
            <w:tcW w:w="0" w:type="auto"/>
            <w:vAlign w:val="center"/>
          </w:tcPr>
          <w:p w14:paraId="2FD2F907"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25 (5.0)</w:t>
            </w:r>
          </w:p>
        </w:tc>
        <w:tc>
          <w:tcPr>
            <w:tcW w:w="0" w:type="auto"/>
            <w:vMerge w:val="restart"/>
            <w:vAlign w:val="center"/>
          </w:tcPr>
          <w:p w14:paraId="4BA85311"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74.5</w:t>
            </w:r>
          </w:p>
          <w:p w14:paraId="13877EA2" w14:textId="722D974F"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(49.6</w:t>
            </w:r>
            <w:r w:rsidR="00D104AA" w:rsidRPr="00731632">
              <w:rPr>
                <w:rFonts w:ascii="Arial Narrow" w:hAnsi="Arial Narrow" w:cstheme="minorHAnsi"/>
                <w:sz w:val="20"/>
                <w:szCs w:val="20"/>
              </w:rPr>
              <w:t>,</w:t>
            </w:r>
            <w:r w:rsidRPr="00731632">
              <w:rPr>
                <w:rFonts w:ascii="Arial Narrow" w:hAnsi="Arial Narrow" w:cstheme="minorHAnsi"/>
                <w:sz w:val="20"/>
                <w:szCs w:val="20"/>
              </w:rPr>
              <w:t xml:space="preserve"> 87.1)</w:t>
            </w:r>
          </w:p>
        </w:tc>
        <w:tc>
          <w:tcPr>
            <w:tcW w:w="0" w:type="auto"/>
            <w:vMerge w:val="restart"/>
            <w:vAlign w:val="center"/>
          </w:tcPr>
          <w:p w14:paraId="5011BCF4"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&lt;0.001</w:t>
            </w:r>
          </w:p>
        </w:tc>
      </w:tr>
      <w:tr w:rsidR="00F66715" w:rsidRPr="00731632" w14:paraId="51FD7AC2" w14:textId="77777777" w:rsidTr="00F66715">
        <w:tc>
          <w:tcPr>
            <w:tcW w:w="0" w:type="auto"/>
            <w:vAlign w:val="center"/>
          </w:tcPr>
          <w:p w14:paraId="0F0DF5C0" w14:textId="7ED15BAC" w:rsidR="00F66715" w:rsidRPr="00731632" w:rsidRDefault="00F66715" w:rsidP="001A3A0C">
            <w:pPr>
              <w:pStyle w:val="BodyText"/>
              <w:rPr>
                <w:rFonts w:ascii="Arial Narrow" w:hAnsi="Arial Narrow" w:cstheme="minorHAnsi"/>
                <w:sz w:val="20"/>
                <w:szCs w:val="20"/>
                <w:vertAlign w:val="superscript"/>
              </w:rPr>
            </w:pPr>
            <w:r w:rsidRPr="00731632">
              <w:rPr>
                <w:rFonts w:ascii="Arial Narrow" w:hAnsi="Arial Narrow" w:cstheme="minorHAnsi"/>
                <w:sz w:val="20"/>
                <w:szCs w:val="20"/>
              </w:rPr>
              <w:t>Participants with imputation of data</w:t>
            </w:r>
            <w:r w:rsidR="00334F2D" w:rsidRPr="00731632">
              <w:rPr>
                <w:rFonts w:ascii="Arial Narrow" w:hAnsi="Arial Narrow" w:cstheme="minorHAnsi"/>
                <w:sz w:val="20"/>
                <w:szCs w:val="20"/>
                <w:vertAlign w:val="superscript"/>
              </w:rPr>
              <w:t>b</w:t>
            </w:r>
          </w:p>
        </w:tc>
        <w:tc>
          <w:tcPr>
            <w:tcW w:w="0" w:type="auto"/>
            <w:vAlign w:val="center"/>
          </w:tcPr>
          <w:p w14:paraId="2599841E"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15 (1.5)</w:t>
            </w:r>
          </w:p>
        </w:tc>
        <w:tc>
          <w:tcPr>
            <w:tcW w:w="0" w:type="auto"/>
            <w:vAlign w:val="center"/>
          </w:tcPr>
          <w:p w14:paraId="0D6E43AD"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6 (1.2)</w:t>
            </w:r>
          </w:p>
        </w:tc>
        <w:tc>
          <w:tcPr>
            <w:tcW w:w="0" w:type="auto"/>
            <w:vMerge/>
            <w:vAlign w:val="center"/>
          </w:tcPr>
          <w:p w14:paraId="5A26EFFB" w14:textId="77777777" w:rsidR="00F66715" w:rsidRPr="00731632" w:rsidRDefault="00F66715" w:rsidP="001A3A0C">
            <w:pPr>
              <w:pStyle w:val="BodyText"/>
              <w:jc w:val="center"/>
              <w:rPr>
                <w:rFonts w:ascii="Arial Narrow" w:hAnsi="Arial Narrow" w:cstheme="minorHAnsi"/>
                <w:sz w:val="20"/>
                <w:szCs w:val="20"/>
              </w:rPr>
            </w:pPr>
          </w:p>
        </w:tc>
        <w:tc>
          <w:tcPr>
            <w:tcW w:w="0" w:type="auto"/>
            <w:vMerge/>
            <w:vAlign w:val="center"/>
          </w:tcPr>
          <w:p w14:paraId="22D14980" w14:textId="77777777" w:rsidR="00F66715" w:rsidRPr="00731632" w:rsidRDefault="00F66715" w:rsidP="001A3A0C">
            <w:pPr>
              <w:pStyle w:val="BodyText"/>
              <w:jc w:val="center"/>
              <w:rPr>
                <w:rFonts w:ascii="Arial Narrow" w:hAnsi="Arial Narrow" w:cstheme="minorHAnsi"/>
                <w:sz w:val="20"/>
                <w:szCs w:val="20"/>
              </w:rPr>
            </w:pPr>
          </w:p>
        </w:tc>
      </w:tr>
      <w:tr w:rsidR="00F66715" w:rsidRPr="00731632" w14:paraId="39F42C4C" w14:textId="77777777" w:rsidTr="00F66715">
        <w:tc>
          <w:tcPr>
            <w:tcW w:w="0" w:type="auto"/>
            <w:gridSpan w:val="5"/>
            <w:vAlign w:val="center"/>
          </w:tcPr>
          <w:p w14:paraId="045B345B" w14:textId="30DADE7F" w:rsidR="00F66715" w:rsidRPr="00731632" w:rsidRDefault="00F66715" w:rsidP="001A3A0C">
            <w:pPr>
              <w:pStyle w:val="BodyText"/>
              <w:rPr>
                <w:rFonts w:ascii="Arial Narrow" w:hAnsi="Arial Narrow" w:cstheme="minorHAnsi"/>
                <w:b/>
                <w:bCs/>
                <w:sz w:val="20"/>
                <w:szCs w:val="20"/>
              </w:rPr>
            </w:pPr>
            <w:r w:rsidRPr="00731632">
              <w:rPr>
                <w:rFonts w:ascii="Arial Narrow" w:hAnsi="Arial Narrow" w:cstheme="minorHAnsi"/>
                <w:b/>
                <w:bCs/>
                <w:sz w:val="20"/>
                <w:szCs w:val="20"/>
              </w:rPr>
              <w:t>Hospitalisation for</w:t>
            </w:r>
            <w:r w:rsidR="00ED7BEE" w:rsidRPr="00731632">
              <w:rPr>
                <w:rFonts w:ascii="Arial Narrow" w:hAnsi="Arial Narrow" w:cstheme="minorHAnsi"/>
                <w:b/>
                <w:bCs/>
                <w:sz w:val="20"/>
                <w:szCs w:val="20"/>
              </w:rPr>
              <w:t xml:space="preserve"> </w:t>
            </w:r>
            <w:r w:rsidR="00ED7BEE" w:rsidRPr="00731632">
              <w:rPr>
                <w:rStyle w:val="CommentReference"/>
                <w:szCs w:val="24"/>
              </w:rPr>
              <w:t>RSV LRTI</w:t>
            </w:r>
          </w:p>
        </w:tc>
      </w:tr>
      <w:tr w:rsidR="00F66715" w:rsidRPr="00731632" w14:paraId="672D5425" w14:textId="77777777" w:rsidTr="00F66715">
        <w:tc>
          <w:tcPr>
            <w:tcW w:w="0" w:type="auto"/>
            <w:vAlign w:val="center"/>
          </w:tcPr>
          <w:p w14:paraId="67544403" w14:textId="77777777" w:rsidR="00F66715" w:rsidRPr="00731632" w:rsidRDefault="00F66715" w:rsidP="001A3A0C">
            <w:pPr>
              <w:pStyle w:val="BodyText"/>
              <w:rPr>
                <w:rFonts w:ascii="Arial Narrow" w:hAnsi="Arial Narrow" w:cstheme="minorHAnsi"/>
                <w:sz w:val="20"/>
                <w:szCs w:val="20"/>
              </w:rPr>
            </w:pPr>
            <w:r w:rsidRPr="00731632">
              <w:rPr>
                <w:rFonts w:ascii="Arial Narrow" w:hAnsi="Arial Narrow" w:cstheme="minorHAnsi"/>
                <w:sz w:val="20"/>
                <w:szCs w:val="20"/>
              </w:rPr>
              <w:t>Observed events</w:t>
            </w:r>
          </w:p>
        </w:tc>
        <w:tc>
          <w:tcPr>
            <w:tcW w:w="0" w:type="auto"/>
            <w:vAlign w:val="center"/>
          </w:tcPr>
          <w:p w14:paraId="26C21037"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6 (0.6)</w:t>
            </w:r>
          </w:p>
        </w:tc>
        <w:tc>
          <w:tcPr>
            <w:tcW w:w="0" w:type="auto"/>
            <w:vAlign w:val="center"/>
          </w:tcPr>
          <w:p w14:paraId="7DF4E1BF"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8 (1.6)</w:t>
            </w:r>
          </w:p>
        </w:tc>
        <w:tc>
          <w:tcPr>
            <w:tcW w:w="0" w:type="auto"/>
            <w:vMerge w:val="restart"/>
            <w:vAlign w:val="center"/>
          </w:tcPr>
          <w:p w14:paraId="36855F70"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 xml:space="preserve">62.1 </w:t>
            </w:r>
          </w:p>
          <w:p w14:paraId="35AB19B0" w14:textId="2914E80E"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(−8.6</w:t>
            </w:r>
            <w:r w:rsidR="00D104AA" w:rsidRPr="00731632">
              <w:rPr>
                <w:rFonts w:ascii="Arial Narrow" w:hAnsi="Arial Narrow" w:cstheme="minorHAnsi"/>
                <w:sz w:val="20"/>
                <w:szCs w:val="20"/>
              </w:rPr>
              <w:t>,</w:t>
            </w:r>
            <w:r w:rsidRPr="00731632">
              <w:rPr>
                <w:rFonts w:ascii="Arial Narrow" w:hAnsi="Arial Narrow" w:cstheme="minorHAnsi"/>
                <w:sz w:val="20"/>
                <w:szCs w:val="20"/>
              </w:rPr>
              <w:t xml:space="preserve"> 86.8)</w:t>
            </w:r>
          </w:p>
        </w:tc>
        <w:tc>
          <w:tcPr>
            <w:tcW w:w="0" w:type="auto"/>
            <w:vMerge w:val="restart"/>
            <w:vAlign w:val="center"/>
          </w:tcPr>
          <w:p w14:paraId="00055227"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0.07</w:t>
            </w:r>
          </w:p>
        </w:tc>
      </w:tr>
      <w:tr w:rsidR="00F66715" w:rsidRPr="00731632" w14:paraId="3C2C1589" w14:textId="77777777" w:rsidTr="00F66715">
        <w:tc>
          <w:tcPr>
            <w:tcW w:w="0" w:type="auto"/>
            <w:vAlign w:val="center"/>
          </w:tcPr>
          <w:p w14:paraId="5101EF33" w14:textId="3DDAD92B" w:rsidR="00F66715" w:rsidRPr="00731632" w:rsidRDefault="00F66715" w:rsidP="001A3A0C">
            <w:pPr>
              <w:pStyle w:val="BodyText"/>
              <w:rPr>
                <w:rFonts w:ascii="Arial Narrow" w:hAnsi="Arial Narrow" w:cstheme="minorHAnsi"/>
                <w:sz w:val="20"/>
                <w:szCs w:val="20"/>
                <w:vertAlign w:val="superscript"/>
              </w:rPr>
            </w:pPr>
            <w:r w:rsidRPr="00731632">
              <w:rPr>
                <w:rFonts w:ascii="Arial Narrow" w:hAnsi="Arial Narrow" w:cstheme="minorHAnsi"/>
                <w:sz w:val="20"/>
                <w:szCs w:val="20"/>
              </w:rPr>
              <w:t>Participants with imputation of data</w:t>
            </w:r>
            <w:r w:rsidR="00334F2D" w:rsidRPr="00731632">
              <w:rPr>
                <w:rFonts w:ascii="Arial Narrow" w:hAnsi="Arial Narrow" w:cstheme="minorHAnsi"/>
                <w:sz w:val="20"/>
                <w:szCs w:val="20"/>
                <w:vertAlign w:val="superscript"/>
              </w:rPr>
              <w:t>b</w:t>
            </w:r>
          </w:p>
        </w:tc>
        <w:tc>
          <w:tcPr>
            <w:tcW w:w="0" w:type="auto"/>
            <w:vAlign w:val="center"/>
          </w:tcPr>
          <w:p w14:paraId="52426479"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15 (1.5)</w:t>
            </w:r>
          </w:p>
        </w:tc>
        <w:tc>
          <w:tcPr>
            <w:tcW w:w="0" w:type="auto"/>
            <w:vAlign w:val="center"/>
          </w:tcPr>
          <w:p w14:paraId="581553D7" w14:textId="77777777" w:rsidR="00F66715" w:rsidRPr="00731632" w:rsidRDefault="00F66715" w:rsidP="001A3A0C">
            <w:pPr>
              <w:pStyle w:val="BodyText"/>
              <w:jc w:val="center"/>
              <w:rPr>
                <w:rFonts w:ascii="Arial Narrow" w:hAnsi="Arial Narrow" w:cstheme="minorHAnsi"/>
                <w:sz w:val="20"/>
                <w:szCs w:val="20"/>
              </w:rPr>
            </w:pPr>
            <w:r w:rsidRPr="00731632">
              <w:rPr>
                <w:rFonts w:ascii="Arial Narrow" w:hAnsi="Arial Narrow" w:cstheme="minorHAnsi"/>
                <w:sz w:val="20"/>
                <w:szCs w:val="20"/>
              </w:rPr>
              <w:t>6 (1.2)</w:t>
            </w:r>
          </w:p>
        </w:tc>
        <w:tc>
          <w:tcPr>
            <w:tcW w:w="0" w:type="auto"/>
            <w:vMerge/>
            <w:vAlign w:val="center"/>
          </w:tcPr>
          <w:p w14:paraId="453E4FCC" w14:textId="77777777" w:rsidR="00F66715" w:rsidRPr="00731632" w:rsidRDefault="00F66715" w:rsidP="001A3A0C">
            <w:pPr>
              <w:pStyle w:val="BodyText"/>
              <w:jc w:val="center"/>
              <w:rPr>
                <w:rFonts w:ascii="Arial Narrow" w:hAnsi="Arial Narrow" w:cstheme="minorHAnsi"/>
                <w:sz w:val="20"/>
                <w:szCs w:val="20"/>
              </w:rPr>
            </w:pPr>
          </w:p>
        </w:tc>
        <w:tc>
          <w:tcPr>
            <w:tcW w:w="0" w:type="auto"/>
            <w:vMerge/>
            <w:vAlign w:val="center"/>
          </w:tcPr>
          <w:p w14:paraId="02882625" w14:textId="77777777" w:rsidR="00F66715" w:rsidRPr="00731632" w:rsidRDefault="00F66715" w:rsidP="001A3A0C">
            <w:pPr>
              <w:pStyle w:val="BodyText"/>
              <w:jc w:val="center"/>
              <w:rPr>
                <w:rFonts w:ascii="Arial Narrow" w:hAnsi="Arial Narrow" w:cstheme="minorHAnsi"/>
                <w:sz w:val="20"/>
                <w:szCs w:val="20"/>
              </w:rPr>
            </w:pPr>
          </w:p>
        </w:tc>
      </w:tr>
    </w:tbl>
    <w:p w14:paraId="74CA74DB" w14:textId="1D82B953" w:rsidR="00760C4E" w:rsidRPr="00731632" w:rsidRDefault="00760C4E" w:rsidP="001A3A0C">
      <w:pPr>
        <w:pStyle w:val="FooterTableFigure"/>
      </w:pPr>
      <w:r w:rsidRPr="00731632">
        <w:t>Source: Table</w:t>
      </w:r>
      <w:r w:rsidR="0038240B" w:rsidRPr="00731632">
        <w:t xml:space="preserve"> 2.5.1</w:t>
      </w:r>
      <w:r w:rsidRPr="00731632">
        <w:t>, of the submission.</w:t>
      </w:r>
    </w:p>
    <w:p w14:paraId="56E22F81" w14:textId="5EDE4036" w:rsidR="0038240B" w:rsidRPr="00731632" w:rsidRDefault="0038240B" w:rsidP="001A3A0C">
      <w:pPr>
        <w:pStyle w:val="FooterTableFigure"/>
      </w:pPr>
      <w:r w:rsidRPr="00731632">
        <w:t>CI = confidence interval; MA RSV LRTI = medically attended RSV associated lower respiratory tract infection; R</w:t>
      </w:r>
      <w:r w:rsidR="00ED7BEE" w:rsidRPr="00731632">
        <w:t>S</w:t>
      </w:r>
      <w:r w:rsidRPr="00731632">
        <w:t>V = respiratory syncytial virus.</w:t>
      </w:r>
    </w:p>
    <w:p w14:paraId="7BA818C3" w14:textId="3EC0CAFC" w:rsidR="00CB3851" w:rsidRPr="00731632" w:rsidRDefault="00334F2D" w:rsidP="001A3A0C">
      <w:pPr>
        <w:pStyle w:val="FooterTableFigure"/>
        <w:rPr>
          <w:rFonts w:cstheme="minorHAnsi"/>
          <w:szCs w:val="18"/>
        </w:rPr>
      </w:pPr>
      <w:bookmarkStart w:id="35" w:name="_Hlk159580815"/>
      <w:r w:rsidRPr="00731632">
        <w:rPr>
          <w:rFonts w:cstheme="minorHAnsi"/>
          <w:szCs w:val="18"/>
        </w:rPr>
        <w:t>a</w:t>
      </w:r>
      <w:r w:rsidR="0038240B" w:rsidRPr="00731632">
        <w:rPr>
          <w:rFonts w:cstheme="minorHAnsi"/>
          <w:szCs w:val="18"/>
        </w:rPr>
        <w:t xml:space="preserve"> Efficacy was defined as the relative risk reduction (calculated as 1 minus the relative risk, where the relative risk was estimated with the use of a Poisson regression model with robust variance) in the nirsevimab group compared with the placebo group</w:t>
      </w:r>
      <w:r w:rsidR="00B10618" w:rsidRPr="00731632">
        <w:rPr>
          <w:rFonts w:cstheme="minorHAnsi"/>
          <w:szCs w:val="18"/>
        </w:rPr>
        <w:t xml:space="preserve"> (observed data)</w:t>
      </w:r>
      <w:r w:rsidR="0038240B" w:rsidRPr="00731632">
        <w:rPr>
          <w:rFonts w:cstheme="minorHAnsi"/>
          <w:szCs w:val="18"/>
        </w:rPr>
        <w:t xml:space="preserve"> and is expressed as a percentage.</w:t>
      </w:r>
      <w:bookmarkEnd w:id="35"/>
      <w:r w:rsidR="0038240B" w:rsidRPr="00731632">
        <w:rPr>
          <w:rFonts w:cstheme="minorHAnsi"/>
          <w:szCs w:val="18"/>
        </w:rPr>
        <w:t xml:space="preserve"> </w:t>
      </w:r>
    </w:p>
    <w:p w14:paraId="165B4732" w14:textId="1B7B0BFD" w:rsidR="0038240B" w:rsidRPr="00731632" w:rsidRDefault="00334F2D" w:rsidP="001A3A0C">
      <w:pPr>
        <w:pStyle w:val="FooterTableFigure"/>
        <w:rPr>
          <w:sz w:val="20"/>
        </w:rPr>
      </w:pPr>
      <w:r w:rsidRPr="00731632">
        <w:rPr>
          <w:rFonts w:cstheme="minorHAnsi"/>
          <w:szCs w:val="18"/>
        </w:rPr>
        <w:t>b</w:t>
      </w:r>
      <w:r w:rsidR="0038240B" w:rsidRPr="00731632">
        <w:rPr>
          <w:rFonts w:cstheme="minorHAnsi"/>
          <w:szCs w:val="18"/>
        </w:rPr>
        <w:t xml:space="preserve"> </w:t>
      </w:r>
      <w:r w:rsidR="00B963FA" w:rsidRPr="00731632">
        <w:rPr>
          <w:rFonts w:cstheme="minorHAnsi"/>
          <w:szCs w:val="18"/>
        </w:rPr>
        <w:t>For subject</w:t>
      </w:r>
      <w:r w:rsidR="005624C9" w:rsidRPr="00731632">
        <w:rPr>
          <w:rFonts w:cstheme="minorHAnsi"/>
          <w:szCs w:val="18"/>
        </w:rPr>
        <w:t>s</w:t>
      </w:r>
      <w:r w:rsidR="00B963FA" w:rsidRPr="00731632">
        <w:rPr>
          <w:rFonts w:cstheme="minorHAnsi"/>
          <w:szCs w:val="18"/>
        </w:rPr>
        <w:t xml:space="preserve"> who did not have an event and were lost to follow-up before 150 days, their event status was imputed assuming the observed placebo event rate conditional on stratification factor (age at randomisation).</w:t>
      </w:r>
    </w:p>
    <w:p w14:paraId="22CF7956" w14:textId="1136A7EF" w:rsidR="0038240B" w:rsidRPr="00731632" w:rsidRDefault="0038240B" w:rsidP="001A3A0C">
      <w:pPr>
        <w:pStyle w:val="Caption"/>
      </w:pPr>
      <w:bookmarkStart w:id="36" w:name="_Ref164031367"/>
      <w:r w:rsidRPr="00731632">
        <w:t xml:space="preserve">Figure </w:t>
      </w:r>
      <w:r w:rsidR="00BD1FC6" w:rsidRPr="00731632">
        <w:fldChar w:fldCharType="begin"/>
      </w:r>
      <w:r w:rsidR="00BD1FC6" w:rsidRPr="00731632">
        <w:instrText xml:space="preserve"> SEQ Figure \* ARABIC </w:instrText>
      </w:r>
      <w:r w:rsidR="00BD1FC6" w:rsidRPr="00731632">
        <w:fldChar w:fldCharType="separate"/>
      </w:r>
      <w:r w:rsidR="00D770BB">
        <w:rPr>
          <w:noProof/>
        </w:rPr>
        <w:t>1</w:t>
      </w:r>
      <w:r w:rsidR="00BD1FC6" w:rsidRPr="00731632">
        <w:fldChar w:fldCharType="end"/>
      </w:r>
      <w:bookmarkEnd w:id="36"/>
      <w:r w:rsidRPr="00731632">
        <w:t>:</w:t>
      </w:r>
      <w:r w:rsidR="00D51851" w:rsidRPr="00731632">
        <w:t xml:space="preserve"> </w:t>
      </w:r>
      <w:r w:rsidR="00D51851" w:rsidRPr="00731632">
        <w:rPr>
          <w:rFonts w:cstheme="minorHAnsi"/>
        </w:rPr>
        <w:t>RSV-associated MA-LRTI – time-to-event analysis.</w:t>
      </w:r>
    </w:p>
    <w:p w14:paraId="57A3A54A" w14:textId="3C08ED1D" w:rsidR="00F66715" w:rsidRPr="00731632" w:rsidRDefault="00F66715" w:rsidP="00736431">
      <w:pPr>
        <w:pStyle w:val="3-BodyText"/>
        <w:keepNext/>
        <w:keepLines/>
        <w:numPr>
          <w:ilvl w:val="0"/>
          <w:numId w:val="0"/>
        </w:numPr>
        <w:spacing w:after="0"/>
        <w:ind w:left="720" w:hanging="720"/>
        <w:rPr>
          <w:color w:val="0066FF"/>
        </w:rPr>
      </w:pPr>
      <w:r w:rsidRPr="00731632">
        <w:rPr>
          <w:rFonts w:cstheme="minorHAnsi"/>
          <w:noProof/>
          <w:sz w:val="22"/>
        </w:rPr>
        <w:drawing>
          <wp:inline distT="0" distB="0" distL="0" distR="0" wp14:anchorId="3D7D3439" wp14:editId="72700065">
            <wp:extent cx="5182257" cy="3581400"/>
            <wp:effectExtent l="0" t="0" r="0" b="0"/>
            <wp:docPr id="1" name="Picture 1" descr="Figure 1: RSV-associated MA-LRTI – time-to-even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RSV-associated MA-LRTI – time-to-event analysis."/>
                    <pic:cNvPicPr/>
                  </pic:nvPicPr>
                  <pic:blipFill>
                    <a:blip r:embed="rId8"/>
                    <a:stretch>
                      <a:fillRect/>
                    </a:stretch>
                  </pic:blipFill>
                  <pic:spPr>
                    <a:xfrm>
                      <a:off x="0" y="0"/>
                      <a:ext cx="5219885" cy="3607404"/>
                    </a:xfrm>
                    <a:prstGeom prst="rect">
                      <a:avLst/>
                    </a:prstGeom>
                  </pic:spPr>
                </pic:pic>
              </a:graphicData>
            </a:graphic>
          </wp:inline>
        </w:drawing>
      </w:r>
    </w:p>
    <w:p w14:paraId="3783A2DC" w14:textId="3B0C53E9" w:rsidR="00D51851" w:rsidRPr="00731632" w:rsidRDefault="00D51851" w:rsidP="001A3A0C">
      <w:pPr>
        <w:pStyle w:val="3-BodyText"/>
        <w:keepNext/>
        <w:keepLines/>
        <w:numPr>
          <w:ilvl w:val="0"/>
          <w:numId w:val="0"/>
        </w:numPr>
        <w:spacing w:after="0"/>
        <w:ind w:left="720" w:hanging="720"/>
        <w:rPr>
          <w:rFonts w:ascii="Arial Narrow" w:hAnsi="Arial Narrow"/>
          <w:sz w:val="18"/>
          <w:szCs w:val="18"/>
        </w:rPr>
      </w:pPr>
      <w:r w:rsidRPr="00731632">
        <w:rPr>
          <w:rFonts w:ascii="Arial Narrow" w:hAnsi="Arial Narrow"/>
          <w:sz w:val="18"/>
          <w:szCs w:val="18"/>
        </w:rPr>
        <w:t>Source: Figure 2-16, of the submission</w:t>
      </w:r>
      <w:r w:rsidR="00715400" w:rsidRPr="00731632">
        <w:rPr>
          <w:rFonts w:ascii="Arial Narrow" w:hAnsi="Arial Narrow"/>
          <w:sz w:val="18"/>
          <w:szCs w:val="18"/>
        </w:rPr>
        <w:t xml:space="preserve"> (from</w:t>
      </w:r>
      <w:r w:rsidR="00715400" w:rsidRPr="00731632">
        <w:t xml:space="preserve"> </w:t>
      </w:r>
      <w:r w:rsidR="00715400" w:rsidRPr="00731632">
        <w:rPr>
          <w:rFonts w:ascii="Arial Narrow" w:hAnsi="Arial Narrow"/>
          <w:sz w:val="18"/>
          <w:szCs w:val="18"/>
        </w:rPr>
        <w:t>Hammitt et al., (2022))</w:t>
      </w:r>
      <w:r w:rsidRPr="00731632">
        <w:rPr>
          <w:rFonts w:ascii="Arial Narrow" w:hAnsi="Arial Narrow"/>
          <w:sz w:val="18"/>
          <w:szCs w:val="18"/>
        </w:rPr>
        <w:t xml:space="preserve">. </w:t>
      </w:r>
    </w:p>
    <w:p w14:paraId="2C1D337E" w14:textId="4992FA12" w:rsidR="00D51851" w:rsidRPr="00731632" w:rsidRDefault="00FB0B18" w:rsidP="00736431">
      <w:pPr>
        <w:pStyle w:val="3-BodyText"/>
        <w:keepLines/>
        <w:numPr>
          <w:ilvl w:val="0"/>
          <w:numId w:val="0"/>
        </w:numPr>
        <w:rPr>
          <w:rFonts w:ascii="Arial Narrow" w:hAnsi="Arial Narrow"/>
          <w:sz w:val="18"/>
          <w:szCs w:val="18"/>
        </w:rPr>
      </w:pPr>
      <w:r w:rsidRPr="00731632">
        <w:rPr>
          <w:rFonts w:ascii="Arial Narrow" w:hAnsi="Arial Narrow"/>
          <w:sz w:val="18"/>
          <w:szCs w:val="18"/>
        </w:rPr>
        <w:t>CI = confidence interval; LRTI = lower respiratory tract infection; MA-LRTI = medically attended lower respiratory tract infection; RSV = respiratory syncytial virus.</w:t>
      </w:r>
    </w:p>
    <w:p w14:paraId="1E6BD926" w14:textId="48E55D46" w:rsidR="00C34B36" w:rsidRPr="00731632" w:rsidRDefault="000413A3" w:rsidP="00C34B36">
      <w:pPr>
        <w:pStyle w:val="3-BodyText"/>
      </w:pPr>
      <w:r w:rsidRPr="00731632">
        <w:t xml:space="preserve">From 151 to 360 days post dose, 20.6% (7/977) of </w:t>
      </w:r>
      <w:r w:rsidR="00B63F4A" w:rsidRPr="00731632">
        <w:t>participants</w:t>
      </w:r>
      <w:r w:rsidRPr="00731632">
        <w:t xml:space="preserve"> in the nirsevimab arm were positive for MA RSV LTRI compared to 26.1% (6/488) of </w:t>
      </w:r>
      <w:r w:rsidR="00B63F4A" w:rsidRPr="00731632">
        <w:t>participants</w:t>
      </w:r>
      <w:r w:rsidRPr="00731632">
        <w:t xml:space="preserve"> in the placebo arm. Although a lower rate of MA RSV LRTI was observed in the nirsevimab arm, of the 34 </w:t>
      </w:r>
      <w:r w:rsidR="00B63F4A" w:rsidRPr="00731632">
        <w:t>participants</w:t>
      </w:r>
      <w:r w:rsidRPr="00731632">
        <w:t xml:space="preserve"> who had MA LRTI</w:t>
      </w:r>
      <w:r w:rsidR="003E1CBA" w:rsidRPr="00731632">
        <w:t>,</w:t>
      </w:r>
      <w:r w:rsidRPr="00731632">
        <w:t xml:space="preserve"> 10 (29.4%) of them were not tested for RSV. This contrasts with the placebo arm where of the 23 </w:t>
      </w:r>
      <w:r w:rsidR="00B63F4A" w:rsidRPr="00731632">
        <w:t>participants</w:t>
      </w:r>
      <w:r w:rsidRPr="00731632">
        <w:t xml:space="preserve"> who had MA LRTI, only 1 (4.3%) was not tested for RSV</w:t>
      </w:r>
      <w:r w:rsidR="00C34B36" w:rsidRPr="00731632">
        <w:t xml:space="preserve"> (Table 35, p113 of the MELODY CSR).</w:t>
      </w:r>
    </w:p>
    <w:p w14:paraId="2CE49080" w14:textId="452D9478" w:rsidR="00F66715" w:rsidRPr="00731632" w:rsidRDefault="0038240B" w:rsidP="00F66715">
      <w:pPr>
        <w:pStyle w:val="3-BodyText"/>
        <w:numPr>
          <w:ilvl w:val="0"/>
          <w:numId w:val="0"/>
        </w:numPr>
        <w:ind w:left="720" w:hanging="720"/>
        <w:rPr>
          <w:color w:val="0066FF"/>
          <w:u w:val="single"/>
        </w:rPr>
      </w:pPr>
      <w:r w:rsidRPr="00731632">
        <w:rPr>
          <w:u w:val="single"/>
        </w:rPr>
        <w:t xml:space="preserve">Phase IIb </w:t>
      </w:r>
      <w:r w:rsidR="00EA03DE" w:rsidRPr="00731632">
        <w:rPr>
          <w:u w:val="single"/>
        </w:rPr>
        <w:t>(</w:t>
      </w:r>
      <w:r w:rsidRPr="00731632">
        <w:rPr>
          <w:u w:val="single"/>
        </w:rPr>
        <w:t>D5290C00003</w:t>
      </w:r>
      <w:r w:rsidR="00EA03DE" w:rsidRPr="00731632">
        <w:rPr>
          <w:u w:val="single"/>
        </w:rPr>
        <w:t>)</w:t>
      </w:r>
      <w:r w:rsidR="001A3A0C" w:rsidRPr="00731632">
        <w:rPr>
          <w:u w:val="single"/>
        </w:rPr>
        <w:t xml:space="preserve"> trial</w:t>
      </w:r>
    </w:p>
    <w:p w14:paraId="2017484E" w14:textId="0013EEB8" w:rsidR="00F66715" w:rsidRPr="00731632" w:rsidRDefault="0038240B" w:rsidP="0038240B">
      <w:pPr>
        <w:pStyle w:val="3-BodyText"/>
      </w:pPr>
      <w:r w:rsidRPr="00731632">
        <w:t>In Phase IIb, a total of 1453 infants</w:t>
      </w:r>
      <w:r w:rsidR="00743DDF" w:rsidRPr="00731632">
        <w:t xml:space="preserve"> born between 29 weeks and 34 weeks, 6 days GA</w:t>
      </w:r>
      <w:r w:rsidRPr="00731632">
        <w:t xml:space="preserve"> were randomly assigned to receive nirsevimab (n=969) or placebo (n=484) at the start of the RSV season. Nirsevimab demonstrated significantly improved efficacy </w:t>
      </w:r>
      <w:r w:rsidR="00614D11" w:rsidRPr="00731632">
        <w:t>with respect to MA</w:t>
      </w:r>
      <w:r w:rsidRPr="00731632">
        <w:t xml:space="preserve"> LRTIs, with </w:t>
      </w:r>
      <w:r w:rsidR="00334F2D" w:rsidRPr="00731632">
        <w:t xml:space="preserve">a </w:t>
      </w:r>
      <w:r w:rsidRPr="00731632">
        <w:t xml:space="preserve">70.1% </w:t>
      </w:r>
      <w:r w:rsidR="002A5A8B" w:rsidRPr="00731632">
        <w:t>RRR</w:t>
      </w:r>
      <w:r w:rsidRPr="00731632">
        <w:t xml:space="preserve"> compared with placebo </w:t>
      </w:r>
      <w:r w:rsidR="00C024E5" w:rsidRPr="00731632">
        <w:t xml:space="preserve">through 150 days post dose </w:t>
      </w:r>
      <w:r w:rsidRPr="00731632">
        <w:t>(p&lt;0.001) (</w:t>
      </w:r>
      <w:r w:rsidRPr="00731632">
        <w:fldChar w:fldCharType="begin"/>
      </w:r>
      <w:r w:rsidRPr="00731632">
        <w:instrText xml:space="preserve"> REF _Ref164031592 \h </w:instrText>
      </w:r>
      <w:r w:rsidRPr="00731632">
        <w:fldChar w:fldCharType="separate"/>
      </w:r>
      <w:r w:rsidR="00D770BB" w:rsidRPr="00731632">
        <w:t xml:space="preserve">Table </w:t>
      </w:r>
      <w:r w:rsidR="00D770BB">
        <w:rPr>
          <w:noProof/>
        </w:rPr>
        <w:t>8</w:t>
      </w:r>
      <w:r w:rsidRPr="00731632">
        <w:fldChar w:fldCharType="end"/>
      </w:r>
      <w:r w:rsidRPr="00731632">
        <w:t xml:space="preserve">). </w:t>
      </w:r>
    </w:p>
    <w:p w14:paraId="0BFE2ED0" w14:textId="50910BC9" w:rsidR="0038240B" w:rsidRPr="00731632" w:rsidRDefault="0038240B" w:rsidP="0038240B">
      <w:pPr>
        <w:pStyle w:val="3-BodyText"/>
      </w:pPr>
      <w:r w:rsidRPr="00731632">
        <w:t>Similar differences between nirsevimab and placebo were demonstrated in RSV-confirmed LRTI hospitalisation through 150 days post dose, with 0.8% and 4.1% of subjects experiencing the outcome</w:t>
      </w:r>
      <w:r w:rsidR="00373AA3" w:rsidRPr="00731632">
        <w:t>,</w:t>
      </w:r>
      <w:r w:rsidRPr="00731632">
        <w:t xml:space="preserve"> respectively. This resulted in a</w:t>
      </w:r>
      <w:r w:rsidR="003850CF" w:rsidRPr="00731632">
        <w:t xml:space="preserve"> </w:t>
      </w:r>
      <w:r w:rsidRPr="00731632">
        <w:t>RRR of 78.4% (95% CI: 51.9%, 90.3%</w:t>
      </w:r>
      <w:r w:rsidR="003850CF" w:rsidRPr="00731632">
        <w:t>,</w:t>
      </w:r>
      <w:r w:rsidRPr="00731632">
        <w:t xml:space="preserve"> p=0.0002</w:t>
      </w:r>
      <w:r w:rsidR="003850CF" w:rsidRPr="00731632">
        <w:t>)</w:t>
      </w:r>
      <w:r w:rsidR="00904B33" w:rsidRPr="00731632">
        <w:t xml:space="preserve"> (</w:t>
      </w:r>
      <w:r w:rsidR="00904B33" w:rsidRPr="00731632">
        <w:fldChar w:fldCharType="begin"/>
      </w:r>
      <w:r w:rsidR="00904B33" w:rsidRPr="00731632">
        <w:instrText xml:space="preserve"> REF _Ref164031592 \h </w:instrText>
      </w:r>
      <w:r w:rsidR="00904B33" w:rsidRPr="00731632">
        <w:fldChar w:fldCharType="separate"/>
      </w:r>
      <w:r w:rsidR="00D770BB" w:rsidRPr="00731632">
        <w:t xml:space="preserve">Table </w:t>
      </w:r>
      <w:r w:rsidR="00D770BB">
        <w:rPr>
          <w:noProof/>
        </w:rPr>
        <w:t>8</w:t>
      </w:r>
      <w:r w:rsidR="00904B33" w:rsidRPr="00731632">
        <w:fldChar w:fldCharType="end"/>
      </w:r>
      <w:r w:rsidR="00904B33" w:rsidRPr="00731632">
        <w:t>)</w:t>
      </w:r>
      <w:r w:rsidRPr="00731632">
        <w:t xml:space="preserve">. </w:t>
      </w:r>
    </w:p>
    <w:p w14:paraId="43C79ABC" w14:textId="779C2FD5" w:rsidR="00D51851" w:rsidRPr="00731632" w:rsidRDefault="0038240B" w:rsidP="00A53513">
      <w:pPr>
        <w:pStyle w:val="3-BodyText"/>
      </w:pPr>
      <w:r w:rsidRPr="00731632">
        <w:t>KM curves f</w:t>
      </w:r>
      <w:r w:rsidR="00F91652" w:rsidRPr="00731632">
        <w:t>rom</w:t>
      </w:r>
      <w:r w:rsidRPr="00731632">
        <w:t xml:space="preserve"> time to first</w:t>
      </w:r>
      <w:r w:rsidR="003850CF" w:rsidRPr="00731632">
        <w:t xml:space="preserve"> MA RSV</w:t>
      </w:r>
      <w:r w:rsidRPr="00731632">
        <w:t xml:space="preserve"> LRTI through </w:t>
      </w:r>
      <w:r w:rsidR="00F91652" w:rsidRPr="00731632">
        <w:t xml:space="preserve">to </w:t>
      </w:r>
      <w:r w:rsidRPr="00731632">
        <w:t xml:space="preserve">150 days post dose and </w:t>
      </w:r>
      <w:r w:rsidR="003850CF" w:rsidRPr="00731632">
        <w:t xml:space="preserve">RSV </w:t>
      </w:r>
      <w:r w:rsidRPr="00731632">
        <w:t xml:space="preserve">LRTI hospitalisation through 150 days post dose are presented </w:t>
      </w:r>
      <w:r w:rsidR="00A53513" w:rsidRPr="00731632">
        <w:t xml:space="preserve">in </w:t>
      </w:r>
      <w:r w:rsidR="00A53513" w:rsidRPr="00731632">
        <w:fldChar w:fldCharType="begin"/>
      </w:r>
      <w:r w:rsidR="00A53513" w:rsidRPr="00731632">
        <w:instrText xml:space="preserve"> REF _Ref165466507 \h </w:instrText>
      </w:r>
      <w:r w:rsidR="00A53513" w:rsidRPr="00731632">
        <w:fldChar w:fldCharType="separate"/>
      </w:r>
      <w:r w:rsidR="00D770BB" w:rsidRPr="00731632">
        <w:t xml:space="preserve">Figure </w:t>
      </w:r>
      <w:r w:rsidR="00D770BB">
        <w:rPr>
          <w:noProof/>
        </w:rPr>
        <w:t>2</w:t>
      </w:r>
      <w:r w:rsidR="00A53513" w:rsidRPr="00731632">
        <w:fldChar w:fldCharType="end"/>
      </w:r>
      <w:r w:rsidR="00A53513" w:rsidRPr="00731632">
        <w:t>.</w:t>
      </w:r>
    </w:p>
    <w:p w14:paraId="1554EEF0" w14:textId="04C94FA3" w:rsidR="0038240B" w:rsidRPr="00731632" w:rsidRDefault="0038240B" w:rsidP="0038240B">
      <w:pPr>
        <w:pStyle w:val="Caption"/>
      </w:pPr>
      <w:bookmarkStart w:id="37" w:name="_Ref164031592"/>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8</w:t>
      </w:r>
      <w:r w:rsidR="00BD1FC6" w:rsidRPr="00731632">
        <w:fldChar w:fldCharType="end"/>
      </w:r>
      <w:bookmarkEnd w:id="37"/>
      <w:r w:rsidRPr="00731632">
        <w:t xml:space="preserve">: MA RSV LRTI in Phase IIb </w:t>
      </w:r>
      <w:r w:rsidR="00BF5E29" w:rsidRPr="00731632">
        <w:t>through 150 days post dose</w:t>
      </w:r>
    </w:p>
    <w:tbl>
      <w:tblPr>
        <w:tblStyle w:val="TableGrid"/>
        <w:tblW w:w="5000" w:type="pct"/>
        <w:tblInd w:w="-5" w:type="dxa"/>
        <w:tblLook w:val="04A0" w:firstRow="1" w:lastRow="0" w:firstColumn="1" w:lastColumn="0" w:noHBand="0" w:noVBand="1"/>
        <w:tblCaption w:val="Table 8: MA RSV LRTI in Phase IIb through 150 days post dose"/>
      </w:tblPr>
      <w:tblGrid>
        <w:gridCol w:w="3159"/>
        <w:gridCol w:w="1234"/>
        <w:gridCol w:w="1040"/>
        <w:gridCol w:w="2672"/>
        <w:gridCol w:w="912"/>
      </w:tblGrid>
      <w:tr w:rsidR="00F66715" w:rsidRPr="00731632" w14:paraId="238485B4" w14:textId="77777777" w:rsidTr="00437714">
        <w:tc>
          <w:tcPr>
            <w:tcW w:w="0" w:type="auto"/>
            <w:shd w:val="clear" w:color="auto" w:fill="auto"/>
            <w:vAlign w:val="center"/>
          </w:tcPr>
          <w:p w14:paraId="5F57C60A" w14:textId="77777777" w:rsidR="00F66715" w:rsidRPr="00731632" w:rsidRDefault="00F66715" w:rsidP="00866F91">
            <w:pPr>
              <w:pStyle w:val="BodyText"/>
              <w:rPr>
                <w:rFonts w:ascii="Arial Narrow" w:hAnsi="Arial Narrow" w:cstheme="minorHAnsi"/>
                <w:b/>
                <w:bCs/>
                <w:sz w:val="20"/>
                <w:szCs w:val="20"/>
              </w:rPr>
            </w:pPr>
            <w:r w:rsidRPr="00731632">
              <w:rPr>
                <w:rFonts w:ascii="Arial Narrow" w:hAnsi="Arial Narrow" w:cstheme="minorHAnsi"/>
                <w:b/>
                <w:bCs/>
                <w:sz w:val="20"/>
                <w:szCs w:val="20"/>
              </w:rPr>
              <w:t>End Point and Analysis</w:t>
            </w:r>
          </w:p>
        </w:tc>
        <w:tc>
          <w:tcPr>
            <w:tcW w:w="0" w:type="auto"/>
            <w:shd w:val="clear" w:color="auto" w:fill="auto"/>
            <w:vAlign w:val="center"/>
          </w:tcPr>
          <w:p w14:paraId="455565BE" w14:textId="77777777"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Nirsevimab</w:t>
            </w:r>
          </w:p>
          <w:p w14:paraId="782D0A61" w14:textId="5150C267"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 = 9</w:t>
            </w:r>
            <w:r w:rsidR="00437714" w:rsidRPr="00731632">
              <w:rPr>
                <w:rFonts w:ascii="Arial Narrow" w:hAnsi="Arial Narrow" w:cstheme="minorHAnsi"/>
                <w:b/>
                <w:bCs/>
                <w:sz w:val="20"/>
                <w:szCs w:val="20"/>
              </w:rPr>
              <w:t>69</w:t>
            </w:r>
            <w:r w:rsidRPr="00731632">
              <w:rPr>
                <w:rFonts w:ascii="Arial Narrow" w:hAnsi="Arial Narrow" w:cstheme="minorHAnsi"/>
                <w:b/>
                <w:bCs/>
                <w:sz w:val="20"/>
                <w:szCs w:val="20"/>
              </w:rPr>
              <w:t>)</w:t>
            </w:r>
          </w:p>
          <w:p w14:paraId="72F41BB4" w14:textId="51602D72"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w:t>
            </w:r>
            <w:r w:rsidR="00ED7BEE" w:rsidRPr="00731632">
              <w:rPr>
                <w:rFonts w:ascii="Arial Narrow" w:hAnsi="Arial Narrow" w:cstheme="minorHAnsi"/>
                <w:b/>
                <w:bCs/>
                <w:sz w:val="20"/>
                <w:szCs w:val="20"/>
              </w:rPr>
              <w:t xml:space="preserve"> </w:t>
            </w:r>
            <w:r w:rsidRPr="00731632">
              <w:rPr>
                <w:rFonts w:ascii="Arial Narrow" w:hAnsi="Arial Narrow" w:cstheme="minorHAnsi"/>
                <w:b/>
                <w:bCs/>
                <w:sz w:val="20"/>
                <w:szCs w:val="20"/>
              </w:rPr>
              <w:t>(%)</w:t>
            </w:r>
          </w:p>
        </w:tc>
        <w:tc>
          <w:tcPr>
            <w:tcW w:w="0" w:type="auto"/>
            <w:shd w:val="clear" w:color="auto" w:fill="auto"/>
            <w:vAlign w:val="center"/>
          </w:tcPr>
          <w:p w14:paraId="19D7BAF5" w14:textId="77777777"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Placebo</w:t>
            </w:r>
          </w:p>
          <w:p w14:paraId="042C1882" w14:textId="5F3FB0F0"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 = 4</w:t>
            </w:r>
            <w:r w:rsidR="00437714" w:rsidRPr="00731632">
              <w:rPr>
                <w:rFonts w:ascii="Arial Narrow" w:hAnsi="Arial Narrow" w:cstheme="minorHAnsi"/>
                <w:b/>
                <w:bCs/>
                <w:sz w:val="20"/>
                <w:szCs w:val="20"/>
              </w:rPr>
              <w:t>84</w:t>
            </w:r>
            <w:r w:rsidRPr="00731632">
              <w:rPr>
                <w:rFonts w:ascii="Arial Narrow" w:hAnsi="Arial Narrow" w:cstheme="minorHAnsi"/>
                <w:b/>
                <w:bCs/>
                <w:sz w:val="20"/>
                <w:szCs w:val="20"/>
              </w:rPr>
              <w:t>)</w:t>
            </w:r>
          </w:p>
          <w:p w14:paraId="2AB4DBFD" w14:textId="26718870"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N</w:t>
            </w:r>
            <w:r w:rsidR="00ED7BEE" w:rsidRPr="00731632">
              <w:rPr>
                <w:rFonts w:ascii="Arial Narrow" w:hAnsi="Arial Narrow" w:cstheme="minorHAnsi"/>
                <w:b/>
                <w:bCs/>
                <w:sz w:val="20"/>
                <w:szCs w:val="20"/>
              </w:rPr>
              <w:t xml:space="preserve"> </w:t>
            </w:r>
            <w:r w:rsidRPr="00731632">
              <w:rPr>
                <w:rFonts w:ascii="Arial Narrow" w:hAnsi="Arial Narrow" w:cstheme="minorHAnsi"/>
                <w:b/>
                <w:bCs/>
                <w:sz w:val="20"/>
                <w:szCs w:val="20"/>
              </w:rPr>
              <w:t>(%)</w:t>
            </w:r>
          </w:p>
        </w:tc>
        <w:tc>
          <w:tcPr>
            <w:tcW w:w="0" w:type="auto"/>
            <w:shd w:val="clear" w:color="auto" w:fill="auto"/>
            <w:vAlign w:val="center"/>
          </w:tcPr>
          <w:p w14:paraId="77684B8E" w14:textId="52B24930" w:rsidR="00F66715" w:rsidRPr="00731632" w:rsidRDefault="00DE3E63"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 xml:space="preserve">Relative Risk Reduction </w:t>
            </w:r>
            <w:r w:rsidR="00F66715" w:rsidRPr="00731632">
              <w:rPr>
                <w:rFonts w:ascii="Arial Narrow" w:hAnsi="Arial Narrow" w:cstheme="minorHAnsi"/>
                <w:b/>
                <w:bCs/>
                <w:sz w:val="20"/>
                <w:szCs w:val="20"/>
              </w:rPr>
              <w:t>(%)</w:t>
            </w:r>
          </w:p>
          <w:p w14:paraId="77276DD6" w14:textId="6252C275" w:rsidR="00F66715" w:rsidRPr="00731632" w:rsidRDefault="00F66715" w:rsidP="00866F91">
            <w:pPr>
              <w:pStyle w:val="BodyText"/>
              <w:jc w:val="center"/>
              <w:rPr>
                <w:rFonts w:ascii="Arial Narrow" w:hAnsi="Arial Narrow" w:cstheme="minorHAnsi"/>
                <w:b/>
                <w:bCs/>
                <w:sz w:val="20"/>
                <w:szCs w:val="20"/>
                <w:vertAlign w:val="superscript"/>
              </w:rPr>
            </w:pPr>
            <w:r w:rsidRPr="00731632">
              <w:rPr>
                <w:rFonts w:ascii="Arial Narrow" w:hAnsi="Arial Narrow" w:cstheme="minorHAnsi"/>
                <w:b/>
                <w:bCs/>
                <w:sz w:val="20"/>
                <w:szCs w:val="20"/>
              </w:rPr>
              <w:t>(95% CI)</w:t>
            </w:r>
            <w:r w:rsidR="00D51851" w:rsidRPr="00731632">
              <w:rPr>
                <w:rFonts w:ascii="Arial Narrow" w:hAnsi="Arial Narrow" w:cstheme="minorHAnsi"/>
                <w:b/>
                <w:bCs/>
                <w:sz w:val="20"/>
                <w:szCs w:val="20"/>
                <w:vertAlign w:val="superscript"/>
              </w:rPr>
              <w:t>b</w:t>
            </w:r>
          </w:p>
        </w:tc>
        <w:tc>
          <w:tcPr>
            <w:tcW w:w="0" w:type="auto"/>
            <w:shd w:val="clear" w:color="auto" w:fill="auto"/>
            <w:vAlign w:val="center"/>
          </w:tcPr>
          <w:p w14:paraId="3EAD9045" w14:textId="77777777" w:rsidR="00F66715" w:rsidRPr="00731632" w:rsidRDefault="00F66715" w:rsidP="00866F91">
            <w:pPr>
              <w:pStyle w:val="BodyText"/>
              <w:jc w:val="center"/>
              <w:rPr>
                <w:rFonts w:ascii="Arial Narrow" w:hAnsi="Arial Narrow" w:cstheme="minorHAnsi"/>
                <w:b/>
                <w:bCs/>
                <w:sz w:val="20"/>
                <w:szCs w:val="20"/>
              </w:rPr>
            </w:pPr>
            <w:r w:rsidRPr="00731632">
              <w:rPr>
                <w:rFonts w:ascii="Arial Narrow" w:hAnsi="Arial Narrow" w:cstheme="minorHAnsi"/>
                <w:b/>
                <w:bCs/>
                <w:sz w:val="20"/>
                <w:szCs w:val="20"/>
              </w:rPr>
              <w:t>P Value</w:t>
            </w:r>
          </w:p>
        </w:tc>
      </w:tr>
      <w:tr w:rsidR="00F66715" w:rsidRPr="00731632" w14:paraId="52BB8408" w14:textId="77777777" w:rsidTr="00F66715">
        <w:tc>
          <w:tcPr>
            <w:tcW w:w="0" w:type="auto"/>
            <w:gridSpan w:val="5"/>
            <w:vAlign w:val="center"/>
          </w:tcPr>
          <w:p w14:paraId="2E0A0DAD" w14:textId="31FE9048" w:rsidR="00F66715" w:rsidRPr="00731632" w:rsidRDefault="00F66715" w:rsidP="00866F91">
            <w:pPr>
              <w:pStyle w:val="BodyText"/>
              <w:rPr>
                <w:rFonts w:ascii="Arial Narrow" w:hAnsi="Arial Narrow" w:cstheme="minorHAnsi"/>
                <w:b/>
                <w:bCs/>
                <w:sz w:val="20"/>
                <w:szCs w:val="20"/>
              </w:rPr>
            </w:pPr>
            <w:r w:rsidRPr="00731632">
              <w:rPr>
                <w:rFonts w:ascii="Arial Narrow" w:hAnsi="Arial Narrow" w:cstheme="minorHAnsi"/>
                <w:b/>
                <w:bCs/>
                <w:sz w:val="20"/>
                <w:szCs w:val="20"/>
              </w:rPr>
              <w:t>M</w:t>
            </w:r>
            <w:r w:rsidR="00BF5E29" w:rsidRPr="00731632">
              <w:rPr>
                <w:rFonts w:ascii="Arial Narrow" w:hAnsi="Arial Narrow" w:cstheme="minorHAnsi"/>
                <w:b/>
                <w:bCs/>
                <w:sz w:val="20"/>
                <w:szCs w:val="20"/>
              </w:rPr>
              <w:t>A</w:t>
            </w:r>
            <w:r w:rsidRPr="00731632">
              <w:rPr>
                <w:rFonts w:ascii="Arial Narrow" w:hAnsi="Arial Narrow" w:cstheme="minorHAnsi"/>
                <w:b/>
                <w:bCs/>
                <w:sz w:val="20"/>
                <w:szCs w:val="20"/>
              </w:rPr>
              <w:t xml:space="preserve"> RS</w:t>
            </w:r>
            <w:r w:rsidR="00BF5E29" w:rsidRPr="00731632">
              <w:rPr>
                <w:rFonts w:ascii="Arial Narrow" w:hAnsi="Arial Narrow" w:cstheme="minorHAnsi"/>
                <w:b/>
                <w:bCs/>
                <w:sz w:val="20"/>
                <w:szCs w:val="20"/>
              </w:rPr>
              <w:t>V LRTI</w:t>
            </w:r>
          </w:p>
        </w:tc>
      </w:tr>
      <w:tr w:rsidR="00F66715" w:rsidRPr="00731632" w14:paraId="0FE6FBC1" w14:textId="77777777" w:rsidTr="00F66715">
        <w:tc>
          <w:tcPr>
            <w:tcW w:w="0" w:type="auto"/>
            <w:vAlign w:val="center"/>
          </w:tcPr>
          <w:p w14:paraId="7EC50D1B" w14:textId="77777777" w:rsidR="00F66715" w:rsidRPr="00731632" w:rsidRDefault="00F66715" w:rsidP="00866F91">
            <w:pPr>
              <w:pStyle w:val="BodyText"/>
              <w:rPr>
                <w:rFonts w:ascii="Arial Narrow" w:hAnsi="Arial Narrow" w:cstheme="minorHAnsi"/>
                <w:sz w:val="20"/>
                <w:szCs w:val="20"/>
              </w:rPr>
            </w:pPr>
            <w:r w:rsidRPr="00731632">
              <w:rPr>
                <w:rFonts w:ascii="Arial Narrow" w:hAnsi="Arial Narrow" w:cstheme="minorHAnsi"/>
                <w:sz w:val="20"/>
                <w:szCs w:val="20"/>
              </w:rPr>
              <w:t>Observed events</w:t>
            </w:r>
          </w:p>
        </w:tc>
        <w:tc>
          <w:tcPr>
            <w:tcW w:w="0" w:type="auto"/>
            <w:vAlign w:val="center"/>
          </w:tcPr>
          <w:p w14:paraId="6894BBB8"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25 (2.6%)</w:t>
            </w:r>
          </w:p>
        </w:tc>
        <w:tc>
          <w:tcPr>
            <w:tcW w:w="0" w:type="auto"/>
            <w:vAlign w:val="center"/>
          </w:tcPr>
          <w:p w14:paraId="2CF265E0"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46 (9.5%)</w:t>
            </w:r>
          </w:p>
        </w:tc>
        <w:tc>
          <w:tcPr>
            <w:tcW w:w="0" w:type="auto"/>
            <w:vMerge w:val="restart"/>
            <w:vAlign w:val="center"/>
          </w:tcPr>
          <w:p w14:paraId="6A3B08A8"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 xml:space="preserve">70.1% </w:t>
            </w:r>
          </w:p>
          <w:p w14:paraId="75C7FD67"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(52.3, 81.2)</w:t>
            </w:r>
          </w:p>
        </w:tc>
        <w:tc>
          <w:tcPr>
            <w:tcW w:w="0" w:type="auto"/>
            <w:vMerge w:val="restart"/>
            <w:vAlign w:val="center"/>
          </w:tcPr>
          <w:p w14:paraId="14515999"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&lt;0.0001</w:t>
            </w:r>
          </w:p>
        </w:tc>
      </w:tr>
      <w:tr w:rsidR="00F66715" w:rsidRPr="00731632" w14:paraId="35414B73" w14:textId="77777777" w:rsidTr="00F66715">
        <w:tc>
          <w:tcPr>
            <w:tcW w:w="0" w:type="auto"/>
            <w:vAlign w:val="center"/>
          </w:tcPr>
          <w:p w14:paraId="2B54E54B" w14:textId="64DB150E" w:rsidR="00F66715" w:rsidRPr="00731632" w:rsidRDefault="00F66715" w:rsidP="00866F91">
            <w:pPr>
              <w:pStyle w:val="BodyText"/>
              <w:rPr>
                <w:rFonts w:ascii="Arial Narrow" w:hAnsi="Arial Narrow" w:cstheme="minorHAnsi"/>
                <w:sz w:val="20"/>
                <w:szCs w:val="20"/>
                <w:vertAlign w:val="superscript"/>
              </w:rPr>
            </w:pPr>
            <w:r w:rsidRPr="00731632">
              <w:rPr>
                <w:rFonts w:ascii="Arial Narrow" w:hAnsi="Arial Narrow" w:cstheme="minorHAnsi"/>
                <w:sz w:val="20"/>
                <w:szCs w:val="20"/>
              </w:rPr>
              <w:t>Participants with imputation of data</w:t>
            </w:r>
            <w:r w:rsidR="00D51851" w:rsidRPr="00731632">
              <w:rPr>
                <w:rFonts w:ascii="Arial Narrow" w:hAnsi="Arial Narrow" w:cstheme="minorHAnsi"/>
                <w:sz w:val="20"/>
                <w:szCs w:val="20"/>
                <w:vertAlign w:val="superscript"/>
              </w:rPr>
              <w:t>a</w:t>
            </w:r>
          </w:p>
        </w:tc>
        <w:tc>
          <w:tcPr>
            <w:tcW w:w="0" w:type="auto"/>
            <w:vAlign w:val="center"/>
          </w:tcPr>
          <w:p w14:paraId="72ED4157"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11 (2.3%)</w:t>
            </w:r>
          </w:p>
        </w:tc>
        <w:tc>
          <w:tcPr>
            <w:tcW w:w="0" w:type="auto"/>
            <w:vAlign w:val="center"/>
          </w:tcPr>
          <w:p w14:paraId="12F0914E"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24 (2.5%)</w:t>
            </w:r>
          </w:p>
        </w:tc>
        <w:tc>
          <w:tcPr>
            <w:tcW w:w="0" w:type="auto"/>
            <w:vMerge/>
            <w:vAlign w:val="center"/>
          </w:tcPr>
          <w:p w14:paraId="320329FD" w14:textId="77777777" w:rsidR="00F66715" w:rsidRPr="00731632" w:rsidRDefault="00F66715" w:rsidP="00866F91">
            <w:pPr>
              <w:pStyle w:val="BodyText"/>
              <w:jc w:val="center"/>
              <w:rPr>
                <w:rFonts w:ascii="Arial Narrow" w:hAnsi="Arial Narrow" w:cstheme="minorHAnsi"/>
                <w:sz w:val="20"/>
                <w:szCs w:val="20"/>
              </w:rPr>
            </w:pPr>
          </w:p>
        </w:tc>
        <w:tc>
          <w:tcPr>
            <w:tcW w:w="0" w:type="auto"/>
            <w:vMerge/>
            <w:vAlign w:val="center"/>
          </w:tcPr>
          <w:p w14:paraId="3E6EA1C8" w14:textId="77777777" w:rsidR="00F66715" w:rsidRPr="00731632" w:rsidRDefault="00F66715" w:rsidP="00866F91">
            <w:pPr>
              <w:pStyle w:val="BodyText"/>
              <w:jc w:val="center"/>
              <w:rPr>
                <w:rFonts w:ascii="Arial Narrow" w:hAnsi="Arial Narrow" w:cstheme="minorHAnsi"/>
                <w:sz w:val="20"/>
                <w:szCs w:val="20"/>
              </w:rPr>
            </w:pPr>
          </w:p>
        </w:tc>
      </w:tr>
      <w:tr w:rsidR="00F66715" w:rsidRPr="00731632" w14:paraId="65B3647E" w14:textId="77777777" w:rsidTr="00F66715">
        <w:tc>
          <w:tcPr>
            <w:tcW w:w="0" w:type="auto"/>
            <w:gridSpan w:val="5"/>
            <w:vAlign w:val="center"/>
          </w:tcPr>
          <w:p w14:paraId="24F853CB" w14:textId="3B45444E" w:rsidR="00F66715" w:rsidRPr="00731632" w:rsidRDefault="00F66715" w:rsidP="00866F91">
            <w:pPr>
              <w:pStyle w:val="BodyText"/>
              <w:rPr>
                <w:rFonts w:ascii="Arial Narrow" w:hAnsi="Arial Narrow" w:cstheme="minorHAnsi"/>
                <w:b/>
                <w:bCs/>
                <w:sz w:val="20"/>
                <w:szCs w:val="20"/>
              </w:rPr>
            </w:pPr>
            <w:r w:rsidRPr="00731632">
              <w:rPr>
                <w:rFonts w:ascii="Arial Narrow" w:hAnsi="Arial Narrow" w:cstheme="minorHAnsi"/>
                <w:b/>
                <w:bCs/>
                <w:sz w:val="20"/>
                <w:szCs w:val="20"/>
              </w:rPr>
              <w:t xml:space="preserve">Hospitalisation for </w:t>
            </w:r>
            <w:r w:rsidR="00ED7BEE" w:rsidRPr="00731632">
              <w:rPr>
                <w:rFonts w:ascii="Arial Narrow" w:hAnsi="Arial Narrow" w:cstheme="minorHAnsi"/>
                <w:b/>
                <w:bCs/>
                <w:sz w:val="20"/>
                <w:szCs w:val="20"/>
              </w:rPr>
              <w:t>RSV LRTI</w:t>
            </w:r>
          </w:p>
        </w:tc>
      </w:tr>
      <w:tr w:rsidR="00F66715" w:rsidRPr="00731632" w14:paraId="36932BC2" w14:textId="77777777" w:rsidTr="00F66715">
        <w:tc>
          <w:tcPr>
            <w:tcW w:w="0" w:type="auto"/>
            <w:vAlign w:val="center"/>
          </w:tcPr>
          <w:p w14:paraId="2E231622" w14:textId="77777777" w:rsidR="00F66715" w:rsidRPr="00731632" w:rsidRDefault="00F66715" w:rsidP="00866F91">
            <w:pPr>
              <w:pStyle w:val="BodyText"/>
              <w:rPr>
                <w:rFonts w:ascii="Arial Narrow" w:hAnsi="Arial Narrow" w:cstheme="minorHAnsi"/>
                <w:sz w:val="20"/>
                <w:szCs w:val="20"/>
              </w:rPr>
            </w:pPr>
            <w:r w:rsidRPr="00731632">
              <w:rPr>
                <w:rFonts w:ascii="Arial Narrow" w:hAnsi="Arial Narrow" w:cstheme="minorHAnsi"/>
                <w:sz w:val="20"/>
                <w:szCs w:val="20"/>
              </w:rPr>
              <w:t>Observed events</w:t>
            </w:r>
          </w:p>
        </w:tc>
        <w:tc>
          <w:tcPr>
            <w:tcW w:w="0" w:type="auto"/>
            <w:vAlign w:val="center"/>
          </w:tcPr>
          <w:p w14:paraId="1314E075"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8 (0.8%)</w:t>
            </w:r>
          </w:p>
        </w:tc>
        <w:tc>
          <w:tcPr>
            <w:tcW w:w="0" w:type="auto"/>
            <w:vAlign w:val="center"/>
          </w:tcPr>
          <w:p w14:paraId="22F3B4A2"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20 (4.1%)</w:t>
            </w:r>
          </w:p>
        </w:tc>
        <w:tc>
          <w:tcPr>
            <w:tcW w:w="0" w:type="auto"/>
            <w:vMerge w:val="restart"/>
            <w:vAlign w:val="center"/>
          </w:tcPr>
          <w:p w14:paraId="7A65734E"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 xml:space="preserve">78.4% </w:t>
            </w:r>
          </w:p>
          <w:p w14:paraId="210569FA"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(51.9, 90.3)</w:t>
            </w:r>
          </w:p>
        </w:tc>
        <w:tc>
          <w:tcPr>
            <w:tcW w:w="0" w:type="auto"/>
            <w:vMerge w:val="restart"/>
            <w:vAlign w:val="center"/>
          </w:tcPr>
          <w:p w14:paraId="67BF725C"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0.0002</w:t>
            </w:r>
          </w:p>
        </w:tc>
      </w:tr>
      <w:tr w:rsidR="00F66715" w:rsidRPr="00731632" w14:paraId="70C242BA" w14:textId="77777777" w:rsidTr="00F66715">
        <w:tc>
          <w:tcPr>
            <w:tcW w:w="0" w:type="auto"/>
            <w:vAlign w:val="center"/>
          </w:tcPr>
          <w:p w14:paraId="47028060" w14:textId="448F946B" w:rsidR="00F66715" w:rsidRPr="00731632" w:rsidRDefault="00F66715" w:rsidP="00866F91">
            <w:pPr>
              <w:pStyle w:val="BodyText"/>
              <w:rPr>
                <w:rFonts w:ascii="Arial Narrow" w:hAnsi="Arial Narrow" w:cstheme="minorHAnsi"/>
                <w:sz w:val="20"/>
                <w:szCs w:val="20"/>
                <w:vertAlign w:val="superscript"/>
              </w:rPr>
            </w:pPr>
            <w:r w:rsidRPr="00731632">
              <w:rPr>
                <w:rFonts w:ascii="Arial Narrow" w:hAnsi="Arial Narrow" w:cstheme="minorHAnsi"/>
                <w:sz w:val="20"/>
                <w:szCs w:val="20"/>
              </w:rPr>
              <w:t>Participants with imputation of data</w:t>
            </w:r>
            <w:r w:rsidR="00D51851" w:rsidRPr="00731632">
              <w:rPr>
                <w:rFonts w:ascii="Arial Narrow" w:hAnsi="Arial Narrow" w:cstheme="minorHAnsi"/>
                <w:sz w:val="20"/>
                <w:szCs w:val="20"/>
                <w:vertAlign w:val="superscript"/>
              </w:rPr>
              <w:t>a</w:t>
            </w:r>
          </w:p>
        </w:tc>
        <w:tc>
          <w:tcPr>
            <w:tcW w:w="0" w:type="auto"/>
            <w:vAlign w:val="center"/>
          </w:tcPr>
          <w:p w14:paraId="4603C6FB"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24 (2.5%)</w:t>
            </w:r>
          </w:p>
        </w:tc>
        <w:tc>
          <w:tcPr>
            <w:tcW w:w="0" w:type="auto"/>
            <w:vAlign w:val="center"/>
          </w:tcPr>
          <w:p w14:paraId="19F55870" w14:textId="77777777" w:rsidR="00F66715" w:rsidRPr="00731632" w:rsidRDefault="00F66715" w:rsidP="00866F91">
            <w:pPr>
              <w:pStyle w:val="BodyText"/>
              <w:jc w:val="center"/>
              <w:rPr>
                <w:rFonts w:ascii="Arial Narrow" w:hAnsi="Arial Narrow" w:cstheme="minorHAnsi"/>
                <w:sz w:val="20"/>
                <w:szCs w:val="20"/>
              </w:rPr>
            </w:pPr>
            <w:r w:rsidRPr="00731632">
              <w:rPr>
                <w:rFonts w:ascii="Arial Narrow" w:hAnsi="Arial Narrow" w:cstheme="minorHAnsi"/>
                <w:sz w:val="20"/>
                <w:szCs w:val="20"/>
              </w:rPr>
              <w:t>11 (2.3%)</w:t>
            </w:r>
          </w:p>
        </w:tc>
        <w:tc>
          <w:tcPr>
            <w:tcW w:w="0" w:type="auto"/>
            <w:vMerge/>
            <w:vAlign w:val="center"/>
          </w:tcPr>
          <w:p w14:paraId="744E7E93" w14:textId="77777777" w:rsidR="00F66715" w:rsidRPr="00731632" w:rsidRDefault="00F66715" w:rsidP="00866F91">
            <w:pPr>
              <w:pStyle w:val="BodyText"/>
              <w:jc w:val="center"/>
              <w:rPr>
                <w:rFonts w:ascii="Arial Narrow" w:hAnsi="Arial Narrow" w:cstheme="minorHAnsi"/>
                <w:sz w:val="20"/>
                <w:szCs w:val="20"/>
              </w:rPr>
            </w:pPr>
          </w:p>
        </w:tc>
        <w:tc>
          <w:tcPr>
            <w:tcW w:w="0" w:type="auto"/>
            <w:vMerge/>
            <w:vAlign w:val="center"/>
          </w:tcPr>
          <w:p w14:paraId="025ACEF5" w14:textId="77777777" w:rsidR="00F66715" w:rsidRPr="00731632" w:rsidRDefault="00F66715" w:rsidP="00866F91">
            <w:pPr>
              <w:pStyle w:val="BodyText"/>
              <w:jc w:val="center"/>
              <w:rPr>
                <w:rFonts w:ascii="Arial Narrow" w:hAnsi="Arial Narrow" w:cstheme="minorHAnsi"/>
                <w:sz w:val="20"/>
                <w:szCs w:val="20"/>
              </w:rPr>
            </w:pPr>
          </w:p>
        </w:tc>
      </w:tr>
    </w:tbl>
    <w:p w14:paraId="5EE74618" w14:textId="62FBD24E" w:rsidR="00BF5E29" w:rsidRPr="00731632" w:rsidRDefault="00BF5E29" w:rsidP="00BF5E29">
      <w:pPr>
        <w:rPr>
          <w:rFonts w:ascii="Arial Narrow" w:hAnsi="Arial Narrow"/>
          <w:sz w:val="18"/>
          <w:szCs w:val="18"/>
        </w:rPr>
      </w:pPr>
      <w:bookmarkStart w:id="38" w:name="_Ref164031685"/>
      <w:r w:rsidRPr="00731632">
        <w:rPr>
          <w:rFonts w:ascii="Arial Narrow" w:hAnsi="Arial Narrow"/>
          <w:sz w:val="18"/>
          <w:szCs w:val="18"/>
        </w:rPr>
        <w:t>Source: Table 2.5.4 of the submission.</w:t>
      </w:r>
    </w:p>
    <w:p w14:paraId="42B0DD02" w14:textId="79BC828E" w:rsidR="00D51851" w:rsidRPr="00731632" w:rsidRDefault="00D51851" w:rsidP="00D51851">
      <w:pPr>
        <w:pStyle w:val="FooterTableFigure"/>
        <w:keepNext/>
        <w:rPr>
          <w:szCs w:val="18"/>
        </w:rPr>
      </w:pPr>
      <w:r w:rsidRPr="00731632">
        <w:rPr>
          <w:szCs w:val="18"/>
        </w:rPr>
        <w:t xml:space="preserve">CI = confidence interval; MA RSV LRTI = medically attended RSV associated lower respiratory tract infection; N = number of </w:t>
      </w:r>
      <w:r w:rsidR="00B63F4A" w:rsidRPr="00731632">
        <w:rPr>
          <w:szCs w:val="18"/>
        </w:rPr>
        <w:t>participants</w:t>
      </w:r>
      <w:r w:rsidRPr="00731632">
        <w:rPr>
          <w:szCs w:val="18"/>
        </w:rPr>
        <w:t>; RSV = respiratory syncytial virus.</w:t>
      </w:r>
    </w:p>
    <w:p w14:paraId="161B7ABC" w14:textId="429D4837" w:rsidR="00D51851" w:rsidRPr="00731632" w:rsidRDefault="00D51851" w:rsidP="00D51851">
      <w:pPr>
        <w:pStyle w:val="FooterTableFigure"/>
        <w:keepNext/>
        <w:rPr>
          <w:rFonts w:cstheme="minorHAnsi"/>
          <w:szCs w:val="18"/>
        </w:rPr>
      </w:pPr>
      <w:r w:rsidRPr="00731632">
        <w:rPr>
          <w:rFonts w:cstheme="minorHAnsi"/>
          <w:szCs w:val="18"/>
        </w:rPr>
        <w:t xml:space="preserve">a </w:t>
      </w:r>
      <w:r w:rsidR="005624C9" w:rsidRPr="00731632">
        <w:rPr>
          <w:rFonts w:cstheme="minorHAnsi"/>
          <w:szCs w:val="18"/>
        </w:rPr>
        <w:t>For subjects who did not have an event and were lost to follow-up before 150 days, their event status was imputed assuming the observed placebo event rate conditional on stratification factor (age at randomisation).</w:t>
      </w:r>
    </w:p>
    <w:p w14:paraId="2CE65224" w14:textId="3287798D" w:rsidR="00BF5E29" w:rsidRPr="00736431" w:rsidRDefault="00D51851" w:rsidP="00736431">
      <w:pPr>
        <w:pStyle w:val="FooterTableFigure"/>
        <w:rPr>
          <w:szCs w:val="18"/>
        </w:rPr>
      </w:pPr>
      <w:r w:rsidRPr="00731632">
        <w:rPr>
          <w:szCs w:val="18"/>
        </w:rPr>
        <w:t>b Efficacy defined as the relative risk reduction (calculated as 1 minus the RR, where the RR was estimated with the use of a Poisson regression model with robust variance)</w:t>
      </w:r>
      <w:r w:rsidR="00B10618" w:rsidRPr="00731632">
        <w:rPr>
          <w:szCs w:val="18"/>
        </w:rPr>
        <w:t xml:space="preserve"> </w:t>
      </w:r>
      <w:r w:rsidR="00B10618" w:rsidRPr="00731632">
        <w:rPr>
          <w:rFonts w:cstheme="minorHAnsi"/>
          <w:szCs w:val="18"/>
        </w:rPr>
        <w:t>in the nirsevimab group compared with the placebo group (observed data) and is expressed as a percentage.</w:t>
      </w:r>
    </w:p>
    <w:p w14:paraId="7A649411" w14:textId="5836E1EB" w:rsidR="0038240B" w:rsidRPr="00731632" w:rsidRDefault="0038240B" w:rsidP="0038240B">
      <w:pPr>
        <w:pStyle w:val="Caption"/>
      </w:pPr>
      <w:bookmarkStart w:id="39" w:name="_Ref165466507"/>
      <w:r w:rsidRPr="00731632">
        <w:t xml:space="preserve">Figure </w:t>
      </w:r>
      <w:r w:rsidR="00BD1FC6" w:rsidRPr="00731632">
        <w:fldChar w:fldCharType="begin"/>
      </w:r>
      <w:r w:rsidR="00BD1FC6" w:rsidRPr="00731632">
        <w:instrText xml:space="preserve"> SEQ Figure \* ARABIC </w:instrText>
      </w:r>
      <w:r w:rsidR="00BD1FC6" w:rsidRPr="00731632">
        <w:fldChar w:fldCharType="separate"/>
      </w:r>
      <w:r w:rsidR="00D770BB">
        <w:rPr>
          <w:noProof/>
        </w:rPr>
        <w:t>2</w:t>
      </w:r>
      <w:r w:rsidR="00BD1FC6" w:rsidRPr="00731632">
        <w:fldChar w:fldCharType="end"/>
      </w:r>
      <w:bookmarkEnd w:id="38"/>
      <w:bookmarkEnd w:id="39"/>
      <w:r w:rsidRPr="00731632">
        <w:t xml:space="preserve">: </w:t>
      </w:r>
      <w:r w:rsidRPr="00731632">
        <w:rPr>
          <w:rFonts w:cstheme="minorHAnsi"/>
        </w:rPr>
        <w:t>Kaplan-Meier estimate f</w:t>
      </w:r>
      <w:r w:rsidR="00874ADF" w:rsidRPr="00731632">
        <w:rPr>
          <w:rFonts w:cstheme="minorHAnsi"/>
        </w:rPr>
        <w:t>rom</w:t>
      </w:r>
      <w:r w:rsidRPr="00731632">
        <w:rPr>
          <w:rFonts w:cstheme="minorHAnsi"/>
        </w:rPr>
        <w:t xml:space="preserve"> time to first medically attended RSV confirmed (A) LRTI through </w:t>
      </w:r>
      <w:r w:rsidR="00874ADF" w:rsidRPr="00731632">
        <w:rPr>
          <w:rFonts w:cstheme="minorHAnsi"/>
        </w:rPr>
        <w:t xml:space="preserve">to </w:t>
      </w:r>
      <w:r w:rsidRPr="00731632">
        <w:rPr>
          <w:rFonts w:cstheme="minorHAnsi"/>
        </w:rPr>
        <w:t>150 days post dose (ITT population) and (B) LRTI hospitalisation through 150 days post dose (ITT population) in Phase II</w:t>
      </w:r>
      <w:r w:rsidR="00CF3110" w:rsidRPr="00731632">
        <w:rPr>
          <w:rFonts w:cstheme="minorHAnsi"/>
        </w:rPr>
        <w:t>b</w:t>
      </w:r>
      <w:r w:rsidRPr="00731632">
        <w:rPr>
          <w:rFonts w:cstheme="minorHAnsi"/>
        </w:rPr>
        <w:t xml:space="preserve"> study</w:t>
      </w:r>
    </w:p>
    <w:p w14:paraId="44EADF0B" w14:textId="3C7BDE6B" w:rsidR="00F66715" w:rsidRPr="00731632" w:rsidRDefault="00437714" w:rsidP="00736431">
      <w:pPr>
        <w:pStyle w:val="3-BodyText"/>
        <w:numPr>
          <w:ilvl w:val="0"/>
          <w:numId w:val="0"/>
        </w:numPr>
        <w:spacing w:after="0"/>
        <w:ind w:left="720" w:hanging="720"/>
        <w:rPr>
          <w:color w:val="0066FF"/>
        </w:rPr>
      </w:pPr>
      <w:r w:rsidRPr="00731632">
        <w:rPr>
          <w:rFonts w:cstheme="minorHAnsi"/>
          <w:noProof/>
        </w:rPr>
        <w:drawing>
          <wp:inline distT="0" distB="0" distL="0" distR="0" wp14:anchorId="77109419" wp14:editId="25203C0A">
            <wp:extent cx="5468581" cy="6217920"/>
            <wp:effectExtent l="0" t="0" r="0" b="0"/>
            <wp:docPr id="592671247" name="Picture 592671247" descr="Figure 2: Kaplan-Meier estimate from time to first medically attended RSV confirmed (A) LRTI through to 150 days post dose (ITT population) and (B) LRTI hospitalisation through 150 days post dose (ITT population) in Phase IIb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71247" name="Picture 592671247" descr="Figure 2: Kaplan-Meier estimate from time to first medically attended RSV confirmed (A) LRTI through to 150 days post dose (ITT population) and (B) LRTI hospitalisation through 150 days post dose (ITT population) in Phase IIb study"/>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470992" cy="6220662"/>
                    </a:xfrm>
                    <a:prstGeom prst="rect">
                      <a:avLst/>
                    </a:prstGeom>
                    <a:noFill/>
                    <a:ln>
                      <a:noFill/>
                    </a:ln>
                    <a:extLst>
                      <a:ext uri="{53640926-AAD7-44D8-BBD7-CCE9431645EC}">
                        <a14:shadowObscured xmlns:a14="http://schemas.microsoft.com/office/drawing/2010/main"/>
                      </a:ext>
                    </a:extLst>
                  </pic:spPr>
                </pic:pic>
              </a:graphicData>
            </a:graphic>
          </wp:inline>
        </w:drawing>
      </w:r>
    </w:p>
    <w:p w14:paraId="7B3FF2EF" w14:textId="3FF18EF6" w:rsidR="00F66715" w:rsidRPr="00731632" w:rsidRDefault="003F4F49" w:rsidP="00931DC5">
      <w:pPr>
        <w:pStyle w:val="3-BodyText"/>
        <w:numPr>
          <w:ilvl w:val="0"/>
          <w:numId w:val="0"/>
        </w:numPr>
        <w:spacing w:after="0"/>
        <w:ind w:left="720" w:hanging="720"/>
        <w:rPr>
          <w:rFonts w:ascii="Arial Narrow" w:hAnsi="Arial Narrow"/>
          <w:sz w:val="18"/>
          <w:szCs w:val="18"/>
        </w:rPr>
      </w:pPr>
      <w:r w:rsidRPr="00731632">
        <w:rPr>
          <w:rFonts w:ascii="Arial Narrow" w:hAnsi="Arial Narrow"/>
          <w:sz w:val="18"/>
          <w:szCs w:val="18"/>
        </w:rPr>
        <w:t xml:space="preserve">Source: </w:t>
      </w:r>
      <w:r w:rsidR="00931DC5" w:rsidRPr="00731632">
        <w:rPr>
          <w:rFonts w:ascii="Arial Narrow" w:hAnsi="Arial Narrow"/>
          <w:sz w:val="18"/>
          <w:szCs w:val="18"/>
        </w:rPr>
        <w:t>Figure 2-19, of the submission</w:t>
      </w:r>
    </w:p>
    <w:p w14:paraId="74AB55D0" w14:textId="77777777" w:rsidR="00931DC5" w:rsidRPr="00731632" w:rsidRDefault="00931DC5" w:rsidP="00931DC5">
      <w:pPr>
        <w:pStyle w:val="3-BodyText"/>
        <w:numPr>
          <w:ilvl w:val="0"/>
          <w:numId w:val="0"/>
        </w:numPr>
        <w:spacing w:after="0"/>
        <w:rPr>
          <w:rFonts w:ascii="Arial Narrow" w:hAnsi="Arial Narrow"/>
          <w:sz w:val="18"/>
          <w:szCs w:val="18"/>
        </w:rPr>
      </w:pPr>
      <w:r w:rsidRPr="00731632">
        <w:rPr>
          <w:rFonts w:ascii="Arial Narrow" w:hAnsi="Arial Narrow"/>
          <w:sz w:val="18"/>
          <w:szCs w:val="18"/>
        </w:rPr>
        <w:t xml:space="preserve">ITT = Intent-to-treat; LRTI = lower respiratory tract infection; No = number; RSV = respiratory syncytial virus. </w:t>
      </w:r>
    </w:p>
    <w:p w14:paraId="57EA7B76" w14:textId="6733127A" w:rsidR="00931DC5" w:rsidRPr="00731632" w:rsidRDefault="00931DC5" w:rsidP="00736431">
      <w:pPr>
        <w:pStyle w:val="3-BodyText"/>
        <w:numPr>
          <w:ilvl w:val="0"/>
          <w:numId w:val="0"/>
        </w:numPr>
        <w:spacing w:after="0"/>
        <w:rPr>
          <w:rFonts w:ascii="Arial Narrow" w:hAnsi="Arial Narrow"/>
          <w:sz w:val="18"/>
          <w:szCs w:val="18"/>
        </w:rPr>
      </w:pPr>
      <w:r w:rsidRPr="00731632">
        <w:rPr>
          <w:rFonts w:ascii="Arial Narrow" w:hAnsi="Arial Narrow"/>
          <w:sz w:val="18"/>
          <w:szCs w:val="18"/>
        </w:rPr>
        <w:t>P values were obtained from stratified log-rank test and Wilcoxon test with 2 stratification factors (age at randomization and hemisphere) as the strata.</w:t>
      </w:r>
    </w:p>
    <w:p w14:paraId="2D4A4448" w14:textId="1F54D60A" w:rsidR="00DA4497" w:rsidRPr="00731632" w:rsidRDefault="00DA4497" w:rsidP="00736431">
      <w:pPr>
        <w:pStyle w:val="5-SubsectionSubheading"/>
        <w:spacing w:before="120"/>
        <w:rPr>
          <w:color w:val="0066FF"/>
        </w:rPr>
      </w:pPr>
      <w:r w:rsidRPr="00731632">
        <w:t>Supplementary comparison: nirsevimab versus palivizumab</w:t>
      </w:r>
      <w:r w:rsidR="008C1F58" w:rsidRPr="00731632">
        <w:rPr>
          <w:color w:val="0066FF"/>
        </w:rPr>
        <w:t xml:space="preserve"> </w:t>
      </w:r>
    </w:p>
    <w:p w14:paraId="2C577A2B" w14:textId="3961232D" w:rsidR="00F66715" w:rsidRPr="00731632" w:rsidRDefault="008C1F58" w:rsidP="00DA4497">
      <w:pPr>
        <w:pStyle w:val="3-BodyText"/>
        <w:keepNext/>
        <w:keepLines/>
        <w:numPr>
          <w:ilvl w:val="0"/>
          <w:numId w:val="0"/>
        </w:numPr>
        <w:ind w:left="720" w:hanging="720"/>
        <w:rPr>
          <w:u w:val="single"/>
        </w:rPr>
      </w:pPr>
      <w:r w:rsidRPr="00731632">
        <w:rPr>
          <w:u w:val="single"/>
        </w:rPr>
        <w:t>MEDLEY</w:t>
      </w:r>
      <w:r w:rsidR="00DA4497" w:rsidRPr="00731632">
        <w:rPr>
          <w:u w:val="single"/>
        </w:rPr>
        <w:t xml:space="preserve"> trial</w:t>
      </w:r>
    </w:p>
    <w:p w14:paraId="4263CC82" w14:textId="6E44AE55" w:rsidR="008C1F58" w:rsidRPr="00731632" w:rsidRDefault="008C1F58" w:rsidP="00DA4497">
      <w:pPr>
        <w:pStyle w:val="3-BodyText"/>
        <w:keepNext/>
        <w:keepLines/>
      </w:pPr>
      <w:r w:rsidRPr="00731632">
        <w:t xml:space="preserve">The incidence of MA RSV LRTI in Season 1 for the overall population, preterm cohort, and </w:t>
      </w:r>
      <w:r w:rsidR="003850CF" w:rsidRPr="00731632">
        <w:t>chronic lung disease (</w:t>
      </w:r>
      <w:r w:rsidRPr="00731632">
        <w:t>CLD</w:t>
      </w:r>
      <w:r w:rsidR="003850CF" w:rsidRPr="00731632">
        <w:t>)</w:t>
      </w:r>
      <w:r w:rsidRPr="00731632">
        <w:t>/</w:t>
      </w:r>
      <w:r w:rsidR="003850CF" w:rsidRPr="00731632">
        <w:t xml:space="preserve"> chronic heart disease (</w:t>
      </w:r>
      <w:r w:rsidRPr="00731632">
        <w:t>CHD</w:t>
      </w:r>
      <w:r w:rsidR="003850CF" w:rsidRPr="00731632">
        <w:t>)</w:t>
      </w:r>
      <w:r w:rsidRPr="00731632">
        <w:t xml:space="preserve"> cohort is summarised in </w:t>
      </w:r>
      <w:r w:rsidRPr="00731632">
        <w:fldChar w:fldCharType="begin"/>
      </w:r>
      <w:r w:rsidRPr="00731632">
        <w:instrText xml:space="preserve"> REF _Ref164031864 \h  \* MERGEFORMAT </w:instrText>
      </w:r>
      <w:r w:rsidRPr="00731632">
        <w:fldChar w:fldCharType="separate"/>
      </w:r>
      <w:r w:rsidR="00D770BB" w:rsidRPr="00731632">
        <w:t xml:space="preserve">Table </w:t>
      </w:r>
      <w:r w:rsidR="00D770BB">
        <w:t>9</w:t>
      </w:r>
      <w:r w:rsidRPr="00731632">
        <w:fldChar w:fldCharType="end"/>
      </w:r>
      <w:r w:rsidRPr="00731632">
        <w:t xml:space="preserve">. In the overall population, the incidence of MA RSV LRTI through 150 days post first dose in Season 1 was 0.6% (4/616) in the nirsevimab group compared with 1.0% (3/309) in the palivizumab group. Similarly, low rates were reported across the preterm cohort (0.5% each) and CLD/CHD cohort (1.0% vs 2.0%). </w:t>
      </w:r>
      <w:r w:rsidR="00B7576E" w:rsidRPr="00731632">
        <w:rPr>
          <w:iCs/>
        </w:rPr>
        <w:t>Although a differenc</w:t>
      </w:r>
      <w:r w:rsidR="0097650B" w:rsidRPr="00731632">
        <w:rPr>
          <w:iCs/>
        </w:rPr>
        <w:t>e</w:t>
      </w:r>
      <w:r w:rsidR="00B7576E" w:rsidRPr="00731632">
        <w:rPr>
          <w:iCs/>
        </w:rPr>
        <w:t xml:space="preserve"> was not observed between the nirsevimab and palivizumab arms, </w:t>
      </w:r>
      <w:r w:rsidR="008B3DC8" w:rsidRPr="00731632">
        <w:rPr>
          <w:iCs/>
        </w:rPr>
        <w:t xml:space="preserve">the evaluation noted that </w:t>
      </w:r>
      <w:r w:rsidR="00B7576E" w:rsidRPr="00731632">
        <w:rPr>
          <w:iCs/>
        </w:rPr>
        <w:t xml:space="preserve">this may have been due to the </w:t>
      </w:r>
      <w:r w:rsidR="005624C9" w:rsidRPr="00731632">
        <w:rPr>
          <w:iCs/>
        </w:rPr>
        <w:t xml:space="preserve">small number of subjects enrolled which resulted in a </w:t>
      </w:r>
      <w:r w:rsidR="00B7576E" w:rsidRPr="00731632">
        <w:rPr>
          <w:iCs/>
        </w:rPr>
        <w:t>small number of cases reported across the study</w:t>
      </w:r>
      <w:r w:rsidR="0097650B" w:rsidRPr="00731632">
        <w:rPr>
          <w:iCs/>
        </w:rPr>
        <w:t>, making the results uncertain</w:t>
      </w:r>
      <w:r w:rsidR="00B7576E" w:rsidRPr="00731632">
        <w:rPr>
          <w:iCs/>
        </w:rPr>
        <w:t>.</w:t>
      </w:r>
      <w:r w:rsidR="00846D5B" w:rsidRPr="00731632">
        <w:rPr>
          <w:iCs/>
        </w:rPr>
        <w:t xml:space="preserve"> </w:t>
      </w:r>
      <w:r w:rsidR="0042772C" w:rsidRPr="00731632">
        <w:rPr>
          <w:iCs/>
        </w:rPr>
        <w:t>T</w:t>
      </w:r>
      <w:r w:rsidR="00846D5B" w:rsidRPr="00731632">
        <w:rPr>
          <w:iCs/>
        </w:rPr>
        <w:t>he MEDLEY trial was not designed or powered to assess efficacy</w:t>
      </w:r>
      <w:r w:rsidR="008E721B" w:rsidRPr="00731632">
        <w:rPr>
          <w:iCs/>
        </w:rPr>
        <w:t xml:space="preserve"> as a primary outcome</w:t>
      </w:r>
      <w:r w:rsidR="00846D5B" w:rsidRPr="00731632">
        <w:rPr>
          <w:iCs/>
        </w:rPr>
        <w:t>.</w:t>
      </w:r>
    </w:p>
    <w:p w14:paraId="3936742F" w14:textId="4ED7665A" w:rsidR="008C1F58" w:rsidRPr="00731632" w:rsidRDefault="008C1F58" w:rsidP="008C0ACB">
      <w:pPr>
        <w:pStyle w:val="3-BodyText"/>
      </w:pPr>
      <w:r w:rsidRPr="00731632">
        <w:t>Incidence of MA RSV LRTI with hospitalisation through 150 days post first dose was low: 0.3% (2/616) in the nirsevimab group compared with 0.6% (2/309) in the palivizumab group. None of these events occurred in the preterm cohort and all occurred in the CLD/CHD cohort. Hospitalisations continued to be rare up to 361 days with most occurring in the CLD/CHD cohort.</w:t>
      </w:r>
      <w:r w:rsidR="00B7576E" w:rsidRPr="00731632">
        <w:rPr>
          <w:iCs/>
        </w:rPr>
        <w:t xml:space="preserve"> </w:t>
      </w:r>
      <w:r w:rsidR="00D2662A" w:rsidRPr="00731632">
        <w:rPr>
          <w:iCs/>
        </w:rPr>
        <w:t>The evaluation noted that a</w:t>
      </w:r>
      <w:r w:rsidR="00B7576E" w:rsidRPr="00731632">
        <w:rPr>
          <w:iCs/>
        </w:rPr>
        <w:t xml:space="preserve">s with MA RSV LRTI, the small number of cases of hospitalisation may not have provided enough power </w:t>
      </w:r>
      <w:r w:rsidR="00874ADF" w:rsidRPr="00731632">
        <w:rPr>
          <w:iCs/>
        </w:rPr>
        <w:t xml:space="preserve">to </w:t>
      </w:r>
      <w:r w:rsidR="00B7576E" w:rsidRPr="00731632">
        <w:rPr>
          <w:iCs/>
        </w:rPr>
        <w:t>detect a difference between the nirsevimab and palivizumab arms.</w:t>
      </w:r>
    </w:p>
    <w:p w14:paraId="28582659" w14:textId="0EB25413" w:rsidR="0038240B" w:rsidRPr="00731632" w:rsidRDefault="0038240B" w:rsidP="0038240B">
      <w:pPr>
        <w:pStyle w:val="Caption"/>
      </w:pPr>
      <w:bookmarkStart w:id="40" w:name="_Ref164031864"/>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9</w:t>
      </w:r>
      <w:r w:rsidR="00BD1FC6" w:rsidRPr="00731632">
        <w:fldChar w:fldCharType="end"/>
      </w:r>
      <w:bookmarkEnd w:id="40"/>
      <w:r w:rsidRPr="00731632">
        <w:t>: Incidence of MA RSV LRTI and hospitalisations in the MEDLEY trial</w:t>
      </w:r>
    </w:p>
    <w:tbl>
      <w:tblPr>
        <w:tblStyle w:val="TableGrid"/>
        <w:tblW w:w="5000" w:type="pct"/>
        <w:tblLook w:val="04A0" w:firstRow="1" w:lastRow="0" w:firstColumn="1" w:lastColumn="0" w:noHBand="0" w:noVBand="1"/>
        <w:tblCaption w:val="Table 9: Incidence of MA RSV LRTI and hospitalisations in the MEDLEY trial"/>
      </w:tblPr>
      <w:tblGrid>
        <w:gridCol w:w="2219"/>
        <w:gridCol w:w="1101"/>
        <w:gridCol w:w="1165"/>
        <w:gridCol w:w="1101"/>
        <w:gridCol w:w="1165"/>
        <w:gridCol w:w="1101"/>
        <w:gridCol w:w="1165"/>
      </w:tblGrid>
      <w:tr w:rsidR="002C6FFE" w:rsidRPr="00731632" w14:paraId="0BD86EE0" w14:textId="57F441EC" w:rsidTr="002C6FFE">
        <w:tc>
          <w:tcPr>
            <w:tcW w:w="0" w:type="auto"/>
            <w:shd w:val="clear" w:color="auto" w:fill="auto"/>
          </w:tcPr>
          <w:p w14:paraId="19E1996B" w14:textId="77777777" w:rsidR="002C6FFE" w:rsidRPr="00731632" w:rsidRDefault="002C6FFE" w:rsidP="00866F91">
            <w:pPr>
              <w:rPr>
                <w:rFonts w:ascii="Arial Narrow" w:hAnsi="Arial Narrow"/>
                <w:b/>
                <w:bCs/>
                <w:sz w:val="20"/>
                <w:szCs w:val="20"/>
              </w:rPr>
            </w:pPr>
          </w:p>
        </w:tc>
        <w:tc>
          <w:tcPr>
            <w:tcW w:w="0" w:type="auto"/>
            <w:gridSpan w:val="2"/>
            <w:shd w:val="clear" w:color="auto" w:fill="auto"/>
            <w:vAlign w:val="center"/>
          </w:tcPr>
          <w:p w14:paraId="7EC75311" w14:textId="77777777" w:rsidR="002C6FFE" w:rsidRPr="00731632" w:rsidRDefault="002C6FFE" w:rsidP="00866F91">
            <w:pPr>
              <w:jc w:val="center"/>
              <w:rPr>
                <w:rFonts w:ascii="Arial Narrow" w:hAnsi="Arial Narrow"/>
                <w:b/>
                <w:bCs/>
                <w:sz w:val="20"/>
                <w:szCs w:val="20"/>
              </w:rPr>
            </w:pPr>
            <w:r w:rsidRPr="00731632">
              <w:rPr>
                <w:rFonts w:ascii="Arial Narrow" w:hAnsi="Arial Narrow"/>
                <w:b/>
                <w:bCs/>
                <w:sz w:val="20"/>
                <w:szCs w:val="20"/>
              </w:rPr>
              <w:t>Overall</w:t>
            </w:r>
          </w:p>
        </w:tc>
        <w:tc>
          <w:tcPr>
            <w:tcW w:w="0" w:type="auto"/>
            <w:gridSpan w:val="2"/>
            <w:shd w:val="clear" w:color="auto" w:fill="auto"/>
            <w:vAlign w:val="center"/>
          </w:tcPr>
          <w:p w14:paraId="3FCAB208" w14:textId="77777777" w:rsidR="002C6FFE" w:rsidRPr="00731632" w:rsidRDefault="002C6FFE" w:rsidP="00866F91">
            <w:pPr>
              <w:jc w:val="center"/>
              <w:rPr>
                <w:rFonts w:ascii="Arial Narrow" w:hAnsi="Arial Narrow"/>
                <w:b/>
                <w:bCs/>
                <w:sz w:val="20"/>
                <w:szCs w:val="20"/>
              </w:rPr>
            </w:pPr>
            <w:r w:rsidRPr="00731632">
              <w:rPr>
                <w:rFonts w:ascii="Arial Narrow" w:hAnsi="Arial Narrow"/>
                <w:b/>
                <w:bCs/>
                <w:sz w:val="20"/>
                <w:szCs w:val="20"/>
              </w:rPr>
              <w:t>Preterm</w:t>
            </w:r>
          </w:p>
        </w:tc>
        <w:tc>
          <w:tcPr>
            <w:tcW w:w="0" w:type="auto"/>
            <w:gridSpan w:val="2"/>
            <w:shd w:val="clear" w:color="auto" w:fill="auto"/>
            <w:vAlign w:val="center"/>
          </w:tcPr>
          <w:p w14:paraId="5E1CA450" w14:textId="77777777" w:rsidR="002C6FFE" w:rsidRPr="00731632" w:rsidRDefault="002C6FFE" w:rsidP="00866F91">
            <w:pPr>
              <w:jc w:val="center"/>
              <w:rPr>
                <w:rFonts w:ascii="Arial Narrow" w:hAnsi="Arial Narrow"/>
                <w:b/>
                <w:bCs/>
                <w:sz w:val="20"/>
                <w:szCs w:val="20"/>
              </w:rPr>
            </w:pPr>
            <w:r w:rsidRPr="00731632">
              <w:rPr>
                <w:rFonts w:ascii="Arial Narrow" w:hAnsi="Arial Narrow"/>
                <w:b/>
                <w:bCs/>
                <w:sz w:val="20"/>
                <w:szCs w:val="20"/>
              </w:rPr>
              <w:t>CLD/CHD</w:t>
            </w:r>
          </w:p>
        </w:tc>
      </w:tr>
      <w:tr w:rsidR="002C6FFE" w:rsidRPr="00731632" w14:paraId="61663020" w14:textId="06415552" w:rsidTr="002C6FFE">
        <w:tc>
          <w:tcPr>
            <w:tcW w:w="0" w:type="auto"/>
            <w:shd w:val="clear" w:color="auto" w:fill="auto"/>
          </w:tcPr>
          <w:p w14:paraId="09224ABD" w14:textId="77777777" w:rsidR="002C6FFE" w:rsidRPr="00731632" w:rsidRDefault="002C6FFE" w:rsidP="002C6FFE">
            <w:pPr>
              <w:rPr>
                <w:rFonts w:ascii="Arial Narrow" w:hAnsi="Arial Narrow"/>
                <w:b/>
                <w:bCs/>
                <w:sz w:val="20"/>
                <w:szCs w:val="20"/>
              </w:rPr>
            </w:pPr>
          </w:p>
        </w:tc>
        <w:tc>
          <w:tcPr>
            <w:tcW w:w="0" w:type="auto"/>
            <w:shd w:val="clear" w:color="auto" w:fill="auto"/>
            <w:vAlign w:val="center"/>
          </w:tcPr>
          <w:p w14:paraId="158EF2AF"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Nirsevimab</w:t>
            </w:r>
          </w:p>
          <w:p w14:paraId="36B31CD8" w14:textId="2800E67D"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 616)</w:t>
            </w:r>
            <w:r w:rsidRPr="00731632">
              <w:rPr>
                <w:rFonts w:ascii="Arial Narrow" w:hAnsi="Arial Narrow"/>
                <w:b/>
                <w:bCs/>
                <w:sz w:val="20"/>
                <w:szCs w:val="20"/>
              </w:rPr>
              <w:br/>
              <w:t>n (%)</w:t>
            </w:r>
          </w:p>
        </w:tc>
        <w:tc>
          <w:tcPr>
            <w:tcW w:w="0" w:type="auto"/>
            <w:shd w:val="clear" w:color="auto" w:fill="auto"/>
            <w:vAlign w:val="center"/>
          </w:tcPr>
          <w:p w14:paraId="73BFA63A"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Palivizumab</w:t>
            </w:r>
          </w:p>
          <w:p w14:paraId="1A590771"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 309)</w:t>
            </w:r>
          </w:p>
          <w:p w14:paraId="441FF0FE" w14:textId="647F4401"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c>
          <w:tcPr>
            <w:tcW w:w="0" w:type="auto"/>
            <w:shd w:val="clear" w:color="auto" w:fill="auto"/>
            <w:vAlign w:val="center"/>
          </w:tcPr>
          <w:p w14:paraId="4136EAAA"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Nirsevimab</w:t>
            </w:r>
          </w:p>
          <w:p w14:paraId="72D56601"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 407)</w:t>
            </w:r>
          </w:p>
          <w:p w14:paraId="16F204AB" w14:textId="7FB723EE"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c>
          <w:tcPr>
            <w:tcW w:w="0" w:type="auto"/>
            <w:shd w:val="clear" w:color="auto" w:fill="auto"/>
            <w:vAlign w:val="center"/>
          </w:tcPr>
          <w:p w14:paraId="3628286A"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Palivizumab</w:t>
            </w:r>
          </w:p>
          <w:p w14:paraId="3DA32B79"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 208)</w:t>
            </w:r>
          </w:p>
          <w:p w14:paraId="672E3A1E" w14:textId="37C786F1"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c>
          <w:tcPr>
            <w:tcW w:w="0" w:type="auto"/>
            <w:shd w:val="clear" w:color="auto" w:fill="auto"/>
            <w:vAlign w:val="center"/>
          </w:tcPr>
          <w:p w14:paraId="147A5B3B"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Nirsevimab</w:t>
            </w:r>
          </w:p>
          <w:p w14:paraId="350A921E"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 209)</w:t>
            </w:r>
          </w:p>
          <w:p w14:paraId="496804EE" w14:textId="71945EC3"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c>
          <w:tcPr>
            <w:tcW w:w="0" w:type="auto"/>
            <w:shd w:val="clear" w:color="auto" w:fill="auto"/>
            <w:vAlign w:val="center"/>
          </w:tcPr>
          <w:p w14:paraId="2BF03DAD"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Palivizumab</w:t>
            </w:r>
          </w:p>
          <w:p w14:paraId="3A7ADFE1"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 101)</w:t>
            </w:r>
          </w:p>
          <w:p w14:paraId="2399E155" w14:textId="16EB7FE6"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r>
      <w:tr w:rsidR="002C6FFE" w:rsidRPr="00731632" w14:paraId="4C9CA647" w14:textId="362506A3" w:rsidTr="002C6FFE">
        <w:tc>
          <w:tcPr>
            <w:tcW w:w="0" w:type="auto"/>
            <w:gridSpan w:val="7"/>
            <w:vAlign w:val="center"/>
          </w:tcPr>
          <w:p w14:paraId="285128F2" w14:textId="77777777" w:rsidR="002C6FFE" w:rsidRPr="00731632" w:rsidRDefault="002C6FFE" w:rsidP="002C6FFE">
            <w:pPr>
              <w:ind w:right="169"/>
              <w:rPr>
                <w:rFonts w:ascii="Arial Narrow" w:hAnsi="Arial Narrow"/>
                <w:b/>
                <w:bCs/>
                <w:sz w:val="20"/>
                <w:szCs w:val="20"/>
              </w:rPr>
            </w:pPr>
            <w:r w:rsidRPr="00731632">
              <w:rPr>
                <w:rFonts w:ascii="Arial Narrow" w:hAnsi="Arial Narrow"/>
                <w:b/>
                <w:bCs/>
                <w:sz w:val="20"/>
                <w:szCs w:val="20"/>
              </w:rPr>
              <w:t>MA RSV LRTI</w:t>
            </w:r>
          </w:p>
        </w:tc>
      </w:tr>
      <w:tr w:rsidR="002C6FFE" w:rsidRPr="00731632" w14:paraId="6C9C9659" w14:textId="535B637B" w:rsidTr="002C6FFE">
        <w:tc>
          <w:tcPr>
            <w:tcW w:w="0" w:type="auto"/>
            <w:vAlign w:val="center"/>
          </w:tcPr>
          <w:p w14:paraId="30A3CDE2"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 xml:space="preserve">Through 150 days post first dose [95% CI] </w:t>
            </w:r>
            <w:r w:rsidRPr="00731632">
              <w:rPr>
                <w:rFonts w:ascii="Arial Narrow" w:hAnsi="Arial Narrow"/>
                <w:sz w:val="20"/>
                <w:szCs w:val="20"/>
                <w:vertAlign w:val="superscript"/>
              </w:rPr>
              <w:t>a</w:t>
            </w:r>
          </w:p>
        </w:tc>
        <w:tc>
          <w:tcPr>
            <w:tcW w:w="0" w:type="auto"/>
            <w:vAlign w:val="center"/>
          </w:tcPr>
          <w:p w14:paraId="082CB311"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4 (0.6)</w:t>
            </w:r>
          </w:p>
          <w:p w14:paraId="77E471C9" w14:textId="35DE362B" w:rsidR="002C6FFE" w:rsidRPr="00731632" w:rsidRDefault="002C6FFE" w:rsidP="002C6FFE">
            <w:pPr>
              <w:jc w:val="center"/>
              <w:rPr>
                <w:rFonts w:ascii="Arial Narrow" w:hAnsi="Arial Narrow"/>
                <w:sz w:val="20"/>
                <w:szCs w:val="20"/>
              </w:rPr>
            </w:pPr>
            <w:r w:rsidRPr="00731632">
              <w:rPr>
                <w:rFonts w:ascii="Arial Narrow" w:hAnsi="Arial Narrow"/>
                <w:sz w:val="20"/>
                <w:szCs w:val="20"/>
              </w:rPr>
              <w:t>[0.18, 1.65]</w:t>
            </w:r>
          </w:p>
        </w:tc>
        <w:tc>
          <w:tcPr>
            <w:tcW w:w="0" w:type="auto"/>
            <w:vAlign w:val="center"/>
          </w:tcPr>
          <w:p w14:paraId="46E079A8"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3 (1.0)</w:t>
            </w:r>
          </w:p>
          <w:p w14:paraId="7914F92C" w14:textId="2CA7FD5F" w:rsidR="002C6FFE" w:rsidRPr="00731632" w:rsidRDefault="002C6FFE" w:rsidP="002C6FFE">
            <w:pPr>
              <w:jc w:val="center"/>
              <w:rPr>
                <w:rFonts w:ascii="Arial Narrow" w:hAnsi="Arial Narrow"/>
                <w:sz w:val="20"/>
                <w:szCs w:val="20"/>
              </w:rPr>
            </w:pPr>
            <w:r w:rsidRPr="00731632">
              <w:rPr>
                <w:rFonts w:ascii="Arial Narrow" w:hAnsi="Arial Narrow"/>
                <w:sz w:val="20"/>
                <w:szCs w:val="20"/>
              </w:rPr>
              <w:t>[0.20, 2.81]</w:t>
            </w:r>
          </w:p>
        </w:tc>
        <w:tc>
          <w:tcPr>
            <w:tcW w:w="0" w:type="auto"/>
            <w:vAlign w:val="center"/>
          </w:tcPr>
          <w:p w14:paraId="179059BA"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2 (0.5)</w:t>
            </w:r>
          </w:p>
          <w:p w14:paraId="2D6AE3A2" w14:textId="17CEE73A" w:rsidR="002C6FFE" w:rsidRPr="00731632" w:rsidRDefault="002C6FFE" w:rsidP="002C6FFE">
            <w:pPr>
              <w:jc w:val="center"/>
              <w:rPr>
                <w:rFonts w:ascii="Arial Narrow" w:hAnsi="Arial Narrow"/>
                <w:sz w:val="20"/>
                <w:szCs w:val="20"/>
              </w:rPr>
            </w:pPr>
            <w:r w:rsidRPr="00731632">
              <w:rPr>
                <w:rFonts w:ascii="Arial Narrow" w:hAnsi="Arial Narrow"/>
                <w:sz w:val="20"/>
                <w:szCs w:val="20"/>
              </w:rPr>
              <w:t>[0.06, 1.76]</w:t>
            </w:r>
          </w:p>
        </w:tc>
        <w:tc>
          <w:tcPr>
            <w:tcW w:w="0" w:type="auto"/>
            <w:vAlign w:val="center"/>
          </w:tcPr>
          <w:p w14:paraId="16FA1D82"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1 (0.5)</w:t>
            </w:r>
          </w:p>
          <w:p w14:paraId="66E1F5C2" w14:textId="144AB216" w:rsidR="002C6FFE" w:rsidRPr="00731632" w:rsidRDefault="002C6FFE" w:rsidP="002C6FFE">
            <w:pPr>
              <w:jc w:val="center"/>
              <w:rPr>
                <w:rFonts w:ascii="Arial Narrow" w:hAnsi="Arial Narrow"/>
                <w:sz w:val="20"/>
                <w:szCs w:val="20"/>
              </w:rPr>
            </w:pPr>
            <w:r w:rsidRPr="00731632">
              <w:rPr>
                <w:rFonts w:ascii="Arial Narrow" w:hAnsi="Arial Narrow"/>
                <w:sz w:val="20"/>
                <w:szCs w:val="20"/>
              </w:rPr>
              <w:t>[0.01, 2.65]</w:t>
            </w:r>
          </w:p>
        </w:tc>
        <w:tc>
          <w:tcPr>
            <w:tcW w:w="0" w:type="auto"/>
            <w:vAlign w:val="center"/>
          </w:tcPr>
          <w:p w14:paraId="2C13087F"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2 (1.0)</w:t>
            </w:r>
          </w:p>
          <w:p w14:paraId="1BBF1363" w14:textId="7139A93B" w:rsidR="002C6FFE" w:rsidRPr="00731632" w:rsidRDefault="002C6FFE" w:rsidP="002C6FFE">
            <w:pPr>
              <w:jc w:val="center"/>
              <w:rPr>
                <w:rFonts w:ascii="Arial Narrow" w:hAnsi="Arial Narrow"/>
                <w:sz w:val="20"/>
                <w:szCs w:val="20"/>
              </w:rPr>
            </w:pPr>
            <w:r w:rsidRPr="00731632">
              <w:rPr>
                <w:rFonts w:ascii="Arial Narrow" w:hAnsi="Arial Narrow"/>
                <w:sz w:val="20"/>
                <w:szCs w:val="20"/>
              </w:rPr>
              <w:t>[0.12, 3.41]</w:t>
            </w:r>
          </w:p>
        </w:tc>
        <w:tc>
          <w:tcPr>
            <w:tcW w:w="0" w:type="auto"/>
            <w:vAlign w:val="center"/>
          </w:tcPr>
          <w:p w14:paraId="66E5F13F"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2 (2.0)</w:t>
            </w:r>
          </w:p>
          <w:p w14:paraId="12C3623E" w14:textId="1E64EBE2" w:rsidR="002C6FFE" w:rsidRPr="00731632" w:rsidRDefault="002C6FFE" w:rsidP="002C6FFE">
            <w:pPr>
              <w:jc w:val="center"/>
              <w:rPr>
                <w:rFonts w:ascii="Arial Narrow" w:hAnsi="Arial Narrow"/>
                <w:sz w:val="20"/>
                <w:szCs w:val="20"/>
              </w:rPr>
            </w:pPr>
            <w:r w:rsidRPr="00731632">
              <w:rPr>
                <w:rFonts w:ascii="Arial Narrow" w:hAnsi="Arial Narrow"/>
                <w:sz w:val="20"/>
                <w:szCs w:val="20"/>
              </w:rPr>
              <w:t>[0.24, 6.97]</w:t>
            </w:r>
          </w:p>
        </w:tc>
      </w:tr>
      <w:tr w:rsidR="002C6FFE" w:rsidRPr="00731632" w14:paraId="1CCAA857" w14:textId="62AC81D9" w:rsidTr="002C6FFE">
        <w:tc>
          <w:tcPr>
            <w:tcW w:w="0" w:type="auto"/>
            <w:vAlign w:val="center"/>
          </w:tcPr>
          <w:p w14:paraId="4E40CC84"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 xml:space="preserve">From 151 to 360 days post first dose </w:t>
            </w:r>
            <w:r w:rsidRPr="00731632">
              <w:rPr>
                <w:rFonts w:ascii="Arial Narrow" w:hAnsi="Arial Narrow"/>
                <w:sz w:val="20"/>
                <w:szCs w:val="20"/>
                <w:vertAlign w:val="superscript"/>
              </w:rPr>
              <w:t>b</w:t>
            </w:r>
          </w:p>
        </w:tc>
        <w:tc>
          <w:tcPr>
            <w:tcW w:w="0" w:type="auto"/>
            <w:vAlign w:val="center"/>
          </w:tcPr>
          <w:p w14:paraId="26F2CB48" w14:textId="28D0E2CB"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8/593 (1.3) </w:t>
            </w:r>
          </w:p>
        </w:tc>
        <w:tc>
          <w:tcPr>
            <w:tcW w:w="0" w:type="auto"/>
            <w:vAlign w:val="center"/>
          </w:tcPr>
          <w:p w14:paraId="4B6D4F24" w14:textId="43AFE919"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4/293 (1.4) </w:t>
            </w:r>
          </w:p>
        </w:tc>
        <w:tc>
          <w:tcPr>
            <w:tcW w:w="0" w:type="auto"/>
            <w:vAlign w:val="center"/>
          </w:tcPr>
          <w:p w14:paraId="3B81E495" w14:textId="77894773"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6/389 (1.5) </w:t>
            </w:r>
          </w:p>
        </w:tc>
        <w:tc>
          <w:tcPr>
            <w:tcW w:w="0" w:type="auto"/>
            <w:vAlign w:val="center"/>
          </w:tcPr>
          <w:p w14:paraId="012AED11" w14:textId="109EAFC4"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3/198 (1.5) </w:t>
            </w:r>
          </w:p>
        </w:tc>
        <w:tc>
          <w:tcPr>
            <w:tcW w:w="0" w:type="auto"/>
            <w:vAlign w:val="center"/>
          </w:tcPr>
          <w:p w14:paraId="66D55CD8" w14:textId="4C1E2602" w:rsidR="002C6FFE" w:rsidRPr="00731632" w:rsidRDefault="002C6FFE" w:rsidP="002C6FFE">
            <w:pPr>
              <w:jc w:val="center"/>
              <w:rPr>
                <w:rFonts w:ascii="Arial Narrow" w:hAnsi="Arial Narrow"/>
                <w:sz w:val="20"/>
                <w:szCs w:val="20"/>
              </w:rPr>
            </w:pPr>
            <w:r w:rsidRPr="00731632">
              <w:rPr>
                <w:rFonts w:ascii="Arial Narrow" w:hAnsi="Arial Narrow"/>
                <w:sz w:val="20"/>
                <w:szCs w:val="20"/>
              </w:rPr>
              <w:t>2/204 (1.0)</w:t>
            </w:r>
          </w:p>
        </w:tc>
        <w:tc>
          <w:tcPr>
            <w:tcW w:w="0" w:type="auto"/>
            <w:vAlign w:val="center"/>
          </w:tcPr>
          <w:p w14:paraId="2257C91A" w14:textId="1C098481"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1/95 (1.1) </w:t>
            </w:r>
          </w:p>
        </w:tc>
      </w:tr>
      <w:tr w:rsidR="002C6FFE" w:rsidRPr="00731632" w14:paraId="3433FBBF" w14:textId="4E9F54FA" w:rsidTr="002C6FFE">
        <w:tc>
          <w:tcPr>
            <w:tcW w:w="0" w:type="auto"/>
            <w:vAlign w:val="center"/>
          </w:tcPr>
          <w:p w14:paraId="25A8C66F"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Through 360 days post first dose</w:t>
            </w:r>
          </w:p>
        </w:tc>
        <w:tc>
          <w:tcPr>
            <w:tcW w:w="0" w:type="auto"/>
            <w:vAlign w:val="center"/>
          </w:tcPr>
          <w:p w14:paraId="56D145F9" w14:textId="7099510C"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12 (1.9) </w:t>
            </w:r>
          </w:p>
        </w:tc>
        <w:tc>
          <w:tcPr>
            <w:tcW w:w="0" w:type="auto"/>
            <w:vAlign w:val="center"/>
          </w:tcPr>
          <w:p w14:paraId="35763D65" w14:textId="4E8E37C7"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7 (2.3) </w:t>
            </w:r>
          </w:p>
        </w:tc>
        <w:tc>
          <w:tcPr>
            <w:tcW w:w="0" w:type="auto"/>
            <w:vAlign w:val="center"/>
          </w:tcPr>
          <w:p w14:paraId="141E20AA" w14:textId="68870D7F"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8 (2.0) </w:t>
            </w:r>
          </w:p>
        </w:tc>
        <w:tc>
          <w:tcPr>
            <w:tcW w:w="0" w:type="auto"/>
            <w:vAlign w:val="center"/>
          </w:tcPr>
          <w:p w14:paraId="62D7CC7C" w14:textId="32C9A767"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4 (1.9) </w:t>
            </w:r>
          </w:p>
        </w:tc>
        <w:tc>
          <w:tcPr>
            <w:tcW w:w="0" w:type="auto"/>
            <w:vAlign w:val="center"/>
          </w:tcPr>
          <w:p w14:paraId="0BCC89C4" w14:textId="3BA4F205" w:rsidR="002C6FFE" w:rsidRPr="00731632" w:rsidRDefault="002C6FFE" w:rsidP="002C6FFE">
            <w:pPr>
              <w:jc w:val="center"/>
              <w:rPr>
                <w:rFonts w:ascii="Arial Narrow" w:hAnsi="Arial Narrow"/>
                <w:sz w:val="20"/>
                <w:szCs w:val="20"/>
              </w:rPr>
            </w:pPr>
            <w:r w:rsidRPr="00731632">
              <w:rPr>
                <w:rFonts w:ascii="Arial Narrow" w:hAnsi="Arial Narrow"/>
                <w:sz w:val="20"/>
                <w:szCs w:val="20"/>
              </w:rPr>
              <w:t>4 (1.9)</w:t>
            </w:r>
          </w:p>
        </w:tc>
        <w:tc>
          <w:tcPr>
            <w:tcW w:w="0" w:type="auto"/>
            <w:vAlign w:val="center"/>
          </w:tcPr>
          <w:p w14:paraId="40CDDA14" w14:textId="3EB691CF"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3 (3.0) </w:t>
            </w:r>
          </w:p>
        </w:tc>
      </w:tr>
      <w:tr w:rsidR="002C6FFE" w:rsidRPr="00731632" w14:paraId="40A6687D" w14:textId="7E3054A1" w:rsidTr="002C6FFE">
        <w:tc>
          <w:tcPr>
            <w:tcW w:w="0" w:type="auto"/>
            <w:gridSpan w:val="7"/>
            <w:vAlign w:val="center"/>
          </w:tcPr>
          <w:p w14:paraId="494D96FE" w14:textId="77777777" w:rsidR="002C6FFE" w:rsidRPr="00731632" w:rsidRDefault="002C6FFE" w:rsidP="002C6FFE">
            <w:pPr>
              <w:rPr>
                <w:rFonts w:ascii="Arial Narrow" w:hAnsi="Arial Narrow"/>
                <w:b/>
                <w:bCs/>
                <w:sz w:val="20"/>
                <w:szCs w:val="20"/>
              </w:rPr>
            </w:pPr>
            <w:r w:rsidRPr="00731632">
              <w:rPr>
                <w:rFonts w:ascii="Arial Narrow" w:hAnsi="Arial Narrow"/>
                <w:b/>
                <w:bCs/>
                <w:sz w:val="20"/>
                <w:szCs w:val="20"/>
              </w:rPr>
              <w:t>MA RSV LRTI with hospitalisation</w:t>
            </w:r>
          </w:p>
        </w:tc>
      </w:tr>
      <w:tr w:rsidR="002C6FFE" w:rsidRPr="00731632" w14:paraId="2D75F365" w14:textId="6870EB03" w:rsidTr="002C6FFE">
        <w:tc>
          <w:tcPr>
            <w:tcW w:w="0" w:type="auto"/>
            <w:vAlign w:val="center"/>
          </w:tcPr>
          <w:p w14:paraId="4B03518F"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Through 150 days post first dose</w:t>
            </w:r>
          </w:p>
        </w:tc>
        <w:tc>
          <w:tcPr>
            <w:tcW w:w="0" w:type="auto"/>
            <w:vAlign w:val="center"/>
          </w:tcPr>
          <w:p w14:paraId="595CC618" w14:textId="5FCDEF78"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2 (0.3) </w:t>
            </w:r>
          </w:p>
        </w:tc>
        <w:tc>
          <w:tcPr>
            <w:tcW w:w="0" w:type="auto"/>
            <w:vAlign w:val="center"/>
          </w:tcPr>
          <w:p w14:paraId="57287D2E" w14:textId="6005259B"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2 (0.6) </w:t>
            </w:r>
          </w:p>
        </w:tc>
        <w:tc>
          <w:tcPr>
            <w:tcW w:w="0" w:type="auto"/>
            <w:vAlign w:val="center"/>
          </w:tcPr>
          <w:p w14:paraId="47572E38" w14:textId="0F9B4FF6"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0 </w:t>
            </w:r>
          </w:p>
        </w:tc>
        <w:tc>
          <w:tcPr>
            <w:tcW w:w="0" w:type="auto"/>
            <w:vAlign w:val="center"/>
          </w:tcPr>
          <w:p w14:paraId="7694F262" w14:textId="751B2406"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0 </w:t>
            </w:r>
          </w:p>
        </w:tc>
        <w:tc>
          <w:tcPr>
            <w:tcW w:w="0" w:type="auto"/>
            <w:vAlign w:val="center"/>
          </w:tcPr>
          <w:p w14:paraId="4B2383D9" w14:textId="5DEB0AC9" w:rsidR="002C6FFE" w:rsidRPr="00731632" w:rsidRDefault="002C6FFE" w:rsidP="002C6FFE">
            <w:pPr>
              <w:jc w:val="center"/>
              <w:rPr>
                <w:rFonts w:ascii="Arial Narrow" w:hAnsi="Arial Narrow"/>
                <w:sz w:val="20"/>
                <w:szCs w:val="20"/>
              </w:rPr>
            </w:pPr>
            <w:r w:rsidRPr="00731632">
              <w:rPr>
                <w:rFonts w:ascii="Arial Narrow" w:hAnsi="Arial Narrow"/>
                <w:sz w:val="20"/>
                <w:szCs w:val="20"/>
              </w:rPr>
              <w:t>2 (1.0)</w:t>
            </w:r>
          </w:p>
        </w:tc>
        <w:tc>
          <w:tcPr>
            <w:tcW w:w="0" w:type="auto"/>
            <w:vAlign w:val="center"/>
          </w:tcPr>
          <w:p w14:paraId="2C860B8D" w14:textId="2EEFB104"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2 (2.0) </w:t>
            </w:r>
          </w:p>
        </w:tc>
      </w:tr>
      <w:tr w:rsidR="002C6FFE" w:rsidRPr="00731632" w14:paraId="777EA47A" w14:textId="1D3DA693" w:rsidTr="002C6FFE">
        <w:tc>
          <w:tcPr>
            <w:tcW w:w="0" w:type="auto"/>
            <w:vAlign w:val="center"/>
          </w:tcPr>
          <w:p w14:paraId="210734FF"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 xml:space="preserve">From 151 to 360 days post first dose </w:t>
            </w:r>
            <w:r w:rsidRPr="00731632">
              <w:rPr>
                <w:rFonts w:ascii="Arial Narrow" w:hAnsi="Arial Narrow"/>
                <w:sz w:val="20"/>
                <w:szCs w:val="20"/>
                <w:vertAlign w:val="superscript"/>
              </w:rPr>
              <w:t>c</w:t>
            </w:r>
          </w:p>
        </w:tc>
        <w:tc>
          <w:tcPr>
            <w:tcW w:w="0" w:type="auto"/>
            <w:vAlign w:val="center"/>
          </w:tcPr>
          <w:p w14:paraId="2C88E32B" w14:textId="7A68AC07"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3/593 (0.5) </w:t>
            </w:r>
          </w:p>
        </w:tc>
        <w:tc>
          <w:tcPr>
            <w:tcW w:w="0" w:type="auto"/>
            <w:vAlign w:val="center"/>
          </w:tcPr>
          <w:p w14:paraId="1A7FBBDE" w14:textId="408083F3"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1/293 (0.3) </w:t>
            </w:r>
          </w:p>
        </w:tc>
        <w:tc>
          <w:tcPr>
            <w:tcW w:w="0" w:type="auto"/>
            <w:vAlign w:val="center"/>
          </w:tcPr>
          <w:p w14:paraId="315705EC" w14:textId="54575B38"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1/389 (0.3) </w:t>
            </w:r>
          </w:p>
        </w:tc>
        <w:tc>
          <w:tcPr>
            <w:tcW w:w="0" w:type="auto"/>
            <w:vAlign w:val="center"/>
          </w:tcPr>
          <w:p w14:paraId="728AF324" w14:textId="2D41FD61"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0 </w:t>
            </w:r>
          </w:p>
        </w:tc>
        <w:tc>
          <w:tcPr>
            <w:tcW w:w="0" w:type="auto"/>
            <w:vAlign w:val="center"/>
          </w:tcPr>
          <w:p w14:paraId="579EA60F" w14:textId="1D09ADF8" w:rsidR="002C6FFE" w:rsidRPr="00731632" w:rsidRDefault="002C6FFE" w:rsidP="002C6FFE">
            <w:pPr>
              <w:jc w:val="center"/>
              <w:rPr>
                <w:rFonts w:ascii="Arial Narrow" w:hAnsi="Arial Narrow"/>
                <w:sz w:val="20"/>
                <w:szCs w:val="20"/>
              </w:rPr>
            </w:pPr>
            <w:r w:rsidRPr="00731632">
              <w:rPr>
                <w:rFonts w:ascii="Arial Narrow" w:hAnsi="Arial Narrow"/>
                <w:sz w:val="20"/>
                <w:szCs w:val="20"/>
              </w:rPr>
              <w:t>2/204 (1.0)</w:t>
            </w:r>
          </w:p>
        </w:tc>
        <w:tc>
          <w:tcPr>
            <w:tcW w:w="0" w:type="auto"/>
            <w:vAlign w:val="center"/>
          </w:tcPr>
          <w:p w14:paraId="7C55828F" w14:textId="4BBDFC7F"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1/95 (1.1) </w:t>
            </w:r>
          </w:p>
        </w:tc>
      </w:tr>
      <w:tr w:rsidR="002C6FFE" w:rsidRPr="00731632" w14:paraId="088E8ADD" w14:textId="70D6577C" w:rsidTr="002C6FFE">
        <w:tc>
          <w:tcPr>
            <w:tcW w:w="0" w:type="auto"/>
            <w:vAlign w:val="center"/>
          </w:tcPr>
          <w:p w14:paraId="5078D853"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Through 360 days post first dose</w:t>
            </w:r>
          </w:p>
        </w:tc>
        <w:tc>
          <w:tcPr>
            <w:tcW w:w="0" w:type="auto"/>
            <w:vAlign w:val="center"/>
          </w:tcPr>
          <w:p w14:paraId="470FD9AB" w14:textId="1C9C75CA"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5 (0.8) </w:t>
            </w:r>
          </w:p>
        </w:tc>
        <w:tc>
          <w:tcPr>
            <w:tcW w:w="0" w:type="auto"/>
            <w:vAlign w:val="center"/>
          </w:tcPr>
          <w:p w14:paraId="461E5614" w14:textId="1D52D68C"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3 (1.0) </w:t>
            </w:r>
          </w:p>
        </w:tc>
        <w:tc>
          <w:tcPr>
            <w:tcW w:w="0" w:type="auto"/>
            <w:vAlign w:val="center"/>
          </w:tcPr>
          <w:p w14:paraId="14D918C2" w14:textId="36535ECB"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 (0.2) </w:t>
            </w:r>
          </w:p>
        </w:tc>
        <w:tc>
          <w:tcPr>
            <w:tcW w:w="0" w:type="auto"/>
            <w:vAlign w:val="center"/>
          </w:tcPr>
          <w:p w14:paraId="679775A2" w14:textId="57A24E2D"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0 </w:t>
            </w:r>
          </w:p>
        </w:tc>
        <w:tc>
          <w:tcPr>
            <w:tcW w:w="0" w:type="auto"/>
            <w:vAlign w:val="center"/>
          </w:tcPr>
          <w:p w14:paraId="3888B9AB" w14:textId="1763BA9E" w:rsidR="002C6FFE" w:rsidRPr="00731632" w:rsidRDefault="002C6FFE" w:rsidP="002C6FFE">
            <w:pPr>
              <w:jc w:val="center"/>
              <w:rPr>
                <w:rFonts w:ascii="Arial Narrow" w:hAnsi="Arial Narrow"/>
                <w:sz w:val="20"/>
                <w:szCs w:val="20"/>
              </w:rPr>
            </w:pPr>
            <w:r w:rsidRPr="00731632">
              <w:rPr>
                <w:rFonts w:ascii="Arial Narrow" w:hAnsi="Arial Narrow"/>
                <w:sz w:val="20"/>
                <w:szCs w:val="20"/>
              </w:rPr>
              <w:t>4 (1.9)</w:t>
            </w:r>
          </w:p>
        </w:tc>
        <w:tc>
          <w:tcPr>
            <w:tcW w:w="0" w:type="auto"/>
            <w:vAlign w:val="center"/>
          </w:tcPr>
          <w:p w14:paraId="7047AB96" w14:textId="71EDAFC6"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3 (3.0) </w:t>
            </w:r>
          </w:p>
        </w:tc>
      </w:tr>
    </w:tbl>
    <w:p w14:paraId="35D079E8" w14:textId="310638AD" w:rsidR="00F66715" w:rsidRPr="00731632" w:rsidRDefault="00B50376" w:rsidP="00B50376">
      <w:pPr>
        <w:pStyle w:val="3-BodyText"/>
        <w:numPr>
          <w:ilvl w:val="0"/>
          <w:numId w:val="0"/>
        </w:numPr>
        <w:spacing w:after="0"/>
        <w:ind w:left="720" w:hanging="720"/>
        <w:rPr>
          <w:rFonts w:ascii="Arial Narrow" w:hAnsi="Arial Narrow"/>
          <w:sz w:val="18"/>
          <w:szCs w:val="18"/>
        </w:rPr>
      </w:pPr>
      <w:r w:rsidRPr="00731632">
        <w:rPr>
          <w:rFonts w:ascii="Arial Narrow" w:hAnsi="Arial Narrow"/>
          <w:sz w:val="18"/>
          <w:szCs w:val="18"/>
        </w:rPr>
        <w:t>Source: Table 2.5.5, of the submission</w:t>
      </w:r>
    </w:p>
    <w:p w14:paraId="505F2F96" w14:textId="3A2B63B3" w:rsidR="00B50376" w:rsidRPr="00731632" w:rsidRDefault="00B50376" w:rsidP="00B50376">
      <w:pPr>
        <w:pStyle w:val="3-BodyText"/>
        <w:numPr>
          <w:ilvl w:val="0"/>
          <w:numId w:val="0"/>
        </w:numPr>
        <w:spacing w:after="0"/>
        <w:rPr>
          <w:rFonts w:ascii="Arial Narrow" w:hAnsi="Arial Narrow"/>
          <w:sz w:val="18"/>
          <w:szCs w:val="18"/>
        </w:rPr>
      </w:pPr>
      <w:r w:rsidRPr="00731632">
        <w:rPr>
          <w:rFonts w:ascii="Arial Narrow" w:hAnsi="Arial Narrow"/>
          <w:sz w:val="18"/>
          <w:szCs w:val="18"/>
        </w:rPr>
        <w:t xml:space="preserve">CHD = congenital heart disease; CI = confidence interval; CLD = chronic lung disease; MA RSV LRTI = medically attended respiratory syncytial virus-associated lower respiratory tract infection; N =number of </w:t>
      </w:r>
      <w:r w:rsidR="00B63F4A" w:rsidRPr="00731632">
        <w:rPr>
          <w:rFonts w:ascii="Arial Narrow" w:hAnsi="Arial Narrow"/>
          <w:sz w:val="18"/>
          <w:szCs w:val="18"/>
        </w:rPr>
        <w:t>participants</w:t>
      </w:r>
      <w:r w:rsidRPr="00731632">
        <w:rPr>
          <w:rFonts w:ascii="Arial Narrow" w:hAnsi="Arial Narrow"/>
          <w:sz w:val="18"/>
          <w:szCs w:val="18"/>
        </w:rPr>
        <w:t>.</w:t>
      </w:r>
    </w:p>
    <w:p w14:paraId="35D3F49D" w14:textId="4FF7F681" w:rsidR="00CB3851" w:rsidRPr="00731632" w:rsidRDefault="00B50376" w:rsidP="00B50376">
      <w:pPr>
        <w:pStyle w:val="3-BodyText"/>
        <w:numPr>
          <w:ilvl w:val="0"/>
          <w:numId w:val="0"/>
        </w:numPr>
        <w:spacing w:after="0"/>
        <w:rPr>
          <w:rFonts w:ascii="Arial Narrow" w:hAnsi="Arial Narrow"/>
          <w:sz w:val="18"/>
          <w:szCs w:val="18"/>
        </w:rPr>
      </w:pPr>
      <w:r w:rsidRPr="00731632">
        <w:rPr>
          <w:rFonts w:ascii="Arial Narrow" w:hAnsi="Arial Narrow"/>
          <w:sz w:val="18"/>
          <w:szCs w:val="18"/>
        </w:rPr>
        <w:t xml:space="preserve">a </w:t>
      </w:r>
      <w:r w:rsidR="00874ADF" w:rsidRPr="00731632">
        <w:rPr>
          <w:rFonts w:ascii="Arial Narrow" w:hAnsi="Arial Narrow"/>
          <w:sz w:val="18"/>
          <w:szCs w:val="18"/>
        </w:rPr>
        <w:t>t</w:t>
      </w:r>
      <w:r w:rsidRPr="00731632">
        <w:rPr>
          <w:rFonts w:ascii="Arial Narrow" w:hAnsi="Arial Narrow"/>
          <w:sz w:val="18"/>
          <w:szCs w:val="18"/>
        </w:rPr>
        <w:t xml:space="preserve">wo-sided 95% (or one-sided 97.5% for incidence rates of 0% or 100%) CIs were calculated using the Clopper-Pearson method. </w:t>
      </w:r>
    </w:p>
    <w:p w14:paraId="27875ECF" w14:textId="4F6100C7" w:rsidR="00CB3851" w:rsidRPr="00731632" w:rsidRDefault="00B50376" w:rsidP="00B50376">
      <w:pPr>
        <w:pStyle w:val="3-BodyText"/>
        <w:numPr>
          <w:ilvl w:val="0"/>
          <w:numId w:val="0"/>
        </w:numPr>
        <w:spacing w:after="0"/>
        <w:rPr>
          <w:rFonts w:ascii="Arial Narrow" w:hAnsi="Arial Narrow"/>
          <w:sz w:val="18"/>
          <w:szCs w:val="18"/>
        </w:rPr>
      </w:pPr>
      <w:r w:rsidRPr="00731632">
        <w:rPr>
          <w:rFonts w:ascii="Arial Narrow" w:hAnsi="Arial Narrow"/>
          <w:sz w:val="18"/>
          <w:szCs w:val="18"/>
        </w:rPr>
        <w:t xml:space="preserve">b </w:t>
      </w:r>
      <w:r w:rsidR="00AD2CA3" w:rsidRPr="00731632">
        <w:rPr>
          <w:rFonts w:ascii="Arial Narrow" w:hAnsi="Arial Narrow"/>
          <w:sz w:val="18"/>
          <w:szCs w:val="18"/>
        </w:rPr>
        <w:t>the</w:t>
      </w:r>
      <w:r w:rsidRPr="00731632">
        <w:rPr>
          <w:rFonts w:ascii="Arial Narrow" w:hAnsi="Arial Narrow"/>
          <w:sz w:val="18"/>
          <w:szCs w:val="18"/>
        </w:rPr>
        <w:t xml:space="preserve"> incidence rate was calculated using the number of ITT subjects who were followed for at least 151 days post first dose as a denominator. </w:t>
      </w:r>
    </w:p>
    <w:p w14:paraId="4C828383" w14:textId="41E7C37E" w:rsidR="00B50376" w:rsidRPr="00731632" w:rsidRDefault="00B50376" w:rsidP="00736431">
      <w:pPr>
        <w:pStyle w:val="3-BodyText"/>
        <w:numPr>
          <w:ilvl w:val="0"/>
          <w:numId w:val="0"/>
        </w:numPr>
        <w:rPr>
          <w:rFonts w:ascii="Arial Narrow" w:hAnsi="Arial Narrow"/>
          <w:sz w:val="18"/>
          <w:szCs w:val="18"/>
        </w:rPr>
      </w:pPr>
      <w:r w:rsidRPr="00731632">
        <w:rPr>
          <w:rFonts w:ascii="Arial Narrow" w:hAnsi="Arial Narrow"/>
          <w:sz w:val="18"/>
          <w:szCs w:val="18"/>
        </w:rPr>
        <w:t xml:space="preserve">c </w:t>
      </w:r>
      <w:r w:rsidR="00AD2CA3" w:rsidRPr="00731632">
        <w:rPr>
          <w:rFonts w:ascii="Arial Narrow" w:hAnsi="Arial Narrow"/>
          <w:sz w:val="18"/>
          <w:szCs w:val="18"/>
        </w:rPr>
        <w:t>the</w:t>
      </w:r>
      <w:r w:rsidRPr="00731632">
        <w:rPr>
          <w:rFonts w:ascii="Arial Narrow" w:hAnsi="Arial Narrow"/>
          <w:sz w:val="18"/>
          <w:szCs w:val="18"/>
        </w:rPr>
        <w:t xml:space="preserve"> incidence rate was calculated using the number of ITT subjects who were followed for at least 151 days post first dose as a denominator.</w:t>
      </w:r>
    </w:p>
    <w:p w14:paraId="0EAC2ABD" w14:textId="58A4D8B9" w:rsidR="000D44AC" w:rsidRPr="00731632" w:rsidRDefault="00B42836" w:rsidP="00B42836">
      <w:pPr>
        <w:pStyle w:val="3-BodyText"/>
      </w:pPr>
      <w:bookmarkStart w:id="41" w:name="_Ref169870038"/>
      <w:bookmarkStart w:id="42" w:name="_Hlk165462920"/>
      <w:r w:rsidRPr="00731632">
        <w:t xml:space="preserve">The MEDLEY trial also gave either palivizumab or nirsevimab to participants </w:t>
      </w:r>
      <w:r w:rsidR="000D44AC" w:rsidRPr="00731632">
        <w:t xml:space="preserve">with CLD/CHD </w:t>
      </w:r>
      <w:r w:rsidRPr="00731632">
        <w:t>heading into their second RSV season.</w:t>
      </w:r>
      <w:r w:rsidR="000D44AC" w:rsidRPr="00731632">
        <w:t xml:space="preserve"> Participants who were randomised to nirsevimab in the first season received a single dose of </w:t>
      </w:r>
      <w:r w:rsidR="00C57528" w:rsidRPr="00731632">
        <w:t>2 x 100</w:t>
      </w:r>
      <w:r w:rsidR="00972756" w:rsidRPr="00731632">
        <w:t xml:space="preserve"> </w:t>
      </w:r>
      <w:r w:rsidR="00C57528" w:rsidRPr="00731632">
        <w:t>mg/m</w:t>
      </w:r>
      <w:r w:rsidR="00972756" w:rsidRPr="00731632">
        <w:t>L</w:t>
      </w:r>
      <w:r w:rsidR="000D44AC" w:rsidRPr="00731632">
        <w:t xml:space="preserve"> nirsevimab followed by 4 once monthly doses of placebo to maintain blinding.</w:t>
      </w:r>
      <w:bookmarkEnd w:id="41"/>
    </w:p>
    <w:p w14:paraId="484FF856" w14:textId="14ADE312" w:rsidR="000D44AC" w:rsidRPr="00731632" w:rsidRDefault="000D44AC" w:rsidP="00B42836">
      <w:pPr>
        <w:pStyle w:val="3-BodyText"/>
      </w:pPr>
      <w:bookmarkStart w:id="43" w:name="_Ref169870040"/>
      <w:r w:rsidRPr="00731632">
        <w:t xml:space="preserve">Participants </w:t>
      </w:r>
      <w:bookmarkStart w:id="44" w:name="_Hlk166505441"/>
      <w:r w:rsidRPr="00731632">
        <w:t>who had been</w:t>
      </w:r>
      <w:r w:rsidR="009655FF" w:rsidRPr="00731632">
        <w:t xml:space="preserve"> randomised to palivizumab for season 1 were re-randomised 1:1 to either nirsevimab or palivizumab. Subjects who were re-randomised to the nirsevimab group received one dose </w:t>
      </w:r>
      <w:r w:rsidR="00A87E40" w:rsidRPr="00731632">
        <w:t>of 2</w:t>
      </w:r>
      <w:r w:rsidR="00FF09C3" w:rsidRPr="00731632">
        <w:t xml:space="preserve"> x 100</w:t>
      </w:r>
      <w:r w:rsidR="00972756" w:rsidRPr="00731632">
        <w:t xml:space="preserve"> </w:t>
      </w:r>
      <w:r w:rsidR="00FF09C3" w:rsidRPr="00731632">
        <w:t>mg/m</w:t>
      </w:r>
      <w:r w:rsidR="00972756" w:rsidRPr="00731632">
        <w:t>L</w:t>
      </w:r>
      <w:r w:rsidR="00FF09C3" w:rsidRPr="00731632">
        <w:t xml:space="preserve"> </w:t>
      </w:r>
      <w:r w:rsidR="009655FF" w:rsidRPr="00731632">
        <w:t>nirsevimab followed by 4 once monthly doses of placebo</w:t>
      </w:r>
      <w:r w:rsidR="00156AAA" w:rsidRPr="00731632">
        <w:t>,</w:t>
      </w:r>
      <w:r w:rsidR="009655FF" w:rsidRPr="00731632">
        <w:t xml:space="preserve"> while </w:t>
      </w:r>
      <w:r w:rsidR="00B63F4A" w:rsidRPr="00731632">
        <w:t>participants</w:t>
      </w:r>
      <w:r w:rsidR="009655FF" w:rsidRPr="00731632">
        <w:t xml:space="preserve"> re-randomised to the palivizumab arm received 5 once monthly 15</w:t>
      </w:r>
      <w:r w:rsidR="00972756" w:rsidRPr="00731632">
        <w:t xml:space="preserve"> </w:t>
      </w:r>
      <w:r w:rsidR="009655FF" w:rsidRPr="00731632">
        <w:t>mg/kg doses of palivizumab</w:t>
      </w:r>
      <w:bookmarkEnd w:id="44"/>
      <w:r w:rsidR="009655FF" w:rsidRPr="00731632">
        <w:t>.</w:t>
      </w:r>
      <w:bookmarkEnd w:id="43"/>
    </w:p>
    <w:p w14:paraId="0FA89FB8" w14:textId="4D795FEA" w:rsidR="00B42836" w:rsidRPr="00731632" w:rsidRDefault="000D44AC" w:rsidP="00B42836">
      <w:pPr>
        <w:pStyle w:val="3-BodyText"/>
      </w:pPr>
      <w:bookmarkStart w:id="45" w:name="_Ref169810967"/>
      <w:r w:rsidRPr="00731632">
        <w:t xml:space="preserve">No cases of MA RSV LRTI were </w:t>
      </w:r>
      <w:r w:rsidR="009655FF" w:rsidRPr="00731632">
        <w:t xml:space="preserve">reported through 150 days post the first dose </w:t>
      </w:r>
      <w:r w:rsidR="00874ADF" w:rsidRPr="00731632">
        <w:t xml:space="preserve">in </w:t>
      </w:r>
      <w:r w:rsidR="009655FF" w:rsidRPr="00731632">
        <w:t>the second RSV season in any of the groups (</w:t>
      </w:r>
      <w:r w:rsidR="00513EF0" w:rsidRPr="00731632">
        <w:fldChar w:fldCharType="begin"/>
      </w:r>
      <w:r w:rsidR="00513EF0" w:rsidRPr="00731632">
        <w:instrText xml:space="preserve"> REF _Ref165454209 \h </w:instrText>
      </w:r>
      <w:r w:rsidR="00513EF0" w:rsidRPr="00731632">
        <w:fldChar w:fldCharType="separate"/>
      </w:r>
      <w:r w:rsidR="00D770BB" w:rsidRPr="00731632">
        <w:t xml:space="preserve">Table </w:t>
      </w:r>
      <w:r w:rsidR="00D770BB">
        <w:rPr>
          <w:noProof/>
        </w:rPr>
        <w:t>10</w:t>
      </w:r>
      <w:r w:rsidR="00513EF0" w:rsidRPr="00731632">
        <w:fldChar w:fldCharType="end"/>
      </w:r>
      <w:r w:rsidR="00513EF0" w:rsidRPr="00731632">
        <w:t xml:space="preserve">). </w:t>
      </w:r>
      <w:r w:rsidR="00D2662A" w:rsidRPr="00731632">
        <w:t xml:space="preserve">The evaluation </w:t>
      </w:r>
      <w:r w:rsidR="00156AAA" w:rsidRPr="00731632">
        <w:t>considered</w:t>
      </w:r>
      <w:r w:rsidR="00D2662A" w:rsidRPr="00731632">
        <w:t xml:space="preserve"> that </w:t>
      </w:r>
      <w:r w:rsidR="00D2662A" w:rsidRPr="00731632">
        <w:rPr>
          <w:iCs/>
        </w:rPr>
        <w:t>t</w:t>
      </w:r>
      <w:r w:rsidR="00513EF0" w:rsidRPr="00731632">
        <w:rPr>
          <w:iCs/>
        </w:rPr>
        <w:t>he small number of participants and small number of cases of MA RSV LRTI make th</w:t>
      </w:r>
      <w:r w:rsidR="00D06FCC" w:rsidRPr="00731632">
        <w:rPr>
          <w:iCs/>
        </w:rPr>
        <w:t>e</w:t>
      </w:r>
      <w:r w:rsidR="00513EF0" w:rsidRPr="00731632">
        <w:rPr>
          <w:iCs/>
        </w:rPr>
        <w:t>s</w:t>
      </w:r>
      <w:r w:rsidR="00D06FCC" w:rsidRPr="00731632">
        <w:rPr>
          <w:iCs/>
        </w:rPr>
        <w:t>e</w:t>
      </w:r>
      <w:r w:rsidR="00513EF0" w:rsidRPr="00731632">
        <w:rPr>
          <w:iCs/>
        </w:rPr>
        <w:t xml:space="preserve"> data uninformative for a comparative analysis of efficacy.</w:t>
      </w:r>
      <w:bookmarkEnd w:id="42"/>
      <w:bookmarkEnd w:id="45"/>
    </w:p>
    <w:p w14:paraId="4BE8772F" w14:textId="567DD557" w:rsidR="00325B41" w:rsidRPr="00731632" w:rsidRDefault="00325B41" w:rsidP="00866F91">
      <w:pPr>
        <w:pStyle w:val="3-BodyText"/>
      </w:pPr>
      <w:r w:rsidRPr="00731632">
        <w:t>The PSCR stated that MEDLEY was not powered as an efficacy trial, but it was reasonable to think that nirsevimab would be effective in preventing LRTI in the high-risk population of MEDLEY given the results in other efficacy trials (MELODY, Phase IIb). The PSCR also cited a network meta-analysis</w:t>
      </w:r>
      <w:r w:rsidRPr="00731632">
        <w:rPr>
          <w:rStyle w:val="FootnoteReference"/>
        </w:rPr>
        <w:footnoteReference w:id="15"/>
      </w:r>
      <w:r w:rsidRPr="00731632">
        <w:t xml:space="preserve"> which reported no significant differences between nirsevimab and palivizumab.</w:t>
      </w:r>
      <w:r w:rsidR="008174D6" w:rsidRPr="00731632">
        <w:t xml:space="preserve"> </w:t>
      </w:r>
      <w:r w:rsidRPr="00731632">
        <w:t xml:space="preserve">The ESC noted that the nirsevimab trials included in the network meta-analysis did not include high-risk </w:t>
      </w:r>
      <w:r w:rsidR="00B63F4A" w:rsidRPr="00731632">
        <w:t>participants</w:t>
      </w:r>
      <w:r w:rsidRPr="00731632">
        <w:t xml:space="preserve"> entering their second RSV season and so </w:t>
      </w:r>
      <w:r w:rsidR="00921047" w:rsidRPr="00731632">
        <w:t>was</w:t>
      </w:r>
      <w:r w:rsidRPr="00731632">
        <w:t xml:space="preserve"> not informative on this matter. </w:t>
      </w:r>
    </w:p>
    <w:p w14:paraId="1DA0D4AB" w14:textId="564F85CB" w:rsidR="001D700B" w:rsidRPr="00731632" w:rsidRDefault="001D700B" w:rsidP="00CC1674">
      <w:pPr>
        <w:pStyle w:val="Caption"/>
      </w:pPr>
      <w:bookmarkStart w:id="46" w:name="_Ref165454209"/>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10</w:t>
      </w:r>
      <w:r w:rsidR="00BD1FC6" w:rsidRPr="00731632">
        <w:fldChar w:fldCharType="end"/>
      </w:r>
      <w:bookmarkEnd w:id="46"/>
      <w:r w:rsidRPr="00731632">
        <w:t>:</w:t>
      </w:r>
      <w:r w:rsidR="00CC1674" w:rsidRPr="00731632">
        <w:t xml:space="preserve"> Incidence of MA RSV LRTI in Season 2</w:t>
      </w:r>
    </w:p>
    <w:tbl>
      <w:tblPr>
        <w:tblStyle w:val="TableGrid"/>
        <w:tblW w:w="5000" w:type="pct"/>
        <w:tblLook w:val="04A0" w:firstRow="1" w:lastRow="0" w:firstColumn="1" w:lastColumn="0" w:noHBand="0" w:noVBand="1"/>
        <w:tblCaption w:val="Table 10: Incidence of MA RSV LRTI in Season 2"/>
      </w:tblPr>
      <w:tblGrid>
        <w:gridCol w:w="2972"/>
        <w:gridCol w:w="2081"/>
        <w:gridCol w:w="2188"/>
        <w:gridCol w:w="1776"/>
      </w:tblGrid>
      <w:tr w:rsidR="002C6FFE" w:rsidRPr="00731632" w14:paraId="26F55779" w14:textId="77777777" w:rsidTr="00972756">
        <w:tc>
          <w:tcPr>
            <w:tcW w:w="1648" w:type="pct"/>
            <w:shd w:val="clear" w:color="auto" w:fill="auto"/>
          </w:tcPr>
          <w:p w14:paraId="2F502354" w14:textId="77777777" w:rsidR="002C6FFE" w:rsidRPr="00731632" w:rsidRDefault="002C6FFE" w:rsidP="002C6FFE">
            <w:pPr>
              <w:rPr>
                <w:rFonts w:ascii="Arial Narrow" w:hAnsi="Arial Narrow"/>
                <w:b/>
                <w:bCs/>
                <w:sz w:val="20"/>
                <w:szCs w:val="20"/>
              </w:rPr>
            </w:pPr>
            <w:bookmarkStart w:id="47" w:name="_Hlk165462989"/>
          </w:p>
        </w:tc>
        <w:tc>
          <w:tcPr>
            <w:tcW w:w="1154" w:type="pct"/>
            <w:vAlign w:val="center"/>
          </w:tcPr>
          <w:p w14:paraId="0F6E96B8"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NIRS/NIRS (N = 180)</w:t>
            </w:r>
          </w:p>
          <w:p w14:paraId="25830335" w14:textId="2098BC01"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c>
          <w:tcPr>
            <w:tcW w:w="1213" w:type="pct"/>
            <w:shd w:val="clear" w:color="auto" w:fill="auto"/>
            <w:vAlign w:val="center"/>
          </w:tcPr>
          <w:p w14:paraId="225C720A" w14:textId="75890B4A"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PALI/PALI (N = 42)</w:t>
            </w:r>
          </w:p>
          <w:p w14:paraId="4F8FBADB"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c>
          <w:tcPr>
            <w:tcW w:w="985" w:type="pct"/>
            <w:shd w:val="clear" w:color="auto" w:fill="auto"/>
            <w:vAlign w:val="center"/>
          </w:tcPr>
          <w:p w14:paraId="1BAACA74" w14:textId="60FD16D4"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PALI/NIRS (N = 40)</w:t>
            </w:r>
          </w:p>
          <w:p w14:paraId="02258DA6" w14:textId="77777777" w:rsidR="002C6FFE" w:rsidRPr="00731632" w:rsidRDefault="002C6FFE" w:rsidP="002C6FFE">
            <w:pPr>
              <w:jc w:val="center"/>
              <w:rPr>
                <w:rFonts w:ascii="Arial Narrow" w:hAnsi="Arial Narrow"/>
                <w:b/>
                <w:bCs/>
                <w:sz w:val="20"/>
                <w:szCs w:val="20"/>
              </w:rPr>
            </w:pPr>
            <w:r w:rsidRPr="00731632">
              <w:rPr>
                <w:rFonts w:ascii="Arial Narrow" w:hAnsi="Arial Narrow"/>
                <w:b/>
                <w:bCs/>
                <w:sz w:val="20"/>
                <w:szCs w:val="20"/>
              </w:rPr>
              <w:t>n (%)</w:t>
            </w:r>
          </w:p>
        </w:tc>
      </w:tr>
      <w:tr w:rsidR="002C6FFE" w:rsidRPr="00731632" w14:paraId="4A08D003" w14:textId="77777777" w:rsidTr="00972756">
        <w:tc>
          <w:tcPr>
            <w:tcW w:w="1648" w:type="pct"/>
            <w:shd w:val="clear" w:color="auto" w:fill="auto"/>
            <w:vAlign w:val="center"/>
          </w:tcPr>
          <w:p w14:paraId="2D298D35" w14:textId="13929E80" w:rsidR="002C6FFE" w:rsidRPr="00731632" w:rsidRDefault="002C6FFE" w:rsidP="002C6FFE">
            <w:pPr>
              <w:rPr>
                <w:rFonts w:ascii="Arial Narrow" w:hAnsi="Arial Narrow"/>
                <w:sz w:val="20"/>
                <w:szCs w:val="20"/>
              </w:rPr>
            </w:pPr>
            <w:r w:rsidRPr="00731632">
              <w:rPr>
                <w:rFonts w:ascii="Arial Narrow" w:hAnsi="Arial Narrow"/>
                <w:sz w:val="20"/>
                <w:szCs w:val="20"/>
              </w:rPr>
              <w:t>Through 150 days post first dose</w:t>
            </w:r>
          </w:p>
        </w:tc>
        <w:tc>
          <w:tcPr>
            <w:tcW w:w="1154" w:type="pct"/>
            <w:vAlign w:val="center"/>
          </w:tcPr>
          <w:p w14:paraId="6C2BC592" w14:textId="1E713DD2" w:rsidR="002C6FFE" w:rsidRPr="00731632" w:rsidRDefault="002C6FFE" w:rsidP="002C6FFE">
            <w:pPr>
              <w:jc w:val="center"/>
              <w:rPr>
                <w:rFonts w:ascii="Arial Narrow" w:hAnsi="Arial Narrow"/>
                <w:sz w:val="20"/>
                <w:szCs w:val="20"/>
              </w:rPr>
            </w:pPr>
            <w:r w:rsidRPr="00731632">
              <w:rPr>
                <w:rFonts w:ascii="Arial Narrow" w:hAnsi="Arial Narrow"/>
                <w:sz w:val="20"/>
                <w:szCs w:val="20"/>
              </w:rPr>
              <w:t>0</w:t>
            </w:r>
          </w:p>
        </w:tc>
        <w:tc>
          <w:tcPr>
            <w:tcW w:w="1213" w:type="pct"/>
            <w:shd w:val="clear" w:color="auto" w:fill="auto"/>
            <w:vAlign w:val="center"/>
          </w:tcPr>
          <w:p w14:paraId="2E1AF256" w14:textId="2E1EBC55" w:rsidR="002C6FFE" w:rsidRPr="00731632" w:rsidRDefault="002C6FFE" w:rsidP="002C6FFE">
            <w:pPr>
              <w:jc w:val="center"/>
              <w:rPr>
                <w:rFonts w:ascii="Arial Narrow" w:hAnsi="Arial Narrow"/>
                <w:sz w:val="20"/>
                <w:szCs w:val="20"/>
              </w:rPr>
            </w:pPr>
            <w:r w:rsidRPr="00731632">
              <w:rPr>
                <w:rFonts w:ascii="Arial Narrow" w:hAnsi="Arial Narrow"/>
                <w:sz w:val="20"/>
                <w:szCs w:val="20"/>
              </w:rPr>
              <w:t>0</w:t>
            </w:r>
          </w:p>
        </w:tc>
        <w:tc>
          <w:tcPr>
            <w:tcW w:w="985" w:type="pct"/>
            <w:shd w:val="clear" w:color="auto" w:fill="auto"/>
            <w:vAlign w:val="center"/>
          </w:tcPr>
          <w:p w14:paraId="5ACF9D0A"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0</w:t>
            </w:r>
          </w:p>
        </w:tc>
      </w:tr>
      <w:tr w:rsidR="002C6FFE" w:rsidRPr="00731632" w14:paraId="7ED3D981" w14:textId="77777777" w:rsidTr="00972756">
        <w:tc>
          <w:tcPr>
            <w:tcW w:w="1648" w:type="pct"/>
            <w:shd w:val="clear" w:color="auto" w:fill="auto"/>
            <w:vAlign w:val="center"/>
          </w:tcPr>
          <w:p w14:paraId="4F20EBD7"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 xml:space="preserve">From 151 to 360 days post first dose </w:t>
            </w:r>
            <w:r w:rsidRPr="00731632">
              <w:rPr>
                <w:rFonts w:ascii="Arial Narrow" w:hAnsi="Arial Narrow"/>
                <w:sz w:val="20"/>
                <w:szCs w:val="20"/>
                <w:vertAlign w:val="superscript"/>
              </w:rPr>
              <w:t>a</w:t>
            </w:r>
          </w:p>
        </w:tc>
        <w:tc>
          <w:tcPr>
            <w:tcW w:w="1154" w:type="pct"/>
            <w:vAlign w:val="center"/>
          </w:tcPr>
          <w:p w14:paraId="58F47FF3" w14:textId="795D5164" w:rsidR="002C6FFE" w:rsidRPr="00731632" w:rsidRDefault="002C6FFE" w:rsidP="002C6FFE">
            <w:pPr>
              <w:jc w:val="center"/>
              <w:rPr>
                <w:rFonts w:ascii="Arial Narrow" w:hAnsi="Arial Narrow"/>
                <w:sz w:val="20"/>
                <w:szCs w:val="20"/>
              </w:rPr>
            </w:pPr>
            <w:r w:rsidRPr="00731632">
              <w:rPr>
                <w:rFonts w:ascii="Arial Narrow" w:hAnsi="Arial Narrow"/>
                <w:sz w:val="20"/>
                <w:szCs w:val="20"/>
              </w:rPr>
              <w:t>0</w:t>
            </w:r>
          </w:p>
        </w:tc>
        <w:tc>
          <w:tcPr>
            <w:tcW w:w="1213" w:type="pct"/>
            <w:shd w:val="clear" w:color="auto" w:fill="auto"/>
            <w:vAlign w:val="center"/>
          </w:tcPr>
          <w:p w14:paraId="3D046E66" w14:textId="664750D2"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1/40 (2.5) </w:t>
            </w:r>
          </w:p>
        </w:tc>
        <w:tc>
          <w:tcPr>
            <w:tcW w:w="985" w:type="pct"/>
            <w:shd w:val="clear" w:color="auto" w:fill="auto"/>
            <w:vAlign w:val="center"/>
          </w:tcPr>
          <w:p w14:paraId="6E0C09FB"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1/40 (2.5) </w:t>
            </w:r>
          </w:p>
        </w:tc>
      </w:tr>
      <w:tr w:rsidR="002C6FFE" w:rsidRPr="00731632" w14:paraId="31EC5AE2" w14:textId="77777777" w:rsidTr="00972756">
        <w:tc>
          <w:tcPr>
            <w:tcW w:w="1648" w:type="pct"/>
            <w:shd w:val="clear" w:color="auto" w:fill="auto"/>
            <w:vAlign w:val="center"/>
          </w:tcPr>
          <w:p w14:paraId="204C2798" w14:textId="77777777" w:rsidR="002C6FFE" w:rsidRPr="00731632" w:rsidRDefault="002C6FFE" w:rsidP="002C6FFE">
            <w:pPr>
              <w:rPr>
                <w:rFonts w:ascii="Arial Narrow" w:hAnsi="Arial Narrow"/>
                <w:sz w:val="20"/>
                <w:szCs w:val="20"/>
              </w:rPr>
            </w:pPr>
            <w:r w:rsidRPr="00731632">
              <w:rPr>
                <w:rFonts w:ascii="Arial Narrow" w:hAnsi="Arial Narrow"/>
                <w:sz w:val="20"/>
                <w:szCs w:val="20"/>
              </w:rPr>
              <w:t>Through 360 days post first dose</w:t>
            </w:r>
          </w:p>
        </w:tc>
        <w:tc>
          <w:tcPr>
            <w:tcW w:w="1154" w:type="pct"/>
            <w:vAlign w:val="center"/>
          </w:tcPr>
          <w:p w14:paraId="673F9644" w14:textId="0C085AB3" w:rsidR="002C6FFE" w:rsidRPr="00731632" w:rsidRDefault="002C6FFE" w:rsidP="002C6FFE">
            <w:pPr>
              <w:jc w:val="center"/>
              <w:rPr>
                <w:rFonts w:ascii="Arial Narrow" w:hAnsi="Arial Narrow"/>
                <w:sz w:val="20"/>
                <w:szCs w:val="20"/>
              </w:rPr>
            </w:pPr>
            <w:r w:rsidRPr="00731632">
              <w:rPr>
                <w:rFonts w:ascii="Arial Narrow" w:hAnsi="Arial Narrow"/>
                <w:sz w:val="20"/>
                <w:szCs w:val="20"/>
              </w:rPr>
              <w:t>0</w:t>
            </w:r>
          </w:p>
        </w:tc>
        <w:tc>
          <w:tcPr>
            <w:tcW w:w="1213" w:type="pct"/>
            <w:shd w:val="clear" w:color="auto" w:fill="auto"/>
            <w:vAlign w:val="center"/>
          </w:tcPr>
          <w:p w14:paraId="2497C444" w14:textId="36DD6A30"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 (2.4) </w:t>
            </w:r>
          </w:p>
        </w:tc>
        <w:tc>
          <w:tcPr>
            <w:tcW w:w="985" w:type="pct"/>
            <w:shd w:val="clear" w:color="auto" w:fill="auto"/>
            <w:vAlign w:val="center"/>
          </w:tcPr>
          <w:p w14:paraId="6D513A92" w14:textId="77777777" w:rsidR="002C6FFE" w:rsidRPr="00731632" w:rsidRDefault="002C6FFE" w:rsidP="002C6FFE">
            <w:pPr>
              <w:jc w:val="center"/>
              <w:rPr>
                <w:rFonts w:ascii="Arial Narrow" w:hAnsi="Arial Narrow"/>
                <w:sz w:val="20"/>
                <w:szCs w:val="20"/>
              </w:rPr>
            </w:pPr>
            <w:r w:rsidRPr="00731632">
              <w:rPr>
                <w:rFonts w:ascii="Arial Narrow" w:hAnsi="Arial Narrow"/>
                <w:sz w:val="20"/>
                <w:szCs w:val="20"/>
              </w:rPr>
              <w:t xml:space="preserve">1 (2.5) </w:t>
            </w:r>
          </w:p>
        </w:tc>
      </w:tr>
    </w:tbl>
    <w:bookmarkEnd w:id="47"/>
    <w:p w14:paraId="22D3B840" w14:textId="56B91F5C" w:rsidR="001D700B" w:rsidRPr="00731632" w:rsidRDefault="00CC1674" w:rsidP="00CC1674">
      <w:pPr>
        <w:pStyle w:val="3-BodyText"/>
        <w:numPr>
          <w:ilvl w:val="0"/>
          <w:numId w:val="0"/>
        </w:numPr>
        <w:spacing w:after="0"/>
        <w:ind w:left="720" w:hanging="720"/>
        <w:rPr>
          <w:rFonts w:ascii="Arial Narrow" w:hAnsi="Arial Narrow"/>
          <w:sz w:val="18"/>
          <w:szCs w:val="18"/>
        </w:rPr>
      </w:pPr>
      <w:r w:rsidRPr="00731632">
        <w:rPr>
          <w:rFonts w:ascii="Arial Narrow" w:hAnsi="Arial Narrow"/>
          <w:sz w:val="18"/>
          <w:szCs w:val="18"/>
        </w:rPr>
        <w:t>Source: Table 30, of the MEDLEY CSR</w:t>
      </w:r>
    </w:p>
    <w:p w14:paraId="5917D491" w14:textId="0242B31E" w:rsidR="00CC1674" w:rsidRPr="00731632" w:rsidRDefault="00CC1674" w:rsidP="00CC1674">
      <w:pPr>
        <w:pStyle w:val="3-BodyText"/>
        <w:numPr>
          <w:ilvl w:val="0"/>
          <w:numId w:val="0"/>
        </w:numPr>
        <w:spacing w:after="0"/>
        <w:rPr>
          <w:rFonts w:ascii="Arial Narrow" w:hAnsi="Arial Narrow"/>
          <w:sz w:val="18"/>
          <w:szCs w:val="18"/>
        </w:rPr>
      </w:pPr>
      <w:r w:rsidRPr="00731632">
        <w:rPr>
          <w:rFonts w:ascii="Arial Narrow" w:hAnsi="Arial Narrow"/>
          <w:sz w:val="18"/>
          <w:szCs w:val="18"/>
        </w:rPr>
        <w:t>CSR = clinical study report; MA RSV LRTI = medically attended respiratory syncytial virus associated lower respiratory tract infection; NIRS = nirsevimab; PALI = palivizumab.</w:t>
      </w:r>
    </w:p>
    <w:p w14:paraId="61EFF41D" w14:textId="6D8E1ACA" w:rsidR="00CC1674" w:rsidRPr="00731632" w:rsidRDefault="00CC1674" w:rsidP="00736431">
      <w:pPr>
        <w:autoSpaceDE w:val="0"/>
        <w:autoSpaceDN w:val="0"/>
        <w:adjustRightInd w:val="0"/>
        <w:spacing w:after="120"/>
        <w:jc w:val="left"/>
        <w:rPr>
          <w:rFonts w:ascii="Arial Narrow" w:hAnsi="Arial Narrow" w:cs="TimesNewRoman"/>
          <w:sz w:val="18"/>
          <w:szCs w:val="18"/>
        </w:rPr>
      </w:pPr>
      <w:r w:rsidRPr="00731632">
        <w:rPr>
          <w:rFonts w:ascii="Arial Narrow" w:hAnsi="Arial Narrow"/>
          <w:sz w:val="18"/>
          <w:szCs w:val="18"/>
          <w:vertAlign w:val="superscript"/>
        </w:rPr>
        <w:t>a</w:t>
      </w:r>
      <w:r w:rsidRPr="00731632">
        <w:rPr>
          <w:rFonts w:ascii="Arial Narrow" w:hAnsi="Arial Narrow"/>
          <w:sz w:val="18"/>
          <w:szCs w:val="18"/>
        </w:rPr>
        <w:t xml:space="preserve"> </w:t>
      </w:r>
      <w:r w:rsidR="00D06FCC" w:rsidRPr="00731632">
        <w:rPr>
          <w:rFonts w:ascii="Arial Narrow" w:hAnsi="Arial Narrow" w:cs="TimesNewRoman"/>
          <w:sz w:val="18"/>
          <w:szCs w:val="18"/>
        </w:rPr>
        <w:t>t</w:t>
      </w:r>
      <w:r w:rsidR="000D44AC" w:rsidRPr="00731632">
        <w:rPr>
          <w:rFonts w:ascii="Arial Narrow" w:hAnsi="Arial Narrow" w:cs="TimesNewRoman"/>
          <w:sz w:val="18"/>
          <w:szCs w:val="18"/>
        </w:rPr>
        <w:t>he</w:t>
      </w:r>
      <w:r w:rsidRPr="00731632">
        <w:rPr>
          <w:rFonts w:ascii="Arial Narrow" w:hAnsi="Arial Narrow" w:cs="TimesNewRoman"/>
          <w:sz w:val="18"/>
          <w:szCs w:val="18"/>
        </w:rPr>
        <w:t xml:space="preserve"> incidence rate was calculated using the number of ITT subjects who were followed for at least 151 days post first dose as a denominator</w:t>
      </w:r>
      <w:r w:rsidRPr="00731632">
        <w:rPr>
          <w:rFonts w:ascii="TimesNewRoman" w:hAnsi="TimesNewRoman" w:cs="TimesNewRoman"/>
          <w:sz w:val="18"/>
          <w:szCs w:val="18"/>
        </w:rPr>
        <w:t>.</w:t>
      </w:r>
    </w:p>
    <w:p w14:paraId="644E256C" w14:textId="59B87E6F" w:rsidR="008C1F58" w:rsidRPr="00731632" w:rsidRDefault="00972756" w:rsidP="00736431">
      <w:pPr>
        <w:pStyle w:val="5-SubsectionSubheading"/>
        <w:spacing w:before="120"/>
        <w:rPr>
          <w:u w:val="single"/>
        </w:rPr>
      </w:pPr>
      <w:r w:rsidRPr="00731632">
        <w:t>Near-market comparison: nirsevimab versus RSVpreF maternal immunisation ITC</w:t>
      </w:r>
    </w:p>
    <w:p w14:paraId="6DE83639" w14:textId="00CA0AC1" w:rsidR="0062645C" w:rsidRPr="00731632" w:rsidRDefault="008C1F58" w:rsidP="0062645C">
      <w:pPr>
        <w:pStyle w:val="3-BodyText"/>
      </w:pPr>
      <w:r w:rsidRPr="00731632">
        <w:t xml:space="preserve">Pooled efficacy analyses from Simões et al (2023) and Turalde-Mapili et al (2023) were used to </w:t>
      </w:r>
      <w:r w:rsidR="00B7576E" w:rsidRPr="00731632">
        <w:t>inform</w:t>
      </w:r>
      <w:r w:rsidRPr="00731632">
        <w:t xml:space="preserve"> an ITC against RSVpreF as represented by the MATISSE trial.</w:t>
      </w:r>
      <w:r w:rsidR="00BC17CC" w:rsidRPr="00731632">
        <w:t xml:space="preserve"> These meta</w:t>
      </w:r>
      <w:r w:rsidR="00972756" w:rsidRPr="00731632">
        <w:t>-a</w:t>
      </w:r>
      <w:r w:rsidR="00BC17CC" w:rsidRPr="00731632">
        <w:t>nalyses used data from the MELODY and Phase II</w:t>
      </w:r>
      <w:r w:rsidR="00CF3110" w:rsidRPr="00731632">
        <w:t>b</w:t>
      </w:r>
      <w:r w:rsidR="00BC17CC" w:rsidRPr="00731632">
        <w:t xml:space="preserve"> trials. A summary of MA LRTI in the </w:t>
      </w:r>
      <w:r w:rsidR="0062645C" w:rsidRPr="00731632">
        <w:t xml:space="preserve">nirsevimab </w:t>
      </w:r>
      <w:r w:rsidR="00BC17CC" w:rsidRPr="00731632">
        <w:t>meta-analyses</w:t>
      </w:r>
      <w:r w:rsidR="0062645C" w:rsidRPr="00731632">
        <w:t xml:space="preserve"> and the RSVpreF</w:t>
      </w:r>
      <w:r w:rsidR="00BC17CC" w:rsidRPr="00731632">
        <w:t xml:space="preserve"> </w:t>
      </w:r>
      <w:r w:rsidR="0062645C" w:rsidRPr="00731632">
        <w:t>MATISSE trial</w:t>
      </w:r>
      <w:r w:rsidR="00580D8A" w:rsidRPr="00731632">
        <w:t xml:space="preserve"> is presented in </w:t>
      </w:r>
      <w:r w:rsidR="00580D8A" w:rsidRPr="00731632">
        <w:fldChar w:fldCharType="begin"/>
      </w:r>
      <w:r w:rsidR="00580D8A" w:rsidRPr="00731632">
        <w:instrText xml:space="preserve"> REF _Ref167094641 \h </w:instrText>
      </w:r>
      <w:r w:rsidR="00580D8A" w:rsidRPr="00731632">
        <w:fldChar w:fldCharType="separate"/>
      </w:r>
      <w:r w:rsidR="00D770BB" w:rsidRPr="00731632">
        <w:t xml:space="preserve">Table </w:t>
      </w:r>
      <w:r w:rsidR="00D770BB">
        <w:rPr>
          <w:noProof/>
        </w:rPr>
        <w:t>11</w:t>
      </w:r>
      <w:r w:rsidR="00580D8A" w:rsidRPr="00731632">
        <w:fldChar w:fldCharType="end"/>
      </w:r>
      <w:r w:rsidR="00580D8A" w:rsidRPr="00731632">
        <w:t>.</w:t>
      </w:r>
      <w:r w:rsidR="001C5269" w:rsidRPr="00731632">
        <w:t xml:space="preserve"> The nirsevimab trial</w:t>
      </w:r>
      <w:r w:rsidR="00037750" w:rsidRPr="00731632">
        <w:t>s</w:t>
      </w:r>
      <w:r w:rsidR="001C5269" w:rsidRPr="00731632">
        <w:t xml:space="preserve"> reported MA RSV LRTI through 150 days post dosing</w:t>
      </w:r>
      <w:r w:rsidR="00156AAA" w:rsidRPr="00731632">
        <w:t>,</w:t>
      </w:r>
      <w:r w:rsidR="001C5269" w:rsidRPr="00731632">
        <w:t xml:space="preserve"> while the MATISSE trial reported MA RSV LRTI 150 days post birth.</w:t>
      </w:r>
    </w:p>
    <w:p w14:paraId="7300A332" w14:textId="57281BB6" w:rsidR="00F92515" w:rsidRPr="00731632" w:rsidRDefault="00F92515" w:rsidP="00866F91">
      <w:pPr>
        <w:pStyle w:val="3-BodyText"/>
      </w:pPr>
      <w:r w:rsidRPr="00731632">
        <w:t xml:space="preserve">The comparison reported in </w:t>
      </w:r>
      <w:r w:rsidRPr="00731632">
        <w:fldChar w:fldCharType="begin"/>
      </w:r>
      <w:r w:rsidRPr="00731632">
        <w:instrText xml:space="preserve"> REF _Ref167094641 \h </w:instrText>
      </w:r>
      <w:r w:rsidRPr="00731632">
        <w:fldChar w:fldCharType="separate"/>
      </w:r>
      <w:r w:rsidR="00D770BB" w:rsidRPr="00731632">
        <w:t xml:space="preserve">Table </w:t>
      </w:r>
      <w:r w:rsidR="00D770BB">
        <w:rPr>
          <w:noProof/>
        </w:rPr>
        <w:t>11</w:t>
      </w:r>
      <w:r w:rsidRPr="00731632">
        <w:fldChar w:fldCharType="end"/>
      </w:r>
      <w:r w:rsidRPr="00731632">
        <w:t xml:space="preserve"> is based on MA RSV LRTI</w:t>
      </w:r>
      <w:r w:rsidR="00D25E1B" w:rsidRPr="00731632">
        <w:t xml:space="preserve">. </w:t>
      </w:r>
      <w:r w:rsidR="005448DF" w:rsidRPr="00731632">
        <w:t xml:space="preserve">At 150 days post injection, the RRR for nirsevimab vs placebo was between 74% and 79.5% based on the results of </w:t>
      </w:r>
      <w:r w:rsidR="004B18F0" w:rsidRPr="00731632">
        <w:t xml:space="preserve">two </w:t>
      </w:r>
      <w:r w:rsidR="005448DF" w:rsidRPr="00731632">
        <w:t>meta-analyses.</w:t>
      </w:r>
      <w:r w:rsidR="003E1422">
        <w:t xml:space="preserve"> </w:t>
      </w:r>
      <w:r w:rsidR="00D25E1B" w:rsidRPr="00731632">
        <w:t>At 150 days post birth, the vaccine efficacy (VE) for RSVpreF was 52.5% (</w:t>
      </w:r>
      <w:r w:rsidR="005448DF" w:rsidRPr="00731632">
        <w:t xml:space="preserve">97.58% CI: </w:t>
      </w:r>
      <w:r w:rsidR="00D25E1B" w:rsidRPr="00731632">
        <w:t>28.7–68.9)</w:t>
      </w:r>
      <w:r w:rsidRPr="00731632">
        <w:t>.</w:t>
      </w:r>
      <w:r w:rsidR="003E1422">
        <w:t xml:space="preserve"> </w:t>
      </w:r>
      <w:r w:rsidR="007206DF" w:rsidRPr="00731632">
        <w:t>B</w:t>
      </w:r>
      <w:r w:rsidR="00A22EE7" w:rsidRPr="00731632">
        <w:t>ased on the endpoint of severe MA RSV LRTI in the MATISSE trial</w:t>
      </w:r>
      <w:r w:rsidR="00A22EE7" w:rsidRPr="00731632">
        <w:rPr>
          <w:rStyle w:val="FootnoteReference"/>
        </w:rPr>
        <w:footnoteReference w:id="16"/>
      </w:r>
      <w:r w:rsidR="00A22EE7" w:rsidRPr="00731632">
        <w:t>, t</w:t>
      </w:r>
      <w:r w:rsidRPr="00731632">
        <w:t xml:space="preserve">he </w:t>
      </w:r>
      <w:r w:rsidR="00A22EE7" w:rsidRPr="00731632">
        <w:t>VE of RSVpreF vaccine through 90 days post birth was 81.8</w:t>
      </w:r>
      <w:r w:rsidR="007206DF" w:rsidRPr="00731632">
        <w:t>%</w:t>
      </w:r>
      <w:r w:rsidR="00A22EE7" w:rsidRPr="00731632">
        <w:t xml:space="preserve"> (99.5% CI: 40.6–96.3) and through 150 days post birth was 70.9</w:t>
      </w:r>
      <w:r w:rsidR="007206DF" w:rsidRPr="00731632">
        <w:t>%</w:t>
      </w:r>
      <w:r w:rsidR="00A22EE7" w:rsidRPr="00731632">
        <w:t xml:space="preserve"> (97.58% CI: 44.5–85.9). </w:t>
      </w:r>
      <w:r w:rsidR="00D2662A" w:rsidRPr="00731632">
        <w:t xml:space="preserve">The evaluation noted that </w:t>
      </w:r>
      <w:r w:rsidR="00D2662A" w:rsidRPr="00731632">
        <w:rPr>
          <w:iCs/>
        </w:rPr>
        <w:t>s</w:t>
      </w:r>
      <w:r w:rsidR="00A22EE7" w:rsidRPr="00731632">
        <w:rPr>
          <w:iCs/>
        </w:rPr>
        <w:t>evere MA RSV LRTI was not measured in the nirsevimab trials and therefore nirsevimab could not be compared with RSVpreF for this endpoint.</w:t>
      </w:r>
      <w:r w:rsidR="008174D6" w:rsidRPr="00731632">
        <w:t xml:space="preserve"> </w:t>
      </w:r>
    </w:p>
    <w:p w14:paraId="043E2E05" w14:textId="7DE0411C" w:rsidR="0062645C" w:rsidRPr="00731632" w:rsidRDefault="0062645C" w:rsidP="0062645C">
      <w:pPr>
        <w:pStyle w:val="Caption"/>
      </w:pPr>
      <w:bookmarkStart w:id="48" w:name="_Ref167094641"/>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11</w:t>
      </w:r>
      <w:r w:rsidR="00BD1FC6" w:rsidRPr="00731632">
        <w:fldChar w:fldCharType="end"/>
      </w:r>
      <w:bookmarkEnd w:id="48"/>
      <w:r w:rsidRPr="00731632">
        <w:t xml:space="preserve">: Summary of MA RSV LRTI </w:t>
      </w:r>
      <w:r w:rsidR="00037750" w:rsidRPr="00731632">
        <w:t>at the</w:t>
      </w:r>
      <w:r w:rsidRPr="00731632">
        <w:t xml:space="preserve"> </w:t>
      </w:r>
      <w:r w:rsidR="00037750" w:rsidRPr="00731632">
        <w:t>150-day time point</w:t>
      </w:r>
      <w:r w:rsidRPr="00731632">
        <w:t xml:space="preserve"> in the nirsevimab meta-analyses and the RSVpreF MATISSE </w:t>
      </w:r>
      <w:r w:rsidR="00DF2E4F" w:rsidRPr="00731632">
        <w:t>trial</w:t>
      </w:r>
    </w:p>
    <w:tbl>
      <w:tblPr>
        <w:tblStyle w:val="TableGrid"/>
        <w:tblW w:w="5000" w:type="pct"/>
        <w:tblInd w:w="-5" w:type="dxa"/>
        <w:tblLook w:val="04A0" w:firstRow="1" w:lastRow="0" w:firstColumn="1" w:lastColumn="0" w:noHBand="0" w:noVBand="1"/>
        <w:tblCaption w:val="Table 11: Summary of MA RSV LRTI at the 150-day time point in the nirsevimab meta-analyses and the RSVpreF MATISSE trial"/>
      </w:tblPr>
      <w:tblGrid>
        <w:gridCol w:w="2632"/>
        <w:gridCol w:w="1607"/>
        <w:gridCol w:w="1554"/>
        <w:gridCol w:w="3224"/>
      </w:tblGrid>
      <w:tr w:rsidR="0062645C" w:rsidRPr="00731632" w14:paraId="3AB8831E" w14:textId="77777777" w:rsidTr="00866F91">
        <w:tc>
          <w:tcPr>
            <w:tcW w:w="0" w:type="auto"/>
            <w:shd w:val="clear" w:color="auto" w:fill="auto"/>
            <w:vAlign w:val="center"/>
          </w:tcPr>
          <w:p w14:paraId="06B80A26" w14:textId="66D4D535" w:rsidR="0062645C" w:rsidRPr="00731632" w:rsidRDefault="00B16AA2" w:rsidP="00577D17">
            <w:pPr>
              <w:keepNext/>
              <w:rPr>
                <w:rFonts w:ascii="Arial Narrow" w:hAnsi="Arial Narrow"/>
                <w:sz w:val="20"/>
                <w:szCs w:val="20"/>
              </w:rPr>
            </w:pPr>
            <w:r w:rsidRPr="00731632">
              <w:rPr>
                <w:rFonts w:ascii="Arial Narrow" w:hAnsi="Arial Narrow"/>
                <w:b/>
                <w:bCs/>
                <w:sz w:val="20"/>
                <w:szCs w:val="20"/>
              </w:rPr>
              <w:t>Source of data</w:t>
            </w:r>
            <w:r w:rsidR="0062645C" w:rsidRPr="00731632">
              <w:rPr>
                <w:rFonts w:ascii="Arial Narrow" w:hAnsi="Arial Narrow"/>
                <w:b/>
                <w:bCs/>
                <w:sz w:val="20"/>
                <w:szCs w:val="20"/>
              </w:rPr>
              <w:tab/>
            </w:r>
          </w:p>
        </w:tc>
        <w:tc>
          <w:tcPr>
            <w:tcW w:w="0" w:type="auto"/>
            <w:shd w:val="clear" w:color="auto" w:fill="auto"/>
            <w:vAlign w:val="center"/>
          </w:tcPr>
          <w:p w14:paraId="5D69FABA" w14:textId="77777777" w:rsidR="0062645C" w:rsidRPr="00731632" w:rsidRDefault="0062645C" w:rsidP="00577D17">
            <w:pPr>
              <w:keepNext/>
              <w:jc w:val="center"/>
              <w:rPr>
                <w:rFonts w:ascii="Arial Narrow" w:hAnsi="Arial Narrow"/>
                <w:sz w:val="20"/>
                <w:szCs w:val="20"/>
              </w:rPr>
            </w:pPr>
            <w:r w:rsidRPr="00731632">
              <w:rPr>
                <w:rFonts w:ascii="Arial Narrow" w:hAnsi="Arial Narrow"/>
                <w:b/>
                <w:bCs/>
                <w:sz w:val="20"/>
                <w:szCs w:val="20"/>
              </w:rPr>
              <w:t>Nirsevimab</w:t>
            </w:r>
          </w:p>
        </w:tc>
        <w:tc>
          <w:tcPr>
            <w:tcW w:w="0" w:type="auto"/>
            <w:shd w:val="clear" w:color="auto" w:fill="auto"/>
            <w:vAlign w:val="center"/>
          </w:tcPr>
          <w:p w14:paraId="45C4AC7D" w14:textId="77777777" w:rsidR="0062645C" w:rsidRPr="00731632" w:rsidRDefault="0062645C" w:rsidP="00577D17">
            <w:pPr>
              <w:keepNext/>
              <w:jc w:val="center"/>
              <w:rPr>
                <w:rFonts w:ascii="Arial Narrow" w:hAnsi="Arial Narrow"/>
                <w:sz w:val="20"/>
                <w:szCs w:val="20"/>
              </w:rPr>
            </w:pPr>
            <w:r w:rsidRPr="00731632">
              <w:rPr>
                <w:rFonts w:ascii="Arial Narrow" w:hAnsi="Arial Narrow"/>
                <w:b/>
                <w:bCs/>
                <w:sz w:val="20"/>
                <w:szCs w:val="20"/>
              </w:rPr>
              <w:t>Placebo</w:t>
            </w:r>
          </w:p>
        </w:tc>
        <w:tc>
          <w:tcPr>
            <w:tcW w:w="0" w:type="auto"/>
            <w:shd w:val="clear" w:color="auto" w:fill="auto"/>
            <w:vAlign w:val="center"/>
          </w:tcPr>
          <w:p w14:paraId="76DA95FA" w14:textId="5D239B10" w:rsidR="0062645C" w:rsidRPr="00731632" w:rsidRDefault="00A90069" w:rsidP="00577D17">
            <w:pPr>
              <w:keepNext/>
              <w:jc w:val="center"/>
              <w:rPr>
                <w:rFonts w:ascii="Arial Narrow" w:hAnsi="Arial Narrow"/>
                <w:b/>
                <w:bCs/>
                <w:sz w:val="20"/>
                <w:szCs w:val="20"/>
              </w:rPr>
            </w:pPr>
            <w:r w:rsidRPr="00731632">
              <w:rPr>
                <w:rFonts w:ascii="Arial Narrow" w:hAnsi="Arial Narrow" w:cstheme="minorHAnsi"/>
                <w:b/>
                <w:bCs/>
                <w:sz w:val="20"/>
                <w:szCs w:val="20"/>
              </w:rPr>
              <w:t xml:space="preserve">Relative Risk Reduction </w:t>
            </w:r>
            <w:r w:rsidR="0062645C" w:rsidRPr="00731632">
              <w:rPr>
                <w:rFonts w:ascii="Arial Narrow" w:hAnsi="Arial Narrow"/>
                <w:b/>
                <w:bCs/>
                <w:sz w:val="20"/>
                <w:szCs w:val="20"/>
              </w:rPr>
              <w:t>(95% CI)</w:t>
            </w:r>
          </w:p>
        </w:tc>
      </w:tr>
      <w:tr w:rsidR="0062645C" w:rsidRPr="00731632" w14:paraId="3C862FAA" w14:textId="77777777" w:rsidTr="00866F91">
        <w:tc>
          <w:tcPr>
            <w:tcW w:w="0" w:type="auto"/>
            <w:vAlign w:val="center"/>
          </w:tcPr>
          <w:p w14:paraId="538AF3EF" w14:textId="77777777" w:rsidR="0062645C" w:rsidRPr="00731632" w:rsidRDefault="0062645C" w:rsidP="00866F91">
            <w:pPr>
              <w:rPr>
                <w:rFonts w:ascii="Arial Narrow" w:hAnsi="Arial Narrow"/>
                <w:sz w:val="20"/>
                <w:szCs w:val="20"/>
              </w:rPr>
            </w:pPr>
            <w:r w:rsidRPr="00731632">
              <w:rPr>
                <w:rFonts w:ascii="Arial Narrow" w:hAnsi="Arial Narrow"/>
                <w:b/>
                <w:bCs/>
                <w:sz w:val="20"/>
                <w:szCs w:val="20"/>
              </w:rPr>
              <w:t>Simoes et al (2023)</w:t>
            </w:r>
          </w:p>
        </w:tc>
        <w:tc>
          <w:tcPr>
            <w:tcW w:w="0" w:type="auto"/>
            <w:vAlign w:val="center"/>
          </w:tcPr>
          <w:p w14:paraId="14BCF018" w14:textId="77777777" w:rsidR="0062645C" w:rsidRPr="00731632" w:rsidRDefault="0062645C" w:rsidP="00866F91">
            <w:pPr>
              <w:jc w:val="center"/>
              <w:rPr>
                <w:rFonts w:ascii="Arial Narrow" w:hAnsi="Arial Narrow"/>
                <w:i/>
                <w:iCs/>
                <w:sz w:val="20"/>
                <w:szCs w:val="20"/>
              </w:rPr>
            </w:pPr>
            <w:r w:rsidRPr="00731632">
              <w:rPr>
                <w:rFonts w:ascii="Arial Narrow" w:hAnsi="Arial Narrow"/>
                <w:sz w:val="20"/>
                <w:szCs w:val="20"/>
              </w:rPr>
              <w:t>19/1564 (1%)</w:t>
            </w:r>
          </w:p>
        </w:tc>
        <w:tc>
          <w:tcPr>
            <w:tcW w:w="0" w:type="auto"/>
            <w:vAlign w:val="center"/>
          </w:tcPr>
          <w:p w14:paraId="2F537B26"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51/786 (6%)</w:t>
            </w:r>
          </w:p>
        </w:tc>
        <w:tc>
          <w:tcPr>
            <w:tcW w:w="0" w:type="auto"/>
            <w:vAlign w:val="center"/>
          </w:tcPr>
          <w:p w14:paraId="30A81DA6"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79.5% (49.6 to 87.1)</w:t>
            </w:r>
          </w:p>
        </w:tc>
      </w:tr>
      <w:tr w:rsidR="0062645C" w:rsidRPr="00731632" w14:paraId="02B3CEE3" w14:textId="77777777" w:rsidTr="00866F91">
        <w:tc>
          <w:tcPr>
            <w:tcW w:w="0" w:type="auto"/>
            <w:vAlign w:val="center"/>
          </w:tcPr>
          <w:p w14:paraId="02DF55BE" w14:textId="77777777" w:rsidR="0062645C" w:rsidRPr="00731632" w:rsidRDefault="0062645C" w:rsidP="00866F91">
            <w:pPr>
              <w:rPr>
                <w:rFonts w:ascii="Arial Narrow" w:hAnsi="Arial Narrow"/>
                <w:sz w:val="20"/>
                <w:szCs w:val="20"/>
              </w:rPr>
            </w:pPr>
            <w:r w:rsidRPr="00731632">
              <w:rPr>
                <w:rFonts w:ascii="Arial Narrow" w:hAnsi="Arial Narrow"/>
                <w:b/>
                <w:bCs/>
                <w:sz w:val="20"/>
                <w:szCs w:val="20"/>
              </w:rPr>
              <w:t>Turalde-Mapili et al. (2023)</w:t>
            </w:r>
          </w:p>
        </w:tc>
        <w:tc>
          <w:tcPr>
            <w:tcW w:w="0" w:type="auto"/>
            <w:vAlign w:val="center"/>
          </w:tcPr>
          <w:p w14:paraId="4CE90A5A"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37/ 1963 (1.8%)</w:t>
            </w:r>
          </w:p>
        </w:tc>
        <w:tc>
          <w:tcPr>
            <w:tcW w:w="0" w:type="auto"/>
            <w:vAlign w:val="center"/>
          </w:tcPr>
          <w:p w14:paraId="233EFE9C"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71/ 980 (7.2%)</w:t>
            </w:r>
          </w:p>
        </w:tc>
        <w:tc>
          <w:tcPr>
            <w:tcW w:w="0" w:type="auto"/>
          </w:tcPr>
          <w:p w14:paraId="42BA5DF8"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74% (62 – 82)</w:t>
            </w:r>
          </w:p>
        </w:tc>
      </w:tr>
      <w:tr w:rsidR="0062645C" w:rsidRPr="00731632" w14:paraId="54F557BE" w14:textId="77777777" w:rsidTr="00866F91">
        <w:tc>
          <w:tcPr>
            <w:tcW w:w="0" w:type="auto"/>
            <w:vAlign w:val="center"/>
          </w:tcPr>
          <w:p w14:paraId="47147B22" w14:textId="77777777" w:rsidR="0062645C" w:rsidRPr="00731632" w:rsidRDefault="0062645C" w:rsidP="00866F91">
            <w:pPr>
              <w:rPr>
                <w:rFonts w:ascii="Arial Narrow" w:hAnsi="Arial Narrow"/>
                <w:b/>
                <w:bCs/>
                <w:sz w:val="20"/>
                <w:szCs w:val="20"/>
              </w:rPr>
            </w:pPr>
          </w:p>
        </w:tc>
        <w:tc>
          <w:tcPr>
            <w:tcW w:w="0" w:type="auto"/>
            <w:vAlign w:val="center"/>
          </w:tcPr>
          <w:p w14:paraId="77C4A8AF" w14:textId="77777777" w:rsidR="0062645C" w:rsidRPr="00731632" w:rsidRDefault="0062645C" w:rsidP="00866F91">
            <w:pPr>
              <w:jc w:val="center"/>
              <w:rPr>
                <w:rFonts w:ascii="Arial Narrow" w:hAnsi="Arial Narrow"/>
                <w:b/>
                <w:bCs/>
                <w:sz w:val="20"/>
                <w:szCs w:val="20"/>
              </w:rPr>
            </w:pPr>
            <w:r w:rsidRPr="00731632">
              <w:rPr>
                <w:rFonts w:ascii="Arial Narrow" w:hAnsi="Arial Narrow"/>
                <w:b/>
                <w:bCs/>
                <w:sz w:val="20"/>
                <w:szCs w:val="20"/>
              </w:rPr>
              <w:t>RSVpreF</w:t>
            </w:r>
          </w:p>
        </w:tc>
        <w:tc>
          <w:tcPr>
            <w:tcW w:w="0" w:type="auto"/>
            <w:vAlign w:val="center"/>
          </w:tcPr>
          <w:p w14:paraId="4E88308B" w14:textId="77777777" w:rsidR="0062645C" w:rsidRPr="00731632" w:rsidRDefault="0062645C" w:rsidP="00866F91">
            <w:pPr>
              <w:jc w:val="center"/>
              <w:rPr>
                <w:rFonts w:ascii="Arial Narrow" w:hAnsi="Arial Narrow"/>
                <w:b/>
                <w:bCs/>
                <w:sz w:val="20"/>
                <w:szCs w:val="20"/>
              </w:rPr>
            </w:pPr>
            <w:r w:rsidRPr="00731632">
              <w:rPr>
                <w:rFonts w:ascii="Arial Narrow" w:hAnsi="Arial Narrow"/>
                <w:b/>
                <w:bCs/>
                <w:sz w:val="20"/>
                <w:szCs w:val="20"/>
              </w:rPr>
              <w:t>Placebo</w:t>
            </w:r>
          </w:p>
        </w:tc>
        <w:tc>
          <w:tcPr>
            <w:tcW w:w="0" w:type="auto"/>
            <w:vAlign w:val="center"/>
          </w:tcPr>
          <w:p w14:paraId="59BB1EC9" w14:textId="77777777" w:rsidR="0062645C" w:rsidRPr="00731632" w:rsidRDefault="0062645C" w:rsidP="00866F91">
            <w:pPr>
              <w:jc w:val="center"/>
              <w:rPr>
                <w:rFonts w:ascii="Arial Narrow" w:hAnsi="Arial Narrow"/>
                <w:b/>
                <w:bCs/>
                <w:sz w:val="20"/>
                <w:szCs w:val="20"/>
              </w:rPr>
            </w:pPr>
            <w:r w:rsidRPr="00731632">
              <w:rPr>
                <w:rFonts w:ascii="Arial Narrow" w:hAnsi="Arial Narrow"/>
                <w:b/>
                <w:bCs/>
                <w:sz w:val="20"/>
                <w:szCs w:val="20"/>
              </w:rPr>
              <w:t>Vaccine Efficacy</w:t>
            </w:r>
          </w:p>
          <w:p w14:paraId="7A98DA23" w14:textId="616C3E0E" w:rsidR="0062645C" w:rsidRPr="00731632" w:rsidRDefault="0062645C" w:rsidP="00866F91">
            <w:pPr>
              <w:jc w:val="center"/>
              <w:rPr>
                <w:rFonts w:ascii="Arial Narrow" w:hAnsi="Arial Narrow"/>
                <w:b/>
                <w:bCs/>
                <w:sz w:val="20"/>
                <w:szCs w:val="20"/>
              </w:rPr>
            </w:pPr>
            <w:r w:rsidRPr="00731632">
              <w:rPr>
                <w:rFonts w:ascii="Arial Narrow" w:hAnsi="Arial Narrow"/>
                <w:b/>
                <w:bCs/>
                <w:sz w:val="20"/>
                <w:szCs w:val="20"/>
              </w:rPr>
              <w:t>(97.58% CI)</w:t>
            </w:r>
          </w:p>
        </w:tc>
      </w:tr>
      <w:tr w:rsidR="0062645C" w:rsidRPr="00731632" w14:paraId="2EA5195F" w14:textId="77777777" w:rsidTr="00866F91">
        <w:tc>
          <w:tcPr>
            <w:tcW w:w="0" w:type="auto"/>
            <w:vAlign w:val="center"/>
          </w:tcPr>
          <w:p w14:paraId="6333E492" w14:textId="77777777" w:rsidR="0062645C" w:rsidRPr="00731632" w:rsidRDefault="0062645C" w:rsidP="00866F91">
            <w:pPr>
              <w:rPr>
                <w:rFonts w:ascii="Arial Narrow" w:hAnsi="Arial Narrow"/>
                <w:sz w:val="20"/>
                <w:szCs w:val="20"/>
              </w:rPr>
            </w:pPr>
            <w:r w:rsidRPr="00731632">
              <w:rPr>
                <w:rFonts w:ascii="Arial Narrow" w:hAnsi="Arial Narrow"/>
                <w:b/>
                <w:bCs/>
                <w:sz w:val="20"/>
                <w:szCs w:val="20"/>
              </w:rPr>
              <w:t>MATISSE</w:t>
            </w:r>
          </w:p>
        </w:tc>
        <w:tc>
          <w:tcPr>
            <w:tcW w:w="0" w:type="auto"/>
            <w:vAlign w:val="center"/>
          </w:tcPr>
          <w:p w14:paraId="58D498FE"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47/3568 (1.3%)</w:t>
            </w:r>
          </w:p>
        </w:tc>
        <w:tc>
          <w:tcPr>
            <w:tcW w:w="0" w:type="auto"/>
            <w:vAlign w:val="center"/>
          </w:tcPr>
          <w:p w14:paraId="6EFE2DF3"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99/3558 (2.8%)</w:t>
            </w:r>
          </w:p>
        </w:tc>
        <w:tc>
          <w:tcPr>
            <w:tcW w:w="0" w:type="auto"/>
            <w:vAlign w:val="center"/>
          </w:tcPr>
          <w:p w14:paraId="2835AFC6" w14:textId="77777777" w:rsidR="0062645C" w:rsidRPr="00731632" w:rsidRDefault="0062645C" w:rsidP="00866F91">
            <w:pPr>
              <w:jc w:val="center"/>
              <w:rPr>
                <w:rFonts w:ascii="Arial Narrow" w:hAnsi="Arial Narrow"/>
                <w:sz w:val="20"/>
                <w:szCs w:val="20"/>
              </w:rPr>
            </w:pPr>
            <w:r w:rsidRPr="00731632">
              <w:rPr>
                <w:rFonts w:ascii="Arial Narrow" w:hAnsi="Arial Narrow"/>
                <w:sz w:val="20"/>
                <w:szCs w:val="20"/>
              </w:rPr>
              <w:t>52.5% (28.7–68.9)</w:t>
            </w:r>
          </w:p>
        </w:tc>
      </w:tr>
    </w:tbl>
    <w:p w14:paraId="7C8F4D24" w14:textId="16F4F673" w:rsidR="008C1F58" w:rsidRPr="00731632" w:rsidRDefault="0062645C" w:rsidP="0062645C">
      <w:pPr>
        <w:pStyle w:val="3-BodyText"/>
        <w:numPr>
          <w:ilvl w:val="0"/>
          <w:numId w:val="0"/>
        </w:numPr>
        <w:spacing w:after="0"/>
        <w:rPr>
          <w:rFonts w:ascii="Arial Narrow" w:hAnsi="Arial Narrow"/>
          <w:sz w:val="18"/>
          <w:szCs w:val="18"/>
        </w:rPr>
      </w:pPr>
      <w:r w:rsidRPr="00731632">
        <w:rPr>
          <w:rFonts w:ascii="Arial Narrow" w:hAnsi="Arial Narrow"/>
          <w:sz w:val="18"/>
          <w:szCs w:val="18"/>
        </w:rPr>
        <w:t>Source: Table 2.6.7 of the submission.</w:t>
      </w:r>
    </w:p>
    <w:p w14:paraId="5819D822" w14:textId="58A9A73E" w:rsidR="0062645C" w:rsidRPr="00731632" w:rsidRDefault="0062645C" w:rsidP="00736431">
      <w:pPr>
        <w:pStyle w:val="3-BodyText"/>
        <w:numPr>
          <w:ilvl w:val="0"/>
          <w:numId w:val="0"/>
        </w:numPr>
        <w:rPr>
          <w:rFonts w:ascii="Arial Narrow" w:hAnsi="Arial Narrow"/>
          <w:sz w:val="18"/>
          <w:szCs w:val="18"/>
        </w:rPr>
      </w:pPr>
      <w:r w:rsidRPr="00731632">
        <w:rPr>
          <w:rFonts w:ascii="Arial Narrow" w:hAnsi="Arial Narrow"/>
          <w:sz w:val="18"/>
          <w:szCs w:val="18"/>
        </w:rPr>
        <w:t>CI = confidence interval; MA RSV LRTI = medically attended respiratory syncytial virus associated lower respiratory tract infection; RSVpreF = respiratory syncytial virus prefusion F vaccine.</w:t>
      </w:r>
    </w:p>
    <w:p w14:paraId="45A36AC2" w14:textId="4A26FAE9" w:rsidR="008C1F58" w:rsidRPr="00731632" w:rsidRDefault="00107FF9" w:rsidP="008C1F58">
      <w:pPr>
        <w:pStyle w:val="3-BodyText"/>
      </w:pPr>
      <w:r w:rsidRPr="00731632">
        <w:rPr>
          <w:rFonts w:ascii="Calibri" w:hAnsi="Calibri" w:cs="Calibri"/>
          <w:color w:val="000000"/>
        </w:rPr>
        <w:t xml:space="preserve">The ITCs for nirsevimab versus RSVpreF vaccine are presented in </w:t>
      </w:r>
      <w:r w:rsidRPr="00731632">
        <w:rPr>
          <w:rFonts w:ascii="Calibri" w:hAnsi="Calibri" w:cs="Calibri"/>
          <w:color w:val="000000"/>
        </w:rPr>
        <w:fldChar w:fldCharType="begin"/>
      </w:r>
      <w:r w:rsidRPr="00731632">
        <w:rPr>
          <w:rFonts w:ascii="Calibri" w:hAnsi="Calibri" w:cs="Calibri"/>
          <w:color w:val="000000"/>
        </w:rPr>
        <w:instrText xml:space="preserve"> REF _Ref164032262 \h </w:instrText>
      </w:r>
      <w:r w:rsidRPr="00731632">
        <w:rPr>
          <w:rFonts w:ascii="Calibri" w:hAnsi="Calibri" w:cs="Calibri"/>
          <w:color w:val="000000"/>
        </w:rPr>
      </w:r>
      <w:r w:rsidRPr="00731632">
        <w:rPr>
          <w:rFonts w:ascii="Calibri" w:hAnsi="Calibri" w:cs="Calibri"/>
          <w:color w:val="000000"/>
        </w:rPr>
        <w:fldChar w:fldCharType="separate"/>
      </w:r>
      <w:r w:rsidR="00D770BB" w:rsidRPr="00731632">
        <w:t xml:space="preserve">Table </w:t>
      </w:r>
      <w:r w:rsidR="00D770BB">
        <w:rPr>
          <w:noProof/>
        </w:rPr>
        <w:t>12</w:t>
      </w:r>
      <w:r w:rsidRPr="00731632">
        <w:rPr>
          <w:rFonts w:ascii="Calibri" w:hAnsi="Calibri" w:cs="Calibri"/>
          <w:color w:val="000000"/>
        </w:rPr>
        <w:fldChar w:fldCharType="end"/>
      </w:r>
      <w:r w:rsidRPr="00731632">
        <w:rPr>
          <w:rFonts w:ascii="Calibri" w:hAnsi="Calibri" w:cs="Calibri"/>
          <w:color w:val="000000"/>
        </w:rPr>
        <w:t xml:space="preserve">. </w:t>
      </w:r>
      <w:r w:rsidR="008C1F58" w:rsidRPr="00731632">
        <w:rPr>
          <w:rFonts w:ascii="Calibri" w:hAnsi="Calibri" w:cs="Calibri"/>
          <w:color w:val="000000"/>
        </w:rPr>
        <w:t xml:space="preserve">Both comparisons suggested that there </w:t>
      </w:r>
      <w:r w:rsidR="001D2581" w:rsidRPr="00731632">
        <w:rPr>
          <w:rFonts w:ascii="Calibri" w:hAnsi="Calibri" w:cs="Calibri"/>
          <w:color w:val="000000"/>
        </w:rPr>
        <w:t>was</w:t>
      </w:r>
      <w:r w:rsidR="008C1F58" w:rsidRPr="00731632">
        <w:rPr>
          <w:rFonts w:ascii="Calibri" w:hAnsi="Calibri" w:cs="Calibri"/>
          <w:color w:val="000000"/>
        </w:rPr>
        <w:t xml:space="preserve"> a lower risk of MA RSV LRTI in </w:t>
      </w:r>
      <w:r w:rsidR="00B63F4A" w:rsidRPr="00731632">
        <w:rPr>
          <w:rFonts w:ascii="Calibri" w:hAnsi="Calibri" w:cs="Calibri"/>
          <w:color w:val="000000"/>
        </w:rPr>
        <w:t>participants</w:t>
      </w:r>
      <w:r w:rsidR="008C1F58" w:rsidRPr="00731632">
        <w:rPr>
          <w:rFonts w:ascii="Calibri" w:hAnsi="Calibri" w:cs="Calibri"/>
          <w:color w:val="000000"/>
        </w:rPr>
        <w:t xml:space="preserve"> treated with nirsevimab compared to those treated with the RSVpreF maternal vaccine. This range</w:t>
      </w:r>
      <w:r w:rsidR="00EF33DE" w:rsidRPr="00731632">
        <w:rPr>
          <w:rFonts w:ascii="Calibri" w:hAnsi="Calibri" w:cs="Calibri"/>
          <w:color w:val="000000"/>
        </w:rPr>
        <w:t>d</w:t>
      </w:r>
      <w:r w:rsidR="008C1F58" w:rsidRPr="00731632">
        <w:rPr>
          <w:rFonts w:ascii="Calibri" w:hAnsi="Calibri" w:cs="Calibri"/>
          <w:color w:val="000000"/>
        </w:rPr>
        <w:t xml:space="preserve"> from a 56.8% improvement (p=0.012) using the reduced population from </w:t>
      </w:r>
      <w:r w:rsidR="008E721B" w:rsidRPr="00731632">
        <w:t>Simões</w:t>
      </w:r>
      <w:r w:rsidR="008C1F58" w:rsidRPr="00731632">
        <w:rPr>
          <w:rFonts w:ascii="Calibri" w:hAnsi="Calibri" w:cs="Calibri"/>
          <w:color w:val="000000"/>
        </w:rPr>
        <w:t xml:space="preserve"> et al (2023), to a 45.3% improvement (p=0.034) using the full study populations as described by Turalde-Mapili et al (2023).</w:t>
      </w:r>
    </w:p>
    <w:p w14:paraId="5CBA23B8" w14:textId="4C4F6D2E" w:rsidR="008C1F58" w:rsidRPr="00731632" w:rsidRDefault="008C1F58" w:rsidP="008C1F58">
      <w:pPr>
        <w:pStyle w:val="3-BodyText"/>
        <w:rPr>
          <w:iCs/>
        </w:rPr>
      </w:pPr>
      <w:bookmarkStart w:id="49" w:name="_Ref172750063"/>
      <w:r w:rsidRPr="00731632">
        <w:rPr>
          <w:rFonts w:ascii="Calibri" w:hAnsi="Calibri" w:cs="Calibri"/>
          <w:iCs/>
          <w:color w:val="000000"/>
        </w:rPr>
        <w:t xml:space="preserve">However, </w:t>
      </w:r>
      <w:r w:rsidR="00B7576E" w:rsidRPr="00731632">
        <w:rPr>
          <w:rFonts w:ascii="Calibri" w:hAnsi="Calibri" w:cs="Calibri"/>
          <w:iCs/>
          <w:color w:val="000000"/>
        </w:rPr>
        <w:t>underlying differences in the trials such as the proportion of premature infants</w:t>
      </w:r>
      <w:r w:rsidR="001C5269" w:rsidRPr="00731632">
        <w:rPr>
          <w:rFonts w:ascii="Calibri" w:hAnsi="Calibri" w:cs="Calibri"/>
          <w:iCs/>
          <w:color w:val="000000"/>
        </w:rPr>
        <w:t>,</w:t>
      </w:r>
      <w:r w:rsidR="00B7576E" w:rsidRPr="00731632">
        <w:rPr>
          <w:rFonts w:ascii="Calibri" w:hAnsi="Calibri" w:cs="Calibri"/>
          <w:iCs/>
          <w:color w:val="000000"/>
        </w:rPr>
        <w:t xml:space="preserve"> the timing of administration (with nirsevimab targeting the RSV season)</w:t>
      </w:r>
      <w:r w:rsidR="006A4652" w:rsidRPr="00731632">
        <w:rPr>
          <w:rFonts w:ascii="Calibri" w:hAnsi="Calibri" w:cs="Calibri"/>
          <w:iCs/>
          <w:color w:val="000000"/>
        </w:rPr>
        <w:t>,</w:t>
      </w:r>
      <w:r w:rsidR="001C5269" w:rsidRPr="00731632">
        <w:rPr>
          <w:rFonts w:ascii="Calibri" w:hAnsi="Calibri" w:cs="Calibri"/>
          <w:iCs/>
          <w:color w:val="000000"/>
        </w:rPr>
        <w:t xml:space="preserve"> and the timing of the end point assessment (the nirsevimab trials </w:t>
      </w:r>
      <w:r w:rsidR="00037750" w:rsidRPr="00731632">
        <w:rPr>
          <w:rFonts w:ascii="Calibri" w:hAnsi="Calibri" w:cs="Calibri"/>
          <w:iCs/>
          <w:color w:val="000000"/>
        </w:rPr>
        <w:t>reported MA RSV LRTI from the time of dosing while MATISSE reported from the time of birth)</w:t>
      </w:r>
      <w:r w:rsidR="00B7576E" w:rsidRPr="00731632">
        <w:rPr>
          <w:rFonts w:ascii="Calibri" w:hAnsi="Calibri" w:cs="Calibri"/>
          <w:iCs/>
          <w:color w:val="000000"/>
        </w:rPr>
        <w:t xml:space="preserve"> violate</w:t>
      </w:r>
      <w:r w:rsidR="00652DF3" w:rsidRPr="00731632">
        <w:rPr>
          <w:rFonts w:ascii="Calibri" w:hAnsi="Calibri" w:cs="Calibri"/>
          <w:iCs/>
          <w:color w:val="000000"/>
        </w:rPr>
        <w:t>d</w:t>
      </w:r>
      <w:r w:rsidR="00B7576E" w:rsidRPr="00731632">
        <w:rPr>
          <w:rFonts w:ascii="Calibri" w:hAnsi="Calibri" w:cs="Calibri"/>
          <w:iCs/>
          <w:color w:val="000000"/>
        </w:rPr>
        <w:t xml:space="preserve"> the transitivity assumption. </w:t>
      </w:r>
      <w:r w:rsidR="00D06FCC" w:rsidRPr="00731632">
        <w:rPr>
          <w:rFonts w:ascii="Calibri" w:hAnsi="Calibri" w:cs="Calibri"/>
          <w:iCs/>
          <w:color w:val="000000"/>
        </w:rPr>
        <w:t>The event rates in the placebo arms of both sets of trials differ; c</w:t>
      </w:r>
      <w:r w:rsidR="00B7576E" w:rsidRPr="00731632">
        <w:rPr>
          <w:rFonts w:ascii="Calibri" w:hAnsi="Calibri" w:cs="Calibri"/>
          <w:iCs/>
          <w:color w:val="000000"/>
        </w:rPr>
        <w:t xml:space="preserve">onsequently, </w:t>
      </w:r>
      <w:r w:rsidR="006A4652" w:rsidRPr="00731632">
        <w:rPr>
          <w:rFonts w:ascii="Calibri" w:hAnsi="Calibri" w:cs="Calibri"/>
          <w:iCs/>
          <w:color w:val="000000"/>
        </w:rPr>
        <w:t>the evaluation</w:t>
      </w:r>
      <w:r w:rsidR="00A01E54" w:rsidRPr="00731632">
        <w:rPr>
          <w:rFonts w:ascii="Calibri" w:hAnsi="Calibri" w:cs="Calibri"/>
          <w:iCs/>
          <w:color w:val="000000"/>
        </w:rPr>
        <w:t xml:space="preserve"> and the ESC</w:t>
      </w:r>
      <w:r w:rsidR="006A4652" w:rsidRPr="00731632">
        <w:rPr>
          <w:rFonts w:ascii="Calibri" w:hAnsi="Calibri" w:cs="Calibri"/>
          <w:iCs/>
          <w:color w:val="000000"/>
        </w:rPr>
        <w:t xml:space="preserve"> considered that </w:t>
      </w:r>
      <w:r w:rsidR="00B7576E" w:rsidRPr="00731632">
        <w:rPr>
          <w:rFonts w:ascii="Calibri" w:hAnsi="Calibri" w:cs="Calibri"/>
          <w:iCs/>
          <w:color w:val="000000"/>
        </w:rPr>
        <w:t>the result</w:t>
      </w:r>
      <w:r w:rsidR="00240D49" w:rsidRPr="00731632">
        <w:rPr>
          <w:rFonts w:ascii="Calibri" w:hAnsi="Calibri" w:cs="Calibri"/>
          <w:iCs/>
          <w:color w:val="000000"/>
        </w:rPr>
        <w:t>s</w:t>
      </w:r>
      <w:r w:rsidR="00B7576E" w:rsidRPr="00731632">
        <w:rPr>
          <w:rFonts w:ascii="Calibri" w:hAnsi="Calibri" w:cs="Calibri"/>
          <w:iCs/>
          <w:color w:val="000000"/>
        </w:rPr>
        <w:t xml:space="preserve"> of the</w:t>
      </w:r>
      <w:r w:rsidR="00D06FCC" w:rsidRPr="00731632">
        <w:rPr>
          <w:rFonts w:ascii="Calibri" w:hAnsi="Calibri" w:cs="Calibri"/>
          <w:iCs/>
          <w:color w:val="000000"/>
        </w:rPr>
        <w:t>se</w:t>
      </w:r>
      <w:r w:rsidR="00B7576E" w:rsidRPr="00731632">
        <w:rPr>
          <w:rFonts w:ascii="Calibri" w:hAnsi="Calibri" w:cs="Calibri"/>
          <w:iCs/>
          <w:color w:val="000000"/>
        </w:rPr>
        <w:t xml:space="preserve"> ITC</w:t>
      </w:r>
      <w:r w:rsidR="00240D49" w:rsidRPr="00731632">
        <w:rPr>
          <w:rFonts w:ascii="Calibri" w:hAnsi="Calibri" w:cs="Calibri"/>
          <w:iCs/>
          <w:color w:val="000000"/>
        </w:rPr>
        <w:t>s</w:t>
      </w:r>
      <w:r w:rsidR="00B7576E" w:rsidRPr="00731632">
        <w:rPr>
          <w:rFonts w:ascii="Calibri" w:hAnsi="Calibri" w:cs="Calibri"/>
          <w:iCs/>
          <w:color w:val="000000"/>
        </w:rPr>
        <w:t xml:space="preserve"> </w:t>
      </w:r>
      <w:r w:rsidR="00921047" w:rsidRPr="00731632">
        <w:rPr>
          <w:rFonts w:ascii="Calibri" w:hAnsi="Calibri" w:cs="Calibri"/>
          <w:iCs/>
          <w:color w:val="000000"/>
        </w:rPr>
        <w:t xml:space="preserve">were </w:t>
      </w:r>
      <w:r w:rsidR="00B7576E" w:rsidRPr="00731632">
        <w:rPr>
          <w:rFonts w:ascii="Calibri" w:hAnsi="Calibri" w:cs="Calibri"/>
          <w:iCs/>
          <w:color w:val="000000"/>
        </w:rPr>
        <w:t>unreliable</w:t>
      </w:r>
      <w:r w:rsidRPr="00731632">
        <w:rPr>
          <w:rFonts w:ascii="Calibri" w:hAnsi="Calibri" w:cs="Calibri"/>
          <w:iCs/>
          <w:color w:val="000000"/>
        </w:rPr>
        <w:t>.</w:t>
      </w:r>
      <w:r w:rsidR="008174D6" w:rsidRPr="00731632">
        <w:rPr>
          <w:rFonts w:ascii="Calibri" w:hAnsi="Calibri" w:cs="Calibri"/>
          <w:iCs/>
          <w:color w:val="000000"/>
        </w:rPr>
        <w:t xml:space="preserve"> </w:t>
      </w:r>
      <w:bookmarkEnd w:id="49"/>
    </w:p>
    <w:p w14:paraId="5D5D75A7" w14:textId="326B6E00" w:rsidR="0038240B" w:rsidRPr="00731632" w:rsidRDefault="0038240B" w:rsidP="00921047">
      <w:pPr>
        <w:pStyle w:val="Caption"/>
      </w:pPr>
      <w:bookmarkStart w:id="50" w:name="_Ref164032262"/>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12</w:t>
      </w:r>
      <w:r w:rsidR="00BD1FC6" w:rsidRPr="00731632">
        <w:fldChar w:fldCharType="end"/>
      </w:r>
      <w:bookmarkEnd w:id="50"/>
      <w:r w:rsidRPr="00731632">
        <w:t>: Result</w:t>
      </w:r>
      <w:r w:rsidR="00DC29D7" w:rsidRPr="00731632">
        <w:t>s</w:t>
      </w:r>
      <w:r w:rsidRPr="00731632">
        <w:t xml:space="preserve"> of the indirect comparison</w:t>
      </w:r>
      <w:r w:rsidR="00107FF9" w:rsidRPr="00731632">
        <w:t xml:space="preserve"> (Bucher method)</w:t>
      </w:r>
      <w:r w:rsidR="00037750" w:rsidRPr="00731632">
        <w:t xml:space="preserve"> of MA RSV LRTI at the 150-day time point </w:t>
      </w:r>
    </w:p>
    <w:tbl>
      <w:tblPr>
        <w:tblW w:w="5000" w:type="pct"/>
        <w:tblInd w:w="-10" w:type="dxa"/>
        <w:shd w:val="clear" w:color="auto" w:fill="FFFFFF"/>
        <w:tblCellMar>
          <w:left w:w="0" w:type="dxa"/>
          <w:right w:w="0" w:type="dxa"/>
        </w:tblCellMar>
        <w:tblLook w:val="04A0" w:firstRow="1" w:lastRow="0" w:firstColumn="1" w:lastColumn="0" w:noHBand="0" w:noVBand="1"/>
        <w:tblCaption w:val="Table 12: Results of the indirect comparison (Bucher method) of MA RSV LRTI at the 150-day time point "/>
      </w:tblPr>
      <w:tblGrid>
        <w:gridCol w:w="4960"/>
        <w:gridCol w:w="1960"/>
        <w:gridCol w:w="1284"/>
        <w:gridCol w:w="803"/>
      </w:tblGrid>
      <w:tr w:rsidR="007575F2" w:rsidRPr="00731632" w14:paraId="64555AC9" w14:textId="77777777" w:rsidTr="0043771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271FFD" w14:textId="77777777" w:rsidR="00437714" w:rsidRPr="00731632" w:rsidRDefault="00437714" w:rsidP="00921047">
            <w:pPr>
              <w:keepNext/>
              <w:rPr>
                <w:rFonts w:ascii="Arial Narrow" w:hAnsi="Arial Narrow" w:cs="Calibri"/>
                <w:color w:val="000000"/>
                <w:sz w:val="20"/>
                <w:szCs w:val="20"/>
              </w:rPr>
            </w:pPr>
            <w:r w:rsidRPr="00731632">
              <w:rPr>
                <w:rFonts w:ascii="Arial Narrow" w:hAnsi="Arial Narrow" w:cs="Calibri"/>
                <w:b/>
                <w:bCs/>
                <w:color w:val="000000"/>
                <w:sz w:val="20"/>
                <w:szCs w:val="20"/>
              </w:rPr>
              <w:t>Results</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02DC6A" w14:textId="77777777" w:rsidR="00437714" w:rsidRPr="00731632" w:rsidRDefault="00437714" w:rsidP="00921047">
            <w:pPr>
              <w:keepNext/>
              <w:jc w:val="center"/>
              <w:rPr>
                <w:rFonts w:ascii="Arial Narrow" w:hAnsi="Arial Narrow" w:cs="Calibri"/>
                <w:b/>
                <w:bCs/>
                <w:color w:val="000000"/>
                <w:sz w:val="20"/>
                <w:szCs w:val="20"/>
              </w:rPr>
            </w:pPr>
            <w:r w:rsidRPr="00731632">
              <w:rPr>
                <w:rFonts w:ascii="Arial Narrow" w:hAnsi="Arial Narrow" w:cs="Calibri"/>
                <w:b/>
                <w:bCs/>
                <w:color w:val="000000"/>
                <w:sz w:val="20"/>
                <w:szCs w:val="20"/>
              </w:rPr>
              <w:t>Relative Risk (95% CI)</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CEAE7E" w14:textId="77777777" w:rsidR="00437714" w:rsidRPr="00731632" w:rsidRDefault="00437714" w:rsidP="00921047">
            <w:pPr>
              <w:keepNext/>
              <w:jc w:val="center"/>
              <w:rPr>
                <w:rFonts w:ascii="Arial Narrow" w:hAnsi="Arial Narrow" w:cs="Calibri"/>
                <w:b/>
                <w:bCs/>
                <w:color w:val="000000"/>
                <w:sz w:val="20"/>
                <w:szCs w:val="20"/>
              </w:rPr>
            </w:pPr>
            <w:r w:rsidRPr="00731632">
              <w:rPr>
                <w:rFonts w:ascii="Arial Narrow" w:hAnsi="Arial Narrow" w:cs="Calibri"/>
                <w:b/>
                <w:bCs/>
                <w:color w:val="000000"/>
                <w:sz w:val="20"/>
                <w:szCs w:val="20"/>
              </w:rPr>
              <w:t>RRR (95% CI)</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08E567" w14:textId="77777777" w:rsidR="00437714" w:rsidRPr="00731632" w:rsidRDefault="00437714" w:rsidP="00921047">
            <w:pPr>
              <w:keepNext/>
              <w:jc w:val="center"/>
              <w:rPr>
                <w:rFonts w:ascii="Arial Narrow" w:hAnsi="Arial Narrow" w:cs="Calibri"/>
                <w:color w:val="000000"/>
                <w:sz w:val="20"/>
                <w:szCs w:val="20"/>
              </w:rPr>
            </w:pPr>
            <w:r w:rsidRPr="00731632">
              <w:rPr>
                <w:rFonts w:ascii="Arial Narrow" w:hAnsi="Arial Narrow" w:cs="Calibri"/>
                <w:b/>
                <w:bCs/>
                <w:color w:val="000000"/>
                <w:sz w:val="20"/>
                <w:szCs w:val="20"/>
              </w:rPr>
              <w:t>p-value</w:t>
            </w:r>
          </w:p>
        </w:tc>
      </w:tr>
      <w:tr w:rsidR="00166628" w:rsidRPr="00731632" w14:paraId="2D7D54D8" w14:textId="77777777" w:rsidTr="00437714">
        <w:tc>
          <w:tcPr>
            <w:tcW w:w="0" w:type="auto"/>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988BDF7" w14:textId="6C343DBD" w:rsidR="00437714" w:rsidRPr="00731632" w:rsidRDefault="007575F2" w:rsidP="00164865">
            <w:pPr>
              <w:keepNext/>
              <w:rPr>
                <w:rFonts w:ascii="Arial Narrow" w:hAnsi="Arial Narrow" w:cs="Calibri"/>
                <w:color w:val="000000"/>
                <w:sz w:val="20"/>
                <w:szCs w:val="20"/>
              </w:rPr>
            </w:pPr>
            <w:r w:rsidRPr="00731632">
              <w:rPr>
                <w:rFonts w:ascii="Arial Narrow" w:hAnsi="Arial Narrow" w:cs="Calibri"/>
                <w:color w:val="000000"/>
                <w:sz w:val="20"/>
                <w:szCs w:val="20"/>
              </w:rPr>
              <w:t>Simões et al (2023)</w:t>
            </w:r>
            <w:r w:rsidR="00166628" w:rsidRPr="00731632">
              <w:rPr>
                <w:rFonts w:ascii="Arial Narrow" w:hAnsi="Arial Narrow" w:cs="Calibri"/>
                <w:color w:val="000000"/>
                <w:sz w:val="20"/>
                <w:szCs w:val="20"/>
              </w:rPr>
              <w:t xml:space="preserve"> (nirsevimab)</w:t>
            </w:r>
            <w:r w:rsidR="00437714" w:rsidRPr="00731632">
              <w:rPr>
                <w:rFonts w:ascii="Arial Narrow" w:hAnsi="Arial Narrow" w:cs="Calibri"/>
                <w:color w:val="000000"/>
                <w:sz w:val="20"/>
                <w:szCs w:val="20"/>
              </w:rPr>
              <w:t xml:space="preserve"> vs </w:t>
            </w:r>
            <w:r w:rsidRPr="00731632">
              <w:rPr>
                <w:rFonts w:ascii="Arial Narrow" w:hAnsi="Arial Narrow" w:cs="Calibri"/>
                <w:color w:val="000000"/>
                <w:sz w:val="20"/>
                <w:szCs w:val="20"/>
              </w:rPr>
              <w:t>MATISSE</w:t>
            </w:r>
            <w:r w:rsidR="00166628" w:rsidRPr="00731632">
              <w:rPr>
                <w:rFonts w:ascii="Arial Narrow" w:hAnsi="Arial Narrow" w:cs="Calibri"/>
                <w:color w:val="000000"/>
                <w:sz w:val="20"/>
                <w:szCs w:val="20"/>
              </w:rPr>
              <w:t xml:space="preserve"> (RSVpreF)</w:t>
            </w:r>
            <w:r w:rsidR="00437714" w:rsidRPr="00731632">
              <w:rPr>
                <w:rFonts w:ascii="Arial Narrow" w:hAnsi="Arial Narrow" w:cs="Calibri"/>
                <w:color w:val="000000"/>
                <w:sz w:val="20"/>
                <w:szCs w:val="20"/>
              </w:rPr>
              <w:t xml:space="preserve"> </w:t>
            </w:r>
          </w:p>
          <w:p w14:paraId="4DEC8A9D" w14:textId="0C948333" w:rsidR="00437714" w:rsidRPr="00731632" w:rsidRDefault="00437714" w:rsidP="00164865">
            <w:pPr>
              <w:keepNext/>
              <w:rPr>
                <w:rFonts w:ascii="Arial Narrow" w:hAnsi="Arial Narrow" w:cs="Calibri"/>
                <w:color w:val="000000"/>
                <w:sz w:val="20"/>
                <w:szCs w:val="20"/>
              </w:rPr>
            </w:pPr>
            <w:r w:rsidRPr="00731632">
              <w:rPr>
                <w:rFonts w:ascii="Arial Narrow" w:hAnsi="Arial Narrow" w:cs="Calibri"/>
                <w:color w:val="000000"/>
                <w:sz w:val="20"/>
                <w:szCs w:val="20"/>
              </w:rPr>
              <w:t>MA RSV LRTI</w:t>
            </w:r>
            <w:r w:rsidR="007575F2" w:rsidRPr="00731632">
              <w:rPr>
                <w:rFonts w:ascii="Arial Narrow" w:hAnsi="Arial Narrow" w:cs="Calibri"/>
                <w:color w:val="000000"/>
                <w:sz w:val="20"/>
                <w:szCs w:val="20"/>
              </w:rPr>
              <w:t xml:space="preserve"> </w:t>
            </w:r>
          </w:p>
        </w:tc>
        <w:tc>
          <w:tcPr>
            <w:tcW w:w="0" w:type="auto"/>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8E99BB" w14:textId="77777777" w:rsidR="00437714" w:rsidRPr="00731632" w:rsidRDefault="00437714" w:rsidP="00164865">
            <w:pPr>
              <w:keepNext/>
              <w:jc w:val="center"/>
              <w:rPr>
                <w:rFonts w:ascii="Arial Narrow" w:hAnsi="Arial Narrow" w:cs="Calibri"/>
                <w:color w:val="000000"/>
                <w:sz w:val="20"/>
                <w:szCs w:val="20"/>
              </w:rPr>
            </w:pPr>
            <w:r w:rsidRPr="00731632">
              <w:rPr>
                <w:rFonts w:ascii="Arial Narrow" w:hAnsi="Arial Narrow" w:cs="Calibri"/>
                <w:color w:val="000000"/>
                <w:sz w:val="20"/>
                <w:szCs w:val="20"/>
              </w:rPr>
              <w:t>0.432</w:t>
            </w:r>
          </w:p>
          <w:p w14:paraId="27AC559B" w14:textId="77777777" w:rsidR="00437714" w:rsidRPr="00731632" w:rsidRDefault="00437714" w:rsidP="00164865">
            <w:pPr>
              <w:keepNext/>
              <w:jc w:val="center"/>
              <w:rPr>
                <w:rFonts w:ascii="Arial Narrow" w:hAnsi="Arial Narrow" w:cs="Calibri"/>
                <w:color w:val="000000"/>
                <w:sz w:val="20"/>
                <w:szCs w:val="20"/>
              </w:rPr>
            </w:pPr>
            <w:r w:rsidRPr="00731632">
              <w:rPr>
                <w:rFonts w:ascii="Arial Narrow" w:hAnsi="Arial Narrow" w:cs="Calibri"/>
                <w:color w:val="000000"/>
                <w:sz w:val="20"/>
                <w:szCs w:val="20"/>
              </w:rPr>
              <w:t>(0.224, 0.833)</w:t>
            </w:r>
          </w:p>
        </w:tc>
        <w:tc>
          <w:tcPr>
            <w:tcW w:w="0" w:type="auto"/>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5CD767" w14:textId="77777777" w:rsidR="00437714" w:rsidRPr="00731632" w:rsidRDefault="00437714" w:rsidP="00164865">
            <w:pPr>
              <w:keepNext/>
              <w:jc w:val="center"/>
              <w:rPr>
                <w:rFonts w:ascii="Arial Narrow" w:hAnsi="Arial Narrow" w:cs="Calibri"/>
                <w:color w:val="000000"/>
                <w:sz w:val="20"/>
                <w:szCs w:val="20"/>
              </w:rPr>
            </w:pPr>
            <w:r w:rsidRPr="00731632">
              <w:rPr>
                <w:rFonts w:ascii="Arial Narrow" w:hAnsi="Arial Narrow" w:cs="Calibri"/>
                <w:color w:val="000000"/>
                <w:sz w:val="20"/>
                <w:szCs w:val="20"/>
              </w:rPr>
              <w:t>56.8%</w:t>
            </w:r>
          </w:p>
          <w:p w14:paraId="19C057D2" w14:textId="627035B6" w:rsidR="00437714" w:rsidRPr="00731632" w:rsidRDefault="00437714" w:rsidP="00164865">
            <w:pPr>
              <w:keepNext/>
              <w:jc w:val="center"/>
              <w:rPr>
                <w:rFonts w:ascii="Arial Narrow" w:hAnsi="Arial Narrow" w:cs="Calibri"/>
                <w:color w:val="000000"/>
                <w:sz w:val="20"/>
                <w:szCs w:val="20"/>
              </w:rPr>
            </w:pPr>
            <w:r w:rsidRPr="00731632">
              <w:rPr>
                <w:rFonts w:ascii="Arial Narrow" w:hAnsi="Arial Narrow" w:cs="Calibri"/>
                <w:color w:val="000000"/>
                <w:sz w:val="20"/>
                <w:szCs w:val="20"/>
              </w:rPr>
              <w:t>(16.7</w:t>
            </w:r>
            <w:r w:rsidR="00166628" w:rsidRPr="00731632">
              <w:rPr>
                <w:rFonts w:ascii="Arial Narrow" w:hAnsi="Arial Narrow" w:cs="Calibri"/>
                <w:color w:val="000000"/>
                <w:sz w:val="20"/>
                <w:szCs w:val="20"/>
              </w:rPr>
              <w:t>,</w:t>
            </w:r>
            <w:r w:rsidRPr="00731632">
              <w:rPr>
                <w:rFonts w:ascii="Arial Narrow" w:hAnsi="Arial Narrow" w:cs="Calibri"/>
                <w:color w:val="000000"/>
                <w:sz w:val="20"/>
                <w:szCs w:val="20"/>
              </w:rPr>
              <w:t xml:space="preserve"> 77.6)</w:t>
            </w:r>
          </w:p>
        </w:tc>
        <w:tc>
          <w:tcPr>
            <w:tcW w:w="0" w:type="auto"/>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F5DF1F" w14:textId="77777777" w:rsidR="00437714" w:rsidRPr="00731632" w:rsidRDefault="00437714" w:rsidP="00164865">
            <w:pPr>
              <w:keepNext/>
              <w:jc w:val="center"/>
              <w:rPr>
                <w:rFonts w:ascii="Arial Narrow" w:hAnsi="Arial Narrow" w:cs="Calibri"/>
                <w:color w:val="000000"/>
                <w:sz w:val="20"/>
                <w:szCs w:val="20"/>
              </w:rPr>
            </w:pPr>
            <w:r w:rsidRPr="00731632">
              <w:rPr>
                <w:rFonts w:ascii="Arial Narrow" w:hAnsi="Arial Narrow" w:cs="Calibri"/>
                <w:color w:val="000000"/>
                <w:sz w:val="20"/>
                <w:szCs w:val="20"/>
              </w:rPr>
              <w:t>0.012</w:t>
            </w:r>
          </w:p>
        </w:tc>
      </w:tr>
      <w:tr w:rsidR="00166628" w:rsidRPr="00731632" w14:paraId="4F39BD67" w14:textId="77777777" w:rsidTr="00437714">
        <w:tc>
          <w:tcPr>
            <w:tcW w:w="0" w:type="auto"/>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21A7AB" w14:textId="76D11DCC" w:rsidR="00437714" w:rsidRPr="00731632" w:rsidRDefault="007575F2" w:rsidP="00437714">
            <w:pPr>
              <w:rPr>
                <w:rFonts w:ascii="Arial Narrow" w:hAnsi="Arial Narrow" w:cs="Calibri"/>
                <w:color w:val="000000"/>
                <w:sz w:val="20"/>
                <w:szCs w:val="20"/>
              </w:rPr>
            </w:pPr>
            <w:r w:rsidRPr="00731632">
              <w:rPr>
                <w:rFonts w:ascii="Arial Narrow" w:hAnsi="Arial Narrow" w:cs="Calibri"/>
                <w:color w:val="000000"/>
                <w:sz w:val="20"/>
                <w:szCs w:val="20"/>
              </w:rPr>
              <w:t>Turalde-Mapili et al (2023)</w:t>
            </w:r>
            <w:r w:rsidR="00166628" w:rsidRPr="00731632">
              <w:rPr>
                <w:rFonts w:ascii="Arial Narrow" w:hAnsi="Arial Narrow" w:cs="Calibri"/>
                <w:color w:val="000000"/>
                <w:sz w:val="20"/>
                <w:szCs w:val="20"/>
              </w:rPr>
              <w:t xml:space="preserve"> (nirsevimab)</w:t>
            </w:r>
            <w:r w:rsidRPr="00731632">
              <w:rPr>
                <w:rFonts w:ascii="Arial Narrow" w:hAnsi="Arial Narrow" w:cs="Calibri"/>
                <w:color w:val="000000"/>
                <w:sz w:val="20"/>
                <w:szCs w:val="20"/>
              </w:rPr>
              <w:t xml:space="preserve"> vs</w:t>
            </w:r>
            <w:r w:rsidR="00437714" w:rsidRPr="00731632">
              <w:rPr>
                <w:rFonts w:ascii="Arial Narrow" w:hAnsi="Arial Narrow" w:cs="Calibri"/>
                <w:color w:val="000000"/>
                <w:sz w:val="20"/>
                <w:szCs w:val="20"/>
              </w:rPr>
              <w:t xml:space="preserve"> </w:t>
            </w:r>
            <w:r w:rsidRPr="00731632">
              <w:rPr>
                <w:rFonts w:ascii="Arial Narrow" w:hAnsi="Arial Narrow" w:cs="Calibri"/>
                <w:color w:val="000000"/>
                <w:sz w:val="20"/>
                <w:szCs w:val="20"/>
              </w:rPr>
              <w:t>MATISSE</w:t>
            </w:r>
            <w:r w:rsidR="00166628" w:rsidRPr="00731632">
              <w:rPr>
                <w:rFonts w:ascii="Arial Narrow" w:hAnsi="Arial Narrow" w:cs="Calibri"/>
                <w:color w:val="000000"/>
                <w:sz w:val="20"/>
                <w:szCs w:val="20"/>
              </w:rPr>
              <w:t xml:space="preserve"> (RSVpreF)</w:t>
            </w:r>
            <w:r w:rsidR="00437714" w:rsidRPr="00731632">
              <w:rPr>
                <w:rFonts w:ascii="Arial Narrow" w:hAnsi="Arial Narrow" w:cs="Calibri"/>
                <w:color w:val="000000"/>
                <w:sz w:val="20"/>
                <w:szCs w:val="20"/>
              </w:rPr>
              <w:t xml:space="preserve"> </w:t>
            </w:r>
          </w:p>
          <w:p w14:paraId="11D99EE7" w14:textId="0329F65C" w:rsidR="00437714" w:rsidRPr="00731632" w:rsidRDefault="00437714" w:rsidP="00437714">
            <w:pPr>
              <w:rPr>
                <w:rFonts w:ascii="Arial Narrow" w:hAnsi="Arial Narrow" w:cs="Calibri"/>
                <w:color w:val="000000"/>
                <w:sz w:val="20"/>
                <w:szCs w:val="20"/>
              </w:rPr>
            </w:pPr>
            <w:r w:rsidRPr="00731632">
              <w:rPr>
                <w:rFonts w:ascii="Arial Narrow" w:hAnsi="Arial Narrow" w:cs="Calibri"/>
                <w:color w:val="000000"/>
                <w:sz w:val="20"/>
                <w:szCs w:val="20"/>
              </w:rPr>
              <w:t>MA RSV LRTI</w:t>
            </w:r>
          </w:p>
        </w:tc>
        <w:tc>
          <w:tcPr>
            <w:tcW w:w="0" w:type="auto"/>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DCD37A" w14:textId="77777777" w:rsidR="00437714" w:rsidRPr="00731632" w:rsidRDefault="00437714" w:rsidP="00437714">
            <w:pPr>
              <w:jc w:val="center"/>
              <w:rPr>
                <w:rFonts w:ascii="Arial Narrow" w:hAnsi="Arial Narrow" w:cs="Calibri"/>
                <w:color w:val="000000"/>
                <w:sz w:val="20"/>
                <w:szCs w:val="20"/>
              </w:rPr>
            </w:pPr>
            <w:r w:rsidRPr="00731632">
              <w:rPr>
                <w:rFonts w:ascii="Arial Narrow" w:hAnsi="Arial Narrow" w:cs="Calibri"/>
                <w:color w:val="000000"/>
                <w:sz w:val="20"/>
                <w:szCs w:val="20"/>
              </w:rPr>
              <w:t>0.547</w:t>
            </w:r>
          </w:p>
          <w:p w14:paraId="64B1AD5A" w14:textId="61A9F387" w:rsidR="00437714" w:rsidRPr="00731632" w:rsidRDefault="00437714" w:rsidP="00437714">
            <w:pPr>
              <w:jc w:val="center"/>
              <w:rPr>
                <w:rFonts w:ascii="Arial Narrow" w:hAnsi="Arial Narrow" w:cs="Calibri"/>
                <w:color w:val="000000"/>
                <w:sz w:val="20"/>
                <w:szCs w:val="20"/>
              </w:rPr>
            </w:pPr>
            <w:r w:rsidRPr="00731632">
              <w:rPr>
                <w:rFonts w:ascii="Arial Narrow" w:hAnsi="Arial Narrow" w:cs="Calibri"/>
                <w:color w:val="000000"/>
                <w:sz w:val="20"/>
                <w:szCs w:val="20"/>
              </w:rPr>
              <w:t>(0.313, 0.957)</w:t>
            </w:r>
          </w:p>
        </w:tc>
        <w:tc>
          <w:tcPr>
            <w:tcW w:w="0" w:type="auto"/>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F06B77" w14:textId="77777777" w:rsidR="00437714" w:rsidRPr="00731632" w:rsidRDefault="00437714" w:rsidP="00437714">
            <w:pPr>
              <w:jc w:val="center"/>
              <w:rPr>
                <w:rFonts w:ascii="Arial Narrow" w:hAnsi="Arial Narrow" w:cs="Calibri"/>
                <w:color w:val="000000"/>
                <w:sz w:val="20"/>
                <w:szCs w:val="20"/>
              </w:rPr>
            </w:pPr>
            <w:r w:rsidRPr="00731632">
              <w:rPr>
                <w:rFonts w:ascii="Arial Narrow" w:hAnsi="Arial Narrow" w:cs="Calibri"/>
                <w:color w:val="000000"/>
                <w:sz w:val="20"/>
                <w:szCs w:val="20"/>
              </w:rPr>
              <w:t>45.3%</w:t>
            </w:r>
          </w:p>
          <w:p w14:paraId="0F5440B2" w14:textId="7184A326" w:rsidR="00437714" w:rsidRPr="00731632" w:rsidRDefault="00437714" w:rsidP="00437714">
            <w:pPr>
              <w:jc w:val="center"/>
              <w:rPr>
                <w:rFonts w:ascii="Arial Narrow" w:hAnsi="Arial Narrow" w:cs="Calibri"/>
                <w:color w:val="000000"/>
                <w:sz w:val="20"/>
                <w:szCs w:val="20"/>
              </w:rPr>
            </w:pPr>
            <w:r w:rsidRPr="00731632">
              <w:rPr>
                <w:rFonts w:ascii="Arial Narrow" w:hAnsi="Arial Narrow" w:cs="Calibri"/>
                <w:color w:val="000000"/>
                <w:sz w:val="20"/>
                <w:szCs w:val="20"/>
              </w:rPr>
              <w:t>(4.30</w:t>
            </w:r>
            <w:r w:rsidR="00166628" w:rsidRPr="00731632">
              <w:rPr>
                <w:rFonts w:ascii="Arial Narrow" w:hAnsi="Arial Narrow" w:cs="Calibri"/>
                <w:color w:val="000000"/>
                <w:sz w:val="20"/>
                <w:szCs w:val="20"/>
              </w:rPr>
              <w:t>,</w:t>
            </w:r>
            <w:r w:rsidRPr="00731632">
              <w:rPr>
                <w:rFonts w:ascii="Arial Narrow" w:hAnsi="Arial Narrow" w:cs="Calibri"/>
                <w:color w:val="000000"/>
                <w:sz w:val="20"/>
                <w:szCs w:val="20"/>
              </w:rPr>
              <w:t xml:space="preserve"> 68.7)</w:t>
            </w:r>
          </w:p>
        </w:tc>
        <w:tc>
          <w:tcPr>
            <w:tcW w:w="0" w:type="auto"/>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42AED4" w14:textId="1E369494" w:rsidR="00437714" w:rsidRPr="00731632" w:rsidRDefault="00437714" w:rsidP="00437714">
            <w:pPr>
              <w:jc w:val="center"/>
              <w:rPr>
                <w:rFonts w:ascii="Arial Narrow" w:hAnsi="Arial Narrow" w:cs="Calibri"/>
                <w:color w:val="000000"/>
                <w:sz w:val="20"/>
                <w:szCs w:val="20"/>
              </w:rPr>
            </w:pPr>
            <w:r w:rsidRPr="00731632">
              <w:rPr>
                <w:rFonts w:ascii="Arial Narrow" w:hAnsi="Arial Narrow" w:cs="Calibri"/>
                <w:color w:val="000000"/>
                <w:sz w:val="20"/>
                <w:szCs w:val="20"/>
              </w:rPr>
              <w:t>0.034</w:t>
            </w:r>
          </w:p>
        </w:tc>
      </w:tr>
    </w:tbl>
    <w:p w14:paraId="53EE0CCF" w14:textId="4E9F4E14" w:rsidR="003769FB" w:rsidRPr="00731632" w:rsidRDefault="003769FB" w:rsidP="003769FB">
      <w:pPr>
        <w:pStyle w:val="3-BodyText"/>
        <w:numPr>
          <w:ilvl w:val="0"/>
          <w:numId w:val="0"/>
        </w:numPr>
        <w:spacing w:after="0"/>
        <w:ind w:left="720" w:hanging="720"/>
        <w:rPr>
          <w:rFonts w:ascii="Arial Narrow" w:hAnsi="Arial Narrow"/>
          <w:sz w:val="18"/>
          <w:szCs w:val="18"/>
        </w:rPr>
      </w:pPr>
      <w:bookmarkStart w:id="51" w:name="_Toc22897642"/>
      <w:r w:rsidRPr="00731632">
        <w:rPr>
          <w:rFonts w:ascii="Arial Narrow" w:hAnsi="Arial Narrow"/>
          <w:sz w:val="18"/>
          <w:szCs w:val="18"/>
        </w:rPr>
        <w:t>Source: Table 2.6.10 and Table 2.6.11, of the submission.</w:t>
      </w:r>
    </w:p>
    <w:p w14:paraId="7B4871D4" w14:textId="5270E63F" w:rsidR="003769FB" w:rsidRPr="00731632" w:rsidRDefault="003769FB" w:rsidP="00C577A6">
      <w:pPr>
        <w:pStyle w:val="3-BodyText"/>
        <w:numPr>
          <w:ilvl w:val="0"/>
          <w:numId w:val="0"/>
        </w:numPr>
        <w:spacing w:after="0"/>
        <w:rPr>
          <w:rFonts w:ascii="Arial Narrow" w:hAnsi="Arial Narrow"/>
          <w:sz w:val="18"/>
          <w:szCs w:val="18"/>
        </w:rPr>
      </w:pPr>
      <w:r w:rsidRPr="00731632">
        <w:rPr>
          <w:rFonts w:ascii="Arial Narrow" w:hAnsi="Arial Narrow"/>
          <w:sz w:val="18"/>
          <w:szCs w:val="18"/>
        </w:rPr>
        <w:t xml:space="preserve">CI = confidence interval; </w:t>
      </w:r>
      <w:r w:rsidR="00C577A6" w:rsidRPr="00731632">
        <w:rPr>
          <w:rFonts w:ascii="Arial Narrow" w:hAnsi="Arial Narrow"/>
          <w:sz w:val="18"/>
          <w:szCs w:val="18"/>
        </w:rPr>
        <w:t xml:space="preserve">MA RSV LRTI = medically attended respiratory syncytial virus-associated lower respiratory tract infection; RRR = relative risk </w:t>
      </w:r>
      <w:r w:rsidR="00166628" w:rsidRPr="00731632">
        <w:rPr>
          <w:rFonts w:ascii="Arial Narrow" w:hAnsi="Arial Narrow"/>
          <w:sz w:val="18"/>
          <w:szCs w:val="18"/>
        </w:rPr>
        <w:t>reduction</w:t>
      </w:r>
      <w:r w:rsidR="00C577A6" w:rsidRPr="00731632">
        <w:rPr>
          <w:rFonts w:ascii="Arial Narrow" w:hAnsi="Arial Narrow"/>
          <w:sz w:val="18"/>
          <w:szCs w:val="18"/>
        </w:rPr>
        <w:t>; RSVpreF = respiratory syncytial virus prefusion F vaccine.</w:t>
      </w:r>
    </w:p>
    <w:p w14:paraId="676A0216" w14:textId="246C8DAA" w:rsidR="00037750" w:rsidRPr="00731632" w:rsidRDefault="00037750" w:rsidP="00C577A6">
      <w:pPr>
        <w:pStyle w:val="3-BodyText"/>
        <w:numPr>
          <w:ilvl w:val="0"/>
          <w:numId w:val="0"/>
        </w:numPr>
        <w:spacing w:after="0"/>
        <w:rPr>
          <w:rFonts w:ascii="Arial Narrow" w:hAnsi="Arial Narrow"/>
          <w:sz w:val="18"/>
          <w:szCs w:val="18"/>
        </w:rPr>
      </w:pPr>
      <w:r w:rsidRPr="00731632">
        <w:rPr>
          <w:rFonts w:ascii="Arial Narrow" w:hAnsi="Arial Narrow"/>
          <w:sz w:val="18"/>
          <w:szCs w:val="18"/>
        </w:rPr>
        <w:t>Note: The nirsevimab trials reported MA RSV LRTI through 150 days post dosing while the MATISSE trial reported MA RSV LRTI 150 days post birth.</w:t>
      </w:r>
    </w:p>
    <w:p w14:paraId="5AA7E2BF" w14:textId="14E5EE27" w:rsidR="00B60939" w:rsidRPr="00731632" w:rsidRDefault="00B60939" w:rsidP="00D86231">
      <w:pPr>
        <w:pStyle w:val="4-SubsectionHeading"/>
      </w:pPr>
      <w:bookmarkStart w:id="52" w:name="_Toc167276236"/>
      <w:r w:rsidRPr="00731632">
        <w:t>Comparative harms</w:t>
      </w:r>
      <w:bookmarkEnd w:id="51"/>
      <w:bookmarkEnd w:id="52"/>
    </w:p>
    <w:p w14:paraId="43196EDA" w14:textId="2E154F17" w:rsidR="003E5B27" w:rsidRPr="00731632" w:rsidRDefault="003E5B27" w:rsidP="00736431">
      <w:pPr>
        <w:pStyle w:val="5-SubsectionSubheading"/>
        <w:spacing w:before="120"/>
      </w:pPr>
      <w:r w:rsidRPr="00731632">
        <w:t>Main comparison: nirsevimab versus placebo</w:t>
      </w:r>
    </w:p>
    <w:p w14:paraId="75B2A19C" w14:textId="03C54DEC" w:rsidR="00B60939" w:rsidRPr="00731632" w:rsidRDefault="00795F88" w:rsidP="00D86231">
      <w:pPr>
        <w:pStyle w:val="3-BodyText"/>
      </w:pPr>
      <w:r w:rsidRPr="00731632">
        <w:t xml:space="preserve">In the MELODY trial, 87.4% of </w:t>
      </w:r>
      <w:r w:rsidR="00B63F4A" w:rsidRPr="00731632">
        <w:t>participants</w:t>
      </w:r>
      <w:r w:rsidR="00166628" w:rsidRPr="00731632">
        <w:t xml:space="preserve"> </w:t>
      </w:r>
      <w:r w:rsidRPr="00731632">
        <w:t xml:space="preserve">in the nirsevimab group and 86.8% of </w:t>
      </w:r>
      <w:r w:rsidR="00B63F4A" w:rsidRPr="00731632">
        <w:t>participants</w:t>
      </w:r>
      <w:r w:rsidR="00166628" w:rsidRPr="00731632">
        <w:t xml:space="preserve"> </w:t>
      </w:r>
      <w:r w:rsidRPr="00731632">
        <w:t xml:space="preserve">in the placebo group had at least 1 </w:t>
      </w:r>
      <w:r w:rsidR="00652DF3" w:rsidRPr="00731632">
        <w:t>adverse event (</w:t>
      </w:r>
      <w:r w:rsidRPr="00731632">
        <w:t>AE</w:t>
      </w:r>
      <w:r w:rsidR="00652DF3" w:rsidRPr="00731632">
        <w:t>)</w:t>
      </w:r>
      <w:r w:rsidRPr="00731632">
        <w:t xml:space="preserve">. </w:t>
      </w:r>
      <w:r w:rsidR="00B7576E" w:rsidRPr="00731632">
        <w:t>Most</w:t>
      </w:r>
      <w:r w:rsidRPr="00731632">
        <w:t xml:space="preserve"> AEs were Grade 1 or 2 in severity, and only 1.0% of adverse events in the nirsevimab group and 1.4% in the placebo group </w:t>
      </w:r>
      <w:r w:rsidR="00B7576E" w:rsidRPr="00731632">
        <w:t>were</w:t>
      </w:r>
      <w:r w:rsidRPr="00731632">
        <w:t xml:space="preserve"> related to study treatment. </w:t>
      </w:r>
      <w:r w:rsidR="00652DF3" w:rsidRPr="00731632">
        <w:t>Serious AEs (</w:t>
      </w:r>
      <w:r w:rsidRPr="00731632">
        <w:t>SAEs</w:t>
      </w:r>
      <w:r w:rsidR="00652DF3" w:rsidRPr="00731632">
        <w:t>)</w:t>
      </w:r>
      <w:r w:rsidRPr="00731632">
        <w:t xml:space="preserve"> were reported in 67 of 987 infants (6.8%) who received nirsevimab and in 36 of 491 infants (7.3%) who received placebo</w:t>
      </w:r>
      <w:r w:rsidR="00166628" w:rsidRPr="00731632">
        <w:t xml:space="preserve"> </w:t>
      </w:r>
      <w:r w:rsidR="00A01E54" w:rsidRPr="00731632">
        <w:t>(</w:t>
      </w:r>
      <w:r w:rsidR="00A636F1" w:rsidRPr="00731632">
        <w:fldChar w:fldCharType="begin"/>
      </w:r>
      <w:r w:rsidR="00A636F1" w:rsidRPr="00731632">
        <w:instrText xml:space="preserve"> REF _Ref170303396 \h </w:instrText>
      </w:r>
      <w:r w:rsidR="00A636F1" w:rsidRPr="00731632">
        <w:fldChar w:fldCharType="separate"/>
      </w:r>
      <w:r w:rsidR="00D770BB" w:rsidRPr="00731632">
        <w:t xml:space="preserve">Table </w:t>
      </w:r>
      <w:r w:rsidR="00D770BB">
        <w:rPr>
          <w:noProof/>
        </w:rPr>
        <w:t>13</w:t>
      </w:r>
      <w:r w:rsidR="00A636F1" w:rsidRPr="00731632">
        <w:fldChar w:fldCharType="end"/>
      </w:r>
      <w:r w:rsidR="00A01E54" w:rsidRPr="00731632">
        <w:t>)</w:t>
      </w:r>
      <w:r w:rsidR="00166628" w:rsidRPr="00731632">
        <w:t>.</w:t>
      </w:r>
    </w:p>
    <w:p w14:paraId="77292051" w14:textId="70EAE433" w:rsidR="00B7576E" w:rsidRPr="00731632" w:rsidRDefault="00B7576E" w:rsidP="00D86231">
      <w:pPr>
        <w:pStyle w:val="3-BodyText"/>
      </w:pPr>
      <w:r w:rsidRPr="00731632">
        <w:t>Three deaths were reported in the nirsevimab arm while none were reported in the placebo arm</w:t>
      </w:r>
      <w:r w:rsidR="002D74CB" w:rsidRPr="00731632">
        <w:t>.</w:t>
      </w:r>
      <w:r w:rsidRPr="00731632">
        <w:t xml:space="preserve"> </w:t>
      </w:r>
      <w:r w:rsidR="002D74CB" w:rsidRPr="00731632">
        <w:t>N</w:t>
      </w:r>
      <w:r w:rsidRPr="00731632">
        <w:t>one of these were considered to be related to study drug</w:t>
      </w:r>
    </w:p>
    <w:p w14:paraId="60EED0E9" w14:textId="5C3C5AA3" w:rsidR="00B60939" w:rsidRPr="00731632" w:rsidRDefault="00D6076E" w:rsidP="00D6076E">
      <w:pPr>
        <w:pStyle w:val="TableFigureHeading"/>
        <w:rPr>
          <w:rStyle w:val="CommentReference"/>
          <w:b/>
          <w:szCs w:val="24"/>
        </w:rPr>
      </w:pPr>
      <w:bookmarkStart w:id="53" w:name="_Ref170303396"/>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13</w:t>
      </w:r>
      <w:r w:rsidR="00BD1FC6" w:rsidRPr="00731632">
        <w:fldChar w:fldCharType="end"/>
      </w:r>
      <w:bookmarkEnd w:id="53"/>
      <w:r w:rsidRPr="00731632">
        <w:t xml:space="preserve">: </w:t>
      </w:r>
      <w:r w:rsidR="005D26B4" w:rsidRPr="00731632">
        <w:rPr>
          <w:rStyle w:val="CommentReference"/>
          <w:b/>
          <w:szCs w:val="24"/>
        </w:rPr>
        <w:t>Summary of key adverse events in the</w:t>
      </w:r>
      <w:r w:rsidR="00795F88" w:rsidRPr="00731632">
        <w:rPr>
          <w:rStyle w:val="CommentReference"/>
          <w:b/>
          <w:szCs w:val="24"/>
        </w:rPr>
        <w:t xml:space="preserve"> MELODY</w:t>
      </w:r>
      <w:r w:rsidR="005D26B4" w:rsidRPr="00731632">
        <w:rPr>
          <w:rStyle w:val="CommentReference"/>
          <w:b/>
          <w:szCs w:val="24"/>
        </w:rPr>
        <w:t xml:space="preserve"> trial</w:t>
      </w:r>
      <w:r w:rsidR="00A176C6" w:rsidRPr="00731632">
        <w:rPr>
          <w:rStyle w:val="CommentReference"/>
          <w:b/>
          <w:szCs w:val="24"/>
        </w:rPr>
        <w:t xml:space="preserve"> through 360 days post injection</w:t>
      </w:r>
    </w:p>
    <w:tbl>
      <w:tblPr>
        <w:tblStyle w:val="LightLi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Summary of key adverse events in the MELODY trial through 360 days post injection"/>
      </w:tblPr>
      <w:tblGrid>
        <w:gridCol w:w="4005"/>
        <w:gridCol w:w="1894"/>
        <w:gridCol w:w="1614"/>
        <w:gridCol w:w="1504"/>
      </w:tblGrid>
      <w:tr w:rsidR="00437714" w:rsidRPr="00731632" w14:paraId="44D3FED9" w14:textId="77777777" w:rsidTr="004377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52A0B38" w14:textId="77777777" w:rsidR="00437714" w:rsidRPr="00731632" w:rsidRDefault="00437714" w:rsidP="00866F91">
            <w:pPr>
              <w:pStyle w:val="TableText0"/>
              <w:rPr>
                <w:color w:val="auto"/>
                <w:szCs w:val="20"/>
                <w:lang w:val="en-AU"/>
              </w:rPr>
            </w:pPr>
            <w:r w:rsidRPr="00731632">
              <w:rPr>
                <w:color w:val="auto"/>
                <w:szCs w:val="20"/>
                <w:lang w:val="en-AU"/>
              </w:rPr>
              <w:t>Adverse event</w:t>
            </w:r>
          </w:p>
        </w:tc>
        <w:tc>
          <w:tcPr>
            <w:tcW w:w="0" w:type="auto"/>
            <w:shd w:val="clear" w:color="auto" w:fill="auto"/>
            <w:vAlign w:val="center"/>
            <w:hideMark/>
          </w:tcPr>
          <w:p w14:paraId="78FD4BDE" w14:textId="77777777" w:rsidR="00437714" w:rsidRPr="00731632" w:rsidRDefault="00437714" w:rsidP="00866F91">
            <w:pPr>
              <w:pStyle w:val="TableText0"/>
              <w:jc w:val="right"/>
              <w:cnfStyle w:val="100000000000" w:firstRow="1" w:lastRow="0" w:firstColumn="0" w:lastColumn="0" w:oddVBand="0" w:evenVBand="0" w:oddHBand="0" w:evenHBand="0" w:firstRowFirstColumn="0" w:firstRowLastColumn="0" w:lastRowFirstColumn="0" w:lastRowLastColumn="0"/>
              <w:rPr>
                <w:b w:val="0"/>
                <w:bCs/>
                <w:szCs w:val="20"/>
                <w:lang w:val="en-AU"/>
              </w:rPr>
            </w:pPr>
            <w:r w:rsidRPr="00731632">
              <w:rPr>
                <w:color w:val="auto"/>
                <w:szCs w:val="20"/>
                <w:lang w:val="en-AU"/>
              </w:rPr>
              <w:t xml:space="preserve">Nirsevimab (n=987) </w:t>
            </w:r>
          </w:p>
          <w:p w14:paraId="28546C66" w14:textId="7C52A608" w:rsidR="00437714" w:rsidRPr="00731632" w:rsidRDefault="00BB7CEE" w:rsidP="00866F91">
            <w:pPr>
              <w:pStyle w:val="TableText0"/>
              <w:jc w:val="right"/>
              <w:cnfStyle w:val="100000000000" w:firstRow="1" w:lastRow="0" w:firstColumn="0" w:lastColumn="0" w:oddVBand="0" w:evenVBand="0" w:oddHBand="0" w:evenHBand="0" w:firstRowFirstColumn="0" w:firstRowLastColumn="0" w:lastRowFirstColumn="0" w:lastRowLastColumn="0"/>
              <w:rPr>
                <w:color w:val="auto"/>
                <w:szCs w:val="20"/>
                <w:lang w:val="en-AU"/>
              </w:rPr>
            </w:pPr>
            <w:r w:rsidRPr="00731632">
              <w:rPr>
                <w:color w:val="auto"/>
                <w:szCs w:val="20"/>
                <w:lang w:val="en-AU"/>
              </w:rPr>
              <w:t>N (</w:t>
            </w:r>
            <w:r w:rsidR="00437714" w:rsidRPr="00731632">
              <w:rPr>
                <w:color w:val="auto"/>
                <w:szCs w:val="20"/>
                <w:lang w:val="en-AU"/>
              </w:rPr>
              <w:t>%)</w:t>
            </w:r>
          </w:p>
        </w:tc>
        <w:tc>
          <w:tcPr>
            <w:tcW w:w="0" w:type="auto"/>
            <w:shd w:val="clear" w:color="auto" w:fill="auto"/>
            <w:vAlign w:val="center"/>
            <w:hideMark/>
          </w:tcPr>
          <w:p w14:paraId="49CF5C7F" w14:textId="77777777" w:rsidR="00437714" w:rsidRPr="00731632" w:rsidRDefault="00437714" w:rsidP="00866F91">
            <w:pPr>
              <w:pStyle w:val="TableText0"/>
              <w:jc w:val="right"/>
              <w:cnfStyle w:val="100000000000" w:firstRow="1" w:lastRow="0" w:firstColumn="0" w:lastColumn="0" w:oddVBand="0" w:evenVBand="0" w:oddHBand="0" w:evenHBand="0" w:firstRowFirstColumn="0" w:firstRowLastColumn="0" w:lastRowFirstColumn="0" w:lastRowLastColumn="0"/>
              <w:rPr>
                <w:b w:val="0"/>
                <w:bCs/>
                <w:szCs w:val="20"/>
                <w:lang w:val="en-AU"/>
              </w:rPr>
            </w:pPr>
            <w:r w:rsidRPr="00731632">
              <w:rPr>
                <w:color w:val="auto"/>
                <w:szCs w:val="20"/>
                <w:lang w:val="en-AU"/>
              </w:rPr>
              <w:t>Placebo (n=491)</w:t>
            </w:r>
          </w:p>
          <w:p w14:paraId="331C4D01" w14:textId="4E573CE3" w:rsidR="00437714" w:rsidRPr="00731632" w:rsidRDefault="00BB7CEE" w:rsidP="00866F91">
            <w:pPr>
              <w:pStyle w:val="TableText0"/>
              <w:jc w:val="right"/>
              <w:cnfStyle w:val="100000000000" w:firstRow="1" w:lastRow="0" w:firstColumn="0" w:lastColumn="0" w:oddVBand="0" w:evenVBand="0" w:oddHBand="0" w:evenHBand="0" w:firstRowFirstColumn="0" w:firstRowLastColumn="0" w:lastRowFirstColumn="0" w:lastRowLastColumn="0"/>
              <w:rPr>
                <w:color w:val="auto"/>
                <w:szCs w:val="20"/>
                <w:lang w:val="en-AU"/>
              </w:rPr>
            </w:pPr>
            <w:r w:rsidRPr="00731632">
              <w:rPr>
                <w:color w:val="auto"/>
                <w:szCs w:val="20"/>
                <w:lang w:val="en-AU"/>
              </w:rPr>
              <w:t>N</w:t>
            </w:r>
            <w:r w:rsidR="00AD2CA3" w:rsidRPr="00731632">
              <w:rPr>
                <w:color w:val="auto"/>
                <w:szCs w:val="20"/>
                <w:lang w:val="en-AU"/>
              </w:rPr>
              <w:t xml:space="preserve"> </w:t>
            </w:r>
            <w:r w:rsidRPr="00731632">
              <w:rPr>
                <w:color w:val="auto"/>
                <w:szCs w:val="20"/>
                <w:lang w:val="en-AU"/>
              </w:rPr>
              <w:t>(</w:t>
            </w:r>
            <w:r w:rsidR="00437714" w:rsidRPr="00731632">
              <w:rPr>
                <w:color w:val="auto"/>
                <w:szCs w:val="20"/>
                <w:lang w:val="en-AU"/>
              </w:rPr>
              <w:t>%)</w:t>
            </w:r>
          </w:p>
        </w:tc>
        <w:tc>
          <w:tcPr>
            <w:tcW w:w="0" w:type="auto"/>
            <w:shd w:val="clear" w:color="auto" w:fill="auto"/>
            <w:vAlign w:val="center"/>
            <w:hideMark/>
          </w:tcPr>
          <w:p w14:paraId="5FC2E32C" w14:textId="77777777" w:rsidR="00437714" w:rsidRPr="00731632" w:rsidRDefault="00437714" w:rsidP="00866F91">
            <w:pPr>
              <w:pStyle w:val="TableText0"/>
              <w:jc w:val="right"/>
              <w:cnfStyle w:val="100000000000" w:firstRow="1" w:lastRow="0" w:firstColumn="0" w:lastColumn="0" w:oddVBand="0" w:evenVBand="0" w:oddHBand="0" w:evenHBand="0" w:firstRowFirstColumn="0" w:firstRowLastColumn="0" w:lastRowFirstColumn="0" w:lastRowLastColumn="0"/>
              <w:rPr>
                <w:b w:val="0"/>
                <w:bCs/>
                <w:szCs w:val="20"/>
                <w:lang w:val="en-AU"/>
              </w:rPr>
            </w:pPr>
            <w:r w:rsidRPr="00731632">
              <w:rPr>
                <w:color w:val="auto"/>
                <w:szCs w:val="20"/>
                <w:lang w:val="en-AU"/>
              </w:rPr>
              <w:t>Total (n=1,478)</w:t>
            </w:r>
          </w:p>
          <w:p w14:paraId="5291F795" w14:textId="7DF41886" w:rsidR="00437714" w:rsidRPr="00731632" w:rsidRDefault="00BB7CEE" w:rsidP="00866F91">
            <w:pPr>
              <w:pStyle w:val="TableText0"/>
              <w:jc w:val="right"/>
              <w:cnfStyle w:val="100000000000" w:firstRow="1" w:lastRow="0" w:firstColumn="0" w:lastColumn="0" w:oddVBand="0" w:evenVBand="0" w:oddHBand="0" w:evenHBand="0" w:firstRowFirstColumn="0" w:firstRowLastColumn="0" w:lastRowFirstColumn="0" w:lastRowLastColumn="0"/>
              <w:rPr>
                <w:color w:val="auto"/>
                <w:szCs w:val="20"/>
                <w:lang w:val="en-AU"/>
              </w:rPr>
            </w:pPr>
            <w:r w:rsidRPr="00731632">
              <w:rPr>
                <w:color w:val="auto"/>
                <w:szCs w:val="20"/>
                <w:lang w:val="en-AU"/>
              </w:rPr>
              <w:t>No (</w:t>
            </w:r>
            <w:r w:rsidR="00437714" w:rsidRPr="00731632">
              <w:rPr>
                <w:color w:val="auto"/>
                <w:szCs w:val="20"/>
                <w:lang w:val="en-AU"/>
              </w:rPr>
              <w:t>%)</w:t>
            </w:r>
          </w:p>
        </w:tc>
      </w:tr>
      <w:tr w:rsidR="00437714" w:rsidRPr="00731632" w14:paraId="19D51348"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13E49E01" w14:textId="77777777" w:rsidR="00437714" w:rsidRPr="00731632" w:rsidRDefault="00437714" w:rsidP="00866F91">
            <w:pPr>
              <w:pStyle w:val="TableText0"/>
              <w:rPr>
                <w:b w:val="0"/>
                <w:bCs/>
                <w:szCs w:val="20"/>
                <w:lang w:val="en-AU"/>
              </w:rPr>
            </w:pPr>
            <w:r w:rsidRPr="00731632">
              <w:rPr>
                <w:b w:val="0"/>
                <w:bCs/>
                <w:szCs w:val="20"/>
                <w:lang w:val="en-AU"/>
              </w:rPr>
              <w:t xml:space="preserve">≥1 AE </w:t>
            </w:r>
          </w:p>
        </w:tc>
        <w:tc>
          <w:tcPr>
            <w:tcW w:w="0" w:type="auto"/>
            <w:tcBorders>
              <w:top w:val="none" w:sz="0" w:space="0" w:color="auto"/>
              <w:bottom w:val="none" w:sz="0" w:space="0" w:color="auto"/>
            </w:tcBorders>
            <w:vAlign w:val="center"/>
          </w:tcPr>
          <w:p w14:paraId="448E57AB"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863 (87.4)</w:t>
            </w:r>
          </w:p>
        </w:tc>
        <w:tc>
          <w:tcPr>
            <w:tcW w:w="0" w:type="auto"/>
            <w:tcBorders>
              <w:top w:val="none" w:sz="0" w:space="0" w:color="auto"/>
              <w:bottom w:val="none" w:sz="0" w:space="0" w:color="auto"/>
            </w:tcBorders>
            <w:vAlign w:val="center"/>
          </w:tcPr>
          <w:p w14:paraId="23C603A7"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426 (86.8)</w:t>
            </w:r>
          </w:p>
        </w:tc>
        <w:tc>
          <w:tcPr>
            <w:tcW w:w="0" w:type="auto"/>
            <w:tcBorders>
              <w:top w:val="none" w:sz="0" w:space="0" w:color="auto"/>
              <w:bottom w:val="none" w:sz="0" w:space="0" w:color="auto"/>
              <w:right w:val="none" w:sz="0" w:space="0" w:color="auto"/>
            </w:tcBorders>
            <w:vAlign w:val="center"/>
          </w:tcPr>
          <w:p w14:paraId="7E86F0E9"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1,289 (87.2)</w:t>
            </w:r>
          </w:p>
        </w:tc>
      </w:tr>
      <w:tr w:rsidR="00437714" w:rsidRPr="00731632" w14:paraId="1CC47517" w14:textId="77777777" w:rsidTr="00437714">
        <w:tc>
          <w:tcPr>
            <w:cnfStyle w:val="001000000000" w:firstRow="0" w:lastRow="0" w:firstColumn="1" w:lastColumn="0" w:oddVBand="0" w:evenVBand="0" w:oddHBand="0" w:evenHBand="0" w:firstRowFirstColumn="0" w:firstRowLastColumn="0" w:lastRowFirstColumn="0" w:lastRowLastColumn="0"/>
            <w:tcW w:w="0" w:type="auto"/>
          </w:tcPr>
          <w:p w14:paraId="1E5175B8" w14:textId="77777777" w:rsidR="00437714" w:rsidRPr="00731632" w:rsidRDefault="00437714" w:rsidP="00866F91">
            <w:pPr>
              <w:pStyle w:val="TableText0"/>
              <w:ind w:left="164"/>
              <w:rPr>
                <w:b w:val="0"/>
                <w:bCs/>
                <w:szCs w:val="20"/>
                <w:lang w:val="en-AU"/>
              </w:rPr>
            </w:pPr>
            <w:r w:rsidRPr="00731632">
              <w:rPr>
                <w:b w:val="0"/>
                <w:bCs/>
                <w:szCs w:val="20"/>
                <w:lang w:val="en-AU"/>
              </w:rPr>
              <w:t>≤1-day post-dose</w:t>
            </w:r>
          </w:p>
        </w:tc>
        <w:tc>
          <w:tcPr>
            <w:tcW w:w="0" w:type="auto"/>
            <w:vAlign w:val="center"/>
          </w:tcPr>
          <w:p w14:paraId="361DCF0A"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18 (1.8)</w:t>
            </w:r>
          </w:p>
        </w:tc>
        <w:tc>
          <w:tcPr>
            <w:tcW w:w="0" w:type="auto"/>
            <w:vAlign w:val="center"/>
          </w:tcPr>
          <w:p w14:paraId="309C7924"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3 (0.6)</w:t>
            </w:r>
          </w:p>
        </w:tc>
        <w:tc>
          <w:tcPr>
            <w:tcW w:w="0" w:type="auto"/>
            <w:vAlign w:val="center"/>
          </w:tcPr>
          <w:p w14:paraId="7DE030FE"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21 (1.4)</w:t>
            </w:r>
          </w:p>
        </w:tc>
      </w:tr>
      <w:tr w:rsidR="00437714" w:rsidRPr="00731632" w14:paraId="24759B8B"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37CCADBA" w14:textId="77777777" w:rsidR="00437714" w:rsidRPr="00731632" w:rsidRDefault="00437714" w:rsidP="00866F91">
            <w:pPr>
              <w:pStyle w:val="TableText0"/>
              <w:ind w:left="164"/>
              <w:rPr>
                <w:b w:val="0"/>
                <w:bCs/>
                <w:szCs w:val="20"/>
                <w:lang w:val="en-AU"/>
              </w:rPr>
            </w:pPr>
            <w:r w:rsidRPr="00731632">
              <w:rPr>
                <w:b w:val="0"/>
                <w:bCs/>
                <w:szCs w:val="20"/>
                <w:lang w:val="en-AU"/>
              </w:rPr>
              <w:t>≤3 days post-dose</w:t>
            </w:r>
          </w:p>
        </w:tc>
        <w:tc>
          <w:tcPr>
            <w:tcW w:w="0" w:type="auto"/>
            <w:tcBorders>
              <w:top w:val="none" w:sz="0" w:space="0" w:color="auto"/>
              <w:bottom w:val="none" w:sz="0" w:space="0" w:color="auto"/>
            </w:tcBorders>
            <w:vAlign w:val="center"/>
          </w:tcPr>
          <w:p w14:paraId="42317F27"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56 (5.7)</w:t>
            </w:r>
          </w:p>
        </w:tc>
        <w:tc>
          <w:tcPr>
            <w:tcW w:w="0" w:type="auto"/>
            <w:tcBorders>
              <w:top w:val="none" w:sz="0" w:space="0" w:color="auto"/>
              <w:bottom w:val="none" w:sz="0" w:space="0" w:color="auto"/>
            </w:tcBorders>
            <w:vAlign w:val="center"/>
          </w:tcPr>
          <w:p w14:paraId="7FE7D90D"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23 (4.7)</w:t>
            </w:r>
          </w:p>
        </w:tc>
        <w:tc>
          <w:tcPr>
            <w:tcW w:w="0" w:type="auto"/>
            <w:tcBorders>
              <w:top w:val="none" w:sz="0" w:space="0" w:color="auto"/>
              <w:bottom w:val="none" w:sz="0" w:space="0" w:color="auto"/>
              <w:right w:val="none" w:sz="0" w:space="0" w:color="auto"/>
            </w:tcBorders>
            <w:vAlign w:val="center"/>
          </w:tcPr>
          <w:p w14:paraId="7C7EB869"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79 (5.3)</w:t>
            </w:r>
          </w:p>
        </w:tc>
      </w:tr>
      <w:tr w:rsidR="00437714" w:rsidRPr="00731632" w14:paraId="119F95CA" w14:textId="77777777" w:rsidTr="00437714">
        <w:tc>
          <w:tcPr>
            <w:cnfStyle w:val="001000000000" w:firstRow="0" w:lastRow="0" w:firstColumn="1" w:lastColumn="0" w:oddVBand="0" w:evenVBand="0" w:oddHBand="0" w:evenHBand="0" w:firstRowFirstColumn="0" w:firstRowLastColumn="0" w:lastRowFirstColumn="0" w:lastRowLastColumn="0"/>
            <w:tcW w:w="0" w:type="auto"/>
            <w:hideMark/>
          </w:tcPr>
          <w:p w14:paraId="4EDCDFAA" w14:textId="77777777" w:rsidR="00437714" w:rsidRPr="00731632" w:rsidRDefault="00437714" w:rsidP="00866F91">
            <w:pPr>
              <w:pStyle w:val="TableText0"/>
              <w:ind w:left="164"/>
              <w:rPr>
                <w:b w:val="0"/>
                <w:bCs/>
                <w:szCs w:val="20"/>
                <w:lang w:val="en-AU"/>
              </w:rPr>
            </w:pPr>
            <w:r w:rsidRPr="00731632">
              <w:rPr>
                <w:b w:val="0"/>
                <w:bCs/>
                <w:szCs w:val="20"/>
                <w:lang w:val="en-AU"/>
              </w:rPr>
              <w:t>≤7 days post-dose</w:t>
            </w:r>
          </w:p>
        </w:tc>
        <w:tc>
          <w:tcPr>
            <w:tcW w:w="0" w:type="auto"/>
            <w:vAlign w:val="center"/>
            <w:hideMark/>
          </w:tcPr>
          <w:p w14:paraId="0A7D5121"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132 (13.4)</w:t>
            </w:r>
          </w:p>
        </w:tc>
        <w:tc>
          <w:tcPr>
            <w:tcW w:w="0" w:type="auto"/>
            <w:vAlign w:val="center"/>
            <w:hideMark/>
          </w:tcPr>
          <w:p w14:paraId="049E26B3"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63 (12.8)</w:t>
            </w:r>
          </w:p>
        </w:tc>
        <w:tc>
          <w:tcPr>
            <w:tcW w:w="0" w:type="auto"/>
            <w:vAlign w:val="center"/>
            <w:hideMark/>
          </w:tcPr>
          <w:p w14:paraId="423F4DFC"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195 (13.2)</w:t>
            </w:r>
          </w:p>
        </w:tc>
      </w:tr>
      <w:tr w:rsidR="00437714" w:rsidRPr="00731632" w14:paraId="77A2CB67"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324226AC" w14:textId="77777777" w:rsidR="00437714" w:rsidRPr="00731632" w:rsidRDefault="00437714" w:rsidP="00866F91">
            <w:pPr>
              <w:pStyle w:val="TableText0"/>
              <w:ind w:left="164"/>
              <w:rPr>
                <w:b w:val="0"/>
                <w:bCs/>
                <w:szCs w:val="20"/>
                <w:lang w:val="en-AU"/>
              </w:rPr>
            </w:pPr>
            <w:r w:rsidRPr="00731632">
              <w:rPr>
                <w:b w:val="0"/>
                <w:bCs/>
                <w:szCs w:val="20"/>
                <w:lang w:val="en-AU"/>
              </w:rPr>
              <w:t>≤14 days post-dose</w:t>
            </w:r>
          </w:p>
        </w:tc>
        <w:tc>
          <w:tcPr>
            <w:tcW w:w="0" w:type="auto"/>
            <w:tcBorders>
              <w:top w:val="none" w:sz="0" w:space="0" w:color="auto"/>
              <w:bottom w:val="none" w:sz="0" w:space="0" w:color="auto"/>
            </w:tcBorders>
            <w:vAlign w:val="center"/>
          </w:tcPr>
          <w:p w14:paraId="2ED2687B"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279 (28.3)</w:t>
            </w:r>
          </w:p>
        </w:tc>
        <w:tc>
          <w:tcPr>
            <w:tcW w:w="0" w:type="auto"/>
            <w:tcBorders>
              <w:top w:val="none" w:sz="0" w:space="0" w:color="auto"/>
              <w:bottom w:val="none" w:sz="0" w:space="0" w:color="auto"/>
            </w:tcBorders>
            <w:vAlign w:val="center"/>
          </w:tcPr>
          <w:p w14:paraId="58FF01E9"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119 (24.2)</w:t>
            </w:r>
          </w:p>
        </w:tc>
        <w:tc>
          <w:tcPr>
            <w:tcW w:w="0" w:type="auto"/>
            <w:tcBorders>
              <w:top w:val="none" w:sz="0" w:space="0" w:color="auto"/>
              <w:bottom w:val="none" w:sz="0" w:space="0" w:color="auto"/>
              <w:right w:val="none" w:sz="0" w:space="0" w:color="auto"/>
            </w:tcBorders>
            <w:vAlign w:val="center"/>
          </w:tcPr>
          <w:p w14:paraId="49F92F92"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398 (26.9)</w:t>
            </w:r>
          </w:p>
        </w:tc>
      </w:tr>
      <w:tr w:rsidR="00437714" w:rsidRPr="00731632" w14:paraId="6C517A98" w14:textId="77777777" w:rsidTr="00437714">
        <w:tc>
          <w:tcPr>
            <w:cnfStyle w:val="001000000000" w:firstRow="0" w:lastRow="0" w:firstColumn="1" w:lastColumn="0" w:oddVBand="0" w:evenVBand="0" w:oddHBand="0" w:evenHBand="0" w:firstRowFirstColumn="0" w:firstRowLastColumn="0" w:lastRowFirstColumn="0" w:lastRowLastColumn="0"/>
            <w:tcW w:w="0" w:type="auto"/>
            <w:hideMark/>
          </w:tcPr>
          <w:p w14:paraId="3B6226AE" w14:textId="77777777" w:rsidR="00437714" w:rsidRPr="00731632" w:rsidRDefault="00437714" w:rsidP="00866F91">
            <w:pPr>
              <w:pStyle w:val="TableText0"/>
              <w:ind w:left="164"/>
              <w:rPr>
                <w:b w:val="0"/>
                <w:bCs/>
                <w:szCs w:val="20"/>
                <w:lang w:val="en-AU"/>
              </w:rPr>
            </w:pPr>
            <w:r w:rsidRPr="00731632">
              <w:rPr>
                <w:b w:val="0"/>
                <w:bCs/>
                <w:szCs w:val="20"/>
                <w:lang w:val="en-AU"/>
              </w:rPr>
              <w:t>≥1 AE considered related to IP</w:t>
            </w:r>
          </w:p>
        </w:tc>
        <w:tc>
          <w:tcPr>
            <w:tcW w:w="0" w:type="auto"/>
            <w:vAlign w:val="center"/>
            <w:hideMark/>
          </w:tcPr>
          <w:p w14:paraId="3F72A938"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10 (1.0)</w:t>
            </w:r>
          </w:p>
        </w:tc>
        <w:tc>
          <w:tcPr>
            <w:tcW w:w="0" w:type="auto"/>
            <w:vAlign w:val="center"/>
            <w:hideMark/>
          </w:tcPr>
          <w:p w14:paraId="2CD2922D"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7 (1.4)</w:t>
            </w:r>
          </w:p>
        </w:tc>
        <w:tc>
          <w:tcPr>
            <w:tcW w:w="0" w:type="auto"/>
            <w:vAlign w:val="center"/>
            <w:hideMark/>
          </w:tcPr>
          <w:p w14:paraId="253E911B"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17 (1.2)</w:t>
            </w:r>
          </w:p>
        </w:tc>
      </w:tr>
      <w:tr w:rsidR="00437714" w:rsidRPr="00731632" w14:paraId="1A790BEC"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0CD9057E" w14:textId="77777777" w:rsidR="00437714" w:rsidRPr="00731632" w:rsidRDefault="00437714" w:rsidP="00866F91">
            <w:pPr>
              <w:pStyle w:val="TableText0"/>
              <w:rPr>
                <w:b w:val="0"/>
                <w:bCs/>
                <w:szCs w:val="20"/>
                <w:lang w:val="en-AU"/>
              </w:rPr>
            </w:pPr>
            <w:r w:rsidRPr="00731632">
              <w:rPr>
                <w:b w:val="0"/>
                <w:bCs/>
                <w:szCs w:val="20"/>
                <w:lang w:val="en-AU"/>
              </w:rPr>
              <w:t>≥1 skin reaction related to IP</w:t>
            </w:r>
          </w:p>
        </w:tc>
        <w:tc>
          <w:tcPr>
            <w:tcW w:w="0" w:type="auto"/>
            <w:tcBorders>
              <w:top w:val="none" w:sz="0" w:space="0" w:color="auto"/>
              <w:bottom w:val="none" w:sz="0" w:space="0" w:color="auto"/>
            </w:tcBorders>
            <w:vAlign w:val="center"/>
          </w:tcPr>
          <w:p w14:paraId="7CB47861"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4 (0.4)</w:t>
            </w:r>
          </w:p>
        </w:tc>
        <w:tc>
          <w:tcPr>
            <w:tcW w:w="0" w:type="auto"/>
            <w:tcBorders>
              <w:top w:val="none" w:sz="0" w:space="0" w:color="auto"/>
              <w:bottom w:val="none" w:sz="0" w:space="0" w:color="auto"/>
            </w:tcBorders>
            <w:vAlign w:val="center"/>
          </w:tcPr>
          <w:p w14:paraId="327B17A0"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2 (0.4)</w:t>
            </w:r>
          </w:p>
        </w:tc>
        <w:tc>
          <w:tcPr>
            <w:tcW w:w="0" w:type="auto"/>
            <w:tcBorders>
              <w:top w:val="none" w:sz="0" w:space="0" w:color="auto"/>
              <w:bottom w:val="none" w:sz="0" w:space="0" w:color="auto"/>
              <w:right w:val="none" w:sz="0" w:space="0" w:color="auto"/>
            </w:tcBorders>
            <w:vAlign w:val="center"/>
          </w:tcPr>
          <w:p w14:paraId="37462EAA"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6 (0.4)</w:t>
            </w:r>
          </w:p>
        </w:tc>
      </w:tr>
      <w:tr w:rsidR="00437714" w:rsidRPr="00731632" w14:paraId="65D92D9E" w14:textId="77777777" w:rsidTr="00437714">
        <w:tc>
          <w:tcPr>
            <w:cnfStyle w:val="001000000000" w:firstRow="0" w:lastRow="0" w:firstColumn="1" w:lastColumn="0" w:oddVBand="0" w:evenVBand="0" w:oddHBand="0" w:evenHBand="0" w:firstRowFirstColumn="0" w:firstRowLastColumn="0" w:lastRowFirstColumn="0" w:lastRowLastColumn="0"/>
            <w:tcW w:w="0" w:type="auto"/>
            <w:hideMark/>
          </w:tcPr>
          <w:p w14:paraId="30CB203F" w14:textId="77777777" w:rsidR="00437714" w:rsidRPr="00731632" w:rsidRDefault="00437714" w:rsidP="00866F91">
            <w:pPr>
              <w:pStyle w:val="TableText0"/>
              <w:rPr>
                <w:b w:val="0"/>
                <w:bCs/>
                <w:szCs w:val="20"/>
                <w:lang w:val="en-AU"/>
              </w:rPr>
            </w:pPr>
            <w:r w:rsidRPr="00731632">
              <w:rPr>
                <w:b w:val="0"/>
                <w:bCs/>
                <w:szCs w:val="20"/>
                <w:lang w:val="en-AU"/>
              </w:rPr>
              <w:t>≥1 AE of ≥Grade 3 severity</w:t>
            </w:r>
          </w:p>
        </w:tc>
        <w:tc>
          <w:tcPr>
            <w:tcW w:w="0" w:type="auto"/>
            <w:vAlign w:val="center"/>
            <w:hideMark/>
          </w:tcPr>
          <w:p w14:paraId="7BA0DD9C"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36 (3.6)</w:t>
            </w:r>
          </w:p>
        </w:tc>
        <w:tc>
          <w:tcPr>
            <w:tcW w:w="0" w:type="auto"/>
            <w:vAlign w:val="center"/>
            <w:hideMark/>
          </w:tcPr>
          <w:p w14:paraId="6562A9DF"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21 (4.3)</w:t>
            </w:r>
          </w:p>
        </w:tc>
        <w:tc>
          <w:tcPr>
            <w:tcW w:w="0" w:type="auto"/>
            <w:vAlign w:val="center"/>
            <w:hideMark/>
          </w:tcPr>
          <w:p w14:paraId="151BC820"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57 (3.9)</w:t>
            </w:r>
          </w:p>
        </w:tc>
      </w:tr>
      <w:tr w:rsidR="00437714" w:rsidRPr="00731632" w14:paraId="6888FCEF"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57B7F6DD" w14:textId="77777777" w:rsidR="00437714" w:rsidRPr="00731632" w:rsidRDefault="00437714" w:rsidP="00866F91">
            <w:pPr>
              <w:pStyle w:val="TableText0"/>
              <w:rPr>
                <w:b w:val="0"/>
                <w:bCs/>
                <w:szCs w:val="20"/>
                <w:lang w:val="en-AU"/>
              </w:rPr>
            </w:pPr>
            <w:r w:rsidRPr="00731632">
              <w:rPr>
                <w:b w:val="0"/>
                <w:bCs/>
                <w:szCs w:val="20"/>
                <w:lang w:val="en-AU"/>
              </w:rPr>
              <w:t>≥1 SAE</w:t>
            </w:r>
            <w:r w:rsidRPr="00731632">
              <w:rPr>
                <w:b w:val="0"/>
                <w:bCs/>
                <w:szCs w:val="20"/>
                <w:vertAlign w:val="superscript"/>
                <w:lang w:val="en-AU"/>
              </w:rPr>
              <w:t>c</w:t>
            </w:r>
          </w:p>
        </w:tc>
        <w:tc>
          <w:tcPr>
            <w:tcW w:w="0" w:type="auto"/>
            <w:tcBorders>
              <w:top w:val="none" w:sz="0" w:space="0" w:color="auto"/>
              <w:bottom w:val="none" w:sz="0" w:space="0" w:color="auto"/>
            </w:tcBorders>
            <w:vAlign w:val="center"/>
            <w:hideMark/>
          </w:tcPr>
          <w:p w14:paraId="47866EC7"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67 (6.8)</w:t>
            </w:r>
          </w:p>
        </w:tc>
        <w:tc>
          <w:tcPr>
            <w:tcW w:w="0" w:type="auto"/>
            <w:tcBorders>
              <w:top w:val="none" w:sz="0" w:space="0" w:color="auto"/>
              <w:bottom w:val="none" w:sz="0" w:space="0" w:color="auto"/>
            </w:tcBorders>
            <w:vAlign w:val="center"/>
            <w:hideMark/>
          </w:tcPr>
          <w:p w14:paraId="0B5490C1"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36 (7.3)</w:t>
            </w:r>
          </w:p>
        </w:tc>
        <w:tc>
          <w:tcPr>
            <w:tcW w:w="0" w:type="auto"/>
            <w:tcBorders>
              <w:top w:val="none" w:sz="0" w:space="0" w:color="auto"/>
              <w:bottom w:val="none" w:sz="0" w:space="0" w:color="auto"/>
              <w:right w:val="none" w:sz="0" w:space="0" w:color="auto"/>
            </w:tcBorders>
            <w:vAlign w:val="center"/>
            <w:hideMark/>
          </w:tcPr>
          <w:p w14:paraId="4641E207"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103 (7.0)</w:t>
            </w:r>
          </w:p>
        </w:tc>
      </w:tr>
      <w:tr w:rsidR="00437714" w:rsidRPr="00731632" w14:paraId="62BB01C6" w14:textId="77777777" w:rsidTr="00437714">
        <w:tc>
          <w:tcPr>
            <w:cnfStyle w:val="001000000000" w:firstRow="0" w:lastRow="0" w:firstColumn="1" w:lastColumn="0" w:oddVBand="0" w:evenVBand="0" w:oddHBand="0" w:evenHBand="0" w:firstRowFirstColumn="0" w:firstRowLastColumn="0" w:lastRowFirstColumn="0" w:lastRowLastColumn="0"/>
            <w:tcW w:w="0" w:type="auto"/>
          </w:tcPr>
          <w:p w14:paraId="6A5C4738" w14:textId="77777777" w:rsidR="00437714" w:rsidRPr="00731632" w:rsidRDefault="00437714" w:rsidP="00866F91">
            <w:pPr>
              <w:pStyle w:val="TableText0"/>
              <w:ind w:left="164"/>
              <w:rPr>
                <w:b w:val="0"/>
                <w:bCs/>
                <w:szCs w:val="20"/>
                <w:lang w:val="en-AU"/>
              </w:rPr>
            </w:pPr>
            <w:r w:rsidRPr="00731632">
              <w:rPr>
                <w:b w:val="0"/>
                <w:bCs/>
                <w:szCs w:val="20"/>
                <w:lang w:val="en-AU"/>
              </w:rPr>
              <w:t>Considered related to trial drug</w:t>
            </w:r>
          </w:p>
        </w:tc>
        <w:tc>
          <w:tcPr>
            <w:tcW w:w="0" w:type="auto"/>
            <w:vAlign w:val="center"/>
          </w:tcPr>
          <w:p w14:paraId="71252CD9"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0</w:t>
            </w:r>
          </w:p>
        </w:tc>
        <w:tc>
          <w:tcPr>
            <w:tcW w:w="0" w:type="auto"/>
            <w:vAlign w:val="center"/>
          </w:tcPr>
          <w:p w14:paraId="3A366430"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0</w:t>
            </w:r>
          </w:p>
        </w:tc>
        <w:tc>
          <w:tcPr>
            <w:tcW w:w="0" w:type="auto"/>
            <w:vAlign w:val="center"/>
          </w:tcPr>
          <w:p w14:paraId="53AE59E1"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0</w:t>
            </w:r>
          </w:p>
        </w:tc>
      </w:tr>
      <w:tr w:rsidR="00437714" w:rsidRPr="00731632" w14:paraId="7B50FB34"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3B3FFE7E" w14:textId="77777777" w:rsidR="00437714" w:rsidRPr="00731632" w:rsidRDefault="00437714" w:rsidP="00866F91">
            <w:pPr>
              <w:pStyle w:val="TableText0"/>
              <w:rPr>
                <w:b w:val="0"/>
                <w:bCs/>
                <w:szCs w:val="20"/>
                <w:lang w:val="en-AU"/>
              </w:rPr>
            </w:pPr>
            <w:r w:rsidRPr="00731632">
              <w:rPr>
                <w:b w:val="0"/>
                <w:bCs/>
                <w:szCs w:val="20"/>
                <w:lang w:val="en-AU"/>
              </w:rPr>
              <w:t>Any AE with outcome death</w:t>
            </w:r>
            <w:r w:rsidRPr="00731632">
              <w:rPr>
                <w:b w:val="0"/>
                <w:bCs/>
                <w:szCs w:val="20"/>
                <w:vertAlign w:val="superscript"/>
                <w:lang w:val="en-AU"/>
              </w:rPr>
              <w:t>a</w:t>
            </w:r>
            <w:r w:rsidRPr="00731632">
              <w:rPr>
                <w:b w:val="0"/>
                <w:bCs/>
                <w:szCs w:val="20"/>
                <w:lang w:val="en-AU"/>
              </w:rPr>
              <w:t xml:space="preserve"> (Grade 5 severity)</w:t>
            </w:r>
          </w:p>
        </w:tc>
        <w:tc>
          <w:tcPr>
            <w:tcW w:w="0" w:type="auto"/>
            <w:tcBorders>
              <w:top w:val="none" w:sz="0" w:space="0" w:color="auto"/>
              <w:bottom w:val="none" w:sz="0" w:space="0" w:color="auto"/>
            </w:tcBorders>
            <w:vAlign w:val="center"/>
            <w:hideMark/>
          </w:tcPr>
          <w:p w14:paraId="21130164"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3 (0.3)</w:t>
            </w:r>
          </w:p>
        </w:tc>
        <w:tc>
          <w:tcPr>
            <w:tcW w:w="0" w:type="auto"/>
            <w:tcBorders>
              <w:top w:val="none" w:sz="0" w:space="0" w:color="auto"/>
              <w:bottom w:val="none" w:sz="0" w:space="0" w:color="auto"/>
            </w:tcBorders>
            <w:vAlign w:val="center"/>
            <w:hideMark/>
          </w:tcPr>
          <w:p w14:paraId="71291618"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0</w:t>
            </w:r>
          </w:p>
        </w:tc>
        <w:tc>
          <w:tcPr>
            <w:tcW w:w="0" w:type="auto"/>
            <w:tcBorders>
              <w:top w:val="none" w:sz="0" w:space="0" w:color="auto"/>
              <w:bottom w:val="none" w:sz="0" w:space="0" w:color="auto"/>
              <w:right w:val="none" w:sz="0" w:space="0" w:color="auto"/>
            </w:tcBorders>
            <w:vAlign w:val="center"/>
            <w:hideMark/>
          </w:tcPr>
          <w:p w14:paraId="50417C79"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3 (0.2)</w:t>
            </w:r>
          </w:p>
        </w:tc>
      </w:tr>
      <w:tr w:rsidR="00437714" w:rsidRPr="00731632" w14:paraId="13851EE2" w14:textId="77777777" w:rsidTr="00437714">
        <w:tc>
          <w:tcPr>
            <w:cnfStyle w:val="001000000000" w:firstRow="0" w:lastRow="0" w:firstColumn="1" w:lastColumn="0" w:oddVBand="0" w:evenVBand="0" w:oddHBand="0" w:evenHBand="0" w:firstRowFirstColumn="0" w:firstRowLastColumn="0" w:lastRowFirstColumn="0" w:lastRowLastColumn="0"/>
            <w:tcW w:w="0" w:type="auto"/>
            <w:hideMark/>
          </w:tcPr>
          <w:p w14:paraId="6CC20481" w14:textId="77777777" w:rsidR="00437714" w:rsidRPr="00731632" w:rsidRDefault="00437714" w:rsidP="00866F91">
            <w:pPr>
              <w:pStyle w:val="TableText0"/>
              <w:rPr>
                <w:b w:val="0"/>
                <w:bCs/>
                <w:szCs w:val="20"/>
                <w:lang w:val="en-AU"/>
              </w:rPr>
            </w:pPr>
            <w:r w:rsidRPr="00731632">
              <w:rPr>
                <w:b w:val="0"/>
                <w:bCs/>
                <w:szCs w:val="20"/>
                <w:lang w:val="en-AU"/>
              </w:rPr>
              <w:t>≥1 AE of special interest</w:t>
            </w:r>
            <w:r w:rsidRPr="00731632">
              <w:rPr>
                <w:b w:val="0"/>
                <w:bCs/>
                <w:szCs w:val="20"/>
                <w:vertAlign w:val="superscript"/>
                <w:lang w:val="en-AU"/>
              </w:rPr>
              <w:t>b</w:t>
            </w:r>
          </w:p>
        </w:tc>
        <w:tc>
          <w:tcPr>
            <w:tcW w:w="0" w:type="auto"/>
            <w:vAlign w:val="center"/>
            <w:hideMark/>
          </w:tcPr>
          <w:p w14:paraId="6A33CA90"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 (0.1)</w:t>
            </w:r>
          </w:p>
        </w:tc>
        <w:tc>
          <w:tcPr>
            <w:tcW w:w="0" w:type="auto"/>
            <w:vAlign w:val="center"/>
            <w:hideMark/>
          </w:tcPr>
          <w:p w14:paraId="5FEEE056"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0</w:t>
            </w:r>
          </w:p>
        </w:tc>
        <w:tc>
          <w:tcPr>
            <w:tcW w:w="0" w:type="auto"/>
            <w:vAlign w:val="center"/>
            <w:hideMark/>
          </w:tcPr>
          <w:p w14:paraId="6A211DE7"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 (0.1)</w:t>
            </w:r>
          </w:p>
        </w:tc>
      </w:tr>
      <w:tr w:rsidR="00437714" w:rsidRPr="00731632" w14:paraId="00C39AE4"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74FE7028" w14:textId="77777777" w:rsidR="00437714" w:rsidRPr="00731632" w:rsidRDefault="00437714" w:rsidP="00866F91">
            <w:pPr>
              <w:pStyle w:val="TableText0"/>
              <w:rPr>
                <w:b w:val="0"/>
                <w:bCs/>
                <w:szCs w:val="20"/>
                <w:lang w:val="en-AU"/>
              </w:rPr>
            </w:pPr>
            <w:r w:rsidRPr="00731632">
              <w:rPr>
                <w:b w:val="0"/>
                <w:bCs/>
                <w:szCs w:val="20"/>
                <w:lang w:val="en-AU"/>
              </w:rPr>
              <w:t>≥1 AE related to COVID-19</w:t>
            </w:r>
          </w:p>
        </w:tc>
        <w:tc>
          <w:tcPr>
            <w:tcW w:w="0" w:type="auto"/>
            <w:tcBorders>
              <w:top w:val="none" w:sz="0" w:space="0" w:color="auto"/>
              <w:bottom w:val="none" w:sz="0" w:space="0" w:color="auto"/>
            </w:tcBorders>
            <w:vAlign w:val="center"/>
            <w:hideMark/>
          </w:tcPr>
          <w:p w14:paraId="6021A73D"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7 (0.7)</w:t>
            </w:r>
          </w:p>
        </w:tc>
        <w:tc>
          <w:tcPr>
            <w:tcW w:w="0" w:type="auto"/>
            <w:tcBorders>
              <w:top w:val="none" w:sz="0" w:space="0" w:color="auto"/>
              <w:bottom w:val="none" w:sz="0" w:space="0" w:color="auto"/>
            </w:tcBorders>
            <w:vAlign w:val="center"/>
            <w:hideMark/>
          </w:tcPr>
          <w:p w14:paraId="0619C0FB"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7 (1.4)</w:t>
            </w:r>
          </w:p>
        </w:tc>
        <w:tc>
          <w:tcPr>
            <w:tcW w:w="0" w:type="auto"/>
            <w:tcBorders>
              <w:top w:val="none" w:sz="0" w:space="0" w:color="auto"/>
              <w:bottom w:val="none" w:sz="0" w:space="0" w:color="auto"/>
              <w:right w:val="none" w:sz="0" w:space="0" w:color="auto"/>
            </w:tcBorders>
            <w:vAlign w:val="center"/>
            <w:hideMark/>
          </w:tcPr>
          <w:p w14:paraId="250D0D4A"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14 (0.9)</w:t>
            </w:r>
          </w:p>
        </w:tc>
      </w:tr>
      <w:tr w:rsidR="00437714" w:rsidRPr="00731632" w14:paraId="5D6C4EDA" w14:textId="77777777" w:rsidTr="00437714">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6B19C97C" w14:textId="77777777" w:rsidR="00437714" w:rsidRPr="00731632" w:rsidRDefault="00437714" w:rsidP="00866F91">
            <w:pPr>
              <w:pStyle w:val="TableText0"/>
              <w:ind w:left="164"/>
              <w:rPr>
                <w:b w:val="0"/>
                <w:bCs/>
                <w:szCs w:val="20"/>
                <w:lang w:val="en-AU"/>
              </w:rPr>
            </w:pPr>
            <w:r w:rsidRPr="00731632">
              <w:rPr>
                <w:b w:val="0"/>
                <w:bCs/>
                <w:szCs w:val="20"/>
                <w:lang w:val="en-AU"/>
              </w:rPr>
              <w:t>Confirmed COVID-19 case</w:t>
            </w:r>
          </w:p>
        </w:tc>
        <w:tc>
          <w:tcPr>
            <w:tcW w:w="0" w:type="auto"/>
            <w:vAlign w:val="center"/>
          </w:tcPr>
          <w:p w14:paraId="57537DC7"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6 (0.6)</w:t>
            </w:r>
          </w:p>
        </w:tc>
        <w:tc>
          <w:tcPr>
            <w:tcW w:w="0" w:type="auto"/>
            <w:vAlign w:val="center"/>
          </w:tcPr>
          <w:p w14:paraId="390D17AE"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6 (1.2)</w:t>
            </w:r>
          </w:p>
        </w:tc>
        <w:tc>
          <w:tcPr>
            <w:tcW w:w="0" w:type="auto"/>
            <w:vAlign w:val="center"/>
          </w:tcPr>
          <w:p w14:paraId="465246A0" w14:textId="77777777" w:rsidR="00437714" w:rsidRPr="00731632" w:rsidRDefault="00437714" w:rsidP="00866F91">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12 (0.8)</w:t>
            </w:r>
          </w:p>
        </w:tc>
      </w:tr>
      <w:tr w:rsidR="00437714" w:rsidRPr="00731632" w14:paraId="0C9D5E95" w14:textId="77777777" w:rsidTr="00437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1F19DC29" w14:textId="77777777" w:rsidR="00437714" w:rsidRPr="00731632" w:rsidRDefault="00437714" w:rsidP="00866F91">
            <w:pPr>
              <w:pStyle w:val="TableText0"/>
              <w:ind w:left="164"/>
              <w:rPr>
                <w:b w:val="0"/>
                <w:bCs/>
                <w:szCs w:val="20"/>
                <w:lang w:val="en-AU"/>
              </w:rPr>
            </w:pPr>
            <w:r w:rsidRPr="00731632">
              <w:rPr>
                <w:b w:val="0"/>
                <w:bCs/>
                <w:szCs w:val="20"/>
                <w:lang w:val="en-AU"/>
              </w:rPr>
              <w:t>Suspected to be related to COVID-19</w:t>
            </w:r>
          </w:p>
        </w:tc>
        <w:tc>
          <w:tcPr>
            <w:tcW w:w="0" w:type="auto"/>
            <w:tcBorders>
              <w:top w:val="none" w:sz="0" w:space="0" w:color="auto"/>
              <w:bottom w:val="none" w:sz="0" w:space="0" w:color="auto"/>
            </w:tcBorders>
            <w:vAlign w:val="center"/>
          </w:tcPr>
          <w:p w14:paraId="3E1FD800"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 (0.1)</w:t>
            </w:r>
          </w:p>
        </w:tc>
        <w:tc>
          <w:tcPr>
            <w:tcW w:w="0" w:type="auto"/>
            <w:tcBorders>
              <w:top w:val="none" w:sz="0" w:space="0" w:color="auto"/>
              <w:bottom w:val="none" w:sz="0" w:space="0" w:color="auto"/>
            </w:tcBorders>
            <w:vAlign w:val="center"/>
          </w:tcPr>
          <w:p w14:paraId="66AE604C"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 (0.2)</w:t>
            </w:r>
          </w:p>
        </w:tc>
        <w:tc>
          <w:tcPr>
            <w:tcW w:w="0" w:type="auto"/>
            <w:tcBorders>
              <w:top w:val="none" w:sz="0" w:space="0" w:color="auto"/>
              <w:bottom w:val="none" w:sz="0" w:space="0" w:color="auto"/>
              <w:right w:val="none" w:sz="0" w:space="0" w:color="auto"/>
            </w:tcBorders>
            <w:vAlign w:val="center"/>
          </w:tcPr>
          <w:p w14:paraId="4AB13DD1" w14:textId="77777777" w:rsidR="00437714" w:rsidRPr="00731632" w:rsidRDefault="00437714" w:rsidP="00866F91">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2 (0.1)</w:t>
            </w:r>
          </w:p>
        </w:tc>
      </w:tr>
    </w:tbl>
    <w:p w14:paraId="7E34AEEF" w14:textId="7BEF7712" w:rsidR="005D26B4" w:rsidRPr="00731632" w:rsidRDefault="005D26B4" w:rsidP="00D86231">
      <w:pPr>
        <w:pStyle w:val="FooterTableFigure"/>
        <w:rPr>
          <w:sz w:val="20"/>
        </w:rPr>
      </w:pPr>
      <w:r w:rsidRPr="00731632">
        <w:t>Source:</w:t>
      </w:r>
      <w:r w:rsidR="00CB3851" w:rsidRPr="00731632">
        <w:t xml:space="preserve"> Table 2.5.9 of the submission</w:t>
      </w:r>
    </w:p>
    <w:p w14:paraId="47B19D04" w14:textId="5EE8EE55" w:rsidR="00437714" w:rsidRPr="00731632" w:rsidRDefault="00CB3851" w:rsidP="00D86231">
      <w:pPr>
        <w:pStyle w:val="FooterTableFigure"/>
        <w:rPr>
          <w:rFonts w:eastAsia="Calibri"/>
        </w:rPr>
      </w:pPr>
      <w:r w:rsidRPr="00731632">
        <w:rPr>
          <w:rFonts w:eastAsia="Calibri"/>
        </w:rPr>
        <w:t>AE = adverse event; COVID-19 = coronavirus disease 2019; SAE = serious adverse event; IP = investigational product.</w:t>
      </w:r>
    </w:p>
    <w:p w14:paraId="479E1A90" w14:textId="1EE1ECC1" w:rsidR="00CB3851" w:rsidRPr="00731632" w:rsidRDefault="00CB3851" w:rsidP="00CB3851">
      <w:pPr>
        <w:pStyle w:val="FooterTableFigure"/>
        <w:rPr>
          <w:rFonts w:eastAsia="Calibri"/>
        </w:rPr>
      </w:pPr>
      <w:r w:rsidRPr="00731632">
        <w:rPr>
          <w:rFonts w:eastAsia="Calibri"/>
        </w:rPr>
        <w:t>a No deaths were considered related to the trial drug</w:t>
      </w:r>
      <w:r w:rsidR="007C4F4D" w:rsidRPr="00731632">
        <w:rPr>
          <w:rFonts w:eastAsia="Calibri"/>
        </w:rPr>
        <w:t xml:space="preserve"> by blinded investigator</w:t>
      </w:r>
      <w:r w:rsidR="00E5483F" w:rsidRPr="00731632">
        <w:rPr>
          <w:rFonts w:eastAsia="Calibri"/>
        </w:rPr>
        <w:t>s</w:t>
      </w:r>
      <w:r w:rsidRPr="00731632">
        <w:rPr>
          <w:rFonts w:eastAsia="Calibri"/>
        </w:rPr>
        <w:t>.</w:t>
      </w:r>
    </w:p>
    <w:p w14:paraId="176DEC11" w14:textId="77777777" w:rsidR="00CB3851" w:rsidRPr="00731632" w:rsidRDefault="00CB3851" w:rsidP="00CB3851">
      <w:pPr>
        <w:pStyle w:val="FooterTableFigure"/>
        <w:rPr>
          <w:rFonts w:eastAsia="Calibri"/>
        </w:rPr>
      </w:pPr>
      <w:r w:rsidRPr="00731632">
        <w:rPr>
          <w:rFonts w:eastAsia="Calibri"/>
        </w:rPr>
        <w:t>b AEs of special interest included hypersensitivity, immune complex disease and thrombocytopenia.</w:t>
      </w:r>
    </w:p>
    <w:p w14:paraId="7C645B2C" w14:textId="7F81EBE8" w:rsidR="00437714" w:rsidRPr="00731632" w:rsidRDefault="00CB3851" w:rsidP="00D86231">
      <w:pPr>
        <w:pStyle w:val="FooterTableFigure"/>
        <w:rPr>
          <w:rFonts w:eastAsia="Calibri"/>
        </w:rPr>
      </w:pPr>
      <w:r w:rsidRPr="00731632">
        <w:rPr>
          <w:rFonts w:eastAsia="Calibri"/>
        </w:rPr>
        <w:t>c SAEs were defined as death, events that were life-threatening or required inpatient hospitalisation, events that prolonged hospitalisation, events that were persistent or that were associated with clinically significant disability or incapacity or events that were considered to be of medical significance.</w:t>
      </w:r>
    </w:p>
    <w:p w14:paraId="3F29A724" w14:textId="416DE418" w:rsidR="00795F88" w:rsidRPr="00731632" w:rsidRDefault="00795F88" w:rsidP="00795F88">
      <w:pPr>
        <w:pStyle w:val="3-BodyText"/>
      </w:pPr>
      <w:r w:rsidRPr="00731632">
        <w:t xml:space="preserve">In the </w:t>
      </w:r>
      <w:r w:rsidRPr="00731632">
        <w:rPr>
          <w:rFonts w:cstheme="minorHAnsi"/>
        </w:rPr>
        <w:t>Phase II</w:t>
      </w:r>
      <w:r w:rsidR="00CF3110" w:rsidRPr="00731632">
        <w:rPr>
          <w:rFonts w:cstheme="minorHAnsi"/>
        </w:rPr>
        <w:t>b</w:t>
      </w:r>
      <w:r w:rsidRPr="00731632">
        <w:rPr>
          <w:rFonts w:cstheme="minorHAnsi"/>
        </w:rPr>
        <w:t xml:space="preserve"> Study,</w:t>
      </w:r>
      <w:r w:rsidRPr="00731632">
        <w:t xml:space="preserve"> the safety profile for nirsevimab was similar to </w:t>
      </w:r>
      <w:r w:rsidR="001F0DB6" w:rsidRPr="00731632">
        <w:t xml:space="preserve">that of </w:t>
      </w:r>
      <w:r w:rsidRPr="00731632">
        <w:t>placebo (</w:t>
      </w:r>
      <w:r w:rsidRPr="00731632">
        <w:fldChar w:fldCharType="begin"/>
      </w:r>
      <w:r w:rsidRPr="00731632">
        <w:instrText xml:space="preserve"> REF _Ref164032613 \h </w:instrText>
      </w:r>
      <w:r w:rsidRPr="00731632">
        <w:fldChar w:fldCharType="separate"/>
      </w:r>
      <w:r w:rsidR="00D770BB" w:rsidRPr="00731632">
        <w:t xml:space="preserve">Table </w:t>
      </w:r>
      <w:r w:rsidR="00D770BB">
        <w:rPr>
          <w:noProof/>
        </w:rPr>
        <w:t>14</w:t>
      </w:r>
      <w:r w:rsidRPr="00731632">
        <w:fldChar w:fldCharType="end"/>
      </w:r>
      <w:r w:rsidRPr="00731632">
        <w:t>). Overall, 86.8% of subjects in the placebo group and 86.2% of subjects in the nirsevimab group had at least 1 AE. AEs of ≥Grade 3 severity were reported in 60</w:t>
      </w:r>
      <w:r w:rsidR="00736431">
        <w:t> </w:t>
      </w:r>
      <w:r w:rsidRPr="00731632">
        <w:t>subjects (12.5%) in the placebo group and 77 subjects (8.0%) in the nirsevimab group. Grade 4 or 5 events occurred in ≤ 1% of subjects in each group. The most common Grade 3 AEs (≥ 1% of subjects) reported with nirsevimab compared with placebo were LRTI (1.5% vs 2.3%) and bronchiolitis (1.0% vs 2.5%).</w:t>
      </w:r>
    </w:p>
    <w:p w14:paraId="25EF0278" w14:textId="03CF02CD" w:rsidR="00437714" w:rsidRPr="00731632" w:rsidRDefault="00795F88" w:rsidP="00795F88">
      <w:pPr>
        <w:pStyle w:val="3-BodyText"/>
      </w:pPr>
      <w:r w:rsidRPr="00731632">
        <w:t xml:space="preserve">Five deaths (3 in the placebo group and 2 in the nirsevimab group) were reported during the study through </w:t>
      </w:r>
      <w:r w:rsidR="001F0DB6" w:rsidRPr="00731632">
        <w:t xml:space="preserve">to </w:t>
      </w:r>
      <w:r w:rsidRPr="00731632">
        <w:t>Day 361. One additional subject in the placebo group died on Day 367. None of these deaths were considered related to treatment.</w:t>
      </w:r>
    </w:p>
    <w:p w14:paraId="2550521A" w14:textId="0DCB8CC7" w:rsidR="00795F88" w:rsidRPr="00731632" w:rsidRDefault="00795F88" w:rsidP="00795F88">
      <w:pPr>
        <w:pStyle w:val="Caption"/>
        <w:rPr>
          <w:rFonts w:cstheme="minorHAnsi"/>
        </w:rPr>
      </w:pPr>
      <w:bookmarkStart w:id="54" w:name="_Ref164032613"/>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14</w:t>
      </w:r>
      <w:r w:rsidR="00BD1FC6" w:rsidRPr="00731632">
        <w:fldChar w:fldCharType="end"/>
      </w:r>
      <w:bookmarkEnd w:id="54"/>
      <w:r w:rsidRPr="00731632">
        <w:t xml:space="preserve">: </w:t>
      </w:r>
      <w:r w:rsidRPr="00731632">
        <w:rPr>
          <w:rFonts w:cstheme="minorHAnsi"/>
        </w:rPr>
        <w:t xml:space="preserve">Adverse events in </w:t>
      </w:r>
      <w:bookmarkStart w:id="55" w:name="_Toc143187257"/>
      <w:r w:rsidRPr="00731632">
        <w:rPr>
          <w:rFonts w:cstheme="minorHAnsi"/>
        </w:rPr>
        <w:t>Phase II</w:t>
      </w:r>
      <w:r w:rsidR="00CF3110" w:rsidRPr="00731632">
        <w:rPr>
          <w:rFonts w:cstheme="minorHAnsi"/>
        </w:rPr>
        <w:t>b</w:t>
      </w:r>
      <w:r w:rsidRPr="00731632">
        <w:rPr>
          <w:rFonts w:cstheme="minorHAnsi"/>
        </w:rPr>
        <w:t xml:space="preserve"> Study</w:t>
      </w:r>
      <w:bookmarkEnd w:id="55"/>
      <w:r w:rsidR="00266A98" w:rsidRPr="00731632">
        <w:rPr>
          <w:rFonts w:cstheme="minorHAnsi"/>
        </w:rPr>
        <w:t xml:space="preserve"> </w:t>
      </w:r>
    </w:p>
    <w:tbl>
      <w:tblPr>
        <w:tblStyle w:val="LightList-Accent3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Adverse events in Phase IIb Study "/>
      </w:tblPr>
      <w:tblGrid>
        <w:gridCol w:w="4580"/>
        <w:gridCol w:w="2396"/>
        <w:gridCol w:w="2041"/>
      </w:tblGrid>
      <w:tr w:rsidR="007C4F4D" w:rsidRPr="00731632" w14:paraId="180AEA90" w14:textId="77777777" w:rsidTr="007C4F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46449D8" w14:textId="727D72FE" w:rsidR="007C4F4D" w:rsidRPr="00731632" w:rsidRDefault="007C4F4D" w:rsidP="007C4F4D">
            <w:pPr>
              <w:pStyle w:val="TableText0"/>
              <w:rPr>
                <w:color w:val="auto"/>
                <w:szCs w:val="20"/>
                <w:vertAlign w:val="superscript"/>
                <w:lang w:val="en-AU"/>
              </w:rPr>
            </w:pPr>
            <w:r w:rsidRPr="00731632">
              <w:rPr>
                <w:color w:val="auto"/>
                <w:szCs w:val="20"/>
                <w:lang w:val="en-AU"/>
              </w:rPr>
              <w:t>Adverse event</w:t>
            </w:r>
            <w:r w:rsidRPr="00731632">
              <w:rPr>
                <w:color w:val="auto"/>
                <w:szCs w:val="20"/>
                <w:vertAlign w:val="superscript"/>
                <w:lang w:val="en-AU"/>
              </w:rPr>
              <w:t>a</w:t>
            </w:r>
          </w:p>
        </w:tc>
        <w:tc>
          <w:tcPr>
            <w:tcW w:w="0" w:type="auto"/>
            <w:shd w:val="clear" w:color="auto" w:fill="auto"/>
            <w:vAlign w:val="center"/>
          </w:tcPr>
          <w:p w14:paraId="646C577C" w14:textId="77777777" w:rsidR="007C4F4D" w:rsidRPr="00731632" w:rsidRDefault="007C4F4D" w:rsidP="007C4F4D">
            <w:pPr>
              <w:pStyle w:val="TableText0"/>
              <w:jc w:val="right"/>
              <w:cnfStyle w:val="100000000000" w:firstRow="1" w:lastRow="0" w:firstColumn="0" w:lastColumn="0" w:oddVBand="0" w:evenVBand="0" w:oddHBand="0" w:evenHBand="0" w:firstRowFirstColumn="0" w:firstRowLastColumn="0" w:lastRowFirstColumn="0" w:lastRowLastColumn="0"/>
              <w:rPr>
                <w:b w:val="0"/>
                <w:bCs/>
                <w:color w:val="auto"/>
                <w:szCs w:val="20"/>
                <w:lang w:val="en-AU"/>
              </w:rPr>
            </w:pPr>
            <w:r w:rsidRPr="00731632">
              <w:rPr>
                <w:color w:val="auto"/>
                <w:szCs w:val="20"/>
                <w:lang w:val="en-AU"/>
              </w:rPr>
              <w:t>Nirsevimab (n=969)</w:t>
            </w:r>
          </w:p>
          <w:p w14:paraId="6A0BC305" w14:textId="2B650D8F" w:rsidR="007C4F4D" w:rsidRPr="00731632" w:rsidRDefault="007C4F4D" w:rsidP="007C4F4D">
            <w:pPr>
              <w:pStyle w:val="TableText0"/>
              <w:jc w:val="right"/>
              <w:cnfStyle w:val="100000000000" w:firstRow="1" w:lastRow="0" w:firstColumn="0" w:lastColumn="0" w:oddVBand="0" w:evenVBand="0" w:oddHBand="0" w:evenHBand="0" w:firstRowFirstColumn="0" w:firstRowLastColumn="0" w:lastRowFirstColumn="0" w:lastRowLastColumn="0"/>
              <w:rPr>
                <w:color w:val="auto"/>
                <w:szCs w:val="20"/>
                <w:lang w:val="en-AU"/>
              </w:rPr>
            </w:pPr>
            <w:r w:rsidRPr="00731632">
              <w:rPr>
                <w:color w:val="auto"/>
                <w:szCs w:val="20"/>
                <w:lang w:val="en-AU"/>
              </w:rPr>
              <w:t>N (%)</w:t>
            </w:r>
          </w:p>
        </w:tc>
        <w:tc>
          <w:tcPr>
            <w:tcW w:w="0" w:type="auto"/>
            <w:shd w:val="clear" w:color="auto" w:fill="auto"/>
            <w:vAlign w:val="center"/>
            <w:hideMark/>
          </w:tcPr>
          <w:p w14:paraId="09300F99" w14:textId="7F152A7C" w:rsidR="007C4F4D" w:rsidRPr="00731632" w:rsidRDefault="007C4F4D" w:rsidP="007C4F4D">
            <w:pPr>
              <w:pStyle w:val="TableText0"/>
              <w:jc w:val="right"/>
              <w:cnfStyle w:val="100000000000" w:firstRow="1" w:lastRow="0" w:firstColumn="0" w:lastColumn="0" w:oddVBand="0" w:evenVBand="0" w:oddHBand="0" w:evenHBand="0" w:firstRowFirstColumn="0" w:firstRowLastColumn="0" w:lastRowFirstColumn="0" w:lastRowLastColumn="0"/>
              <w:rPr>
                <w:b w:val="0"/>
                <w:bCs/>
                <w:color w:val="auto"/>
                <w:szCs w:val="20"/>
                <w:lang w:val="en-AU"/>
              </w:rPr>
            </w:pPr>
            <w:r w:rsidRPr="00731632">
              <w:rPr>
                <w:color w:val="auto"/>
                <w:szCs w:val="20"/>
                <w:lang w:val="en-AU"/>
              </w:rPr>
              <w:t>Placebo (n=479)</w:t>
            </w:r>
          </w:p>
          <w:p w14:paraId="1671A0C3" w14:textId="13D308E5" w:rsidR="007C4F4D" w:rsidRPr="00731632" w:rsidRDefault="007C4F4D" w:rsidP="007C4F4D">
            <w:pPr>
              <w:pStyle w:val="TableText0"/>
              <w:jc w:val="right"/>
              <w:cnfStyle w:val="100000000000" w:firstRow="1" w:lastRow="0" w:firstColumn="0" w:lastColumn="0" w:oddVBand="0" w:evenVBand="0" w:oddHBand="0" w:evenHBand="0" w:firstRowFirstColumn="0" w:firstRowLastColumn="0" w:lastRowFirstColumn="0" w:lastRowLastColumn="0"/>
              <w:rPr>
                <w:color w:val="auto"/>
                <w:szCs w:val="20"/>
                <w:lang w:val="en-AU"/>
              </w:rPr>
            </w:pPr>
            <w:r w:rsidRPr="00731632">
              <w:rPr>
                <w:color w:val="auto"/>
                <w:szCs w:val="20"/>
                <w:lang w:val="en-AU"/>
              </w:rPr>
              <w:t>N (%)</w:t>
            </w:r>
          </w:p>
        </w:tc>
      </w:tr>
      <w:tr w:rsidR="007C4F4D" w:rsidRPr="00731632" w14:paraId="66ED79DA"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75D548E3" w14:textId="77777777" w:rsidR="007C4F4D" w:rsidRPr="00731632" w:rsidRDefault="007C4F4D" w:rsidP="007C4F4D">
            <w:pPr>
              <w:pStyle w:val="TableText0"/>
              <w:rPr>
                <w:b w:val="0"/>
                <w:bCs/>
                <w:szCs w:val="20"/>
                <w:lang w:val="en-AU"/>
              </w:rPr>
            </w:pPr>
            <w:r w:rsidRPr="00731632">
              <w:rPr>
                <w:b w:val="0"/>
                <w:bCs/>
                <w:szCs w:val="20"/>
                <w:lang w:val="en-AU"/>
              </w:rPr>
              <w:t xml:space="preserve">≥1 AE </w:t>
            </w:r>
          </w:p>
        </w:tc>
        <w:tc>
          <w:tcPr>
            <w:tcW w:w="0" w:type="auto"/>
            <w:tcBorders>
              <w:top w:val="none" w:sz="0" w:space="0" w:color="auto"/>
              <w:bottom w:val="none" w:sz="0" w:space="0" w:color="auto"/>
            </w:tcBorders>
            <w:shd w:val="clear" w:color="auto" w:fill="auto"/>
            <w:vAlign w:val="center"/>
          </w:tcPr>
          <w:p w14:paraId="639527FA" w14:textId="6B4D2BBF"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834 (86.2%)</w:t>
            </w:r>
          </w:p>
        </w:tc>
        <w:tc>
          <w:tcPr>
            <w:tcW w:w="0" w:type="auto"/>
            <w:tcBorders>
              <w:top w:val="none" w:sz="0" w:space="0" w:color="auto"/>
              <w:bottom w:val="none" w:sz="0" w:space="0" w:color="auto"/>
              <w:right w:val="none" w:sz="0" w:space="0" w:color="auto"/>
            </w:tcBorders>
            <w:shd w:val="clear" w:color="auto" w:fill="auto"/>
            <w:vAlign w:val="center"/>
          </w:tcPr>
          <w:p w14:paraId="125A1D9C" w14:textId="6045748D"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416 (86.8%)</w:t>
            </w:r>
          </w:p>
        </w:tc>
      </w:tr>
      <w:tr w:rsidR="007C4F4D" w:rsidRPr="00731632" w14:paraId="2144FBB7"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688DF7" w14:textId="77777777" w:rsidR="007C4F4D" w:rsidRPr="00731632" w:rsidRDefault="007C4F4D" w:rsidP="007C4F4D">
            <w:pPr>
              <w:pStyle w:val="TableText0"/>
              <w:ind w:left="164"/>
              <w:rPr>
                <w:b w:val="0"/>
                <w:bCs/>
                <w:szCs w:val="20"/>
                <w:lang w:val="en-AU"/>
              </w:rPr>
            </w:pPr>
            <w:r w:rsidRPr="00731632">
              <w:rPr>
                <w:b w:val="0"/>
                <w:bCs/>
                <w:szCs w:val="20"/>
                <w:lang w:val="en-AU"/>
              </w:rPr>
              <w:t>≤1-day post-dose</w:t>
            </w:r>
          </w:p>
        </w:tc>
        <w:tc>
          <w:tcPr>
            <w:tcW w:w="0" w:type="auto"/>
            <w:shd w:val="clear" w:color="auto" w:fill="auto"/>
            <w:vAlign w:val="center"/>
          </w:tcPr>
          <w:p w14:paraId="5D83F96C" w14:textId="0A941EF9"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24 (2.5%)</w:t>
            </w:r>
          </w:p>
        </w:tc>
        <w:tc>
          <w:tcPr>
            <w:tcW w:w="0" w:type="auto"/>
            <w:shd w:val="clear" w:color="auto" w:fill="auto"/>
            <w:vAlign w:val="center"/>
          </w:tcPr>
          <w:p w14:paraId="291B1A8B" w14:textId="6C2B8B18"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12 (2.5%)</w:t>
            </w:r>
          </w:p>
        </w:tc>
      </w:tr>
      <w:tr w:rsidR="007C4F4D" w:rsidRPr="00731632" w14:paraId="3EF4A4B1"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hideMark/>
          </w:tcPr>
          <w:p w14:paraId="6E795732" w14:textId="77777777" w:rsidR="007C4F4D" w:rsidRPr="00731632" w:rsidRDefault="007C4F4D" w:rsidP="007C4F4D">
            <w:pPr>
              <w:pStyle w:val="TableText0"/>
              <w:ind w:left="164"/>
              <w:rPr>
                <w:b w:val="0"/>
                <w:bCs/>
                <w:szCs w:val="20"/>
                <w:lang w:val="en-AU"/>
              </w:rPr>
            </w:pPr>
            <w:r w:rsidRPr="00731632">
              <w:rPr>
                <w:b w:val="0"/>
                <w:bCs/>
                <w:szCs w:val="20"/>
                <w:lang w:val="en-AU"/>
              </w:rPr>
              <w:t>≤7 days post-dose</w:t>
            </w:r>
          </w:p>
        </w:tc>
        <w:tc>
          <w:tcPr>
            <w:tcW w:w="0" w:type="auto"/>
            <w:tcBorders>
              <w:top w:val="none" w:sz="0" w:space="0" w:color="auto"/>
              <w:bottom w:val="none" w:sz="0" w:space="0" w:color="auto"/>
            </w:tcBorders>
            <w:shd w:val="clear" w:color="auto" w:fill="auto"/>
            <w:vAlign w:val="center"/>
          </w:tcPr>
          <w:p w14:paraId="6B5637AB" w14:textId="6F74EF2D"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121 (12.5%)</w:t>
            </w:r>
          </w:p>
        </w:tc>
        <w:tc>
          <w:tcPr>
            <w:tcW w:w="0" w:type="auto"/>
            <w:tcBorders>
              <w:top w:val="none" w:sz="0" w:space="0" w:color="auto"/>
              <w:bottom w:val="none" w:sz="0" w:space="0" w:color="auto"/>
              <w:right w:val="none" w:sz="0" w:space="0" w:color="auto"/>
            </w:tcBorders>
            <w:shd w:val="clear" w:color="auto" w:fill="auto"/>
            <w:vAlign w:val="center"/>
          </w:tcPr>
          <w:p w14:paraId="40131073" w14:textId="2B049F0B"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73 (15.2%)</w:t>
            </w:r>
          </w:p>
        </w:tc>
      </w:tr>
      <w:tr w:rsidR="007C4F4D" w:rsidRPr="00731632" w14:paraId="517D900B"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5EE24E" w14:textId="77777777" w:rsidR="007C4F4D" w:rsidRPr="00731632" w:rsidRDefault="007C4F4D" w:rsidP="007C4F4D">
            <w:pPr>
              <w:pStyle w:val="TableText0"/>
              <w:ind w:left="164"/>
              <w:rPr>
                <w:b w:val="0"/>
                <w:bCs/>
                <w:szCs w:val="20"/>
                <w:lang w:val="en-AU"/>
              </w:rPr>
            </w:pPr>
            <w:r w:rsidRPr="00731632">
              <w:rPr>
                <w:b w:val="0"/>
                <w:bCs/>
                <w:szCs w:val="20"/>
                <w:lang w:val="en-AU"/>
              </w:rPr>
              <w:t>≥1 AE considered related to IP</w:t>
            </w:r>
          </w:p>
        </w:tc>
        <w:tc>
          <w:tcPr>
            <w:tcW w:w="0" w:type="auto"/>
            <w:shd w:val="clear" w:color="auto" w:fill="auto"/>
            <w:vAlign w:val="center"/>
          </w:tcPr>
          <w:p w14:paraId="28956344" w14:textId="74087E71"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22 (2.3%)</w:t>
            </w:r>
          </w:p>
        </w:tc>
        <w:tc>
          <w:tcPr>
            <w:tcW w:w="0" w:type="auto"/>
            <w:shd w:val="clear" w:color="auto" w:fill="auto"/>
            <w:vAlign w:val="center"/>
          </w:tcPr>
          <w:p w14:paraId="351CB988" w14:textId="65A290AE"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10 (2.1%)</w:t>
            </w:r>
          </w:p>
        </w:tc>
      </w:tr>
      <w:tr w:rsidR="007C4F4D" w:rsidRPr="00731632" w14:paraId="4E7E8CA9"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hideMark/>
          </w:tcPr>
          <w:p w14:paraId="590BE244" w14:textId="77777777" w:rsidR="007C4F4D" w:rsidRPr="00731632" w:rsidRDefault="007C4F4D" w:rsidP="007C4F4D">
            <w:pPr>
              <w:pStyle w:val="TableText0"/>
              <w:rPr>
                <w:b w:val="0"/>
                <w:bCs/>
                <w:szCs w:val="20"/>
                <w:lang w:val="en-AU"/>
              </w:rPr>
            </w:pPr>
            <w:r w:rsidRPr="00731632">
              <w:rPr>
                <w:b w:val="0"/>
                <w:bCs/>
                <w:szCs w:val="20"/>
                <w:lang w:val="en-AU"/>
              </w:rPr>
              <w:t>≥1 AE of ≥Grade 3 severity</w:t>
            </w:r>
            <w:r w:rsidRPr="00731632">
              <w:rPr>
                <w:b w:val="0"/>
                <w:bCs/>
                <w:szCs w:val="20"/>
                <w:vertAlign w:val="superscript"/>
                <w:lang w:val="en-AU"/>
              </w:rPr>
              <w:t>b</w:t>
            </w:r>
          </w:p>
        </w:tc>
        <w:tc>
          <w:tcPr>
            <w:tcW w:w="0" w:type="auto"/>
            <w:tcBorders>
              <w:top w:val="none" w:sz="0" w:space="0" w:color="auto"/>
              <w:bottom w:val="none" w:sz="0" w:space="0" w:color="auto"/>
            </w:tcBorders>
            <w:shd w:val="clear" w:color="auto" w:fill="auto"/>
            <w:vAlign w:val="center"/>
          </w:tcPr>
          <w:p w14:paraId="5F0E0951" w14:textId="04E7A0E0"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77 (8.0%)</w:t>
            </w:r>
          </w:p>
        </w:tc>
        <w:tc>
          <w:tcPr>
            <w:tcW w:w="0" w:type="auto"/>
            <w:tcBorders>
              <w:top w:val="none" w:sz="0" w:space="0" w:color="auto"/>
              <w:bottom w:val="none" w:sz="0" w:space="0" w:color="auto"/>
              <w:right w:val="none" w:sz="0" w:space="0" w:color="auto"/>
            </w:tcBorders>
            <w:shd w:val="clear" w:color="auto" w:fill="auto"/>
            <w:vAlign w:val="center"/>
          </w:tcPr>
          <w:p w14:paraId="37F4369A" w14:textId="060DEB71"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60 (12.5%)</w:t>
            </w:r>
          </w:p>
        </w:tc>
      </w:tr>
      <w:tr w:rsidR="007C4F4D" w:rsidRPr="00731632" w14:paraId="1F1B6F0C"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E70B2E" w14:textId="77777777" w:rsidR="007C4F4D" w:rsidRPr="00731632" w:rsidRDefault="007C4F4D" w:rsidP="007C4F4D">
            <w:pPr>
              <w:pStyle w:val="TableText0"/>
              <w:rPr>
                <w:b w:val="0"/>
                <w:bCs/>
                <w:szCs w:val="20"/>
                <w:lang w:val="en-AU"/>
              </w:rPr>
            </w:pPr>
            <w:r w:rsidRPr="00731632">
              <w:rPr>
                <w:b w:val="0"/>
                <w:bCs/>
                <w:szCs w:val="20"/>
                <w:lang w:val="en-AU"/>
              </w:rPr>
              <w:t>Death</w:t>
            </w:r>
            <w:r w:rsidRPr="00731632">
              <w:rPr>
                <w:b w:val="0"/>
                <w:bCs/>
                <w:szCs w:val="20"/>
                <w:vertAlign w:val="superscript"/>
                <w:lang w:val="en-AU"/>
              </w:rPr>
              <w:t>c</w:t>
            </w:r>
            <w:r w:rsidRPr="00731632">
              <w:rPr>
                <w:b w:val="0"/>
                <w:bCs/>
                <w:szCs w:val="20"/>
                <w:lang w:val="en-AU"/>
              </w:rPr>
              <w:t xml:space="preserve"> (grade 5 severity</w:t>
            </w:r>
            <w:r w:rsidRPr="00731632">
              <w:rPr>
                <w:b w:val="0"/>
                <w:bCs/>
                <w:szCs w:val="20"/>
                <w:vertAlign w:val="superscript"/>
                <w:lang w:val="en-AU"/>
              </w:rPr>
              <w:t>b</w:t>
            </w:r>
            <w:r w:rsidRPr="00731632">
              <w:rPr>
                <w:b w:val="0"/>
                <w:bCs/>
                <w:szCs w:val="20"/>
                <w:lang w:val="en-AU"/>
              </w:rPr>
              <w:t>)</w:t>
            </w:r>
          </w:p>
        </w:tc>
        <w:tc>
          <w:tcPr>
            <w:tcW w:w="0" w:type="auto"/>
            <w:shd w:val="clear" w:color="auto" w:fill="auto"/>
            <w:vAlign w:val="center"/>
          </w:tcPr>
          <w:p w14:paraId="62486F7F" w14:textId="45137389"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2 (0.2%)</w:t>
            </w:r>
          </w:p>
        </w:tc>
        <w:tc>
          <w:tcPr>
            <w:tcW w:w="0" w:type="auto"/>
            <w:shd w:val="clear" w:color="auto" w:fill="auto"/>
            <w:vAlign w:val="center"/>
          </w:tcPr>
          <w:p w14:paraId="25A4D11C" w14:textId="38885C44"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3 (0.6%)</w:t>
            </w:r>
          </w:p>
        </w:tc>
      </w:tr>
      <w:tr w:rsidR="007C4F4D" w:rsidRPr="00731632" w14:paraId="05550355"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hideMark/>
          </w:tcPr>
          <w:p w14:paraId="7A7FDC46" w14:textId="77777777" w:rsidR="007C4F4D" w:rsidRPr="00731632" w:rsidRDefault="007C4F4D" w:rsidP="007C4F4D">
            <w:pPr>
              <w:pStyle w:val="TableText0"/>
              <w:rPr>
                <w:b w:val="0"/>
                <w:bCs/>
                <w:szCs w:val="20"/>
                <w:lang w:val="en-AU"/>
              </w:rPr>
            </w:pPr>
            <w:r w:rsidRPr="00731632">
              <w:rPr>
                <w:b w:val="0"/>
                <w:bCs/>
                <w:szCs w:val="20"/>
                <w:lang w:val="en-AU"/>
              </w:rPr>
              <w:t>≥1 SAE</w:t>
            </w:r>
            <w:r w:rsidRPr="00731632">
              <w:rPr>
                <w:b w:val="0"/>
                <w:bCs/>
                <w:szCs w:val="20"/>
                <w:vertAlign w:val="superscript"/>
                <w:lang w:val="en-AU"/>
              </w:rPr>
              <w:t>d</w:t>
            </w:r>
          </w:p>
        </w:tc>
        <w:tc>
          <w:tcPr>
            <w:tcW w:w="0" w:type="auto"/>
            <w:tcBorders>
              <w:top w:val="none" w:sz="0" w:space="0" w:color="auto"/>
              <w:bottom w:val="none" w:sz="0" w:space="0" w:color="auto"/>
            </w:tcBorders>
            <w:shd w:val="clear" w:color="auto" w:fill="auto"/>
            <w:vAlign w:val="center"/>
          </w:tcPr>
          <w:p w14:paraId="2B185D4A" w14:textId="16443786"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108 (11.2%)</w:t>
            </w:r>
          </w:p>
        </w:tc>
        <w:tc>
          <w:tcPr>
            <w:tcW w:w="0" w:type="auto"/>
            <w:tcBorders>
              <w:top w:val="none" w:sz="0" w:space="0" w:color="auto"/>
              <w:bottom w:val="none" w:sz="0" w:space="0" w:color="auto"/>
              <w:right w:val="none" w:sz="0" w:space="0" w:color="auto"/>
            </w:tcBorders>
            <w:shd w:val="clear" w:color="auto" w:fill="auto"/>
            <w:vAlign w:val="center"/>
          </w:tcPr>
          <w:p w14:paraId="16325D1F" w14:textId="0FEA5054"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81 (16.9%)</w:t>
            </w:r>
          </w:p>
        </w:tc>
      </w:tr>
      <w:tr w:rsidR="007C4F4D" w:rsidRPr="00731632" w14:paraId="7B339F45"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6D89E7" w14:textId="77777777" w:rsidR="007C4F4D" w:rsidRPr="00731632" w:rsidRDefault="007C4F4D" w:rsidP="007C4F4D">
            <w:pPr>
              <w:pStyle w:val="TableText0"/>
              <w:rPr>
                <w:b w:val="0"/>
                <w:bCs/>
                <w:szCs w:val="20"/>
                <w:lang w:val="en-AU"/>
              </w:rPr>
            </w:pPr>
            <w:r w:rsidRPr="00731632">
              <w:rPr>
                <w:b w:val="0"/>
                <w:bCs/>
                <w:szCs w:val="20"/>
                <w:lang w:val="en-AU"/>
              </w:rPr>
              <w:t>≥1 SAE</w:t>
            </w:r>
            <w:r w:rsidRPr="00731632">
              <w:rPr>
                <w:b w:val="0"/>
                <w:bCs/>
                <w:szCs w:val="20"/>
                <w:vertAlign w:val="superscript"/>
                <w:lang w:val="en-AU"/>
              </w:rPr>
              <w:t xml:space="preserve">d </w:t>
            </w:r>
            <w:r w:rsidRPr="00731632">
              <w:rPr>
                <w:b w:val="0"/>
                <w:bCs/>
                <w:szCs w:val="20"/>
                <w:lang w:val="en-AU"/>
              </w:rPr>
              <w:t>or ≥Grade 3 severity</w:t>
            </w:r>
            <w:r w:rsidRPr="00731632">
              <w:rPr>
                <w:b w:val="0"/>
                <w:bCs/>
                <w:szCs w:val="20"/>
                <w:vertAlign w:val="superscript"/>
                <w:lang w:val="en-AU"/>
              </w:rPr>
              <w:t>b</w:t>
            </w:r>
          </w:p>
        </w:tc>
        <w:tc>
          <w:tcPr>
            <w:tcW w:w="0" w:type="auto"/>
            <w:shd w:val="clear" w:color="auto" w:fill="auto"/>
            <w:vAlign w:val="center"/>
          </w:tcPr>
          <w:p w14:paraId="34FFEE7E" w14:textId="5212C09B"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124 (12.8%)</w:t>
            </w:r>
          </w:p>
        </w:tc>
        <w:tc>
          <w:tcPr>
            <w:tcW w:w="0" w:type="auto"/>
            <w:shd w:val="clear" w:color="auto" w:fill="auto"/>
            <w:vAlign w:val="center"/>
          </w:tcPr>
          <w:p w14:paraId="6A503B55" w14:textId="60BFB141"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92 (19.2%)</w:t>
            </w:r>
          </w:p>
        </w:tc>
      </w:tr>
      <w:tr w:rsidR="007C4F4D" w:rsidRPr="00731632" w14:paraId="338CBE26"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0672078A" w14:textId="4E48116B" w:rsidR="007C4F4D" w:rsidRPr="00731632" w:rsidRDefault="007C4F4D" w:rsidP="007C4F4D">
            <w:pPr>
              <w:pStyle w:val="TableText0"/>
              <w:rPr>
                <w:b w:val="0"/>
                <w:bCs/>
                <w:szCs w:val="20"/>
                <w:lang w:val="en-AU"/>
              </w:rPr>
            </w:pPr>
            <w:r w:rsidRPr="00731632">
              <w:rPr>
                <w:b w:val="0"/>
                <w:bCs/>
                <w:szCs w:val="20"/>
                <w:lang w:val="en-AU"/>
              </w:rPr>
              <w:t>≥1 SAE</w:t>
            </w:r>
            <w:r w:rsidRPr="00731632">
              <w:rPr>
                <w:b w:val="0"/>
                <w:bCs/>
                <w:szCs w:val="20"/>
                <w:vertAlign w:val="superscript"/>
                <w:lang w:val="en-AU"/>
              </w:rPr>
              <w:t>d</w:t>
            </w:r>
            <w:r w:rsidRPr="00731632">
              <w:rPr>
                <w:b w:val="0"/>
                <w:bCs/>
                <w:szCs w:val="20"/>
                <w:lang w:val="en-AU"/>
              </w:rPr>
              <w:t xml:space="preserve"> related to trial drug</w:t>
            </w:r>
          </w:p>
        </w:tc>
        <w:tc>
          <w:tcPr>
            <w:tcW w:w="0" w:type="auto"/>
            <w:tcBorders>
              <w:top w:val="none" w:sz="0" w:space="0" w:color="auto"/>
              <w:bottom w:val="none" w:sz="0" w:space="0" w:color="auto"/>
            </w:tcBorders>
            <w:shd w:val="clear" w:color="auto" w:fill="auto"/>
            <w:vAlign w:val="center"/>
          </w:tcPr>
          <w:p w14:paraId="4DCFFD4D" w14:textId="3473EB9A"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0</w:t>
            </w:r>
          </w:p>
        </w:tc>
        <w:tc>
          <w:tcPr>
            <w:tcW w:w="0" w:type="auto"/>
            <w:tcBorders>
              <w:top w:val="none" w:sz="0" w:space="0" w:color="auto"/>
              <w:bottom w:val="none" w:sz="0" w:space="0" w:color="auto"/>
              <w:right w:val="none" w:sz="0" w:space="0" w:color="auto"/>
            </w:tcBorders>
            <w:shd w:val="clear" w:color="auto" w:fill="auto"/>
            <w:vAlign w:val="center"/>
          </w:tcPr>
          <w:p w14:paraId="5F97FB25" w14:textId="596D367B"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0</w:t>
            </w:r>
          </w:p>
        </w:tc>
      </w:tr>
      <w:tr w:rsidR="007C4F4D" w:rsidRPr="00731632" w14:paraId="74AD8171"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6781FC" w14:textId="77777777" w:rsidR="007C4F4D" w:rsidRPr="00731632" w:rsidRDefault="007C4F4D" w:rsidP="007C4F4D">
            <w:pPr>
              <w:pStyle w:val="TableText0"/>
              <w:rPr>
                <w:b w:val="0"/>
                <w:bCs/>
                <w:szCs w:val="20"/>
                <w:lang w:val="en-AU"/>
              </w:rPr>
            </w:pPr>
            <w:r w:rsidRPr="00731632">
              <w:rPr>
                <w:b w:val="0"/>
                <w:bCs/>
                <w:szCs w:val="20"/>
                <w:lang w:val="en-AU"/>
              </w:rPr>
              <w:t>≥1 AE of special interest</w:t>
            </w:r>
            <w:r w:rsidRPr="00731632">
              <w:rPr>
                <w:b w:val="0"/>
                <w:bCs/>
                <w:szCs w:val="20"/>
                <w:vertAlign w:val="superscript"/>
                <w:lang w:val="en-AU"/>
              </w:rPr>
              <w:t>b</w:t>
            </w:r>
          </w:p>
        </w:tc>
        <w:tc>
          <w:tcPr>
            <w:tcW w:w="0" w:type="auto"/>
            <w:shd w:val="clear" w:color="auto" w:fill="auto"/>
            <w:vAlign w:val="center"/>
          </w:tcPr>
          <w:p w14:paraId="7AD938D8" w14:textId="5E223EFF"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5 (0.5%)</w:t>
            </w:r>
          </w:p>
        </w:tc>
        <w:tc>
          <w:tcPr>
            <w:tcW w:w="0" w:type="auto"/>
            <w:shd w:val="clear" w:color="auto" w:fill="auto"/>
            <w:vAlign w:val="center"/>
          </w:tcPr>
          <w:p w14:paraId="52F273A4" w14:textId="3F354D09"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3 (0.6%)</w:t>
            </w:r>
          </w:p>
        </w:tc>
      </w:tr>
      <w:tr w:rsidR="007C4F4D" w:rsidRPr="00731632" w14:paraId="59A1B1CB"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3F4BC549" w14:textId="77777777" w:rsidR="007C4F4D" w:rsidRPr="00731632" w:rsidRDefault="007C4F4D" w:rsidP="007C4F4D">
            <w:pPr>
              <w:pStyle w:val="TableText0"/>
              <w:rPr>
                <w:b w:val="0"/>
                <w:bCs/>
                <w:szCs w:val="20"/>
                <w:lang w:val="en-AU"/>
              </w:rPr>
            </w:pPr>
            <w:r w:rsidRPr="00731632">
              <w:rPr>
                <w:b w:val="0"/>
                <w:bCs/>
                <w:szCs w:val="20"/>
                <w:lang w:val="en-AU"/>
              </w:rPr>
              <w:t>≥1 AESI related to IP</w:t>
            </w:r>
          </w:p>
        </w:tc>
        <w:tc>
          <w:tcPr>
            <w:tcW w:w="0" w:type="auto"/>
            <w:tcBorders>
              <w:top w:val="none" w:sz="0" w:space="0" w:color="auto"/>
              <w:bottom w:val="none" w:sz="0" w:space="0" w:color="auto"/>
            </w:tcBorders>
            <w:shd w:val="clear" w:color="auto" w:fill="auto"/>
            <w:vAlign w:val="center"/>
          </w:tcPr>
          <w:p w14:paraId="4F8F2C45" w14:textId="62D7A47C"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5 (0.5%)</w:t>
            </w:r>
          </w:p>
        </w:tc>
        <w:tc>
          <w:tcPr>
            <w:tcW w:w="0" w:type="auto"/>
            <w:tcBorders>
              <w:top w:val="none" w:sz="0" w:space="0" w:color="auto"/>
              <w:bottom w:val="none" w:sz="0" w:space="0" w:color="auto"/>
              <w:right w:val="none" w:sz="0" w:space="0" w:color="auto"/>
            </w:tcBorders>
            <w:shd w:val="clear" w:color="auto" w:fill="auto"/>
            <w:vAlign w:val="center"/>
          </w:tcPr>
          <w:p w14:paraId="58DC5776" w14:textId="7A66A9DB"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3 (0.6%)</w:t>
            </w:r>
          </w:p>
        </w:tc>
      </w:tr>
      <w:tr w:rsidR="007C4F4D" w:rsidRPr="00731632" w14:paraId="2A27AC33"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2E99DB" w14:textId="77777777" w:rsidR="007C4F4D" w:rsidRPr="00731632" w:rsidRDefault="007C4F4D" w:rsidP="007C4F4D">
            <w:pPr>
              <w:pStyle w:val="TableText0"/>
              <w:rPr>
                <w:b w:val="0"/>
                <w:bCs/>
                <w:szCs w:val="20"/>
                <w:lang w:val="en-AU"/>
              </w:rPr>
            </w:pPr>
            <w:r w:rsidRPr="00731632">
              <w:rPr>
                <w:b w:val="0"/>
                <w:bCs/>
                <w:szCs w:val="20"/>
                <w:lang w:val="en-AU"/>
              </w:rPr>
              <w:t>≥1 skin reaction</w:t>
            </w:r>
          </w:p>
        </w:tc>
        <w:tc>
          <w:tcPr>
            <w:tcW w:w="0" w:type="auto"/>
            <w:shd w:val="clear" w:color="auto" w:fill="auto"/>
            <w:vAlign w:val="center"/>
          </w:tcPr>
          <w:p w14:paraId="64B27A28" w14:textId="05CE1FD0"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318 (32.9%)</w:t>
            </w:r>
          </w:p>
        </w:tc>
        <w:tc>
          <w:tcPr>
            <w:tcW w:w="0" w:type="auto"/>
            <w:shd w:val="clear" w:color="auto" w:fill="auto"/>
            <w:vAlign w:val="center"/>
          </w:tcPr>
          <w:p w14:paraId="35D1299F" w14:textId="42A23AB1"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 xml:space="preserve">148 (30.9%) </w:t>
            </w:r>
          </w:p>
        </w:tc>
      </w:tr>
      <w:tr w:rsidR="007C4F4D" w:rsidRPr="00731632" w14:paraId="05EF0341"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4F05EFF3" w14:textId="77777777" w:rsidR="007C4F4D" w:rsidRPr="00731632" w:rsidRDefault="007C4F4D" w:rsidP="007C4F4D">
            <w:pPr>
              <w:pStyle w:val="TableText0"/>
              <w:rPr>
                <w:b w:val="0"/>
                <w:bCs/>
                <w:szCs w:val="20"/>
                <w:lang w:val="en-AU"/>
              </w:rPr>
            </w:pPr>
            <w:r w:rsidRPr="00731632">
              <w:rPr>
                <w:b w:val="0"/>
                <w:bCs/>
                <w:szCs w:val="20"/>
                <w:lang w:val="en-AU"/>
              </w:rPr>
              <w:t>≥1 IP related skin reaction</w:t>
            </w:r>
          </w:p>
        </w:tc>
        <w:tc>
          <w:tcPr>
            <w:tcW w:w="0" w:type="auto"/>
            <w:tcBorders>
              <w:top w:val="none" w:sz="0" w:space="0" w:color="auto"/>
              <w:bottom w:val="none" w:sz="0" w:space="0" w:color="auto"/>
            </w:tcBorders>
            <w:shd w:val="clear" w:color="auto" w:fill="auto"/>
            <w:vAlign w:val="center"/>
          </w:tcPr>
          <w:p w14:paraId="187F0171" w14:textId="4FA71E37"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9 (0.9%)</w:t>
            </w:r>
          </w:p>
        </w:tc>
        <w:tc>
          <w:tcPr>
            <w:tcW w:w="0" w:type="auto"/>
            <w:tcBorders>
              <w:top w:val="none" w:sz="0" w:space="0" w:color="auto"/>
              <w:bottom w:val="none" w:sz="0" w:space="0" w:color="auto"/>
              <w:right w:val="none" w:sz="0" w:space="0" w:color="auto"/>
            </w:tcBorders>
            <w:shd w:val="clear" w:color="auto" w:fill="auto"/>
            <w:vAlign w:val="center"/>
          </w:tcPr>
          <w:p w14:paraId="31D32BCC" w14:textId="2E0532EA"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 xml:space="preserve">4 (0.8%) </w:t>
            </w:r>
          </w:p>
        </w:tc>
      </w:tr>
      <w:tr w:rsidR="007C4F4D" w:rsidRPr="00731632" w14:paraId="292DD4CF"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C9726" w14:textId="77777777" w:rsidR="007C4F4D" w:rsidRPr="00731632" w:rsidRDefault="007C4F4D" w:rsidP="007C4F4D">
            <w:pPr>
              <w:pStyle w:val="TableText0"/>
              <w:rPr>
                <w:b w:val="0"/>
                <w:bCs/>
                <w:szCs w:val="20"/>
                <w:lang w:val="en-AU"/>
              </w:rPr>
            </w:pPr>
            <w:r w:rsidRPr="00731632">
              <w:rPr>
                <w:b w:val="0"/>
                <w:bCs/>
                <w:szCs w:val="20"/>
                <w:lang w:val="en-AU"/>
              </w:rPr>
              <w:t>≥1 skin hypersensitivity reaction</w:t>
            </w:r>
          </w:p>
        </w:tc>
        <w:tc>
          <w:tcPr>
            <w:tcW w:w="0" w:type="auto"/>
            <w:shd w:val="clear" w:color="auto" w:fill="auto"/>
            <w:vAlign w:val="center"/>
          </w:tcPr>
          <w:p w14:paraId="1DA9FE93" w14:textId="593F11E6"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5 (0.5%)</w:t>
            </w:r>
          </w:p>
        </w:tc>
        <w:tc>
          <w:tcPr>
            <w:tcW w:w="0" w:type="auto"/>
            <w:shd w:val="clear" w:color="auto" w:fill="auto"/>
            <w:vAlign w:val="center"/>
          </w:tcPr>
          <w:p w14:paraId="241F7209" w14:textId="5B671BFF"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 xml:space="preserve">3 (0.6%) </w:t>
            </w:r>
          </w:p>
        </w:tc>
      </w:tr>
      <w:tr w:rsidR="007C4F4D" w:rsidRPr="00731632" w14:paraId="1A5535D7"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5E49C3A4" w14:textId="77777777" w:rsidR="007C4F4D" w:rsidRPr="00731632" w:rsidRDefault="007C4F4D" w:rsidP="007C4F4D">
            <w:pPr>
              <w:pStyle w:val="TableText0"/>
              <w:rPr>
                <w:b w:val="0"/>
                <w:bCs/>
                <w:szCs w:val="20"/>
                <w:lang w:val="en-AU"/>
              </w:rPr>
            </w:pPr>
            <w:r w:rsidRPr="00731632">
              <w:rPr>
                <w:b w:val="0"/>
                <w:bCs/>
                <w:szCs w:val="20"/>
                <w:lang w:val="en-AU"/>
              </w:rPr>
              <w:t>≥1 IP related skin hypersensitivity reaction</w:t>
            </w:r>
          </w:p>
        </w:tc>
        <w:tc>
          <w:tcPr>
            <w:tcW w:w="0" w:type="auto"/>
            <w:tcBorders>
              <w:top w:val="none" w:sz="0" w:space="0" w:color="auto"/>
              <w:bottom w:val="none" w:sz="0" w:space="0" w:color="auto"/>
            </w:tcBorders>
            <w:shd w:val="clear" w:color="auto" w:fill="auto"/>
            <w:vAlign w:val="center"/>
          </w:tcPr>
          <w:p w14:paraId="6C5DBE49" w14:textId="639E904D"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5 (0.5%)</w:t>
            </w:r>
          </w:p>
        </w:tc>
        <w:tc>
          <w:tcPr>
            <w:tcW w:w="0" w:type="auto"/>
            <w:tcBorders>
              <w:top w:val="none" w:sz="0" w:space="0" w:color="auto"/>
              <w:bottom w:val="none" w:sz="0" w:space="0" w:color="auto"/>
              <w:right w:val="none" w:sz="0" w:space="0" w:color="auto"/>
            </w:tcBorders>
            <w:shd w:val="clear" w:color="auto" w:fill="auto"/>
            <w:vAlign w:val="center"/>
          </w:tcPr>
          <w:p w14:paraId="4EE35E7E" w14:textId="1D980753"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 xml:space="preserve">3 (0.6%) </w:t>
            </w:r>
          </w:p>
        </w:tc>
      </w:tr>
      <w:tr w:rsidR="007C4F4D" w:rsidRPr="00731632" w14:paraId="2767DC73" w14:textId="77777777" w:rsidTr="007C4F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FF3040" w14:textId="77777777" w:rsidR="007C4F4D" w:rsidRPr="00731632" w:rsidRDefault="007C4F4D" w:rsidP="007C4F4D">
            <w:pPr>
              <w:pStyle w:val="TableText0"/>
              <w:rPr>
                <w:b w:val="0"/>
                <w:bCs/>
                <w:szCs w:val="20"/>
                <w:lang w:val="en-AU"/>
              </w:rPr>
            </w:pPr>
            <w:r w:rsidRPr="00731632">
              <w:rPr>
                <w:b w:val="0"/>
                <w:bCs/>
                <w:szCs w:val="20"/>
                <w:lang w:val="en-AU"/>
              </w:rPr>
              <w:t>≥1 NOCD</w:t>
            </w:r>
          </w:p>
        </w:tc>
        <w:tc>
          <w:tcPr>
            <w:tcW w:w="0" w:type="auto"/>
            <w:shd w:val="clear" w:color="auto" w:fill="auto"/>
            <w:vAlign w:val="center"/>
          </w:tcPr>
          <w:p w14:paraId="0BEAF983" w14:textId="5512BB74"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4 (0.4%)</w:t>
            </w:r>
          </w:p>
        </w:tc>
        <w:tc>
          <w:tcPr>
            <w:tcW w:w="0" w:type="auto"/>
            <w:shd w:val="clear" w:color="auto" w:fill="auto"/>
            <w:vAlign w:val="center"/>
          </w:tcPr>
          <w:p w14:paraId="45EAFB77" w14:textId="6359ED21" w:rsidR="007C4F4D" w:rsidRPr="00731632" w:rsidRDefault="007C4F4D" w:rsidP="007C4F4D">
            <w:pPr>
              <w:pStyle w:val="TableText0"/>
              <w:jc w:val="right"/>
              <w:cnfStyle w:val="000000000000" w:firstRow="0" w:lastRow="0" w:firstColumn="0" w:lastColumn="0" w:oddVBand="0" w:evenVBand="0" w:oddHBand="0" w:evenHBand="0" w:firstRowFirstColumn="0" w:firstRowLastColumn="0" w:lastRowFirstColumn="0" w:lastRowLastColumn="0"/>
              <w:rPr>
                <w:szCs w:val="20"/>
                <w:lang w:val="en-AU"/>
              </w:rPr>
            </w:pPr>
            <w:r w:rsidRPr="00731632">
              <w:rPr>
                <w:szCs w:val="20"/>
                <w:lang w:val="en-AU"/>
              </w:rPr>
              <w:t xml:space="preserve">4 (0.8%) </w:t>
            </w:r>
          </w:p>
        </w:tc>
      </w:tr>
      <w:tr w:rsidR="007C4F4D" w:rsidRPr="00731632" w14:paraId="5820E9DC" w14:textId="77777777" w:rsidTr="007C4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hideMark/>
          </w:tcPr>
          <w:p w14:paraId="5680E06C" w14:textId="77777777" w:rsidR="007C4F4D" w:rsidRPr="00731632" w:rsidRDefault="007C4F4D" w:rsidP="007C4F4D">
            <w:pPr>
              <w:pStyle w:val="TableText0"/>
              <w:rPr>
                <w:b w:val="0"/>
                <w:bCs/>
                <w:szCs w:val="20"/>
                <w:lang w:val="en-AU"/>
              </w:rPr>
            </w:pPr>
            <w:r w:rsidRPr="00731632">
              <w:rPr>
                <w:b w:val="0"/>
                <w:bCs/>
                <w:szCs w:val="20"/>
                <w:lang w:val="en-AU"/>
              </w:rPr>
              <w:t>≥1 IP related NOCD</w:t>
            </w:r>
          </w:p>
        </w:tc>
        <w:tc>
          <w:tcPr>
            <w:tcW w:w="0" w:type="auto"/>
            <w:tcBorders>
              <w:top w:val="none" w:sz="0" w:space="0" w:color="auto"/>
              <w:bottom w:val="none" w:sz="0" w:space="0" w:color="auto"/>
            </w:tcBorders>
            <w:shd w:val="clear" w:color="auto" w:fill="auto"/>
            <w:vAlign w:val="center"/>
          </w:tcPr>
          <w:p w14:paraId="5E48E526" w14:textId="4AAE370B"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0</w:t>
            </w:r>
          </w:p>
        </w:tc>
        <w:tc>
          <w:tcPr>
            <w:tcW w:w="0" w:type="auto"/>
            <w:tcBorders>
              <w:top w:val="none" w:sz="0" w:space="0" w:color="auto"/>
              <w:bottom w:val="none" w:sz="0" w:space="0" w:color="auto"/>
              <w:right w:val="none" w:sz="0" w:space="0" w:color="auto"/>
            </w:tcBorders>
            <w:shd w:val="clear" w:color="auto" w:fill="auto"/>
            <w:vAlign w:val="center"/>
          </w:tcPr>
          <w:p w14:paraId="292E755D" w14:textId="5072C6FE" w:rsidR="007C4F4D" w:rsidRPr="00731632" w:rsidRDefault="007C4F4D" w:rsidP="007C4F4D">
            <w:pPr>
              <w:pStyle w:val="TableText0"/>
              <w:jc w:val="right"/>
              <w:cnfStyle w:val="000000100000" w:firstRow="0" w:lastRow="0" w:firstColumn="0" w:lastColumn="0" w:oddVBand="0" w:evenVBand="0" w:oddHBand="1" w:evenHBand="0" w:firstRowFirstColumn="0" w:firstRowLastColumn="0" w:lastRowFirstColumn="0" w:lastRowLastColumn="0"/>
              <w:rPr>
                <w:szCs w:val="20"/>
                <w:lang w:val="en-AU"/>
              </w:rPr>
            </w:pPr>
            <w:r w:rsidRPr="00731632">
              <w:rPr>
                <w:szCs w:val="20"/>
                <w:lang w:val="en-AU"/>
              </w:rPr>
              <w:t>0</w:t>
            </w:r>
          </w:p>
        </w:tc>
      </w:tr>
    </w:tbl>
    <w:p w14:paraId="39918200" w14:textId="2CB7DF0F" w:rsidR="00437714" w:rsidRPr="00731632" w:rsidRDefault="00EA03DE" w:rsidP="00D86231">
      <w:pPr>
        <w:pStyle w:val="FooterTableFigure"/>
      </w:pPr>
      <w:r w:rsidRPr="00731632">
        <w:t>Source: Table 2.5.10, of the submission.</w:t>
      </w:r>
    </w:p>
    <w:p w14:paraId="4A535BC1" w14:textId="667C921A" w:rsidR="00EA03DE" w:rsidRPr="00731632" w:rsidRDefault="00EA03DE" w:rsidP="00D86231">
      <w:pPr>
        <w:pStyle w:val="FooterTableFigure"/>
      </w:pPr>
      <w:r w:rsidRPr="00731632">
        <w:t xml:space="preserve">AE = adverse event; AESI = adverse event of special interest; IP = investigational product; NOCD = new onset chronic disease; SAE = serious adverse event. </w:t>
      </w:r>
    </w:p>
    <w:p w14:paraId="2DD0D79F" w14:textId="77777777" w:rsidR="00EA03DE" w:rsidRPr="00731632" w:rsidRDefault="00EA03DE" w:rsidP="00EA03DE">
      <w:pPr>
        <w:pStyle w:val="FooterTableFigure"/>
      </w:pPr>
      <w:r w:rsidRPr="00731632">
        <w:t>Note: Events that occurred after 360 days post dose were excluded.</w:t>
      </w:r>
    </w:p>
    <w:p w14:paraId="3FECC0F6" w14:textId="77777777" w:rsidR="00EA03DE" w:rsidRPr="00731632" w:rsidRDefault="00EA03DE" w:rsidP="00EA03DE">
      <w:pPr>
        <w:pStyle w:val="FooterTableFigure"/>
      </w:pPr>
      <w:r w:rsidRPr="00731632">
        <w:t>a Subjects were counted once for each category regardless of the number of events.</w:t>
      </w:r>
    </w:p>
    <w:p w14:paraId="78B371CF" w14:textId="77777777" w:rsidR="00EA03DE" w:rsidRPr="00731632" w:rsidRDefault="00EA03DE" w:rsidP="00EA03DE">
      <w:pPr>
        <w:pStyle w:val="FooterTableFigure"/>
      </w:pPr>
      <w:r w:rsidRPr="00731632">
        <w:t>b Grade 3: severe, Grade 4: life-threatening, Grade 5: fatal.</w:t>
      </w:r>
    </w:p>
    <w:p w14:paraId="1722073D" w14:textId="77777777" w:rsidR="00EA03DE" w:rsidRPr="00731632" w:rsidRDefault="00EA03DE" w:rsidP="00EA03DE">
      <w:pPr>
        <w:pStyle w:val="FooterTableFigure"/>
      </w:pPr>
      <w:r w:rsidRPr="00731632">
        <w:t>c One additional death occurred in the placebo group after 360 days post dose.</w:t>
      </w:r>
    </w:p>
    <w:p w14:paraId="149636EB" w14:textId="7BEBBEB8" w:rsidR="00F11E85" w:rsidRPr="00731632" w:rsidRDefault="00EA03DE" w:rsidP="00D86231">
      <w:pPr>
        <w:pStyle w:val="FooterTableFigure"/>
      </w:pPr>
      <w:r w:rsidRPr="00731632">
        <w:t xml:space="preserve">d Serious adverse event criteria: death, life-threatening, required inpatient hospitalization, prolongation of existing hospitalization, persistent or significant disability/incapacity, important medical event, congenital anomaly/birth defect (in the offspring of the </w:t>
      </w:r>
      <w:r w:rsidR="001F0DB6" w:rsidRPr="00731632">
        <w:t>patient</w:t>
      </w:r>
      <w:r w:rsidRPr="00731632">
        <w:t>).</w:t>
      </w:r>
    </w:p>
    <w:p w14:paraId="54220641" w14:textId="2CBB0C08" w:rsidR="003E5B27" w:rsidRPr="00731632" w:rsidRDefault="003E5B27" w:rsidP="00736431">
      <w:pPr>
        <w:pStyle w:val="5-SubsectionSubheading"/>
        <w:spacing w:before="120"/>
      </w:pPr>
      <w:r w:rsidRPr="00731632">
        <w:t>Supplementary comparison: nirsevimab versus palivizumab</w:t>
      </w:r>
    </w:p>
    <w:p w14:paraId="4E89E2B2" w14:textId="68615442" w:rsidR="00795F88" w:rsidRPr="00731632" w:rsidRDefault="00795F88" w:rsidP="00795F88">
      <w:pPr>
        <w:pStyle w:val="3-BodyText"/>
      </w:pPr>
      <w:r w:rsidRPr="00731632">
        <w:t xml:space="preserve">In the MEDLEY trial, the frequency of AEs was similar between the treatment groups (72.3% vs 70.7%). Adverse events were most frequently reported (&gt;20% of subjects in either the nirsevimab or palivizumab group) in the </w:t>
      </w:r>
      <w:r w:rsidR="00DC29D7" w:rsidRPr="00731632">
        <w:t>system organ classes</w:t>
      </w:r>
      <w:r w:rsidRPr="00731632">
        <w:t xml:space="preserve"> of infections and infestations (59.1% vs 57.2%) and gastrointestinal disorders (22.6% vs 23.7%). The most common AEs (&gt;10% of subjects) reported for nirsevimab (vs palivizumab) were</w:t>
      </w:r>
      <w:r w:rsidR="00DC29D7" w:rsidRPr="00731632">
        <w:t xml:space="preserve"> upper respiratory tract infections</w:t>
      </w:r>
      <w:r w:rsidRPr="00731632">
        <w:t xml:space="preserve"> (24.3% vs 26.0%), pyrexia (13.5% vs 14.1%), rhinitis (12.2% vs 13.2%), and nasopharyngitis (9.3% vs 12.8%). No clinically relevant imbalances were observed between the treatment groups. The AE profile of nirsevimab and palivizumab in the preterm (&lt;29 wGA) and CLD/CHD cohorts was generally similar to that observed in the overall population (</w:t>
      </w:r>
      <w:r w:rsidRPr="00731632">
        <w:fldChar w:fldCharType="begin"/>
      </w:r>
      <w:r w:rsidRPr="00731632">
        <w:instrText xml:space="preserve"> REF _Ref164032815 \h </w:instrText>
      </w:r>
      <w:r w:rsidRPr="00731632">
        <w:fldChar w:fldCharType="separate"/>
      </w:r>
      <w:r w:rsidR="00D770BB" w:rsidRPr="00731632">
        <w:t xml:space="preserve">Table </w:t>
      </w:r>
      <w:r w:rsidR="00D770BB">
        <w:rPr>
          <w:noProof/>
        </w:rPr>
        <w:t>15</w:t>
      </w:r>
      <w:r w:rsidRPr="00731632">
        <w:fldChar w:fldCharType="end"/>
      </w:r>
      <w:r w:rsidRPr="00731632">
        <w:t>).</w:t>
      </w:r>
    </w:p>
    <w:p w14:paraId="506CB3BD" w14:textId="0857E63E" w:rsidR="00795F88" w:rsidRPr="00731632" w:rsidRDefault="00795F88" w:rsidP="00795F88">
      <w:pPr>
        <w:pStyle w:val="Caption"/>
      </w:pPr>
      <w:bookmarkStart w:id="56" w:name="_Ref164032815"/>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15</w:t>
      </w:r>
      <w:r w:rsidR="00BD1FC6" w:rsidRPr="00731632">
        <w:fldChar w:fldCharType="end"/>
      </w:r>
      <w:bookmarkEnd w:id="56"/>
      <w:r w:rsidRPr="00731632">
        <w:t xml:space="preserve">: </w:t>
      </w:r>
      <w:r w:rsidRPr="00731632">
        <w:rPr>
          <w:rFonts w:cstheme="minorHAnsi"/>
        </w:rPr>
        <w:t>MEDLEY Summary of AEs through 360</w:t>
      </w:r>
      <w:r w:rsidR="001F0DB6" w:rsidRPr="00731632">
        <w:rPr>
          <w:rFonts w:cstheme="minorHAnsi"/>
        </w:rPr>
        <w:t xml:space="preserve"> days</w:t>
      </w:r>
      <w:r w:rsidRPr="00731632">
        <w:rPr>
          <w:rFonts w:cstheme="minorHAnsi"/>
        </w:rPr>
        <w:t xml:space="preserve"> post dose in Season 1</w:t>
      </w:r>
    </w:p>
    <w:tbl>
      <w:tblPr>
        <w:tblStyle w:val="LightList-Accent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MEDLEY Summary of AEs through 360 days post dose in Season 1"/>
      </w:tblPr>
      <w:tblGrid>
        <w:gridCol w:w="3977"/>
        <w:gridCol w:w="1280"/>
        <w:gridCol w:w="1280"/>
        <w:gridCol w:w="1280"/>
        <w:gridCol w:w="1200"/>
      </w:tblGrid>
      <w:tr w:rsidR="002A5A8B" w:rsidRPr="00731632" w14:paraId="7791D2FC" w14:textId="28361DBD" w:rsidTr="002A5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43862729" w14:textId="77777777" w:rsidR="002A5A8B" w:rsidRPr="00731632" w:rsidRDefault="002A5A8B" w:rsidP="00736431">
            <w:pPr>
              <w:pStyle w:val="Tableheading0"/>
              <w:spacing w:before="0" w:after="0"/>
              <w:rPr>
                <w:rFonts w:ascii="Arial Narrow" w:hAnsi="Arial Narrow" w:cstheme="minorHAnsi"/>
                <w:b/>
                <w:bCs/>
                <w:color w:val="auto"/>
                <w:lang w:val="en-AU"/>
              </w:rPr>
            </w:pPr>
            <w:r w:rsidRPr="00731632">
              <w:rPr>
                <w:rFonts w:ascii="Arial Narrow" w:hAnsi="Arial Narrow" w:cstheme="minorHAnsi"/>
                <w:b/>
                <w:bCs/>
                <w:color w:val="auto"/>
                <w:lang w:val="en-AU"/>
              </w:rPr>
              <w:t>Adverse events</w:t>
            </w:r>
          </w:p>
        </w:tc>
        <w:tc>
          <w:tcPr>
            <w:tcW w:w="0" w:type="auto"/>
            <w:gridSpan w:val="2"/>
            <w:shd w:val="clear" w:color="auto" w:fill="auto"/>
            <w:vAlign w:val="center"/>
          </w:tcPr>
          <w:p w14:paraId="0C9930EE" w14:textId="77777777" w:rsidR="002A5A8B" w:rsidRPr="00731632" w:rsidRDefault="002A5A8B" w:rsidP="00736431">
            <w:pPr>
              <w:pStyle w:val="Tableheading0"/>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bCs/>
                <w:color w:val="auto"/>
                <w:lang w:val="en-AU"/>
              </w:rPr>
            </w:pPr>
            <w:r w:rsidRPr="00731632">
              <w:rPr>
                <w:rFonts w:ascii="Arial Narrow" w:hAnsi="Arial Narrow" w:cstheme="minorHAnsi"/>
                <w:b/>
                <w:bCs/>
                <w:color w:val="auto"/>
                <w:lang w:val="en-AU"/>
              </w:rPr>
              <w:t>Preterm (N=612)</w:t>
            </w:r>
          </w:p>
        </w:tc>
        <w:tc>
          <w:tcPr>
            <w:tcW w:w="0" w:type="auto"/>
            <w:gridSpan w:val="2"/>
            <w:shd w:val="clear" w:color="auto" w:fill="auto"/>
            <w:vAlign w:val="center"/>
          </w:tcPr>
          <w:p w14:paraId="6BF6D68D" w14:textId="77777777" w:rsidR="002A5A8B" w:rsidRPr="00731632" w:rsidRDefault="002A5A8B" w:rsidP="00736431">
            <w:pPr>
              <w:pStyle w:val="Tableheading0"/>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bCs/>
                <w:color w:val="auto"/>
                <w:lang w:val="en-AU"/>
              </w:rPr>
            </w:pPr>
            <w:r w:rsidRPr="00731632">
              <w:rPr>
                <w:rFonts w:ascii="Arial Narrow" w:hAnsi="Arial Narrow" w:cstheme="minorHAnsi"/>
                <w:b/>
                <w:bCs/>
                <w:color w:val="auto"/>
                <w:lang w:val="en-AU"/>
              </w:rPr>
              <w:t>CHD/CLD (N=306)</w:t>
            </w:r>
          </w:p>
        </w:tc>
      </w:tr>
      <w:tr w:rsidR="002A5A8B" w:rsidRPr="00731632" w14:paraId="4DCDEAAD" w14:textId="39EDF5F0" w:rsidTr="002A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tcPr>
          <w:p w14:paraId="3057FFD0" w14:textId="77777777" w:rsidR="002A5A8B" w:rsidRPr="00731632" w:rsidRDefault="002A5A8B" w:rsidP="00736431">
            <w:pPr>
              <w:pStyle w:val="Tableheading0"/>
              <w:spacing w:before="0" w:after="0"/>
              <w:rPr>
                <w:rFonts w:ascii="Arial Narrow" w:hAnsi="Arial Narrow" w:cstheme="minorHAnsi"/>
                <w:lang w:val="en-AU"/>
              </w:rPr>
            </w:pPr>
          </w:p>
        </w:tc>
        <w:tc>
          <w:tcPr>
            <w:tcW w:w="0" w:type="auto"/>
            <w:tcBorders>
              <w:top w:val="none" w:sz="0" w:space="0" w:color="auto"/>
              <w:bottom w:val="none" w:sz="0" w:space="0" w:color="auto"/>
            </w:tcBorders>
            <w:shd w:val="clear" w:color="auto" w:fill="auto"/>
            <w:vAlign w:val="center"/>
          </w:tcPr>
          <w:p w14:paraId="3AFDA88D" w14:textId="463E3520" w:rsidR="002A5A8B" w:rsidRPr="00731632" w:rsidRDefault="002A5A8B" w:rsidP="00736431">
            <w:pPr>
              <w:pStyle w:val="Tableheading0"/>
              <w:spacing w:before="0" w:after="0"/>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731632">
              <w:rPr>
                <w:rFonts w:ascii="Arial Narrow" w:hAnsi="Arial Narrow" w:cstheme="minorHAnsi"/>
                <w:lang w:val="en-AU"/>
              </w:rPr>
              <w:t>Nirsevimab</w:t>
            </w:r>
            <w:r w:rsidRPr="00731632">
              <w:rPr>
                <w:rFonts w:ascii="Arial Narrow" w:hAnsi="Arial Narrow" w:cstheme="minorHAnsi"/>
                <w:lang w:val="en-AU"/>
              </w:rPr>
              <w:br/>
              <w:t>(n=406)</w:t>
            </w:r>
            <w:r w:rsidRPr="00731632">
              <w:rPr>
                <w:rFonts w:ascii="Arial Narrow" w:hAnsi="Arial Narrow"/>
                <w:lang w:val="en-AU"/>
              </w:rPr>
              <w:t xml:space="preserve"> </w:t>
            </w:r>
            <w:r w:rsidRPr="00731632">
              <w:rPr>
                <w:rFonts w:ascii="Arial Narrow" w:hAnsi="Arial Narrow" w:cstheme="minorHAnsi"/>
                <w:lang w:val="en-AU"/>
              </w:rPr>
              <w:t>n (%)</w:t>
            </w:r>
          </w:p>
        </w:tc>
        <w:tc>
          <w:tcPr>
            <w:tcW w:w="0" w:type="auto"/>
            <w:tcBorders>
              <w:top w:val="none" w:sz="0" w:space="0" w:color="auto"/>
              <w:bottom w:val="none" w:sz="0" w:space="0" w:color="auto"/>
            </w:tcBorders>
            <w:shd w:val="clear" w:color="auto" w:fill="auto"/>
            <w:vAlign w:val="center"/>
          </w:tcPr>
          <w:p w14:paraId="303808D5" w14:textId="210A61EF" w:rsidR="002A5A8B" w:rsidRPr="00731632" w:rsidRDefault="002A5A8B" w:rsidP="00736431">
            <w:pPr>
              <w:pStyle w:val="Tableheading0"/>
              <w:spacing w:before="0" w:after="0"/>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731632">
              <w:rPr>
                <w:rFonts w:ascii="Arial Narrow" w:hAnsi="Arial Narrow" w:cstheme="minorHAnsi"/>
                <w:lang w:val="en-AU"/>
              </w:rPr>
              <w:t>Palivizumab</w:t>
            </w:r>
            <w:r w:rsidRPr="00731632">
              <w:rPr>
                <w:rFonts w:ascii="Arial Narrow" w:hAnsi="Arial Narrow" w:cstheme="minorHAnsi"/>
                <w:lang w:val="en-AU"/>
              </w:rPr>
              <w:br/>
              <w:t>(n=206)</w:t>
            </w:r>
            <w:r w:rsidRPr="00731632">
              <w:rPr>
                <w:rFonts w:ascii="Arial Narrow" w:hAnsi="Arial Narrow"/>
                <w:lang w:val="en-AU"/>
              </w:rPr>
              <w:t xml:space="preserve"> </w:t>
            </w:r>
            <w:r w:rsidRPr="00731632">
              <w:rPr>
                <w:rFonts w:ascii="Arial Narrow" w:hAnsi="Arial Narrow" w:cstheme="minorHAnsi"/>
                <w:lang w:val="en-AU"/>
              </w:rPr>
              <w:t>n (%)</w:t>
            </w:r>
          </w:p>
        </w:tc>
        <w:tc>
          <w:tcPr>
            <w:tcW w:w="0" w:type="auto"/>
            <w:tcBorders>
              <w:top w:val="none" w:sz="0" w:space="0" w:color="auto"/>
              <w:bottom w:val="none" w:sz="0" w:space="0" w:color="auto"/>
            </w:tcBorders>
            <w:shd w:val="clear" w:color="auto" w:fill="auto"/>
            <w:vAlign w:val="center"/>
          </w:tcPr>
          <w:p w14:paraId="70B7A486" w14:textId="20AF3FC4" w:rsidR="002A5A8B" w:rsidRPr="00731632" w:rsidRDefault="002A5A8B" w:rsidP="00736431">
            <w:pPr>
              <w:pStyle w:val="Tableheading0"/>
              <w:spacing w:before="0" w:after="0"/>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731632">
              <w:rPr>
                <w:rFonts w:ascii="Arial Narrow" w:hAnsi="Arial Narrow" w:cstheme="minorHAnsi"/>
                <w:lang w:val="en-AU"/>
              </w:rPr>
              <w:t>Nirsevimab</w:t>
            </w:r>
            <w:r w:rsidRPr="00731632">
              <w:rPr>
                <w:rFonts w:ascii="Arial Narrow" w:hAnsi="Arial Narrow" w:cstheme="minorHAnsi"/>
                <w:lang w:val="en-AU"/>
              </w:rPr>
              <w:br/>
              <w:t>(n=208)</w:t>
            </w:r>
            <w:r w:rsidRPr="00731632">
              <w:rPr>
                <w:rFonts w:ascii="Arial Narrow" w:hAnsi="Arial Narrow"/>
                <w:lang w:val="en-AU"/>
              </w:rPr>
              <w:t xml:space="preserve"> </w:t>
            </w:r>
            <w:r w:rsidRPr="00731632">
              <w:rPr>
                <w:rFonts w:ascii="Arial Narrow" w:hAnsi="Arial Narrow" w:cstheme="minorHAnsi"/>
                <w:lang w:val="en-AU"/>
              </w:rPr>
              <w:t>n (%)</w:t>
            </w:r>
          </w:p>
        </w:tc>
        <w:tc>
          <w:tcPr>
            <w:tcW w:w="0" w:type="auto"/>
            <w:tcBorders>
              <w:top w:val="none" w:sz="0" w:space="0" w:color="auto"/>
              <w:bottom w:val="none" w:sz="0" w:space="0" w:color="auto"/>
              <w:right w:val="none" w:sz="0" w:space="0" w:color="auto"/>
            </w:tcBorders>
            <w:shd w:val="clear" w:color="auto" w:fill="auto"/>
            <w:vAlign w:val="center"/>
          </w:tcPr>
          <w:p w14:paraId="502F9E04" w14:textId="7F6F33E4" w:rsidR="002A5A8B" w:rsidRPr="00731632" w:rsidRDefault="002A5A8B" w:rsidP="00736431">
            <w:pPr>
              <w:pStyle w:val="Tableheading0"/>
              <w:spacing w:before="0" w:after="0"/>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lang w:val="en-AU"/>
              </w:rPr>
            </w:pPr>
            <w:r w:rsidRPr="00731632">
              <w:rPr>
                <w:rFonts w:ascii="Arial Narrow" w:hAnsi="Arial Narrow" w:cstheme="minorHAnsi"/>
                <w:lang w:val="en-AU"/>
              </w:rPr>
              <w:t>Palivizumab</w:t>
            </w:r>
            <w:r w:rsidRPr="00731632">
              <w:rPr>
                <w:rFonts w:ascii="Arial Narrow" w:hAnsi="Arial Narrow" w:cstheme="minorHAnsi"/>
                <w:lang w:val="en-AU"/>
              </w:rPr>
              <w:br/>
              <w:t>(n=98)</w:t>
            </w:r>
            <w:r w:rsidRPr="00731632">
              <w:rPr>
                <w:rFonts w:ascii="Arial Narrow" w:hAnsi="Arial Narrow"/>
                <w:lang w:val="en-AU"/>
              </w:rPr>
              <w:t xml:space="preserve"> </w:t>
            </w:r>
            <w:r w:rsidRPr="00731632">
              <w:rPr>
                <w:rFonts w:ascii="Arial Narrow" w:hAnsi="Arial Narrow" w:cstheme="minorHAnsi"/>
                <w:lang w:val="en-AU"/>
              </w:rPr>
              <w:t>n (%)</w:t>
            </w:r>
          </w:p>
        </w:tc>
      </w:tr>
      <w:tr w:rsidR="002A5A8B" w:rsidRPr="00731632" w14:paraId="29D20E80" w14:textId="2E77F45F" w:rsidTr="002A5A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B0C5E9" w14:textId="77777777"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≥1 AE</w:t>
            </w:r>
          </w:p>
        </w:tc>
        <w:tc>
          <w:tcPr>
            <w:tcW w:w="0" w:type="auto"/>
            <w:shd w:val="clear" w:color="auto" w:fill="auto"/>
            <w:vAlign w:val="center"/>
          </w:tcPr>
          <w:p w14:paraId="6BA57E64" w14:textId="5B88E497"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268 (66.0)</w:t>
            </w:r>
          </w:p>
        </w:tc>
        <w:tc>
          <w:tcPr>
            <w:tcW w:w="0" w:type="auto"/>
            <w:shd w:val="clear" w:color="auto" w:fill="auto"/>
            <w:vAlign w:val="center"/>
          </w:tcPr>
          <w:p w14:paraId="46EEC12E" w14:textId="265BC6FF"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134 (65.0)</w:t>
            </w:r>
          </w:p>
        </w:tc>
        <w:tc>
          <w:tcPr>
            <w:tcW w:w="0" w:type="auto"/>
            <w:shd w:val="clear" w:color="auto" w:fill="auto"/>
            <w:vAlign w:val="center"/>
          </w:tcPr>
          <w:p w14:paraId="5075EF7B" w14:textId="4966EA22"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148 (71.2)</w:t>
            </w:r>
          </w:p>
        </w:tc>
        <w:tc>
          <w:tcPr>
            <w:tcW w:w="0" w:type="auto"/>
            <w:shd w:val="clear" w:color="auto" w:fill="auto"/>
            <w:vAlign w:val="center"/>
          </w:tcPr>
          <w:p w14:paraId="57711F7E" w14:textId="6826B8B2"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72 (73.5)</w:t>
            </w:r>
          </w:p>
        </w:tc>
      </w:tr>
      <w:tr w:rsidR="002A5A8B" w:rsidRPr="00731632" w14:paraId="3440E687" w14:textId="11065AAE" w:rsidTr="002A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7A830349" w14:textId="77777777"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≥1 TRAE</w:t>
            </w:r>
          </w:p>
        </w:tc>
        <w:tc>
          <w:tcPr>
            <w:tcW w:w="0" w:type="auto"/>
            <w:tcBorders>
              <w:top w:val="none" w:sz="0" w:space="0" w:color="auto"/>
              <w:bottom w:val="none" w:sz="0" w:space="0" w:color="auto"/>
            </w:tcBorders>
            <w:shd w:val="clear" w:color="auto" w:fill="auto"/>
            <w:vAlign w:val="center"/>
          </w:tcPr>
          <w:p w14:paraId="0F220FF8" w14:textId="2DB65823"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6 (1.5)</w:t>
            </w:r>
          </w:p>
        </w:tc>
        <w:tc>
          <w:tcPr>
            <w:tcW w:w="0" w:type="auto"/>
            <w:tcBorders>
              <w:top w:val="none" w:sz="0" w:space="0" w:color="auto"/>
              <w:bottom w:val="none" w:sz="0" w:space="0" w:color="auto"/>
            </w:tcBorders>
            <w:shd w:val="clear" w:color="auto" w:fill="auto"/>
            <w:vAlign w:val="center"/>
          </w:tcPr>
          <w:p w14:paraId="28CB47BB" w14:textId="29EDEED1"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4 (1.9)</w:t>
            </w:r>
          </w:p>
        </w:tc>
        <w:tc>
          <w:tcPr>
            <w:tcW w:w="0" w:type="auto"/>
            <w:tcBorders>
              <w:top w:val="none" w:sz="0" w:space="0" w:color="auto"/>
              <w:bottom w:val="none" w:sz="0" w:space="0" w:color="auto"/>
            </w:tcBorders>
            <w:shd w:val="clear" w:color="auto" w:fill="auto"/>
            <w:vAlign w:val="center"/>
          </w:tcPr>
          <w:p w14:paraId="198B91F9" w14:textId="0C3101FB"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4 (1.9)</w:t>
            </w:r>
          </w:p>
        </w:tc>
        <w:tc>
          <w:tcPr>
            <w:tcW w:w="0" w:type="auto"/>
            <w:tcBorders>
              <w:top w:val="none" w:sz="0" w:space="0" w:color="auto"/>
              <w:bottom w:val="none" w:sz="0" w:space="0" w:color="auto"/>
              <w:right w:val="none" w:sz="0" w:space="0" w:color="auto"/>
            </w:tcBorders>
            <w:shd w:val="clear" w:color="auto" w:fill="auto"/>
            <w:vAlign w:val="center"/>
          </w:tcPr>
          <w:p w14:paraId="1A6BCA69" w14:textId="30888312"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 (2.0)</w:t>
            </w:r>
          </w:p>
        </w:tc>
      </w:tr>
      <w:tr w:rsidR="002A5A8B" w:rsidRPr="00731632" w14:paraId="2FB11BDF" w14:textId="6F90F847" w:rsidTr="002A5A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88E5A" w14:textId="2A5165C9" w:rsidR="002A5A8B" w:rsidRPr="00731632" w:rsidRDefault="002A5A8B" w:rsidP="002A5A8B">
            <w:pPr>
              <w:keepNext/>
              <w:keepLines/>
              <w:rPr>
                <w:rFonts w:ascii="Arial Narrow" w:hAnsi="Arial Narrow" w:cstheme="minorHAnsi"/>
                <w:b w:val="0"/>
                <w:bCs w:val="0"/>
                <w:sz w:val="20"/>
                <w:szCs w:val="20"/>
                <w:vertAlign w:val="superscript"/>
                <w:lang w:val="en-AU"/>
              </w:rPr>
            </w:pPr>
            <w:r w:rsidRPr="00731632">
              <w:rPr>
                <w:rFonts w:ascii="Arial Narrow" w:hAnsi="Arial Narrow" w:cstheme="minorHAnsi"/>
                <w:b w:val="0"/>
                <w:bCs w:val="0"/>
                <w:sz w:val="20"/>
                <w:szCs w:val="20"/>
                <w:lang w:val="en-AU"/>
              </w:rPr>
              <w:t>≥1 AE of Grade ≥3 severity</w:t>
            </w:r>
            <w:r w:rsidRPr="00731632">
              <w:rPr>
                <w:rFonts w:ascii="Arial Narrow" w:hAnsi="Arial Narrow" w:cstheme="minorHAnsi"/>
                <w:b w:val="0"/>
                <w:bCs w:val="0"/>
                <w:sz w:val="20"/>
                <w:szCs w:val="20"/>
                <w:vertAlign w:val="superscript"/>
                <w:lang w:val="en-AU"/>
              </w:rPr>
              <w:t>a</w:t>
            </w:r>
          </w:p>
        </w:tc>
        <w:tc>
          <w:tcPr>
            <w:tcW w:w="0" w:type="auto"/>
            <w:shd w:val="clear" w:color="auto" w:fill="auto"/>
            <w:vAlign w:val="center"/>
          </w:tcPr>
          <w:p w14:paraId="66D9ED35" w14:textId="4760040A"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14 (3.4)</w:t>
            </w:r>
          </w:p>
        </w:tc>
        <w:tc>
          <w:tcPr>
            <w:tcW w:w="0" w:type="auto"/>
            <w:shd w:val="clear" w:color="auto" w:fill="auto"/>
            <w:vAlign w:val="center"/>
          </w:tcPr>
          <w:p w14:paraId="516DF447" w14:textId="27EF9B06"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7 (3.4)</w:t>
            </w:r>
          </w:p>
        </w:tc>
        <w:tc>
          <w:tcPr>
            <w:tcW w:w="0" w:type="auto"/>
            <w:shd w:val="clear" w:color="auto" w:fill="auto"/>
            <w:vAlign w:val="center"/>
          </w:tcPr>
          <w:p w14:paraId="02412276" w14:textId="4F25B5AD"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30 (14.4)</w:t>
            </w:r>
          </w:p>
        </w:tc>
        <w:tc>
          <w:tcPr>
            <w:tcW w:w="0" w:type="auto"/>
            <w:shd w:val="clear" w:color="auto" w:fill="auto"/>
            <w:vAlign w:val="center"/>
          </w:tcPr>
          <w:p w14:paraId="17D3B41B" w14:textId="00190D6E"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13 (13.3)</w:t>
            </w:r>
          </w:p>
        </w:tc>
      </w:tr>
      <w:tr w:rsidR="002A5A8B" w:rsidRPr="00731632" w14:paraId="7B53B75B" w14:textId="1A901249" w:rsidTr="002A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3886FD00" w14:textId="100D5C77"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≥1 TRAE of Grade ≥3 severity</w:t>
            </w:r>
            <w:r w:rsidRPr="00731632">
              <w:rPr>
                <w:rFonts w:ascii="Arial Narrow" w:hAnsi="Arial Narrow" w:cstheme="minorHAnsi"/>
                <w:b w:val="0"/>
                <w:bCs w:val="0"/>
                <w:sz w:val="20"/>
                <w:szCs w:val="20"/>
                <w:vertAlign w:val="superscript"/>
                <w:lang w:val="en-AU"/>
              </w:rPr>
              <w:t>a</w:t>
            </w:r>
          </w:p>
        </w:tc>
        <w:tc>
          <w:tcPr>
            <w:tcW w:w="0" w:type="auto"/>
            <w:tcBorders>
              <w:top w:val="none" w:sz="0" w:space="0" w:color="auto"/>
              <w:bottom w:val="none" w:sz="0" w:space="0" w:color="auto"/>
            </w:tcBorders>
            <w:shd w:val="clear" w:color="auto" w:fill="auto"/>
            <w:vAlign w:val="center"/>
          </w:tcPr>
          <w:p w14:paraId="2DA4AB50" w14:textId="4987DEDB"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tcBorders>
              <w:top w:val="none" w:sz="0" w:space="0" w:color="auto"/>
              <w:bottom w:val="none" w:sz="0" w:space="0" w:color="auto"/>
            </w:tcBorders>
            <w:shd w:val="clear" w:color="auto" w:fill="auto"/>
            <w:vAlign w:val="center"/>
          </w:tcPr>
          <w:p w14:paraId="214CEC63" w14:textId="2E1AF984"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tcBorders>
              <w:top w:val="none" w:sz="0" w:space="0" w:color="auto"/>
              <w:bottom w:val="none" w:sz="0" w:space="0" w:color="auto"/>
            </w:tcBorders>
            <w:shd w:val="clear" w:color="auto" w:fill="auto"/>
            <w:vAlign w:val="center"/>
          </w:tcPr>
          <w:p w14:paraId="1F156104" w14:textId="74B7903A"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tcBorders>
              <w:top w:val="none" w:sz="0" w:space="0" w:color="auto"/>
              <w:bottom w:val="none" w:sz="0" w:space="0" w:color="auto"/>
              <w:right w:val="none" w:sz="0" w:space="0" w:color="auto"/>
            </w:tcBorders>
            <w:shd w:val="clear" w:color="auto" w:fill="auto"/>
            <w:vAlign w:val="center"/>
          </w:tcPr>
          <w:p w14:paraId="1237A222" w14:textId="5C24D7CD"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r>
      <w:tr w:rsidR="002A5A8B" w:rsidRPr="00731632" w14:paraId="45D61E17" w14:textId="1E575F4C" w:rsidTr="002A5A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E296D" w14:textId="4F84E064"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Any AE with outcome of death (Grade 5 severity)</w:t>
            </w:r>
            <w:r w:rsidRPr="00731632">
              <w:rPr>
                <w:rFonts w:ascii="Arial Narrow" w:hAnsi="Arial Narrow" w:cstheme="minorHAnsi"/>
                <w:b w:val="0"/>
                <w:bCs w:val="0"/>
                <w:sz w:val="20"/>
                <w:szCs w:val="20"/>
                <w:vertAlign w:val="superscript"/>
                <w:lang w:val="en-AU"/>
              </w:rPr>
              <w:t xml:space="preserve"> a</w:t>
            </w:r>
          </w:p>
        </w:tc>
        <w:tc>
          <w:tcPr>
            <w:tcW w:w="0" w:type="auto"/>
            <w:shd w:val="clear" w:color="auto" w:fill="auto"/>
            <w:vAlign w:val="center"/>
          </w:tcPr>
          <w:p w14:paraId="15780EBF" w14:textId="7C7D4E9F"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 (0.5)</w:t>
            </w:r>
          </w:p>
        </w:tc>
        <w:tc>
          <w:tcPr>
            <w:tcW w:w="0" w:type="auto"/>
            <w:shd w:val="clear" w:color="auto" w:fill="auto"/>
            <w:vAlign w:val="center"/>
          </w:tcPr>
          <w:p w14:paraId="39DA6830" w14:textId="5BE3099A"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shd w:val="clear" w:color="auto" w:fill="auto"/>
            <w:vAlign w:val="center"/>
          </w:tcPr>
          <w:p w14:paraId="0ADBD920" w14:textId="4124EDDE"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3 (1.4)</w:t>
            </w:r>
          </w:p>
        </w:tc>
        <w:tc>
          <w:tcPr>
            <w:tcW w:w="0" w:type="auto"/>
            <w:shd w:val="clear" w:color="auto" w:fill="auto"/>
            <w:vAlign w:val="center"/>
          </w:tcPr>
          <w:p w14:paraId="2F255261" w14:textId="0C77BF13"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 xml:space="preserve">1 (1.0) </w:t>
            </w:r>
          </w:p>
        </w:tc>
      </w:tr>
      <w:tr w:rsidR="002A5A8B" w:rsidRPr="00731632" w14:paraId="358B904F" w14:textId="3F32BEE9" w:rsidTr="002A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424D43CE" w14:textId="2716110A" w:rsidR="002A5A8B" w:rsidRPr="00731632" w:rsidRDefault="002A5A8B" w:rsidP="002A5A8B">
            <w:pPr>
              <w:keepNext/>
              <w:keepLines/>
              <w:rPr>
                <w:rFonts w:ascii="Arial Narrow" w:hAnsi="Arial Narrow" w:cstheme="minorHAnsi"/>
                <w:b w:val="0"/>
                <w:bCs w:val="0"/>
                <w:sz w:val="20"/>
                <w:szCs w:val="20"/>
                <w:vertAlign w:val="superscript"/>
                <w:lang w:val="en-AU"/>
              </w:rPr>
            </w:pPr>
            <w:r w:rsidRPr="00731632">
              <w:rPr>
                <w:rFonts w:ascii="Arial Narrow" w:hAnsi="Arial Narrow" w:cstheme="minorHAnsi"/>
                <w:b w:val="0"/>
                <w:bCs w:val="0"/>
                <w:sz w:val="20"/>
                <w:szCs w:val="20"/>
                <w:lang w:val="en-AU"/>
              </w:rPr>
              <w:t>≥1 SAE</w:t>
            </w:r>
            <w:r w:rsidRPr="00731632">
              <w:rPr>
                <w:rFonts w:ascii="Arial Narrow" w:hAnsi="Arial Narrow" w:cstheme="minorHAnsi"/>
                <w:b w:val="0"/>
                <w:bCs w:val="0"/>
                <w:sz w:val="20"/>
                <w:szCs w:val="20"/>
                <w:vertAlign w:val="superscript"/>
                <w:lang w:val="en-AU"/>
              </w:rPr>
              <w:t>b</w:t>
            </w:r>
          </w:p>
        </w:tc>
        <w:tc>
          <w:tcPr>
            <w:tcW w:w="0" w:type="auto"/>
            <w:tcBorders>
              <w:top w:val="none" w:sz="0" w:space="0" w:color="auto"/>
              <w:bottom w:val="none" w:sz="0" w:space="0" w:color="auto"/>
            </w:tcBorders>
            <w:shd w:val="clear" w:color="auto" w:fill="auto"/>
            <w:vAlign w:val="center"/>
          </w:tcPr>
          <w:p w14:paraId="292EFB72" w14:textId="6E3E2C82"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28 (6.9)</w:t>
            </w:r>
          </w:p>
        </w:tc>
        <w:tc>
          <w:tcPr>
            <w:tcW w:w="0" w:type="auto"/>
            <w:tcBorders>
              <w:top w:val="none" w:sz="0" w:space="0" w:color="auto"/>
              <w:bottom w:val="none" w:sz="0" w:space="0" w:color="auto"/>
            </w:tcBorders>
            <w:shd w:val="clear" w:color="auto" w:fill="auto"/>
            <w:vAlign w:val="center"/>
          </w:tcPr>
          <w:p w14:paraId="0A711471" w14:textId="2FF4522E"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11 (5.3)</w:t>
            </w:r>
          </w:p>
        </w:tc>
        <w:tc>
          <w:tcPr>
            <w:tcW w:w="0" w:type="auto"/>
            <w:tcBorders>
              <w:top w:val="none" w:sz="0" w:space="0" w:color="auto"/>
              <w:bottom w:val="none" w:sz="0" w:space="0" w:color="auto"/>
            </w:tcBorders>
            <w:shd w:val="clear" w:color="auto" w:fill="auto"/>
            <w:vAlign w:val="center"/>
          </w:tcPr>
          <w:p w14:paraId="2F29E63A" w14:textId="40C62D99"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40 (19.2)</w:t>
            </w:r>
          </w:p>
        </w:tc>
        <w:tc>
          <w:tcPr>
            <w:tcW w:w="0" w:type="auto"/>
            <w:tcBorders>
              <w:top w:val="none" w:sz="0" w:space="0" w:color="auto"/>
              <w:bottom w:val="none" w:sz="0" w:space="0" w:color="auto"/>
              <w:right w:val="none" w:sz="0" w:space="0" w:color="auto"/>
            </w:tcBorders>
            <w:shd w:val="clear" w:color="auto" w:fill="auto"/>
            <w:vAlign w:val="center"/>
          </w:tcPr>
          <w:p w14:paraId="75721B3B" w14:textId="68E9F6B8"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20 (20.4)</w:t>
            </w:r>
          </w:p>
        </w:tc>
      </w:tr>
      <w:tr w:rsidR="002A5A8B" w:rsidRPr="00731632" w14:paraId="56C8530A" w14:textId="66C08A79" w:rsidTr="002A5A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BF380" w14:textId="4156E262"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≥1 SAE, Grade ≥3 adverse event, or both</w:t>
            </w:r>
            <w:r w:rsidRPr="00731632">
              <w:rPr>
                <w:rFonts w:ascii="Arial Narrow" w:hAnsi="Arial Narrow" w:cstheme="minorHAnsi"/>
                <w:b w:val="0"/>
                <w:bCs w:val="0"/>
                <w:sz w:val="20"/>
                <w:szCs w:val="20"/>
                <w:vertAlign w:val="superscript"/>
                <w:lang w:val="en-AU"/>
              </w:rPr>
              <w:t>a</w:t>
            </w:r>
          </w:p>
        </w:tc>
        <w:tc>
          <w:tcPr>
            <w:tcW w:w="0" w:type="auto"/>
            <w:shd w:val="clear" w:color="auto" w:fill="auto"/>
            <w:vAlign w:val="center"/>
          </w:tcPr>
          <w:p w14:paraId="1F29564F" w14:textId="623E7614"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28 (6.9)</w:t>
            </w:r>
          </w:p>
        </w:tc>
        <w:tc>
          <w:tcPr>
            <w:tcW w:w="0" w:type="auto"/>
            <w:shd w:val="clear" w:color="auto" w:fill="auto"/>
            <w:vAlign w:val="center"/>
          </w:tcPr>
          <w:p w14:paraId="0FE0E241" w14:textId="4B018481"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11 (5.3)</w:t>
            </w:r>
          </w:p>
        </w:tc>
        <w:tc>
          <w:tcPr>
            <w:tcW w:w="0" w:type="auto"/>
            <w:shd w:val="clear" w:color="auto" w:fill="auto"/>
            <w:vAlign w:val="center"/>
          </w:tcPr>
          <w:p w14:paraId="41548B04" w14:textId="0DD01928"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45 (21.6)</w:t>
            </w:r>
          </w:p>
        </w:tc>
        <w:tc>
          <w:tcPr>
            <w:tcW w:w="0" w:type="auto"/>
            <w:shd w:val="clear" w:color="auto" w:fill="auto"/>
            <w:vAlign w:val="center"/>
          </w:tcPr>
          <w:p w14:paraId="6365E328" w14:textId="72AAE13C"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21 (21.4)</w:t>
            </w:r>
          </w:p>
        </w:tc>
      </w:tr>
      <w:tr w:rsidR="002A5A8B" w:rsidRPr="00731632" w14:paraId="6533C017" w14:textId="57E24B19" w:rsidTr="002A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5E269AD8" w14:textId="77777777"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≥1 treatment-related SAE</w:t>
            </w:r>
          </w:p>
        </w:tc>
        <w:tc>
          <w:tcPr>
            <w:tcW w:w="0" w:type="auto"/>
            <w:tcBorders>
              <w:top w:val="none" w:sz="0" w:space="0" w:color="auto"/>
              <w:bottom w:val="none" w:sz="0" w:space="0" w:color="auto"/>
            </w:tcBorders>
            <w:shd w:val="clear" w:color="auto" w:fill="auto"/>
            <w:vAlign w:val="center"/>
          </w:tcPr>
          <w:p w14:paraId="0A0F461C" w14:textId="1144CB0A"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tcBorders>
              <w:top w:val="none" w:sz="0" w:space="0" w:color="auto"/>
              <w:bottom w:val="none" w:sz="0" w:space="0" w:color="auto"/>
            </w:tcBorders>
            <w:shd w:val="clear" w:color="auto" w:fill="auto"/>
            <w:vAlign w:val="center"/>
          </w:tcPr>
          <w:p w14:paraId="07015A65" w14:textId="144521E2"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tcBorders>
              <w:top w:val="none" w:sz="0" w:space="0" w:color="auto"/>
              <w:bottom w:val="none" w:sz="0" w:space="0" w:color="auto"/>
            </w:tcBorders>
            <w:shd w:val="clear" w:color="auto" w:fill="auto"/>
            <w:vAlign w:val="center"/>
          </w:tcPr>
          <w:p w14:paraId="59F58D56" w14:textId="0361CD74"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tcBorders>
              <w:top w:val="none" w:sz="0" w:space="0" w:color="auto"/>
              <w:bottom w:val="none" w:sz="0" w:space="0" w:color="auto"/>
              <w:right w:val="none" w:sz="0" w:space="0" w:color="auto"/>
            </w:tcBorders>
            <w:shd w:val="clear" w:color="auto" w:fill="auto"/>
            <w:vAlign w:val="center"/>
          </w:tcPr>
          <w:p w14:paraId="3C3C025F" w14:textId="208FA652"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r>
      <w:tr w:rsidR="002A5A8B" w:rsidRPr="00731632" w14:paraId="495C5F42" w14:textId="713A4338" w:rsidTr="002A5A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D1A6F" w14:textId="497B018C" w:rsidR="002A5A8B" w:rsidRPr="00731632" w:rsidRDefault="002A5A8B" w:rsidP="002A5A8B">
            <w:pPr>
              <w:keepNext/>
              <w:keepLines/>
              <w:rPr>
                <w:rFonts w:ascii="Arial Narrow" w:hAnsi="Arial Narrow" w:cstheme="minorHAnsi"/>
                <w:b w:val="0"/>
                <w:bCs w:val="0"/>
                <w:sz w:val="20"/>
                <w:szCs w:val="20"/>
                <w:vertAlign w:val="superscript"/>
                <w:lang w:val="en-AU"/>
              </w:rPr>
            </w:pPr>
            <w:r w:rsidRPr="00731632">
              <w:rPr>
                <w:rFonts w:ascii="Arial Narrow" w:hAnsi="Arial Narrow" w:cstheme="minorHAnsi"/>
                <w:b w:val="0"/>
                <w:bCs w:val="0"/>
                <w:sz w:val="20"/>
                <w:szCs w:val="20"/>
                <w:lang w:val="en-AU"/>
              </w:rPr>
              <w:t>≥1 AESI</w:t>
            </w:r>
            <w:r w:rsidRPr="00731632">
              <w:rPr>
                <w:rFonts w:ascii="Arial Narrow" w:hAnsi="Arial Narrow" w:cstheme="minorHAnsi"/>
                <w:b w:val="0"/>
                <w:bCs w:val="0"/>
                <w:sz w:val="20"/>
                <w:szCs w:val="20"/>
                <w:vertAlign w:val="superscript"/>
                <w:lang w:val="en-AU"/>
              </w:rPr>
              <w:t>c</w:t>
            </w:r>
          </w:p>
        </w:tc>
        <w:tc>
          <w:tcPr>
            <w:tcW w:w="0" w:type="auto"/>
            <w:shd w:val="clear" w:color="auto" w:fill="auto"/>
            <w:vAlign w:val="center"/>
          </w:tcPr>
          <w:p w14:paraId="47CBD344" w14:textId="172DF615"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 (0.2)</w:t>
            </w:r>
          </w:p>
        </w:tc>
        <w:tc>
          <w:tcPr>
            <w:tcW w:w="0" w:type="auto"/>
            <w:shd w:val="clear" w:color="auto" w:fill="auto"/>
            <w:vAlign w:val="center"/>
          </w:tcPr>
          <w:p w14:paraId="7174A15B" w14:textId="3B31867C"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c>
          <w:tcPr>
            <w:tcW w:w="0" w:type="auto"/>
            <w:shd w:val="clear" w:color="auto" w:fill="auto"/>
            <w:vAlign w:val="center"/>
          </w:tcPr>
          <w:p w14:paraId="225F0F1B" w14:textId="5A139E46"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 (0.5)</w:t>
            </w:r>
          </w:p>
        </w:tc>
        <w:tc>
          <w:tcPr>
            <w:tcW w:w="0" w:type="auto"/>
            <w:shd w:val="clear" w:color="auto" w:fill="auto"/>
            <w:vAlign w:val="center"/>
          </w:tcPr>
          <w:p w14:paraId="33D339C7" w14:textId="41EC6471" w:rsidR="002A5A8B" w:rsidRPr="00731632" w:rsidRDefault="002A5A8B" w:rsidP="002A5A8B">
            <w:pPr>
              <w:keepNext/>
              <w:keepLines/>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0</w:t>
            </w:r>
          </w:p>
        </w:tc>
      </w:tr>
      <w:tr w:rsidR="002A5A8B" w:rsidRPr="00731632" w14:paraId="701F2D11" w14:textId="02BBC0A7" w:rsidTr="002A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14:paraId="77BF4A41" w14:textId="77777777" w:rsidR="002A5A8B" w:rsidRPr="00731632" w:rsidRDefault="002A5A8B" w:rsidP="002A5A8B">
            <w:pPr>
              <w:keepNext/>
              <w:keepLines/>
              <w:rPr>
                <w:rFonts w:ascii="Arial Narrow" w:hAnsi="Arial Narrow" w:cstheme="minorHAnsi"/>
                <w:b w:val="0"/>
                <w:bCs w:val="0"/>
                <w:sz w:val="20"/>
                <w:szCs w:val="20"/>
                <w:lang w:val="en-AU"/>
              </w:rPr>
            </w:pPr>
            <w:r w:rsidRPr="00731632">
              <w:rPr>
                <w:rFonts w:ascii="Arial Narrow" w:hAnsi="Arial Narrow" w:cstheme="minorHAnsi"/>
                <w:b w:val="0"/>
                <w:bCs w:val="0"/>
                <w:sz w:val="20"/>
                <w:szCs w:val="20"/>
                <w:lang w:val="en-AU"/>
              </w:rPr>
              <w:t>≥1 COVID-19–related adverse event</w:t>
            </w:r>
          </w:p>
        </w:tc>
        <w:tc>
          <w:tcPr>
            <w:tcW w:w="0" w:type="auto"/>
            <w:tcBorders>
              <w:top w:val="none" w:sz="0" w:space="0" w:color="auto"/>
              <w:bottom w:val="none" w:sz="0" w:space="0" w:color="auto"/>
            </w:tcBorders>
            <w:shd w:val="clear" w:color="auto" w:fill="auto"/>
            <w:vAlign w:val="center"/>
          </w:tcPr>
          <w:p w14:paraId="0090934F" w14:textId="594646FD"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8 (2.0)</w:t>
            </w:r>
          </w:p>
        </w:tc>
        <w:tc>
          <w:tcPr>
            <w:tcW w:w="0" w:type="auto"/>
            <w:tcBorders>
              <w:top w:val="none" w:sz="0" w:space="0" w:color="auto"/>
              <w:bottom w:val="none" w:sz="0" w:space="0" w:color="auto"/>
            </w:tcBorders>
            <w:shd w:val="clear" w:color="auto" w:fill="auto"/>
            <w:vAlign w:val="center"/>
          </w:tcPr>
          <w:p w14:paraId="456FDC32" w14:textId="76012367"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 (0.5)</w:t>
            </w:r>
          </w:p>
        </w:tc>
        <w:tc>
          <w:tcPr>
            <w:tcW w:w="0" w:type="auto"/>
            <w:tcBorders>
              <w:top w:val="none" w:sz="0" w:space="0" w:color="auto"/>
              <w:bottom w:val="none" w:sz="0" w:space="0" w:color="auto"/>
            </w:tcBorders>
            <w:shd w:val="clear" w:color="auto" w:fill="auto"/>
            <w:vAlign w:val="center"/>
          </w:tcPr>
          <w:p w14:paraId="6F5F413B" w14:textId="3DABDA0B"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2 (1.0)</w:t>
            </w:r>
          </w:p>
        </w:tc>
        <w:tc>
          <w:tcPr>
            <w:tcW w:w="0" w:type="auto"/>
            <w:tcBorders>
              <w:top w:val="none" w:sz="0" w:space="0" w:color="auto"/>
              <w:bottom w:val="none" w:sz="0" w:space="0" w:color="auto"/>
              <w:right w:val="none" w:sz="0" w:space="0" w:color="auto"/>
            </w:tcBorders>
            <w:shd w:val="clear" w:color="auto" w:fill="auto"/>
            <w:vAlign w:val="center"/>
          </w:tcPr>
          <w:p w14:paraId="34565C49" w14:textId="24D615EC" w:rsidR="002A5A8B" w:rsidRPr="00731632" w:rsidRDefault="002A5A8B" w:rsidP="002A5A8B">
            <w:pPr>
              <w:keepNext/>
              <w:keepLines/>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lang w:val="en-AU"/>
              </w:rPr>
            </w:pPr>
            <w:r w:rsidRPr="00731632">
              <w:rPr>
                <w:rFonts w:ascii="Arial Narrow" w:hAnsi="Arial Narrow" w:cstheme="minorHAnsi"/>
                <w:sz w:val="20"/>
                <w:szCs w:val="20"/>
                <w:lang w:val="en-AU"/>
              </w:rPr>
              <w:t>1 (1.0)</w:t>
            </w:r>
          </w:p>
        </w:tc>
      </w:tr>
    </w:tbl>
    <w:p w14:paraId="1A7816A6" w14:textId="24F4FD1F" w:rsidR="00F11E85" w:rsidRPr="00731632" w:rsidRDefault="005E2174" w:rsidP="00D86231">
      <w:pPr>
        <w:pStyle w:val="FooterTableFigure"/>
      </w:pPr>
      <w:r w:rsidRPr="00731632">
        <w:t>Source: Table 2.5.11, of the submission.</w:t>
      </w:r>
    </w:p>
    <w:p w14:paraId="5F22493A" w14:textId="7F4D94BD" w:rsidR="005E2174" w:rsidRPr="00731632" w:rsidRDefault="005E2174" w:rsidP="00D86231">
      <w:pPr>
        <w:pStyle w:val="FooterTableFigure"/>
      </w:pPr>
      <w:r w:rsidRPr="00731632">
        <w:t>AE = adverse event; AESI = adverse event of special interest; CHD = congenital heart disease; CLD = chronic lung disease; COVID-19 = coronavirus disease 2019; SAE = serious adverse event; TRAE = treatment-related adverse event.</w:t>
      </w:r>
    </w:p>
    <w:p w14:paraId="5A8D2BF4" w14:textId="3D115154" w:rsidR="005E2174" w:rsidRPr="00731632" w:rsidRDefault="00CC7E5B" w:rsidP="005E2174">
      <w:pPr>
        <w:pStyle w:val="FooterTableFigure"/>
      </w:pPr>
      <w:r w:rsidRPr="00731632">
        <w:rPr>
          <w:rFonts w:cstheme="minorHAnsi"/>
          <w:szCs w:val="18"/>
        </w:rPr>
        <w:t>a</w:t>
      </w:r>
      <w:r w:rsidRPr="00731632">
        <w:rPr>
          <w:rFonts w:cstheme="minorHAnsi"/>
          <w:sz w:val="20"/>
          <w:szCs w:val="20"/>
          <w:vertAlign w:val="superscript"/>
        </w:rPr>
        <w:t xml:space="preserve"> </w:t>
      </w:r>
      <w:r w:rsidR="005E2174" w:rsidRPr="00731632">
        <w:t>An AE of Grade 3 denotes a severe event, an adverse event of Grade 4 a life-threatening event, and an AE of Grade 5 a fatal event.</w:t>
      </w:r>
    </w:p>
    <w:p w14:paraId="74DC226E" w14:textId="690A6D1D" w:rsidR="005E2174" w:rsidRPr="00731632" w:rsidRDefault="00CC7E5B" w:rsidP="005E2174">
      <w:pPr>
        <w:pStyle w:val="FooterTableFigure"/>
      </w:pPr>
      <w:r w:rsidRPr="00731632">
        <w:t xml:space="preserve">b </w:t>
      </w:r>
      <w:r w:rsidR="005E2174" w:rsidRPr="00731632">
        <w:t>SAEs were defined as death, events that were life-threatening or required inpatient hospitalisation, events that prolonged hospitalisation, events that were persistent or that were associated with clinically significant disability or incapacity, or events considered to be of medical significance.</w:t>
      </w:r>
    </w:p>
    <w:p w14:paraId="3550F7A0" w14:textId="39EF3202" w:rsidR="005E2174" w:rsidRPr="00731632" w:rsidRDefault="00CC7E5B" w:rsidP="005E2174">
      <w:pPr>
        <w:pStyle w:val="FooterTableFigure"/>
      </w:pPr>
      <w:r w:rsidRPr="00731632">
        <w:t xml:space="preserve">c </w:t>
      </w:r>
      <w:r w:rsidR="005E2174" w:rsidRPr="00731632">
        <w:t>AESI included hypersensitivity, immune complex disease, and thrombocytopaenia and w</w:t>
      </w:r>
      <w:r w:rsidR="004800AD" w:rsidRPr="00731632">
        <w:t>as</w:t>
      </w:r>
      <w:r w:rsidR="005E2174" w:rsidRPr="00731632">
        <w:t xml:space="preserve"> determined </w:t>
      </w:r>
      <w:r w:rsidRPr="00731632">
        <w:t>based on</w:t>
      </w:r>
      <w:r w:rsidR="005E2174" w:rsidRPr="00731632">
        <w:t xml:space="preserve"> </w:t>
      </w:r>
      <w:r w:rsidR="002A5A8B" w:rsidRPr="00731632">
        <w:t xml:space="preserve">blinded </w:t>
      </w:r>
      <w:r w:rsidR="005E2174" w:rsidRPr="00731632">
        <w:t>investigator assessment.</w:t>
      </w:r>
    </w:p>
    <w:p w14:paraId="5798A2F1" w14:textId="144FE377" w:rsidR="00327A20" w:rsidRPr="00731632" w:rsidRDefault="00327A20" w:rsidP="00736431">
      <w:pPr>
        <w:pStyle w:val="5-SubsectionSubheading"/>
        <w:spacing w:before="120"/>
      </w:pPr>
      <w:r w:rsidRPr="00731632">
        <w:t>Near-market comparison: nirsevimab versus RSVpreF maternal immunisation ITC</w:t>
      </w:r>
    </w:p>
    <w:p w14:paraId="58F390DC" w14:textId="683C959E" w:rsidR="00BB7CEE" w:rsidRPr="00731632" w:rsidRDefault="00BB7CEE" w:rsidP="00F32FD7">
      <w:pPr>
        <w:pStyle w:val="3-BodyText"/>
      </w:pPr>
      <w:r w:rsidRPr="00731632">
        <w:t xml:space="preserve">A formal comparison of safety between nirsevimab and RSVpreF was not presented. </w:t>
      </w:r>
      <w:r w:rsidR="00327A20" w:rsidRPr="00731632">
        <w:t>D</w:t>
      </w:r>
      <w:r w:rsidR="00176135" w:rsidRPr="00731632">
        <w:t>ue to the previously mentioned transitivity issues</w:t>
      </w:r>
      <w:r w:rsidR="004800AD" w:rsidRPr="00731632">
        <w:t>,</w:t>
      </w:r>
      <w:r w:rsidR="00176135" w:rsidRPr="00731632">
        <w:t xml:space="preserve"> an indirect comparison of harms would not be informative. Additionally, as the target populations for the two therapies are different (pregnant women for RSVpreF and infants for nirsevimab), it</w:t>
      </w:r>
      <w:r w:rsidR="00F677B5" w:rsidRPr="00731632">
        <w:t xml:space="preserve"> was </w:t>
      </w:r>
      <w:r w:rsidR="00176135" w:rsidRPr="00731632">
        <w:t xml:space="preserve">likely that there would be </w:t>
      </w:r>
      <w:r w:rsidR="004800AD" w:rsidRPr="00731632">
        <w:t>different safety profiles</w:t>
      </w:r>
      <w:r w:rsidR="00176135" w:rsidRPr="00731632">
        <w:t xml:space="preserve"> reported</w:t>
      </w:r>
      <w:r w:rsidR="004800AD" w:rsidRPr="00731632">
        <w:t xml:space="preserve"> (adult vs infant)</w:t>
      </w:r>
      <w:r w:rsidR="00176135" w:rsidRPr="00731632">
        <w:t>.</w:t>
      </w:r>
    </w:p>
    <w:p w14:paraId="2888B5AB" w14:textId="1FEA3283" w:rsidR="007F1017" w:rsidRPr="00731632" w:rsidRDefault="007F1017" w:rsidP="004D1657">
      <w:pPr>
        <w:pStyle w:val="4-SubsectionHeading"/>
      </w:pPr>
      <w:bookmarkStart w:id="57" w:name="_Toc22897643"/>
      <w:bookmarkStart w:id="58" w:name="_Toc167276237"/>
      <w:r w:rsidRPr="00731632">
        <w:t>Benefits/harms</w:t>
      </w:r>
      <w:bookmarkEnd w:id="57"/>
      <w:bookmarkEnd w:id="58"/>
    </w:p>
    <w:p w14:paraId="5D60B0F1" w14:textId="6D5E3A9B" w:rsidR="00D136B5" w:rsidRPr="00731632" w:rsidRDefault="00D136B5" w:rsidP="00736431">
      <w:pPr>
        <w:pStyle w:val="5-SubsectionSubheading"/>
        <w:spacing w:before="120"/>
        <w:rPr>
          <w:rFonts w:ascii="Arial Narrow" w:hAnsi="Arial Narrow"/>
          <w:color w:val="0066FF"/>
          <w:sz w:val="20"/>
          <w:szCs w:val="16"/>
        </w:rPr>
      </w:pPr>
      <w:r w:rsidRPr="00731632">
        <w:t>Main comparison: nirsevimab versus placebo</w:t>
      </w:r>
    </w:p>
    <w:p w14:paraId="1FAE38F0" w14:textId="4AC4866F" w:rsidR="00E723BA" w:rsidRPr="00731632" w:rsidRDefault="00EC00C9" w:rsidP="00D2155B">
      <w:pPr>
        <w:pStyle w:val="3-BodyText"/>
        <w:rPr>
          <w:rFonts w:ascii="Arial Narrow" w:hAnsi="Arial Narrow"/>
          <w:b/>
          <w:color w:val="0066FF"/>
          <w:sz w:val="20"/>
          <w:szCs w:val="16"/>
        </w:rPr>
      </w:pPr>
      <w:r w:rsidRPr="00731632">
        <w:t xml:space="preserve">A summary of the comparative benefits and harms for </w:t>
      </w:r>
      <w:r w:rsidR="004D1657" w:rsidRPr="00731632">
        <w:t>nirsevimab</w:t>
      </w:r>
      <w:r w:rsidRPr="00731632">
        <w:t xml:space="preserve"> versus </w:t>
      </w:r>
      <w:r w:rsidR="004D1657" w:rsidRPr="00731632">
        <w:t>placebo</w:t>
      </w:r>
      <w:r w:rsidR="00D96E77" w:rsidRPr="00731632">
        <w:t xml:space="preserve"> </w:t>
      </w:r>
      <w:r w:rsidR="007206DF" w:rsidRPr="00731632">
        <w:t>i</w:t>
      </w:r>
      <w:r w:rsidR="00F677B5" w:rsidRPr="00731632">
        <w:t xml:space="preserve">s </w:t>
      </w:r>
      <w:r w:rsidRPr="00731632">
        <w:t>presented in</w:t>
      </w:r>
      <w:r w:rsidR="00E16AD8" w:rsidRPr="00731632">
        <w:t xml:space="preserve"> </w:t>
      </w:r>
      <w:r w:rsidR="00E16AD8" w:rsidRPr="00731632">
        <w:fldChar w:fldCharType="begin"/>
      </w:r>
      <w:r w:rsidR="00E16AD8" w:rsidRPr="00731632">
        <w:instrText xml:space="preserve"> REF _Ref104805037 \h </w:instrText>
      </w:r>
      <w:r w:rsidR="00E16AD8" w:rsidRPr="00731632">
        <w:fldChar w:fldCharType="separate"/>
      </w:r>
      <w:r w:rsidR="00D770BB" w:rsidRPr="00731632">
        <w:t xml:space="preserve">Table </w:t>
      </w:r>
      <w:r w:rsidR="00D770BB">
        <w:rPr>
          <w:noProof/>
        </w:rPr>
        <w:t>16</w:t>
      </w:r>
      <w:r w:rsidR="00E16AD8" w:rsidRPr="00731632">
        <w:fldChar w:fldCharType="end"/>
      </w:r>
      <w:r w:rsidRPr="00731632">
        <w:t>.</w:t>
      </w:r>
    </w:p>
    <w:p w14:paraId="79CB2487" w14:textId="7293EE44" w:rsidR="00B62715" w:rsidRPr="00731632" w:rsidRDefault="00D6076E" w:rsidP="002D1497">
      <w:pPr>
        <w:pStyle w:val="Caption"/>
        <w:rPr>
          <w:rStyle w:val="CommentReference"/>
          <w:b/>
          <w:szCs w:val="24"/>
        </w:rPr>
      </w:pPr>
      <w:bookmarkStart w:id="59" w:name="_Ref104805037"/>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16</w:t>
      </w:r>
      <w:r w:rsidR="00BD1FC6" w:rsidRPr="00731632">
        <w:fldChar w:fldCharType="end"/>
      </w:r>
      <w:bookmarkEnd w:id="59"/>
      <w:r w:rsidRPr="00731632">
        <w:t xml:space="preserve">: </w:t>
      </w:r>
      <w:r w:rsidR="00B62715" w:rsidRPr="00731632">
        <w:rPr>
          <w:rStyle w:val="CommentReference"/>
          <w:b/>
          <w:szCs w:val="24"/>
        </w:rPr>
        <w:t xml:space="preserve">Summary of comparative benefits and harms for </w:t>
      </w:r>
      <w:r w:rsidR="00B825AB" w:rsidRPr="00731632">
        <w:rPr>
          <w:rStyle w:val="CommentReference"/>
          <w:b/>
          <w:szCs w:val="24"/>
        </w:rPr>
        <w:t>nirsevimab</w:t>
      </w:r>
      <w:r w:rsidR="00B62715" w:rsidRPr="00731632">
        <w:rPr>
          <w:rStyle w:val="CommentReference"/>
          <w:b/>
          <w:szCs w:val="24"/>
        </w:rPr>
        <w:t xml:space="preserve"> and </w:t>
      </w:r>
      <w:r w:rsidR="00B825AB" w:rsidRPr="00731632">
        <w:rPr>
          <w:rStyle w:val="CommentReference"/>
          <w:b/>
          <w:szCs w:val="24"/>
        </w:rPr>
        <w:t>placebo derived from the MELODY trial</w:t>
      </w:r>
    </w:p>
    <w:tbl>
      <w:tblPr>
        <w:tblW w:w="5000" w:type="pct"/>
        <w:tblLayout w:type="fixed"/>
        <w:tblCellMar>
          <w:left w:w="28" w:type="dxa"/>
          <w:right w:w="28" w:type="dxa"/>
        </w:tblCellMar>
        <w:tblLook w:val="04A0" w:firstRow="1" w:lastRow="0" w:firstColumn="1" w:lastColumn="0" w:noHBand="0" w:noVBand="1"/>
        <w:tblCaption w:val="Table 16: Summary of comparative benefits and harms for nirsevimab and placebo derived from the MELODY trial"/>
      </w:tblPr>
      <w:tblGrid>
        <w:gridCol w:w="1271"/>
        <w:gridCol w:w="1026"/>
        <w:gridCol w:w="1284"/>
        <w:gridCol w:w="1555"/>
        <w:gridCol w:w="1133"/>
        <w:gridCol w:w="90"/>
        <w:gridCol w:w="1149"/>
        <w:gridCol w:w="1509"/>
      </w:tblGrid>
      <w:tr w:rsidR="007F4A61" w:rsidRPr="00731632" w14:paraId="2C58B983" w14:textId="77777777" w:rsidTr="00556444">
        <w:trPr>
          <w:cantSplit/>
          <w:trHeight w:val="150"/>
          <w:tblHeader/>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454AFB" w14:textId="48941CD2" w:rsidR="00B62715" w:rsidRPr="00731632" w:rsidRDefault="00B62715" w:rsidP="003E5B27">
            <w:pPr>
              <w:pStyle w:val="In-tableHeading"/>
              <w:keepLines/>
              <w:rPr>
                <w:lang w:val="en-AU"/>
              </w:rPr>
            </w:pPr>
          </w:p>
        </w:tc>
        <w:tc>
          <w:tcPr>
            <w:tcW w:w="569" w:type="pct"/>
            <w:vMerge w:val="restart"/>
            <w:tcBorders>
              <w:top w:val="single" w:sz="4" w:space="0" w:color="auto"/>
              <w:left w:val="single" w:sz="4" w:space="0" w:color="auto"/>
              <w:bottom w:val="single" w:sz="4" w:space="0" w:color="auto"/>
              <w:right w:val="single" w:sz="4" w:space="0" w:color="auto"/>
            </w:tcBorders>
            <w:vAlign w:val="center"/>
          </w:tcPr>
          <w:p w14:paraId="5A5A1D14" w14:textId="290850C7" w:rsidR="00B24DF6" w:rsidRPr="00731632" w:rsidRDefault="000E0293" w:rsidP="003E5B27">
            <w:pPr>
              <w:pStyle w:val="In-tableHeading"/>
              <w:keepLines/>
              <w:jc w:val="center"/>
              <w:rPr>
                <w:lang w:val="en-AU"/>
              </w:rPr>
            </w:pPr>
            <w:r w:rsidRPr="00731632">
              <w:rPr>
                <w:lang w:val="en-AU"/>
              </w:rPr>
              <w:t>nirsevimab</w:t>
            </w:r>
          </w:p>
          <w:p w14:paraId="4E1A7450" w14:textId="77777777" w:rsidR="00B62715" w:rsidRPr="00731632" w:rsidRDefault="00B24DF6" w:rsidP="003E5B27">
            <w:pPr>
              <w:pStyle w:val="In-tableHeading"/>
              <w:keepLines/>
              <w:jc w:val="center"/>
              <w:rPr>
                <w:lang w:val="en-AU"/>
              </w:rPr>
            </w:pPr>
            <w:r w:rsidRPr="00731632">
              <w:rPr>
                <w:lang w:val="en-AU"/>
              </w:rPr>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67ED0384" w14:textId="02BC9A21" w:rsidR="00B62715" w:rsidRPr="00731632" w:rsidRDefault="00B62715" w:rsidP="003E5B27">
            <w:pPr>
              <w:pStyle w:val="In-tableHeading"/>
              <w:keepLines/>
              <w:jc w:val="center"/>
              <w:rPr>
                <w:lang w:val="en-AU"/>
              </w:rPr>
            </w:pPr>
            <w:r w:rsidRPr="00731632">
              <w:rPr>
                <w:lang w:val="en-AU"/>
              </w:rPr>
              <w:t>PBO</w:t>
            </w:r>
          </w:p>
          <w:p w14:paraId="0AACD2B9" w14:textId="77777777" w:rsidR="00B24DF6" w:rsidRPr="00731632" w:rsidRDefault="00B24DF6" w:rsidP="003E5B27">
            <w:pPr>
              <w:pStyle w:val="In-tableHeading"/>
              <w:keepLines/>
              <w:jc w:val="center"/>
              <w:rPr>
                <w:lang w:val="en-AU"/>
              </w:rPr>
            </w:pPr>
            <w:r w:rsidRPr="00731632">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231CA8AC" w14:textId="20EE9183" w:rsidR="00B62715" w:rsidRPr="00731632" w:rsidRDefault="000E0293" w:rsidP="003E5B27">
            <w:pPr>
              <w:pStyle w:val="In-tableHeading"/>
              <w:keepLines/>
              <w:jc w:val="center"/>
              <w:rPr>
                <w:lang w:val="en-AU"/>
              </w:rPr>
            </w:pPr>
            <w:r w:rsidRPr="00731632">
              <w:rPr>
                <w:lang w:val="en-AU"/>
              </w:rPr>
              <w:t>Efficacy</w:t>
            </w:r>
          </w:p>
          <w:p w14:paraId="1D7FA16F" w14:textId="77777777" w:rsidR="00B62715" w:rsidRPr="00731632" w:rsidRDefault="00B62715" w:rsidP="003E5B27">
            <w:pPr>
              <w:pStyle w:val="In-tableHeading"/>
              <w:keepLines/>
              <w:jc w:val="center"/>
              <w:rPr>
                <w:lang w:val="en-AU"/>
              </w:rPr>
            </w:pPr>
            <w:r w:rsidRPr="00731632">
              <w:rPr>
                <w:lang w:val="en-AU"/>
              </w:rPr>
              <w:t>(95% CI)</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4460D5B9" w14:textId="721F9013" w:rsidR="00B62715" w:rsidRPr="00731632" w:rsidRDefault="00B62715" w:rsidP="003E5B27">
            <w:pPr>
              <w:pStyle w:val="In-tableHeading"/>
              <w:keepLines/>
              <w:jc w:val="center"/>
              <w:rPr>
                <w:lang w:val="en-AU"/>
              </w:rPr>
            </w:pPr>
            <w:r w:rsidRPr="00731632">
              <w:rPr>
                <w:lang w:val="en-AU"/>
              </w:rPr>
              <w:t xml:space="preserve">Event rate/100 </w:t>
            </w:r>
            <w:r w:rsidR="00B63F4A" w:rsidRPr="00731632">
              <w:rPr>
                <w:lang w:val="en-AU"/>
              </w:rPr>
              <w:t>participants</w:t>
            </w:r>
            <w:r w:rsidRPr="00731632">
              <w:rPr>
                <w:lang w:val="en-AU"/>
              </w:rPr>
              <w:t>*</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14:paraId="51F3EF1A" w14:textId="77777777" w:rsidR="00B62715" w:rsidRPr="00731632" w:rsidRDefault="00B62715" w:rsidP="003E5B27">
            <w:pPr>
              <w:pStyle w:val="In-tableHeading"/>
              <w:keepLines/>
              <w:jc w:val="center"/>
              <w:rPr>
                <w:lang w:val="en-AU"/>
              </w:rPr>
            </w:pPr>
            <w:r w:rsidRPr="00731632">
              <w:rPr>
                <w:lang w:val="en-AU"/>
              </w:rPr>
              <w:t>RD</w:t>
            </w:r>
          </w:p>
          <w:p w14:paraId="16288A92" w14:textId="77777777" w:rsidR="00B62715" w:rsidRPr="00731632" w:rsidRDefault="00B62715" w:rsidP="003E5B27">
            <w:pPr>
              <w:pStyle w:val="In-tableHeading"/>
              <w:keepLines/>
              <w:jc w:val="center"/>
              <w:rPr>
                <w:lang w:val="en-AU"/>
              </w:rPr>
            </w:pPr>
            <w:r w:rsidRPr="00731632">
              <w:rPr>
                <w:lang w:val="en-AU"/>
              </w:rPr>
              <w:t>(95% CI)</w:t>
            </w:r>
          </w:p>
        </w:tc>
      </w:tr>
      <w:tr w:rsidR="007F4A61" w:rsidRPr="00731632" w14:paraId="7942C2BA" w14:textId="77777777" w:rsidTr="00556444">
        <w:trPr>
          <w:cantSplit/>
          <w:trHeight w:val="315"/>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D1B273" w14:textId="77777777" w:rsidR="00B62715" w:rsidRPr="00731632" w:rsidRDefault="00B62715" w:rsidP="006F3955">
            <w:pPr>
              <w:pStyle w:val="In-tableHeading"/>
              <w:keepLines/>
              <w:jc w:val="center"/>
              <w:rPr>
                <w:lang w:val="en-AU"/>
              </w:rPr>
            </w:pPr>
          </w:p>
        </w:tc>
        <w:tc>
          <w:tcPr>
            <w:tcW w:w="569" w:type="pct"/>
            <w:vMerge/>
            <w:tcBorders>
              <w:top w:val="single" w:sz="4" w:space="0" w:color="auto"/>
              <w:left w:val="single" w:sz="4" w:space="0" w:color="auto"/>
              <w:bottom w:val="single" w:sz="4" w:space="0" w:color="auto"/>
              <w:right w:val="single" w:sz="4" w:space="0" w:color="auto"/>
            </w:tcBorders>
            <w:vAlign w:val="center"/>
          </w:tcPr>
          <w:p w14:paraId="21B7DA25" w14:textId="77777777" w:rsidR="00B62715" w:rsidRPr="00731632" w:rsidRDefault="00B62715" w:rsidP="006F3955">
            <w:pPr>
              <w:pStyle w:val="In-tableHeading"/>
              <w:keepLines/>
              <w:jc w:val="center"/>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2538744A" w14:textId="77777777" w:rsidR="00B62715" w:rsidRPr="00731632" w:rsidRDefault="00B62715" w:rsidP="006F3955">
            <w:pPr>
              <w:pStyle w:val="In-tableHeading"/>
              <w:keepLines/>
              <w:jc w:val="center"/>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01D2133A" w14:textId="77777777" w:rsidR="00B62715" w:rsidRPr="00731632" w:rsidRDefault="00B62715" w:rsidP="006F3955">
            <w:pPr>
              <w:pStyle w:val="In-tableHeading"/>
              <w:keepLines/>
              <w:jc w:val="center"/>
              <w:rPr>
                <w:lang w:val="en-AU"/>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73385176" w14:textId="54D6B1A8" w:rsidR="00B62715" w:rsidRPr="00731632" w:rsidRDefault="004B7EFA" w:rsidP="006F3955">
            <w:pPr>
              <w:pStyle w:val="In-tableHeading"/>
              <w:keepLines/>
              <w:jc w:val="center"/>
              <w:rPr>
                <w:lang w:val="en-AU"/>
              </w:rPr>
            </w:pPr>
            <w:r w:rsidRPr="00731632">
              <w:rPr>
                <w:lang w:val="en-AU"/>
              </w:rPr>
              <w:t>nirsevimab</w:t>
            </w:r>
          </w:p>
        </w:tc>
        <w:tc>
          <w:tcPr>
            <w:tcW w:w="637" w:type="pct"/>
            <w:tcBorders>
              <w:top w:val="single" w:sz="4" w:space="0" w:color="auto"/>
              <w:left w:val="single" w:sz="4" w:space="0" w:color="auto"/>
              <w:bottom w:val="single" w:sz="4" w:space="0" w:color="auto"/>
              <w:right w:val="single" w:sz="4" w:space="0" w:color="auto"/>
            </w:tcBorders>
            <w:vAlign w:val="center"/>
          </w:tcPr>
          <w:p w14:paraId="7DFCFE28" w14:textId="77777777" w:rsidR="00B62715" w:rsidRPr="00731632" w:rsidRDefault="00B62715" w:rsidP="006F3955">
            <w:pPr>
              <w:pStyle w:val="In-tableHeading"/>
              <w:keepLines/>
              <w:jc w:val="center"/>
              <w:rPr>
                <w:lang w:val="en-AU"/>
              </w:rPr>
            </w:pPr>
            <w:r w:rsidRPr="00731632">
              <w:rPr>
                <w:lang w:val="en-AU"/>
              </w:rPr>
              <w:t>PBO</w:t>
            </w:r>
          </w:p>
        </w:tc>
        <w:tc>
          <w:tcPr>
            <w:tcW w:w="837" w:type="pct"/>
            <w:vMerge/>
            <w:tcBorders>
              <w:top w:val="single" w:sz="4" w:space="0" w:color="auto"/>
              <w:left w:val="single" w:sz="4" w:space="0" w:color="auto"/>
              <w:bottom w:val="single" w:sz="4" w:space="0" w:color="auto"/>
              <w:right w:val="single" w:sz="4" w:space="0" w:color="auto"/>
            </w:tcBorders>
            <w:vAlign w:val="center"/>
          </w:tcPr>
          <w:p w14:paraId="6DAF4DA6" w14:textId="77777777" w:rsidR="00B62715" w:rsidRPr="00731632" w:rsidRDefault="00B62715" w:rsidP="006F3955">
            <w:pPr>
              <w:pStyle w:val="In-tableHeading"/>
              <w:keepLines/>
              <w:jc w:val="center"/>
              <w:rPr>
                <w:lang w:val="en-AU"/>
              </w:rPr>
            </w:pPr>
          </w:p>
        </w:tc>
      </w:tr>
      <w:tr w:rsidR="00B62715" w:rsidRPr="00731632" w14:paraId="44496F21" w14:textId="77777777" w:rsidTr="00556444">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5494B" w14:textId="3E39D113" w:rsidR="00B62715" w:rsidRPr="00731632" w:rsidRDefault="00B62715" w:rsidP="003E5B27">
            <w:pPr>
              <w:pStyle w:val="In-tableHeading"/>
              <w:keepLines/>
              <w:rPr>
                <w:lang w:val="en-AU"/>
              </w:rPr>
            </w:pPr>
            <w:r w:rsidRPr="00731632">
              <w:rPr>
                <w:lang w:val="en-AU"/>
              </w:rPr>
              <w:t>Benefits</w:t>
            </w:r>
            <w:r w:rsidR="00C160DB" w:rsidRPr="00731632">
              <w:rPr>
                <w:lang w:val="en-AU"/>
              </w:rPr>
              <w:t xml:space="preserve"> (through 150 days)</w:t>
            </w:r>
          </w:p>
        </w:tc>
      </w:tr>
      <w:tr w:rsidR="007F4A61" w:rsidRPr="00731632" w14:paraId="07166EF3" w14:textId="77777777" w:rsidTr="00556444">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0D47E5F" w14:textId="66EAEACE" w:rsidR="00B62715" w:rsidRPr="00731632" w:rsidRDefault="000E0293" w:rsidP="003E5B27">
            <w:pPr>
              <w:pStyle w:val="TableText0"/>
              <w:keepLines/>
            </w:pPr>
            <w:r w:rsidRPr="00731632">
              <w:t xml:space="preserve">MA </w:t>
            </w:r>
            <w:r w:rsidR="00C160DB" w:rsidRPr="00731632">
              <w:t xml:space="preserve">RSV </w:t>
            </w:r>
            <w:r w:rsidRPr="00731632">
              <w:t>LRTI</w:t>
            </w:r>
          </w:p>
        </w:tc>
        <w:tc>
          <w:tcPr>
            <w:tcW w:w="569" w:type="pct"/>
            <w:tcBorders>
              <w:top w:val="single" w:sz="4" w:space="0" w:color="auto"/>
              <w:left w:val="single" w:sz="4" w:space="0" w:color="auto"/>
              <w:bottom w:val="single" w:sz="4" w:space="0" w:color="auto"/>
              <w:right w:val="single" w:sz="4" w:space="0" w:color="auto"/>
            </w:tcBorders>
            <w:vAlign w:val="center"/>
          </w:tcPr>
          <w:p w14:paraId="1300D144" w14:textId="496F4B42" w:rsidR="00B62715" w:rsidRPr="00731632" w:rsidRDefault="000E0293" w:rsidP="003E5B27">
            <w:pPr>
              <w:pStyle w:val="TableText0"/>
              <w:keepLines/>
              <w:jc w:val="center"/>
            </w:pPr>
            <w:r w:rsidRPr="00731632">
              <w:t>12/994</w:t>
            </w:r>
          </w:p>
        </w:tc>
        <w:tc>
          <w:tcPr>
            <w:tcW w:w="712" w:type="pct"/>
            <w:tcBorders>
              <w:top w:val="single" w:sz="4" w:space="0" w:color="auto"/>
              <w:left w:val="single" w:sz="4" w:space="0" w:color="auto"/>
              <w:bottom w:val="single" w:sz="4" w:space="0" w:color="auto"/>
              <w:right w:val="single" w:sz="4" w:space="0" w:color="auto"/>
            </w:tcBorders>
            <w:vAlign w:val="center"/>
          </w:tcPr>
          <w:p w14:paraId="2168CD82" w14:textId="68959707" w:rsidR="00B62715" w:rsidRPr="00731632" w:rsidRDefault="000E0293" w:rsidP="003E5B27">
            <w:pPr>
              <w:pStyle w:val="TableText0"/>
              <w:keepLines/>
              <w:jc w:val="center"/>
            </w:pPr>
            <w:r w:rsidRPr="00731632">
              <w:t>25/496</w:t>
            </w:r>
          </w:p>
        </w:tc>
        <w:tc>
          <w:tcPr>
            <w:tcW w:w="862" w:type="pct"/>
            <w:tcBorders>
              <w:top w:val="single" w:sz="4" w:space="0" w:color="auto"/>
              <w:left w:val="single" w:sz="4" w:space="0" w:color="auto"/>
              <w:bottom w:val="single" w:sz="4" w:space="0" w:color="auto"/>
              <w:right w:val="single" w:sz="4" w:space="0" w:color="auto"/>
            </w:tcBorders>
            <w:vAlign w:val="center"/>
          </w:tcPr>
          <w:p w14:paraId="4F677B59" w14:textId="52056975" w:rsidR="00B62715" w:rsidRPr="00731632" w:rsidRDefault="000E0293" w:rsidP="003E5B27">
            <w:pPr>
              <w:pStyle w:val="TableText0"/>
              <w:keepLines/>
              <w:jc w:val="center"/>
            </w:pPr>
            <w:r w:rsidRPr="00731632">
              <w:t>74.5% (49.6, 87.1)</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4FF3E790" w14:textId="44CDC982" w:rsidR="00B62715" w:rsidRPr="00731632" w:rsidRDefault="000E0293" w:rsidP="003E5B27">
            <w:pPr>
              <w:pStyle w:val="TableText0"/>
              <w:keepLines/>
              <w:jc w:val="center"/>
            </w:pPr>
            <w:r w:rsidRPr="00731632">
              <w:t>1.2</w:t>
            </w:r>
          </w:p>
        </w:tc>
        <w:tc>
          <w:tcPr>
            <w:tcW w:w="637" w:type="pct"/>
            <w:tcBorders>
              <w:top w:val="single" w:sz="4" w:space="0" w:color="auto"/>
              <w:left w:val="single" w:sz="4" w:space="0" w:color="auto"/>
              <w:bottom w:val="single" w:sz="4" w:space="0" w:color="auto"/>
              <w:right w:val="single" w:sz="4" w:space="0" w:color="auto"/>
            </w:tcBorders>
            <w:vAlign w:val="center"/>
          </w:tcPr>
          <w:p w14:paraId="5B075E2C" w14:textId="25B86A8D" w:rsidR="00B62715" w:rsidRPr="00731632" w:rsidRDefault="000E0293" w:rsidP="003E5B27">
            <w:pPr>
              <w:pStyle w:val="TableText0"/>
              <w:keepLines/>
              <w:jc w:val="center"/>
            </w:pPr>
            <w:r w:rsidRPr="00731632">
              <w:t>5</w:t>
            </w:r>
          </w:p>
        </w:tc>
        <w:tc>
          <w:tcPr>
            <w:tcW w:w="837" w:type="pct"/>
            <w:tcBorders>
              <w:top w:val="single" w:sz="4" w:space="0" w:color="auto"/>
              <w:left w:val="single" w:sz="4" w:space="0" w:color="auto"/>
              <w:bottom w:val="single" w:sz="4" w:space="0" w:color="auto"/>
              <w:right w:val="single" w:sz="4" w:space="0" w:color="auto"/>
            </w:tcBorders>
            <w:vAlign w:val="center"/>
          </w:tcPr>
          <w:p w14:paraId="5EF20E2B" w14:textId="450EDB3C" w:rsidR="00B62715" w:rsidRPr="00731632" w:rsidRDefault="00CD504D" w:rsidP="003E5B27">
            <w:pPr>
              <w:pStyle w:val="TableText0"/>
              <w:keepLines/>
              <w:jc w:val="center"/>
              <w:rPr>
                <w:b/>
                <w:bCs w:val="0"/>
                <w:iCs/>
              </w:rPr>
            </w:pPr>
            <w:r w:rsidRPr="00731632">
              <w:rPr>
                <w:b/>
                <w:bCs w:val="0"/>
                <w:iCs/>
              </w:rPr>
              <w:t>-0.04 (-0.06, -0.02)</w:t>
            </w:r>
          </w:p>
        </w:tc>
      </w:tr>
      <w:tr w:rsidR="007F4A61" w:rsidRPr="00731632" w14:paraId="5208C502" w14:textId="77777777" w:rsidTr="00556444">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2AB2644" w14:textId="03AE4088" w:rsidR="00B62715" w:rsidRPr="00731632" w:rsidRDefault="000E0293" w:rsidP="003E5B27">
            <w:pPr>
              <w:pStyle w:val="TableText0"/>
              <w:keepLines/>
            </w:pPr>
            <w:r w:rsidRPr="00731632">
              <w:t xml:space="preserve">MA </w:t>
            </w:r>
            <w:r w:rsidR="00C160DB" w:rsidRPr="00731632">
              <w:t xml:space="preserve">RSV </w:t>
            </w:r>
            <w:r w:rsidRPr="00731632">
              <w:t>LRTI hospitalisations</w:t>
            </w:r>
          </w:p>
        </w:tc>
        <w:tc>
          <w:tcPr>
            <w:tcW w:w="569" w:type="pct"/>
            <w:tcBorders>
              <w:top w:val="single" w:sz="4" w:space="0" w:color="auto"/>
              <w:left w:val="single" w:sz="4" w:space="0" w:color="auto"/>
              <w:bottom w:val="single" w:sz="4" w:space="0" w:color="auto"/>
              <w:right w:val="single" w:sz="4" w:space="0" w:color="auto"/>
            </w:tcBorders>
            <w:vAlign w:val="center"/>
          </w:tcPr>
          <w:p w14:paraId="7AE7A4D7" w14:textId="6456CD37" w:rsidR="00B62715" w:rsidRPr="00731632" w:rsidRDefault="000E0293" w:rsidP="003E5B27">
            <w:pPr>
              <w:pStyle w:val="TableText0"/>
              <w:keepLines/>
              <w:jc w:val="center"/>
            </w:pPr>
            <w:r w:rsidRPr="00731632">
              <w:t>6/994</w:t>
            </w:r>
          </w:p>
        </w:tc>
        <w:tc>
          <w:tcPr>
            <w:tcW w:w="712" w:type="pct"/>
            <w:tcBorders>
              <w:top w:val="single" w:sz="4" w:space="0" w:color="auto"/>
              <w:left w:val="single" w:sz="4" w:space="0" w:color="auto"/>
              <w:bottom w:val="single" w:sz="4" w:space="0" w:color="auto"/>
              <w:right w:val="single" w:sz="4" w:space="0" w:color="auto"/>
            </w:tcBorders>
            <w:vAlign w:val="center"/>
          </w:tcPr>
          <w:p w14:paraId="23ABB768" w14:textId="6AF5655D" w:rsidR="00B62715" w:rsidRPr="00731632" w:rsidRDefault="000E0293" w:rsidP="003E5B27">
            <w:pPr>
              <w:pStyle w:val="TableText0"/>
              <w:keepLines/>
              <w:jc w:val="center"/>
            </w:pPr>
            <w:r w:rsidRPr="00731632">
              <w:t>8/496</w:t>
            </w:r>
          </w:p>
        </w:tc>
        <w:tc>
          <w:tcPr>
            <w:tcW w:w="862" w:type="pct"/>
            <w:tcBorders>
              <w:top w:val="single" w:sz="4" w:space="0" w:color="auto"/>
              <w:left w:val="single" w:sz="4" w:space="0" w:color="auto"/>
              <w:bottom w:val="single" w:sz="4" w:space="0" w:color="auto"/>
              <w:right w:val="single" w:sz="4" w:space="0" w:color="auto"/>
            </w:tcBorders>
            <w:vAlign w:val="center"/>
          </w:tcPr>
          <w:p w14:paraId="7C373A92" w14:textId="026B527D" w:rsidR="00B62715" w:rsidRPr="00731632" w:rsidRDefault="000E0293" w:rsidP="003E5B27">
            <w:pPr>
              <w:pStyle w:val="TableText0"/>
              <w:keepLines/>
              <w:jc w:val="center"/>
            </w:pPr>
            <w:r w:rsidRPr="00731632">
              <w:t>62.1</w:t>
            </w:r>
            <w:r w:rsidR="00557B2B" w:rsidRPr="00731632">
              <w:t>%</w:t>
            </w:r>
            <w:r w:rsidRPr="00731632">
              <w:t xml:space="preserve"> (-8.6, 86.8)</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6DCEEEE5" w14:textId="76BC328A" w:rsidR="00B62715" w:rsidRPr="00731632" w:rsidRDefault="000E0293" w:rsidP="003E5B27">
            <w:pPr>
              <w:pStyle w:val="TableText0"/>
              <w:keepLines/>
              <w:jc w:val="center"/>
            </w:pPr>
            <w:r w:rsidRPr="00731632">
              <w:t>0.6</w:t>
            </w:r>
          </w:p>
        </w:tc>
        <w:tc>
          <w:tcPr>
            <w:tcW w:w="637" w:type="pct"/>
            <w:tcBorders>
              <w:top w:val="single" w:sz="4" w:space="0" w:color="auto"/>
              <w:left w:val="single" w:sz="4" w:space="0" w:color="auto"/>
              <w:bottom w:val="single" w:sz="4" w:space="0" w:color="auto"/>
              <w:right w:val="single" w:sz="4" w:space="0" w:color="auto"/>
            </w:tcBorders>
            <w:vAlign w:val="center"/>
          </w:tcPr>
          <w:p w14:paraId="36AFAAC6" w14:textId="40AEA5C2" w:rsidR="00B62715" w:rsidRPr="00731632" w:rsidRDefault="000E0293" w:rsidP="003E5B27">
            <w:pPr>
              <w:pStyle w:val="TableText0"/>
              <w:keepLines/>
              <w:jc w:val="center"/>
            </w:pPr>
            <w:r w:rsidRPr="00731632">
              <w:t>1.6</w:t>
            </w:r>
          </w:p>
        </w:tc>
        <w:tc>
          <w:tcPr>
            <w:tcW w:w="837" w:type="pct"/>
            <w:tcBorders>
              <w:top w:val="single" w:sz="4" w:space="0" w:color="auto"/>
              <w:left w:val="single" w:sz="4" w:space="0" w:color="auto"/>
              <w:bottom w:val="single" w:sz="4" w:space="0" w:color="auto"/>
              <w:right w:val="single" w:sz="4" w:space="0" w:color="auto"/>
            </w:tcBorders>
            <w:vAlign w:val="center"/>
          </w:tcPr>
          <w:p w14:paraId="3C5989D0" w14:textId="68F07A38" w:rsidR="00B62715" w:rsidRPr="00731632" w:rsidRDefault="00CD504D" w:rsidP="003E5B27">
            <w:pPr>
              <w:pStyle w:val="TableText0"/>
              <w:keepLines/>
              <w:jc w:val="center"/>
              <w:rPr>
                <w:iCs/>
              </w:rPr>
            </w:pPr>
            <w:r w:rsidRPr="00731632">
              <w:rPr>
                <w:iCs/>
              </w:rPr>
              <w:t>-0.01 (-0.02, 0.00)</w:t>
            </w:r>
          </w:p>
        </w:tc>
      </w:tr>
      <w:tr w:rsidR="0099451E" w:rsidRPr="00731632" w14:paraId="066F814F" w14:textId="77777777" w:rsidTr="00556444">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CFE96" w14:textId="2ED0FAA5" w:rsidR="0099451E" w:rsidRPr="00731632" w:rsidRDefault="0099451E" w:rsidP="003E5B27">
            <w:pPr>
              <w:pStyle w:val="In-tableHeading"/>
              <w:keepLines/>
              <w:rPr>
                <w:lang w:val="en-AU"/>
              </w:rPr>
            </w:pPr>
            <w:r w:rsidRPr="00731632">
              <w:rPr>
                <w:lang w:val="en-AU"/>
              </w:rPr>
              <w:t xml:space="preserve">Harms </w:t>
            </w:r>
            <w:r w:rsidR="00C160DB" w:rsidRPr="00731632">
              <w:rPr>
                <w:lang w:val="en-AU"/>
              </w:rPr>
              <w:t>(through 360 days)</w:t>
            </w:r>
          </w:p>
        </w:tc>
      </w:tr>
      <w:tr w:rsidR="00250F2F" w:rsidRPr="00731632" w14:paraId="71078159" w14:textId="77777777" w:rsidTr="00556444">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8C8BEA5" w14:textId="5646EFAD" w:rsidR="00250F2F" w:rsidRPr="00731632" w:rsidRDefault="00250F2F" w:rsidP="003E5B27">
            <w:pPr>
              <w:pStyle w:val="TableText0"/>
              <w:keepLines/>
            </w:pPr>
            <w:r w:rsidRPr="00731632">
              <w:t>URTI</w:t>
            </w:r>
          </w:p>
        </w:tc>
        <w:tc>
          <w:tcPr>
            <w:tcW w:w="569" w:type="pct"/>
            <w:tcBorders>
              <w:top w:val="single" w:sz="4" w:space="0" w:color="auto"/>
              <w:left w:val="single" w:sz="4" w:space="0" w:color="auto"/>
              <w:bottom w:val="single" w:sz="4" w:space="0" w:color="auto"/>
              <w:right w:val="single" w:sz="4" w:space="0" w:color="auto"/>
            </w:tcBorders>
            <w:vAlign w:val="center"/>
          </w:tcPr>
          <w:p w14:paraId="38468DDE" w14:textId="4322DCBD" w:rsidR="00250F2F" w:rsidRPr="00731632" w:rsidRDefault="00250F2F" w:rsidP="003E5B27">
            <w:pPr>
              <w:pStyle w:val="TableText0"/>
              <w:keepLines/>
              <w:jc w:val="center"/>
            </w:pPr>
            <w:r w:rsidRPr="00731632">
              <w:t>421/981</w:t>
            </w:r>
          </w:p>
        </w:tc>
        <w:tc>
          <w:tcPr>
            <w:tcW w:w="712" w:type="pct"/>
            <w:tcBorders>
              <w:top w:val="single" w:sz="4" w:space="0" w:color="auto"/>
              <w:left w:val="single" w:sz="4" w:space="0" w:color="auto"/>
              <w:bottom w:val="single" w:sz="4" w:space="0" w:color="auto"/>
              <w:right w:val="single" w:sz="4" w:space="0" w:color="auto"/>
            </w:tcBorders>
            <w:vAlign w:val="center"/>
          </w:tcPr>
          <w:p w14:paraId="05BD53E5" w14:textId="48B2B856" w:rsidR="00250F2F" w:rsidRPr="00731632" w:rsidRDefault="00250F2F" w:rsidP="003E5B27">
            <w:pPr>
              <w:pStyle w:val="TableText0"/>
              <w:keepLines/>
              <w:jc w:val="center"/>
            </w:pPr>
            <w:r w:rsidRPr="00731632">
              <w:t>215/491</w:t>
            </w:r>
          </w:p>
        </w:tc>
        <w:tc>
          <w:tcPr>
            <w:tcW w:w="862" w:type="pct"/>
            <w:tcBorders>
              <w:top w:val="single" w:sz="4" w:space="0" w:color="auto"/>
              <w:left w:val="single" w:sz="4" w:space="0" w:color="auto"/>
              <w:bottom w:val="single" w:sz="4" w:space="0" w:color="auto"/>
              <w:right w:val="single" w:sz="4" w:space="0" w:color="auto"/>
            </w:tcBorders>
            <w:vAlign w:val="center"/>
          </w:tcPr>
          <w:p w14:paraId="2B24AC45" w14:textId="024EFC68" w:rsidR="00250F2F" w:rsidRPr="00731632" w:rsidRDefault="00CD504D" w:rsidP="003E5B27">
            <w:pPr>
              <w:pStyle w:val="TableText0"/>
              <w:keepLines/>
              <w:jc w:val="center"/>
              <w:rPr>
                <w:iCs/>
              </w:rPr>
            </w:pPr>
            <w:r w:rsidRPr="00731632">
              <w:rPr>
                <w:iCs/>
              </w:rPr>
              <w:t>0.98 (0.87, 1.11)</w:t>
            </w:r>
          </w:p>
        </w:tc>
        <w:tc>
          <w:tcPr>
            <w:tcW w:w="628" w:type="pct"/>
            <w:tcBorders>
              <w:top w:val="single" w:sz="4" w:space="0" w:color="auto"/>
              <w:left w:val="single" w:sz="4" w:space="0" w:color="auto"/>
              <w:bottom w:val="single" w:sz="4" w:space="0" w:color="auto"/>
              <w:right w:val="single" w:sz="4" w:space="0" w:color="auto"/>
            </w:tcBorders>
            <w:vAlign w:val="center"/>
          </w:tcPr>
          <w:p w14:paraId="38F18F4F" w14:textId="4A50A911" w:rsidR="00250F2F" w:rsidRPr="00731632" w:rsidRDefault="00250F2F" w:rsidP="003E5B27">
            <w:pPr>
              <w:pStyle w:val="TableText0"/>
              <w:keepLines/>
              <w:jc w:val="center"/>
            </w:pPr>
            <w:r w:rsidRPr="00731632">
              <w:t>42.7</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2613A50A" w14:textId="5FBEA9BF" w:rsidR="00250F2F" w:rsidRPr="00731632" w:rsidRDefault="00250F2F" w:rsidP="003E5B27">
            <w:pPr>
              <w:pStyle w:val="TableText0"/>
              <w:keepLines/>
              <w:jc w:val="center"/>
            </w:pPr>
            <w:r w:rsidRPr="00731632">
              <w:t>43.8</w:t>
            </w:r>
          </w:p>
        </w:tc>
        <w:tc>
          <w:tcPr>
            <w:tcW w:w="837" w:type="pct"/>
            <w:tcBorders>
              <w:top w:val="single" w:sz="4" w:space="0" w:color="auto"/>
              <w:left w:val="single" w:sz="4" w:space="0" w:color="auto"/>
              <w:bottom w:val="single" w:sz="4" w:space="0" w:color="auto"/>
              <w:right w:val="single" w:sz="4" w:space="0" w:color="auto"/>
            </w:tcBorders>
            <w:vAlign w:val="center"/>
          </w:tcPr>
          <w:p w14:paraId="0E731C0B" w14:textId="64EAEA9E" w:rsidR="00250F2F" w:rsidRPr="00731632" w:rsidRDefault="00CD504D" w:rsidP="003E5B27">
            <w:pPr>
              <w:pStyle w:val="TableText0"/>
              <w:keepLines/>
              <w:jc w:val="center"/>
              <w:rPr>
                <w:iCs/>
              </w:rPr>
            </w:pPr>
            <w:r w:rsidRPr="00731632">
              <w:rPr>
                <w:iCs/>
              </w:rPr>
              <w:t>-0.01 (-0.06. 0.05)</w:t>
            </w:r>
          </w:p>
        </w:tc>
      </w:tr>
      <w:tr w:rsidR="00250F2F" w:rsidRPr="00731632" w14:paraId="76177411" w14:textId="77777777" w:rsidTr="00556444">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4F203AE" w14:textId="15D4F6AC" w:rsidR="00250F2F" w:rsidRPr="00731632" w:rsidRDefault="00250F2F" w:rsidP="003E5B27">
            <w:pPr>
              <w:pStyle w:val="TableText0"/>
              <w:keepLines/>
              <w:rPr>
                <w:vertAlign w:val="superscript"/>
              </w:rPr>
            </w:pPr>
            <w:r w:rsidRPr="00731632">
              <w:t>Pyrexia</w:t>
            </w:r>
            <w:r w:rsidR="00482AA9" w:rsidRPr="00731632">
              <w:rPr>
                <w:vertAlign w:val="superscript"/>
              </w:rPr>
              <w:t>a</w:t>
            </w:r>
          </w:p>
        </w:tc>
        <w:tc>
          <w:tcPr>
            <w:tcW w:w="569" w:type="pct"/>
            <w:tcBorders>
              <w:top w:val="single" w:sz="4" w:space="0" w:color="auto"/>
              <w:left w:val="single" w:sz="4" w:space="0" w:color="auto"/>
              <w:bottom w:val="single" w:sz="4" w:space="0" w:color="auto"/>
              <w:right w:val="single" w:sz="4" w:space="0" w:color="auto"/>
            </w:tcBorders>
            <w:vAlign w:val="center"/>
          </w:tcPr>
          <w:p w14:paraId="33841A14" w14:textId="77D8FD42" w:rsidR="00250F2F" w:rsidRPr="00731632" w:rsidRDefault="00250F2F" w:rsidP="003E5B27">
            <w:pPr>
              <w:pStyle w:val="TableText0"/>
              <w:keepLines/>
              <w:jc w:val="center"/>
            </w:pPr>
            <w:r w:rsidRPr="00731632">
              <w:t>141/981</w:t>
            </w:r>
          </w:p>
        </w:tc>
        <w:tc>
          <w:tcPr>
            <w:tcW w:w="712" w:type="pct"/>
            <w:tcBorders>
              <w:top w:val="single" w:sz="4" w:space="0" w:color="auto"/>
              <w:left w:val="single" w:sz="4" w:space="0" w:color="auto"/>
              <w:bottom w:val="single" w:sz="4" w:space="0" w:color="auto"/>
              <w:right w:val="single" w:sz="4" w:space="0" w:color="auto"/>
            </w:tcBorders>
            <w:vAlign w:val="center"/>
          </w:tcPr>
          <w:p w14:paraId="6DE9525F" w14:textId="11495355" w:rsidR="00250F2F" w:rsidRPr="00731632" w:rsidRDefault="00250F2F" w:rsidP="003E5B27">
            <w:pPr>
              <w:pStyle w:val="TableText0"/>
              <w:keepLines/>
              <w:jc w:val="center"/>
            </w:pPr>
            <w:r w:rsidRPr="00731632">
              <w:t>63/491</w:t>
            </w:r>
          </w:p>
        </w:tc>
        <w:tc>
          <w:tcPr>
            <w:tcW w:w="862" w:type="pct"/>
            <w:tcBorders>
              <w:top w:val="single" w:sz="4" w:space="0" w:color="auto"/>
              <w:left w:val="single" w:sz="4" w:space="0" w:color="auto"/>
              <w:bottom w:val="single" w:sz="4" w:space="0" w:color="auto"/>
              <w:right w:val="single" w:sz="4" w:space="0" w:color="auto"/>
            </w:tcBorders>
            <w:vAlign w:val="center"/>
          </w:tcPr>
          <w:p w14:paraId="3746938B" w14:textId="2BE8083F" w:rsidR="00250F2F" w:rsidRPr="00731632" w:rsidRDefault="00CD504D" w:rsidP="003E5B27">
            <w:pPr>
              <w:pStyle w:val="TableText0"/>
              <w:keepLines/>
              <w:jc w:val="center"/>
              <w:rPr>
                <w:iCs/>
              </w:rPr>
            </w:pPr>
            <w:r w:rsidRPr="00731632">
              <w:rPr>
                <w:iCs/>
              </w:rPr>
              <w:t>1.12 (0.85, 1.48)</w:t>
            </w:r>
          </w:p>
        </w:tc>
        <w:tc>
          <w:tcPr>
            <w:tcW w:w="628" w:type="pct"/>
            <w:tcBorders>
              <w:top w:val="single" w:sz="4" w:space="0" w:color="auto"/>
              <w:left w:val="single" w:sz="4" w:space="0" w:color="auto"/>
              <w:bottom w:val="single" w:sz="4" w:space="0" w:color="auto"/>
              <w:right w:val="single" w:sz="4" w:space="0" w:color="auto"/>
            </w:tcBorders>
            <w:vAlign w:val="center"/>
          </w:tcPr>
          <w:p w14:paraId="29970EAB" w14:textId="72019A78" w:rsidR="00250F2F" w:rsidRPr="00731632" w:rsidRDefault="00250F2F" w:rsidP="003E5B27">
            <w:pPr>
              <w:pStyle w:val="TableText0"/>
              <w:keepLines/>
              <w:jc w:val="center"/>
            </w:pPr>
            <w:r w:rsidRPr="00731632">
              <w:t>14.3</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231A816D" w14:textId="776C9FD2" w:rsidR="00250F2F" w:rsidRPr="00731632" w:rsidRDefault="00250F2F" w:rsidP="003E5B27">
            <w:pPr>
              <w:pStyle w:val="TableText0"/>
              <w:keepLines/>
              <w:jc w:val="center"/>
            </w:pPr>
            <w:r w:rsidRPr="00731632">
              <w:t>12.8</w:t>
            </w:r>
          </w:p>
        </w:tc>
        <w:tc>
          <w:tcPr>
            <w:tcW w:w="837" w:type="pct"/>
            <w:tcBorders>
              <w:top w:val="single" w:sz="4" w:space="0" w:color="auto"/>
              <w:left w:val="single" w:sz="4" w:space="0" w:color="auto"/>
              <w:bottom w:val="single" w:sz="4" w:space="0" w:color="auto"/>
              <w:right w:val="single" w:sz="4" w:space="0" w:color="auto"/>
            </w:tcBorders>
            <w:vAlign w:val="center"/>
          </w:tcPr>
          <w:p w14:paraId="2725F43C" w14:textId="470105C1" w:rsidR="00250F2F" w:rsidRPr="00731632" w:rsidRDefault="00CD504D" w:rsidP="003E5B27">
            <w:pPr>
              <w:pStyle w:val="TableText0"/>
              <w:keepLines/>
              <w:jc w:val="center"/>
              <w:rPr>
                <w:iCs/>
              </w:rPr>
            </w:pPr>
            <w:r w:rsidRPr="00731632">
              <w:rPr>
                <w:iCs/>
              </w:rPr>
              <w:t>0.02 (-0.02, 0.05)</w:t>
            </w:r>
          </w:p>
        </w:tc>
      </w:tr>
      <w:tr w:rsidR="00250F2F" w:rsidRPr="00731632" w14:paraId="441A4130" w14:textId="77777777" w:rsidTr="00556444">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B7A3940" w14:textId="326EC2A6" w:rsidR="00250F2F" w:rsidRPr="00731632" w:rsidRDefault="00250F2F" w:rsidP="003E5B27">
            <w:pPr>
              <w:pStyle w:val="TableText0"/>
              <w:keepLines/>
            </w:pPr>
            <w:r w:rsidRPr="00731632">
              <w:t>Nasal congestion</w:t>
            </w:r>
          </w:p>
        </w:tc>
        <w:tc>
          <w:tcPr>
            <w:tcW w:w="569" w:type="pct"/>
            <w:tcBorders>
              <w:top w:val="single" w:sz="4" w:space="0" w:color="auto"/>
              <w:left w:val="single" w:sz="4" w:space="0" w:color="auto"/>
              <w:bottom w:val="single" w:sz="4" w:space="0" w:color="auto"/>
              <w:right w:val="single" w:sz="4" w:space="0" w:color="auto"/>
            </w:tcBorders>
            <w:vAlign w:val="center"/>
          </w:tcPr>
          <w:p w14:paraId="5AF32543" w14:textId="15D996D1" w:rsidR="00250F2F" w:rsidRPr="00731632" w:rsidRDefault="00250F2F" w:rsidP="003E5B27">
            <w:pPr>
              <w:pStyle w:val="TableText0"/>
              <w:keepLines/>
              <w:jc w:val="center"/>
            </w:pPr>
            <w:r w:rsidRPr="00731632">
              <w:t>120/981</w:t>
            </w:r>
          </w:p>
        </w:tc>
        <w:tc>
          <w:tcPr>
            <w:tcW w:w="712" w:type="pct"/>
            <w:tcBorders>
              <w:top w:val="single" w:sz="4" w:space="0" w:color="auto"/>
              <w:left w:val="single" w:sz="4" w:space="0" w:color="auto"/>
              <w:bottom w:val="single" w:sz="4" w:space="0" w:color="auto"/>
              <w:right w:val="single" w:sz="4" w:space="0" w:color="auto"/>
            </w:tcBorders>
            <w:vAlign w:val="center"/>
          </w:tcPr>
          <w:p w14:paraId="3CE97373" w14:textId="5E5812A1" w:rsidR="00250F2F" w:rsidRPr="00731632" w:rsidRDefault="00250F2F" w:rsidP="003E5B27">
            <w:pPr>
              <w:pStyle w:val="TableText0"/>
              <w:keepLines/>
              <w:jc w:val="center"/>
            </w:pPr>
            <w:r w:rsidRPr="00731632">
              <w:t>68/491</w:t>
            </w:r>
          </w:p>
        </w:tc>
        <w:tc>
          <w:tcPr>
            <w:tcW w:w="862" w:type="pct"/>
            <w:tcBorders>
              <w:top w:val="single" w:sz="4" w:space="0" w:color="auto"/>
              <w:left w:val="single" w:sz="4" w:space="0" w:color="auto"/>
              <w:bottom w:val="single" w:sz="4" w:space="0" w:color="auto"/>
              <w:right w:val="single" w:sz="4" w:space="0" w:color="auto"/>
            </w:tcBorders>
            <w:vAlign w:val="center"/>
          </w:tcPr>
          <w:p w14:paraId="675C7FD1" w14:textId="05C5E62E" w:rsidR="00250F2F" w:rsidRPr="00731632" w:rsidRDefault="00CD504D" w:rsidP="003E5B27">
            <w:pPr>
              <w:pStyle w:val="TableText0"/>
              <w:keepLines/>
              <w:jc w:val="center"/>
              <w:rPr>
                <w:iCs/>
              </w:rPr>
            </w:pPr>
            <w:r w:rsidRPr="00731632">
              <w:rPr>
                <w:iCs/>
              </w:rPr>
              <w:t>0.88 (0.67, 1.17)</w:t>
            </w:r>
          </w:p>
        </w:tc>
        <w:tc>
          <w:tcPr>
            <w:tcW w:w="628" w:type="pct"/>
            <w:tcBorders>
              <w:top w:val="single" w:sz="4" w:space="0" w:color="auto"/>
              <w:left w:val="single" w:sz="4" w:space="0" w:color="auto"/>
              <w:bottom w:val="single" w:sz="4" w:space="0" w:color="auto"/>
              <w:right w:val="single" w:sz="4" w:space="0" w:color="auto"/>
            </w:tcBorders>
            <w:vAlign w:val="center"/>
          </w:tcPr>
          <w:p w14:paraId="62A0676A" w14:textId="6C20058D" w:rsidR="00250F2F" w:rsidRPr="00731632" w:rsidRDefault="00250F2F" w:rsidP="003E5B27">
            <w:pPr>
              <w:pStyle w:val="TableText0"/>
              <w:keepLines/>
              <w:jc w:val="center"/>
            </w:pPr>
            <w:r w:rsidRPr="00731632">
              <w:t>12.2</w:t>
            </w:r>
          </w:p>
        </w:tc>
        <w:tc>
          <w:tcPr>
            <w:tcW w:w="687" w:type="pct"/>
            <w:gridSpan w:val="2"/>
            <w:tcBorders>
              <w:top w:val="single" w:sz="4" w:space="0" w:color="auto"/>
              <w:left w:val="single" w:sz="4" w:space="0" w:color="auto"/>
              <w:bottom w:val="single" w:sz="4" w:space="0" w:color="auto"/>
              <w:right w:val="single" w:sz="4" w:space="0" w:color="auto"/>
            </w:tcBorders>
            <w:vAlign w:val="center"/>
          </w:tcPr>
          <w:p w14:paraId="3EAC3C54" w14:textId="37F8A821" w:rsidR="00250F2F" w:rsidRPr="00731632" w:rsidRDefault="00250F2F" w:rsidP="003E5B27">
            <w:pPr>
              <w:pStyle w:val="TableText0"/>
              <w:keepLines/>
              <w:jc w:val="center"/>
            </w:pPr>
            <w:r w:rsidRPr="00731632">
              <w:t>13.8</w:t>
            </w:r>
          </w:p>
        </w:tc>
        <w:tc>
          <w:tcPr>
            <w:tcW w:w="837" w:type="pct"/>
            <w:tcBorders>
              <w:top w:val="single" w:sz="4" w:space="0" w:color="auto"/>
              <w:left w:val="single" w:sz="4" w:space="0" w:color="auto"/>
              <w:bottom w:val="single" w:sz="4" w:space="0" w:color="auto"/>
              <w:right w:val="single" w:sz="4" w:space="0" w:color="auto"/>
            </w:tcBorders>
            <w:vAlign w:val="center"/>
          </w:tcPr>
          <w:p w14:paraId="5976F823" w14:textId="733DA2CC" w:rsidR="00250F2F" w:rsidRPr="00731632" w:rsidRDefault="00CD504D" w:rsidP="003E5B27">
            <w:pPr>
              <w:pStyle w:val="TableText0"/>
              <w:keepLines/>
              <w:jc w:val="center"/>
              <w:rPr>
                <w:iCs/>
              </w:rPr>
            </w:pPr>
            <w:r w:rsidRPr="00731632">
              <w:rPr>
                <w:iCs/>
              </w:rPr>
              <w:t>-0.02 (-0.05, 0.02)</w:t>
            </w:r>
          </w:p>
        </w:tc>
      </w:tr>
    </w:tbl>
    <w:p w14:paraId="09FDDB17" w14:textId="659F4A5A" w:rsidR="000E302B" w:rsidRPr="00731632" w:rsidRDefault="00620C25" w:rsidP="003E5B27">
      <w:pPr>
        <w:pStyle w:val="FooterTableFigure"/>
        <w:keepNext/>
        <w:keepLines/>
      </w:pPr>
      <w:r w:rsidRPr="00731632">
        <w:t xml:space="preserve">Source: </w:t>
      </w:r>
      <w:r w:rsidR="000E302B" w:rsidRPr="00731632">
        <w:t>Table 2.5.1of the submission and Table 46, pp135-137</w:t>
      </w:r>
    </w:p>
    <w:p w14:paraId="453F5618" w14:textId="18C1FC94" w:rsidR="00620C25" w:rsidRPr="00731632" w:rsidRDefault="00C160DB" w:rsidP="003E5B27">
      <w:pPr>
        <w:pStyle w:val="FooterTableFigure"/>
        <w:keepNext/>
        <w:keepLines/>
      </w:pPr>
      <w:r w:rsidRPr="00731632">
        <w:t xml:space="preserve">CI = confidence interval; MA RSV LRTI = </w:t>
      </w:r>
      <w:r w:rsidRPr="00731632">
        <w:rPr>
          <w:szCs w:val="18"/>
        </w:rPr>
        <w:t xml:space="preserve">medically attended respiratory syncytial virus-associated lower respiratory tract infection; n = number of </w:t>
      </w:r>
      <w:r w:rsidR="00B63F4A" w:rsidRPr="00731632">
        <w:rPr>
          <w:szCs w:val="18"/>
        </w:rPr>
        <w:t>participants</w:t>
      </w:r>
      <w:r w:rsidRPr="00731632">
        <w:rPr>
          <w:szCs w:val="18"/>
        </w:rPr>
        <w:t xml:space="preserve"> affected; N = number of </w:t>
      </w:r>
      <w:r w:rsidR="00B63F4A" w:rsidRPr="00731632">
        <w:rPr>
          <w:szCs w:val="18"/>
        </w:rPr>
        <w:t>participants</w:t>
      </w:r>
      <w:r w:rsidRPr="00731632">
        <w:rPr>
          <w:szCs w:val="18"/>
        </w:rPr>
        <w:t xml:space="preserve"> in group; PBO = placebo;</w:t>
      </w:r>
      <w:r w:rsidRPr="00731632">
        <w:t xml:space="preserve"> </w:t>
      </w:r>
      <w:r w:rsidR="00620C25" w:rsidRPr="00731632">
        <w:t>RD = risk difference; RR = risk ratio</w:t>
      </w:r>
      <w:r w:rsidRPr="00731632">
        <w:t>; URTI = upper respiratory tract infection.</w:t>
      </w:r>
    </w:p>
    <w:p w14:paraId="458D89DE" w14:textId="72351832" w:rsidR="00015810" w:rsidRPr="00731632" w:rsidRDefault="00015810" w:rsidP="003E5B27">
      <w:pPr>
        <w:pStyle w:val="FooterTableFigure"/>
        <w:keepNext/>
        <w:keepLines/>
      </w:pPr>
      <w:r w:rsidRPr="00731632">
        <w:t>* Median duration of follow-up for the MELODY trial was 472 days, although efficacy was only reported through to 150 days and safety through to 360 days.</w:t>
      </w:r>
    </w:p>
    <w:p w14:paraId="6EA43114" w14:textId="09F5E8E0" w:rsidR="00482AA9" w:rsidRPr="00731632" w:rsidRDefault="00482AA9" w:rsidP="00DF53E4">
      <w:pPr>
        <w:pStyle w:val="FooterTableFigure"/>
        <w:keepLines/>
      </w:pPr>
      <w:r w:rsidRPr="00731632">
        <w:rPr>
          <w:vertAlign w:val="superscript"/>
        </w:rPr>
        <w:t>a</w:t>
      </w:r>
      <w:r w:rsidRPr="00731632">
        <w:t xml:space="preserve"> pyrexia occurring within 7 days post dose.</w:t>
      </w:r>
    </w:p>
    <w:p w14:paraId="5E01746B" w14:textId="5450A89D" w:rsidR="00FC1884" w:rsidRPr="00731632" w:rsidRDefault="00EC00C9" w:rsidP="00E9094A">
      <w:pPr>
        <w:pStyle w:val="3-BodyText"/>
      </w:pPr>
      <w:r w:rsidRPr="00731632">
        <w:t xml:space="preserve">On the basis of direct evidence presented </w:t>
      </w:r>
      <w:r w:rsidR="00557B2B" w:rsidRPr="00731632">
        <w:t xml:space="preserve">in </w:t>
      </w:r>
      <w:r w:rsidRPr="00731632">
        <w:t xml:space="preserve">the submission, for every 100 </w:t>
      </w:r>
      <w:r w:rsidR="00944128" w:rsidRPr="00731632">
        <w:t>infants</w:t>
      </w:r>
      <w:r w:rsidRPr="00731632">
        <w:t xml:space="preserve"> treated with </w:t>
      </w:r>
      <w:r w:rsidR="004D1657" w:rsidRPr="00731632">
        <w:t>nirsevimab</w:t>
      </w:r>
      <w:r w:rsidRPr="00731632">
        <w:t xml:space="preserve"> in comparison </w:t>
      </w:r>
      <w:r w:rsidR="006D68FB" w:rsidRPr="00731632">
        <w:t xml:space="preserve">with </w:t>
      </w:r>
      <w:r w:rsidR="004D1657" w:rsidRPr="00731632">
        <w:t>placebo</w:t>
      </w:r>
      <w:r w:rsidR="00422260" w:rsidRPr="00731632">
        <w:t xml:space="preserve"> over a median duration of </w:t>
      </w:r>
      <w:r w:rsidR="001C2A9B" w:rsidRPr="00731632">
        <w:t xml:space="preserve">follow-up </w:t>
      </w:r>
      <w:r w:rsidR="004D1657" w:rsidRPr="00731632">
        <w:t>of 472 days</w:t>
      </w:r>
      <w:r w:rsidR="001C2A9B" w:rsidRPr="00731632">
        <w:t>:</w:t>
      </w:r>
    </w:p>
    <w:p w14:paraId="78DC1ACA" w14:textId="5BCCA030" w:rsidR="00FC1884" w:rsidRPr="00731632" w:rsidRDefault="00FC1884" w:rsidP="00266A98">
      <w:pPr>
        <w:pStyle w:val="3-BodyText"/>
        <w:numPr>
          <w:ilvl w:val="0"/>
          <w:numId w:val="11"/>
        </w:numPr>
        <w:ind w:left="1134" w:hanging="283"/>
      </w:pPr>
      <w:r w:rsidRPr="00731632">
        <w:t xml:space="preserve">Approximately </w:t>
      </w:r>
      <w:r w:rsidR="004D1657" w:rsidRPr="00731632">
        <w:t>4</w:t>
      </w:r>
      <w:r w:rsidRPr="00731632">
        <w:t xml:space="preserve"> </w:t>
      </w:r>
      <w:r w:rsidR="004D1657" w:rsidRPr="00731632">
        <w:t>fewer</w:t>
      </w:r>
      <w:r w:rsidRPr="00731632">
        <w:t xml:space="preserve"> </w:t>
      </w:r>
      <w:r w:rsidR="00B63F4A" w:rsidRPr="00731632">
        <w:t>infants</w:t>
      </w:r>
      <w:r w:rsidRPr="00731632">
        <w:t xml:space="preserve"> would have </w:t>
      </w:r>
      <w:r w:rsidR="004D1657" w:rsidRPr="00731632">
        <w:t xml:space="preserve">MA </w:t>
      </w:r>
      <w:r w:rsidR="00557B2B" w:rsidRPr="00731632">
        <w:t xml:space="preserve">RSV </w:t>
      </w:r>
      <w:r w:rsidR="004D1657" w:rsidRPr="00731632">
        <w:t>LRTI</w:t>
      </w:r>
      <w:r w:rsidR="001C2A9B" w:rsidRPr="00731632">
        <w:t>.</w:t>
      </w:r>
    </w:p>
    <w:p w14:paraId="2EFCA322" w14:textId="5BECA711" w:rsidR="00FC1884" w:rsidRPr="00731632" w:rsidRDefault="00FC1884" w:rsidP="00266A98">
      <w:pPr>
        <w:pStyle w:val="3-BodyText"/>
        <w:numPr>
          <w:ilvl w:val="0"/>
          <w:numId w:val="11"/>
        </w:numPr>
        <w:ind w:left="1134" w:hanging="283"/>
      </w:pPr>
      <w:r w:rsidRPr="00731632">
        <w:t xml:space="preserve">Approximately </w:t>
      </w:r>
      <w:r w:rsidR="004D1657" w:rsidRPr="00731632">
        <w:t>1</w:t>
      </w:r>
      <w:r w:rsidRPr="00731632">
        <w:t xml:space="preserve"> </w:t>
      </w:r>
      <w:r w:rsidR="00A01E54" w:rsidRPr="00731632">
        <w:t xml:space="preserve">less </w:t>
      </w:r>
      <w:r w:rsidR="00B63F4A" w:rsidRPr="00731632">
        <w:t xml:space="preserve">infant </w:t>
      </w:r>
      <w:r w:rsidRPr="00731632">
        <w:t>woul</w:t>
      </w:r>
      <w:r w:rsidR="001C2A9B" w:rsidRPr="00731632">
        <w:t xml:space="preserve">d have </w:t>
      </w:r>
      <w:r w:rsidR="004D1657" w:rsidRPr="00731632">
        <w:t xml:space="preserve">MA </w:t>
      </w:r>
      <w:r w:rsidR="00557B2B" w:rsidRPr="00731632">
        <w:t xml:space="preserve">RSV </w:t>
      </w:r>
      <w:r w:rsidR="004D1657" w:rsidRPr="00731632">
        <w:t>LRTI associated hospitalisation</w:t>
      </w:r>
      <w:r w:rsidR="001C2A9B" w:rsidRPr="00731632">
        <w:t>.</w:t>
      </w:r>
    </w:p>
    <w:p w14:paraId="2D0B0A9F" w14:textId="7EE91CE2" w:rsidR="00FC1884" w:rsidRPr="00731632" w:rsidRDefault="00FC1884" w:rsidP="00266A98">
      <w:pPr>
        <w:pStyle w:val="3-BodyText"/>
        <w:numPr>
          <w:ilvl w:val="0"/>
          <w:numId w:val="11"/>
        </w:numPr>
        <w:ind w:left="1134" w:hanging="283"/>
      </w:pPr>
      <w:r w:rsidRPr="00731632">
        <w:t xml:space="preserve">Approximately </w:t>
      </w:r>
      <w:r w:rsidR="004D1657" w:rsidRPr="00731632">
        <w:t>1</w:t>
      </w:r>
      <w:r w:rsidRPr="00731632">
        <w:t xml:space="preserve"> </w:t>
      </w:r>
      <w:r w:rsidR="00A01E54" w:rsidRPr="00731632">
        <w:t xml:space="preserve">less </w:t>
      </w:r>
      <w:r w:rsidR="00B63F4A" w:rsidRPr="00731632">
        <w:t xml:space="preserve">infant </w:t>
      </w:r>
      <w:r w:rsidR="00C41768" w:rsidRPr="00731632">
        <w:t xml:space="preserve">would </w:t>
      </w:r>
      <w:r w:rsidR="004D1657" w:rsidRPr="00731632">
        <w:t>experience an upper respiratory tract infect</w:t>
      </w:r>
      <w:r w:rsidR="00557B2B" w:rsidRPr="00731632">
        <w:t>ion</w:t>
      </w:r>
      <w:r w:rsidR="001C2A9B" w:rsidRPr="00731632">
        <w:t>.</w:t>
      </w:r>
    </w:p>
    <w:p w14:paraId="1BA3433D" w14:textId="4407C43F" w:rsidR="00B60939" w:rsidRPr="00731632" w:rsidRDefault="00FC1884" w:rsidP="00266A98">
      <w:pPr>
        <w:pStyle w:val="3-BodyText"/>
        <w:numPr>
          <w:ilvl w:val="0"/>
          <w:numId w:val="11"/>
        </w:numPr>
        <w:ind w:left="1134" w:hanging="283"/>
      </w:pPr>
      <w:r w:rsidRPr="00731632">
        <w:t>Approximately</w:t>
      </w:r>
      <w:r w:rsidR="001C2A9B" w:rsidRPr="00731632">
        <w:t xml:space="preserve"> 2 additional </w:t>
      </w:r>
      <w:r w:rsidR="00B63F4A" w:rsidRPr="00731632">
        <w:t>infants</w:t>
      </w:r>
      <w:r w:rsidR="00C41768" w:rsidRPr="00731632">
        <w:t xml:space="preserve"> would experience </w:t>
      </w:r>
      <w:r w:rsidR="004D1657" w:rsidRPr="00731632">
        <w:t>pyrexia</w:t>
      </w:r>
      <w:r w:rsidR="00E11340" w:rsidRPr="00731632">
        <w:t xml:space="preserve"> (</w:t>
      </w:r>
      <w:r w:rsidR="004D1657" w:rsidRPr="00731632">
        <w:t>fever</w:t>
      </w:r>
      <w:r w:rsidR="00E11340" w:rsidRPr="00731632">
        <w:t>)</w:t>
      </w:r>
      <w:r w:rsidR="00482AA9" w:rsidRPr="00731632">
        <w:t xml:space="preserve"> within 7 days of administration</w:t>
      </w:r>
      <w:r w:rsidR="001C2A9B" w:rsidRPr="00731632">
        <w:t>.</w:t>
      </w:r>
    </w:p>
    <w:p w14:paraId="676DD038" w14:textId="72EC36DD" w:rsidR="002B2210" w:rsidRPr="00731632" w:rsidRDefault="002B2210" w:rsidP="00DF53E4">
      <w:pPr>
        <w:pStyle w:val="5-SubsectionSubheading"/>
        <w:spacing w:before="120"/>
        <w:rPr>
          <w:rFonts w:ascii="Arial Narrow" w:hAnsi="Arial Narrow"/>
          <w:snapToGrid w:val="0"/>
          <w:color w:val="0066FF"/>
          <w:sz w:val="20"/>
          <w:szCs w:val="16"/>
        </w:rPr>
      </w:pPr>
      <w:r w:rsidRPr="00731632">
        <w:t>Supplementary (nirsevimab versus palivizumab) and near market (nirsevimab versus RSVpreF maternal immunisation) comparisons</w:t>
      </w:r>
    </w:p>
    <w:p w14:paraId="2A335F0F" w14:textId="162CD916" w:rsidR="00D136B5" w:rsidRPr="00731632" w:rsidRDefault="00D136B5" w:rsidP="00D136B5">
      <w:pPr>
        <w:pStyle w:val="3-BodyText"/>
        <w:rPr>
          <w:rFonts w:ascii="Arial Narrow" w:hAnsi="Arial Narrow"/>
          <w:b/>
          <w:color w:val="0066FF"/>
          <w:sz w:val="20"/>
          <w:szCs w:val="16"/>
        </w:rPr>
      </w:pPr>
      <w:r w:rsidRPr="00731632">
        <w:rPr>
          <w:snapToGrid/>
        </w:rPr>
        <w:t>A benefits and harms table</w:t>
      </w:r>
      <w:r w:rsidR="00F677B5" w:rsidRPr="00731632">
        <w:rPr>
          <w:snapToGrid/>
        </w:rPr>
        <w:t xml:space="preserve"> was </w:t>
      </w:r>
      <w:r w:rsidRPr="00731632">
        <w:rPr>
          <w:snapToGrid/>
        </w:rPr>
        <w:t>not presented for nirsevimab versus palivizumab as the submission made a claim of non-inferiority. Additionally, the ITC versus RSVpreF was not informative, and a comparison of safety was not performed, so a benefits and harms table</w:t>
      </w:r>
      <w:r w:rsidR="00F677B5" w:rsidRPr="00731632">
        <w:rPr>
          <w:snapToGrid/>
        </w:rPr>
        <w:t xml:space="preserve"> was </w:t>
      </w:r>
      <w:r w:rsidRPr="00731632">
        <w:rPr>
          <w:snapToGrid/>
        </w:rPr>
        <w:t>not presented.</w:t>
      </w:r>
    </w:p>
    <w:p w14:paraId="5044719D" w14:textId="77777777" w:rsidR="00B60939" w:rsidRPr="00731632" w:rsidRDefault="00B60939" w:rsidP="00E9094A">
      <w:pPr>
        <w:pStyle w:val="4-SubsectionHeading"/>
      </w:pPr>
      <w:bookmarkStart w:id="60" w:name="_Toc22897644"/>
      <w:bookmarkStart w:id="61" w:name="_Toc167276238"/>
      <w:r w:rsidRPr="00731632">
        <w:t>Clinical claim</w:t>
      </w:r>
      <w:bookmarkEnd w:id="60"/>
      <w:bookmarkEnd w:id="61"/>
    </w:p>
    <w:p w14:paraId="6CC77EE1" w14:textId="2C6CFEF9" w:rsidR="007C70FF" w:rsidRPr="00731632" w:rsidRDefault="00006500" w:rsidP="00E9094A">
      <w:pPr>
        <w:pStyle w:val="3-BodyText"/>
        <w:rPr>
          <w:color w:val="0066FF"/>
        </w:rPr>
      </w:pPr>
      <w:r w:rsidRPr="00731632">
        <w:t>With respect to the main compar</w:t>
      </w:r>
      <w:r w:rsidR="00823444" w:rsidRPr="00731632">
        <w:t>ison</w:t>
      </w:r>
      <w:r w:rsidRPr="00731632">
        <w:t>, t</w:t>
      </w:r>
      <w:r w:rsidR="00647D9B" w:rsidRPr="00731632">
        <w:t xml:space="preserve">he submission described nirsevimab as superior in terms of effectiveness compared to placebo. </w:t>
      </w:r>
      <w:r w:rsidR="00D2662A" w:rsidRPr="00731632">
        <w:t xml:space="preserve">The evaluation considered that </w:t>
      </w:r>
      <w:r w:rsidR="00D2662A" w:rsidRPr="00731632">
        <w:rPr>
          <w:iCs/>
        </w:rPr>
        <w:t>t</w:t>
      </w:r>
      <w:r w:rsidR="00647D9B" w:rsidRPr="00731632">
        <w:rPr>
          <w:iCs/>
        </w:rPr>
        <w:t>his claim was adequately supported</w:t>
      </w:r>
      <w:r w:rsidR="00647D9B" w:rsidRPr="00731632">
        <w:t>. In the key MELODY trial, administration of nirsevimab resulted in a reduction in MA RSV LRTI through 150 days post administration</w:t>
      </w:r>
      <w:r w:rsidR="00907747" w:rsidRPr="00731632">
        <w:t xml:space="preserve"> in infants born at &gt;35 weeks GA</w:t>
      </w:r>
      <w:r w:rsidR="00647D9B" w:rsidRPr="00731632">
        <w:t>, corresponding to a</w:t>
      </w:r>
      <w:r w:rsidR="00A93A85" w:rsidRPr="00731632">
        <w:t xml:space="preserve"> </w:t>
      </w:r>
      <w:r w:rsidR="005D3D98" w:rsidRPr="00731632">
        <w:t>RRR</w:t>
      </w:r>
      <w:r w:rsidR="00647D9B" w:rsidRPr="00731632">
        <w:t xml:space="preserve"> of 74.5% (95% CI: 49.6</w:t>
      </w:r>
      <w:r w:rsidR="008134F5" w:rsidRPr="00731632">
        <w:t>,</w:t>
      </w:r>
      <w:r w:rsidR="00647D9B" w:rsidRPr="00731632">
        <w:t xml:space="preserve"> 87.1). Additionally, nirsevimab resulted in a reduction in </w:t>
      </w:r>
      <w:r w:rsidR="00022CEE" w:rsidRPr="00731632">
        <w:t>hospitalisation</w:t>
      </w:r>
      <w:r w:rsidR="00647D9B" w:rsidRPr="00731632">
        <w:t xml:space="preserve"> for RSV-associated LRTI, with a</w:t>
      </w:r>
      <w:r w:rsidR="00DE3E63" w:rsidRPr="00731632">
        <w:t xml:space="preserve"> RRR</w:t>
      </w:r>
      <w:r w:rsidR="00647D9B" w:rsidRPr="00731632">
        <w:t xml:space="preserve"> of 62.1 (95% CI: -8.6</w:t>
      </w:r>
      <w:r w:rsidR="008134F5" w:rsidRPr="00731632">
        <w:t>,</w:t>
      </w:r>
      <w:r w:rsidR="00647D9B" w:rsidRPr="00731632">
        <w:t xml:space="preserve"> 86.6), however this</w:t>
      </w:r>
      <w:r w:rsidR="005D3D98" w:rsidRPr="00731632">
        <w:t xml:space="preserve"> reduction</w:t>
      </w:r>
      <w:r w:rsidR="00647D9B" w:rsidRPr="00731632">
        <w:t xml:space="preserve"> was not statistically significant.</w:t>
      </w:r>
      <w:r w:rsidR="00907747" w:rsidRPr="00731632">
        <w:t xml:space="preserve"> In the Phase II</w:t>
      </w:r>
      <w:r w:rsidR="00CF3110" w:rsidRPr="00731632">
        <w:t>b</w:t>
      </w:r>
      <w:r w:rsidR="00907747" w:rsidRPr="00731632">
        <w:t xml:space="preserve"> </w:t>
      </w:r>
      <w:r w:rsidR="00907747" w:rsidRPr="00731632">
        <w:rPr>
          <w:rFonts w:cstheme="minorHAnsi"/>
        </w:rPr>
        <w:t>study, administration of nirsevimab resulted in a</w:t>
      </w:r>
      <w:r w:rsidR="00DE3E63" w:rsidRPr="00731632">
        <w:rPr>
          <w:rFonts w:cstheme="minorHAnsi"/>
        </w:rPr>
        <w:t xml:space="preserve"> RRR in </w:t>
      </w:r>
      <w:r w:rsidR="00DE3E63" w:rsidRPr="00731632">
        <w:t>MA RSV LRTI</w:t>
      </w:r>
      <w:r w:rsidR="00907747" w:rsidRPr="00731632">
        <w:rPr>
          <w:rFonts w:cstheme="minorHAnsi"/>
        </w:rPr>
        <w:t xml:space="preserve"> of 70.1% (95% CI: 52.3, 81.2) in </w:t>
      </w:r>
      <w:r w:rsidR="0062054C" w:rsidRPr="00731632">
        <w:rPr>
          <w:rFonts w:cstheme="minorHAnsi"/>
        </w:rPr>
        <w:t>health</w:t>
      </w:r>
      <w:r w:rsidR="001D2581" w:rsidRPr="00731632">
        <w:rPr>
          <w:rFonts w:cstheme="minorHAnsi"/>
        </w:rPr>
        <w:t>y</w:t>
      </w:r>
      <w:r w:rsidR="0062054C" w:rsidRPr="00731632">
        <w:rPr>
          <w:rFonts w:cstheme="minorHAnsi"/>
        </w:rPr>
        <w:t xml:space="preserve"> pre-term infants born between </w:t>
      </w:r>
      <w:r w:rsidR="000E0CC5" w:rsidRPr="00731632">
        <w:rPr>
          <w:rFonts w:cstheme="minorHAnsi"/>
        </w:rPr>
        <w:t>27- and 35-weeks</w:t>
      </w:r>
      <w:r w:rsidR="0062054C" w:rsidRPr="00731632">
        <w:rPr>
          <w:rFonts w:cstheme="minorHAnsi"/>
        </w:rPr>
        <w:t xml:space="preserve"> GA.</w:t>
      </w:r>
      <w:r w:rsidR="008174D6" w:rsidRPr="00731632">
        <w:rPr>
          <w:rFonts w:cstheme="minorHAnsi"/>
        </w:rPr>
        <w:t xml:space="preserve"> </w:t>
      </w:r>
      <w:r w:rsidR="00D252F6" w:rsidRPr="00731632">
        <w:rPr>
          <w:rFonts w:cstheme="minorHAnsi"/>
        </w:rPr>
        <w:t>The ESC</w:t>
      </w:r>
      <w:r w:rsidR="00904CC1" w:rsidRPr="00731632">
        <w:rPr>
          <w:rFonts w:cstheme="minorHAnsi"/>
        </w:rPr>
        <w:t xml:space="preserve"> and the PBAC</w:t>
      </w:r>
      <w:r w:rsidR="00D252F6" w:rsidRPr="00731632">
        <w:rPr>
          <w:rFonts w:cstheme="minorHAnsi"/>
        </w:rPr>
        <w:t xml:space="preserve"> considered that the efficacy claim was supported by the </w:t>
      </w:r>
      <w:r w:rsidR="00D252F6" w:rsidRPr="00731632">
        <w:t xml:space="preserve">reduction in MA RSV LRTI for nirsevimab </w:t>
      </w:r>
      <w:r w:rsidR="00B63F4A" w:rsidRPr="00731632">
        <w:t>infants</w:t>
      </w:r>
      <w:r w:rsidR="00D252F6" w:rsidRPr="00731632">
        <w:t xml:space="preserve"> compared with placebo in </w:t>
      </w:r>
      <w:r w:rsidR="00D00725" w:rsidRPr="00731632">
        <w:t xml:space="preserve">the </w:t>
      </w:r>
      <w:r w:rsidR="00D252F6" w:rsidRPr="00731632">
        <w:t>MELODY and Phase II</w:t>
      </w:r>
      <w:r w:rsidR="00CF3110" w:rsidRPr="00731632">
        <w:t>b</w:t>
      </w:r>
      <w:r w:rsidR="00D252F6" w:rsidRPr="00731632">
        <w:t xml:space="preserve"> studies.</w:t>
      </w:r>
    </w:p>
    <w:p w14:paraId="594CC16B" w14:textId="59754121" w:rsidR="00904CC1" w:rsidRPr="00731632" w:rsidRDefault="002C05FE" w:rsidP="00904CC1">
      <w:pPr>
        <w:pStyle w:val="3-BodyText"/>
        <w:rPr>
          <w:color w:val="0066FF"/>
        </w:rPr>
      </w:pPr>
      <w:r w:rsidRPr="00731632">
        <w:t>With respect to the main comparison, t</w:t>
      </w:r>
      <w:r w:rsidR="00647D9B" w:rsidRPr="00731632">
        <w:t>he submission described nirsevimab as non-inferior to placebo in terms of safety</w:t>
      </w:r>
      <w:r w:rsidR="00725270" w:rsidRPr="00731632">
        <w:t xml:space="preserve"> in Season 1</w:t>
      </w:r>
      <w:r w:rsidR="00647D9B" w:rsidRPr="00731632">
        <w:t xml:space="preserve">. </w:t>
      </w:r>
      <w:r w:rsidR="00D2662A" w:rsidRPr="00731632">
        <w:t>The evaluation considered that t</w:t>
      </w:r>
      <w:r w:rsidR="00647D9B" w:rsidRPr="00731632">
        <w:t xml:space="preserve">his </w:t>
      </w:r>
      <w:r w:rsidR="00647D9B" w:rsidRPr="00731632">
        <w:rPr>
          <w:iCs/>
        </w:rPr>
        <w:t>claim was adequately supported</w:t>
      </w:r>
      <w:r w:rsidR="00647D9B" w:rsidRPr="00731632">
        <w:t xml:space="preserve">. In the key MELODY trial, at least 1 AE was experienced by 87.4% of </w:t>
      </w:r>
      <w:r w:rsidR="00B63F4A" w:rsidRPr="00731632">
        <w:t>infants</w:t>
      </w:r>
      <w:r w:rsidR="00647D9B" w:rsidRPr="00731632">
        <w:t xml:space="preserve"> receiving nirsevimab</w:t>
      </w:r>
      <w:r w:rsidR="008134F5" w:rsidRPr="00731632">
        <w:t>,</w:t>
      </w:r>
      <w:r w:rsidR="00647D9B" w:rsidRPr="00731632">
        <w:t xml:space="preserve"> compared to 86.8% of </w:t>
      </w:r>
      <w:r w:rsidR="00B63F4A" w:rsidRPr="00731632">
        <w:t>infants</w:t>
      </w:r>
      <w:r w:rsidR="00647D9B" w:rsidRPr="00731632">
        <w:t xml:space="preserve"> receiving placebo. </w:t>
      </w:r>
      <w:r w:rsidR="008134F5" w:rsidRPr="00731632">
        <w:t>Most</w:t>
      </w:r>
      <w:r w:rsidR="00647D9B" w:rsidRPr="00731632">
        <w:t xml:space="preserve"> AEs were Grade 1 or 2 in severity, and only 1.0% of </w:t>
      </w:r>
      <w:r w:rsidR="00F14994" w:rsidRPr="00731632">
        <w:t>AEs</w:t>
      </w:r>
      <w:r w:rsidR="00647D9B" w:rsidRPr="00731632">
        <w:t xml:space="preserve"> in the nirsevimab group and 1.4% in the placebo group were considered to be related to study treatment. SAEs were reported in 67 of 987 infants (6.8%) who received nirsevimab and in 36 of 491 infants (7.3%) who received placebo.</w:t>
      </w:r>
      <w:r w:rsidR="008174D6" w:rsidRPr="00731632">
        <w:t xml:space="preserve"> </w:t>
      </w:r>
      <w:r w:rsidR="00D00725" w:rsidRPr="00731632">
        <w:rPr>
          <w:rFonts w:cstheme="minorHAnsi"/>
        </w:rPr>
        <w:t>The ESC</w:t>
      </w:r>
      <w:r w:rsidR="00904CC1" w:rsidRPr="00731632">
        <w:rPr>
          <w:rFonts w:cstheme="minorHAnsi"/>
        </w:rPr>
        <w:t xml:space="preserve"> and the PBAC</w:t>
      </w:r>
      <w:r w:rsidR="00D00725" w:rsidRPr="00731632">
        <w:rPr>
          <w:rFonts w:cstheme="minorHAnsi"/>
        </w:rPr>
        <w:t xml:space="preserve"> considered that the safety claim was supported by the data from </w:t>
      </w:r>
      <w:r w:rsidR="00D00725" w:rsidRPr="00731632">
        <w:t>MELODY and Phase II</w:t>
      </w:r>
      <w:r w:rsidR="00CF3110" w:rsidRPr="00731632">
        <w:t>b</w:t>
      </w:r>
      <w:r w:rsidR="00D00725" w:rsidRPr="00731632">
        <w:t xml:space="preserve"> studies.</w:t>
      </w:r>
    </w:p>
    <w:p w14:paraId="1F2583CA" w14:textId="5ADA0DA3" w:rsidR="00647D9B" w:rsidRPr="00731632" w:rsidRDefault="00006500" w:rsidP="00E9094A">
      <w:pPr>
        <w:pStyle w:val="3-BodyText"/>
        <w:rPr>
          <w:iCs/>
          <w:color w:val="0066FF"/>
        </w:rPr>
      </w:pPr>
      <w:r w:rsidRPr="00731632">
        <w:t>With respect to the supplementary compar</w:t>
      </w:r>
      <w:r w:rsidR="00823444" w:rsidRPr="00731632">
        <w:t>ison</w:t>
      </w:r>
      <w:r w:rsidRPr="00731632">
        <w:t>, t</w:t>
      </w:r>
      <w:r w:rsidR="00EF33DE" w:rsidRPr="00731632">
        <w:t>he submission described nirsevimab as non-inferior to palivizumab in terms of both effectiveness and safety</w:t>
      </w:r>
      <w:r w:rsidR="00725270" w:rsidRPr="00731632">
        <w:t xml:space="preserve"> for </w:t>
      </w:r>
      <w:r w:rsidR="00725270" w:rsidRPr="00731632">
        <w:rPr>
          <w:snapToGrid/>
        </w:rPr>
        <w:t>high-risk infants in both Seasons 1 and 2</w:t>
      </w:r>
      <w:r w:rsidR="00EF33DE" w:rsidRPr="00731632">
        <w:t>.</w:t>
      </w:r>
      <w:r w:rsidR="001D2581" w:rsidRPr="00731632">
        <w:t xml:space="preserve"> </w:t>
      </w:r>
      <w:r w:rsidR="00D2662A" w:rsidRPr="00731632">
        <w:t xml:space="preserve">The </w:t>
      </w:r>
      <w:r w:rsidR="00CE6573" w:rsidRPr="00731632">
        <w:t xml:space="preserve">ESC agreed with the </w:t>
      </w:r>
      <w:r w:rsidR="00D2662A" w:rsidRPr="00731632">
        <w:t>evaluation that t</w:t>
      </w:r>
      <w:r w:rsidR="001D2581" w:rsidRPr="00731632">
        <w:t>his</w:t>
      </w:r>
      <w:r w:rsidR="00D2662A" w:rsidRPr="00731632">
        <w:t xml:space="preserve"> claim</w:t>
      </w:r>
      <w:r w:rsidR="001D2581" w:rsidRPr="00731632">
        <w:t xml:space="preserve"> </w:t>
      </w:r>
      <w:r w:rsidR="001D2581" w:rsidRPr="00731632">
        <w:rPr>
          <w:iCs/>
        </w:rPr>
        <w:t>was not adequately supported</w:t>
      </w:r>
      <w:r w:rsidR="001D2581" w:rsidRPr="00731632">
        <w:t>.</w:t>
      </w:r>
      <w:r w:rsidR="00EF33DE" w:rsidRPr="00731632">
        <w:t xml:space="preserve"> In the MEDLEY trial, the incidence of MA RSV LRTI </w:t>
      </w:r>
      <w:r w:rsidR="00135184" w:rsidRPr="00731632">
        <w:t>i</w:t>
      </w:r>
      <w:r w:rsidR="00EF33DE" w:rsidRPr="00731632">
        <w:t xml:space="preserve">n the overall population through 150 days post first dose in Season 1 was 0.6% in the nirsevimab group compared with 1.0% in the palivizumab group. Similarly low rates were reported across the preterm cohort (0.5% each) and CLD/CHD cohort (1.0% vs 2.0%). </w:t>
      </w:r>
      <w:r w:rsidR="008134F5" w:rsidRPr="00731632">
        <w:t xml:space="preserve">Use of the prophylactic treatments in </w:t>
      </w:r>
      <w:r w:rsidR="00400A48" w:rsidRPr="00731632">
        <w:t xml:space="preserve">the second RSV season </w:t>
      </w:r>
      <w:r w:rsidR="008134F5" w:rsidRPr="00731632">
        <w:t xml:space="preserve">resulted in </w:t>
      </w:r>
      <w:r w:rsidR="00400A48" w:rsidRPr="00731632">
        <w:t xml:space="preserve">no cases of MA RSV LRTI reported in any of the </w:t>
      </w:r>
      <w:r w:rsidR="008134F5" w:rsidRPr="00731632">
        <w:t xml:space="preserve">trial </w:t>
      </w:r>
      <w:r w:rsidR="00400A48" w:rsidRPr="00731632">
        <w:t xml:space="preserve">arms, </w:t>
      </w:r>
      <w:r w:rsidR="008134F5" w:rsidRPr="00731632">
        <w:t>noting that</w:t>
      </w:r>
      <w:r w:rsidR="00400A48" w:rsidRPr="00731632">
        <w:t xml:space="preserve"> only 262</w:t>
      </w:r>
      <w:r w:rsidR="00DF53E4">
        <w:t> </w:t>
      </w:r>
      <w:r w:rsidR="00B63F4A" w:rsidRPr="00731632">
        <w:t xml:space="preserve">participants </w:t>
      </w:r>
      <w:r w:rsidR="00400A48" w:rsidRPr="00731632">
        <w:t xml:space="preserve">were included in the second season analysis. </w:t>
      </w:r>
      <w:r w:rsidR="00EF33DE" w:rsidRPr="00731632">
        <w:rPr>
          <w:iCs/>
        </w:rPr>
        <w:t xml:space="preserve">Although the available evidence </w:t>
      </w:r>
      <w:r w:rsidR="00164865" w:rsidRPr="00731632">
        <w:rPr>
          <w:iCs/>
        </w:rPr>
        <w:t xml:space="preserve">did </w:t>
      </w:r>
      <w:r w:rsidR="00EF33DE" w:rsidRPr="00731632">
        <w:rPr>
          <w:iCs/>
        </w:rPr>
        <w:t xml:space="preserve">not show a difference between the two treatment arms, </w:t>
      </w:r>
      <w:r w:rsidR="007A1EE7" w:rsidRPr="00731632">
        <w:t xml:space="preserve">the evaluation noted that </w:t>
      </w:r>
      <w:r w:rsidR="00EF33DE" w:rsidRPr="00731632">
        <w:rPr>
          <w:iCs/>
        </w:rPr>
        <w:t>the number of</w:t>
      </w:r>
      <w:r w:rsidR="00DC29D7" w:rsidRPr="00731632">
        <w:rPr>
          <w:iCs/>
        </w:rPr>
        <w:t xml:space="preserve"> participants and the number of</w:t>
      </w:r>
      <w:r w:rsidR="00EF33DE" w:rsidRPr="00731632">
        <w:rPr>
          <w:iCs/>
        </w:rPr>
        <w:t xml:space="preserve"> cases of MA RSV LRTI </w:t>
      </w:r>
      <w:r w:rsidR="001970C7" w:rsidRPr="00731632">
        <w:rPr>
          <w:iCs/>
        </w:rPr>
        <w:t xml:space="preserve">were </w:t>
      </w:r>
      <w:r w:rsidR="00EF33DE" w:rsidRPr="00731632">
        <w:rPr>
          <w:iCs/>
        </w:rPr>
        <w:t xml:space="preserve">low and </w:t>
      </w:r>
      <w:r w:rsidR="00E905EF" w:rsidRPr="00731632">
        <w:rPr>
          <w:iCs/>
        </w:rPr>
        <w:t xml:space="preserve">the trial was </w:t>
      </w:r>
      <w:r w:rsidR="008134F5" w:rsidRPr="00731632">
        <w:rPr>
          <w:iCs/>
        </w:rPr>
        <w:t>not</w:t>
      </w:r>
      <w:r w:rsidR="00EF33DE" w:rsidRPr="00731632">
        <w:rPr>
          <w:iCs/>
        </w:rPr>
        <w:t xml:space="preserve"> sufficient</w:t>
      </w:r>
      <w:r w:rsidR="008134F5" w:rsidRPr="00731632">
        <w:rPr>
          <w:iCs/>
        </w:rPr>
        <w:t>ly</w:t>
      </w:r>
      <w:r w:rsidR="00EF33DE" w:rsidRPr="00731632">
        <w:rPr>
          <w:iCs/>
        </w:rPr>
        <w:t xml:space="preserve"> power</w:t>
      </w:r>
      <w:r w:rsidR="008134F5" w:rsidRPr="00731632">
        <w:rPr>
          <w:iCs/>
        </w:rPr>
        <w:t>ed</w:t>
      </w:r>
      <w:r w:rsidR="00EF33DE" w:rsidRPr="00731632">
        <w:rPr>
          <w:iCs/>
        </w:rPr>
        <w:t xml:space="preserve"> to detect a difference</w:t>
      </w:r>
      <w:r w:rsidR="0097650B" w:rsidRPr="00731632">
        <w:rPr>
          <w:iCs/>
        </w:rPr>
        <w:t xml:space="preserve">, making </w:t>
      </w:r>
      <w:r w:rsidR="008134F5" w:rsidRPr="00731632">
        <w:rPr>
          <w:iCs/>
        </w:rPr>
        <w:t>any conclusions</w:t>
      </w:r>
      <w:r w:rsidR="0097650B" w:rsidRPr="00731632">
        <w:rPr>
          <w:iCs/>
        </w:rPr>
        <w:t xml:space="preserve"> uncertain</w:t>
      </w:r>
      <w:r w:rsidR="00EF33DE" w:rsidRPr="00731632">
        <w:rPr>
          <w:iCs/>
        </w:rPr>
        <w:t>.</w:t>
      </w:r>
      <w:r w:rsidR="00EF33DE" w:rsidRPr="00731632">
        <w:t xml:space="preserve"> The frequency of AEs was similar between the treatment groups (72.3% vs 70.7%)</w:t>
      </w:r>
      <w:r w:rsidR="00015810" w:rsidRPr="00731632">
        <w:rPr>
          <w:iCs/>
        </w:rPr>
        <w:t>.</w:t>
      </w:r>
      <w:r w:rsidR="00B16AA2" w:rsidRPr="00731632">
        <w:rPr>
          <w:iCs/>
        </w:rPr>
        <w:t xml:space="preserve"> </w:t>
      </w:r>
      <w:r w:rsidR="00EC16B6" w:rsidRPr="00731632">
        <w:rPr>
          <w:iCs/>
        </w:rPr>
        <w:t>Consequently, the ESC</w:t>
      </w:r>
      <w:r w:rsidR="00904CC1" w:rsidRPr="00731632">
        <w:rPr>
          <w:iCs/>
        </w:rPr>
        <w:t xml:space="preserve"> and the PBAC</w:t>
      </w:r>
      <w:r w:rsidR="00EC16B6" w:rsidRPr="00731632">
        <w:rPr>
          <w:iCs/>
        </w:rPr>
        <w:t xml:space="preserve"> considered </w:t>
      </w:r>
      <w:r w:rsidR="00A4640B" w:rsidRPr="00731632">
        <w:rPr>
          <w:iCs/>
        </w:rPr>
        <w:t xml:space="preserve">the </w:t>
      </w:r>
      <w:r w:rsidR="00EC16B6" w:rsidRPr="00731632">
        <w:rPr>
          <w:iCs/>
        </w:rPr>
        <w:t xml:space="preserve">effectiveness estimates for nirsevimab </w:t>
      </w:r>
      <w:r w:rsidR="00F14994" w:rsidRPr="00731632">
        <w:rPr>
          <w:iCs/>
        </w:rPr>
        <w:t xml:space="preserve">compared to </w:t>
      </w:r>
      <w:r w:rsidR="00F14994" w:rsidRPr="00731632">
        <w:t>palivizumab</w:t>
      </w:r>
      <w:r w:rsidR="00F14994" w:rsidRPr="00731632">
        <w:rPr>
          <w:iCs/>
        </w:rPr>
        <w:t xml:space="preserve"> </w:t>
      </w:r>
      <w:r w:rsidR="00EC16B6" w:rsidRPr="00731632">
        <w:rPr>
          <w:iCs/>
        </w:rPr>
        <w:t>in the second RSV season to be highly uncertain.</w:t>
      </w:r>
    </w:p>
    <w:p w14:paraId="36D3A268" w14:textId="71974B19" w:rsidR="00837B1A" w:rsidRPr="00731632" w:rsidRDefault="00006500" w:rsidP="00EF33DE">
      <w:pPr>
        <w:pStyle w:val="3-BodyText"/>
      </w:pPr>
      <w:bookmarkStart w:id="62" w:name="_Ref172750068"/>
      <w:r w:rsidRPr="00731632">
        <w:t>With respect to the near-market compar</w:t>
      </w:r>
      <w:r w:rsidR="00823444" w:rsidRPr="00731632">
        <w:t>ison</w:t>
      </w:r>
      <w:r w:rsidR="00725270" w:rsidRPr="00731632">
        <w:t xml:space="preserve"> in Season 1</w:t>
      </w:r>
      <w:r w:rsidR="00EF33DE" w:rsidRPr="00731632">
        <w:t>, the submission described nirsevimab as superior in terms of clinical efficacy compared to</w:t>
      </w:r>
      <w:r w:rsidR="002A356A" w:rsidRPr="00731632">
        <w:t xml:space="preserve"> maternal vaccination with</w:t>
      </w:r>
      <w:r w:rsidR="00EF33DE" w:rsidRPr="00731632">
        <w:t xml:space="preserve"> RSVpreF</w:t>
      </w:r>
      <w:r w:rsidR="00E108FA" w:rsidRPr="00731632">
        <w:t xml:space="preserve"> based on </w:t>
      </w:r>
      <w:r w:rsidR="00F14994" w:rsidRPr="00731632">
        <w:t xml:space="preserve">two </w:t>
      </w:r>
      <w:r w:rsidR="002A356A" w:rsidRPr="00731632">
        <w:t>ITC</w:t>
      </w:r>
      <w:r w:rsidR="00E108FA" w:rsidRPr="00731632">
        <w:t>s</w:t>
      </w:r>
      <w:r w:rsidR="00904CC1" w:rsidRPr="00731632">
        <w:t xml:space="preserve">, using the reduced nirsevimab population from </w:t>
      </w:r>
      <w:r w:rsidR="001970C7" w:rsidRPr="00731632">
        <w:t xml:space="preserve">MELODY and Phase IIB </w:t>
      </w:r>
      <w:r w:rsidR="001970C7" w:rsidRPr="00731632">
        <w:rPr>
          <w:rFonts w:cstheme="minorHAnsi"/>
          <w:szCs w:val="20"/>
        </w:rPr>
        <w:t xml:space="preserve">as reported by </w:t>
      </w:r>
      <w:r w:rsidR="00904CC1" w:rsidRPr="00731632">
        <w:t xml:space="preserve">Simões et al (2023) and the full </w:t>
      </w:r>
      <w:r w:rsidR="001970C7" w:rsidRPr="00731632">
        <w:t xml:space="preserve">MELODY and Phase IIB </w:t>
      </w:r>
      <w:r w:rsidR="00904CC1" w:rsidRPr="00731632">
        <w:t>population</w:t>
      </w:r>
      <w:r w:rsidR="001970C7" w:rsidRPr="00731632">
        <w:t>s as reported by</w:t>
      </w:r>
      <w:r w:rsidR="00904CC1" w:rsidRPr="00731632">
        <w:t xml:space="preserve"> Turalde-Mapili et al (2023)</w:t>
      </w:r>
      <w:r w:rsidR="00EF33DE" w:rsidRPr="00731632">
        <w:t>.</w:t>
      </w:r>
      <w:bookmarkEnd w:id="62"/>
      <w:r w:rsidR="00EF33DE" w:rsidRPr="00731632">
        <w:t xml:space="preserve"> </w:t>
      </w:r>
    </w:p>
    <w:p w14:paraId="2F06B221" w14:textId="7CAE0BD5" w:rsidR="00140D6B" w:rsidRPr="00731632" w:rsidRDefault="00F14994" w:rsidP="00DF53E4">
      <w:pPr>
        <w:pStyle w:val="3-BodyText"/>
        <w:keepNext/>
        <w:keepLines/>
        <w:numPr>
          <w:ilvl w:val="0"/>
          <w:numId w:val="18"/>
        </w:numPr>
        <w:ind w:left="1134"/>
      </w:pPr>
      <w:r w:rsidRPr="00731632">
        <w:t>The submission stated that b</w:t>
      </w:r>
      <w:r w:rsidR="00EF33DE" w:rsidRPr="00731632">
        <w:t xml:space="preserve">oth comparisons </w:t>
      </w:r>
      <w:r w:rsidRPr="00731632">
        <w:t>indicate</w:t>
      </w:r>
      <w:r w:rsidR="00EF33DE" w:rsidRPr="00731632">
        <w:t xml:space="preserve"> there </w:t>
      </w:r>
      <w:r w:rsidR="001970C7" w:rsidRPr="00731632">
        <w:t xml:space="preserve">was </w:t>
      </w:r>
      <w:r w:rsidR="00EF33DE" w:rsidRPr="00731632">
        <w:t xml:space="preserve">a lower risk of MA RSV LRTI in </w:t>
      </w:r>
      <w:r w:rsidR="00B63F4A" w:rsidRPr="00731632">
        <w:t>infants</w:t>
      </w:r>
      <w:r w:rsidR="00EF33DE" w:rsidRPr="00731632">
        <w:t xml:space="preserve"> treated with nirsevimab compared to those treated with the RSVpreF maternal vaccine. This ranged from a 56.8% improvement (p=0.012) using </w:t>
      </w:r>
      <w:r w:rsidR="00DC29D7" w:rsidRPr="00731632">
        <w:t>Simões</w:t>
      </w:r>
      <w:r w:rsidR="00EF33DE" w:rsidRPr="00731632">
        <w:t xml:space="preserve"> et al (2023), to a 45.3% improvement (p=0.034) using Turalde-Mapili et al (2023). </w:t>
      </w:r>
    </w:p>
    <w:p w14:paraId="560C3ED8" w14:textId="5E597C9F" w:rsidR="00140D6B" w:rsidRPr="00731632" w:rsidRDefault="00EF33DE" w:rsidP="00DF53E4">
      <w:pPr>
        <w:pStyle w:val="3-BodyText"/>
        <w:keepNext/>
        <w:keepLines/>
        <w:numPr>
          <w:ilvl w:val="0"/>
          <w:numId w:val="18"/>
        </w:numPr>
        <w:ind w:left="1134"/>
        <w:rPr>
          <w:iCs/>
        </w:rPr>
      </w:pPr>
      <w:r w:rsidRPr="00731632">
        <w:rPr>
          <w:iCs/>
        </w:rPr>
        <w:t>However,</w:t>
      </w:r>
      <w:r w:rsidR="00837B1A" w:rsidRPr="00731632">
        <w:rPr>
          <w:iCs/>
        </w:rPr>
        <w:t xml:space="preserve"> the evaluation considered that the conclusions </w:t>
      </w:r>
      <w:r w:rsidR="00D252F6" w:rsidRPr="00731632">
        <w:rPr>
          <w:iCs/>
        </w:rPr>
        <w:t>were</w:t>
      </w:r>
      <w:r w:rsidR="00837B1A" w:rsidRPr="00731632">
        <w:rPr>
          <w:iCs/>
        </w:rPr>
        <w:t xml:space="preserve"> unreliable due to</w:t>
      </w:r>
      <w:r w:rsidRPr="00731632">
        <w:rPr>
          <w:iCs/>
        </w:rPr>
        <w:t xml:space="preserve"> the transitivity issues between the nirsevimab trials and the MATISSE trial, such as the difference in the proportion of premature infants</w:t>
      </w:r>
      <w:r w:rsidR="00C16F22" w:rsidRPr="00731632">
        <w:rPr>
          <w:iCs/>
        </w:rPr>
        <w:t xml:space="preserve"> and event rates in the placebo arms</w:t>
      </w:r>
      <w:r w:rsidRPr="00731632">
        <w:rPr>
          <w:iCs/>
        </w:rPr>
        <w:t>.</w:t>
      </w:r>
      <w:r w:rsidR="00773CCD" w:rsidRPr="00731632">
        <w:t xml:space="preserve"> </w:t>
      </w:r>
      <w:r w:rsidR="00140D6B" w:rsidRPr="00731632">
        <w:rPr>
          <w:iCs/>
        </w:rPr>
        <w:t>The populations in the nirsevimab studies were enriched with those at high risk, with a high proportion of premature infants, and were undertaken when there was a high risk of viral exposure</w:t>
      </w:r>
      <w:r w:rsidR="00A4640B" w:rsidRPr="00731632">
        <w:rPr>
          <w:iCs/>
        </w:rPr>
        <w:t xml:space="preserve"> as they were</w:t>
      </w:r>
      <w:r w:rsidR="00140D6B" w:rsidRPr="00731632">
        <w:rPr>
          <w:iCs/>
        </w:rPr>
        <w:t xml:space="preserve"> carried out during RSV seasons (in line with its proposed use). This was reflected in the higher rate of medically attended RSV associated lower respiratory tract infection (MA RSV LRTI) in the placebo groups of the nirsevimab trials (6 to 7%) compared to the RSVpreF trial (&lt;3%). This </w:t>
      </w:r>
      <w:r w:rsidR="00D70E2F" w:rsidRPr="00731632">
        <w:rPr>
          <w:iCs/>
        </w:rPr>
        <w:t>indicates</w:t>
      </w:r>
      <w:r w:rsidR="00140D6B" w:rsidRPr="00731632">
        <w:rPr>
          <w:iCs/>
        </w:rPr>
        <w:t xml:space="preserve"> that the </w:t>
      </w:r>
      <w:r w:rsidR="00D252F6" w:rsidRPr="00731632">
        <w:rPr>
          <w:iCs/>
        </w:rPr>
        <w:t>nirsevimab</w:t>
      </w:r>
      <w:r w:rsidR="00140D6B" w:rsidRPr="00731632">
        <w:rPr>
          <w:iCs/>
        </w:rPr>
        <w:t xml:space="preserve"> and </w:t>
      </w:r>
      <w:r w:rsidR="00D252F6" w:rsidRPr="00731632">
        <w:rPr>
          <w:iCs/>
        </w:rPr>
        <w:t>maternal</w:t>
      </w:r>
      <w:r w:rsidR="00140D6B" w:rsidRPr="00731632">
        <w:rPr>
          <w:iCs/>
        </w:rPr>
        <w:t xml:space="preserve"> immunisation studies being indirectly compared were not transitive. </w:t>
      </w:r>
    </w:p>
    <w:p w14:paraId="6F64ED4F" w14:textId="03EB2B05" w:rsidR="003B36B0" w:rsidRPr="00731632" w:rsidRDefault="00773CCD" w:rsidP="00DF53E4">
      <w:pPr>
        <w:pStyle w:val="3-BodyText"/>
        <w:numPr>
          <w:ilvl w:val="0"/>
          <w:numId w:val="17"/>
        </w:numPr>
        <w:ind w:left="1134"/>
      </w:pPr>
      <w:r w:rsidRPr="00731632">
        <w:t>Additionally, the submission stated that nirsevimab</w:t>
      </w:r>
      <w:r w:rsidR="00F677B5" w:rsidRPr="00731632">
        <w:t xml:space="preserve"> was </w:t>
      </w:r>
      <w:r w:rsidRPr="00731632">
        <w:t xml:space="preserve">at least clinically non-inferior to RSVpreF in terms of comparative safety. </w:t>
      </w:r>
      <w:r w:rsidRPr="00731632">
        <w:rPr>
          <w:iCs/>
        </w:rPr>
        <w:t>However,</w:t>
      </w:r>
      <w:r w:rsidR="00837B1A" w:rsidRPr="00731632">
        <w:rPr>
          <w:iCs/>
        </w:rPr>
        <w:t xml:space="preserve"> the evaluation noted that</w:t>
      </w:r>
      <w:r w:rsidRPr="00731632">
        <w:rPr>
          <w:iCs/>
        </w:rPr>
        <w:t xml:space="preserve"> a formal comparison of safety between nirsevimab and RSVpreF was not presented, and the previously stated transitivity issues would make a comparison uninformative. </w:t>
      </w:r>
      <w:r w:rsidR="00840F19" w:rsidRPr="00731632">
        <w:rPr>
          <w:iCs/>
        </w:rPr>
        <w:t>The evaluation also noted that</w:t>
      </w:r>
      <w:r w:rsidRPr="00731632">
        <w:rPr>
          <w:iCs/>
        </w:rPr>
        <w:t xml:space="preserve"> as RSVpreF and nirsevimab are administered to different populations (pregnant mothers for RSVpreF and infant</w:t>
      </w:r>
      <w:r w:rsidR="00C16F22" w:rsidRPr="00731632">
        <w:rPr>
          <w:iCs/>
        </w:rPr>
        <w:t>s</w:t>
      </w:r>
      <w:r w:rsidRPr="00731632">
        <w:rPr>
          <w:iCs/>
        </w:rPr>
        <w:t xml:space="preserve"> for nirsevimab), there </w:t>
      </w:r>
      <w:r w:rsidR="00C16F22" w:rsidRPr="00731632">
        <w:rPr>
          <w:iCs/>
        </w:rPr>
        <w:t>would likely be differences in the</w:t>
      </w:r>
      <w:r w:rsidRPr="00731632">
        <w:rPr>
          <w:iCs/>
        </w:rPr>
        <w:t xml:space="preserve"> </w:t>
      </w:r>
      <w:r w:rsidR="00C16F22" w:rsidRPr="00731632">
        <w:rPr>
          <w:iCs/>
        </w:rPr>
        <w:t xml:space="preserve">impact of </w:t>
      </w:r>
      <w:r w:rsidRPr="00731632">
        <w:rPr>
          <w:iCs/>
        </w:rPr>
        <w:t xml:space="preserve">reported AEs. </w:t>
      </w:r>
      <w:r w:rsidR="00CC0E4C" w:rsidRPr="00731632">
        <w:t>T</w:t>
      </w:r>
      <w:r w:rsidR="009D4CAC" w:rsidRPr="00731632">
        <w:t>he PSCR stated that a key advantage of nirsevimab compared to a maternal vaccine</w:t>
      </w:r>
      <w:r w:rsidR="00F677B5" w:rsidRPr="00731632">
        <w:t xml:space="preserve"> was </w:t>
      </w:r>
      <w:r w:rsidR="009D4CAC" w:rsidRPr="00731632">
        <w:t xml:space="preserve">that </w:t>
      </w:r>
      <w:r w:rsidR="00CC0E4C" w:rsidRPr="00731632">
        <w:t>nirsevimab can be used to immunise pre-term infants without the concerns of seasonal dose timing, antibody placental transfer failure, or premature birth, all of which are inherent risks with utilising a maternal vaccine for passive immunisation of infants. Notwithstanding, the ESC</w:t>
      </w:r>
      <w:r w:rsidR="009975EF" w:rsidRPr="00731632">
        <w:t xml:space="preserve"> and the PBAC</w:t>
      </w:r>
      <w:r w:rsidR="00CC0E4C" w:rsidRPr="00731632">
        <w:t xml:space="preserve"> considered that</w:t>
      </w:r>
      <w:r w:rsidR="00140D6B" w:rsidRPr="00731632">
        <w:t xml:space="preserve"> the ITC between nirsevimab and maternal vaccination </w:t>
      </w:r>
      <w:r w:rsidR="003B36B0" w:rsidRPr="00731632">
        <w:t xml:space="preserve">presented by the submission was </w:t>
      </w:r>
      <w:r w:rsidR="00140D6B" w:rsidRPr="00731632">
        <w:t>uninformative</w:t>
      </w:r>
      <w:r w:rsidR="00FB6D9C" w:rsidRPr="00731632">
        <w:t>, and the submission’s claim of superior comparative effectiveness versus maternal vaccination was not supported by the data</w:t>
      </w:r>
      <w:r w:rsidR="00182566" w:rsidRPr="00731632">
        <w:t>.</w:t>
      </w:r>
    </w:p>
    <w:p w14:paraId="698BDB96" w14:textId="1832B0FA" w:rsidR="009975EF" w:rsidRPr="00731632" w:rsidRDefault="00182566" w:rsidP="00EE0954">
      <w:pPr>
        <w:pStyle w:val="3-BodyText"/>
      </w:pPr>
      <w:r w:rsidRPr="00731632">
        <w:t>The PBAC considered</w:t>
      </w:r>
      <w:r w:rsidR="00140D6B" w:rsidRPr="00731632">
        <w:t xml:space="preserve"> </w:t>
      </w:r>
      <w:r w:rsidR="00CC0E4C" w:rsidRPr="00731632">
        <w:t xml:space="preserve">there </w:t>
      </w:r>
      <w:r w:rsidR="005604E5" w:rsidRPr="00731632">
        <w:t xml:space="preserve">was </w:t>
      </w:r>
      <w:r w:rsidR="00CC0E4C" w:rsidRPr="00731632">
        <w:t xml:space="preserve">limited evidence </w:t>
      </w:r>
      <w:r w:rsidR="005604E5" w:rsidRPr="00731632">
        <w:t xml:space="preserve">presented in the submission </w:t>
      </w:r>
      <w:r w:rsidR="00CC0E4C" w:rsidRPr="00731632">
        <w:t>to support the proposed listing of nirsevimab in the second season</w:t>
      </w:r>
      <w:r w:rsidR="001542E6" w:rsidRPr="00731632">
        <w:t>.</w:t>
      </w:r>
      <w:r w:rsidR="00802F7B" w:rsidRPr="00731632">
        <w:t xml:space="preserve"> </w:t>
      </w:r>
      <w:r w:rsidR="001542E6" w:rsidRPr="00731632">
        <w:t>T</w:t>
      </w:r>
      <w:r w:rsidR="00802F7B" w:rsidRPr="00731632">
        <w:t>he comparative effectiveness for nirsevimab in children up to 24 months of age who remain vulnerable to severe RSV disease through their second RSV season compared with no immunisation was not addressed by the submission</w:t>
      </w:r>
      <w:r w:rsidR="00CC0E4C" w:rsidRPr="00731632">
        <w:t>.</w:t>
      </w:r>
    </w:p>
    <w:p w14:paraId="781AB121" w14:textId="77777777" w:rsidR="00EE2FBE" w:rsidRPr="00731632" w:rsidRDefault="00EE2FBE" w:rsidP="00EE2FBE">
      <w:pPr>
        <w:pStyle w:val="4-SubsectionHeading"/>
      </w:pPr>
      <w:bookmarkStart w:id="63" w:name="_Toc107927631"/>
      <w:bookmarkStart w:id="64" w:name="_Toc166420465"/>
      <w:bookmarkStart w:id="65" w:name="_Toc167276239"/>
      <w:bookmarkStart w:id="66" w:name="_Toc22897645"/>
      <w:r w:rsidRPr="00731632">
        <w:t>Economic analysis</w:t>
      </w:r>
      <w:bookmarkEnd w:id="63"/>
      <w:bookmarkEnd w:id="64"/>
      <w:bookmarkEnd w:id="65"/>
      <w:r w:rsidRPr="00731632">
        <w:t xml:space="preserve"> </w:t>
      </w:r>
    </w:p>
    <w:p w14:paraId="2C81BA37" w14:textId="65FDAD56" w:rsidR="00823444" w:rsidRPr="00731632" w:rsidRDefault="00823444" w:rsidP="00823444">
      <w:pPr>
        <w:pStyle w:val="5-SubsectionSubheading"/>
      </w:pPr>
      <w:r w:rsidRPr="00731632">
        <w:t>Main comparison: nirsevimab versus placebo</w:t>
      </w:r>
    </w:p>
    <w:p w14:paraId="330A2DE2" w14:textId="5FE15BE4" w:rsidR="00EE2FBE" w:rsidRPr="00731632" w:rsidRDefault="00EE2FBE" w:rsidP="00EE2FBE">
      <w:pPr>
        <w:pStyle w:val="3-BodyText"/>
        <w:rPr>
          <w:color w:val="000000" w:themeColor="text1"/>
        </w:rPr>
      </w:pPr>
      <w:r w:rsidRPr="00731632">
        <w:rPr>
          <w:color w:val="000000" w:themeColor="text1"/>
        </w:rPr>
        <w:t xml:space="preserve">The submission presented a static state-transition cohort model in which the duration of effect and annual incidence of RSV </w:t>
      </w:r>
      <w:r w:rsidR="00CF3110" w:rsidRPr="00731632">
        <w:rPr>
          <w:color w:val="000000" w:themeColor="text1"/>
        </w:rPr>
        <w:t>wa</w:t>
      </w:r>
      <w:r w:rsidRPr="00731632">
        <w:rPr>
          <w:color w:val="000000" w:themeColor="text1"/>
        </w:rPr>
        <w:t xml:space="preserve">s derived from the key comparative study (MELODY) and the treatment effectiveness of nirsevimab </w:t>
      </w:r>
      <w:r w:rsidR="00CF3110" w:rsidRPr="00731632">
        <w:rPr>
          <w:color w:val="000000" w:themeColor="text1"/>
        </w:rPr>
        <w:t>wa</w:t>
      </w:r>
      <w:r w:rsidRPr="00731632">
        <w:rPr>
          <w:color w:val="000000" w:themeColor="text1"/>
        </w:rPr>
        <w:t>s derived from a pooled analysis of two key studies (MELODY and the Phase IIb study). The model compares nirsevimab with standard of care</w:t>
      </w:r>
      <w:r w:rsidR="0052781F" w:rsidRPr="00731632">
        <w:rPr>
          <w:color w:val="000000" w:themeColor="text1"/>
        </w:rPr>
        <w:t xml:space="preserve"> (no immunisation)</w:t>
      </w:r>
      <w:r w:rsidRPr="00731632">
        <w:rPr>
          <w:color w:val="000000" w:themeColor="text1"/>
        </w:rPr>
        <w:t>. The model contained two populations based on their location with respect to climate, tropical or temperate, to permit the simulation of different timing and duration of the RSV season. Each population simulated twelve birth cohorts (January through to December) to incorporate the timing of dosing of nirsev</w:t>
      </w:r>
      <w:r w:rsidR="00CD7162" w:rsidRPr="00731632">
        <w:rPr>
          <w:color w:val="000000" w:themeColor="text1"/>
        </w:rPr>
        <w:t>i</w:t>
      </w:r>
      <w:r w:rsidRPr="00731632">
        <w:rPr>
          <w:color w:val="000000" w:themeColor="text1"/>
        </w:rPr>
        <w:t xml:space="preserve">mab on the number of RSV cases avoided throughout the seasons. Nirsevimab </w:t>
      </w:r>
      <w:r w:rsidR="00F677B5" w:rsidRPr="00731632">
        <w:rPr>
          <w:color w:val="000000" w:themeColor="text1"/>
        </w:rPr>
        <w:t xml:space="preserve">was </w:t>
      </w:r>
      <w:r w:rsidRPr="00731632">
        <w:rPr>
          <w:color w:val="000000" w:themeColor="text1"/>
        </w:rPr>
        <w:t xml:space="preserve">assumed to be given at the beginning of the RSV season (specific to each climate) or at birth </w:t>
      </w:r>
      <w:r w:rsidR="00F677B5" w:rsidRPr="00731632">
        <w:rPr>
          <w:color w:val="000000" w:themeColor="text1"/>
        </w:rPr>
        <w:t>for an</w:t>
      </w:r>
      <w:r w:rsidRPr="00731632">
        <w:rPr>
          <w:color w:val="000000" w:themeColor="text1"/>
        </w:rPr>
        <w:t xml:space="preserve"> infant born during the season. The model </w:t>
      </w:r>
      <w:r w:rsidR="00F677B5" w:rsidRPr="00731632">
        <w:rPr>
          <w:color w:val="000000" w:themeColor="text1"/>
        </w:rPr>
        <w:t xml:space="preserve">simulated </w:t>
      </w:r>
      <w:r w:rsidRPr="00731632">
        <w:rPr>
          <w:color w:val="000000" w:themeColor="text1"/>
        </w:rPr>
        <w:t>a single season of RSV (1 year). The economic evaluation steps are</w:t>
      </w:r>
      <w:r w:rsidR="00CF3110" w:rsidRPr="00731632">
        <w:rPr>
          <w:color w:val="000000" w:themeColor="text1"/>
        </w:rPr>
        <w:t>:</w:t>
      </w:r>
      <w:r w:rsidRPr="00731632">
        <w:rPr>
          <w:color w:val="000000" w:themeColor="text1"/>
        </w:rPr>
        <w:t xml:space="preserve"> cost per avoided </w:t>
      </w:r>
      <w:r w:rsidR="0052781F" w:rsidRPr="00731632">
        <w:rPr>
          <w:color w:val="000000" w:themeColor="text1"/>
        </w:rPr>
        <w:t>MA RSV</w:t>
      </w:r>
      <w:r w:rsidRPr="00731632">
        <w:rPr>
          <w:color w:val="000000" w:themeColor="text1"/>
        </w:rPr>
        <w:t xml:space="preserve"> (referred to as </w:t>
      </w:r>
      <w:r w:rsidR="0052781F" w:rsidRPr="00731632">
        <w:rPr>
          <w:color w:val="000000" w:themeColor="text1"/>
        </w:rPr>
        <w:t>MA RSV</w:t>
      </w:r>
      <w:r w:rsidRPr="00731632">
        <w:rPr>
          <w:color w:val="000000" w:themeColor="text1"/>
        </w:rPr>
        <w:t xml:space="preserve"> LRTI in </w:t>
      </w:r>
      <w:r w:rsidR="00CF3110" w:rsidRPr="00731632">
        <w:rPr>
          <w:color w:val="000000" w:themeColor="text1"/>
        </w:rPr>
        <w:t xml:space="preserve">the </w:t>
      </w:r>
      <w:r w:rsidRPr="00731632">
        <w:rPr>
          <w:color w:val="000000" w:themeColor="text1"/>
        </w:rPr>
        <w:t>clinical evidence)</w:t>
      </w:r>
      <w:r w:rsidR="00CF3110" w:rsidRPr="00731632">
        <w:rPr>
          <w:color w:val="000000" w:themeColor="text1"/>
        </w:rPr>
        <w:t>;</w:t>
      </w:r>
      <w:r w:rsidRPr="00731632">
        <w:rPr>
          <w:color w:val="000000" w:themeColor="text1"/>
        </w:rPr>
        <w:t xml:space="preserve"> cost per additional life year</w:t>
      </w:r>
      <w:r w:rsidR="00E527B8" w:rsidRPr="00731632">
        <w:rPr>
          <w:color w:val="000000" w:themeColor="text1"/>
        </w:rPr>
        <w:t xml:space="preserve"> gained</w:t>
      </w:r>
      <w:r w:rsidR="00CF3110" w:rsidRPr="00731632">
        <w:rPr>
          <w:color w:val="000000" w:themeColor="text1"/>
        </w:rPr>
        <w:t xml:space="preserve">; </w:t>
      </w:r>
      <w:r w:rsidRPr="00731632">
        <w:rPr>
          <w:color w:val="000000" w:themeColor="text1"/>
        </w:rPr>
        <w:t>and cost per additional</w:t>
      </w:r>
      <w:r w:rsidR="00E60F83" w:rsidRPr="00731632">
        <w:rPr>
          <w:color w:val="000000" w:themeColor="text1"/>
        </w:rPr>
        <w:t xml:space="preserve"> quality adjusted life year</w:t>
      </w:r>
      <w:r w:rsidRPr="00731632">
        <w:rPr>
          <w:color w:val="000000" w:themeColor="text1"/>
        </w:rPr>
        <w:t xml:space="preserve"> </w:t>
      </w:r>
      <w:r w:rsidR="00E60F83" w:rsidRPr="00731632">
        <w:rPr>
          <w:color w:val="000000" w:themeColor="text1"/>
        </w:rPr>
        <w:t>(</w:t>
      </w:r>
      <w:r w:rsidRPr="00731632">
        <w:rPr>
          <w:color w:val="000000" w:themeColor="text1"/>
        </w:rPr>
        <w:t>QALY</w:t>
      </w:r>
      <w:r w:rsidR="00E60F83" w:rsidRPr="00731632">
        <w:rPr>
          <w:color w:val="000000" w:themeColor="text1"/>
        </w:rPr>
        <w:t>)</w:t>
      </w:r>
      <w:r w:rsidR="00E527B8" w:rsidRPr="00731632">
        <w:rPr>
          <w:color w:val="000000" w:themeColor="text1"/>
        </w:rPr>
        <w:t xml:space="preserve"> gained</w:t>
      </w:r>
      <w:r w:rsidRPr="00731632">
        <w:rPr>
          <w:color w:val="000000" w:themeColor="text1"/>
        </w:rPr>
        <w:t>.</w:t>
      </w:r>
    </w:p>
    <w:p w14:paraId="288F0A59" w14:textId="2999E88C" w:rsidR="00EE2FBE" w:rsidRPr="00731632" w:rsidRDefault="00EE2FBE" w:rsidP="00EE2FBE">
      <w:pPr>
        <w:pStyle w:val="3-BodyText"/>
        <w:rPr>
          <w:color w:val="000000" w:themeColor="text1"/>
        </w:rPr>
      </w:pPr>
      <w:r w:rsidRPr="00731632">
        <w:rPr>
          <w:color w:val="000000" w:themeColor="text1"/>
        </w:rPr>
        <w:t xml:space="preserve">The population entering the model </w:t>
      </w:r>
      <w:r w:rsidR="00F677B5" w:rsidRPr="00731632">
        <w:rPr>
          <w:color w:val="000000" w:themeColor="text1"/>
        </w:rPr>
        <w:t xml:space="preserve">was </w:t>
      </w:r>
      <w:r w:rsidRPr="00731632">
        <w:rPr>
          <w:color w:val="000000" w:themeColor="text1"/>
        </w:rPr>
        <w:t>all infants at birth. Infants move</w:t>
      </w:r>
      <w:r w:rsidR="00F677B5" w:rsidRPr="00731632">
        <w:rPr>
          <w:color w:val="000000" w:themeColor="text1"/>
        </w:rPr>
        <w:t>d</w:t>
      </w:r>
      <w:r w:rsidRPr="00731632">
        <w:rPr>
          <w:color w:val="000000" w:themeColor="text1"/>
        </w:rPr>
        <w:t xml:space="preserve"> immediately to Never RSV or to an RSV health state if they </w:t>
      </w:r>
      <w:r w:rsidR="00F677B5" w:rsidRPr="00731632">
        <w:rPr>
          <w:color w:val="000000" w:themeColor="text1"/>
        </w:rPr>
        <w:t xml:space="preserve">had </w:t>
      </w:r>
      <w:r w:rsidR="0052781F" w:rsidRPr="00731632">
        <w:rPr>
          <w:color w:val="000000" w:themeColor="text1"/>
        </w:rPr>
        <w:t>MA RSV</w:t>
      </w:r>
      <w:r w:rsidRPr="00731632">
        <w:rPr>
          <w:color w:val="000000" w:themeColor="text1"/>
        </w:rPr>
        <w:t xml:space="preserve"> in the first month of life. Nirsevimab </w:t>
      </w:r>
      <w:r w:rsidR="008A175D" w:rsidRPr="00731632">
        <w:rPr>
          <w:color w:val="000000" w:themeColor="text1"/>
        </w:rPr>
        <w:t xml:space="preserve">administration </w:t>
      </w:r>
      <w:r w:rsidR="00F677B5" w:rsidRPr="00731632">
        <w:rPr>
          <w:color w:val="000000" w:themeColor="text1"/>
        </w:rPr>
        <w:t>occur</w:t>
      </w:r>
      <w:r w:rsidR="00301F3B" w:rsidRPr="00731632">
        <w:rPr>
          <w:color w:val="000000" w:themeColor="text1"/>
        </w:rPr>
        <w:t>r</w:t>
      </w:r>
      <w:r w:rsidR="00F677B5" w:rsidRPr="00731632">
        <w:rPr>
          <w:color w:val="000000" w:themeColor="text1"/>
        </w:rPr>
        <w:t xml:space="preserve">ed </w:t>
      </w:r>
      <w:r w:rsidR="008A175D" w:rsidRPr="00731632">
        <w:rPr>
          <w:color w:val="000000" w:themeColor="text1"/>
        </w:rPr>
        <w:t>at birth for infants born within the RSV season, or</w:t>
      </w:r>
      <w:r w:rsidR="00F677B5" w:rsidRPr="00731632">
        <w:rPr>
          <w:color w:val="000000" w:themeColor="text1"/>
        </w:rPr>
        <w:t xml:space="preserve"> was </w:t>
      </w:r>
      <w:r w:rsidR="008A175D" w:rsidRPr="00731632">
        <w:rPr>
          <w:color w:val="000000" w:themeColor="text1"/>
        </w:rPr>
        <w:t xml:space="preserve">delayed until the start of the season </w:t>
      </w:r>
      <w:r w:rsidR="00F677B5" w:rsidRPr="00731632">
        <w:rPr>
          <w:color w:val="000000" w:themeColor="text1"/>
        </w:rPr>
        <w:t xml:space="preserve">for </w:t>
      </w:r>
      <w:r w:rsidR="008A175D" w:rsidRPr="00731632">
        <w:rPr>
          <w:color w:val="000000" w:themeColor="text1"/>
        </w:rPr>
        <w:t xml:space="preserve">infants born before the season. </w:t>
      </w:r>
      <w:r w:rsidR="00CF3110" w:rsidRPr="00731632">
        <w:rPr>
          <w:color w:val="000000" w:themeColor="text1"/>
        </w:rPr>
        <w:t>I</w:t>
      </w:r>
      <w:r w:rsidR="008A175D" w:rsidRPr="00731632">
        <w:rPr>
          <w:color w:val="000000" w:themeColor="text1"/>
        </w:rPr>
        <w:t>nfants in wh</w:t>
      </w:r>
      <w:r w:rsidR="00CF3110" w:rsidRPr="00731632">
        <w:rPr>
          <w:color w:val="000000" w:themeColor="text1"/>
        </w:rPr>
        <w:t>om</w:t>
      </w:r>
      <w:r w:rsidR="008A175D" w:rsidRPr="00731632">
        <w:rPr>
          <w:color w:val="000000" w:themeColor="text1"/>
        </w:rPr>
        <w:t xml:space="preserve"> administration</w:t>
      </w:r>
      <w:r w:rsidR="00F677B5" w:rsidRPr="00731632">
        <w:rPr>
          <w:color w:val="000000" w:themeColor="text1"/>
        </w:rPr>
        <w:t xml:space="preserve"> was </w:t>
      </w:r>
      <w:r w:rsidR="008A175D" w:rsidRPr="00731632">
        <w:rPr>
          <w:color w:val="000000" w:themeColor="text1"/>
        </w:rPr>
        <w:t>delayed</w:t>
      </w:r>
      <w:r w:rsidR="005D4D83" w:rsidRPr="00731632">
        <w:rPr>
          <w:color w:val="000000" w:themeColor="text1"/>
        </w:rPr>
        <w:t xml:space="preserve"> until the beginning of the RSV season</w:t>
      </w:r>
      <w:r w:rsidR="008A175D" w:rsidRPr="00731632">
        <w:rPr>
          <w:color w:val="000000" w:themeColor="text1"/>
        </w:rPr>
        <w:t xml:space="preserve"> </w:t>
      </w:r>
      <w:r w:rsidR="00F677B5" w:rsidRPr="00731632">
        <w:rPr>
          <w:color w:val="000000" w:themeColor="text1"/>
        </w:rPr>
        <w:t xml:space="preserve">were </w:t>
      </w:r>
      <w:r w:rsidR="00CF3110" w:rsidRPr="00731632">
        <w:rPr>
          <w:color w:val="000000" w:themeColor="text1"/>
        </w:rPr>
        <w:t>assumed to</w:t>
      </w:r>
      <w:r w:rsidR="008A175D" w:rsidRPr="00731632">
        <w:rPr>
          <w:color w:val="000000" w:themeColor="text1"/>
        </w:rPr>
        <w:t xml:space="preserve"> receive nirsevimab in January in </w:t>
      </w:r>
      <w:r w:rsidR="005D4D83" w:rsidRPr="00731632">
        <w:rPr>
          <w:color w:val="000000" w:themeColor="text1"/>
        </w:rPr>
        <w:t>t</w:t>
      </w:r>
      <w:r w:rsidR="008A175D" w:rsidRPr="00731632">
        <w:rPr>
          <w:color w:val="000000" w:themeColor="text1"/>
        </w:rPr>
        <w:t xml:space="preserve">ropical climates and April in </w:t>
      </w:r>
      <w:r w:rsidR="005D4D83" w:rsidRPr="00731632">
        <w:rPr>
          <w:color w:val="000000" w:themeColor="text1"/>
        </w:rPr>
        <w:t>t</w:t>
      </w:r>
      <w:r w:rsidR="008A175D" w:rsidRPr="00731632">
        <w:rPr>
          <w:color w:val="000000" w:themeColor="text1"/>
        </w:rPr>
        <w:t>emperate climates.</w:t>
      </w:r>
      <w:r w:rsidR="008A175D" w:rsidRPr="00731632" w:rsidDel="0091049E">
        <w:rPr>
          <w:color w:val="000000" w:themeColor="text1"/>
        </w:rPr>
        <w:t xml:space="preserve"> </w:t>
      </w:r>
    </w:p>
    <w:p w14:paraId="128CCA9B" w14:textId="6D230116" w:rsidR="00EE2FBE" w:rsidRPr="00731632" w:rsidRDefault="00EE2FBE" w:rsidP="00EE2FBE">
      <w:pPr>
        <w:pStyle w:val="3-BodyText"/>
        <w:rPr>
          <w:color w:val="000000" w:themeColor="text1"/>
        </w:rPr>
      </w:pPr>
      <w:r w:rsidRPr="00731632">
        <w:rPr>
          <w:color w:val="000000" w:themeColor="text1"/>
        </w:rPr>
        <w:t xml:space="preserve">Although the annual incidence of </w:t>
      </w:r>
      <w:r w:rsidR="0052781F" w:rsidRPr="00731632">
        <w:rPr>
          <w:color w:val="000000" w:themeColor="text1"/>
        </w:rPr>
        <w:t>MA RSV</w:t>
      </w:r>
      <w:r w:rsidRPr="00731632">
        <w:rPr>
          <w:color w:val="000000" w:themeColor="text1"/>
        </w:rPr>
        <w:t xml:space="preserve"> (10.8%)</w:t>
      </w:r>
      <w:r w:rsidR="00F677B5" w:rsidRPr="00731632">
        <w:rPr>
          <w:color w:val="000000" w:themeColor="text1"/>
        </w:rPr>
        <w:t xml:space="preserve"> was </w:t>
      </w:r>
      <w:r w:rsidRPr="00731632">
        <w:rPr>
          <w:color w:val="000000" w:themeColor="text1"/>
        </w:rPr>
        <w:t>estimated from a key study (MELODY), the distribution of the cases across the season</w:t>
      </w:r>
      <w:r w:rsidR="00F677B5" w:rsidRPr="00731632">
        <w:rPr>
          <w:color w:val="000000" w:themeColor="text1"/>
        </w:rPr>
        <w:t xml:space="preserve"> was </w:t>
      </w:r>
      <w:r w:rsidRPr="00731632">
        <w:rPr>
          <w:color w:val="000000" w:themeColor="text1"/>
        </w:rPr>
        <w:t>informed by an Australian study comparing RSV cases in Adelaide, South Australia (temperate population) and Cairns, North Queensland (tropical population)</w:t>
      </w:r>
      <w:r w:rsidRPr="00731632">
        <w:rPr>
          <w:rStyle w:val="FootnoteReference"/>
          <w:color w:val="000000" w:themeColor="text1"/>
        </w:rPr>
        <w:footnoteReference w:id="17"/>
      </w:r>
      <w:r w:rsidRPr="00731632">
        <w:rPr>
          <w:color w:val="000000" w:themeColor="text1"/>
        </w:rPr>
        <w:t>.</w:t>
      </w:r>
    </w:p>
    <w:p w14:paraId="3E4560B8" w14:textId="0027F56A" w:rsidR="00EE2FBE" w:rsidRPr="00731632" w:rsidRDefault="00EE2FBE" w:rsidP="00EE2FBE">
      <w:pPr>
        <w:pStyle w:val="3-BodyText"/>
        <w:rPr>
          <w:color w:val="000000" w:themeColor="text1"/>
        </w:rPr>
      </w:pPr>
      <w:r w:rsidRPr="00731632">
        <w:rPr>
          <w:color w:val="000000" w:themeColor="text1"/>
        </w:rPr>
        <w:t xml:space="preserve">The model results </w:t>
      </w:r>
      <w:r w:rsidR="00C64F28" w:rsidRPr="00731632">
        <w:rPr>
          <w:color w:val="000000" w:themeColor="text1"/>
        </w:rPr>
        <w:t xml:space="preserve">were </w:t>
      </w:r>
      <w:r w:rsidRPr="00731632">
        <w:rPr>
          <w:color w:val="000000" w:themeColor="text1"/>
        </w:rPr>
        <w:t xml:space="preserve">estimated across three different timelines. The impact of nirsevimab on the number of </w:t>
      </w:r>
      <w:r w:rsidR="0052781F" w:rsidRPr="00731632">
        <w:rPr>
          <w:color w:val="000000" w:themeColor="text1"/>
        </w:rPr>
        <w:t>MA RSV</w:t>
      </w:r>
      <w:r w:rsidRPr="00731632">
        <w:rPr>
          <w:color w:val="000000" w:themeColor="text1"/>
        </w:rPr>
        <w:t xml:space="preserve"> cases</w:t>
      </w:r>
      <w:r w:rsidR="00F677B5" w:rsidRPr="00731632">
        <w:rPr>
          <w:color w:val="000000" w:themeColor="text1"/>
        </w:rPr>
        <w:t xml:space="preserve"> was </w:t>
      </w:r>
      <w:r w:rsidRPr="00731632">
        <w:rPr>
          <w:color w:val="000000" w:themeColor="text1"/>
        </w:rPr>
        <w:t xml:space="preserve">estimated over </w:t>
      </w:r>
      <w:r w:rsidR="00CF3110" w:rsidRPr="00731632">
        <w:rPr>
          <w:color w:val="000000" w:themeColor="text1"/>
        </w:rPr>
        <w:t>one</w:t>
      </w:r>
      <w:r w:rsidRPr="00731632">
        <w:rPr>
          <w:color w:val="000000" w:themeColor="text1"/>
        </w:rPr>
        <w:t xml:space="preserve"> year. The impact of hospitalised </w:t>
      </w:r>
      <w:r w:rsidR="0052781F" w:rsidRPr="00731632">
        <w:rPr>
          <w:color w:val="000000" w:themeColor="text1"/>
        </w:rPr>
        <w:t>MA RSV</w:t>
      </w:r>
      <w:r w:rsidRPr="00731632">
        <w:rPr>
          <w:color w:val="000000" w:themeColor="text1"/>
        </w:rPr>
        <w:t xml:space="preserve"> on recurrent wheezing</w:t>
      </w:r>
      <w:r w:rsidR="00F677B5" w:rsidRPr="00731632">
        <w:rPr>
          <w:color w:val="000000" w:themeColor="text1"/>
        </w:rPr>
        <w:t xml:space="preserve"> was </w:t>
      </w:r>
      <w:r w:rsidRPr="00731632">
        <w:rPr>
          <w:color w:val="000000" w:themeColor="text1"/>
        </w:rPr>
        <w:t xml:space="preserve">estimated over </w:t>
      </w:r>
      <w:r w:rsidR="00CF3110" w:rsidRPr="00731632">
        <w:rPr>
          <w:color w:val="000000" w:themeColor="text1"/>
        </w:rPr>
        <w:t>three</w:t>
      </w:r>
      <w:r w:rsidRPr="00731632">
        <w:rPr>
          <w:color w:val="000000" w:themeColor="text1"/>
        </w:rPr>
        <w:t xml:space="preserve"> years. Infants who remain alive at the end of Year 1 accrue life years and QALYs based on Australian life expectancy (at the age of </w:t>
      </w:r>
      <w:r w:rsidR="00CF3110" w:rsidRPr="00731632">
        <w:rPr>
          <w:color w:val="000000" w:themeColor="text1"/>
        </w:rPr>
        <w:t>two years</w:t>
      </w:r>
      <w:r w:rsidRPr="00731632">
        <w:rPr>
          <w:color w:val="000000" w:themeColor="text1"/>
        </w:rPr>
        <w:t xml:space="preserve">). </w:t>
      </w:r>
    </w:p>
    <w:p w14:paraId="069C4678" w14:textId="18A14F2B" w:rsidR="00EE2FBE" w:rsidRPr="00731632" w:rsidRDefault="00EE2FBE" w:rsidP="00EE2FBE">
      <w:pPr>
        <w:pStyle w:val="3-BodyText"/>
        <w:rPr>
          <w:color w:val="000000" w:themeColor="text1"/>
        </w:rPr>
      </w:pPr>
      <w:r w:rsidRPr="00731632">
        <w:rPr>
          <w:color w:val="000000" w:themeColor="text1"/>
        </w:rPr>
        <w:t>The model structure and key inputs</w:t>
      </w:r>
      <w:r w:rsidR="00F677B5" w:rsidRPr="00731632">
        <w:rPr>
          <w:color w:val="000000" w:themeColor="text1"/>
        </w:rPr>
        <w:t xml:space="preserve"> were </w:t>
      </w:r>
      <w:r w:rsidRPr="00731632">
        <w:rPr>
          <w:color w:val="000000" w:themeColor="text1"/>
        </w:rPr>
        <w:t xml:space="preserve">given in </w:t>
      </w:r>
      <w:r w:rsidRPr="00731632">
        <w:rPr>
          <w:color w:val="000000" w:themeColor="text1"/>
        </w:rPr>
        <w:fldChar w:fldCharType="begin"/>
      </w:r>
      <w:r w:rsidRPr="00731632">
        <w:rPr>
          <w:color w:val="000000" w:themeColor="text1"/>
        </w:rPr>
        <w:instrText xml:space="preserve"> REF _Ref152679753 \h </w:instrText>
      </w:r>
      <w:r w:rsidRPr="00731632">
        <w:rPr>
          <w:color w:val="000000" w:themeColor="text1"/>
        </w:rPr>
      </w:r>
      <w:r w:rsidRPr="00731632">
        <w:rPr>
          <w:color w:val="000000" w:themeColor="text1"/>
        </w:rPr>
        <w:fldChar w:fldCharType="separate"/>
      </w:r>
      <w:r w:rsidR="00D770BB" w:rsidRPr="00731632">
        <w:t xml:space="preserve">Table </w:t>
      </w:r>
      <w:r w:rsidR="00D770BB">
        <w:rPr>
          <w:noProof/>
        </w:rPr>
        <w:t>17</w:t>
      </w:r>
      <w:r w:rsidRPr="00731632">
        <w:rPr>
          <w:color w:val="000000" w:themeColor="text1"/>
        </w:rPr>
        <w:fldChar w:fldCharType="end"/>
      </w:r>
      <w:r w:rsidRPr="00731632">
        <w:rPr>
          <w:color w:val="000000" w:themeColor="text1"/>
        </w:rPr>
        <w:t>.</w:t>
      </w:r>
    </w:p>
    <w:p w14:paraId="4BE6A05A" w14:textId="793BE464" w:rsidR="00EE2FBE" w:rsidRPr="00731632" w:rsidRDefault="00EE2FBE" w:rsidP="00EE2FBE">
      <w:pPr>
        <w:pStyle w:val="Caption"/>
      </w:pPr>
      <w:bookmarkStart w:id="67" w:name="_Ref152679753"/>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17</w:t>
      </w:r>
      <w:r w:rsidR="00BD1FC6" w:rsidRPr="00731632">
        <w:fldChar w:fldCharType="end"/>
      </w:r>
      <w:bookmarkEnd w:id="67"/>
      <w:r w:rsidRPr="00731632">
        <w:t>: Summary of model structure and key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7: Summary of model structure and key inputs"/>
      </w:tblPr>
      <w:tblGrid>
        <w:gridCol w:w="1414"/>
        <w:gridCol w:w="7603"/>
      </w:tblGrid>
      <w:tr w:rsidR="00EE2FBE" w:rsidRPr="00731632" w14:paraId="5929C5C8" w14:textId="77777777" w:rsidTr="00312A3A">
        <w:trPr>
          <w:tblHeader/>
        </w:trPr>
        <w:tc>
          <w:tcPr>
            <w:tcW w:w="784" w:type="pct"/>
            <w:shd w:val="clear" w:color="auto" w:fill="auto"/>
            <w:vAlign w:val="center"/>
          </w:tcPr>
          <w:p w14:paraId="69A27230" w14:textId="77777777" w:rsidR="00EE2FBE" w:rsidRPr="00731632" w:rsidRDefault="00EE2FBE" w:rsidP="00577D17">
            <w:pPr>
              <w:pStyle w:val="TableFigureHeading"/>
              <w:widowControl w:val="0"/>
            </w:pPr>
            <w:r w:rsidRPr="00731632">
              <w:t>Component</w:t>
            </w:r>
          </w:p>
        </w:tc>
        <w:tc>
          <w:tcPr>
            <w:tcW w:w="4216" w:type="pct"/>
            <w:shd w:val="clear" w:color="auto" w:fill="auto"/>
            <w:vAlign w:val="center"/>
          </w:tcPr>
          <w:p w14:paraId="18037EF2" w14:textId="77777777" w:rsidR="00EE2FBE" w:rsidRPr="00731632" w:rsidRDefault="00EE2FBE" w:rsidP="00577D17">
            <w:pPr>
              <w:pStyle w:val="TableFigureHeading"/>
              <w:widowControl w:val="0"/>
            </w:pPr>
            <w:r w:rsidRPr="00731632">
              <w:t>Summary</w:t>
            </w:r>
          </w:p>
        </w:tc>
      </w:tr>
      <w:tr w:rsidR="00EE2FBE" w:rsidRPr="00731632" w14:paraId="6AC32543" w14:textId="77777777" w:rsidTr="00312A3A">
        <w:tc>
          <w:tcPr>
            <w:tcW w:w="784" w:type="pct"/>
            <w:shd w:val="clear" w:color="auto" w:fill="auto"/>
            <w:vAlign w:val="center"/>
          </w:tcPr>
          <w:p w14:paraId="32956884" w14:textId="77777777" w:rsidR="00EE2FBE" w:rsidRPr="00731632" w:rsidRDefault="00EE2FBE" w:rsidP="00577D17">
            <w:pPr>
              <w:pStyle w:val="TableText0"/>
              <w:widowControl w:val="0"/>
            </w:pPr>
            <w:r w:rsidRPr="00731632">
              <w:t>Treatments</w:t>
            </w:r>
          </w:p>
        </w:tc>
        <w:tc>
          <w:tcPr>
            <w:tcW w:w="4216" w:type="pct"/>
            <w:shd w:val="clear" w:color="auto" w:fill="auto"/>
            <w:vAlign w:val="center"/>
          </w:tcPr>
          <w:p w14:paraId="28D76825" w14:textId="77777777" w:rsidR="00EE2FBE" w:rsidRPr="00731632" w:rsidRDefault="00EE2FBE" w:rsidP="00577D17">
            <w:pPr>
              <w:pStyle w:val="TableText0"/>
              <w:widowControl w:val="0"/>
            </w:pPr>
            <w:r w:rsidRPr="00731632">
              <w:t>Nirsevimab vs standard of care (no treatment)</w:t>
            </w:r>
          </w:p>
        </w:tc>
      </w:tr>
      <w:tr w:rsidR="00EE2FBE" w:rsidRPr="00731632" w14:paraId="557FC9AC" w14:textId="77777777" w:rsidTr="00312A3A">
        <w:tc>
          <w:tcPr>
            <w:tcW w:w="784" w:type="pct"/>
            <w:shd w:val="clear" w:color="auto" w:fill="auto"/>
            <w:vAlign w:val="center"/>
          </w:tcPr>
          <w:p w14:paraId="5B7962AA" w14:textId="77777777" w:rsidR="00EE2FBE" w:rsidRPr="00731632" w:rsidRDefault="00EE2FBE" w:rsidP="00312A3A">
            <w:pPr>
              <w:pStyle w:val="TableText0"/>
              <w:keepNext w:val="0"/>
              <w:widowControl w:val="0"/>
            </w:pPr>
            <w:r w:rsidRPr="00731632">
              <w:t>Time horizon</w:t>
            </w:r>
          </w:p>
        </w:tc>
        <w:tc>
          <w:tcPr>
            <w:tcW w:w="4216" w:type="pct"/>
            <w:shd w:val="clear" w:color="auto" w:fill="auto"/>
            <w:vAlign w:val="center"/>
          </w:tcPr>
          <w:p w14:paraId="5ACB001A" w14:textId="3390C4CC" w:rsidR="00EE2FBE" w:rsidRPr="00731632" w:rsidRDefault="00EE2FBE" w:rsidP="00312A3A">
            <w:pPr>
              <w:pStyle w:val="TableText0"/>
              <w:keepNext w:val="0"/>
              <w:widowControl w:val="0"/>
            </w:pPr>
            <w:r w:rsidRPr="00731632">
              <w:t xml:space="preserve">1 year for avoiding </w:t>
            </w:r>
            <w:r w:rsidR="0052781F" w:rsidRPr="00731632">
              <w:t>MA RSV</w:t>
            </w:r>
            <w:r w:rsidRPr="00731632">
              <w:t xml:space="preserve"> cases (and related health states).</w:t>
            </w:r>
          </w:p>
          <w:p w14:paraId="38CFD850" w14:textId="77777777" w:rsidR="00EE2FBE" w:rsidRPr="00731632" w:rsidRDefault="00EE2FBE" w:rsidP="00312A3A">
            <w:pPr>
              <w:pStyle w:val="TableText0"/>
              <w:keepNext w:val="0"/>
              <w:widowControl w:val="0"/>
            </w:pPr>
            <w:r w:rsidRPr="00731632">
              <w:t>3 years for accruing costs and outcomes related to recurrent wheezing.</w:t>
            </w:r>
          </w:p>
          <w:p w14:paraId="18AA3A00" w14:textId="77777777" w:rsidR="00EE2FBE" w:rsidRPr="00731632" w:rsidRDefault="00EE2FBE" w:rsidP="00312A3A">
            <w:pPr>
              <w:pStyle w:val="TableText0"/>
              <w:keepNext w:val="0"/>
              <w:widowControl w:val="0"/>
            </w:pPr>
            <w:r w:rsidRPr="00731632">
              <w:t>Lifetime for accruing life years and QALYs for infants surviving after Year 1.</w:t>
            </w:r>
          </w:p>
        </w:tc>
      </w:tr>
      <w:tr w:rsidR="00EE2FBE" w:rsidRPr="00731632" w14:paraId="0832F257" w14:textId="77777777" w:rsidTr="00312A3A">
        <w:tc>
          <w:tcPr>
            <w:tcW w:w="784" w:type="pct"/>
            <w:shd w:val="clear" w:color="auto" w:fill="auto"/>
            <w:vAlign w:val="center"/>
          </w:tcPr>
          <w:p w14:paraId="2268A3C1" w14:textId="77777777" w:rsidR="00EE2FBE" w:rsidRPr="00731632" w:rsidRDefault="00EE2FBE" w:rsidP="00312A3A">
            <w:pPr>
              <w:pStyle w:val="TableText0"/>
              <w:keepNext w:val="0"/>
              <w:widowControl w:val="0"/>
            </w:pPr>
            <w:r w:rsidRPr="00731632">
              <w:t>Outcomes</w:t>
            </w:r>
          </w:p>
        </w:tc>
        <w:tc>
          <w:tcPr>
            <w:tcW w:w="4216" w:type="pct"/>
            <w:shd w:val="clear" w:color="auto" w:fill="auto"/>
            <w:vAlign w:val="center"/>
          </w:tcPr>
          <w:p w14:paraId="235ED58B" w14:textId="4EF29257" w:rsidR="00EE2FBE" w:rsidRPr="00731632" w:rsidRDefault="00EE2FBE" w:rsidP="00312A3A">
            <w:pPr>
              <w:pStyle w:val="PBACTableText"/>
              <w:widowControl w:val="0"/>
            </w:pPr>
            <w:r w:rsidRPr="00731632">
              <w:t xml:space="preserve">Cases of </w:t>
            </w:r>
            <w:r w:rsidR="0052781F" w:rsidRPr="00731632">
              <w:t>MA RSV</w:t>
            </w:r>
            <w:r w:rsidRPr="00731632">
              <w:t>, cases of hospitalised RSV, deaths, life years gained and QALYs gained.</w:t>
            </w:r>
          </w:p>
        </w:tc>
      </w:tr>
      <w:tr w:rsidR="00EE2FBE" w:rsidRPr="00731632" w14:paraId="43C12AD4" w14:textId="77777777" w:rsidTr="00312A3A">
        <w:tc>
          <w:tcPr>
            <w:tcW w:w="784" w:type="pct"/>
            <w:shd w:val="clear" w:color="auto" w:fill="auto"/>
            <w:vAlign w:val="center"/>
          </w:tcPr>
          <w:p w14:paraId="2587B9F7" w14:textId="77777777" w:rsidR="00EE2FBE" w:rsidRPr="00731632" w:rsidRDefault="00EE2FBE" w:rsidP="00312A3A">
            <w:pPr>
              <w:pStyle w:val="TableText0"/>
              <w:keepNext w:val="0"/>
              <w:widowControl w:val="0"/>
            </w:pPr>
            <w:r w:rsidRPr="00731632">
              <w:t>Methods used to generate results</w:t>
            </w:r>
          </w:p>
        </w:tc>
        <w:tc>
          <w:tcPr>
            <w:tcW w:w="4216" w:type="pct"/>
            <w:shd w:val="clear" w:color="auto" w:fill="auto"/>
            <w:vAlign w:val="center"/>
          </w:tcPr>
          <w:p w14:paraId="7DC9DA1B" w14:textId="61768BC6" w:rsidR="00EE2FBE" w:rsidRPr="00731632" w:rsidRDefault="00EE2FBE" w:rsidP="00312A3A">
            <w:pPr>
              <w:pStyle w:val="TableText0"/>
              <w:keepNext w:val="0"/>
              <w:widowControl w:val="0"/>
            </w:pPr>
            <w:r w:rsidRPr="00731632">
              <w:t xml:space="preserve">A static cohort model, with two populations (tropical and temperate), and twelve birth cohorts. </w:t>
            </w:r>
            <w:r w:rsidR="00B63F4A" w:rsidRPr="00731632">
              <w:t>Individuals</w:t>
            </w:r>
            <w:r w:rsidRPr="00731632">
              <w:t xml:space="preserve"> enter</w:t>
            </w:r>
            <w:r w:rsidR="00C64F28" w:rsidRPr="00731632">
              <w:t>ed</w:t>
            </w:r>
            <w:r w:rsidRPr="00731632">
              <w:t xml:space="preserve"> the model at birth and</w:t>
            </w:r>
            <w:r w:rsidR="00F677B5" w:rsidRPr="00731632">
              <w:t xml:space="preserve"> were </w:t>
            </w:r>
            <w:r w:rsidRPr="00731632">
              <w:t>treated at the beginning of the RSV season, or at birth if this</w:t>
            </w:r>
            <w:r w:rsidR="00F677B5" w:rsidRPr="00731632">
              <w:t xml:space="preserve"> was </w:t>
            </w:r>
            <w:r w:rsidRPr="00731632">
              <w:t>in the RSV season. The timing of nirsevimab administration</w:t>
            </w:r>
            <w:r w:rsidR="00F677B5" w:rsidRPr="00731632">
              <w:t xml:space="preserve"> was </w:t>
            </w:r>
            <w:r w:rsidRPr="00731632">
              <w:t>important in the model because nirsevimab protection</w:t>
            </w:r>
            <w:r w:rsidR="00F677B5" w:rsidRPr="00731632">
              <w:t xml:space="preserve"> was </w:t>
            </w:r>
            <w:r w:rsidRPr="00731632">
              <w:t>estimated to be 5 months</w:t>
            </w:r>
            <w:r w:rsidR="001A3D9A" w:rsidRPr="00731632">
              <w:t xml:space="preserve"> (i.e., nirsevimab</w:t>
            </w:r>
            <w:r w:rsidR="00F677B5" w:rsidRPr="00731632">
              <w:t xml:space="preserve"> was </w:t>
            </w:r>
            <w:r w:rsidR="001A3D9A" w:rsidRPr="00731632">
              <w:t xml:space="preserve">assumed to prevent 79.5% of all </w:t>
            </w:r>
            <w:r w:rsidR="0052781F" w:rsidRPr="00731632">
              <w:t>MA RSV</w:t>
            </w:r>
            <w:r w:rsidR="001A3D9A" w:rsidRPr="00731632">
              <w:t xml:space="preserve"> cases for five months, then have no effect on </w:t>
            </w:r>
            <w:r w:rsidR="0052781F" w:rsidRPr="00731632">
              <w:t>MA RSV</w:t>
            </w:r>
            <w:r w:rsidR="001A3D9A" w:rsidRPr="00731632">
              <w:t>)</w:t>
            </w:r>
            <w:r w:rsidRPr="00731632">
              <w:t xml:space="preserve">. Therefore, nirsevimab administration at the beginning of the season will prevent more </w:t>
            </w:r>
            <w:r w:rsidR="0052781F" w:rsidRPr="00731632">
              <w:t>MA RSV</w:t>
            </w:r>
            <w:r w:rsidRPr="00731632">
              <w:t xml:space="preserve"> than administration out of season. </w:t>
            </w:r>
          </w:p>
        </w:tc>
      </w:tr>
      <w:tr w:rsidR="00EE2FBE" w:rsidRPr="00731632" w14:paraId="1D6015E4" w14:textId="77777777" w:rsidTr="00312A3A">
        <w:tc>
          <w:tcPr>
            <w:tcW w:w="784" w:type="pct"/>
            <w:shd w:val="clear" w:color="auto" w:fill="auto"/>
            <w:vAlign w:val="center"/>
          </w:tcPr>
          <w:p w14:paraId="6494EBF1" w14:textId="77777777" w:rsidR="00EE2FBE" w:rsidRPr="00731632" w:rsidRDefault="00EE2FBE" w:rsidP="00312A3A">
            <w:pPr>
              <w:pStyle w:val="TableText0"/>
              <w:keepNext w:val="0"/>
              <w:widowControl w:val="0"/>
            </w:pPr>
            <w:r w:rsidRPr="00731632">
              <w:t>Health states</w:t>
            </w:r>
          </w:p>
        </w:tc>
        <w:tc>
          <w:tcPr>
            <w:tcW w:w="4216" w:type="pct"/>
            <w:shd w:val="clear" w:color="auto" w:fill="auto"/>
            <w:vAlign w:val="center"/>
          </w:tcPr>
          <w:p w14:paraId="402C7017" w14:textId="77777777" w:rsidR="00EE2FBE" w:rsidRPr="00731632" w:rsidRDefault="00EE2FBE" w:rsidP="00312A3A">
            <w:pPr>
              <w:pStyle w:val="TableText0"/>
              <w:keepNext w:val="0"/>
              <w:widowControl w:val="0"/>
            </w:pPr>
            <w:r w:rsidRPr="00731632">
              <w:t>Never RSV, Recovered RSV, Primary Care RSV (GP or emergency presentation), Hospitalised RSV or death.</w:t>
            </w:r>
          </w:p>
          <w:p w14:paraId="03D4FFA5" w14:textId="3159712A" w:rsidR="00EE2FBE" w:rsidRPr="00731632" w:rsidRDefault="00EE2FBE" w:rsidP="00312A3A">
            <w:pPr>
              <w:pStyle w:val="TableText0"/>
              <w:keepNext w:val="0"/>
              <w:widowControl w:val="0"/>
            </w:pPr>
            <w:r w:rsidRPr="00731632">
              <w:t>Health states within the hospitalised RSV health state</w:t>
            </w:r>
            <w:r w:rsidR="00F677B5" w:rsidRPr="00731632">
              <w:t xml:space="preserve"> were </w:t>
            </w:r>
            <w:r w:rsidRPr="00731632">
              <w:t>attendance in ICU, mechanical ventilation, asthma or recurrent wheezing.</w:t>
            </w:r>
          </w:p>
        </w:tc>
      </w:tr>
      <w:tr w:rsidR="00EE2FBE" w:rsidRPr="00731632" w14:paraId="72D5047D" w14:textId="77777777" w:rsidTr="00312A3A">
        <w:tc>
          <w:tcPr>
            <w:tcW w:w="784" w:type="pct"/>
            <w:shd w:val="clear" w:color="auto" w:fill="auto"/>
            <w:vAlign w:val="center"/>
          </w:tcPr>
          <w:p w14:paraId="0A34811B" w14:textId="77777777" w:rsidR="00EE2FBE" w:rsidRPr="00731632" w:rsidRDefault="00EE2FBE" w:rsidP="00312A3A">
            <w:pPr>
              <w:pStyle w:val="TableText0"/>
              <w:keepNext w:val="0"/>
              <w:widowControl w:val="0"/>
            </w:pPr>
            <w:r w:rsidRPr="00731632">
              <w:t>Cycle length</w:t>
            </w:r>
          </w:p>
        </w:tc>
        <w:tc>
          <w:tcPr>
            <w:tcW w:w="4216" w:type="pct"/>
            <w:shd w:val="clear" w:color="auto" w:fill="auto"/>
            <w:vAlign w:val="center"/>
          </w:tcPr>
          <w:p w14:paraId="1B49A1E8" w14:textId="77777777" w:rsidR="00EE2FBE" w:rsidRPr="00731632" w:rsidRDefault="00EE2FBE" w:rsidP="00312A3A">
            <w:pPr>
              <w:pStyle w:val="TableText0"/>
              <w:keepNext w:val="0"/>
              <w:widowControl w:val="0"/>
            </w:pPr>
            <w:r w:rsidRPr="00731632">
              <w:t>1 month</w:t>
            </w:r>
          </w:p>
        </w:tc>
      </w:tr>
      <w:tr w:rsidR="00EE2FBE" w:rsidRPr="00731632" w14:paraId="481EAB64" w14:textId="77777777" w:rsidTr="00312A3A">
        <w:tc>
          <w:tcPr>
            <w:tcW w:w="784" w:type="pct"/>
            <w:shd w:val="clear" w:color="auto" w:fill="auto"/>
            <w:vAlign w:val="center"/>
          </w:tcPr>
          <w:p w14:paraId="711A2CFD" w14:textId="77777777" w:rsidR="00EE2FBE" w:rsidRPr="00731632" w:rsidRDefault="00EE2FBE" w:rsidP="00312A3A">
            <w:pPr>
              <w:pStyle w:val="TableText0"/>
              <w:keepNext w:val="0"/>
              <w:widowControl w:val="0"/>
            </w:pPr>
            <w:r w:rsidRPr="00731632">
              <w:t xml:space="preserve">Transition probabilities </w:t>
            </w:r>
          </w:p>
          <w:p w14:paraId="143CD03D" w14:textId="77777777" w:rsidR="00EE2FBE" w:rsidRPr="00731632" w:rsidRDefault="00EE2FBE" w:rsidP="00312A3A">
            <w:pPr>
              <w:pStyle w:val="TableText0"/>
              <w:keepNext w:val="0"/>
              <w:widowControl w:val="0"/>
            </w:pPr>
          </w:p>
        </w:tc>
        <w:tc>
          <w:tcPr>
            <w:tcW w:w="4216" w:type="pct"/>
            <w:shd w:val="clear" w:color="auto" w:fill="auto"/>
            <w:vAlign w:val="center"/>
          </w:tcPr>
          <w:p w14:paraId="7C0D5E0B" w14:textId="2DF6CDE1" w:rsidR="00EE2FBE" w:rsidRPr="00731632" w:rsidRDefault="00EE2FBE" w:rsidP="00312A3A">
            <w:pPr>
              <w:pStyle w:val="TableText0"/>
              <w:keepNext w:val="0"/>
              <w:widowControl w:val="0"/>
            </w:pPr>
            <w:r w:rsidRPr="00731632">
              <w:rPr>
                <w:u w:val="single"/>
              </w:rPr>
              <w:t xml:space="preserve">Background incidence of </w:t>
            </w:r>
            <w:r w:rsidR="0052781F" w:rsidRPr="00731632">
              <w:rPr>
                <w:u w:val="single"/>
              </w:rPr>
              <w:t>MA RSV</w:t>
            </w:r>
            <w:r w:rsidRPr="00731632">
              <w:rPr>
                <w:u w:val="single"/>
              </w:rPr>
              <w:t>:</w:t>
            </w:r>
          </w:p>
          <w:p w14:paraId="27DDBA71" w14:textId="2DD9F249" w:rsidR="00EE2FBE" w:rsidRPr="00731632" w:rsidRDefault="00EE2FBE" w:rsidP="00312A3A">
            <w:pPr>
              <w:pStyle w:val="TableText0"/>
              <w:keepNext w:val="0"/>
              <w:widowControl w:val="0"/>
              <w:rPr>
                <w:iCs/>
              </w:rPr>
            </w:pPr>
            <w:r w:rsidRPr="00731632">
              <w:t>RSV incidence</w:t>
            </w:r>
            <w:r w:rsidR="00F677B5" w:rsidRPr="00731632">
              <w:t xml:space="preserve"> was </w:t>
            </w:r>
            <w:r w:rsidRPr="00731632">
              <w:t xml:space="preserve">derived from the key MELODY study. </w:t>
            </w:r>
            <w:r w:rsidR="00F957D3" w:rsidRPr="00731632">
              <w:t xml:space="preserve">The evaluation commented that </w:t>
            </w:r>
            <w:r w:rsidR="00F957D3" w:rsidRPr="00731632">
              <w:rPr>
                <w:iCs/>
              </w:rPr>
              <w:t>t</w:t>
            </w:r>
            <w:r w:rsidRPr="00731632">
              <w:rPr>
                <w:iCs/>
              </w:rPr>
              <w:t>he applicability of the incidence of RSV from an RCT where participants may be more likely to be tested than in clinical practice</w:t>
            </w:r>
            <w:r w:rsidR="00F677B5" w:rsidRPr="00731632">
              <w:rPr>
                <w:iCs/>
              </w:rPr>
              <w:t xml:space="preserve"> was </w:t>
            </w:r>
            <w:r w:rsidRPr="00731632">
              <w:rPr>
                <w:iCs/>
              </w:rPr>
              <w:t xml:space="preserve">unclear. There were few Australian sources for the incidence of </w:t>
            </w:r>
            <w:r w:rsidR="0052781F" w:rsidRPr="00731632">
              <w:rPr>
                <w:iCs/>
              </w:rPr>
              <w:t>MA RSV</w:t>
            </w:r>
            <w:r w:rsidRPr="00731632">
              <w:rPr>
                <w:iCs/>
              </w:rPr>
              <w:t xml:space="preserve">, however based on a study of </w:t>
            </w:r>
            <w:r w:rsidR="0052781F" w:rsidRPr="00731632">
              <w:rPr>
                <w:iCs/>
              </w:rPr>
              <w:t>MA RSV</w:t>
            </w:r>
            <w:r w:rsidRPr="00731632">
              <w:rPr>
                <w:iCs/>
              </w:rPr>
              <w:t xml:space="preserve"> incidence between 2000-2012</w:t>
            </w:r>
            <w:r w:rsidR="00692E64" w:rsidRPr="00731632">
              <w:rPr>
                <w:iCs/>
              </w:rPr>
              <w:fldChar w:fldCharType="begin"/>
            </w:r>
            <w:r w:rsidR="00692E64" w:rsidRPr="00731632">
              <w:rPr>
                <w:iCs/>
              </w:rPr>
              <w:instrText xml:space="preserve"> ADDIN EN.CITE &lt;EndNote&gt;&lt;Cite&gt;&lt;Author&gt;Moore&lt;/Author&gt;&lt;Year&gt;2020&lt;/Year&gt;&lt;RecNum&gt;9&lt;/RecNum&gt;&lt;DisplayText&gt;&lt;style face="superscript"&gt;1&lt;/style&gt;&lt;/DisplayText&gt;&lt;record&gt;&lt;rec-number&gt;9&lt;/rec-number&gt;&lt;foreign-keys&gt;&lt;key app="EN" db-id="0aexxtzzwearetet0a8vtzxufrez0vrseps2" timestamp="1712902585"&gt;9&lt;/key&gt;&lt;/foreign-keys&gt;&lt;ref-type name="Journal Article"&gt;17&lt;/ref-type&gt;&lt;contributors&gt;&lt;authors&gt;&lt;author&gt;Moore, Hannah C&lt;/author&gt;&lt;author&gt;Lim, Faye J&lt;/author&gt;&lt;author&gt;Fathima, Parveen&lt;/author&gt;&lt;author&gt;Barnes, Rosanne&lt;/author&gt;&lt;author&gt;Smith, David W&lt;/author&gt;&lt;author&gt;de Klerk, Nicholas&lt;/author&gt;&lt;author&gt;Blyth, Christopher C&lt;/author&gt;&lt;/authors&gt;&lt;/contributors&gt;&lt;titles&gt;&lt;title&gt;Assessing the burden of laboratory-confirmed respiratory syncytial virus infection in a population cohort of Australian children through record linkage&lt;/title&gt;&lt;secondary-title&gt;The Journal of infectious diseases&lt;/secondary-title&gt;&lt;/titles&gt;&lt;periodical&gt;&lt;full-title&gt;The Journal of infectious diseases&lt;/full-title&gt;&lt;/periodical&gt;&lt;pages&gt;92-101&lt;/pages&gt;&lt;volume&gt;222&lt;/volume&gt;&lt;number&gt;1&lt;/number&gt;&lt;dates&gt;&lt;year&gt;2020&lt;/year&gt;&lt;/dates&gt;&lt;isbn&gt;0022-1899&lt;/isbn&gt;&lt;urls&gt;&lt;/urls&gt;&lt;/record&gt;&lt;/Cite&gt;&lt;/EndNote&gt;</w:instrText>
            </w:r>
            <w:r w:rsidR="00692E64" w:rsidRPr="00731632">
              <w:rPr>
                <w:iCs/>
              </w:rPr>
              <w:fldChar w:fldCharType="separate"/>
            </w:r>
            <w:r w:rsidR="00692E64" w:rsidRPr="00731632">
              <w:rPr>
                <w:iCs/>
                <w:vertAlign w:val="superscript"/>
              </w:rPr>
              <w:t>1</w:t>
            </w:r>
            <w:r w:rsidR="00692E64" w:rsidRPr="00731632">
              <w:rPr>
                <w:iCs/>
              </w:rPr>
              <w:fldChar w:fldCharType="end"/>
            </w:r>
            <w:r w:rsidRPr="00731632">
              <w:rPr>
                <w:iCs/>
              </w:rPr>
              <w:t xml:space="preserve"> and a surveillance report for Queensland (presented in the submission), the estimated </w:t>
            </w:r>
            <w:r w:rsidR="0052781F" w:rsidRPr="00731632">
              <w:rPr>
                <w:iCs/>
              </w:rPr>
              <w:t>MA RSV</w:t>
            </w:r>
            <w:r w:rsidRPr="00731632">
              <w:rPr>
                <w:iCs/>
              </w:rPr>
              <w:t xml:space="preserve"> incidence</w:t>
            </w:r>
            <w:r w:rsidR="00F677B5" w:rsidRPr="00731632">
              <w:rPr>
                <w:iCs/>
              </w:rPr>
              <w:t xml:space="preserve"> was </w:t>
            </w:r>
            <w:r w:rsidRPr="00731632">
              <w:rPr>
                <w:iCs/>
              </w:rPr>
              <w:t>unlikely to be considerably overestimated.</w:t>
            </w:r>
          </w:p>
          <w:p w14:paraId="00465101" w14:textId="77777777" w:rsidR="00EE2FBE" w:rsidRPr="00731632" w:rsidRDefault="00EE2FBE" w:rsidP="00312A3A">
            <w:pPr>
              <w:pStyle w:val="TableText0"/>
              <w:keepNext w:val="0"/>
              <w:widowControl w:val="0"/>
              <w:rPr>
                <w:iCs/>
              </w:rPr>
            </w:pPr>
          </w:p>
          <w:p w14:paraId="249E3F93" w14:textId="77777777" w:rsidR="00EE2FBE" w:rsidRPr="00731632" w:rsidRDefault="00EE2FBE" w:rsidP="00312A3A">
            <w:pPr>
              <w:pStyle w:val="TableText0"/>
              <w:keepNext w:val="0"/>
              <w:widowControl w:val="0"/>
              <w:rPr>
                <w:u w:val="single"/>
              </w:rPr>
            </w:pPr>
            <w:r w:rsidRPr="00731632">
              <w:rPr>
                <w:u w:val="single"/>
              </w:rPr>
              <w:t>RSV hospitalisations:</w:t>
            </w:r>
          </w:p>
          <w:p w14:paraId="65F9A452" w14:textId="0DDBF9CC" w:rsidR="00EE2FBE" w:rsidRPr="00731632" w:rsidRDefault="00EE2FBE" w:rsidP="00312A3A">
            <w:pPr>
              <w:pStyle w:val="TableText0"/>
              <w:keepNext w:val="0"/>
              <w:widowControl w:val="0"/>
            </w:pPr>
            <w:r w:rsidRPr="00731632">
              <w:t xml:space="preserve">Hospitalisations per 1000 infants were sourced from a Sanofi RSV surveillance report for Central Queensland, provided with the submission. </w:t>
            </w:r>
            <w:r w:rsidR="00F957D3" w:rsidRPr="00731632">
              <w:t xml:space="preserve">The evaluation noted that </w:t>
            </w:r>
            <w:r w:rsidR="00F957D3" w:rsidRPr="00731632">
              <w:rPr>
                <w:iCs/>
              </w:rPr>
              <w:t>t</w:t>
            </w:r>
            <w:r w:rsidRPr="00731632">
              <w:rPr>
                <w:iCs/>
              </w:rPr>
              <w:t xml:space="preserve">he report provided several estimates across 6 years. 4.2% was the highest estimate (in 2022 and 2023) and </w:t>
            </w:r>
            <w:r w:rsidR="00DC4A03" w:rsidRPr="00731632">
              <w:rPr>
                <w:iCs/>
              </w:rPr>
              <w:t>was</w:t>
            </w:r>
            <w:r w:rsidRPr="00731632">
              <w:rPr>
                <w:iCs/>
              </w:rPr>
              <w:t xml:space="preserve"> used in the submission. It</w:t>
            </w:r>
            <w:r w:rsidR="00F677B5" w:rsidRPr="00731632">
              <w:rPr>
                <w:iCs/>
              </w:rPr>
              <w:t xml:space="preserve"> was </w:t>
            </w:r>
            <w:r w:rsidRPr="00731632">
              <w:rPr>
                <w:iCs/>
              </w:rPr>
              <w:t xml:space="preserve">not clear whether 2022 and 2023 represent ‘normal’ RSV seasons, or whether hospitalisations were higher or lower following </w:t>
            </w:r>
            <w:r w:rsidR="001E56CB" w:rsidRPr="00731632">
              <w:rPr>
                <w:iCs/>
              </w:rPr>
              <w:t>the</w:t>
            </w:r>
            <w:r w:rsidRPr="00731632">
              <w:rPr>
                <w:iCs/>
              </w:rPr>
              <w:t xml:space="preserve"> period of the COVID pandemic. </w:t>
            </w:r>
            <w:r w:rsidRPr="00731632">
              <w:t xml:space="preserve">The probability of RSV hospitalisation varies by the age of an infant. </w:t>
            </w:r>
          </w:p>
          <w:p w14:paraId="3521D5AD" w14:textId="77777777" w:rsidR="00EE2FBE" w:rsidRPr="00731632" w:rsidRDefault="00EE2FBE" w:rsidP="00312A3A">
            <w:pPr>
              <w:pStyle w:val="TableText0"/>
              <w:keepNext w:val="0"/>
              <w:widowControl w:val="0"/>
            </w:pPr>
          </w:p>
          <w:p w14:paraId="6E0F194C" w14:textId="77777777" w:rsidR="00EE2FBE" w:rsidRPr="00731632" w:rsidRDefault="00EE2FBE" w:rsidP="00312A3A">
            <w:pPr>
              <w:pStyle w:val="TableText0"/>
              <w:keepNext w:val="0"/>
              <w:widowControl w:val="0"/>
              <w:rPr>
                <w:u w:val="single"/>
              </w:rPr>
            </w:pPr>
            <w:r w:rsidRPr="00731632">
              <w:rPr>
                <w:u w:val="single"/>
              </w:rPr>
              <w:t>Non-hospitalised RSV cases:</w:t>
            </w:r>
          </w:p>
          <w:p w14:paraId="544A7570" w14:textId="0DB6131D" w:rsidR="00EE2FBE" w:rsidRPr="00731632" w:rsidRDefault="00EE2FBE" w:rsidP="00312A3A">
            <w:pPr>
              <w:pStyle w:val="TableText0"/>
              <w:keepNext w:val="0"/>
              <w:widowControl w:val="0"/>
            </w:pPr>
            <w:r w:rsidRPr="00731632">
              <w:t>The rates of RSV attended by a GP, or in the Emergency Department</w:t>
            </w:r>
            <w:r w:rsidR="001E56CB" w:rsidRPr="00731632">
              <w:t xml:space="preserve"> (without subsequent admission to hospital)</w:t>
            </w:r>
            <w:r w:rsidRPr="00731632">
              <w:t>,</w:t>
            </w:r>
            <w:r w:rsidR="00F677B5" w:rsidRPr="00731632">
              <w:t xml:space="preserve"> </w:t>
            </w:r>
            <w:r w:rsidR="00DC4A03" w:rsidRPr="00731632">
              <w:t>were</w:t>
            </w:r>
            <w:r w:rsidR="00F677B5" w:rsidRPr="00731632">
              <w:t xml:space="preserve"> </w:t>
            </w:r>
            <w:r w:rsidRPr="00731632">
              <w:t xml:space="preserve">estimated to be the difference between the incidence of </w:t>
            </w:r>
            <w:r w:rsidR="0052781F" w:rsidRPr="00731632">
              <w:t>MA RSV</w:t>
            </w:r>
            <w:r w:rsidRPr="00731632">
              <w:t xml:space="preserve"> and RSV hospitalisations. Rates </w:t>
            </w:r>
            <w:r w:rsidR="00DC4A03" w:rsidRPr="00731632">
              <w:t xml:space="preserve">varied </w:t>
            </w:r>
            <w:r w:rsidRPr="00731632">
              <w:t>by the age of an infant.</w:t>
            </w:r>
          </w:p>
          <w:p w14:paraId="47883B34" w14:textId="77777777" w:rsidR="00EE2FBE" w:rsidRPr="00731632" w:rsidRDefault="00EE2FBE" w:rsidP="00312A3A">
            <w:pPr>
              <w:pStyle w:val="TableText0"/>
              <w:keepNext w:val="0"/>
              <w:widowControl w:val="0"/>
            </w:pPr>
          </w:p>
          <w:p w14:paraId="50541AD9" w14:textId="77777777" w:rsidR="00EE2FBE" w:rsidRPr="00731632" w:rsidRDefault="00EE2FBE" w:rsidP="00312A3A">
            <w:pPr>
              <w:pStyle w:val="TableText0"/>
              <w:keepNext w:val="0"/>
              <w:widowControl w:val="0"/>
              <w:rPr>
                <w:u w:val="single"/>
              </w:rPr>
            </w:pPr>
            <w:r w:rsidRPr="00731632">
              <w:rPr>
                <w:u w:val="single"/>
              </w:rPr>
              <w:t>Health states conditional on hospitalisation:</w:t>
            </w:r>
          </w:p>
          <w:p w14:paraId="4596D252" w14:textId="4C6FC418" w:rsidR="00EE2FBE" w:rsidRPr="00731632" w:rsidRDefault="00EE2FBE" w:rsidP="00312A3A">
            <w:pPr>
              <w:pStyle w:val="TableText0"/>
              <w:keepNext w:val="0"/>
              <w:widowControl w:val="0"/>
              <w:rPr>
                <w:iCs/>
              </w:rPr>
            </w:pPr>
            <w:r w:rsidRPr="00731632">
              <w:t xml:space="preserve">For hospitalised infants, the model </w:t>
            </w:r>
            <w:r w:rsidR="00DC4A03" w:rsidRPr="00731632">
              <w:t xml:space="preserve">estimated </w:t>
            </w:r>
            <w:r w:rsidRPr="00731632">
              <w:t xml:space="preserve">a proportion will be admitted to the ICU, ventilated, may experience asthma (over 1 year) or may experience recurrent wheezing (over 3 years). </w:t>
            </w:r>
            <w:r w:rsidRPr="00731632">
              <w:rPr>
                <w:iCs/>
              </w:rPr>
              <w:t xml:space="preserve">As the model </w:t>
            </w:r>
            <w:r w:rsidR="00F21940" w:rsidRPr="00731632">
              <w:rPr>
                <w:iCs/>
              </w:rPr>
              <w:t>permitted</w:t>
            </w:r>
            <w:r w:rsidR="00DC4A03" w:rsidRPr="00731632">
              <w:rPr>
                <w:iCs/>
              </w:rPr>
              <w:t xml:space="preserve"> </w:t>
            </w:r>
            <w:r w:rsidR="00B63F4A" w:rsidRPr="00731632">
              <w:rPr>
                <w:iCs/>
              </w:rPr>
              <w:t>individuals</w:t>
            </w:r>
            <w:r w:rsidRPr="00731632">
              <w:rPr>
                <w:iCs/>
              </w:rPr>
              <w:t xml:space="preserve"> to be hospitalised with RSV more than once, the </w:t>
            </w:r>
            <w:r w:rsidR="001E56CB" w:rsidRPr="00731632">
              <w:rPr>
                <w:iCs/>
              </w:rPr>
              <w:t xml:space="preserve">evaluation noted that </w:t>
            </w:r>
            <w:r w:rsidRPr="00731632">
              <w:rPr>
                <w:iCs/>
              </w:rPr>
              <w:t xml:space="preserve">modelling of asthma and recurrent wheezing </w:t>
            </w:r>
            <w:r w:rsidR="00DC4A03" w:rsidRPr="00731632">
              <w:rPr>
                <w:iCs/>
              </w:rPr>
              <w:t xml:space="preserve">included </w:t>
            </w:r>
            <w:r w:rsidRPr="00731632">
              <w:rPr>
                <w:iCs/>
              </w:rPr>
              <w:t>some double counting (</w:t>
            </w:r>
            <w:r w:rsidR="00B63F4A" w:rsidRPr="00731632">
              <w:rPr>
                <w:iCs/>
              </w:rPr>
              <w:t>individuals</w:t>
            </w:r>
            <w:r w:rsidRPr="00731632">
              <w:rPr>
                <w:iCs/>
              </w:rPr>
              <w:t xml:space="preserve"> who</w:t>
            </w:r>
            <w:r w:rsidR="00F677B5" w:rsidRPr="00731632">
              <w:rPr>
                <w:iCs/>
              </w:rPr>
              <w:t xml:space="preserve"> were </w:t>
            </w:r>
            <w:r w:rsidRPr="00731632">
              <w:rPr>
                <w:iCs/>
              </w:rPr>
              <w:t xml:space="preserve">admitted twice would have a chance of experiencing 2 x 3 years of wheezing). </w:t>
            </w:r>
          </w:p>
          <w:p w14:paraId="460F6550" w14:textId="77777777" w:rsidR="00EE2FBE" w:rsidRPr="00731632" w:rsidRDefault="00EE2FBE" w:rsidP="00312A3A">
            <w:pPr>
              <w:pStyle w:val="TableText0"/>
              <w:keepNext w:val="0"/>
              <w:widowControl w:val="0"/>
              <w:rPr>
                <w:iCs/>
              </w:rPr>
            </w:pPr>
          </w:p>
          <w:p w14:paraId="57AE7984" w14:textId="77777777" w:rsidR="00EE2FBE" w:rsidRPr="00731632" w:rsidRDefault="00EE2FBE" w:rsidP="00312A3A">
            <w:pPr>
              <w:pStyle w:val="TableText0"/>
              <w:keepNext w:val="0"/>
              <w:widowControl w:val="0"/>
              <w:rPr>
                <w:u w:val="single"/>
              </w:rPr>
            </w:pPr>
            <w:r w:rsidRPr="00731632">
              <w:rPr>
                <w:u w:val="single"/>
              </w:rPr>
              <w:t>RSV specific mortality:</w:t>
            </w:r>
          </w:p>
          <w:p w14:paraId="5B78936B" w14:textId="5E6B1BF5" w:rsidR="00EE2FBE" w:rsidRPr="00731632" w:rsidRDefault="00EE2FBE" w:rsidP="00312A3A">
            <w:pPr>
              <w:pStyle w:val="TableText0"/>
              <w:keepNext w:val="0"/>
              <w:widowControl w:val="0"/>
            </w:pPr>
            <w:r w:rsidRPr="00731632">
              <w:t>The submission applie</w:t>
            </w:r>
            <w:r w:rsidR="00F21940" w:rsidRPr="00731632">
              <w:t>d</w:t>
            </w:r>
            <w:r w:rsidRPr="00731632">
              <w:t xml:space="preserve"> an RSV specific mortality only to hospitalised infants. </w:t>
            </w:r>
            <w:r w:rsidR="00F957D3" w:rsidRPr="00731632">
              <w:t xml:space="preserve">The evaluation considered that </w:t>
            </w:r>
            <w:r w:rsidR="00F957D3" w:rsidRPr="00731632">
              <w:rPr>
                <w:iCs/>
              </w:rPr>
              <w:t>t</w:t>
            </w:r>
            <w:r w:rsidRPr="00731632">
              <w:rPr>
                <w:iCs/>
              </w:rPr>
              <w:t>he nominated case fatality rate</w:t>
            </w:r>
            <w:r w:rsidR="00F677B5" w:rsidRPr="00731632">
              <w:rPr>
                <w:iCs/>
              </w:rPr>
              <w:t xml:space="preserve"> was </w:t>
            </w:r>
            <w:r w:rsidRPr="00731632">
              <w:rPr>
                <w:iCs/>
              </w:rPr>
              <w:t>very low compared with the Australian study that</w:t>
            </w:r>
            <w:r w:rsidR="00F677B5" w:rsidRPr="00731632">
              <w:rPr>
                <w:iCs/>
              </w:rPr>
              <w:t xml:space="preserve"> was </w:t>
            </w:r>
            <w:r w:rsidRPr="00731632">
              <w:rPr>
                <w:iCs/>
              </w:rPr>
              <w:t>stated to be the source.</w:t>
            </w:r>
          </w:p>
          <w:p w14:paraId="3BBC613D" w14:textId="77777777" w:rsidR="00EE2FBE" w:rsidRPr="00731632" w:rsidRDefault="00EE2FBE" w:rsidP="00312A3A">
            <w:pPr>
              <w:pStyle w:val="TableText0"/>
              <w:keepNext w:val="0"/>
              <w:widowControl w:val="0"/>
            </w:pPr>
          </w:p>
          <w:p w14:paraId="44EB342E" w14:textId="77777777" w:rsidR="00EE2FBE" w:rsidRPr="00731632" w:rsidRDefault="00EE2FBE" w:rsidP="00312A3A">
            <w:pPr>
              <w:pStyle w:val="TableText0"/>
              <w:keepNext w:val="0"/>
              <w:widowControl w:val="0"/>
              <w:rPr>
                <w:u w:val="single"/>
              </w:rPr>
            </w:pPr>
            <w:r w:rsidRPr="00731632">
              <w:rPr>
                <w:u w:val="single"/>
              </w:rPr>
              <w:t>All cause mortality:</w:t>
            </w:r>
          </w:p>
          <w:p w14:paraId="0E3DAC72" w14:textId="78219BC5" w:rsidR="00EE2FBE" w:rsidRPr="00731632" w:rsidRDefault="00EE2FBE" w:rsidP="00312A3A">
            <w:pPr>
              <w:pStyle w:val="TableText0"/>
              <w:keepNext w:val="0"/>
              <w:widowControl w:val="0"/>
            </w:pPr>
            <w:r w:rsidRPr="00731632">
              <w:t>The submission sourced the infant mortality rate (applied in the first year of the model) from the ABS. Life expectancy</w:t>
            </w:r>
            <w:r w:rsidR="00F677B5" w:rsidRPr="00731632">
              <w:t xml:space="preserve"> was </w:t>
            </w:r>
            <w:r w:rsidRPr="00731632">
              <w:t>applied to survivors after year 1.</w:t>
            </w:r>
          </w:p>
          <w:p w14:paraId="6F0D3BD2" w14:textId="77777777" w:rsidR="00EE2FBE" w:rsidRPr="00731632" w:rsidRDefault="00EE2FBE" w:rsidP="00312A3A">
            <w:pPr>
              <w:pStyle w:val="TableText0"/>
              <w:keepNext w:val="0"/>
              <w:widowControl w:val="0"/>
            </w:pPr>
          </w:p>
          <w:p w14:paraId="69BCE025" w14:textId="77777777" w:rsidR="00EE2FBE" w:rsidRPr="00731632" w:rsidRDefault="00EE2FBE" w:rsidP="00312A3A">
            <w:pPr>
              <w:pStyle w:val="TableText0"/>
              <w:keepNext w:val="0"/>
              <w:widowControl w:val="0"/>
              <w:rPr>
                <w:u w:val="single"/>
              </w:rPr>
            </w:pPr>
            <w:r w:rsidRPr="00731632">
              <w:rPr>
                <w:u w:val="single"/>
              </w:rPr>
              <w:t>Treatment effectiveness:</w:t>
            </w:r>
          </w:p>
          <w:p w14:paraId="0DEFEB33" w14:textId="1873109B" w:rsidR="00EE2FBE" w:rsidRPr="00731632" w:rsidRDefault="00EE2FBE" w:rsidP="00312A3A">
            <w:pPr>
              <w:pStyle w:val="TableText0"/>
              <w:keepNext w:val="0"/>
              <w:widowControl w:val="0"/>
              <w:rPr>
                <w:i/>
                <w:iCs/>
              </w:rPr>
            </w:pPr>
            <w:r w:rsidRPr="00731632">
              <w:t>Nirsevimab</w:t>
            </w:r>
            <w:r w:rsidR="00F677B5" w:rsidRPr="00731632">
              <w:t xml:space="preserve"> was </w:t>
            </w:r>
            <w:r w:rsidRPr="00731632">
              <w:t xml:space="preserve">modelled to avoid 79.5% of all </w:t>
            </w:r>
            <w:r w:rsidR="0052781F" w:rsidRPr="00731632">
              <w:t>MA RSV</w:t>
            </w:r>
            <w:r w:rsidRPr="00731632">
              <w:t xml:space="preserve"> within the 5-month period of protection. Following this, it </w:t>
            </w:r>
            <w:r w:rsidR="00DC4A03" w:rsidRPr="00731632">
              <w:t xml:space="preserve">had </w:t>
            </w:r>
            <w:r w:rsidRPr="00731632">
              <w:t xml:space="preserve">no effect on </w:t>
            </w:r>
            <w:r w:rsidR="0052781F" w:rsidRPr="00731632">
              <w:t>MA RSV</w:t>
            </w:r>
            <w:r w:rsidRPr="00731632">
              <w:t xml:space="preserve"> cases. The estimate of effectiveness</w:t>
            </w:r>
            <w:r w:rsidR="00F677B5" w:rsidRPr="00731632">
              <w:t xml:space="preserve"> was </w:t>
            </w:r>
            <w:r w:rsidRPr="00731632">
              <w:t>derived from a pooled analysis of the MELODY study and a Phase IIb study (</w:t>
            </w:r>
            <w:r w:rsidR="0011369F" w:rsidRPr="00731632">
              <w:t>Simões et al (2023)</w:t>
            </w:r>
            <w:r w:rsidRPr="00731632">
              <w:t>).</w:t>
            </w:r>
            <w:r w:rsidRPr="00731632">
              <w:rPr>
                <w:i/>
                <w:iCs/>
              </w:rPr>
              <w:t xml:space="preserve"> </w:t>
            </w:r>
            <w:r w:rsidR="00F957D3" w:rsidRPr="00731632">
              <w:t>The evaluation considered that t</w:t>
            </w:r>
            <w:r w:rsidRPr="00731632">
              <w:t>he</w:t>
            </w:r>
            <w:r w:rsidRPr="00731632">
              <w:rPr>
                <w:iCs/>
              </w:rPr>
              <w:t xml:space="preserve"> treatment effectiveness estimate may not be reliable. The meta-analysis excluded approximately 20% of the infant population from one of the studies as an inadequate dose was provided. The resulting treatment effect from the pooled analysis</w:t>
            </w:r>
            <w:r w:rsidR="00F677B5" w:rsidRPr="00731632">
              <w:rPr>
                <w:iCs/>
              </w:rPr>
              <w:t xml:space="preserve"> was </w:t>
            </w:r>
            <w:r w:rsidRPr="00731632">
              <w:rPr>
                <w:iCs/>
              </w:rPr>
              <w:t>greater than either of the reported effects from the</w:t>
            </w:r>
            <w:r w:rsidR="0011369F" w:rsidRPr="00731632">
              <w:rPr>
                <w:iCs/>
              </w:rPr>
              <w:t xml:space="preserve"> individual</w:t>
            </w:r>
            <w:r w:rsidRPr="00731632">
              <w:rPr>
                <w:iCs/>
              </w:rPr>
              <w:t xml:space="preserve"> studies. </w:t>
            </w:r>
          </w:p>
        </w:tc>
      </w:tr>
      <w:tr w:rsidR="00EE2FBE" w:rsidRPr="00731632" w14:paraId="205E0731" w14:textId="77777777" w:rsidTr="00312A3A">
        <w:tc>
          <w:tcPr>
            <w:tcW w:w="784" w:type="pct"/>
            <w:shd w:val="clear" w:color="auto" w:fill="auto"/>
            <w:vAlign w:val="center"/>
          </w:tcPr>
          <w:p w14:paraId="5BA1E714" w14:textId="77777777" w:rsidR="00EE2FBE" w:rsidRPr="00731632" w:rsidRDefault="00EE2FBE" w:rsidP="00312A3A">
            <w:pPr>
              <w:pStyle w:val="TableText0"/>
              <w:keepNext w:val="0"/>
              <w:widowControl w:val="0"/>
            </w:pPr>
            <w:r w:rsidRPr="00731632">
              <w:t>Extrapolation method</w:t>
            </w:r>
          </w:p>
        </w:tc>
        <w:tc>
          <w:tcPr>
            <w:tcW w:w="4216" w:type="pct"/>
            <w:shd w:val="clear" w:color="auto" w:fill="auto"/>
            <w:vAlign w:val="center"/>
          </w:tcPr>
          <w:p w14:paraId="6D2ADC9B" w14:textId="77777777" w:rsidR="00EE2FBE" w:rsidRPr="00731632" w:rsidRDefault="00EE2FBE" w:rsidP="00312A3A">
            <w:pPr>
              <w:pStyle w:val="TableText0"/>
              <w:keepNext w:val="0"/>
              <w:widowControl w:val="0"/>
              <w:rPr>
                <w:i/>
                <w:iCs/>
              </w:rPr>
            </w:pPr>
            <w:r w:rsidRPr="00731632">
              <w:t>Full life expectancy (from the age of 2) to estimate the differential impact of nirsevimab vs SOC on life years. QALYs were also modelled to full life expectancy.</w:t>
            </w:r>
          </w:p>
        </w:tc>
      </w:tr>
      <w:tr w:rsidR="00EE2FBE" w:rsidRPr="00731632" w14:paraId="793D1CAE" w14:textId="77777777" w:rsidTr="00312A3A">
        <w:tc>
          <w:tcPr>
            <w:tcW w:w="784" w:type="pct"/>
            <w:shd w:val="clear" w:color="auto" w:fill="auto"/>
            <w:vAlign w:val="center"/>
          </w:tcPr>
          <w:p w14:paraId="5246B765" w14:textId="77777777" w:rsidR="00EE2FBE" w:rsidRPr="00731632" w:rsidRDefault="00EE2FBE" w:rsidP="00312A3A">
            <w:pPr>
              <w:pStyle w:val="TableText0"/>
              <w:keepNext w:val="0"/>
              <w:widowControl w:val="0"/>
            </w:pPr>
            <w:r w:rsidRPr="00731632">
              <w:t>Health related quality of life</w:t>
            </w:r>
          </w:p>
        </w:tc>
        <w:tc>
          <w:tcPr>
            <w:tcW w:w="4216" w:type="pct"/>
            <w:shd w:val="clear" w:color="auto" w:fill="auto"/>
            <w:vAlign w:val="center"/>
          </w:tcPr>
          <w:p w14:paraId="7DF67A4D" w14:textId="2A15C792" w:rsidR="00EE2FBE" w:rsidRPr="00731632" w:rsidRDefault="00EE2FBE" w:rsidP="00312A3A">
            <w:pPr>
              <w:pStyle w:val="TableText0"/>
              <w:keepNext w:val="0"/>
              <w:widowControl w:val="0"/>
            </w:pPr>
            <w:r w:rsidRPr="00731632">
              <w:t>Disutilities</w:t>
            </w:r>
            <w:r w:rsidR="00F677B5" w:rsidRPr="00731632">
              <w:t xml:space="preserve"> were </w:t>
            </w:r>
            <w:r w:rsidRPr="00731632">
              <w:t xml:space="preserve">applied to primary care visits, ED visits, hospitalisations, attendance in ICU, and mechanical ventilation. </w:t>
            </w:r>
          </w:p>
          <w:p w14:paraId="73BEC94A" w14:textId="363A5547" w:rsidR="00EE2FBE" w:rsidRPr="00731632" w:rsidRDefault="00EE2FBE" w:rsidP="00312A3A">
            <w:pPr>
              <w:pStyle w:val="TableText0"/>
              <w:keepNext w:val="0"/>
              <w:widowControl w:val="0"/>
              <w:rPr>
                <w:highlight w:val="yellow"/>
              </w:rPr>
            </w:pPr>
            <w:r w:rsidRPr="00731632">
              <w:t>QALY losses</w:t>
            </w:r>
            <w:r w:rsidR="00F677B5" w:rsidRPr="00731632">
              <w:t xml:space="preserve"> were </w:t>
            </w:r>
            <w:r w:rsidRPr="00731632">
              <w:t>applied to represent a year of asthma, or a year of recurrent wheezing.</w:t>
            </w:r>
          </w:p>
        </w:tc>
      </w:tr>
      <w:tr w:rsidR="00EE2FBE" w:rsidRPr="00731632" w14:paraId="67788B93" w14:textId="77777777" w:rsidTr="00312A3A">
        <w:tc>
          <w:tcPr>
            <w:tcW w:w="784" w:type="pct"/>
            <w:shd w:val="clear" w:color="auto" w:fill="auto"/>
            <w:vAlign w:val="center"/>
          </w:tcPr>
          <w:p w14:paraId="388248B5" w14:textId="77777777" w:rsidR="00EE2FBE" w:rsidRPr="00731632" w:rsidRDefault="00EE2FBE" w:rsidP="00312A3A">
            <w:pPr>
              <w:pStyle w:val="TableText0"/>
              <w:keepNext w:val="0"/>
              <w:widowControl w:val="0"/>
            </w:pPr>
            <w:r w:rsidRPr="00731632">
              <w:t>Costs</w:t>
            </w:r>
          </w:p>
        </w:tc>
        <w:tc>
          <w:tcPr>
            <w:tcW w:w="4216" w:type="pct"/>
            <w:shd w:val="clear" w:color="auto" w:fill="auto"/>
            <w:vAlign w:val="center"/>
          </w:tcPr>
          <w:p w14:paraId="792C0737" w14:textId="4CBCB3EB" w:rsidR="00EE2FBE" w:rsidRPr="00731632" w:rsidRDefault="00EE2FBE" w:rsidP="00312A3A">
            <w:pPr>
              <w:pStyle w:val="TableText0"/>
              <w:keepNext w:val="0"/>
              <w:widowControl w:val="0"/>
            </w:pPr>
            <w:r w:rsidRPr="00731632">
              <w:t>Nirsevimab administration and GP costs</w:t>
            </w:r>
            <w:r w:rsidR="00F677B5" w:rsidRPr="00731632">
              <w:t xml:space="preserve"> were </w:t>
            </w:r>
            <w:r w:rsidRPr="00731632">
              <w:t>sourced from MBS items.</w:t>
            </w:r>
          </w:p>
          <w:p w14:paraId="291DC36A" w14:textId="77777777" w:rsidR="00EE2FBE" w:rsidRPr="00731632" w:rsidRDefault="00EE2FBE" w:rsidP="00312A3A">
            <w:pPr>
              <w:pStyle w:val="TableText0"/>
              <w:keepNext w:val="0"/>
              <w:widowControl w:val="0"/>
            </w:pPr>
          </w:p>
          <w:p w14:paraId="75DE8BDA" w14:textId="68D260BD" w:rsidR="00EE2FBE" w:rsidRPr="00731632" w:rsidRDefault="00EE2FBE" w:rsidP="00312A3A">
            <w:pPr>
              <w:pStyle w:val="TableText0"/>
              <w:keepNext w:val="0"/>
              <w:widowControl w:val="0"/>
            </w:pPr>
            <w:r w:rsidRPr="00731632">
              <w:t>Costs for hospitalisation, ICU admission and visits to the emergency department</w:t>
            </w:r>
            <w:r w:rsidR="00F677B5" w:rsidRPr="00731632">
              <w:t xml:space="preserve"> were </w:t>
            </w:r>
            <w:r w:rsidRPr="00731632">
              <w:t>sourced from an Australian study of the annual cost burden of RSV in children &lt;5 years of age</w:t>
            </w:r>
            <w:r w:rsidR="00427002" w:rsidRPr="00731632">
              <w:t xml:space="preserve"> (Brusco et al 2022)</w:t>
            </w:r>
            <w:r w:rsidRPr="00731632">
              <w:t xml:space="preserve">. </w:t>
            </w:r>
          </w:p>
          <w:p w14:paraId="75A81BEF" w14:textId="77777777" w:rsidR="00EE2FBE" w:rsidRPr="00731632" w:rsidRDefault="00EE2FBE" w:rsidP="00312A3A">
            <w:pPr>
              <w:pStyle w:val="TableText0"/>
              <w:keepNext w:val="0"/>
              <w:widowControl w:val="0"/>
            </w:pPr>
          </w:p>
          <w:p w14:paraId="4D4495D6" w14:textId="41AF187F" w:rsidR="00EE2FBE" w:rsidRPr="00731632" w:rsidRDefault="00EE2FBE" w:rsidP="00312A3A">
            <w:pPr>
              <w:pStyle w:val="TableText0"/>
              <w:keepNext w:val="0"/>
              <w:widowControl w:val="0"/>
            </w:pPr>
            <w:r w:rsidRPr="00731632">
              <w:t>Costs for mechanical ventilation</w:t>
            </w:r>
            <w:r w:rsidR="00F677B5" w:rsidRPr="00731632">
              <w:t xml:space="preserve"> were </w:t>
            </w:r>
            <w:r w:rsidRPr="00731632">
              <w:t xml:space="preserve">assumed to be Australian Refined-DRG E41A – respiratory system disorders with non-invasive ventilation, major complexity. </w:t>
            </w:r>
            <w:r w:rsidR="00F957D3" w:rsidRPr="00731632">
              <w:t>The evaluation noted that t</w:t>
            </w:r>
            <w:r w:rsidRPr="00731632">
              <w:t>his source includes hospitalisation costs. As hospitalisation costs</w:t>
            </w:r>
            <w:r w:rsidR="00F677B5" w:rsidRPr="00731632">
              <w:t xml:space="preserve"> were </w:t>
            </w:r>
            <w:r w:rsidR="00F86B3C" w:rsidRPr="00731632">
              <w:t>already</w:t>
            </w:r>
            <w:r w:rsidRPr="00731632">
              <w:t xml:space="preserve"> calculated for all </w:t>
            </w:r>
            <w:r w:rsidR="00B63F4A" w:rsidRPr="00731632">
              <w:t>individuals</w:t>
            </w:r>
            <w:r w:rsidRPr="00731632">
              <w:t xml:space="preserve"> in the model who</w:t>
            </w:r>
            <w:r w:rsidR="00F677B5" w:rsidRPr="00731632">
              <w:t xml:space="preserve"> were </w:t>
            </w:r>
            <w:r w:rsidRPr="00731632">
              <w:t xml:space="preserve">ventilated, </w:t>
            </w:r>
            <w:r w:rsidR="00D6239A" w:rsidRPr="00731632">
              <w:t>the</w:t>
            </w:r>
            <w:r w:rsidR="002B0769" w:rsidRPr="00731632">
              <w:t xml:space="preserve"> hospitalisation</w:t>
            </w:r>
            <w:r w:rsidR="00D6239A" w:rsidRPr="00731632">
              <w:t xml:space="preserve"> costs </w:t>
            </w:r>
            <w:r w:rsidR="00DC4A03" w:rsidRPr="00731632">
              <w:t>were</w:t>
            </w:r>
            <w:r w:rsidR="00D6239A" w:rsidRPr="00731632">
              <w:t xml:space="preserve"> </w:t>
            </w:r>
            <w:r w:rsidRPr="00731632">
              <w:t>double count</w:t>
            </w:r>
            <w:r w:rsidR="00D6239A" w:rsidRPr="00731632">
              <w:t xml:space="preserve">ed for ventilated </w:t>
            </w:r>
            <w:r w:rsidR="00B63F4A" w:rsidRPr="00731632">
              <w:t>individuals</w:t>
            </w:r>
            <w:r w:rsidRPr="00731632">
              <w:t>.</w:t>
            </w:r>
          </w:p>
          <w:p w14:paraId="5B350FE0" w14:textId="77777777" w:rsidR="00EE2FBE" w:rsidRPr="00731632" w:rsidRDefault="00EE2FBE" w:rsidP="00312A3A">
            <w:pPr>
              <w:pStyle w:val="TableText0"/>
              <w:keepNext w:val="0"/>
              <w:widowControl w:val="0"/>
            </w:pPr>
          </w:p>
          <w:p w14:paraId="1DAEFC1D" w14:textId="3AE80842" w:rsidR="00EE2FBE" w:rsidRPr="00731632" w:rsidRDefault="00EE2FBE" w:rsidP="00312A3A">
            <w:pPr>
              <w:pStyle w:val="TableText0"/>
              <w:keepNext w:val="0"/>
              <w:widowControl w:val="0"/>
              <w:rPr>
                <w:iCs/>
              </w:rPr>
            </w:pPr>
            <w:r w:rsidRPr="00731632">
              <w:t>Costs for asthma for a year</w:t>
            </w:r>
            <w:r w:rsidR="00F677B5" w:rsidRPr="00731632">
              <w:t xml:space="preserve"> were </w:t>
            </w:r>
            <w:r w:rsidRPr="00731632">
              <w:t xml:space="preserve">assumed to be a single admission coded to Australian Refined-DRG E69B – bronchitis and asthma, minor complexity. </w:t>
            </w:r>
            <w:r w:rsidR="00F957D3" w:rsidRPr="00731632">
              <w:t>The evaluation considered that t</w:t>
            </w:r>
            <w:r w:rsidRPr="00731632">
              <w:t>he use of an episode of hospitalisation to represent the cost of managing asthma for 1 year</w:t>
            </w:r>
            <w:r w:rsidR="00F677B5" w:rsidRPr="00731632">
              <w:t xml:space="preserve"> was </w:t>
            </w:r>
            <w:r w:rsidRPr="00731632">
              <w:rPr>
                <w:iCs/>
              </w:rPr>
              <w:t>highly uncertain.</w:t>
            </w:r>
          </w:p>
          <w:p w14:paraId="5D0AA20D" w14:textId="77777777" w:rsidR="00EE2FBE" w:rsidRPr="00731632" w:rsidRDefault="00EE2FBE" w:rsidP="00312A3A">
            <w:pPr>
              <w:pStyle w:val="TableText0"/>
              <w:keepNext w:val="0"/>
              <w:widowControl w:val="0"/>
              <w:rPr>
                <w:iCs/>
              </w:rPr>
            </w:pPr>
          </w:p>
          <w:p w14:paraId="7BF7AB6E" w14:textId="07FCDBA8" w:rsidR="00EE2FBE" w:rsidRPr="00731632" w:rsidRDefault="00EE2FBE" w:rsidP="00312A3A">
            <w:pPr>
              <w:pStyle w:val="TableText0"/>
              <w:keepNext w:val="0"/>
              <w:widowControl w:val="0"/>
              <w:rPr>
                <w:i/>
                <w:iCs/>
                <w:highlight w:val="yellow"/>
              </w:rPr>
            </w:pPr>
            <w:r w:rsidRPr="00731632">
              <w:t>Costs for recurrent wheezing</w:t>
            </w:r>
            <w:r w:rsidR="00F677B5" w:rsidRPr="00731632">
              <w:t xml:space="preserve"> were </w:t>
            </w:r>
            <w:r w:rsidRPr="00731632">
              <w:t xml:space="preserve">sourced from an economic evaluation of RSV prevention strategies in Norway. </w:t>
            </w:r>
            <w:r w:rsidR="00F957D3" w:rsidRPr="00731632">
              <w:t xml:space="preserve">The evaluation noted that </w:t>
            </w:r>
            <w:r w:rsidR="00F957D3" w:rsidRPr="00731632">
              <w:rPr>
                <w:iCs/>
              </w:rPr>
              <w:t>t</w:t>
            </w:r>
            <w:r w:rsidRPr="00731632">
              <w:rPr>
                <w:iCs/>
              </w:rPr>
              <w:t>he costs</w:t>
            </w:r>
            <w:r w:rsidR="00F677B5" w:rsidRPr="00731632">
              <w:rPr>
                <w:iCs/>
              </w:rPr>
              <w:t xml:space="preserve"> were </w:t>
            </w:r>
            <w:r w:rsidRPr="00731632">
              <w:rPr>
                <w:iCs/>
              </w:rPr>
              <w:t xml:space="preserve">stated to </w:t>
            </w:r>
            <w:r w:rsidR="00D6239A" w:rsidRPr="00731632">
              <w:rPr>
                <w:iCs/>
              </w:rPr>
              <w:t>represent</w:t>
            </w:r>
            <w:r w:rsidRPr="00731632">
              <w:rPr>
                <w:iCs/>
              </w:rPr>
              <w:t xml:space="preserve"> 5.5 primary visits per year and one infant beta agonist inhaler. Costs of wheezing in Year 2 and Year 3</w:t>
            </w:r>
            <w:r w:rsidR="00F677B5" w:rsidRPr="00731632">
              <w:rPr>
                <w:iCs/>
              </w:rPr>
              <w:t xml:space="preserve"> were </w:t>
            </w:r>
            <w:r w:rsidRPr="00731632">
              <w:rPr>
                <w:iCs/>
              </w:rPr>
              <w:t xml:space="preserve">discounted by </w:t>
            </w:r>
            <w:r w:rsidR="009F6D97" w:rsidRPr="00ED38E1">
              <w:rPr>
                <w:iCs/>
                <w:color w:val="000000"/>
                <w:spacing w:val="52"/>
                <w:shd w:val="solid" w:color="000000" w:fill="000000"/>
                <w:fitText w:val="330" w:id="-893211391"/>
                <w14:textFill>
                  <w14:solidFill>
                    <w14:srgbClr w14:val="000000">
                      <w14:alpha w14:val="100000"/>
                    </w14:srgbClr>
                  </w14:solidFill>
                </w14:textFill>
              </w:rPr>
              <w:t>|||</w:t>
            </w:r>
            <w:r w:rsidR="009F6D97" w:rsidRPr="00ED38E1">
              <w:rPr>
                <w:iCs/>
                <w:color w:val="000000"/>
                <w:spacing w:val="2"/>
                <w:shd w:val="solid" w:color="000000" w:fill="000000"/>
                <w:fitText w:val="330" w:id="-893211391"/>
                <w14:textFill>
                  <w14:solidFill>
                    <w14:srgbClr w14:val="000000">
                      <w14:alpha w14:val="100000"/>
                    </w14:srgbClr>
                  </w14:solidFill>
                </w14:textFill>
              </w:rPr>
              <w:t>|</w:t>
            </w:r>
            <w:r w:rsidRPr="00731632">
              <w:rPr>
                <w:iCs/>
              </w:rPr>
              <w:t xml:space="preserve">%. </w:t>
            </w:r>
          </w:p>
        </w:tc>
      </w:tr>
    </w:tbl>
    <w:p w14:paraId="168F86E8" w14:textId="77777777" w:rsidR="00EE2FBE" w:rsidRPr="00731632" w:rsidRDefault="00EE2FBE" w:rsidP="00EE2FBE">
      <w:pPr>
        <w:pStyle w:val="FooterTableFigure"/>
      </w:pPr>
      <w:r w:rsidRPr="00731632">
        <w:t>Source: Generated during the evaluation from Section 3.4, 3.5 and 3.6 of the submission.</w:t>
      </w:r>
    </w:p>
    <w:p w14:paraId="1B373977" w14:textId="1D48B05A" w:rsidR="00EE2FBE" w:rsidRPr="00731632" w:rsidRDefault="00EE2FBE" w:rsidP="00EE2FBE">
      <w:pPr>
        <w:pStyle w:val="FooterTableFigure"/>
        <w:rPr>
          <w:color w:val="000000" w:themeColor="text1"/>
        </w:rPr>
      </w:pPr>
      <w:r w:rsidRPr="00731632">
        <w:rPr>
          <w:color w:val="000000" w:themeColor="text1"/>
        </w:rPr>
        <w:t xml:space="preserve">ABS = Australian Bureau of Statistics; DRG = Diagnosis-related groups; ED = Emergency department; GP = General practitioner; ICU = Intensive care unit; </w:t>
      </w:r>
      <w:r w:rsidR="0052781F" w:rsidRPr="00731632">
        <w:rPr>
          <w:color w:val="000000" w:themeColor="text1"/>
        </w:rPr>
        <w:t>MA RSV</w:t>
      </w:r>
      <w:r w:rsidRPr="00731632">
        <w:rPr>
          <w:color w:val="000000" w:themeColor="text1"/>
        </w:rPr>
        <w:t xml:space="preserve"> = Medically attended RSV; MBS = Medicare Benefits Schedule; QALY = quality-adjusted life year; RCT = Randomised controlled trial; RSV = Respiratory syncytial virus; SOC = standard of care.</w:t>
      </w:r>
    </w:p>
    <w:p w14:paraId="0B800D8A" w14:textId="0A7415B3" w:rsidR="000C2A87" w:rsidRPr="00731632" w:rsidRDefault="00EE2FBE" w:rsidP="00866F91">
      <w:pPr>
        <w:pStyle w:val="3-BodyText"/>
        <w:rPr>
          <w:iCs/>
          <w:color w:val="000000" w:themeColor="text1"/>
        </w:rPr>
      </w:pPr>
      <w:bookmarkStart w:id="68" w:name="_Ref172736499"/>
      <w:r w:rsidRPr="00731632">
        <w:rPr>
          <w:color w:val="000000" w:themeColor="text1"/>
        </w:rPr>
        <w:t>Nirsevimab</w:t>
      </w:r>
      <w:r w:rsidR="00F677B5" w:rsidRPr="00731632">
        <w:rPr>
          <w:color w:val="000000" w:themeColor="text1"/>
        </w:rPr>
        <w:t xml:space="preserve"> was </w:t>
      </w:r>
      <w:r w:rsidRPr="00731632">
        <w:rPr>
          <w:color w:val="000000" w:themeColor="text1"/>
        </w:rPr>
        <w:t xml:space="preserve">estimated to avoid 79.5% of </w:t>
      </w:r>
      <w:r w:rsidR="0052781F" w:rsidRPr="00731632">
        <w:rPr>
          <w:color w:val="000000" w:themeColor="text1"/>
        </w:rPr>
        <w:t>MA RSV</w:t>
      </w:r>
      <w:r w:rsidRPr="00731632">
        <w:rPr>
          <w:color w:val="000000" w:themeColor="text1"/>
        </w:rPr>
        <w:t xml:space="preserve"> during the period of protection (5 months). The duration of protection</w:t>
      </w:r>
      <w:r w:rsidR="00F677B5" w:rsidRPr="00731632">
        <w:rPr>
          <w:color w:val="000000" w:themeColor="text1"/>
        </w:rPr>
        <w:t xml:space="preserve"> was </w:t>
      </w:r>
      <w:r w:rsidRPr="00731632">
        <w:rPr>
          <w:color w:val="000000" w:themeColor="text1"/>
        </w:rPr>
        <w:t xml:space="preserve">based on the observed incidence of </w:t>
      </w:r>
      <w:r w:rsidR="0052781F" w:rsidRPr="00731632">
        <w:rPr>
          <w:color w:val="000000" w:themeColor="text1"/>
        </w:rPr>
        <w:t>MA RSV</w:t>
      </w:r>
      <w:r w:rsidRPr="00731632">
        <w:rPr>
          <w:color w:val="000000" w:themeColor="text1"/>
        </w:rPr>
        <w:t xml:space="preserve"> in the MELODY study over 5 months. </w:t>
      </w:r>
      <w:r w:rsidR="00C6132C" w:rsidRPr="00731632">
        <w:rPr>
          <w:color w:val="000000" w:themeColor="text1"/>
        </w:rPr>
        <w:t xml:space="preserve">The evaluation considered </w:t>
      </w:r>
      <w:r w:rsidR="00982FE1" w:rsidRPr="00731632">
        <w:rPr>
          <w:color w:val="000000" w:themeColor="text1"/>
        </w:rPr>
        <w:t xml:space="preserve">the five month duration </w:t>
      </w:r>
      <w:r w:rsidR="00C6132C" w:rsidRPr="00731632">
        <w:rPr>
          <w:iCs/>
          <w:color w:val="000000" w:themeColor="text1"/>
        </w:rPr>
        <w:t>to be</w:t>
      </w:r>
      <w:r w:rsidRPr="00731632">
        <w:rPr>
          <w:iCs/>
          <w:color w:val="000000" w:themeColor="text1"/>
        </w:rPr>
        <w:t xml:space="preserve"> appropriate</w:t>
      </w:r>
      <w:r w:rsidR="00CD4E68" w:rsidRPr="00731632">
        <w:rPr>
          <w:iCs/>
          <w:color w:val="000000" w:themeColor="text1"/>
        </w:rPr>
        <w:t>,</w:t>
      </w:r>
      <w:r w:rsidRPr="00731632">
        <w:rPr>
          <w:iCs/>
          <w:color w:val="000000" w:themeColor="text1"/>
        </w:rPr>
        <w:t xml:space="preserve"> although</w:t>
      </w:r>
      <w:r w:rsidR="00CD4E68" w:rsidRPr="00731632">
        <w:rPr>
          <w:iCs/>
          <w:color w:val="000000" w:themeColor="text1"/>
        </w:rPr>
        <w:t xml:space="preserve"> acknowledged</w:t>
      </w:r>
      <w:r w:rsidRPr="00731632">
        <w:rPr>
          <w:iCs/>
          <w:color w:val="000000" w:themeColor="text1"/>
        </w:rPr>
        <w:t xml:space="preserve"> it may underestimate the actual duration of protection in clinical practice as immunity will wane rather than cease abruptly. </w:t>
      </w:r>
      <w:r w:rsidRPr="00731632">
        <w:rPr>
          <w:color w:val="000000" w:themeColor="text1"/>
        </w:rPr>
        <w:t>The treatment effect has been estimated from a pooled analysis of the MELODY study and the Phase IIb study</w:t>
      </w:r>
      <w:r w:rsidR="000B6BFA" w:rsidRPr="00731632">
        <w:rPr>
          <w:color w:val="000000" w:themeColor="text1"/>
        </w:rPr>
        <w:t xml:space="preserve"> (Simoes et al. 2023)</w:t>
      </w:r>
      <w:r w:rsidRPr="00731632">
        <w:t>. The pooled analysis excluded approximately 20% of participants from the Phase IIb study who weighed &gt;5</w:t>
      </w:r>
      <w:r w:rsidR="00DF53E4">
        <w:t> </w:t>
      </w:r>
      <w:r w:rsidRPr="00731632">
        <w:t>kg as they did not receive the recommended 100</w:t>
      </w:r>
      <w:r w:rsidR="00F85E32" w:rsidRPr="00731632">
        <w:t xml:space="preserve"> </w:t>
      </w:r>
      <w:r w:rsidRPr="00731632">
        <w:t xml:space="preserve">mg dose of nirsevimab. </w:t>
      </w:r>
      <w:r w:rsidR="00C6132C" w:rsidRPr="00731632">
        <w:t xml:space="preserve">The evaluation noted that </w:t>
      </w:r>
      <w:r w:rsidR="00C6132C" w:rsidRPr="00731632">
        <w:rPr>
          <w:iCs/>
        </w:rPr>
        <w:t>t</w:t>
      </w:r>
      <w:r w:rsidRPr="00731632">
        <w:rPr>
          <w:iCs/>
        </w:rPr>
        <w:t xml:space="preserve">he pooled analysis of these two studies reported a treatment effect that was higher than the </w:t>
      </w:r>
      <w:r w:rsidR="00211FE2" w:rsidRPr="00731632">
        <w:rPr>
          <w:iCs/>
        </w:rPr>
        <w:t>ITT</w:t>
      </w:r>
      <w:r w:rsidRPr="00731632">
        <w:rPr>
          <w:iCs/>
        </w:rPr>
        <w:t xml:space="preserve"> derived treatment effect in either the</w:t>
      </w:r>
      <w:r w:rsidR="00CD4E68" w:rsidRPr="00731632">
        <w:rPr>
          <w:iCs/>
        </w:rPr>
        <w:t xml:space="preserve"> individual</w:t>
      </w:r>
      <w:r w:rsidRPr="00731632">
        <w:rPr>
          <w:iCs/>
        </w:rPr>
        <w:t xml:space="preserve"> MELODY</w:t>
      </w:r>
      <w:r w:rsidR="00CD4E68" w:rsidRPr="00731632">
        <w:rPr>
          <w:iCs/>
        </w:rPr>
        <w:t xml:space="preserve"> (74.5%)</w:t>
      </w:r>
      <w:r w:rsidRPr="00731632">
        <w:rPr>
          <w:iCs/>
        </w:rPr>
        <w:t xml:space="preserve"> or Phase IIb</w:t>
      </w:r>
      <w:r w:rsidR="00CD4E68" w:rsidRPr="00731632">
        <w:rPr>
          <w:iCs/>
        </w:rPr>
        <w:t xml:space="preserve"> (70.1%)</w:t>
      </w:r>
      <w:r w:rsidRPr="00731632">
        <w:rPr>
          <w:iCs/>
        </w:rPr>
        <w:t xml:space="preserve"> studies. It may be more reasonable to use the ITT results from MELODY as the dosing in this study matches the proposed dosing in Australian clinical practice. The model</w:t>
      </w:r>
      <w:r w:rsidR="00F677B5" w:rsidRPr="00731632">
        <w:rPr>
          <w:iCs/>
        </w:rPr>
        <w:t xml:space="preserve"> was </w:t>
      </w:r>
      <w:r w:rsidR="00F21940" w:rsidRPr="00731632">
        <w:rPr>
          <w:iCs/>
        </w:rPr>
        <w:t xml:space="preserve">very </w:t>
      </w:r>
      <w:r w:rsidRPr="00731632">
        <w:rPr>
          <w:iCs/>
        </w:rPr>
        <w:t>sensitive to the treatment effect.</w:t>
      </w:r>
      <w:r w:rsidR="008174D6" w:rsidRPr="00731632">
        <w:rPr>
          <w:iCs/>
        </w:rPr>
        <w:t xml:space="preserve"> </w:t>
      </w:r>
      <w:r w:rsidR="00211FE2" w:rsidRPr="00731632">
        <w:rPr>
          <w:iCs/>
          <w:szCs w:val="20"/>
        </w:rPr>
        <w:t>The PSCR</w:t>
      </w:r>
      <w:r w:rsidR="00E60F83" w:rsidRPr="00731632">
        <w:rPr>
          <w:iCs/>
          <w:szCs w:val="20"/>
        </w:rPr>
        <w:t xml:space="preserve"> and pre-PBAC response</w:t>
      </w:r>
      <w:r w:rsidR="00211FE2" w:rsidRPr="00731632">
        <w:rPr>
          <w:iCs/>
          <w:szCs w:val="20"/>
        </w:rPr>
        <w:t xml:space="preserve"> maintained that the efficacy rate of 79.5% reflects a more realistic patient population (pooled infants both ≥35 weeks gestation and 29-35 weeks gestation) than the MELODY trial alone (≥35 weeks gestation), at the correct dose. </w:t>
      </w:r>
      <w:r w:rsidR="00B94441" w:rsidRPr="00731632">
        <w:rPr>
          <w:iCs/>
          <w:szCs w:val="20"/>
        </w:rPr>
        <w:t xml:space="preserve">The PSCR also stated that a key benefit </w:t>
      </w:r>
      <w:r w:rsidR="00E60F83" w:rsidRPr="00731632">
        <w:rPr>
          <w:iCs/>
          <w:szCs w:val="20"/>
        </w:rPr>
        <w:t>o</w:t>
      </w:r>
      <w:r w:rsidR="00CF3110" w:rsidRPr="00731632">
        <w:rPr>
          <w:iCs/>
          <w:szCs w:val="20"/>
        </w:rPr>
        <w:t>f</w:t>
      </w:r>
      <w:r w:rsidR="00B94441" w:rsidRPr="00731632">
        <w:rPr>
          <w:iCs/>
          <w:szCs w:val="20"/>
        </w:rPr>
        <w:t xml:space="preserve"> nirsevimab treatment, especially when compared to the RSV maternal vaccine,</w:t>
      </w:r>
      <w:r w:rsidR="00F677B5" w:rsidRPr="00731632">
        <w:rPr>
          <w:iCs/>
          <w:szCs w:val="20"/>
        </w:rPr>
        <w:t xml:space="preserve"> was </w:t>
      </w:r>
      <w:r w:rsidR="00B94441" w:rsidRPr="00731632">
        <w:rPr>
          <w:iCs/>
          <w:szCs w:val="20"/>
        </w:rPr>
        <w:t xml:space="preserve">its ability to immunise high-risk significantly pre-term infants who would not be covered otherwise by maternal immunisation. </w:t>
      </w:r>
      <w:r w:rsidR="000C2A87" w:rsidRPr="00731632">
        <w:rPr>
          <w:iCs/>
          <w:szCs w:val="20"/>
        </w:rPr>
        <w:t>T</w:t>
      </w:r>
      <w:r w:rsidR="00211FE2" w:rsidRPr="00731632">
        <w:rPr>
          <w:iCs/>
          <w:szCs w:val="20"/>
        </w:rPr>
        <w:t xml:space="preserve">he ESC </w:t>
      </w:r>
      <w:r w:rsidR="000C2A87" w:rsidRPr="00731632">
        <w:rPr>
          <w:iCs/>
          <w:szCs w:val="20"/>
        </w:rPr>
        <w:t>noted</w:t>
      </w:r>
      <w:r w:rsidR="00211FE2" w:rsidRPr="00731632">
        <w:rPr>
          <w:iCs/>
          <w:szCs w:val="20"/>
        </w:rPr>
        <w:t xml:space="preserve"> </w:t>
      </w:r>
      <w:r w:rsidR="00DC4A03" w:rsidRPr="00731632">
        <w:rPr>
          <w:iCs/>
          <w:szCs w:val="20"/>
        </w:rPr>
        <w:t>that</w:t>
      </w:r>
      <w:r w:rsidR="00211FE2" w:rsidRPr="00731632">
        <w:rPr>
          <w:iCs/>
          <w:szCs w:val="20"/>
        </w:rPr>
        <w:t xml:space="preserve"> the MELODY trial</w:t>
      </w:r>
      <w:r w:rsidR="00F677B5" w:rsidRPr="00731632">
        <w:rPr>
          <w:iCs/>
          <w:szCs w:val="20"/>
        </w:rPr>
        <w:t xml:space="preserve"> was </w:t>
      </w:r>
      <w:r w:rsidR="00211FE2" w:rsidRPr="00731632">
        <w:rPr>
          <w:iCs/>
          <w:szCs w:val="20"/>
        </w:rPr>
        <w:t xml:space="preserve">a randomised trial undertaken in the target population, whereas the pooled data utilised by the submission </w:t>
      </w:r>
      <w:r w:rsidR="00DC4A03" w:rsidRPr="00731632">
        <w:rPr>
          <w:iCs/>
          <w:szCs w:val="20"/>
        </w:rPr>
        <w:t>was</w:t>
      </w:r>
      <w:r w:rsidR="00211FE2" w:rsidRPr="00731632">
        <w:rPr>
          <w:iCs/>
          <w:szCs w:val="20"/>
        </w:rPr>
        <w:t xml:space="preserve"> a post hoc analysis that </w:t>
      </w:r>
      <w:r w:rsidR="00DC4A03" w:rsidRPr="00731632">
        <w:rPr>
          <w:iCs/>
          <w:szCs w:val="20"/>
        </w:rPr>
        <w:t xml:space="preserve">excluded </w:t>
      </w:r>
      <w:r w:rsidR="00211FE2" w:rsidRPr="00731632">
        <w:rPr>
          <w:iCs/>
          <w:szCs w:val="20"/>
        </w:rPr>
        <w:t xml:space="preserve">a proportion of infants from the analysis. The ESC considered that the estimate of 74.5% </w:t>
      </w:r>
      <w:r w:rsidR="00DC4A03" w:rsidRPr="00731632">
        <w:rPr>
          <w:iCs/>
          <w:szCs w:val="20"/>
        </w:rPr>
        <w:t xml:space="preserve">seemed </w:t>
      </w:r>
      <w:r w:rsidR="00211FE2" w:rsidRPr="00731632">
        <w:rPr>
          <w:iCs/>
          <w:szCs w:val="20"/>
        </w:rPr>
        <w:t>reasonable unless more robust data</w:t>
      </w:r>
      <w:r w:rsidR="00F677B5" w:rsidRPr="00731632">
        <w:rPr>
          <w:iCs/>
          <w:szCs w:val="20"/>
        </w:rPr>
        <w:t xml:space="preserve"> were </w:t>
      </w:r>
      <w:r w:rsidR="00211FE2" w:rsidRPr="00731632">
        <w:rPr>
          <w:iCs/>
          <w:szCs w:val="20"/>
        </w:rPr>
        <w:t>presented.</w:t>
      </w:r>
      <w:r w:rsidR="008174D6" w:rsidRPr="00731632">
        <w:rPr>
          <w:iCs/>
          <w:szCs w:val="20"/>
        </w:rPr>
        <w:t xml:space="preserve"> </w:t>
      </w:r>
      <w:r w:rsidR="00960316" w:rsidRPr="00731632">
        <w:rPr>
          <w:iCs/>
          <w:szCs w:val="20"/>
        </w:rPr>
        <w:t xml:space="preserve">It was also noted that </w:t>
      </w:r>
      <w:r w:rsidR="00B30200" w:rsidRPr="00731632">
        <w:rPr>
          <w:iCs/>
          <w:szCs w:val="20"/>
        </w:rPr>
        <w:t xml:space="preserve">the </w:t>
      </w:r>
      <w:r w:rsidR="000C2A87" w:rsidRPr="00731632">
        <w:rPr>
          <w:iCs/>
        </w:rPr>
        <w:t>effectiveness</w:t>
      </w:r>
      <w:r w:rsidR="00E60F83" w:rsidRPr="00731632">
        <w:rPr>
          <w:iCs/>
        </w:rPr>
        <w:t xml:space="preserve"> (RRR)</w:t>
      </w:r>
      <w:r w:rsidR="000C2A87" w:rsidRPr="00731632">
        <w:rPr>
          <w:iCs/>
        </w:rPr>
        <w:t xml:space="preserve"> of nirsevimab for preventing MA RSV hospitalisations was lower than for preventing all MA RSV (62.1% vs 74.5%)</w:t>
      </w:r>
      <w:r w:rsidR="009D191A" w:rsidRPr="00731632">
        <w:rPr>
          <w:iCs/>
        </w:rPr>
        <w:t>, a differential not considered in the economic model</w:t>
      </w:r>
      <w:r w:rsidR="000C2A87" w:rsidRPr="00731632">
        <w:rPr>
          <w:iCs/>
        </w:rPr>
        <w:t>.</w:t>
      </w:r>
      <w:r w:rsidR="000B6BFA" w:rsidRPr="00731632">
        <w:rPr>
          <w:iCs/>
        </w:rPr>
        <w:t xml:space="preserve"> The PBAC considered that the </w:t>
      </w:r>
      <w:r w:rsidR="000B6BFA" w:rsidRPr="00731632">
        <w:rPr>
          <w:iCs/>
          <w:szCs w:val="20"/>
        </w:rPr>
        <w:t>result from the MELODY trial (74.5%) should be used, as this was sourced from a randomised trial undertaken in the target population, rather than a post hoc analysis.</w:t>
      </w:r>
      <w:bookmarkEnd w:id="68"/>
    </w:p>
    <w:p w14:paraId="2B163571" w14:textId="6A349CC3" w:rsidR="00EE2FBE" w:rsidRPr="00731632" w:rsidRDefault="00EE2FBE" w:rsidP="00EE2FBE">
      <w:pPr>
        <w:pStyle w:val="3-BodyText"/>
        <w:rPr>
          <w:color w:val="000000" w:themeColor="text1"/>
        </w:rPr>
      </w:pPr>
      <w:r w:rsidRPr="00731632">
        <w:rPr>
          <w:color w:val="000000" w:themeColor="text1"/>
        </w:rPr>
        <w:t>Transition probabilities in the model</w:t>
      </w:r>
      <w:r w:rsidR="00F677B5" w:rsidRPr="00731632">
        <w:rPr>
          <w:color w:val="000000" w:themeColor="text1"/>
        </w:rPr>
        <w:t xml:space="preserve"> were </w:t>
      </w:r>
      <w:r w:rsidRPr="00731632">
        <w:rPr>
          <w:color w:val="000000" w:themeColor="text1"/>
        </w:rPr>
        <w:t xml:space="preserve">derived from multiple sources that were, with the exception of the probability of asthma and wheezing, Australian based studies. Once an infant in the model </w:t>
      </w:r>
      <w:r w:rsidR="009974B8" w:rsidRPr="00731632">
        <w:rPr>
          <w:color w:val="000000" w:themeColor="text1"/>
        </w:rPr>
        <w:t xml:space="preserve">moved </w:t>
      </w:r>
      <w:r w:rsidRPr="00731632">
        <w:rPr>
          <w:color w:val="000000" w:themeColor="text1"/>
        </w:rPr>
        <w:t>to an RSV health state (primary care or hospitalised), the probabilities</w:t>
      </w:r>
      <w:r w:rsidR="00F677B5" w:rsidRPr="00731632">
        <w:rPr>
          <w:color w:val="000000" w:themeColor="text1"/>
        </w:rPr>
        <w:t xml:space="preserve"> were </w:t>
      </w:r>
      <w:r w:rsidRPr="00731632">
        <w:rPr>
          <w:color w:val="000000" w:themeColor="text1"/>
        </w:rPr>
        <w:t>common across both arms. The</w:t>
      </w:r>
      <w:r w:rsidR="003E1422">
        <w:rPr>
          <w:color w:val="000000" w:themeColor="text1"/>
        </w:rPr>
        <w:t xml:space="preserve"> </w:t>
      </w:r>
      <w:r w:rsidR="009974B8" w:rsidRPr="00731632">
        <w:rPr>
          <w:color w:val="000000" w:themeColor="text1"/>
        </w:rPr>
        <w:t>treatment effect for</w:t>
      </w:r>
      <w:r w:rsidRPr="00731632">
        <w:rPr>
          <w:color w:val="000000" w:themeColor="text1"/>
        </w:rPr>
        <w:t xml:space="preserve"> nirsevimab </w:t>
      </w:r>
      <w:r w:rsidR="00F677B5" w:rsidRPr="00731632">
        <w:rPr>
          <w:color w:val="000000" w:themeColor="text1"/>
        </w:rPr>
        <w:t xml:space="preserve">was </w:t>
      </w:r>
      <w:r w:rsidR="009974B8" w:rsidRPr="00731632">
        <w:rPr>
          <w:color w:val="000000" w:themeColor="text1"/>
        </w:rPr>
        <w:t xml:space="preserve">applied as a reduction in the </w:t>
      </w:r>
      <w:r w:rsidRPr="00731632">
        <w:rPr>
          <w:color w:val="000000" w:themeColor="text1"/>
        </w:rPr>
        <w:t xml:space="preserve">number of </w:t>
      </w:r>
      <w:r w:rsidR="0052781F" w:rsidRPr="00731632">
        <w:rPr>
          <w:color w:val="000000" w:themeColor="text1"/>
        </w:rPr>
        <w:t>MA RSV</w:t>
      </w:r>
      <w:r w:rsidRPr="00731632">
        <w:rPr>
          <w:color w:val="000000" w:themeColor="text1"/>
        </w:rPr>
        <w:t xml:space="preserve"> cases.</w:t>
      </w:r>
    </w:p>
    <w:p w14:paraId="0E0CEDB8" w14:textId="16C1236A" w:rsidR="00EE2FBE" w:rsidRPr="00731632" w:rsidRDefault="00EE2FBE" w:rsidP="00EE2FBE">
      <w:pPr>
        <w:pStyle w:val="3-BodyText"/>
        <w:rPr>
          <w:color w:val="000000" w:themeColor="text1"/>
        </w:rPr>
      </w:pPr>
      <w:r w:rsidRPr="00731632">
        <w:rPr>
          <w:color w:val="000000" w:themeColor="text1"/>
        </w:rPr>
        <w:t xml:space="preserve">The annual probabilities of </w:t>
      </w:r>
      <w:r w:rsidR="0052781F" w:rsidRPr="00731632">
        <w:rPr>
          <w:color w:val="000000" w:themeColor="text1"/>
        </w:rPr>
        <w:t>MA RSV</w:t>
      </w:r>
      <w:r w:rsidRPr="00731632">
        <w:rPr>
          <w:color w:val="000000" w:themeColor="text1"/>
        </w:rPr>
        <w:t xml:space="preserve"> health states are presented in </w:t>
      </w:r>
      <w:r w:rsidRPr="00731632">
        <w:rPr>
          <w:color w:val="000000" w:themeColor="text1"/>
        </w:rPr>
        <w:fldChar w:fldCharType="begin"/>
      </w:r>
      <w:r w:rsidRPr="00731632">
        <w:rPr>
          <w:color w:val="000000" w:themeColor="text1"/>
        </w:rPr>
        <w:instrText xml:space="preserve"> REF _Ref166273105 \h </w:instrText>
      </w:r>
      <w:r w:rsidRPr="00731632">
        <w:rPr>
          <w:color w:val="000000" w:themeColor="text1"/>
        </w:rPr>
      </w:r>
      <w:r w:rsidRPr="00731632">
        <w:rPr>
          <w:color w:val="000000" w:themeColor="text1"/>
        </w:rPr>
        <w:fldChar w:fldCharType="separate"/>
      </w:r>
      <w:r w:rsidR="00D770BB" w:rsidRPr="00731632">
        <w:t xml:space="preserve">Figure </w:t>
      </w:r>
      <w:r w:rsidR="00D770BB">
        <w:rPr>
          <w:noProof/>
        </w:rPr>
        <w:t>3</w:t>
      </w:r>
      <w:r w:rsidRPr="00731632">
        <w:rPr>
          <w:color w:val="000000" w:themeColor="text1"/>
        </w:rPr>
        <w:fldChar w:fldCharType="end"/>
      </w:r>
      <w:r w:rsidRPr="00731632">
        <w:rPr>
          <w:color w:val="000000" w:themeColor="text1"/>
        </w:rPr>
        <w:t xml:space="preserve">. The proportion of </w:t>
      </w:r>
      <w:r w:rsidR="00B63F4A" w:rsidRPr="00731632">
        <w:rPr>
          <w:color w:val="000000" w:themeColor="text1"/>
        </w:rPr>
        <w:t>individuals</w:t>
      </w:r>
      <w:r w:rsidRPr="00731632">
        <w:rPr>
          <w:color w:val="000000" w:themeColor="text1"/>
        </w:rPr>
        <w:t xml:space="preserve"> in health states “conditional on hospitalisation” are percentages of the hospitalised cohort (e.g., 9.9% of the 4.2% of hospitalised </w:t>
      </w:r>
      <w:r w:rsidR="00B63F4A" w:rsidRPr="00731632">
        <w:rPr>
          <w:color w:val="000000" w:themeColor="text1"/>
        </w:rPr>
        <w:t>individuals</w:t>
      </w:r>
      <w:r w:rsidRPr="00731632">
        <w:rPr>
          <w:color w:val="000000" w:themeColor="text1"/>
        </w:rPr>
        <w:t xml:space="preserve"> will be admitted to an intensive care unit). All other proportions</w:t>
      </w:r>
      <w:r w:rsidR="00342F57" w:rsidRPr="00731632">
        <w:rPr>
          <w:color w:val="000000" w:themeColor="text1"/>
        </w:rPr>
        <w:t xml:space="preserve"> </w:t>
      </w:r>
      <w:r w:rsidRPr="00731632">
        <w:rPr>
          <w:color w:val="000000" w:themeColor="text1"/>
        </w:rPr>
        <w:t>are annual percentages of all infants under the age of 1 year.</w:t>
      </w:r>
    </w:p>
    <w:p w14:paraId="21087221" w14:textId="75B8F2FB" w:rsidR="00EE2FBE" w:rsidRPr="00731632" w:rsidRDefault="00EE2FBE" w:rsidP="00EE2FBE">
      <w:pPr>
        <w:pStyle w:val="Caption"/>
        <w:ind w:firstLine="720"/>
      </w:pPr>
      <w:bookmarkStart w:id="69" w:name="_Ref166273105"/>
      <w:r w:rsidRPr="00731632">
        <w:t xml:space="preserve">Figure </w:t>
      </w:r>
      <w:r w:rsidR="00BD1FC6" w:rsidRPr="00731632">
        <w:fldChar w:fldCharType="begin"/>
      </w:r>
      <w:r w:rsidR="00BD1FC6" w:rsidRPr="00731632">
        <w:instrText xml:space="preserve"> SEQ Figure \* ARABIC </w:instrText>
      </w:r>
      <w:r w:rsidR="00BD1FC6" w:rsidRPr="00731632">
        <w:fldChar w:fldCharType="separate"/>
      </w:r>
      <w:r w:rsidR="00D770BB">
        <w:rPr>
          <w:noProof/>
        </w:rPr>
        <w:t>3</w:t>
      </w:r>
      <w:r w:rsidR="00BD1FC6" w:rsidRPr="00731632">
        <w:fldChar w:fldCharType="end"/>
      </w:r>
      <w:bookmarkEnd w:id="69"/>
      <w:r w:rsidRPr="00731632">
        <w:tab/>
        <w:t>Probability of entering health states for infants born in a single year.</w:t>
      </w:r>
    </w:p>
    <w:p w14:paraId="5C0F1E00" w14:textId="77777777" w:rsidR="00EE2FBE" w:rsidRPr="00731632" w:rsidRDefault="00EE2FBE" w:rsidP="00DF53E4">
      <w:pPr>
        <w:pStyle w:val="3-BodyText"/>
        <w:keepNext/>
        <w:numPr>
          <w:ilvl w:val="0"/>
          <w:numId w:val="0"/>
        </w:numPr>
        <w:spacing w:after="0"/>
      </w:pPr>
      <w:r w:rsidRPr="00731632">
        <w:rPr>
          <w:noProof/>
        </w:rPr>
        <w:drawing>
          <wp:inline distT="0" distB="0" distL="0" distR="0" wp14:anchorId="6B5872A0" wp14:editId="56C4BB55">
            <wp:extent cx="5724000" cy="4258800"/>
            <wp:effectExtent l="0" t="0" r="0" b="8890"/>
            <wp:docPr id="520415400" name="Picture 3" descr="Figure 3 Probability of entering health states for infants born in a singl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15400" name="Picture 3" descr="Figure 3 Probability of entering health states for infants born in a single ye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000" cy="4258800"/>
                    </a:xfrm>
                    <a:prstGeom prst="rect">
                      <a:avLst/>
                    </a:prstGeom>
                    <a:noFill/>
                    <a:ln>
                      <a:noFill/>
                    </a:ln>
                  </pic:spPr>
                </pic:pic>
              </a:graphicData>
            </a:graphic>
          </wp:inline>
        </w:drawing>
      </w:r>
    </w:p>
    <w:p w14:paraId="4AFEC0D0" w14:textId="77777777" w:rsidR="00EE2FBE" w:rsidRPr="00731632" w:rsidRDefault="00EE2FBE" w:rsidP="00EE2FBE">
      <w:pPr>
        <w:keepNext/>
        <w:ind w:left="720"/>
        <w:rPr>
          <w:rFonts w:ascii="Arial Narrow" w:hAnsi="Arial Narrow"/>
          <w:sz w:val="18"/>
          <w:szCs w:val="18"/>
        </w:rPr>
      </w:pPr>
      <w:r w:rsidRPr="00731632">
        <w:rPr>
          <w:rFonts w:ascii="Arial Narrow" w:hAnsi="Arial Narrow"/>
          <w:sz w:val="18"/>
          <w:szCs w:val="18"/>
        </w:rPr>
        <w:t>Source: generated during the evaluation from the transition probabilities reported in Section 3.4 of the submission.</w:t>
      </w:r>
    </w:p>
    <w:p w14:paraId="2A37CB19" w14:textId="3F272359" w:rsidR="00EE2FBE" w:rsidRPr="00731632" w:rsidRDefault="00EE2FBE" w:rsidP="007857DE">
      <w:pPr>
        <w:keepNext/>
        <w:spacing w:after="120"/>
        <w:ind w:left="720"/>
        <w:rPr>
          <w:rFonts w:ascii="Arial Narrow" w:hAnsi="Arial Narrow"/>
          <w:sz w:val="18"/>
          <w:szCs w:val="18"/>
        </w:rPr>
      </w:pPr>
      <w:r w:rsidRPr="00731632">
        <w:rPr>
          <w:rFonts w:ascii="Arial Narrow" w:hAnsi="Arial Narrow"/>
          <w:sz w:val="18"/>
          <w:szCs w:val="18"/>
        </w:rPr>
        <w:t xml:space="preserve">ED = emergency department; GP = general practitioner; ICU = intensive care unit; </w:t>
      </w:r>
      <w:r w:rsidR="0052781F" w:rsidRPr="00731632">
        <w:rPr>
          <w:rFonts w:ascii="Arial Narrow" w:hAnsi="Arial Narrow"/>
          <w:sz w:val="18"/>
          <w:szCs w:val="18"/>
        </w:rPr>
        <w:t>MA RSV</w:t>
      </w:r>
      <w:r w:rsidRPr="00731632">
        <w:rPr>
          <w:rFonts w:ascii="Arial Narrow" w:hAnsi="Arial Narrow"/>
          <w:sz w:val="18"/>
          <w:szCs w:val="18"/>
        </w:rPr>
        <w:t xml:space="preserve"> = medically attended RSV; RSV = Respiratory syncytial virus.</w:t>
      </w:r>
    </w:p>
    <w:p w14:paraId="301C0570" w14:textId="4454821F" w:rsidR="00EE2FBE" w:rsidRPr="00731632" w:rsidRDefault="00EE2FBE" w:rsidP="00EE2FBE">
      <w:pPr>
        <w:pStyle w:val="3-BodyText"/>
        <w:rPr>
          <w:color w:val="000000" w:themeColor="text1"/>
        </w:rPr>
      </w:pPr>
      <w:r w:rsidRPr="00731632">
        <w:rPr>
          <w:color w:val="000000" w:themeColor="text1"/>
        </w:rPr>
        <w:t>The model derive</w:t>
      </w:r>
      <w:r w:rsidR="009974B8" w:rsidRPr="00731632">
        <w:rPr>
          <w:color w:val="000000" w:themeColor="text1"/>
        </w:rPr>
        <w:t>d</w:t>
      </w:r>
      <w:r w:rsidRPr="00731632">
        <w:rPr>
          <w:color w:val="000000" w:themeColor="text1"/>
        </w:rPr>
        <w:t xml:space="preserve"> the incremental differences between the nirsevimab and standard of care arm by reducing the incidence of hospitalised and primary care RSV by 79.5% if the cases of RSV fall within the duration of protection of nirsevimab. </w:t>
      </w:r>
      <w:bookmarkStart w:id="70" w:name="_Hlk173769104"/>
      <w:r w:rsidRPr="00731632">
        <w:rPr>
          <w:color w:val="000000" w:themeColor="text1"/>
        </w:rPr>
        <w:t>For well-defined RSV seasons (temperate climates), the use of nirsevimab at the beginning of the season</w:t>
      </w:r>
      <w:r w:rsidR="00F677B5" w:rsidRPr="00731632">
        <w:rPr>
          <w:color w:val="000000" w:themeColor="text1"/>
        </w:rPr>
        <w:t xml:space="preserve"> was </w:t>
      </w:r>
      <w:r w:rsidRPr="00731632">
        <w:rPr>
          <w:color w:val="000000" w:themeColor="text1"/>
        </w:rPr>
        <w:t xml:space="preserve">modelled to provide protection </w:t>
      </w:r>
      <w:r w:rsidR="001A3D9A" w:rsidRPr="00731632">
        <w:rPr>
          <w:color w:val="000000" w:themeColor="text1"/>
        </w:rPr>
        <w:t xml:space="preserve">against </w:t>
      </w:r>
      <w:r w:rsidRPr="00731632">
        <w:rPr>
          <w:color w:val="000000" w:themeColor="text1"/>
        </w:rPr>
        <w:t xml:space="preserve">almost 90% of the yearly cases of RSV. In tropical climates, where the RSV season is more dispersed, </w:t>
      </w:r>
      <w:r w:rsidR="009974B8" w:rsidRPr="00731632">
        <w:rPr>
          <w:color w:val="000000" w:themeColor="text1"/>
        </w:rPr>
        <w:t xml:space="preserve">it was assumed that </w:t>
      </w:r>
      <w:r w:rsidRPr="00731632">
        <w:rPr>
          <w:color w:val="000000" w:themeColor="text1"/>
        </w:rPr>
        <w:t xml:space="preserve">nirsevimab administered at the beginning of the season </w:t>
      </w:r>
      <w:r w:rsidR="009974B8" w:rsidRPr="00731632">
        <w:rPr>
          <w:color w:val="000000" w:themeColor="text1"/>
        </w:rPr>
        <w:t xml:space="preserve">provided </w:t>
      </w:r>
      <w:r w:rsidRPr="00731632">
        <w:rPr>
          <w:color w:val="000000" w:themeColor="text1"/>
        </w:rPr>
        <w:t xml:space="preserve">protection </w:t>
      </w:r>
      <w:r w:rsidR="001A3D9A" w:rsidRPr="00731632">
        <w:rPr>
          <w:color w:val="000000" w:themeColor="text1"/>
        </w:rPr>
        <w:t xml:space="preserve">against </w:t>
      </w:r>
      <w:r w:rsidRPr="00731632">
        <w:rPr>
          <w:color w:val="000000" w:themeColor="text1"/>
        </w:rPr>
        <w:t>almost 80% of all yearly cases of RSV.</w:t>
      </w:r>
      <w:bookmarkEnd w:id="70"/>
    </w:p>
    <w:p w14:paraId="25ABD8A4" w14:textId="4379195E" w:rsidR="00DE1973" w:rsidRPr="00731632" w:rsidRDefault="00EE2FBE" w:rsidP="00866F91">
      <w:pPr>
        <w:pStyle w:val="3-BodyText"/>
        <w:rPr>
          <w:iCs/>
        </w:rPr>
      </w:pPr>
      <w:bookmarkStart w:id="71" w:name="_Ref170135748"/>
      <w:bookmarkStart w:id="72" w:name="_Ref172735429"/>
      <w:r w:rsidRPr="00731632">
        <w:t xml:space="preserve">The probability of hospitalised </w:t>
      </w:r>
      <w:r w:rsidR="0052781F" w:rsidRPr="00731632">
        <w:t>MA RSV</w:t>
      </w:r>
      <w:r w:rsidRPr="00731632">
        <w:t xml:space="preserve"> </w:t>
      </w:r>
      <w:r w:rsidR="00DE1973" w:rsidRPr="00731632">
        <w:t xml:space="preserve">was </w:t>
      </w:r>
      <w:r w:rsidRPr="00731632">
        <w:t xml:space="preserve">sourced from an RSV surveillance report for Central Queensland. The annual probability of </w:t>
      </w:r>
      <w:r w:rsidR="00EB3781" w:rsidRPr="00731632">
        <w:t xml:space="preserve">RSV </w:t>
      </w:r>
      <w:r w:rsidRPr="00731632">
        <w:t>hospitalisation (4.2% of all infants &lt;1 year of age)</w:t>
      </w:r>
      <w:r w:rsidR="00F677B5" w:rsidRPr="00731632">
        <w:t xml:space="preserve"> was </w:t>
      </w:r>
      <w:r w:rsidRPr="00731632">
        <w:t xml:space="preserve">distributed across age groups of infants based on an Australian study of RSV hospitalisations between 2013-2014. </w:t>
      </w:r>
      <w:r w:rsidR="00C6132C" w:rsidRPr="00731632">
        <w:t xml:space="preserve">The evaluation noted that </w:t>
      </w:r>
      <w:r w:rsidR="00C6132C" w:rsidRPr="00731632">
        <w:rPr>
          <w:iCs/>
        </w:rPr>
        <w:t>t</w:t>
      </w:r>
      <w:r w:rsidRPr="00731632">
        <w:rPr>
          <w:iCs/>
        </w:rPr>
        <w:t>he model</w:t>
      </w:r>
      <w:r w:rsidR="00F677B5" w:rsidRPr="00731632">
        <w:rPr>
          <w:iCs/>
        </w:rPr>
        <w:t xml:space="preserve"> was </w:t>
      </w:r>
      <w:r w:rsidRPr="00731632">
        <w:rPr>
          <w:iCs/>
        </w:rPr>
        <w:t>not sensitive to the distribution of annual rates across age groups. The hospitalisation rate</w:t>
      </w:r>
      <w:r w:rsidR="00F677B5" w:rsidRPr="00731632">
        <w:rPr>
          <w:iCs/>
        </w:rPr>
        <w:t xml:space="preserve"> was </w:t>
      </w:r>
      <w:r w:rsidRPr="00731632">
        <w:rPr>
          <w:iCs/>
        </w:rPr>
        <w:t xml:space="preserve">not linked to the overall annual probability of </w:t>
      </w:r>
      <w:r w:rsidR="0052781F" w:rsidRPr="00731632">
        <w:rPr>
          <w:iCs/>
        </w:rPr>
        <w:t>MA RSV</w:t>
      </w:r>
      <w:r w:rsidRPr="00731632">
        <w:rPr>
          <w:iCs/>
        </w:rPr>
        <w:t xml:space="preserve">, and sensitivity analyses exploring seasons with higher or lower probabilities of </w:t>
      </w:r>
      <w:r w:rsidR="0052781F" w:rsidRPr="00731632">
        <w:rPr>
          <w:iCs/>
        </w:rPr>
        <w:t>MA RSV</w:t>
      </w:r>
      <w:r w:rsidRPr="00731632">
        <w:rPr>
          <w:iCs/>
        </w:rPr>
        <w:t xml:space="preserve"> </w:t>
      </w:r>
      <w:r w:rsidR="009974B8" w:rsidRPr="00731632">
        <w:rPr>
          <w:iCs/>
        </w:rPr>
        <w:t xml:space="preserve">did </w:t>
      </w:r>
      <w:r w:rsidRPr="00731632">
        <w:rPr>
          <w:iCs/>
        </w:rPr>
        <w:t>not affect the probability of an infant being hospitalised with RSV. Although the rate of hospitalisation in the base case may be reasonable, it</w:t>
      </w:r>
      <w:r w:rsidR="00F677B5" w:rsidRPr="00731632">
        <w:rPr>
          <w:iCs/>
        </w:rPr>
        <w:t xml:space="preserve"> was </w:t>
      </w:r>
      <w:r w:rsidRPr="00731632">
        <w:rPr>
          <w:iCs/>
        </w:rPr>
        <w:t>implausible that it would not change in seasons with lower or higher burdens of RSV unless the incidence was driven by a change in testing rates, rather than a true change in the likelihood of RSV disease. The model therefore has some structural limitations for sensitivity analyses.</w:t>
      </w:r>
      <w:r w:rsidR="008174D6" w:rsidRPr="00731632">
        <w:rPr>
          <w:iCs/>
        </w:rPr>
        <w:t xml:space="preserve"> </w:t>
      </w:r>
      <w:r w:rsidR="0026796F" w:rsidRPr="00731632">
        <w:t>The submission stated that annual RSV-confirmed infant hospitalisation rates</w:t>
      </w:r>
      <w:r w:rsidR="005F5745" w:rsidRPr="00731632">
        <w:t xml:space="preserve"> were taken</w:t>
      </w:r>
      <w:r w:rsidR="0026796F" w:rsidRPr="00731632">
        <w:t xml:space="preserve"> from three unpublished studies</w:t>
      </w:r>
      <w:r w:rsidR="0026796F" w:rsidRPr="00731632">
        <w:rPr>
          <w:rStyle w:val="FootnoteReference"/>
          <w:color w:val="000000" w:themeColor="text1"/>
        </w:rPr>
        <w:footnoteReference w:id="18"/>
      </w:r>
      <w:r w:rsidR="0026796F" w:rsidRPr="00731632">
        <w:t xml:space="preserve">, which ranged from 3.4% to 4.2%, and the submission applied the highest estimate in the economic model, i.e. 4.2%. </w:t>
      </w:r>
      <w:r w:rsidR="00DE1973" w:rsidRPr="00731632">
        <w:rPr>
          <w:iCs/>
        </w:rPr>
        <w:t>The ESC noted that the estimated rate of RSV hospitalisations (4.2%) was high in comparison with published estimates, such as Saravanos 2019 (1.7%) and Gebremedhin 2022 (2.33%</w:t>
      </w:r>
      <w:r w:rsidR="00982FE1" w:rsidRPr="00731632">
        <w:rPr>
          <w:iCs/>
        </w:rPr>
        <w:t xml:space="preserve"> based on cases aged</w:t>
      </w:r>
      <w:r w:rsidR="00985A6C" w:rsidRPr="00731632">
        <w:rPr>
          <w:iCs/>
        </w:rPr>
        <w:t xml:space="preserve"> </w:t>
      </w:r>
      <w:r w:rsidR="00982FE1" w:rsidRPr="00731632">
        <w:rPr>
          <w:iCs/>
        </w:rPr>
        <w:t>&lt;1 year</w:t>
      </w:r>
      <w:r w:rsidR="00DE1973" w:rsidRPr="00731632">
        <w:rPr>
          <w:iCs/>
        </w:rPr>
        <w:t>).</w:t>
      </w:r>
      <w:bookmarkEnd w:id="71"/>
      <w:r w:rsidR="003E1422">
        <w:rPr>
          <w:iCs/>
        </w:rPr>
        <w:t xml:space="preserve"> </w:t>
      </w:r>
      <w:r w:rsidR="0085322B" w:rsidRPr="00731632">
        <w:rPr>
          <w:iCs/>
        </w:rPr>
        <w:t>Consistent with advice received from the ATAGI, t</w:t>
      </w:r>
      <w:r w:rsidR="00A007E4" w:rsidRPr="00731632">
        <w:rPr>
          <w:iCs/>
        </w:rPr>
        <w:t xml:space="preserve">he PBAC considered that the hospitalisation rate in the submission was overestimated, and that a rate of 2.33% would be appropriate, based on a publication by </w:t>
      </w:r>
      <w:r w:rsidR="00A007E4" w:rsidRPr="00731632">
        <w:rPr>
          <w:iCs/>
          <w:color w:val="000000" w:themeColor="text1"/>
        </w:rPr>
        <w:t>Gebremedhin et al (2022), which reported on the burden of RSV based on a cohort of over 300,000 children born in Western Australia</w:t>
      </w:r>
      <w:r w:rsidR="000D1BCF" w:rsidRPr="00731632">
        <w:rPr>
          <w:iCs/>
          <w:color w:val="000000" w:themeColor="text1"/>
        </w:rPr>
        <w:t xml:space="preserve">, noting that the submission had used data from this study </w:t>
      </w:r>
      <w:r w:rsidR="006B27C8" w:rsidRPr="00731632">
        <w:rPr>
          <w:iCs/>
          <w:color w:val="000000" w:themeColor="text1"/>
        </w:rPr>
        <w:t>in another part</w:t>
      </w:r>
      <w:r w:rsidR="000D1BCF" w:rsidRPr="00731632">
        <w:rPr>
          <w:iCs/>
          <w:color w:val="000000" w:themeColor="text1"/>
        </w:rPr>
        <w:t xml:space="preserve"> of the economic model (see paragraph</w:t>
      </w:r>
      <w:r w:rsidR="00A20412" w:rsidRPr="00731632">
        <w:rPr>
          <w:iCs/>
          <w:color w:val="000000" w:themeColor="text1"/>
        </w:rPr>
        <w:t xml:space="preserve"> </w:t>
      </w:r>
      <w:r w:rsidR="00A20412" w:rsidRPr="00731632">
        <w:rPr>
          <w:iCs/>
          <w:color w:val="000000" w:themeColor="text1"/>
        </w:rPr>
        <w:fldChar w:fldCharType="begin"/>
      </w:r>
      <w:r w:rsidR="00A20412" w:rsidRPr="00731632">
        <w:rPr>
          <w:iCs/>
          <w:color w:val="000000" w:themeColor="text1"/>
        </w:rPr>
        <w:instrText xml:space="preserve"> REF _Ref173413426 \r \h </w:instrText>
      </w:r>
      <w:r w:rsidR="00A20412" w:rsidRPr="00731632">
        <w:rPr>
          <w:iCs/>
          <w:color w:val="000000" w:themeColor="text1"/>
        </w:rPr>
      </w:r>
      <w:r w:rsidR="00A20412" w:rsidRPr="00731632">
        <w:rPr>
          <w:iCs/>
          <w:color w:val="000000" w:themeColor="text1"/>
        </w:rPr>
        <w:fldChar w:fldCharType="separate"/>
      </w:r>
      <w:r w:rsidR="00D770BB">
        <w:rPr>
          <w:iCs/>
          <w:color w:val="000000" w:themeColor="text1"/>
        </w:rPr>
        <w:t>6.58</w:t>
      </w:r>
      <w:r w:rsidR="00A20412" w:rsidRPr="00731632">
        <w:rPr>
          <w:iCs/>
          <w:color w:val="000000" w:themeColor="text1"/>
        </w:rPr>
        <w:fldChar w:fldCharType="end"/>
      </w:r>
      <w:r w:rsidR="000D1BCF" w:rsidRPr="00731632">
        <w:rPr>
          <w:iCs/>
          <w:color w:val="000000" w:themeColor="text1"/>
        </w:rPr>
        <w:t>)</w:t>
      </w:r>
      <w:r w:rsidR="00A007E4" w:rsidRPr="00731632">
        <w:rPr>
          <w:iCs/>
          <w:color w:val="000000" w:themeColor="text1"/>
        </w:rPr>
        <w:t>.</w:t>
      </w:r>
      <w:bookmarkEnd w:id="72"/>
    </w:p>
    <w:p w14:paraId="0868D8D6" w14:textId="38C866C5" w:rsidR="00EE2FBE" w:rsidRPr="00731632" w:rsidRDefault="00EE2FBE" w:rsidP="00EE2FBE">
      <w:pPr>
        <w:pStyle w:val="3-BodyText"/>
        <w:rPr>
          <w:color w:val="000000" w:themeColor="text1"/>
        </w:rPr>
      </w:pPr>
      <w:r w:rsidRPr="00731632">
        <w:rPr>
          <w:color w:val="000000" w:themeColor="text1"/>
        </w:rPr>
        <w:t>The ICU, mechanical ventilation, asthma and recurrent wheezing health states</w:t>
      </w:r>
      <w:r w:rsidR="00F677B5" w:rsidRPr="00731632">
        <w:rPr>
          <w:color w:val="000000" w:themeColor="text1"/>
        </w:rPr>
        <w:t xml:space="preserve"> were </w:t>
      </w:r>
      <w:r w:rsidRPr="00731632">
        <w:rPr>
          <w:color w:val="000000" w:themeColor="text1"/>
        </w:rPr>
        <w:t>populated by applying a probability to infants who</w:t>
      </w:r>
      <w:r w:rsidR="00F677B5" w:rsidRPr="00731632">
        <w:rPr>
          <w:color w:val="000000" w:themeColor="text1"/>
        </w:rPr>
        <w:t xml:space="preserve"> were </w:t>
      </w:r>
      <w:r w:rsidRPr="00731632">
        <w:rPr>
          <w:color w:val="000000" w:themeColor="text1"/>
        </w:rPr>
        <w:t>hospitalised. Infants in these health states accrue</w:t>
      </w:r>
      <w:r w:rsidR="009974B8" w:rsidRPr="00731632">
        <w:rPr>
          <w:color w:val="000000" w:themeColor="text1"/>
        </w:rPr>
        <w:t>d</w:t>
      </w:r>
      <w:r w:rsidRPr="00731632">
        <w:rPr>
          <w:color w:val="000000" w:themeColor="text1"/>
        </w:rPr>
        <w:t xml:space="preserve"> costs and disutilities or QALY losses </w:t>
      </w:r>
      <w:r w:rsidRPr="00731632">
        <w:rPr>
          <w:iCs/>
          <w:color w:val="000000" w:themeColor="text1"/>
        </w:rPr>
        <w:t xml:space="preserve">in addition </w:t>
      </w:r>
      <w:r w:rsidRPr="00731632">
        <w:rPr>
          <w:color w:val="000000" w:themeColor="text1"/>
        </w:rPr>
        <w:t>to hospitalisation.</w:t>
      </w:r>
      <w:r w:rsidR="008174D6" w:rsidRPr="00731632">
        <w:rPr>
          <w:color w:val="000000" w:themeColor="text1"/>
        </w:rPr>
        <w:t xml:space="preserve"> </w:t>
      </w:r>
      <w:r w:rsidR="00381D4F" w:rsidRPr="00731632">
        <w:rPr>
          <w:iCs/>
          <w:color w:val="000000" w:themeColor="text1"/>
        </w:rPr>
        <w:t xml:space="preserve">As the model </w:t>
      </w:r>
      <w:r w:rsidR="009974B8" w:rsidRPr="00731632">
        <w:rPr>
          <w:iCs/>
          <w:color w:val="000000" w:themeColor="text1"/>
        </w:rPr>
        <w:t xml:space="preserve">permitted </w:t>
      </w:r>
      <w:r w:rsidR="00B63F4A" w:rsidRPr="00731632">
        <w:rPr>
          <w:iCs/>
          <w:color w:val="000000" w:themeColor="text1"/>
        </w:rPr>
        <w:t>individuals</w:t>
      </w:r>
      <w:r w:rsidR="00381D4F" w:rsidRPr="00731632">
        <w:rPr>
          <w:iCs/>
          <w:color w:val="000000" w:themeColor="text1"/>
        </w:rPr>
        <w:t xml:space="preserve"> to be hospitalised with RSV more than once, the</w:t>
      </w:r>
      <w:r w:rsidR="00C6132C" w:rsidRPr="00731632">
        <w:rPr>
          <w:iCs/>
          <w:color w:val="000000" w:themeColor="text1"/>
        </w:rPr>
        <w:t xml:space="preserve"> evaluation noted that the</w:t>
      </w:r>
      <w:r w:rsidR="00381D4F" w:rsidRPr="00731632">
        <w:rPr>
          <w:iCs/>
          <w:color w:val="000000" w:themeColor="text1"/>
        </w:rPr>
        <w:t xml:space="preserve"> modelling of asthma and recurrent wheezing </w:t>
      </w:r>
      <w:r w:rsidR="009974B8" w:rsidRPr="00731632">
        <w:rPr>
          <w:iCs/>
          <w:color w:val="000000" w:themeColor="text1"/>
        </w:rPr>
        <w:t xml:space="preserve">included </w:t>
      </w:r>
      <w:r w:rsidR="00381D4F" w:rsidRPr="00731632">
        <w:rPr>
          <w:iCs/>
          <w:color w:val="000000" w:themeColor="text1"/>
        </w:rPr>
        <w:t>some double counting (</w:t>
      </w:r>
      <w:r w:rsidR="00B63F4A" w:rsidRPr="00731632">
        <w:rPr>
          <w:iCs/>
          <w:color w:val="000000" w:themeColor="text1"/>
        </w:rPr>
        <w:t>individuals</w:t>
      </w:r>
      <w:r w:rsidR="00381D4F" w:rsidRPr="00731632">
        <w:rPr>
          <w:iCs/>
          <w:color w:val="000000" w:themeColor="text1"/>
        </w:rPr>
        <w:t xml:space="preserve"> who</w:t>
      </w:r>
      <w:r w:rsidR="00F677B5" w:rsidRPr="00731632">
        <w:rPr>
          <w:iCs/>
          <w:color w:val="000000" w:themeColor="text1"/>
        </w:rPr>
        <w:t xml:space="preserve"> were </w:t>
      </w:r>
      <w:r w:rsidR="00381D4F" w:rsidRPr="00731632">
        <w:rPr>
          <w:iCs/>
          <w:color w:val="000000" w:themeColor="text1"/>
        </w:rPr>
        <w:t>admitted twice would have a chance of experiencing 2 x 3 years of wheezing).</w:t>
      </w:r>
    </w:p>
    <w:p w14:paraId="39533640" w14:textId="70EBEF3E" w:rsidR="00EE2FBE" w:rsidRPr="00731632" w:rsidRDefault="00EE2FBE" w:rsidP="00EE2FBE">
      <w:pPr>
        <w:pStyle w:val="3-BodyText"/>
        <w:rPr>
          <w:color w:val="000000" w:themeColor="text1"/>
        </w:rPr>
      </w:pPr>
      <w:bookmarkStart w:id="73" w:name="_Ref172737339"/>
      <w:r w:rsidRPr="00731632">
        <w:rPr>
          <w:color w:val="000000" w:themeColor="text1"/>
        </w:rPr>
        <w:t>The probability of an ICU admission (9.9% of all RSV hospitalisations)</w:t>
      </w:r>
      <w:r w:rsidR="00F677B5" w:rsidRPr="00731632">
        <w:rPr>
          <w:color w:val="000000" w:themeColor="text1"/>
        </w:rPr>
        <w:t xml:space="preserve"> was </w:t>
      </w:r>
      <w:r w:rsidRPr="00731632">
        <w:rPr>
          <w:color w:val="000000" w:themeColor="text1"/>
        </w:rPr>
        <w:t>derived from an Australian study of RSV hospitalisations in children up to the age of 3</w:t>
      </w:r>
      <w:r w:rsidRPr="00731632">
        <w:rPr>
          <w:rStyle w:val="FootnoteReference"/>
          <w:color w:val="000000" w:themeColor="text1"/>
        </w:rPr>
        <w:footnoteReference w:id="19"/>
      </w:r>
      <w:r w:rsidRPr="00731632">
        <w:rPr>
          <w:color w:val="000000" w:themeColor="text1"/>
        </w:rPr>
        <w:t xml:space="preserve">. </w:t>
      </w:r>
      <w:r w:rsidR="00A1212D" w:rsidRPr="00731632">
        <w:rPr>
          <w:color w:val="000000" w:themeColor="text1"/>
        </w:rPr>
        <w:t xml:space="preserve">The evaluation noted that </w:t>
      </w:r>
      <w:r w:rsidR="00A1212D" w:rsidRPr="00731632">
        <w:rPr>
          <w:iCs/>
          <w:color w:val="000000" w:themeColor="text1"/>
        </w:rPr>
        <w:t>a</w:t>
      </w:r>
      <w:r w:rsidRPr="00731632">
        <w:rPr>
          <w:iCs/>
          <w:color w:val="000000" w:themeColor="text1"/>
        </w:rPr>
        <w:t>nother study undertaken in Western Australia reported a rate of 5.7% ICU attendance, however included children hospitalised with RSV up to the age of 5</w:t>
      </w:r>
      <w:r w:rsidRPr="00731632">
        <w:rPr>
          <w:rStyle w:val="FootnoteReference"/>
          <w:iCs/>
          <w:color w:val="000000" w:themeColor="text1"/>
        </w:rPr>
        <w:footnoteReference w:id="20"/>
      </w:r>
      <w:r w:rsidRPr="00731632">
        <w:rPr>
          <w:iCs/>
          <w:color w:val="000000" w:themeColor="text1"/>
        </w:rPr>
        <w:t>. The estimate in the model</w:t>
      </w:r>
      <w:r w:rsidR="00F677B5" w:rsidRPr="00731632">
        <w:rPr>
          <w:iCs/>
          <w:color w:val="000000" w:themeColor="text1"/>
        </w:rPr>
        <w:t xml:space="preserve"> was </w:t>
      </w:r>
      <w:r w:rsidRPr="00731632">
        <w:rPr>
          <w:iCs/>
          <w:color w:val="000000" w:themeColor="text1"/>
        </w:rPr>
        <w:t>therefore uncertain. Applying a rate of ICU admission of 5.7% increases the model ICER by more than 30%.</w:t>
      </w:r>
      <w:bookmarkEnd w:id="73"/>
    </w:p>
    <w:p w14:paraId="48550B0B" w14:textId="3C7330FD" w:rsidR="00EE2FBE" w:rsidRPr="00731632" w:rsidRDefault="00EE2FBE" w:rsidP="00EE2FBE">
      <w:pPr>
        <w:pStyle w:val="3-BodyText"/>
        <w:rPr>
          <w:color w:val="000000" w:themeColor="text1"/>
        </w:rPr>
      </w:pPr>
      <w:bookmarkStart w:id="74" w:name="_Ref173413426"/>
      <w:r w:rsidRPr="00731632">
        <w:rPr>
          <w:color w:val="000000" w:themeColor="text1"/>
        </w:rPr>
        <w:t>The probability of mechanical ventilation (2.5% of all hospitalisations)</w:t>
      </w:r>
      <w:r w:rsidR="00F677B5" w:rsidRPr="00731632">
        <w:rPr>
          <w:color w:val="000000" w:themeColor="text1"/>
        </w:rPr>
        <w:t xml:space="preserve"> was </w:t>
      </w:r>
      <w:r w:rsidRPr="00731632">
        <w:rPr>
          <w:color w:val="000000" w:themeColor="text1"/>
        </w:rPr>
        <w:t>based on the Western Australian study of RSV in hospitalised children referenced above</w:t>
      </w:r>
      <w:r w:rsidR="00A20412" w:rsidRPr="00731632">
        <w:rPr>
          <w:color w:val="000000" w:themeColor="text1"/>
        </w:rPr>
        <w:t xml:space="preserve"> (Gebremedhin et al, 2022)</w:t>
      </w:r>
      <w:r w:rsidRPr="00731632">
        <w:rPr>
          <w:color w:val="000000" w:themeColor="text1"/>
        </w:rPr>
        <w:t xml:space="preserve">. </w:t>
      </w:r>
      <w:r w:rsidR="00A1212D" w:rsidRPr="00731632">
        <w:rPr>
          <w:color w:val="000000" w:themeColor="text1"/>
        </w:rPr>
        <w:t>The evaluation considered that a</w:t>
      </w:r>
      <w:r w:rsidRPr="00731632">
        <w:rPr>
          <w:color w:val="000000" w:themeColor="text1"/>
        </w:rPr>
        <w:t>lthough this rate may be reasonable</w:t>
      </w:r>
      <w:r w:rsidRPr="00731632">
        <w:rPr>
          <w:iCs/>
          <w:color w:val="000000" w:themeColor="text1"/>
        </w:rPr>
        <w:t>, the model structure applies costs and utilities of mechanical ventilation separately from ICU costs and utilities. As the rates of ICU attendance, and the costs and disutilities of ICU attendance, already incorporate the proportion of infants that require ventilation, by modelling these two (sub) health states separately, the model</w:t>
      </w:r>
      <w:r w:rsidR="00F677B5" w:rsidRPr="00731632">
        <w:rPr>
          <w:iCs/>
          <w:color w:val="000000" w:themeColor="text1"/>
        </w:rPr>
        <w:t xml:space="preserve"> was </w:t>
      </w:r>
      <w:r w:rsidRPr="00731632">
        <w:rPr>
          <w:iCs/>
          <w:color w:val="000000" w:themeColor="text1"/>
        </w:rPr>
        <w:t>likely to be double counting. The model</w:t>
      </w:r>
      <w:r w:rsidR="00F677B5" w:rsidRPr="00731632">
        <w:rPr>
          <w:iCs/>
          <w:color w:val="000000" w:themeColor="text1"/>
        </w:rPr>
        <w:t xml:space="preserve"> was </w:t>
      </w:r>
      <w:r w:rsidRPr="00731632">
        <w:rPr>
          <w:iCs/>
          <w:color w:val="000000" w:themeColor="text1"/>
        </w:rPr>
        <w:t>substantially sensitive to the removal of mechanical ventilation.</w:t>
      </w:r>
      <w:bookmarkEnd w:id="74"/>
    </w:p>
    <w:p w14:paraId="11B4FAE1" w14:textId="3E4849B0" w:rsidR="002F6E2F" w:rsidRPr="00731632" w:rsidRDefault="00EE2FBE" w:rsidP="00EE2FBE">
      <w:pPr>
        <w:pStyle w:val="3-BodyText"/>
        <w:rPr>
          <w:color w:val="000000" w:themeColor="text1"/>
        </w:rPr>
      </w:pPr>
      <w:bookmarkStart w:id="75" w:name="_Ref167120426"/>
      <w:r w:rsidRPr="00731632">
        <w:rPr>
          <w:iCs/>
          <w:color w:val="000000" w:themeColor="text1"/>
        </w:rPr>
        <w:t>The</w:t>
      </w:r>
      <w:r w:rsidR="00A1212D" w:rsidRPr="00731632">
        <w:rPr>
          <w:iCs/>
          <w:color w:val="000000" w:themeColor="text1"/>
        </w:rPr>
        <w:t xml:space="preserve"> evaluation considered that the</w:t>
      </w:r>
      <w:r w:rsidRPr="00731632">
        <w:rPr>
          <w:iCs/>
          <w:color w:val="000000" w:themeColor="text1"/>
        </w:rPr>
        <w:t xml:space="preserve"> probabilities of asthma (for 1 year) and wheezing (for up to 3 years)</w:t>
      </w:r>
      <w:r w:rsidR="00F677B5" w:rsidRPr="00731632">
        <w:rPr>
          <w:iCs/>
          <w:color w:val="000000" w:themeColor="text1"/>
        </w:rPr>
        <w:t xml:space="preserve"> were </w:t>
      </w:r>
      <w:r w:rsidRPr="00731632">
        <w:rPr>
          <w:iCs/>
          <w:color w:val="000000" w:themeColor="text1"/>
        </w:rPr>
        <w:t>highly uncertain.</w:t>
      </w:r>
      <w:r w:rsidRPr="00731632">
        <w:rPr>
          <w:color w:val="000000" w:themeColor="text1"/>
        </w:rPr>
        <w:t xml:space="preserve"> </w:t>
      </w:r>
      <w:r w:rsidR="001A3D9A" w:rsidRPr="00731632">
        <w:rPr>
          <w:iCs/>
          <w:color w:val="000000" w:themeColor="text1"/>
        </w:rPr>
        <w:t>No evidence to support the impact of nirsevimab on rates of asthma or wheezing was presented in the clinical section of the submission.</w:t>
      </w:r>
      <w:r w:rsidR="001A3D9A" w:rsidRPr="00731632">
        <w:rPr>
          <w:color w:val="000000" w:themeColor="text1"/>
        </w:rPr>
        <w:t xml:space="preserve"> </w:t>
      </w:r>
      <w:r w:rsidRPr="00731632">
        <w:rPr>
          <w:color w:val="000000" w:themeColor="text1"/>
        </w:rPr>
        <w:t>These have been sourced from an economic evaluation of RSV prevention strategies undertaken in Norway</w:t>
      </w:r>
      <w:r w:rsidRPr="00731632">
        <w:rPr>
          <w:rStyle w:val="FootnoteReference"/>
          <w:color w:val="000000" w:themeColor="text1"/>
        </w:rPr>
        <w:footnoteReference w:id="21"/>
      </w:r>
      <w:r w:rsidRPr="00731632">
        <w:rPr>
          <w:color w:val="000000" w:themeColor="text1"/>
        </w:rPr>
        <w:t xml:space="preserve">. </w:t>
      </w:r>
      <w:r w:rsidRPr="00731632">
        <w:rPr>
          <w:iCs/>
          <w:color w:val="000000" w:themeColor="text1"/>
        </w:rPr>
        <w:t xml:space="preserve">The Norwegian economic evaluation </w:t>
      </w:r>
      <w:r w:rsidR="0050214C" w:rsidRPr="00731632">
        <w:rPr>
          <w:iCs/>
          <w:color w:val="000000" w:themeColor="text1"/>
        </w:rPr>
        <w:t xml:space="preserve">referenced </w:t>
      </w:r>
      <w:r w:rsidRPr="00731632">
        <w:rPr>
          <w:iCs/>
          <w:color w:val="000000" w:themeColor="text1"/>
        </w:rPr>
        <w:t>two systematic reviews as the source of the probabilities, however the derivation of the probabilities</w:t>
      </w:r>
      <w:r w:rsidR="00F677B5" w:rsidRPr="00731632">
        <w:rPr>
          <w:iCs/>
          <w:color w:val="000000" w:themeColor="text1"/>
        </w:rPr>
        <w:t xml:space="preserve"> was </w:t>
      </w:r>
      <w:r w:rsidRPr="00731632">
        <w:rPr>
          <w:iCs/>
          <w:color w:val="000000" w:themeColor="text1"/>
        </w:rPr>
        <w:t>unclear. The authors of the economic evaluation acknowledge</w:t>
      </w:r>
      <w:r w:rsidR="0050214C" w:rsidRPr="00731632">
        <w:rPr>
          <w:iCs/>
          <w:color w:val="000000" w:themeColor="text1"/>
        </w:rPr>
        <w:t>d</w:t>
      </w:r>
      <w:r w:rsidRPr="00731632">
        <w:rPr>
          <w:iCs/>
          <w:color w:val="000000" w:themeColor="text1"/>
        </w:rPr>
        <w:t xml:space="preserve"> that a randomised trial showed that RSV had no major effect on physician diagnosed asthma or lung function at 6 years of age in healthy preterm infants</w:t>
      </w:r>
      <w:r w:rsidRPr="00731632">
        <w:rPr>
          <w:rStyle w:val="FootnoteReference"/>
          <w:iCs/>
          <w:color w:val="000000" w:themeColor="text1"/>
        </w:rPr>
        <w:footnoteReference w:id="22"/>
      </w:r>
      <w:r w:rsidRPr="00731632">
        <w:rPr>
          <w:iCs/>
          <w:color w:val="000000" w:themeColor="text1"/>
        </w:rPr>
        <w:t xml:space="preserve">. Consequently, the authors of the published economic evaluation only included the costs and disutilities of asthma and wheezing in a supplementary analysis. </w:t>
      </w:r>
    </w:p>
    <w:p w14:paraId="400A3527" w14:textId="11FF6C5C" w:rsidR="002F6E2F" w:rsidRPr="00731632" w:rsidRDefault="002F6E2F" w:rsidP="00EE2FBE">
      <w:pPr>
        <w:pStyle w:val="3-BodyText"/>
        <w:rPr>
          <w:color w:val="000000" w:themeColor="text1"/>
        </w:rPr>
      </w:pPr>
      <w:r w:rsidRPr="00731632">
        <w:t>The submission justified the inclusion of wheezing based on an observational study that reported recurrent wheezing in children following RSV</w:t>
      </w:r>
      <w:r w:rsidRPr="00731632">
        <w:rPr>
          <w:rStyle w:val="FootnoteReference"/>
        </w:rPr>
        <w:footnoteReference w:id="23"/>
      </w:r>
      <w:r w:rsidRPr="00731632">
        <w:t>, a German study of 42</w:t>
      </w:r>
      <w:r w:rsidR="00DF53E4">
        <w:t> </w:t>
      </w:r>
      <w:r w:rsidRPr="00731632">
        <w:t>children with RSV (13/42 had recurrent wheezing in year 1, however no background rate of wheezing was discussed)</w:t>
      </w:r>
      <w:r w:rsidRPr="00731632">
        <w:rPr>
          <w:rStyle w:val="FootnoteReference"/>
        </w:rPr>
        <w:footnoteReference w:id="24"/>
      </w:r>
      <w:r w:rsidRPr="00731632">
        <w:fldChar w:fldCharType="begin"/>
      </w:r>
      <w:r w:rsidRPr="00731632">
        <w:instrText xml:space="preserve"> ADDIN EN.CITE &lt;EndNote&gt;&lt;Cite&gt;&lt;Author&gt;Schauer&lt;/Author&gt;&lt;Year&gt;2002&lt;/Year&gt;&lt;RecNum&gt;21&lt;/RecNum&gt;&lt;DisplayText&gt;&lt;style face="superscript"&gt;26&lt;/style&gt;&lt;/DisplayText&gt;&lt;record&gt;&lt;rec-number&gt;21&lt;/rec-number&gt;&lt;foreign-keys&gt;&lt;key app="EN" db-id="0aexxtzzwearetet0a8vtzxufrez0vrseps2" timestamp="1714452452"&gt;21&lt;/key&gt;&lt;/foreign-keys&gt;&lt;ref-type name="Journal Article"&gt;17&lt;/ref-type&gt;&lt;contributors&gt;&lt;authors&gt;&lt;author&gt;Schauer, U&lt;/author&gt;&lt;author&gt;Hoffjan, S&lt;/author&gt;&lt;author&gt;Bittscheidt, J&lt;/author&gt;&lt;author&gt;Köchling, A&lt;/author&gt;&lt;author&gt;Hemmis, S&lt;/author&gt;&lt;author&gt;Bongartz, S&lt;/author&gt;&lt;author&gt;Stephan, V&lt;/author&gt;&lt;/authors&gt;&lt;/contributors&gt;&lt;titles&gt;&lt;title&gt;RSV bronchiolitis and risk of wheeze and allergic sensitisation in the first year of life&lt;/title&gt;&lt;secondary-title&gt;European respiratory journal&lt;/secondary-title&gt;&lt;/titles&gt;&lt;periodical&gt;&lt;full-title&gt;European respiratory journal&lt;/full-title&gt;&lt;/periodical&gt;&lt;pages&gt;1277-1283&lt;/pages&gt;&lt;volume&gt;20&lt;/volume&gt;&lt;number&gt;5&lt;/number&gt;&lt;dates&gt;&lt;year&gt;2002&lt;/year&gt;&lt;/dates&gt;&lt;isbn&gt;0903-1936&lt;/isbn&gt;&lt;urls&gt;&lt;/urls&gt;&lt;/record&gt;&lt;/Cite&gt;&lt;/EndNote&gt;</w:instrText>
      </w:r>
      <w:r w:rsidR="00D770BB">
        <w:fldChar w:fldCharType="separate"/>
      </w:r>
      <w:r w:rsidRPr="00731632">
        <w:fldChar w:fldCharType="end"/>
      </w:r>
      <w:r w:rsidRPr="00731632">
        <w:t>, and a study that reported improvements in the rate of wheezing over time</w:t>
      </w:r>
      <w:r w:rsidRPr="00731632">
        <w:rPr>
          <w:rStyle w:val="FootnoteReference"/>
        </w:rPr>
        <w:footnoteReference w:id="25"/>
      </w:r>
      <w:r w:rsidRPr="00731632">
        <w:t>.</w:t>
      </w:r>
      <w:r w:rsidR="00D34E33" w:rsidRPr="00731632">
        <w:t xml:space="preserve"> The ESC noted the age of the </w:t>
      </w:r>
      <w:r w:rsidR="007E7524" w:rsidRPr="00731632">
        <w:t>evidence</w:t>
      </w:r>
      <w:r w:rsidR="00D34E33" w:rsidRPr="00731632">
        <w:t xml:space="preserve">, and its observational nature, </w:t>
      </w:r>
      <w:r w:rsidR="007E7524" w:rsidRPr="00731632">
        <w:t xml:space="preserve">and considered that </w:t>
      </w:r>
      <w:r w:rsidR="00D34E33" w:rsidRPr="00731632">
        <w:t>the applicability of the data</w:t>
      </w:r>
      <w:r w:rsidR="00F677B5" w:rsidRPr="00731632">
        <w:t xml:space="preserve"> was </w:t>
      </w:r>
      <w:r w:rsidR="00D34E33" w:rsidRPr="00731632">
        <w:t>uncertain.</w:t>
      </w:r>
    </w:p>
    <w:p w14:paraId="01957E04" w14:textId="22713930" w:rsidR="00EE2FBE" w:rsidRPr="00731632" w:rsidRDefault="00EE2FBE" w:rsidP="00EE2FBE">
      <w:pPr>
        <w:pStyle w:val="3-BodyText"/>
        <w:rPr>
          <w:iCs/>
          <w:color w:val="000000" w:themeColor="text1"/>
        </w:rPr>
      </w:pPr>
      <w:bookmarkStart w:id="76" w:name="_Ref172736635"/>
      <w:r w:rsidRPr="00731632">
        <w:rPr>
          <w:iCs/>
          <w:color w:val="000000" w:themeColor="text1"/>
        </w:rPr>
        <w:t xml:space="preserve">Removing asthma and recurrent wheezing from the nirsevimab analysis more than doubles the model ICER. </w:t>
      </w:r>
      <w:bookmarkEnd w:id="75"/>
      <w:r w:rsidR="00DA16B6" w:rsidRPr="00731632">
        <w:rPr>
          <w:rFonts w:cs="Calibri"/>
          <w:iCs/>
          <w:color w:val="000000"/>
          <w:szCs w:val="20"/>
        </w:rPr>
        <w:t xml:space="preserve">The PSCR maintained that the source for asthma/wheezing rates (Li et al 2022) </w:t>
      </w:r>
      <w:r w:rsidR="007E7524" w:rsidRPr="00731632">
        <w:rPr>
          <w:rFonts w:cs="Calibri"/>
          <w:iCs/>
          <w:color w:val="000000"/>
          <w:szCs w:val="20"/>
        </w:rPr>
        <w:t>provided</w:t>
      </w:r>
      <w:r w:rsidR="00DA16B6" w:rsidRPr="00731632">
        <w:rPr>
          <w:rFonts w:cs="Calibri"/>
          <w:iCs/>
          <w:color w:val="000000"/>
          <w:szCs w:val="20"/>
        </w:rPr>
        <w:t xml:space="preserve"> the best available data in the absence of Australian data. However, the ESC considered the </w:t>
      </w:r>
      <w:r w:rsidR="00B67874" w:rsidRPr="00731632">
        <w:rPr>
          <w:rFonts w:cs="Calibri"/>
          <w:iCs/>
          <w:color w:val="000000"/>
          <w:szCs w:val="20"/>
        </w:rPr>
        <w:t>estimates of</w:t>
      </w:r>
      <w:r w:rsidR="00DA16B6" w:rsidRPr="00731632">
        <w:rPr>
          <w:rFonts w:cs="Calibri"/>
          <w:iCs/>
          <w:color w:val="000000"/>
          <w:szCs w:val="20"/>
        </w:rPr>
        <w:t xml:space="preserve"> asthma</w:t>
      </w:r>
      <w:r w:rsidR="00B67874" w:rsidRPr="00731632">
        <w:rPr>
          <w:rFonts w:cs="Calibri"/>
          <w:iCs/>
          <w:color w:val="000000"/>
          <w:szCs w:val="20"/>
        </w:rPr>
        <w:t xml:space="preserve"> and recurrent </w:t>
      </w:r>
      <w:r w:rsidR="00DA16B6" w:rsidRPr="00731632">
        <w:rPr>
          <w:rFonts w:cs="Calibri"/>
          <w:iCs/>
          <w:color w:val="000000"/>
          <w:szCs w:val="20"/>
        </w:rPr>
        <w:t xml:space="preserve">wheezing </w:t>
      </w:r>
      <w:r w:rsidR="00B30200" w:rsidRPr="00731632">
        <w:rPr>
          <w:rFonts w:cs="Calibri"/>
          <w:iCs/>
          <w:color w:val="000000"/>
          <w:szCs w:val="20"/>
        </w:rPr>
        <w:t>were</w:t>
      </w:r>
      <w:r w:rsidR="00DA16B6" w:rsidRPr="00731632">
        <w:rPr>
          <w:rFonts w:cs="Calibri"/>
          <w:iCs/>
          <w:color w:val="000000"/>
          <w:szCs w:val="20"/>
        </w:rPr>
        <w:t xml:space="preserve"> </w:t>
      </w:r>
      <w:r w:rsidR="00B67874" w:rsidRPr="00731632">
        <w:rPr>
          <w:rFonts w:cs="Calibri"/>
          <w:iCs/>
          <w:color w:val="000000"/>
          <w:szCs w:val="20"/>
        </w:rPr>
        <w:t>uncertain</w:t>
      </w:r>
      <w:r w:rsidR="00DA16B6" w:rsidRPr="00731632">
        <w:rPr>
          <w:rFonts w:cs="Calibri"/>
          <w:iCs/>
          <w:color w:val="000000"/>
          <w:szCs w:val="20"/>
        </w:rPr>
        <w:t>.</w:t>
      </w:r>
      <w:r w:rsidR="005F5745" w:rsidRPr="00731632">
        <w:rPr>
          <w:rFonts w:cs="Calibri"/>
          <w:iCs/>
          <w:color w:val="000000"/>
          <w:szCs w:val="20"/>
        </w:rPr>
        <w:t xml:space="preserve"> The pre-PBAC response</w:t>
      </w:r>
      <w:r w:rsidR="00034821" w:rsidRPr="00731632">
        <w:rPr>
          <w:rFonts w:cs="Calibri"/>
          <w:iCs/>
          <w:color w:val="000000"/>
          <w:szCs w:val="20"/>
        </w:rPr>
        <w:t xml:space="preserve"> reiterated that the removal of these complications</w:t>
      </w:r>
      <w:r w:rsidR="00F677B5" w:rsidRPr="00731632">
        <w:rPr>
          <w:rFonts w:cs="Calibri"/>
          <w:iCs/>
          <w:color w:val="000000"/>
          <w:szCs w:val="20"/>
        </w:rPr>
        <w:t xml:space="preserve"> was </w:t>
      </w:r>
      <w:r w:rsidR="00034821" w:rsidRPr="00731632">
        <w:rPr>
          <w:rFonts w:cs="Calibri"/>
          <w:iCs/>
          <w:color w:val="000000"/>
          <w:szCs w:val="20"/>
        </w:rPr>
        <w:t>not consistent with the available evidence or clinical practice.</w:t>
      </w:r>
      <w:r w:rsidR="00E14F47" w:rsidRPr="00731632">
        <w:rPr>
          <w:rFonts w:cs="Calibri"/>
          <w:iCs/>
          <w:color w:val="000000"/>
          <w:szCs w:val="20"/>
        </w:rPr>
        <w:t xml:space="preserve"> </w:t>
      </w:r>
      <w:r w:rsidR="0085322B" w:rsidRPr="00731632">
        <w:rPr>
          <w:rFonts w:cs="Calibri"/>
          <w:iCs/>
          <w:color w:val="000000"/>
          <w:szCs w:val="20"/>
        </w:rPr>
        <w:t>Consistent with advice received from the ATAGI, t</w:t>
      </w:r>
      <w:r w:rsidR="00E14F47" w:rsidRPr="00731632">
        <w:rPr>
          <w:rFonts w:cs="Calibri"/>
          <w:iCs/>
          <w:color w:val="000000"/>
          <w:szCs w:val="20"/>
        </w:rPr>
        <w:t>he PBAC noted the discussion in the pre-PBAC response, however agreed with the ESC that the estimates of asthma and recurrent wheezing were uncertain and should be removed from the economic model as the estimates were not robust.</w:t>
      </w:r>
      <w:bookmarkEnd w:id="76"/>
    </w:p>
    <w:p w14:paraId="5F100AD6" w14:textId="0EECB90D" w:rsidR="00EE2FBE" w:rsidRPr="00731632" w:rsidRDefault="00EE2FBE" w:rsidP="00EE2FBE">
      <w:pPr>
        <w:pStyle w:val="3-BodyText"/>
        <w:rPr>
          <w:color w:val="000000" w:themeColor="text1"/>
        </w:rPr>
      </w:pPr>
      <w:r w:rsidRPr="00731632">
        <w:rPr>
          <w:color w:val="000000" w:themeColor="text1"/>
        </w:rPr>
        <w:t xml:space="preserve">In the nirsevimab model, </w:t>
      </w:r>
      <w:r w:rsidR="00B63F4A" w:rsidRPr="00731632">
        <w:rPr>
          <w:color w:val="000000" w:themeColor="text1"/>
        </w:rPr>
        <w:t>individuals</w:t>
      </w:r>
      <w:r w:rsidRPr="00731632">
        <w:rPr>
          <w:color w:val="000000" w:themeColor="text1"/>
        </w:rPr>
        <w:t xml:space="preserve"> who</w:t>
      </w:r>
      <w:r w:rsidR="00F677B5" w:rsidRPr="00731632">
        <w:rPr>
          <w:color w:val="000000" w:themeColor="text1"/>
        </w:rPr>
        <w:t xml:space="preserve"> were </w:t>
      </w:r>
      <w:r w:rsidRPr="00731632">
        <w:rPr>
          <w:color w:val="000000" w:themeColor="text1"/>
        </w:rPr>
        <w:t>hospitalised and survive hospitalisation enter</w:t>
      </w:r>
      <w:r w:rsidR="00BF50BD" w:rsidRPr="00731632">
        <w:rPr>
          <w:color w:val="000000" w:themeColor="text1"/>
        </w:rPr>
        <w:t>ed</w:t>
      </w:r>
      <w:r w:rsidRPr="00731632">
        <w:rPr>
          <w:color w:val="000000" w:themeColor="text1"/>
        </w:rPr>
        <w:t xml:space="preserve"> a recovered RSV health state. In this health state, they</w:t>
      </w:r>
      <w:r w:rsidR="00F677B5" w:rsidRPr="00731632">
        <w:rPr>
          <w:color w:val="000000" w:themeColor="text1"/>
        </w:rPr>
        <w:t xml:space="preserve"> were </w:t>
      </w:r>
      <w:r w:rsidRPr="00731632">
        <w:rPr>
          <w:color w:val="000000" w:themeColor="text1"/>
        </w:rPr>
        <w:t xml:space="preserve">exposed to the same probability of </w:t>
      </w:r>
      <w:r w:rsidR="0052781F" w:rsidRPr="00731632">
        <w:rPr>
          <w:color w:val="000000" w:themeColor="text1"/>
        </w:rPr>
        <w:t>MA RSV</w:t>
      </w:r>
      <w:r w:rsidRPr="00731632">
        <w:rPr>
          <w:color w:val="000000" w:themeColor="text1"/>
        </w:rPr>
        <w:t xml:space="preserve"> as the never RSV health state. </w:t>
      </w:r>
      <w:r w:rsidR="00A1212D" w:rsidRPr="00731632">
        <w:rPr>
          <w:color w:val="000000" w:themeColor="text1"/>
        </w:rPr>
        <w:t xml:space="preserve">The evaluation </w:t>
      </w:r>
      <w:r w:rsidR="00BF50BD" w:rsidRPr="00731632">
        <w:rPr>
          <w:color w:val="000000" w:themeColor="text1"/>
        </w:rPr>
        <w:t>noted that a</w:t>
      </w:r>
      <w:r w:rsidRPr="00731632">
        <w:rPr>
          <w:iCs/>
          <w:color w:val="000000" w:themeColor="text1"/>
        </w:rPr>
        <w:t xml:space="preserve"> proportion of </w:t>
      </w:r>
      <w:r w:rsidR="00B63F4A" w:rsidRPr="00731632">
        <w:rPr>
          <w:iCs/>
          <w:color w:val="000000" w:themeColor="text1"/>
        </w:rPr>
        <w:t>individuals</w:t>
      </w:r>
      <w:r w:rsidRPr="00731632">
        <w:rPr>
          <w:iCs/>
          <w:color w:val="000000" w:themeColor="text1"/>
        </w:rPr>
        <w:t xml:space="preserve"> who re-enter</w:t>
      </w:r>
      <w:r w:rsidR="00BF50BD" w:rsidRPr="00731632">
        <w:rPr>
          <w:iCs/>
          <w:color w:val="000000" w:themeColor="text1"/>
        </w:rPr>
        <w:t>ed</w:t>
      </w:r>
      <w:r w:rsidRPr="00731632">
        <w:rPr>
          <w:iCs/>
          <w:color w:val="000000" w:themeColor="text1"/>
        </w:rPr>
        <w:t xml:space="preserve"> the hospitalisation health state </w:t>
      </w:r>
      <w:r w:rsidR="00BF50BD" w:rsidRPr="00731632">
        <w:rPr>
          <w:iCs/>
          <w:color w:val="000000" w:themeColor="text1"/>
        </w:rPr>
        <w:t>were</w:t>
      </w:r>
      <w:r w:rsidRPr="00731632">
        <w:rPr>
          <w:iCs/>
          <w:color w:val="000000" w:themeColor="text1"/>
        </w:rPr>
        <w:t xml:space="preserve"> counted as experiencing a year of asthma, and up to three years of recurrent wheezing. However, this </w:t>
      </w:r>
      <w:r w:rsidR="00BF50BD" w:rsidRPr="00731632">
        <w:rPr>
          <w:iCs/>
          <w:color w:val="000000" w:themeColor="text1"/>
        </w:rPr>
        <w:t xml:space="preserve">was double-counting given that it had </w:t>
      </w:r>
      <w:r w:rsidRPr="00731632">
        <w:rPr>
          <w:iCs/>
          <w:color w:val="000000" w:themeColor="text1"/>
        </w:rPr>
        <w:t>been accounted for already in the initial hospitalisation event.</w:t>
      </w:r>
    </w:p>
    <w:p w14:paraId="057C941B" w14:textId="086751A6" w:rsidR="00EE2FBE" w:rsidRPr="00731632" w:rsidRDefault="00BF50BD" w:rsidP="00EE2FBE">
      <w:pPr>
        <w:pStyle w:val="3-BodyText"/>
        <w:rPr>
          <w:color w:val="000000" w:themeColor="text1"/>
        </w:rPr>
      </w:pPr>
      <w:bookmarkStart w:id="77" w:name="_Ref172736725"/>
      <w:r w:rsidRPr="00731632">
        <w:rPr>
          <w:color w:val="000000" w:themeColor="text1"/>
        </w:rPr>
        <w:t>RSV-</w:t>
      </w:r>
      <w:r w:rsidR="00EE2FBE" w:rsidRPr="00731632">
        <w:rPr>
          <w:color w:val="000000" w:themeColor="text1"/>
        </w:rPr>
        <w:t>specific mortality</w:t>
      </w:r>
      <w:r w:rsidR="00F677B5" w:rsidRPr="00731632">
        <w:rPr>
          <w:color w:val="000000" w:themeColor="text1"/>
        </w:rPr>
        <w:t xml:space="preserve"> was </w:t>
      </w:r>
      <w:r w:rsidR="00EE2FBE" w:rsidRPr="00731632">
        <w:rPr>
          <w:color w:val="000000" w:themeColor="text1"/>
        </w:rPr>
        <w:t>sourced from a retrospective observational study undertaken over 21 years between 1998 and 2018 in New South Wales</w:t>
      </w:r>
      <w:r w:rsidR="00EE2FBE" w:rsidRPr="00731632">
        <w:rPr>
          <w:rStyle w:val="FootnoteReference"/>
          <w:color w:val="000000" w:themeColor="text1"/>
        </w:rPr>
        <w:footnoteReference w:id="26"/>
      </w:r>
      <w:r w:rsidR="00EE2FBE" w:rsidRPr="00731632">
        <w:rPr>
          <w:color w:val="000000" w:themeColor="text1"/>
        </w:rPr>
        <w:t xml:space="preserve">. The study estimated RSV attributable deaths in hospitalised infants. </w:t>
      </w:r>
      <w:r w:rsidR="00A1212D" w:rsidRPr="00731632">
        <w:rPr>
          <w:color w:val="000000" w:themeColor="text1"/>
        </w:rPr>
        <w:t xml:space="preserve">The evaluation considered that </w:t>
      </w:r>
      <w:r w:rsidR="00A1212D" w:rsidRPr="00731632">
        <w:rPr>
          <w:iCs/>
          <w:color w:val="000000" w:themeColor="text1"/>
        </w:rPr>
        <w:t>t</w:t>
      </w:r>
      <w:r w:rsidR="001A3D9A" w:rsidRPr="00731632">
        <w:rPr>
          <w:iCs/>
          <w:color w:val="000000" w:themeColor="text1"/>
        </w:rPr>
        <w:t xml:space="preserve">his source may be appropriate, although there may have been advances in supportive care over this time that have resulted in a reduction of RSV specific mortality in hospitalised infants. </w:t>
      </w:r>
      <w:r w:rsidR="00EE2FBE" w:rsidRPr="00731632">
        <w:rPr>
          <w:iCs/>
          <w:color w:val="000000" w:themeColor="text1"/>
        </w:rPr>
        <w:t xml:space="preserve">The published study reported 20 RSV attributable deaths from 9,779 RSV hospitalised cases, resulting in a fatality ratio of 0.002. The submission </w:t>
      </w:r>
      <w:r w:rsidR="00E14F47" w:rsidRPr="00731632">
        <w:rPr>
          <w:iCs/>
          <w:color w:val="000000" w:themeColor="text1"/>
        </w:rPr>
        <w:t xml:space="preserve">applied </w:t>
      </w:r>
      <w:r w:rsidR="00EE2FBE" w:rsidRPr="00731632">
        <w:rPr>
          <w:iCs/>
          <w:color w:val="000000" w:themeColor="text1"/>
        </w:rPr>
        <w:t>a probability of death in hospitalised infants of 0.000033, which</w:t>
      </w:r>
      <w:r w:rsidR="00F677B5" w:rsidRPr="00731632">
        <w:rPr>
          <w:iCs/>
          <w:color w:val="000000" w:themeColor="text1"/>
        </w:rPr>
        <w:t xml:space="preserve"> was </w:t>
      </w:r>
      <w:r w:rsidR="00EE2FBE" w:rsidRPr="00731632">
        <w:rPr>
          <w:iCs/>
          <w:color w:val="000000" w:themeColor="text1"/>
        </w:rPr>
        <w:t xml:space="preserve">approximately 60 times lower. The submission </w:t>
      </w:r>
      <w:r w:rsidR="00E14F47" w:rsidRPr="00731632">
        <w:rPr>
          <w:iCs/>
          <w:color w:val="000000" w:themeColor="text1"/>
        </w:rPr>
        <w:t xml:space="preserve">estimated </w:t>
      </w:r>
      <w:r w:rsidR="00EE2FBE" w:rsidRPr="00731632">
        <w:rPr>
          <w:iCs/>
          <w:color w:val="000000" w:themeColor="text1"/>
        </w:rPr>
        <w:t>that, of 315,705 infants entering the model, the difference in survivors across the arms at the end of year 1</w:t>
      </w:r>
      <w:r w:rsidR="00F677B5" w:rsidRPr="00731632">
        <w:rPr>
          <w:iCs/>
          <w:color w:val="000000" w:themeColor="text1"/>
        </w:rPr>
        <w:t xml:space="preserve"> was </w:t>
      </w:r>
      <w:r w:rsidR="00EE2FBE" w:rsidRPr="00731632">
        <w:rPr>
          <w:iCs/>
          <w:color w:val="000000" w:themeColor="text1"/>
        </w:rPr>
        <w:t>0.25 infants. Applying a higher fatality ratio (of 0.002</w:t>
      </w:r>
      <w:r w:rsidRPr="00731632">
        <w:rPr>
          <w:iCs/>
          <w:color w:val="000000" w:themeColor="text1"/>
        </w:rPr>
        <w:t xml:space="preserve"> as suggested by the NSW study</w:t>
      </w:r>
      <w:r w:rsidR="00EE2FBE" w:rsidRPr="00731632">
        <w:rPr>
          <w:iCs/>
          <w:color w:val="000000" w:themeColor="text1"/>
        </w:rPr>
        <w:t>) reduces the ICER by approximately 24%.</w:t>
      </w:r>
      <w:r w:rsidR="005C7239" w:rsidRPr="00731632">
        <w:rPr>
          <w:iCs/>
          <w:color w:val="000000" w:themeColor="text1"/>
        </w:rPr>
        <w:t xml:space="preserve"> </w:t>
      </w:r>
      <w:r w:rsidR="005C7239" w:rsidRPr="00731632">
        <w:rPr>
          <w:rFonts w:cs="Calibri"/>
          <w:iCs/>
          <w:color w:val="000000"/>
          <w:szCs w:val="20"/>
        </w:rPr>
        <w:t>The PSCR agreed with the evaluation that</w:t>
      </w:r>
      <w:r w:rsidR="00034821" w:rsidRPr="00731632">
        <w:rPr>
          <w:rFonts w:cs="Calibri"/>
          <w:iCs/>
          <w:color w:val="000000"/>
          <w:szCs w:val="20"/>
        </w:rPr>
        <w:t xml:space="preserve"> </w:t>
      </w:r>
      <w:r w:rsidR="005C7239" w:rsidRPr="00731632">
        <w:rPr>
          <w:rFonts w:cs="Calibri"/>
          <w:iCs/>
          <w:color w:val="000000"/>
          <w:szCs w:val="20"/>
        </w:rPr>
        <w:t>the case fatality rate used in the submission was an under-estimation.</w:t>
      </w:r>
      <w:r w:rsidR="003E1422">
        <w:rPr>
          <w:rFonts w:cs="Calibri"/>
          <w:iCs/>
          <w:color w:val="000000"/>
          <w:szCs w:val="20"/>
        </w:rPr>
        <w:t xml:space="preserve"> </w:t>
      </w:r>
      <w:r w:rsidR="00E14F47" w:rsidRPr="00731632">
        <w:rPr>
          <w:rFonts w:cs="Calibri"/>
          <w:iCs/>
          <w:color w:val="000000"/>
          <w:szCs w:val="20"/>
        </w:rPr>
        <w:t>The PBAC agreed with the ESC that a case fatality rate of 0.002 was appropriate for the model, as noted by the evaluation, based on the study by Saravanos et al (2022).</w:t>
      </w:r>
      <w:bookmarkEnd w:id="77"/>
    </w:p>
    <w:p w14:paraId="46B915C7" w14:textId="5A2D0EB9" w:rsidR="003B2AC1" w:rsidRPr="00731632" w:rsidRDefault="00EE2FBE" w:rsidP="00866F91">
      <w:pPr>
        <w:pStyle w:val="3-BodyText"/>
        <w:rPr>
          <w:iCs/>
          <w:color w:val="000000" w:themeColor="text1"/>
        </w:rPr>
      </w:pPr>
      <w:bookmarkStart w:id="78" w:name="_Ref172736870"/>
      <w:r w:rsidRPr="00731632">
        <w:rPr>
          <w:color w:val="000000" w:themeColor="text1"/>
        </w:rPr>
        <w:t>Health outcomes in the model</w:t>
      </w:r>
      <w:r w:rsidR="00F677B5" w:rsidRPr="00731632">
        <w:rPr>
          <w:color w:val="000000" w:themeColor="text1"/>
        </w:rPr>
        <w:t xml:space="preserve"> were </w:t>
      </w:r>
      <w:r w:rsidRPr="00731632">
        <w:rPr>
          <w:color w:val="000000" w:themeColor="text1"/>
        </w:rPr>
        <w:t>derived by applying disutilities to RSV related health states for primary care visits (-0.16), ED visits (-0.20), hospitalisation (</w:t>
      </w:r>
      <w:r w:rsidR="00E14F47" w:rsidRPr="00731632">
        <w:rPr>
          <w:color w:val="000000" w:themeColor="text1"/>
        </w:rPr>
        <w:noBreakHyphen/>
      </w:r>
      <w:r w:rsidRPr="00731632">
        <w:rPr>
          <w:color w:val="000000" w:themeColor="text1"/>
        </w:rPr>
        <w:t xml:space="preserve">0.41), ICU admissions (-0.41 – 0.2 = -0.61) and mechanical ventilation (-0.41 – 0.2 = </w:t>
      </w:r>
      <w:r w:rsidR="00034821" w:rsidRPr="00731632">
        <w:rPr>
          <w:color w:val="000000" w:themeColor="text1"/>
        </w:rPr>
        <w:noBreakHyphen/>
      </w:r>
      <w:r w:rsidRPr="00731632">
        <w:rPr>
          <w:color w:val="000000" w:themeColor="text1"/>
        </w:rPr>
        <w:t xml:space="preserve">0.61). </w:t>
      </w:r>
      <w:r w:rsidR="00A1212D" w:rsidRPr="00731632">
        <w:rPr>
          <w:color w:val="000000" w:themeColor="text1"/>
        </w:rPr>
        <w:t xml:space="preserve">The evaluation noted that </w:t>
      </w:r>
      <w:r w:rsidR="00A1212D" w:rsidRPr="00731632">
        <w:rPr>
          <w:iCs/>
          <w:color w:val="000000" w:themeColor="text1"/>
        </w:rPr>
        <w:t>a</w:t>
      </w:r>
      <w:r w:rsidRPr="00731632">
        <w:rPr>
          <w:iCs/>
          <w:color w:val="000000" w:themeColor="text1"/>
        </w:rPr>
        <w:t xml:space="preserve">s </w:t>
      </w:r>
      <w:r w:rsidR="00B63F4A" w:rsidRPr="00731632">
        <w:rPr>
          <w:iCs/>
          <w:color w:val="000000" w:themeColor="text1"/>
        </w:rPr>
        <w:t>individuals</w:t>
      </w:r>
      <w:r w:rsidRPr="00731632">
        <w:rPr>
          <w:iCs/>
          <w:color w:val="000000" w:themeColor="text1"/>
        </w:rPr>
        <w:t xml:space="preserve"> can be in both an ICU and mechanical ventilation sub-health state, a proportion of </w:t>
      </w:r>
      <w:r w:rsidR="00B63F4A" w:rsidRPr="00731632">
        <w:rPr>
          <w:iCs/>
          <w:color w:val="000000" w:themeColor="text1"/>
        </w:rPr>
        <w:t>individuals</w:t>
      </w:r>
      <w:r w:rsidRPr="00731632">
        <w:rPr>
          <w:iCs/>
          <w:color w:val="000000" w:themeColor="text1"/>
        </w:rPr>
        <w:t xml:space="preserve"> will have a disutility of -0.81 applied</w:t>
      </w:r>
      <w:r w:rsidR="0057128C" w:rsidRPr="00731632">
        <w:rPr>
          <w:iCs/>
          <w:color w:val="000000" w:themeColor="text1"/>
        </w:rPr>
        <w:t xml:space="preserve"> </w:t>
      </w:r>
      <w:r w:rsidR="0057128C" w:rsidRPr="00731632">
        <w:rPr>
          <w:color w:val="000000" w:themeColor="text1"/>
        </w:rPr>
        <w:t>(</w:t>
      </w:r>
      <w:r w:rsidR="00DF53E4">
        <w:rPr>
          <w:color w:val="000000" w:themeColor="text1"/>
        </w:rPr>
        <w:noBreakHyphen/>
      </w:r>
      <w:r w:rsidR="0057128C" w:rsidRPr="00731632">
        <w:rPr>
          <w:color w:val="000000" w:themeColor="text1"/>
        </w:rPr>
        <w:t>0.41 – 0.2 – 0.2 = -0.81)</w:t>
      </w:r>
      <w:r w:rsidRPr="00731632">
        <w:rPr>
          <w:iCs/>
          <w:color w:val="000000" w:themeColor="text1"/>
        </w:rPr>
        <w:t xml:space="preserve">. </w:t>
      </w:r>
      <w:r w:rsidRPr="00731632">
        <w:rPr>
          <w:color w:val="000000" w:themeColor="text1"/>
        </w:rPr>
        <w:t>The model applies these disutilities for the duration of a single cycle</w:t>
      </w:r>
      <w:r w:rsidR="0057128C" w:rsidRPr="00731632">
        <w:rPr>
          <w:color w:val="000000" w:themeColor="text1"/>
        </w:rPr>
        <w:t>, which t</w:t>
      </w:r>
      <w:r w:rsidR="00A1212D" w:rsidRPr="00731632">
        <w:rPr>
          <w:color w:val="000000" w:themeColor="text1"/>
        </w:rPr>
        <w:t>he evaluation considered</w:t>
      </w:r>
      <w:r w:rsidR="00A1212D" w:rsidRPr="00731632">
        <w:rPr>
          <w:i/>
          <w:iCs/>
          <w:color w:val="000000" w:themeColor="text1"/>
        </w:rPr>
        <w:t xml:space="preserve"> </w:t>
      </w:r>
      <w:r w:rsidR="00A1212D" w:rsidRPr="00731632">
        <w:rPr>
          <w:iCs/>
          <w:color w:val="000000" w:themeColor="text1"/>
        </w:rPr>
        <w:t>to be</w:t>
      </w:r>
      <w:r w:rsidRPr="00731632">
        <w:rPr>
          <w:iCs/>
          <w:color w:val="000000" w:themeColor="text1"/>
        </w:rPr>
        <w:t xml:space="preserve"> inappropriate. The source of the disutilities (an economic analysis undertaken for RSV prevention in Canada</w:t>
      </w:r>
      <w:r w:rsidRPr="00731632">
        <w:rPr>
          <w:rStyle w:val="FootnoteReference"/>
          <w:iCs/>
          <w:color w:val="000000" w:themeColor="text1"/>
        </w:rPr>
        <w:footnoteReference w:id="27"/>
      </w:r>
      <w:r w:rsidRPr="00731632">
        <w:rPr>
          <w:iCs/>
          <w:color w:val="000000" w:themeColor="text1"/>
        </w:rPr>
        <w:t>) intend</w:t>
      </w:r>
      <w:r w:rsidR="00F12AC1" w:rsidRPr="00731632">
        <w:rPr>
          <w:iCs/>
          <w:color w:val="000000" w:themeColor="text1"/>
        </w:rPr>
        <w:t>ed</w:t>
      </w:r>
      <w:r w:rsidRPr="00731632">
        <w:rPr>
          <w:iCs/>
          <w:color w:val="000000" w:themeColor="text1"/>
        </w:rPr>
        <w:t xml:space="preserve"> for the disutilities to be applied for the duration of each episode. The durations of RSV related health events</w:t>
      </w:r>
      <w:r w:rsidR="00F677B5" w:rsidRPr="00731632">
        <w:rPr>
          <w:iCs/>
          <w:color w:val="000000" w:themeColor="text1"/>
        </w:rPr>
        <w:t xml:space="preserve"> were </w:t>
      </w:r>
      <w:r w:rsidRPr="00731632">
        <w:rPr>
          <w:iCs/>
          <w:color w:val="000000" w:themeColor="text1"/>
        </w:rPr>
        <w:t xml:space="preserve">considerably shorter than 1 month. Applying the disutilities for a full month rather than the duration of the episode of RSV results in a substantially higher QALY loss. </w:t>
      </w:r>
      <w:r w:rsidR="00E14F47" w:rsidRPr="00731632">
        <w:rPr>
          <w:iCs/>
          <w:color w:val="000000" w:themeColor="text1"/>
        </w:rPr>
        <w:t>To correct this overestimate, t</w:t>
      </w:r>
      <w:r w:rsidRPr="00731632">
        <w:rPr>
          <w:iCs/>
          <w:color w:val="000000" w:themeColor="text1"/>
        </w:rPr>
        <w:t xml:space="preserve">he </w:t>
      </w:r>
      <w:r w:rsidR="00034821" w:rsidRPr="00731632">
        <w:rPr>
          <w:iCs/>
          <w:color w:val="000000" w:themeColor="text1"/>
        </w:rPr>
        <w:t xml:space="preserve">evaluation </w:t>
      </w:r>
      <w:r w:rsidRPr="00731632">
        <w:rPr>
          <w:iCs/>
          <w:color w:val="000000" w:themeColor="text1"/>
        </w:rPr>
        <w:t xml:space="preserve">derived the QALY loss from the Canadian economic analysis based on the reported durations of each type of RSV health event, and adjusted the disutilities applied in the model (for a full month) so that the QALY loss matches what would be expected if the disutilities had been applied for the appropriate duration. Applying these updated disutilities in the model </w:t>
      </w:r>
      <w:r w:rsidR="00E14F47" w:rsidRPr="00731632">
        <w:rPr>
          <w:iCs/>
          <w:color w:val="000000" w:themeColor="text1"/>
        </w:rPr>
        <w:t xml:space="preserve">had </w:t>
      </w:r>
      <w:r w:rsidRPr="00731632">
        <w:rPr>
          <w:iCs/>
          <w:color w:val="000000" w:themeColor="text1"/>
        </w:rPr>
        <w:t xml:space="preserve">a marked impact on the model results, increasing the ICER by almost 50%. </w:t>
      </w:r>
      <w:r w:rsidR="005C7239" w:rsidRPr="00731632">
        <w:rPr>
          <w:rFonts w:cs="Calibri"/>
          <w:iCs/>
          <w:color w:val="000000"/>
          <w:szCs w:val="20"/>
        </w:rPr>
        <w:t>The PSCR stated that even if disutilities</w:t>
      </w:r>
      <w:r w:rsidR="00F677B5" w:rsidRPr="00731632">
        <w:rPr>
          <w:rFonts w:cs="Calibri"/>
          <w:iCs/>
          <w:color w:val="000000"/>
          <w:szCs w:val="20"/>
        </w:rPr>
        <w:t xml:space="preserve"> were </w:t>
      </w:r>
      <w:r w:rsidR="005C7239" w:rsidRPr="00731632">
        <w:rPr>
          <w:rFonts w:cs="Calibri"/>
          <w:iCs/>
          <w:color w:val="000000"/>
          <w:szCs w:val="20"/>
        </w:rPr>
        <w:t>20% of their current value, nirsevimab</w:t>
      </w:r>
      <w:r w:rsidR="00F677B5" w:rsidRPr="00731632">
        <w:rPr>
          <w:rFonts w:cs="Calibri"/>
          <w:iCs/>
          <w:color w:val="000000"/>
          <w:szCs w:val="20"/>
        </w:rPr>
        <w:t xml:space="preserve"> was </w:t>
      </w:r>
      <w:r w:rsidR="005C7239" w:rsidRPr="00731632">
        <w:rPr>
          <w:rFonts w:cs="Calibri"/>
          <w:iCs/>
          <w:color w:val="000000"/>
          <w:szCs w:val="20"/>
        </w:rPr>
        <w:t>still cost-effective and that the model results</w:t>
      </w:r>
      <w:r w:rsidR="00F677B5" w:rsidRPr="00731632">
        <w:rPr>
          <w:rFonts w:cs="Calibri"/>
          <w:iCs/>
          <w:color w:val="000000"/>
          <w:szCs w:val="20"/>
        </w:rPr>
        <w:t xml:space="preserve"> were </w:t>
      </w:r>
      <w:r w:rsidR="005C7239" w:rsidRPr="00731632">
        <w:rPr>
          <w:rFonts w:cs="Calibri"/>
          <w:iCs/>
          <w:color w:val="000000"/>
          <w:szCs w:val="20"/>
        </w:rPr>
        <w:t>not sensitive to changes in disutilities associated with RSV health states.</w:t>
      </w:r>
      <w:r w:rsidR="003E1422">
        <w:rPr>
          <w:rFonts w:cs="Calibri"/>
          <w:iCs/>
          <w:color w:val="000000"/>
          <w:szCs w:val="20"/>
        </w:rPr>
        <w:t xml:space="preserve"> </w:t>
      </w:r>
      <w:r w:rsidR="00E14F47" w:rsidRPr="00731632">
        <w:rPr>
          <w:rFonts w:cs="Calibri"/>
          <w:iCs/>
          <w:color w:val="000000"/>
          <w:szCs w:val="20"/>
        </w:rPr>
        <w:t xml:space="preserve">The PBAC agreed with the ESC that the submission’s approach </w:t>
      </w:r>
      <w:r w:rsidR="002A3C67" w:rsidRPr="00731632">
        <w:rPr>
          <w:rFonts w:cs="Calibri"/>
          <w:iCs/>
          <w:color w:val="000000"/>
          <w:szCs w:val="20"/>
        </w:rPr>
        <w:t>had overestimated the disutilities for RSV health events</w:t>
      </w:r>
      <w:r w:rsidR="00E14F47" w:rsidRPr="00731632">
        <w:rPr>
          <w:rFonts w:cs="Calibri"/>
          <w:iCs/>
          <w:color w:val="000000"/>
          <w:szCs w:val="20"/>
        </w:rPr>
        <w:t>, and</w:t>
      </w:r>
      <w:r w:rsidR="002A3C67" w:rsidRPr="00731632">
        <w:rPr>
          <w:rFonts w:cs="Calibri"/>
          <w:iCs/>
          <w:color w:val="000000"/>
          <w:szCs w:val="20"/>
        </w:rPr>
        <w:t xml:space="preserve"> that</w:t>
      </w:r>
      <w:r w:rsidR="00E14F47" w:rsidRPr="00731632">
        <w:rPr>
          <w:rFonts w:cs="Calibri"/>
          <w:iCs/>
          <w:color w:val="000000"/>
          <w:szCs w:val="20"/>
        </w:rPr>
        <w:t xml:space="preserve"> the disutil</w:t>
      </w:r>
      <w:r w:rsidR="002A3C67" w:rsidRPr="00731632">
        <w:rPr>
          <w:rFonts w:cs="Calibri"/>
          <w:iCs/>
          <w:color w:val="000000"/>
          <w:szCs w:val="20"/>
        </w:rPr>
        <w:t>ities should be adjusted as proposed by the evaluation.</w:t>
      </w:r>
      <w:bookmarkEnd w:id="78"/>
    </w:p>
    <w:p w14:paraId="174A7F04" w14:textId="03C274FE" w:rsidR="00EE2FBE" w:rsidRPr="00731632" w:rsidRDefault="00EE2FBE" w:rsidP="00866F91">
      <w:pPr>
        <w:pStyle w:val="3-BodyText"/>
        <w:rPr>
          <w:color w:val="000000" w:themeColor="text1"/>
        </w:rPr>
      </w:pPr>
      <w:r w:rsidRPr="00731632">
        <w:rPr>
          <w:iCs/>
          <w:color w:val="000000" w:themeColor="text1"/>
        </w:rPr>
        <w:t xml:space="preserve">The disutility values and their derivation are provided in </w:t>
      </w:r>
      <w:r w:rsidRPr="00731632">
        <w:rPr>
          <w:iCs/>
          <w:color w:val="000000" w:themeColor="text1"/>
        </w:rPr>
        <w:fldChar w:fldCharType="begin"/>
      </w:r>
      <w:r w:rsidRPr="00731632">
        <w:rPr>
          <w:iCs/>
          <w:color w:val="000000" w:themeColor="text1"/>
        </w:rPr>
        <w:instrText xml:space="preserve"> REF _Ref166147829 \h  \* MERGEFORMAT </w:instrText>
      </w:r>
      <w:r w:rsidRPr="00731632">
        <w:rPr>
          <w:iCs/>
          <w:color w:val="000000" w:themeColor="text1"/>
        </w:rPr>
      </w:r>
      <w:r w:rsidRPr="00731632">
        <w:rPr>
          <w:iCs/>
          <w:color w:val="000000" w:themeColor="text1"/>
        </w:rPr>
        <w:fldChar w:fldCharType="separate"/>
      </w:r>
      <w:r w:rsidR="00D770BB" w:rsidRPr="00D770BB">
        <w:rPr>
          <w:iCs/>
        </w:rPr>
        <w:t>Table 18</w:t>
      </w:r>
      <w:r w:rsidRPr="00731632">
        <w:rPr>
          <w:iCs/>
          <w:color w:val="000000" w:themeColor="text1"/>
        </w:rPr>
        <w:fldChar w:fldCharType="end"/>
      </w:r>
      <w:r w:rsidRPr="00731632">
        <w:rPr>
          <w:iCs/>
          <w:color w:val="000000" w:themeColor="text1"/>
        </w:rPr>
        <w:t xml:space="preserve">. Some assumptions </w:t>
      </w:r>
      <w:r w:rsidR="00952638" w:rsidRPr="00731632">
        <w:rPr>
          <w:iCs/>
          <w:color w:val="000000" w:themeColor="text1"/>
        </w:rPr>
        <w:t>were</w:t>
      </w:r>
      <w:r w:rsidRPr="00731632">
        <w:rPr>
          <w:iCs/>
          <w:color w:val="000000" w:themeColor="text1"/>
        </w:rPr>
        <w:t xml:space="preserve"> made to ensure that the duration of the event of hospitalisation, and ICU attendance,</w:t>
      </w:r>
      <w:r w:rsidR="00F677B5" w:rsidRPr="00731632">
        <w:rPr>
          <w:iCs/>
          <w:color w:val="000000" w:themeColor="text1"/>
        </w:rPr>
        <w:t xml:space="preserve"> were </w:t>
      </w:r>
      <w:r w:rsidRPr="00731632">
        <w:rPr>
          <w:iCs/>
          <w:color w:val="000000" w:themeColor="text1"/>
        </w:rPr>
        <w:t>considerably longer than the duration of an RSV event addressed in primary care.</w:t>
      </w:r>
    </w:p>
    <w:p w14:paraId="1FF78091" w14:textId="6561D332" w:rsidR="00EE2FBE" w:rsidRPr="00731632" w:rsidRDefault="00EE2FBE" w:rsidP="00EE2FBE">
      <w:pPr>
        <w:pStyle w:val="Caption"/>
      </w:pPr>
      <w:bookmarkStart w:id="79" w:name="_Ref166147829"/>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18</w:t>
      </w:r>
      <w:r w:rsidR="00BD1FC6" w:rsidRPr="00731632">
        <w:fldChar w:fldCharType="end"/>
      </w:r>
      <w:bookmarkEnd w:id="79"/>
      <w:r w:rsidRPr="00731632">
        <w:tab/>
        <w:t>Update of disutility values applied for RSV related health states in the nirsevimab model to match the QALY loss had the disutilities been applied for the duration of the episode</w:t>
      </w:r>
      <w:r w:rsidR="00A1212D" w:rsidRPr="00731632">
        <w:t xml:space="preserve"> (provided during the evaluation)</w:t>
      </w:r>
    </w:p>
    <w:tbl>
      <w:tblPr>
        <w:tblStyle w:val="TableGrid"/>
        <w:tblW w:w="5000" w:type="pct"/>
        <w:tblLook w:val="04A0" w:firstRow="1" w:lastRow="0" w:firstColumn="1" w:lastColumn="0" w:noHBand="0" w:noVBand="1"/>
        <w:tblCaption w:val="Table 18 Update of disutility values applied for RSV related health states in the nirsevimab model to match the QALY loss had the disutilities been applied for the duration of the episode (provided during the evaluation)"/>
      </w:tblPr>
      <w:tblGrid>
        <w:gridCol w:w="2263"/>
        <w:gridCol w:w="993"/>
        <w:gridCol w:w="2991"/>
        <w:gridCol w:w="1266"/>
        <w:gridCol w:w="1504"/>
      </w:tblGrid>
      <w:tr w:rsidR="00EE2FBE" w:rsidRPr="00731632" w14:paraId="4B9D15CA" w14:textId="77777777" w:rsidTr="00866F91">
        <w:tc>
          <w:tcPr>
            <w:tcW w:w="2263" w:type="dxa"/>
            <w:vMerge w:val="restart"/>
            <w:vAlign w:val="center"/>
          </w:tcPr>
          <w:p w14:paraId="750BF26B" w14:textId="77777777" w:rsidR="00EE2FBE" w:rsidRPr="00731632" w:rsidRDefault="00EE2FBE" w:rsidP="00866F91">
            <w:pPr>
              <w:pStyle w:val="TableText0"/>
              <w:rPr>
                <w:b/>
                <w:bCs w:val="0"/>
                <w:iCs/>
              </w:rPr>
            </w:pPr>
            <w:r w:rsidRPr="00731632">
              <w:rPr>
                <w:rFonts w:cs="Calibri"/>
                <w:b/>
                <w:bCs w:val="0"/>
                <w:iCs/>
                <w:color w:val="000000"/>
                <w:szCs w:val="20"/>
              </w:rPr>
              <w:t>Health state</w:t>
            </w:r>
          </w:p>
        </w:tc>
        <w:tc>
          <w:tcPr>
            <w:tcW w:w="5250" w:type="dxa"/>
            <w:gridSpan w:val="3"/>
          </w:tcPr>
          <w:p w14:paraId="665FF877" w14:textId="77777777" w:rsidR="00EE2FBE" w:rsidRPr="00731632" w:rsidRDefault="00EE2FBE" w:rsidP="00866F91">
            <w:pPr>
              <w:pStyle w:val="TableText0"/>
              <w:jc w:val="center"/>
              <w:rPr>
                <w:b/>
                <w:bCs w:val="0"/>
                <w:iCs/>
              </w:rPr>
            </w:pPr>
            <w:r w:rsidRPr="00731632">
              <w:rPr>
                <w:rFonts w:cs="Calibri"/>
                <w:b/>
                <w:bCs w:val="0"/>
                <w:iCs/>
                <w:color w:val="000000"/>
                <w:szCs w:val="20"/>
              </w:rPr>
              <w:t>Nourbakhsh et al 2021</w:t>
            </w:r>
          </w:p>
        </w:tc>
        <w:tc>
          <w:tcPr>
            <w:tcW w:w="1504" w:type="dxa"/>
            <w:vMerge w:val="restart"/>
            <w:vAlign w:val="center"/>
          </w:tcPr>
          <w:p w14:paraId="0ACBE857" w14:textId="77777777" w:rsidR="00EE2FBE" w:rsidRPr="00731632" w:rsidRDefault="00EE2FBE" w:rsidP="00866F91">
            <w:pPr>
              <w:pStyle w:val="TableText0"/>
              <w:rPr>
                <w:b/>
                <w:bCs w:val="0"/>
                <w:iCs/>
              </w:rPr>
            </w:pPr>
            <w:r w:rsidRPr="00731632">
              <w:rPr>
                <w:rFonts w:cs="Calibri"/>
                <w:b/>
                <w:bCs w:val="0"/>
                <w:iCs/>
                <w:color w:val="000000"/>
                <w:szCs w:val="20"/>
              </w:rPr>
              <w:t>Disutility required in model to match QALD loss in publication</w:t>
            </w:r>
            <w:r w:rsidRPr="00731632">
              <w:rPr>
                <w:rFonts w:cs="Calibri"/>
                <w:b/>
                <w:bCs w:val="0"/>
                <w:iCs/>
                <w:color w:val="000000"/>
                <w:szCs w:val="20"/>
                <w:vertAlign w:val="superscript"/>
              </w:rPr>
              <w:t>c</w:t>
            </w:r>
          </w:p>
        </w:tc>
      </w:tr>
      <w:tr w:rsidR="00EE2FBE" w:rsidRPr="00731632" w14:paraId="3945F9D1" w14:textId="77777777" w:rsidTr="00866F91">
        <w:tc>
          <w:tcPr>
            <w:tcW w:w="2263" w:type="dxa"/>
            <w:vMerge/>
            <w:vAlign w:val="center"/>
          </w:tcPr>
          <w:p w14:paraId="6459CB76" w14:textId="77777777" w:rsidR="00EE2FBE" w:rsidRPr="00731632" w:rsidRDefault="00EE2FBE" w:rsidP="00866F91">
            <w:pPr>
              <w:pStyle w:val="TableText0"/>
              <w:rPr>
                <w:iCs/>
              </w:rPr>
            </w:pPr>
          </w:p>
        </w:tc>
        <w:tc>
          <w:tcPr>
            <w:tcW w:w="993" w:type="dxa"/>
          </w:tcPr>
          <w:p w14:paraId="63DF48FA" w14:textId="77777777" w:rsidR="00EE2FBE" w:rsidRPr="00731632" w:rsidRDefault="00EE2FBE" w:rsidP="00866F91">
            <w:pPr>
              <w:pStyle w:val="TableText0"/>
              <w:rPr>
                <w:rFonts w:cs="Calibri"/>
                <w:b/>
                <w:bCs w:val="0"/>
                <w:iCs/>
                <w:color w:val="000000"/>
                <w:szCs w:val="20"/>
              </w:rPr>
            </w:pPr>
            <w:r w:rsidRPr="00731632">
              <w:rPr>
                <w:rFonts w:cs="Calibri"/>
                <w:b/>
                <w:bCs w:val="0"/>
                <w:iCs/>
                <w:color w:val="000000"/>
                <w:szCs w:val="20"/>
              </w:rPr>
              <w:t>Disutility</w:t>
            </w:r>
          </w:p>
        </w:tc>
        <w:tc>
          <w:tcPr>
            <w:tcW w:w="2991" w:type="dxa"/>
            <w:vAlign w:val="center"/>
          </w:tcPr>
          <w:p w14:paraId="07FF9A3B" w14:textId="77777777" w:rsidR="00EE2FBE" w:rsidRPr="00731632" w:rsidRDefault="00EE2FBE" w:rsidP="00866F91">
            <w:pPr>
              <w:pStyle w:val="TableText0"/>
              <w:rPr>
                <w:b/>
                <w:bCs w:val="0"/>
                <w:iCs/>
              </w:rPr>
            </w:pPr>
            <w:r w:rsidRPr="00731632">
              <w:rPr>
                <w:rFonts w:cs="Calibri"/>
                <w:b/>
                <w:bCs w:val="0"/>
                <w:iCs/>
                <w:color w:val="000000"/>
                <w:szCs w:val="20"/>
              </w:rPr>
              <w:t>Duration of event</w:t>
            </w:r>
            <w:r w:rsidRPr="00731632">
              <w:rPr>
                <w:rFonts w:cs="Calibri"/>
                <w:b/>
                <w:bCs w:val="0"/>
                <w:iCs/>
                <w:color w:val="000000"/>
                <w:szCs w:val="20"/>
                <w:vertAlign w:val="superscript"/>
              </w:rPr>
              <w:t>a</w:t>
            </w:r>
          </w:p>
        </w:tc>
        <w:tc>
          <w:tcPr>
            <w:tcW w:w="1266" w:type="dxa"/>
            <w:vAlign w:val="center"/>
          </w:tcPr>
          <w:p w14:paraId="73CC8320" w14:textId="77777777" w:rsidR="00EE2FBE" w:rsidRPr="00731632" w:rsidRDefault="00EE2FBE" w:rsidP="00866F91">
            <w:pPr>
              <w:pStyle w:val="TableText0"/>
              <w:rPr>
                <w:b/>
                <w:bCs w:val="0"/>
                <w:iCs/>
              </w:rPr>
            </w:pPr>
            <w:r w:rsidRPr="00731632">
              <w:rPr>
                <w:rFonts w:cs="Calibri"/>
                <w:b/>
                <w:bCs w:val="0"/>
                <w:iCs/>
                <w:color w:val="000000"/>
                <w:szCs w:val="20"/>
              </w:rPr>
              <w:t>Total QALD loss</w:t>
            </w:r>
            <w:r w:rsidRPr="00731632">
              <w:rPr>
                <w:rFonts w:cs="Calibri"/>
                <w:b/>
                <w:bCs w:val="0"/>
                <w:iCs/>
                <w:color w:val="000000"/>
                <w:szCs w:val="20"/>
                <w:vertAlign w:val="superscript"/>
              </w:rPr>
              <w:t>b</w:t>
            </w:r>
          </w:p>
        </w:tc>
        <w:tc>
          <w:tcPr>
            <w:tcW w:w="1504" w:type="dxa"/>
            <w:vMerge/>
            <w:vAlign w:val="center"/>
          </w:tcPr>
          <w:p w14:paraId="07CF5D96" w14:textId="77777777" w:rsidR="00EE2FBE" w:rsidRPr="00731632" w:rsidRDefault="00EE2FBE" w:rsidP="00866F91">
            <w:pPr>
              <w:pStyle w:val="TableText0"/>
              <w:rPr>
                <w:iCs/>
              </w:rPr>
            </w:pPr>
          </w:p>
        </w:tc>
      </w:tr>
      <w:tr w:rsidR="00EE2FBE" w:rsidRPr="00731632" w14:paraId="2CCB001E" w14:textId="77777777" w:rsidTr="00866F91">
        <w:tc>
          <w:tcPr>
            <w:tcW w:w="2263" w:type="dxa"/>
            <w:vAlign w:val="center"/>
          </w:tcPr>
          <w:p w14:paraId="4C8D94DA" w14:textId="77777777" w:rsidR="00EE2FBE" w:rsidRPr="00731632" w:rsidRDefault="00EE2FBE" w:rsidP="00866F91">
            <w:pPr>
              <w:pStyle w:val="TableText0"/>
              <w:rPr>
                <w:iCs/>
              </w:rPr>
            </w:pPr>
            <w:r w:rsidRPr="00731632">
              <w:rPr>
                <w:rFonts w:cs="Calibri"/>
                <w:iCs/>
                <w:color w:val="000000"/>
                <w:szCs w:val="20"/>
              </w:rPr>
              <w:t>Primary care RSV</w:t>
            </w:r>
          </w:p>
        </w:tc>
        <w:tc>
          <w:tcPr>
            <w:tcW w:w="993" w:type="dxa"/>
          </w:tcPr>
          <w:p w14:paraId="6E94456F" w14:textId="77777777" w:rsidR="00EE2FBE" w:rsidRPr="00731632" w:rsidRDefault="00EE2FBE" w:rsidP="00866F91">
            <w:pPr>
              <w:pStyle w:val="TableText0"/>
              <w:rPr>
                <w:rFonts w:cs="Calibri"/>
                <w:iCs/>
                <w:color w:val="000000"/>
                <w:szCs w:val="20"/>
              </w:rPr>
            </w:pPr>
            <w:r w:rsidRPr="00731632">
              <w:rPr>
                <w:rFonts w:cs="Calibri"/>
                <w:iCs/>
                <w:color w:val="000000"/>
                <w:szCs w:val="20"/>
              </w:rPr>
              <w:t>-0.16</w:t>
            </w:r>
          </w:p>
        </w:tc>
        <w:tc>
          <w:tcPr>
            <w:tcW w:w="2991" w:type="dxa"/>
            <w:vAlign w:val="center"/>
          </w:tcPr>
          <w:p w14:paraId="4938B626" w14:textId="77777777" w:rsidR="00EE2FBE" w:rsidRPr="00731632" w:rsidRDefault="00EE2FBE" w:rsidP="00866F91">
            <w:pPr>
              <w:pStyle w:val="TableText0"/>
              <w:rPr>
                <w:iCs/>
              </w:rPr>
            </w:pPr>
            <w:r w:rsidRPr="00731632">
              <w:rPr>
                <w:rFonts w:cs="Calibri"/>
                <w:iCs/>
                <w:color w:val="000000"/>
                <w:szCs w:val="20"/>
              </w:rPr>
              <w:t>6.16 days</w:t>
            </w:r>
          </w:p>
        </w:tc>
        <w:tc>
          <w:tcPr>
            <w:tcW w:w="1266" w:type="dxa"/>
            <w:vAlign w:val="center"/>
          </w:tcPr>
          <w:p w14:paraId="1FB0AF57" w14:textId="77777777" w:rsidR="00EE2FBE" w:rsidRPr="00731632" w:rsidRDefault="00EE2FBE" w:rsidP="00866F91">
            <w:pPr>
              <w:pStyle w:val="TableText0"/>
              <w:rPr>
                <w:iCs/>
              </w:rPr>
            </w:pPr>
            <w:r w:rsidRPr="00731632">
              <w:rPr>
                <w:rFonts w:cs="Calibri"/>
                <w:iCs/>
                <w:color w:val="000000"/>
                <w:szCs w:val="20"/>
              </w:rPr>
              <w:t>-0.99</w:t>
            </w:r>
          </w:p>
        </w:tc>
        <w:tc>
          <w:tcPr>
            <w:tcW w:w="1504" w:type="dxa"/>
            <w:vAlign w:val="center"/>
          </w:tcPr>
          <w:p w14:paraId="584366C9" w14:textId="77777777" w:rsidR="00EE2FBE" w:rsidRPr="00731632" w:rsidRDefault="00EE2FBE" w:rsidP="00866F91">
            <w:pPr>
              <w:pStyle w:val="TableText0"/>
              <w:rPr>
                <w:iCs/>
              </w:rPr>
            </w:pPr>
            <w:r w:rsidRPr="00731632">
              <w:rPr>
                <w:rFonts w:cs="Calibri"/>
                <w:iCs/>
                <w:color w:val="000000"/>
                <w:szCs w:val="20"/>
              </w:rPr>
              <w:t>-0.0324</w:t>
            </w:r>
          </w:p>
        </w:tc>
      </w:tr>
      <w:tr w:rsidR="00EE2FBE" w:rsidRPr="00731632" w14:paraId="4CE2710C" w14:textId="77777777" w:rsidTr="00DF53E4">
        <w:tc>
          <w:tcPr>
            <w:tcW w:w="2263" w:type="dxa"/>
            <w:vAlign w:val="center"/>
          </w:tcPr>
          <w:p w14:paraId="02D0433D" w14:textId="77777777" w:rsidR="00EE2FBE" w:rsidRPr="00731632" w:rsidRDefault="00EE2FBE" w:rsidP="00866F91">
            <w:pPr>
              <w:pStyle w:val="TableText0"/>
              <w:rPr>
                <w:iCs/>
              </w:rPr>
            </w:pPr>
            <w:r w:rsidRPr="00731632">
              <w:rPr>
                <w:rFonts w:cs="Calibri"/>
                <w:iCs/>
                <w:color w:val="000000"/>
                <w:szCs w:val="20"/>
              </w:rPr>
              <w:t>Emergency department RSV</w:t>
            </w:r>
            <w:r w:rsidRPr="00731632">
              <w:rPr>
                <w:rFonts w:cs="Calibri"/>
                <w:iCs/>
                <w:color w:val="000000"/>
                <w:szCs w:val="20"/>
                <w:vertAlign w:val="superscript"/>
              </w:rPr>
              <w:t>d</w:t>
            </w:r>
          </w:p>
        </w:tc>
        <w:tc>
          <w:tcPr>
            <w:tcW w:w="993" w:type="dxa"/>
            <w:vAlign w:val="center"/>
          </w:tcPr>
          <w:p w14:paraId="0AB02174" w14:textId="77777777" w:rsidR="00EE2FBE" w:rsidRPr="00731632" w:rsidRDefault="00EE2FBE" w:rsidP="00DF53E4">
            <w:pPr>
              <w:pStyle w:val="TableText0"/>
              <w:rPr>
                <w:rFonts w:cs="Calibri"/>
                <w:iCs/>
                <w:color w:val="000000"/>
                <w:szCs w:val="20"/>
              </w:rPr>
            </w:pPr>
            <w:r w:rsidRPr="00731632">
              <w:rPr>
                <w:rFonts w:cs="Calibri"/>
                <w:iCs/>
                <w:color w:val="000000"/>
                <w:szCs w:val="20"/>
              </w:rPr>
              <w:t>-0.2</w:t>
            </w:r>
          </w:p>
        </w:tc>
        <w:tc>
          <w:tcPr>
            <w:tcW w:w="2991" w:type="dxa"/>
            <w:vAlign w:val="center"/>
          </w:tcPr>
          <w:p w14:paraId="22000BA7" w14:textId="77777777" w:rsidR="00EE2FBE" w:rsidRPr="00731632" w:rsidRDefault="00EE2FBE" w:rsidP="00866F91">
            <w:pPr>
              <w:pStyle w:val="TableText0"/>
              <w:rPr>
                <w:iCs/>
              </w:rPr>
            </w:pPr>
            <w:r w:rsidRPr="00731632">
              <w:rPr>
                <w:rFonts w:cs="Calibri"/>
                <w:iCs/>
                <w:color w:val="000000"/>
                <w:szCs w:val="20"/>
              </w:rPr>
              <w:t>6.16 days</w:t>
            </w:r>
          </w:p>
        </w:tc>
        <w:tc>
          <w:tcPr>
            <w:tcW w:w="1266" w:type="dxa"/>
            <w:vAlign w:val="center"/>
          </w:tcPr>
          <w:p w14:paraId="76CBCC17" w14:textId="77777777" w:rsidR="00EE2FBE" w:rsidRPr="00731632" w:rsidRDefault="00EE2FBE" w:rsidP="00866F91">
            <w:pPr>
              <w:pStyle w:val="TableText0"/>
              <w:rPr>
                <w:iCs/>
              </w:rPr>
            </w:pPr>
            <w:r w:rsidRPr="00731632">
              <w:rPr>
                <w:rFonts w:cs="Calibri"/>
                <w:iCs/>
                <w:color w:val="000000"/>
                <w:szCs w:val="20"/>
              </w:rPr>
              <w:t>-1.23</w:t>
            </w:r>
          </w:p>
        </w:tc>
        <w:tc>
          <w:tcPr>
            <w:tcW w:w="1504" w:type="dxa"/>
            <w:vAlign w:val="center"/>
          </w:tcPr>
          <w:p w14:paraId="0361756C" w14:textId="77777777" w:rsidR="00EE2FBE" w:rsidRPr="00731632" w:rsidRDefault="00EE2FBE" w:rsidP="00866F91">
            <w:pPr>
              <w:pStyle w:val="TableText0"/>
              <w:rPr>
                <w:iCs/>
              </w:rPr>
            </w:pPr>
            <w:r w:rsidRPr="00731632">
              <w:rPr>
                <w:rFonts w:cs="Calibri"/>
                <w:iCs/>
                <w:color w:val="000000"/>
                <w:szCs w:val="20"/>
              </w:rPr>
              <w:t>-0.0405</w:t>
            </w:r>
          </w:p>
        </w:tc>
      </w:tr>
      <w:tr w:rsidR="00EE2FBE" w:rsidRPr="00731632" w14:paraId="3DCC21CC" w14:textId="77777777" w:rsidTr="00DF53E4">
        <w:tc>
          <w:tcPr>
            <w:tcW w:w="2263" w:type="dxa"/>
            <w:vAlign w:val="center"/>
          </w:tcPr>
          <w:p w14:paraId="2617B7C5" w14:textId="77777777" w:rsidR="00EE2FBE" w:rsidRPr="00731632" w:rsidRDefault="00EE2FBE" w:rsidP="00866F91">
            <w:pPr>
              <w:pStyle w:val="TableText0"/>
              <w:rPr>
                <w:iCs/>
              </w:rPr>
            </w:pPr>
            <w:r w:rsidRPr="00731632">
              <w:rPr>
                <w:rFonts w:cs="Calibri"/>
                <w:iCs/>
                <w:color w:val="000000"/>
                <w:szCs w:val="20"/>
              </w:rPr>
              <w:t>Hospitalised RSV</w:t>
            </w:r>
          </w:p>
        </w:tc>
        <w:tc>
          <w:tcPr>
            <w:tcW w:w="993" w:type="dxa"/>
            <w:vAlign w:val="center"/>
          </w:tcPr>
          <w:p w14:paraId="76F1D54F" w14:textId="77777777" w:rsidR="00EE2FBE" w:rsidRPr="00731632" w:rsidRDefault="00EE2FBE" w:rsidP="00DF53E4">
            <w:pPr>
              <w:pStyle w:val="TableText0"/>
              <w:rPr>
                <w:rFonts w:cs="Calibri"/>
                <w:iCs/>
                <w:color w:val="000000"/>
                <w:szCs w:val="20"/>
              </w:rPr>
            </w:pPr>
            <w:r w:rsidRPr="00731632">
              <w:rPr>
                <w:rFonts w:cs="Calibri"/>
                <w:iCs/>
                <w:color w:val="000000"/>
                <w:szCs w:val="20"/>
              </w:rPr>
              <w:t>-0.41</w:t>
            </w:r>
          </w:p>
        </w:tc>
        <w:tc>
          <w:tcPr>
            <w:tcW w:w="2991" w:type="dxa"/>
            <w:vAlign w:val="center"/>
          </w:tcPr>
          <w:p w14:paraId="36912240" w14:textId="77777777" w:rsidR="00EE2FBE" w:rsidRPr="00731632" w:rsidRDefault="00EE2FBE" w:rsidP="00866F91">
            <w:pPr>
              <w:pStyle w:val="TableText0"/>
              <w:rPr>
                <w:rFonts w:cs="Calibri"/>
                <w:iCs/>
                <w:color w:val="000000"/>
                <w:szCs w:val="20"/>
              </w:rPr>
            </w:pPr>
            <w:r w:rsidRPr="00731632">
              <w:rPr>
                <w:rFonts w:cs="Calibri"/>
                <w:iCs/>
                <w:color w:val="000000"/>
                <w:szCs w:val="20"/>
              </w:rPr>
              <w:t>4 days</w:t>
            </w:r>
          </w:p>
          <w:p w14:paraId="78DBB01D" w14:textId="77777777" w:rsidR="00EE2FBE" w:rsidRPr="00731632" w:rsidRDefault="00EE2FBE" w:rsidP="00866F91">
            <w:pPr>
              <w:pStyle w:val="TableText0"/>
              <w:rPr>
                <w:iCs/>
              </w:rPr>
            </w:pPr>
            <w:r w:rsidRPr="00731632">
              <w:rPr>
                <w:rFonts w:cs="Calibri"/>
                <w:iCs/>
                <w:color w:val="000000"/>
                <w:szCs w:val="20"/>
              </w:rPr>
              <w:t>+ 6.16 days of primary care (-0.16)</w:t>
            </w:r>
          </w:p>
        </w:tc>
        <w:tc>
          <w:tcPr>
            <w:tcW w:w="1266" w:type="dxa"/>
            <w:vAlign w:val="center"/>
          </w:tcPr>
          <w:p w14:paraId="1F003196" w14:textId="77777777" w:rsidR="00EE2FBE" w:rsidRPr="00731632" w:rsidRDefault="00EE2FBE" w:rsidP="00866F91">
            <w:pPr>
              <w:pStyle w:val="TableText0"/>
              <w:rPr>
                <w:iCs/>
              </w:rPr>
            </w:pPr>
            <w:r w:rsidRPr="00731632">
              <w:rPr>
                <w:rFonts w:cs="Calibri"/>
                <w:iCs/>
                <w:color w:val="000000"/>
                <w:szCs w:val="20"/>
              </w:rPr>
              <w:t>-2.63</w:t>
            </w:r>
          </w:p>
        </w:tc>
        <w:tc>
          <w:tcPr>
            <w:tcW w:w="1504" w:type="dxa"/>
            <w:vAlign w:val="center"/>
          </w:tcPr>
          <w:p w14:paraId="657B1471" w14:textId="77777777" w:rsidR="00EE2FBE" w:rsidRPr="00731632" w:rsidRDefault="00EE2FBE" w:rsidP="00866F91">
            <w:pPr>
              <w:pStyle w:val="TableText0"/>
              <w:rPr>
                <w:iCs/>
              </w:rPr>
            </w:pPr>
            <w:r w:rsidRPr="00731632">
              <w:rPr>
                <w:rFonts w:cs="Calibri"/>
                <w:iCs/>
                <w:color w:val="000000"/>
                <w:szCs w:val="20"/>
              </w:rPr>
              <w:t>-0.0863</w:t>
            </w:r>
          </w:p>
        </w:tc>
      </w:tr>
      <w:tr w:rsidR="00EE2FBE" w:rsidRPr="00731632" w14:paraId="13BFD8A5" w14:textId="77777777" w:rsidTr="00DF53E4">
        <w:tc>
          <w:tcPr>
            <w:tcW w:w="2263" w:type="dxa"/>
            <w:vAlign w:val="center"/>
          </w:tcPr>
          <w:p w14:paraId="5B39546B" w14:textId="77777777" w:rsidR="00EE2FBE" w:rsidRPr="00731632" w:rsidRDefault="00EE2FBE" w:rsidP="00866F91">
            <w:pPr>
              <w:pStyle w:val="TableText0"/>
              <w:rPr>
                <w:iCs/>
              </w:rPr>
            </w:pPr>
            <w:r w:rsidRPr="00731632">
              <w:rPr>
                <w:rFonts w:cs="Calibri"/>
                <w:iCs/>
                <w:color w:val="000000"/>
                <w:szCs w:val="20"/>
              </w:rPr>
              <w:t>ICU RSV</w:t>
            </w:r>
          </w:p>
        </w:tc>
        <w:tc>
          <w:tcPr>
            <w:tcW w:w="993" w:type="dxa"/>
            <w:vAlign w:val="center"/>
          </w:tcPr>
          <w:p w14:paraId="41686762" w14:textId="77777777" w:rsidR="00EE2FBE" w:rsidRPr="00731632" w:rsidRDefault="00EE2FBE" w:rsidP="00DF53E4">
            <w:pPr>
              <w:pStyle w:val="TableText0"/>
              <w:rPr>
                <w:rFonts w:cs="Calibri"/>
                <w:iCs/>
                <w:color w:val="000000"/>
                <w:szCs w:val="20"/>
              </w:rPr>
            </w:pPr>
            <w:r w:rsidRPr="00731632">
              <w:rPr>
                <w:rFonts w:cs="Calibri"/>
                <w:iCs/>
                <w:color w:val="000000"/>
                <w:szCs w:val="20"/>
              </w:rPr>
              <w:t>-0.61</w:t>
            </w:r>
          </w:p>
        </w:tc>
        <w:tc>
          <w:tcPr>
            <w:tcW w:w="2991" w:type="dxa"/>
            <w:vAlign w:val="center"/>
          </w:tcPr>
          <w:p w14:paraId="5D5304A0" w14:textId="77777777" w:rsidR="00EE2FBE" w:rsidRPr="00731632" w:rsidRDefault="00EE2FBE" w:rsidP="00866F91">
            <w:pPr>
              <w:pStyle w:val="TableText0"/>
              <w:rPr>
                <w:rFonts w:cs="Calibri"/>
                <w:iCs/>
                <w:color w:val="000000"/>
                <w:szCs w:val="20"/>
              </w:rPr>
            </w:pPr>
            <w:r w:rsidRPr="00731632">
              <w:rPr>
                <w:rFonts w:cs="Calibri"/>
                <w:iCs/>
                <w:color w:val="000000"/>
                <w:szCs w:val="20"/>
              </w:rPr>
              <w:t>12.5 days</w:t>
            </w:r>
          </w:p>
          <w:p w14:paraId="54E548CA" w14:textId="77777777" w:rsidR="00EE2FBE" w:rsidRPr="00731632" w:rsidRDefault="00EE2FBE" w:rsidP="00866F91">
            <w:pPr>
              <w:pStyle w:val="TableText0"/>
              <w:rPr>
                <w:rFonts w:cs="Calibri"/>
                <w:iCs/>
                <w:color w:val="000000"/>
                <w:szCs w:val="20"/>
              </w:rPr>
            </w:pPr>
            <w:r w:rsidRPr="00731632">
              <w:rPr>
                <w:rFonts w:cs="Calibri"/>
                <w:iCs/>
                <w:color w:val="000000"/>
                <w:szCs w:val="20"/>
              </w:rPr>
              <w:t>+4 days hospitalised (-0.41)</w:t>
            </w:r>
          </w:p>
          <w:p w14:paraId="7B263EFA" w14:textId="77777777" w:rsidR="00EE2FBE" w:rsidRPr="00731632" w:rsidRDefault="00EE2FBE" w:rsidP="00866F91">
            <w:pPr>
              <w:pStyle w:val="TableText0"/>
              <w:rPr>
                <w:iCs/>
              </w:rPr>
            </w:pPr>
            <w:r w:rsidRPr="00731632">
              <w:rPr>
                <w:rFonts w:cs="Calibri"/>
                <w:iCs/>
                <w:color w:val="000000"/>
                <w:szCs w:val="20"/>
              </w:rPr>
              <w:t>+ 6.16 days of primary care (-0.16)</w:t>
            </w:r>
          </w:p>
        </w:tc>
        <w:tc>
          <w:tcPr>
            <w:tcW w:w="1266" w:type="dxa"/>
            <w:vMerge w:val="restart"/>
            <w:vAlign w:val="center"/>
          </w:tcPr>
          <w:p w14:paraId="054AF59C" w14:textId="77777777" w:rsidR="00EE2FBE" w:rsidRPr="00731632" w:rsidRDefault="00EE2FBE" w:rsidP="00866F91">
            <w:pPr>
              <w:pStyle w:val="TableText0"/>
              <w:rPr>
                <w:iCs/>
              </w:rPr>
            </w:pPr>
            <w:r w:rsidRPr="00731632">
              <w:rPr>
                <w:rFonts w:cs="Calibri"/>
                <w:iCs/>
                <w:color w:val="000000"/>
                <w:szCs w:val="20"/>
              </w:rPr>
              <w:t>-10.25</w:t>
            </w:r>
          </w:p>
        </w:tc>
        <w:tc>
          <w:tcPr>
            <w:tcW w:w="1504" w:type="dxa"/>
            <w:vMerge w:val="restart"/>
            <w:vAlign w:val="center"/>
          </w:tcPr>
          <w:p w14:paraId="27BD0DA8" w14:textId="77777777" w:rsidR="00EE2FBE" w:rsidRPr="00731632" w:rsidRDefault="00EE2FBE" w:rsidP="00866F91">
            <w:pPr>
              <w:pStyle w:val="TableText0"/>
              <w:rPr>
                <w:rFonts w:cs="Calibri"/>
                <w:iCs/>
                <w:color w:val="000000"/>
                <w:szCs w:val="20"/>
              </w:rPr>
            </w:pPr>
            <w:r w:rsidRPr="00731632">
              <w:rPr>
                <w:rFonts w:cs="Calibri"/>
                <w:iCs/>
                <w:color w:val="000000"/>
                <w:szCs w:val="20"/>
              </w:rPr>
              <w:t>-0.3368</w:t>
            </w:r>
          </w:p>
          <w:p w14:paraId="1AC1B169" w14:textId="09A56F7F" w:rsidR="00EE2FBE" w:rsidRPr="00731632" w:rsidRDefault="00EE2FBE" w:rsidP="00866F91">
            <w:pPr>
              <w:pStyle w:val="TableText0"/>
              <w:rPr>
                <w:iCs/>
              </w:rPr>
            </w:pPr>
            <w:r w:rsidRPr="00731632">
              <w:rPr>
                <w:rFonts w:cs="Calibri"/>
                <w:iCs/>
                <w:color w:val="000000"/>
              </w:rPr>
              <w:t>(-0.2505 applied in the model as hospitalisation</w:t>
            </w:r>
            <w:r w:rsidR="00F677B5" w:rsidRPr="00731632">
              <w:rPr>
                <w:rFonts w:cs="Calibri"/>
                <w:iCs/>
                <w:color w:val="000000"/>
              </w:rPr>
              <w:t xml:space="preserve"> was </w:t>
            </w:r>
            <w:r w:rsidRPr="00731632">
              <w:rPr>
                <w:rFonts w:cs="Calibri"/>
                <w:iCs/>
                <w:color w:val="000000"/>
              </w:rPr>
              <w:t>counted separately)</w:t>
            </w:r>
            <w:r w:rsidRPr="00731632">
              <w:rPr>
                <w:rFonts w:cs="Calibri"/>
                <w:iCs/>
                <w:color w:val="000000"/>
                <w:vertAlign w:val="superscript"/>
              </w:rPr>
              <w:t>e</w:t>
            </w:r>
          </w:p>
        </w:tc>
      </w:tr>
      <w:tr w:rsidR="00EE2FBE" w:rsidRPr="00731632" w14:paraId="65B95D8A" w14:textId="77777777" w:rsidTr="00DF53E4">
        <w:tc>
          <w:tcPr>
            <w:tcW w:w="2263" w:type="dxa"/>
            <w:vAlign w:val="center"/>
          </w:tcPr>
          <w:p w14:paraId="41E70111" w14:textId="77777777" w:rsidR="00EE2FBE" w:rsidRPr="00731632" w:rsidRDefault="00EE2FBE" w:rsidP="00866F91">
            <w:pPr>
              <w:pStyle w:val="TableText0"/>
              <w:rPr>
                <w:iCs/>
              </w:rPr>
            </w:pPr>
            <w:r w:rsidRPr="00731632">
              <w:rPr>
                <w:rFonts w:cs="Calibri"/>
                <w:iCs/>
                <w:color w:val="000000"/>
                <w:szCs w:val="20"/>
              </w:rPr>
              <w:t>Mechanical ventilation RSV</w:t>
            </w:r>
            <w:r w:rsidRPr="00731632">
              <w:rPr>
                <w:rFonts w:cs="Calibri"/>
                <w:iCs/>
                <w:color w:val="000000"/>
                <w:szCs w:val="20"/>
                <w:vertAlign w:val="superscript"/>
              </w:rPr>
              <w:t>d</w:t>
            </w:r>
          </w:p>
        </w:tc>
        <w:tc>
          <w:tcPr>
            <w:tcW w:w="993" w:type="dxa"/>
            <w:vAlign w:val="center"/>
          </w:tcPr>
          <w:p w14:paraId="5620BBD2" w14:textId="77777777" w:rsidR="00EE2FBE" w:rsidRPr="00731632" w:rsidRDefault="00EE2FBE" w:rsidP="00DF53E4">
            <w:pPr>
              <w:pStyle w:val="TableText0"/>
              <w:rPr>
                <w:rFonts w:cs="Calibri"/>
                <w:iCs/>
                <w:color w:val="000000"/>
                <w:szCs w:val="20"/>
              </w:rPr>
            </w:pPr>
            <w:r w:rsidRPr="00731632">
              <w:rPr>
                <w:rFonts w:cs="Calibri"/>
                <w:iCs/>
                <w:color w:val="000000"/>
                <w:szCs w:val="20"/>
              </w:rPr>
              <w:t>-0.61</w:t>
            </w:r>
          </w:p>
        </w:tc>
        <w:tc>
          <w:tcPr>
            <w:tcW w:w="2991" w:type="dxa"/>
            <w:vAlign w:val="center"/>
          </w:tcPr>
          <w:p w14:paraId="40D24E8A" w14:textId="77777777" w:rsidR="00EE2FBE" w:rsidRPr="00731632" w:rsidRDefault="00EE2FBE" w:rsidP="00866F91">
            <w:pPr>
              <w:pStyle w:val="TableText0"/>
              <w:rPr>
                <w:iCs/>
              </w:rPr>
            </w:pPr>
            <w:r w:rsidRPr="00731632">
              <w:rPr>
                <w:rFonts w:cs="Calibri"/>
                <w:iCs/>
                <w:color w:val="000000"/>
                <w:szCs w:val="20"/>
              </w:rPr>
              <w:t>assume same as ICU</w:t>
            </w:r>
          </w:p>
        </w:tc>
        <w:tc>
          <w:tcPr>
            <w:tcW w:w="1266" w:type="dxa"/>
            <w:vMerge/>
            <w:vAlign w:val="center"/>
          </w:tcPr>
          <w:p w14:paraId="5F1BE982" w14:textId="77777777" w:rsidR="00EE2FBE" w:rsidRPr="00731632" w:rsidRDefault="00EE2FBE" w:rsidP="00866F91">
            <w:pPr>
              <w:pStyle w:val="TableText0"/>
              <w:rPr>
                <w:iCs/>
              </w:rPr>
            </w:pPr>
          </w:p>
        </w:tc>
        <w:tc>
          <w:tcPr>
            <w:tcW w:w="1504" w:type="dxa"/>
            <w:vMerge/>
            <w:vAlign w:val="center"/>
          </w:tcPr>
          <w:p w14:paraId="4CDA1736" w14:textId="77777777" w:rsidR="00EE2FBE" w:rsidRPr="00731632" w:rsidRDefault="00EE2FBE" w:rsidP="00866F91">
            <w:pPr>
              <w:pStyle w:val="TableText0"/>
              <w:rPr>
                <w:iCs/>
              </w:rPr>
            </w:pPr>
          </w:p>
        </w:tc>
      </w:tr>
    </w:tbl>
    <w:p w14:paraId="134658B1" w14:textId="77777777" w:rsidR="00EE2FBE" w:rsidRPr="00731632" w:rsidRDefault="00EE2FBE" w:rsidP="00EE2FBE">
      <w:pPr>
        <w:rPr>
          <w:rFonts w:ascii="Arial Narrow" w:hAnsi="Arial Narrow"/>
          <w:iCs/>
          <w:sz w:val="18"/>
          <w:szCs w:val="18"/>
        </w:rPr>
      </w:pPr>
      <w:r w:rsidRPr="00731632">
        <w:rPr>
          <w:rFonts w:ascii="Arial Narrow" w:hAnsi="Arial Narrow"/>
          <w:iCs/>
          <w:sz w:val="18"/>
          <w:szCs w:val="18"/>
        </w:rPr>
        <w:t>Source: generated during the evaluation based on Nourbakhsh et al 2021, and the Nirsevimab model (“Health Events” tab).</w:t>
      </w:r>
    </w:p>
    <w:p w14:paraId="0CC544D0" w14:textId="77777777" w:rsidR="00EE2FBE" w:rsidRPr="00731632" w:rsidRDefault="00EE2FBE" w:rsidP="00EE2FBE">
      <w:pPr>
        <w:rPr>
          <w:rFonts w:ascii="Arial Narrow" w:hAnsi="Arial Narrow"/>
          <w:iCs/>
          <w:sz w:val="18"/>
          <w:szCs w:val="18"/>
        </w:rPr>
      </w:pPr>
      <w:r w:rsidRPr="00731632">
        <w:rPr>
          <w:rFonts w:ascii="Arial Narrow" w:hAnsi="Arial Narrow"/>
          <w:iCs/>
          <w:sz w:val="18"/>
          <w:szCs w:val="18"/>
        </w:rPr>
        <w:t>ICU = Intensive care unit; QALD = quality-adjusted life day; RSV = Respiratory syncytial virus.</w:t>
      </w:r>
    </w:p>
    <w:p w14:paraId="06ED901F" w14:textId="3B0A8139" w:rsidR="00EE2FBE" w:rsidRPr="00731632" w:rsidRDefault="00EE2FBE" w:rsidP="00EE2FBE">
      <w:pPr>
        <w:rPr>
          <w:rFonts w:ascii="Arial Narrow" w:hAnsi="Arial Narrow"/>
          <w:iCs/>
          <w:sz w:val="18"/>
          <w:szCs w:val="18"/>
        </w:rPr>
      </w:pPr>
      <w:r w:rsidRPr="00731632">
        <w:rPr>
          <w:rFonts w:ascii="Arial Narrow" w:hAnsi="Arial Narrow"/>
          <w:iCs/>
          <w:sz w:val="18"/>
          <w:szCs w:val="18"/>
          <w:vertAlign w:val="superscript"/>
        </w:rPr>
        <w:t>a</w:t>
      </w:r>
      <w:r w:rsidRPr="00731632">
        <w:rPr>
          <w:rFonts w:ascii="Arial Narrow" w:hAnsi="Arial Narrow"/>
          <w:iCs/>
          <w:sz w:val="18"/>
          <w:szCs w:val="18"/>
        </w:rPr>
        <w:t xml:space="preserve"> Where a range of duration of events</w:t>
      </w:r>
      <w:r w:rsidR="00F677B5" w:rsidRPr="00731632">
        <w:rPr>
          <w:rFonts w:ascii="Arial Narrow" w:hAnsi="Arial Narrow"/>
          <w:iCs/>
          <w:sz w:val="18"/>
          <w:szCs w:val="18"/>
        </w:rPr>
        <w:t xml:space="preserve"> was </w:t>
      </w:r>
      <w:r w:rsidRPr="00731632">
        <w:rPr>
          <w:rFonts w:ascii="Arial Narrow" w:hAnsi="Arial Narrow"/>
          <w:iCs/>
          <w:sz w:val="18"/>
          <w:szCs w:val="18"/>
        </w:rPr>
        <w:t xml:space="preserve">provided in Nourbakhsh et al 2021, the longest duration has been used. This will favour the Nirsevimab arm. </w:t>
      </w:r>
    </w:p>
    <w:p w14:paraId="62BE9D59" w14:textId="15620888" w:rsidR="00EE2FBE" w:rsidRPr="00731632" w:rsidRDefault="00EE2FBE" w:rsidP="00EE2FBE">
      <w:pPr>
        <w:rPr>
          <w:rFonts w:ascii="Arial Narrow" w:hAnsi="Arial Narrow"/>
          <w:iCs/>
          <w:sz w:val="18"/>
          <w:szCs w:val="18"/>
        </w:rPr>
      </w:pPr>
      <w:r w:rsidRPr="00731632">
        <w:rPr>
          <w:rFonts w:ascii="Arial Narrow" w:hAnsi="Arial Narrow"/>
          <w:iCs/>
          <w:sz w:val="18"/>
          <w:szCs w:val="18"/>
          <w:vertAlign w:val="superscript"/>
        </w:rPr>
        <w:t>b</w:t>
      </w:r>
      <w:r w:rsidRPr="00731632">
        <w:rPr>
          <w:rFonts w:ascii="Arial Narrow" w:hAnsi="Arial Narrow"/>
          <w:iCs/>
          <w:sz w:val="18"/>
          <w:szCs w:val="18"/>
        </w:rPr>
        <w:t xml:space="preserve"> To estimate the hospitalised RSV QALD loss, the commentary has assumed that infants spend 4 days in hospital, and an additional 6.16 days symptomatic (based on primary care RSV duration). To estimate the ICU RSV QALD loss, the commentary has assumed that </w:t>
      </w:r>
      <w:r w:rsidR="00B63F4A" w:rsidRPr="00731632">
        <w:rPr>
          <w:rFonts w:ascii="Arial Narrow" w:hAnsi="Arial Narrow"/>
          <w:iCs/>
          <w:sz w:val="18"/>
          <w:szCs w:val="18"/>
        </w:rPr>
        <w:t>individuals</w:t>
      </w:r>
      <w:r w:rsidRPr="00731632">
        <w:rPr>
          <w:rFonts w:ascii="Arial Narrow" w:hAnsi="Arial Narrow"/>
          <w:iCs/>
          <w:sz w:val="18"/>
          <w:szCs w:val="18"/>
        </w:rPr>
        <w:t xml:space="preserve"> have a symptomatic period (6.16 days), a hospitalised period (4 days) and a period in ICU (12.5 days). </w:t>
      </w:r>
    </w:p>
    <w:p w14:paraId="45A73FFD" w14:textId="21DEC718" w:rsidR="00EE2FBE" w:rsidRPr="00731632" w:rsidRDefault="00EE2FBE" w:rsidP="00EE2FBE">
      <w:pPr>
        <w:rPr>
          <w:rFonts w:ascii="Arial Narrow" w:hAnsi="Arial Narrow"/>
          <w:iCs/>
          <w:sz w:val="18"/>
          <w:szCs w:val="18"/>
        </w:rPr>
      </w:pPr>
      <w:r w:rsidRPr="00731632">
        <w:rPr>
          <w:rFonts w:ascii="Arial Narrow" w:hAnsi="Arial Narrow"/>
          <w:iCs/>
          <w:sz w:val="18"/>
          <w:szCs w:val="18"/>
          <w:vertAlign w:val="superscript"/>
        </w:rPr>
        <w:t>c</w:t>
      </w:r>
      <w:r w:rsidRPr="00731632">
        <w:rPr>
          <w:rFonts w:ascii="Arial Narrow" w:hAnsi="Arial Narrow"/>
          <w:iCs/>
          <w:sz w:val="18"/>
          <w:szCs w:val="18"/>
        </w:rPr>
        <w:t xml:space="preserve"> The utility require to match the target QALD loss</w:t>
      </w:r>
      <w:r w:rsidR="00F677B5" w:rsidRPr="00731632">
        <w:rPr>
          <w:rFonts w:ascii="Arial Narrow" w:hAnsi="Arial Narrow"/>
          <w:iCs/>
          <w:sz w:val="18"/>
          <w:szCs w:val="18"/>
        </w:rPr>
        <w:t xml:space="preserve"> was </w:t>
      </w:r>
      <w:r w:rsidRPr="00731632">
        <w:rPr>
          <w:rFonts w:ascii="Arial Narrow" w:hAnsi="Arial Narrow"/>
          <w:iCs/>
          <w:sz w:val="18"/>
          <w:szCs w:val="18"/>
        </w:rPr>
        <w:t>derived by dividing the QALD loss by 30.44 days in a month. Therefore, if the disutility</w:t>
      </w:r>
      <w:r w:rsidR="00F677B5" w:rsidRPr="00731632">
        <w:rPr>
          <w:rFonts w:ascii="Arial Narrow" w:hAnsi="Arial Narrow"/>
          <w:iCs/>
          <w:sz w:val="18"/>
          <w:szCs w:val="18"/>
        </w:rPr>
        <w:t xml:space="preserve"> was </w:t>
      </w:r>
      <w:r w:rsidRPr="00731632">
        <w:rPr>
          <w:rFonts w:ascii="Arial Narrow" w:hAnsi="Arial Narrow"/>
          <w:iCs/>
          <w:sz w:val="18"/>
          <w:szCs w:val="18"/>
        </w:rPr>
        <w:t>applied for the full 30.44 days (as in the Nirsevimab model), it will result in the same QALD loss as estimated from the Nourbakhsh et al 2021 study.</w:t>
      </w:r>
    </w:p>
    <w:p w14:paraId="3C4EB2E3" w14:textId="77777777" w:rsidR="00EE2FBE" w:rsidRPr="00731632" w:rsidRDefault="00EE2FBE" w:rsidP="00EE2FBE">
      <w:pPr>
        <w:rPr>
          <w:rFonts w:ascii="Arial Narrow" w:hAnsi="Arial Narrow"/>
          <w:iCs/>
          <w:sz w:val="18"/>
          <w:szCs w:val="18"/>
        </w:rPr>
      </w:pPr>
      <w:r w:rsidRPr="00731632">
        <w:rPr>
          <w:rFonts w:ascii="Arial Narrow" w:hAnsi="Arial Narrow"/>
          <w:iCs/>
          <w:sz w:val="18"/>
          <w:szCs w:val="18"/>
          <w:vertAlign w:val="superscript"/>
        </w:rPr>
        <w:t>d</w:t>
      </w:r>
      <w:r w:rsidRPr="00731632">
        <w:rPr>
          <w:rFonts w:ascii="Arial Narrow" w:hAnsi="Arial Narrow"/>
          <w:iCs/>
          <w:sz w:val="18"/>
          <w:szCs w:val="18"/>
        </w:rPr>
        <w:t xml:space="preserve"> Disutilities for emergency department RSV and mechanical ventilation cannot be located in the Nourbakhsh et al 2021 publication. </w:t>
      </w:r>
    </w:p>
    <w:p w14:paraId="32803BEA" w14:textId="456B287F" w:rsidR="00EE2FBE" w:rsidRPr="00DF53E4" w:rsidRDefault="00EE2FBE" w:rsidP="00DF53E4">
      <w:pPr>
        <w:spacing w:after="120"/>
        <w:rPr>
          <w:rFonts w:ascii="Arial Narrow" w:hAnsi="Arial Narrow"/>
          <w:iCs/>
          <w:sz w:val="18"/>
          <w:szCs w:val="18"/>
        </w:rPr>
      </w:pPr>
      <w:r w:rsidRPr="00731632">
        <w:rPr>
          <w:rFonts w:ascii="Arial Narrow" w:hAnsi="Arial Narrow"/>
          <w:iCs/>
          <w:sz w:val="18"/>
          <w:szCs w:val="18"/>
          <w:vertAlign w:val="superscript"/>
        </w:rPr>
        <w:t>e</w:t>
      </w:r>
      <w:r w:rsidRPr="00731632">
        <w:rPr>
          <w:rFonts w:ascii="Arial Narrow" w:hAnsi="Arial Narrow"/>
          <w:iCs/>
          <w:sz w:val="18"/>
          <w:szCs w:val="18"/>
        </w:rPr>
        <w:t xml:space="preserve"> The disutility applied in the model for ICU (and mechanical ventilation)</w:t>
      </w:r>
      <w:r w:rsidR="00F677B5" w:rsidRPr="00731632">
        <w:rPr>
          <w:rFonts w:ascii="Arial Narrow" w:hAnsi="Arial Narrow"/>
          <w:iCs/>
          <w:sz w:val="18"/>
          <w:szCs w:val="18"/>
        </w:rPr>
        <w:t xml:space="preserve"> was </w:t>
      </w:r>
      <w:r w:rsidRPr="00731632">
        <w:rPr>
          <w:rFonts w:ascii="Arial Narrow" w:hAnsi="Arial Narrow"/>
          <w:iCs/>
          <w:sz w:val="18"/>
          <w:szCs w:val="18"/>
        </w:rPr>
        <w:t>estimated by subtracting the disutility associated with hospitalisation (as this</w:t>
      </w:r>
      <w:r w:rsidR="00F677B5" w:rsidRPr="00731632">
        <w:rPr>
          <w:rFonts w:ascii="Arial Narrow" w:hAnsi="Arial Narrow"/>
          <w:iCs/>
          <w:sz w:val="18"/>
          <w:szCs w:val="18"/>
        </w:rPr>
        <w:t xml:space="preserve"> was </w:t>
      </w:r>
      <w:r w:rsidRPr="00731632">
        <w:rPr>
          <w:rFonts w:ascii="Arial Narrow" w:hAnsi="Arial Narrow"/>
          <w:iCs/>
          <w:sz w:val="18"/>
          <w:szCs w:val="18"/>
        </w:rPr>
        <w:t>counted separately in the Nirsevimab model).</w:t>
      </w:r>
    </w:p>
    <w:p w14:paraId="7C873E32" w14:textId="454139C7" w:rsidR="00EE2FBE" w:rsidRPr="00731632" w:rsidRDefault="00EE2FBE" w:rsidP="00EE2FBE">
      <w:pPr>
        <w:pStyle w:val="3-BodyText"/>
        <w:rPr>
          <w:color w:val="000000" w:themeColor="text1"/>
        </w:rPr>
      </w:pPr>
      <w:r w:rsidRPr="00731632">
        <w:rPr>
          <w:color w:val="000000" w:themeColor="text1"/>
        </w:rPr>
        <w:t>To estimate the health outcome impact of asthma and recurrent wheezing, a loss of QALYs</w:t>
      </w:r>
      <w:r w:rsidR="00F677B5" w:rsidRPr="00731632">
        <w:rPr>
          <w:color w:val="000000" w:themeColor="text1"/>
        </w:rPr>
        <w:t xml:space="preserve"> was </w:t>
      </w:r>
      <w:r w:rsidRPr="00731632">
        <w:rPr>
          <w:color w:val="000000" w:themeColor="text1"/>
        </w:rPr>
        <w:t xml:space="preserve">applied to each patient entering the health state. As the loss of QALYs for recurrent wheezing may occur in Year 2 or Year 3, QALY losses </w:t>
      </w:r>
      <w:r w:rsidR="002A0B19" w:rsidRPr="00731632">
        <w:rPr>
          <w:color w:val="000000" w:themeColor="text1"/>
        </w:rPr>
        <w:t>were</w:t>
      </w:r>
      <w:r w:rsidRPr="00731632">
        <w:rPr>
          <w:color w:val="000000" w:themeColor="text1"/>
        </w:rPr>
        <w:t xml:space="preserve"> discounted by 5% per annum. </w:t>
      </w:r>
      <w:r w:rsidR="00A1212D" w:rsidRPr="00731632">
        <w:rPr>
          <w:color w:val="000000" w:themeColor="text1"/>
        </w:rPr>
        <w:t xml:space="preserve">The evaluation considered that </w:t>
      </w:r>
      <w:r w:rsidR="00A1212D" w:rsidRPr="00731632">
        <w:rPr>
          <w:iCs/>
          <w:color w:val="000000" w:themeColor="text1"/>
        </w:rPr>
        <w:t>t</w:t>
      </w:r>
      <w:r w:rsidRPr="00731632">
        <w:rPr>
          <w:iCs/>
          <w:color w:val="000000" w:themeColor="text1"/>
        </w:rPr>
        <w:t>he derivation of the QALY losses</w:t>
      </w:r>
      <w:r w:rsidR="00F677B5" w:rsidRPr="00731632">
        <w:rPr>
          <w:iCs/>
          <w:color w:val="000000" w:themeColor="text1"/>
        </w:rPr>
        <w:t xml:space="preserve"> was </w:t>
      </w:r>
      <w:r w:rsidRPr="00731632">
        <w:rPr>
          <w:iCs/>
          <w:color w:val="000000" w:themeColor="text1"/>
        </w:rPr>
        <w:t>poorly explained in the submission, and represent a disutility of -0.04 applied for a full year for asthma and Year 1 recurrent wheezing. As noted previously, there</w:t>
      </w:r>
      <w:r w:rsidR="00F677B5" w:rsidRPr="00731632">
        <w:rPr>
          <w:iCs/>
          <w:color w:val="000000" w:themeColor="text1"/>
        </w:rPr>
        <w:t xml:space="preserve"> were </w:t>
      </w:r>
      <w:r w:rsidRPr="00731632">
        <w:rPr>
          <w:iCs/>
          <w:color w:val="000000" w:themeColor="text1"/>
        </w:rPr>
        <w:t xml:space="preserve">a proportion of </w:t>
      </w:r>
      <w:r w:rsidR="00B63F4A" w:rsidRPr="00731632">
        <w:rPr>
          <w:iCs/>
          <w:color w:val="000000" w:themeColor="text1"/>
        </w:rPr>
        <w:t>individuals</w:t>
      </w:r>
      <w:r w:rsidRPr="00731632">
        <w:rPr>
          <w:iCs/>
          <w:color w:val="000000" w:themeColor="text1"/>
        </w:rPr>
        <w:t xml:space="preserve"> who will be hospitalised twice in Year 1, and therefore there</w:t>
      </w:r>
      <w:r w:rsidR="00F677B5" w:rsidRPr="00731632">
        <w:rPr>
          <w:iCs/>
          <w:color w:val="000000" w:themeColor="text1"/>
        </w:rPr>
        <w:t xml:space="preserve"> were </w:t>
      </w:r>
      <w:r w:rsidRPr="00731632">
        <w:rPr>
          <w:iCs/>
          <w:color w:val="000000" w:themeColor="text1"/>
        </w:rPr>
        <w:t xml:space="preserve">a proportion of </w:t>
      </w:r>
      <w:r w:rsidR="00B63F4A" w:rsidRPr="00731632">
        <w:rPr>
          <w:iCs/>
          <w:color w:val="000000" w:themeColor="text1"/>
        </w:rPr>
        <w:t>individuals</w:t>
      </w:r>
      <w:r w:rsidRPr="00731632">
        <w:rPr>
          <w:iCs/>
          <w:color w:val="000000" w:themeColor="text1"/>
        </w:rPr>
        <w:t xml:space="preserve"> who will receive a QALY loss for a year of asthma or 1 or 2 or 3 years of wheezing on two occasions</w:t>
      </w:r>
      <w:r w:rsidR="000D3CF8" w:rsidRPr="00731632">
        <w:rPr>
          <w:iCs/>
          <w:color w:val="000000" w:themeColor="text1"/>
        </w:rPr>
        <w:t xml:space="preserve"> (double counting)</w:t>
      </w:r>
      <w:r w:rsidRPr="00731632">
        <w:rPr>
          <w:iCs/>
          <w:color w:val="000000" w:themeColor="text1"/>
        </w:rPr>
        <w:t>.</w:t>
      </w:r>
    </w:p>
    <w:p w14:paraId="6B69FB39" w14:textId="34E07F2B" w:rsidR="00EE2FBE" w:rsidRPr="00731632" w:rsidRDefault="00EE2FBE" w:rsidP="00EE2FBE">
      <w:pPr>
        <w:pStyle w:val="3-BodyText"/>
        <w:rPr>
          <w:color w:val="000000" w:themeColor="text1"/>
        </w:rPr>
      </w:pPr>
      <w:r w:rsidRPr="00731632">
        <w:rPr>
          <w:color w:val="000000" w:themeColor="text1"/>
        </w:rPr>
        <w:t>Lifelong accrual of QALYs</w:t>
      </w:r>
      <w:r w:rsidR="00F677B5" w:rsidRPr="00731632">
        <w:rPr>
          <w:color w:val="000000" w:themeColor="text1"/>
        </w:rPr>
        <w:t xml:space="preserve"> was </w:t>
      </w:r>
      <w:r w:rsidRPr="00731632">
        <w:rPr>
          <w:color w:val="000000" w:themeColor="text1"/>
        </w:rPr>
        <w:t xml:space="preserve">estimated by multiplying the life year gains for survivors at the end of Year 1 by a utility value of 0.996. </w:t>
      </w:r>
      <w:r w:rsidR="00A1212D" w:rsidRPr="00731632">
        <w:rPr>
          <w:color w:val="000000" w:themeColor="text1"/>
        </w:rPr>
        <w:t xml:space="preserve">The evaluation noted that </w:t>
      </w:r>
      <w:r w:rsidR="00A1212D" w:rsidRPr="00731632">
        <w:rPr>
          <w:iCs/>
          <w:color w:val="000000" w:themeColor="text1"/>
        </w:rPr>
        <w:t>a</w:t>
      </w:r>
      <w:r w:rsidRPr="00731632">
        <w:rPr>
          <w:iCs/>
          <w:color w:val="000000" w:themeColor="text1"/>
        </w:rPr>
        <w:t>lthough this utility value</w:t>
      </w:r>
      <w:r w:rsidR="00F677B5" w:rsidRPr="00731632">
        <w:rPr>
          <w:iCs/>
          <w:color w:val="000000" w:themeColor="text1"/>
        </w:rPr>
        <w:t xml:space="preserve"> was </w:t>
      </w:r>
      <w:r w:rsidRPr="00731632">
        <w:rPr>
          <w:iCs/>
          <w:color w:val="000000" w:themeColor="text1"/>
        </w:rPr>
        <w:t>high, particularly for adults, as the difference in survivors across the arms</w:t>
      </w:r>
      <w:r w:rsidR="00F677B5" w:rsidRPr="00731632">
        <w:rPr>
          <w:iCs/>
          <w:color w:val="000000" w:themeColor="text1"/>
        </w:rPr>
        <w:t xml:space="preserve"> was </w:t>
      </w:r>
      <w:r w:rsidRPr="00731632">
        <w:rPr>
          <w:iCs/>
          <w:color w:val="000000" w:themeColor="text1"/>
        </w:rPr>
        <w:t>small (even with a higher case fatality ratio (CFR) applied), and as life years</w:t>
      </w:r>
      <w:r w:rsidR="00F677B5" w:rsidRPr="00731632">
        <w:rPr>
          <w:iCs/>
          <w:color w:val="000000" w:themeColor="text1"/>
        </w:rPr>
        <w:t xml:space="preserve"> were </w:t>
      </w:r>
      <w:r w:rsidRPr="00731632">
        <w:rPr>
          <w:iCs/>
          <w:color w:val="000000" w:themeColor="text1"/>
        </w:rPr>
        <w:t>discounted, incorporating a declining utility value with age would be unlikely to markedly impact the model results.</w:t>
      </w:r>
    </w:p>
    <w:p w14:paraId="5BD7ABAC" w14:textId="77777777" w:rsidR="00EE2FBE" w:rsidRPr="00731632" w:rsidRDefault="00EE2FBE" w:rsidP="00EE2FBE">
      <w:pPr>
        <w:pStyle w:val="3-BodyText"/>
        <w:rPr>
          <w:color w:val="000000" w:themeColor="text1"/>
        </w:rPr>
      </w:pPr>
      <w:r w:rsidRPr="00731632">
        <w:rPr>
          <w:color w:val="000000" w:themeColor="text1"/>
        </w:rPr>
        <w:t xml:space="preserve">Costs in the model have been derived from various sources including MBS items, Australian-Refined Diagnosis Related Groups data and published studies. </w:t>
      </w:r>
    </w:p>
    <w:p w14:paraId="168B6CDB" w14:textId="0502D89E" w:rsidR="006A3BF2" w:rsidRPr="00731632" w:rsidRDefault="00EE2FBE" w:rsidP="00866F91">
      <w:pPr>
        <w:pStyle w:val="3-BodyText"/>
        <w:rPr>
          <w:color w:val="000000" w:themeColor="text1"/>
        </w:rPr>
      </w:pPr>
      <w:bookmarkStart w:id="80" w:name="_Ref172737044"/>
      <w:r w:rsidRPr="00731632">
        <w:rPr>
          <w:color w:val="000000" w:themeColor="text1"/>
        </w:rPr>
        <w:t>The administration of nirsevimab</w:t>
      </w:r>
      <w:r w:rsidR="00F677B5" w:rsidRPr="00731632">
        <w:rPr>
          <w:color w:val="000000" w:themeColor="text1"/>
        </w:rPr>
        <w:t xml:space="preserve"> was </w:t>
      </w:r>
      <w:r w:rsidRPr="00731632">
        <w:rPr>
          <w:color w:val="000000" w:themeColor="text1"/>
        </w:rPr>
        <w:t>costed to occur during a GP visit (MBS item 23) or at birth. However, the submission assumed that no administration cost would be incurred if nirsevimab</w:t>
      </w:r>
      <w:r w:rsidR="00F677B5" w:rsidRPr="00731632">
        <w:rPr>
          <w:color w:val="000000" w:themeColor="text1"/>
        </w:rPr>
        <w:t xml:space="preserve"> was </w:t>
      </w:r>
      <w:r w:rsidRPr="00731632">
        <w:rPr>
          <w:color w:val="000000" w:themeColor="text1"/>
        </w:rPr>
        <w:t>given at birth (this would occur for 5 months of the year), and no administration cost would be incurred if infants</w:t>
      </w:r>
      <w:r w:rsidR="00F677B5" w:rsidRPr="00731632">
        <w:rPr>
          <w:color w:val="000000" w:themeColor="text1"/>
        </w:rPr>
        <w:t xml:space="preserve"> were </w:t>
      </w:r>
      <w:r w:rsidRPr="00731632">
        <w:rPr>
          <w:color w:val="000000" w:themeColor="text1"/>
        </w:rPr>
        <w:t>attending a GP for their 2, 4 or 6 month NIP immunisations. Consequently, the administration cost</w:t>
      </w:r>
      <w:r w:rsidR="00F677B5" w:rsidRPr="00731632">
        <w:rPr>
          <w:color w:val="000000" w:themeColor="text1"/>
        </w:rPr>
        <w:t xml:space="preserve"> was </w:t>
      </w:r>
      <w:r w:rsidRPr="00731632">
        <w:rPr>
          <w:color w:val="000000" w:themeColor="text1"/>
        </w:rPr>
        <w:t>reduced from $41.40 to $13.80 on the basis that a unique GP visit</w:t>
      </w:r>
      <w:r w:rsidR="00F677B5" w:rsidRPr="00731632">
        <w:rPr>
          <w:color w:val="000000" w:themeColor="text1"/>
        </w:rPr>
        <w:t xml:space="preserve"> was </w:t>
      </w:r>
      <w:r w:rsidRPr="00731632">
        <w:rPr>
          <w:color w:val="000000" w:themeColor="text1"/>
        </w:rPr>
        <w:t xml:space="preserve">only required for one third of nirsevimab administrations. </w:t>
      </w:r>
      <w:r w:rsidR="00A1212D" w:rsidRPr="00731632">
        <w:rPr>
          <w:color w:val="000000" w:themeColor="text1"/>
        </w:rPr>
        <w:t xml:space="preserve">The evaluation noted that </w:t>
      </w:r>
      <w:r w:rsidR="00A1212D" w:rsidRPr="00731632">
        <w:rPr>
          <w:iCs/>
          <w:color w:val="000000" w:themeColor="text1"/>
        </w:rPr>
        <w:t>a</w:t>
      </w:r>
      <w:r w:rsidRPr="00731632">
        <w:rPr>
          <w:iCs/>
          <w:color w:val="000000" w:themeColor="text1"/>
        </w:rPr>
        <w:t>s nirsevimab</w:t>
      </w:r>
      <w:r w:rsidR="00F677B5" w:rsidRPr="00731632">
        <w:rPr>
          <w:iCs/>
          <w:color w:val="000000" w:themeColor="text1"/>
        </w:rPr>
        <w:t xml:space="preserve"> was </w:t>
      </w:r>
      <w:r w:rsidRPr="00731632">
        <w:rPr>
          <w:iCs/>
          <w:color w:val="000000" w:themeColor="text1"/>
        </w:rPr>
        <w:t xml:space="preserve">not </w:t>
      </w:r>
      <w:r w:rsidR="002273B4" w:rsidRPr="00731632">
        <w:rPr>
          <w:iCs/>
          <w:color w:val="000000" w:themeColor="text1"/>
        </w:rPr>
        <w:t xml:space="preserve">proposed for listing </w:t>
      </w:r>
      <w:r w:rsidRPr="00731632">
        <w:rPr>
          <w:iCs/>
          <w:color w:val="000000" w:themeColor="text1"/>
        </w:rPr>
        <w:t>on the NIP, it</w:t>
      </w:r>
      <w:r w:rsidR="00F677B5" w:rsidRPr="00731632">
        <w:rPr>
          <w:iCs/>
          <w:color w:val="000000" w:themeColor="text1"/>
        </w:rPr>
        <w:t xml:space="preserve"> was </w:t>
      </w:r>
      <w:r w:rsidRPr="00731632">
        <w:rPr>
          <w:iCs/>
          <w:color w:val="000000" w:themeColor="text1"/>
        </w:rPr>
        <w:t xml:space="preserve">not clear whether it would be </w:t>
      </w:r>
      <w:r w:rsidR="002273B4" w:rsidRPr="00731632">
        <w:rPr>
          <w:iCs/>
          <w:color w:val="000000" w:themeColor="text1"/>
        </w:rPr>
        <w:t xml:space="preserve">routinely </w:t>
      </w:r>
      <w:r w:rsidRPr="00731632">
        <w:rPr>
          <w:iCs/>
          <w:color w:val="000000" w:themeColor="text1"/>
        </w:rPr>
        <w:t xml:space="preserve">available </w:t>
      </w:r>
      <w:r w:rsidR="002273B4" w:rsidRPr="00731632">
        <w:rPr>
          <w:iCs/>
          <w:color w:val="000000" w:themeColor="text1"/>
        </w:rPr>
        <w:t>as proposed by the submission</w:t>
      </w:r>
      <w:r w:rsidRPr="00731632">
        <w:rPr>
          <w:iCs/>
          <w:color w:val="000000" w:themeColor="text1"/>
        </w:rPr>
        <w:t xml:space="preserve">. Parents or carers may </w:t>
      </w:r>
      <w:r w:rsidR="00952638" w:rsidRPr="00731632">
        <w:rPr>
          <w:iCs/>
          <w:color w:val="000000" w:themeColor="text1"/>
        </w:rPr>
        <w:t xml:space="preserve">need </w:t>
      </w:r>
      <w:r w:rsidRPr="00731632">
        <w:rPr>
          <w:iCs/>
          <w:color w:val="000000" w:themeColor="text1"/>
        </w:rPr>
        <w:t xml:space="preserve">to retrieve nirsevimab from a pharmacy prior to attending a GP visit, and this may </w:t>
      </w:r>
      <w:r w:rsidR="002273B4" w:rsidRPr="00731632">
        <w:rPr>
          <w:iCs/>
          <w:color w:val="000000" w:themeColor="text1"/>
        </w:rPr>
        <w:t xml:space="preserve">require </w:t>
      </w:r>
      <w:r w:rsidRPr="00731632">
        <w:rPr>
          <w:iCs/>
          <w:color w:val="000000" w:themeColor="text1"/>
        </w:rPr>
        <w:t>a unique GP visit for administration. Assuming a unique GP visit for administration for each nirsevimab dose increases the ICER by more than 50%.</w:t>
      </w:r>
      <w:r w:rsidR="008174D6" w:rsidRPr="00731632">
        <w:rPr>
          <w:iCs/>
          <w:color w:val="000000" w:themeColor="text1"/>
        </w:rPr>
        <w:t xml:space="preserve"> </w:t>
      </w:r>
      <w:r w:rsidR="002D48F2" w:rsidRPr="00731632">
        <w:rPr>
          <w:color w:val="000000" w:themeColor="text1"/>
        </w:rPr>
        <w:t>The PSCR emphasised the overlap between the existing childhood immunisation program at 0, 2, 4, and 6</w:t>
      </w:r>
      <w:r w:rsidR="00DF53E4">
        <w:rPr>
          <w:color w:val="000000" w:themeColor="text1"/>
        </w:rPr>
        <w:t> </w:t>
      </w:r>
      <w:r w:rsidR="002D48F2" w:rsidRPr="00731632">
        <w:rPr>
          <w:color w:val="000000" w:themeColor="text1"/>
        </w:rPr>
        <w:t>months and the administration window of nirsevimab.</w:t>
      </w:r>
      <w:r w:rsidR="008174D6" w:rsidRPr="00731632">
        <w:rPr>
          <w:color w:val="000000" w:themeColor="text1"/>
        </w:rPr>
        <w:t xml:space="preserve"> </w:t>
      </w:r>
      <w:r w:rsidR="006A3BF2" w:rsidRPr="00731632">
        <w:rPr>
          <w:color w:val="000000" w:themeColor="text1"/>
        </w:rPr>
        <w:t xml:space="preserve">The ESC noted that administration of nirsevimab during GP visits for NIP immunisations at 2, 4 or 6 months may be feasible in some cases, however some parents may opt for a separate appointment due to concerns about the number of needles at one visit, and the need to fill a prescription at </w:t>
      </w:r>
      <w:r w:rsidR="00966931" w:rsidRPr="00731632">
        <w:rPr>
          <w:color w:val="000000" w:themeColor="text1"/>
        </w:rPr>
        <w:t xml:space="preserve">a </w:t>
      </w:r>
      <w:r w:rsidR="006A3BF2" w:rsidRPr="00731632">
        <w:rPr>
          <w:color w:val="000000" w:themeColor="text1"/>
        </w:rPr>
        <w:t>pharmacy before the appointment.</w:t>
      </w:r>
      <w:r w:rsidR="003E1422">
        <w:rPr>
          <w:color w:val="000000" w:themeColor="text1"/>
        </w:rPr>
        <w:t xml:space="preserve"> </w:t>
      </w:r>
      <w:r w:rsidR="002273B4" w:rsidRPr="00731632">
        <w:rPr>
          <w:color w:val="000000" w:themeColor="text1"/>
        </w:rPr>
        <w:t>The PBAC agreed with the concern raised by the ESC regarding underestimation of administration costs for nirsevimab.</w:t>
      </w:r>
      <w:bookmarkEnd w:id="80"/>
      <w:r w:rsidR="00840F19" w:rsidRPr="00731632">
        <w:rPr>
          <w:color w:val="000000" w:themeColor="text1"/>
        </w:rPr>
        <w:t xml:space="preserve"> The PBAC considered that a higher proportion of injections would be given in unique consultations in general practice than estimated in the submission, and in other instances higher costs of administration may be incurred for example for hospital clinics and these should be considered.</w:t>
      </w:r>
    </w:p>
    <w:p w14:paraId="200DD276" w14:textId="0CEEAB58" w:rsidR="00EE2FBE" w:rsidRPr="00731632" w:rsidRDefault="00EE2FBE" w:rsidP="00866F91">
      <w:pPr>
        <w:pStyle w:val="3-BodyText"/>
        <w:rPr>
          <w:iCs/>
          <w:color w:val="000000" w:themeColor="text1"/>
        </w:rPr>
      </w:pPr>
      <w:bookmarkStart w:id="81" w:name="_Ref172736975"/>
      <w:r w:rsidRPr="00731632">
        <w:rPr>
          <w:color w:val="000000" w:themeColor="text1"/>
        </w:rPr>
        <w:t xml:space="preserve">The costs of emergency department attendances, hospitalisations and admission to ICU </w:t>
      </w:r>
      <w:r w:rsidR="006753C1" w:rsidRPr="00731632">
        <w:rPr>
          <w:color w:val="000000" w:themeColor="text1"/>
        </w:rPr>
        <w:t>were</w:t>
      </w:r>
      <w:r w:rsidRPr="00731632">
        <w:rPr>
          <w:color w:val="000000" w:themeColor="text1"/>
        </w:rPr>
        <w:t xml:space="preserve"> sourced from an Australian study</w:t>
      </w:r>
      <w:r w:rsidR="003E1422">
        <w:rPr>
          <w:color w:val="000000" w:themeColor="text1"/>
        </w:rPr>
        <w:t xml:space="preserve"> </w:t>
      </w:r>
      <w:r w:rsidRPr="00731632">
        <w:rPr>
          <w:color w:val="000000" w:themeColor="text1"/>
        </w:rPr>
        <w:t>of the cost burden of RSV in hospitalised children under the age of 5</w:t>
      </w:r>
      <w:r w:rsidR="006753C1" w:rsidRPr="00731632">
        <w:rPr>
          <w:color w:val="000000" w:themeColor="text1"/>
        </w:rPr>
        <w:t xml:space="preserve"> (Brusco et al 2022)</w:t>
      </w:r>
      <w:r w:rsidRPr="00731632">
        <w:rPr>
          <w:rStyle w:val="FootnoteReference"/>
          <w:color w:val="000000" w:themeColor="text1"/>
        </w:rPr>
        <w:footnoteReference w:id="28"/>
      </w:r>
      <w:r w:rsidRPr="00731632">
        <w:rPr>
          <w:color w:val="000000" w:themeColor="text1"/>
        </w:rPr>
        <w:t>. The</w:t>
      </w:r>
      <w:r w:rsidR="00A44C6A" w:rsidRPr="00731632">
        <w:rPr>
          <w:color w:val="000000" w:themeColor="text1"/>
        </w:rPr>
        <w:t xml:space="preserve"> submission</w:t>
      </w:r>
      <w:r w:rsidRPr="00731632">
        <w:rPr>
          <w:color w:val="000000" w:themeColor="text1"/>
        </w:rPr>
        <w:t xml:space="preserve"> inflated </w:t>
      </w:r>
      <w:r w:rsidR="00A44C6A" w:rsidRPr="00731632">
        <w:rPr>
          <w:color w:val="000000" w:themeColor="text1"/>
        </w:rPr>
        <w:t xml:space="preserve">these costs </w:t>
      </w:r>
      <w:r w:rsidRPr="00731632">
        <w:rPr>
          <w:color w:val="000000" w:themeColor="text1"/>
        </w:rPr>
        <w:t xml:space="preserve">to 2023 prices using the RBA inflation calculator. </w:t>
      </w:r>
      <w:r w:rsidRPr="00731632">
        <w:rPr>
          <w:iCs/>
          <w:color w:val="000000" w:themeColor="text1"/>
        </w:rPr>
        <w:t>The costs from the study include</w:t>
      </w:r>
      <w:r w:rsidR="00A44C6A" w:rsidRPr="00731632">
        <w:rPr>
          <w:iCs/>
          <w:color w:val="000000" w:themeColor="text1"/>
        </w:rPr>
        <w:t>d</w:t>
      </w:r>
      <w:r w:rsidRPr="00731632">
        <w:rPr>
          <w:iCs/>
          <w:color w:val="000000" w:themeColor="text1"/>
        </w:rPr>
        <w:t xml:space="preserve"> both an index admission associated with RSV and all subsequent admissions over the next 6 months, regardless of cause of hospitalisation. The submission </w:t>
      </w:r>
      <w:r w:rsidR="00A44C6A" w:rsidRPr="00731632">
        <w:rPr>
          <w:iCs/>
          <w:color w:val="000000" w:themeColor="text1"/>
        </w:rPr>
        <w:t>applied the a</w:t>
      </w:r>
      <w:r w:rsidRPr="00731632">
        <w:rPr>
          <w:iCs/>
          <w:color w:val="000000" w:themeColor="text1"/>
        </w:rPr>
        <w:t>ggregated cost of all hospitalisations over 6 months</w:t>
      </w:r>
      <w:r w:rsidR="00A44C6A" w:rsidRPr="00731632">
        <w:rPr>
          <w:iCs/>
          <w:color w:val="000000" w:themeColor="text1"/>
        </w:rPr>
        <w:t xml:space="preserve"> in the economic model which was not justified</w:t>
      </w:r>
      <w:r w:rsidRPr="00731632">
        <w:rPr>
          <w:iCs/>
          <w:color w:val="000000" w:themeColor="text1"/>
        </w:rPr>
        <w:t>. Excluding the ED, ICU and hospitalisation costs associated with readmissions increase</w:t>
      </w:r>
      <w:r w:rsidR="00A44C6A" w:rsidRPr="00731632">
        <w:rPr>
          <w:iCs/>
          <w:color w:val="000000" w:themeColor="text1"/>
        </w:rPr>
        <w:t>d</w:t>
      </w:r>
      <w:r w:rsidRPr="00731632">
        <w:rPr>
          <w:iCs/>
          <w:color w:val="000000" w:themeColor="text1"/>
        </w:rPr>
        <w:t xml:space="preserve"> the ICER by more than 250%.</w:t>
      </w:r>
      <w:r w:rsidR="008767AB" w:rsidRPr="00731632">
        <w:rPr>
          <w:iCs/>
          <w:color w:val="000000" w:themeColor="text1"/>
        </w:rPr>
        <w:t xml:space="preserve"> </w:t>
      </w:r>
      <w:r w:rsidR="008767AB" w:rsidRPr="00731632">
        <w:rPr>
          <w:rFonts w:cs="Calibri"/>
          <w:iCs/>
          <w:color w:val="000000"/>
          <w:szCs w:val="20"/>
        </w:rPr>
        <w:t xml:space="preserve">The PSCR stated that the costs of subsequent admissions were not included in the model. However, the </w:t>
      </w:r>
      <w:r w:rsidR="00F61139" w:rsidRPr="00731632">
        <w:rPr>
          <w:rFonts w:cs="Calibri"/>
          <w:iCs/>
          <w:color w:val="000000"/>
          <w:szCs w:val="20"/>
        </w:rPr>
        <w:t xml:space="preserve">ESC agreed with the evaluation that the </w:t>
      </w:r>
      <w:r w:rsidR="008767AB" w:rsidRPr="00731632">
        <w:rPr>
          <w:rFonts w:cs="Calibri"/>
          <w:iCs/>
          <w:color w:val="000000"/>
          <w:szCs w:val="20"/>
        </w:rPr>
        <w:t>cost used</w:t>
      </w:r>
      <w:r w:rsidR="00F677B5" w:rsidRPr="00731632">
        <w:rPr>
          <w:rFonts w:cs="Calibri"/>
          <w:iCs/>
          <w:color w:val="000000"/>
          <w:szCs w:val="20"/>
        </w:rPr>
        <w:t xml:space="preserve"> was </w:t>
      </w:r>
      <w:r w:rsidR="008767AB" w:rsidRPr="00731632">
        <w:rPr>
          <w:rFonts w:cs="Calibri"/>
          <w:iCs/>
          <w:color w:val="000000"/>
          <w:szCs w:val="20"/>
        </w:rPr>
        <w:t>an aggregated cost of all hospitalisations over 6 months.</w:t>
      </w:r>
      <w:r w:rsidR="00170EA1" w:rsidRPr="00731632">
        <w:rPr>
          <w:rFonts w:cs="Calibri"/>
          <w:iCs/>
          <w:color w:val="000000"/>
          <w:szCs w:val="20"/>
        </w:rPr>
        <w:t xml:space="preserve"> The ESC considered that an analysis that assumed a proportion of </w:t>
      </w:r>
      <w:r w:rsidR="00B63F4A" w:rsidRPr="00731632">
        <w:rPr>
          <w:rFonts w:cs="Calibri"/>
          <w:iCs/>
          <w:color w:val="000000"/>
          <w:szCs w:val="20"/>
        </w:rPr>
        <w:t>individuals</w:t>
      </w:r>
      <w:r w:rsidR="00170EA1" w:rsidRPr="00731632">
        <w:rPr>
          <w:rFonts w:cs="Calibri"/>
          <w:iCs/>
          <w:color w:val="000000"/>
          <w:szCs w:val="20"/>
        </w:rPr>
        <w:t xml:space="preserve"> would be readmitted would be informative, and noted that a rate of 13% would be supported by a study that specifically assessed the risk of readmission after RSV hospitalization among children younger than 5 years (Choi 2021), based on reported respiratory related re-admissions</w:t>
      </w:r>
      <w:r w:rsidR="00170EA1" w:rsidRPr="00731632">
        <w:rPr>
          <w:rStyle w:val="FootnoteReference"/>
          <w:rFonts w:cs="Calibri"/>
          <w:iCs/>
          <w:color w:val="000000"/>
          <w:szCs w:val="20"/>
        </w:rPr>
        <w:footnoteReference w:id="29"/>
      </w:r>
      <w:r w:rsidR="00170EA1" w:rsidRPr="00731632">
        <w:rPr>
          <w:rFonts w:cs="Calibri"/>
          <w:iCs/>
          <w:color w:val="000000"/>
          <w:szCs w:val="20"/>
        </w:rPr>
        <w:t>.</w:t>
      </w:r>
      <w:bookmarkEnd w:id="81"/>
    </w:p>
    <w:p w14:paraId="4D4FC884" w14:textId="2DEFB1FE" w:rsidR="00EE2FBE" w:rsidRPr="00731632" w:rsidRDefault="00EE2FBE" w:rsidP="00EE2FBE">
      <w:pPr>
        <w:pStyle w:val="3-BodyText"/>
        <w:rPr>
          <w:iCs/>
          <w:color w:val="000000" w:themeColor="text1"/>
        </w:rPr>
      </w:pPr>
      <w:bookmarkStart w:id="82" w:name="_Ref172737098"/>
      <w:bookmarkStart w:id="83" w:name="_Ref172807462"/>
      <w:r w:rsidRPr="00731632">
        <w:rPr>
          <w:iCs/>
          <w:color w:val="000000" w:themeColor="text1"/>
        </w:rPr>
        <w:t xml:space="preserve">The cost of emergency department attendances represents the costs for infants who were subsequently hospitalised. However, </w:t>
      </w:r>
      <w:r w:rsidR="00D51627" w:rsidRPr="00731632">
        <w:rPr>
          <w:iCs/>
          <w:color w:val="000000" w:themeColor="text1"/>
        </w:rPr>
        <w:t xml:space="preserve">the evaluation noted that </w:t>
      </w:r>
      <w:r w:rsidRPr="00731632">
        <w:rPr>
          <w:iCs/>
          <w:color w:val="000000" w:themeColor="text1"/>
        </w:rPr>
        <w:t>in the model, ED attendances</w:t>
      </w:r>
      <w:r w:rsidR="00F677B5" w:rsidRPr="00731632">
        <w:rPr>
          <w:iCs/>
          <w:color w:val="000000" w:themeColor="text1"/>
        </w:rPr>
        <w:t xml:space="preserve"> were </w:t>
      </w:r>
      <w:r w:rsidRPr="00731632">
        <w:rPr>
          <w:iCs/>
          <w:color w:val="000000" w:themeColor="text1"/>
        </w:rPr>
        <w:t>non-hospitalised RSV cases. The Round 24 National Hospital Cost Data Collection (NHCDC) reported that the average cost of an emergency department attendance resulting in hospitalisation was roughly twice as costly as ED presentations that did not result in admission. Assuming ED costs for primary care attended RSV</w:t>
      </w:r>
      <w:r w:rsidR="00F677B5" w:rsidRPr="00731632">
        <w:rPr>
          <w:iCs/>
          <w:color w:val="000000" w:themeColor="text1"/>
        </w:rPr>
        <w:t xml:space="preserve"> were </w:t>
      </w:r>
      <w:r w:rsidRPr="00731632">
        <w:rPr>
          <w:iCs/>
          <w:color w:val="000000" w:themeColor="text1"/>
        </w:rPr>
        <w:t>50% of the model’s estimate, increase</w:t>
      </w:r>
      <w:r w:rsidR="00A44C6A" w:rsidRPr="00731632">
        <w:rPr>
          <w:iCs/>
          <w:color w:val="000000" w:themeColor="text1"/>
        </w:rPr>
        <w:t>d</w:t>
      </w:r>
      <w:r w:rsidRPr="00731632">
        <w:rPr>
          <w:iCs/>
          <w:color w:val="000000" w:themeColor="text1"/>
        </w:rPr>
        <w:t xml:space="preserve"> the ICER by </w:t>
      </w:r>
      <w:r w:rsidR="007607BE" w:rsidRPr="00731632">
        <w:rPr>
          <w:iCs/>
          <w:color w:val="000000" w:themeColor="text1"/>
        </w:rPr>
        <w:t>46</w:t>
      </w:r>
      <w:r w:rsidRPr="00731632">
        <w:rPr>
          <w:iCs/>
          <w:color w:val="000000" w:themeColor="text1"/>
        </w:rPr>
        <w:t>%.</w:t>
      </w:r>
      <w:bookmarkEnd w:id="82"/>
      <w:bookmarkEnd w:id="83"/>
    </w:p>
    <w:p w14:paraId="3EFECF7F" w14:textId="3B69E5EC" w:rsidR="002330F2" w:rsidRPr="00731632" w:rsidRDefault="00EE2FBE" w:rsidP="00866F91">
      <w:pPr>
        <w:pStyle w:val="3-BodyText"/>
        <w:rPr>
          <w:iCs/>
          <w:color w:val="000000" w:themeColor="text1"/>
        </w:rPr>
      </w:pPr>
      <w:bookmarkStart w:id="84" w:name="_Ref172737630"/>
      <w:bookmarkStart w:id="85" w:name="_Ref172738217"/>
      <w:r w:rsidRPr="00731632">
        <w:rPr>
          <w:color w:val="000000" w:themeColor="text1"/>
        </w:rPr>
        <w:t>The cost of hospitalisation applied in the model exclude</w:t>
      </w:r>
      <w:r w:rsidR="00A44C6A" w:rsidRPr="00731632">
        <w:rPr>
          <w:color w:val="000000" w:themeColor="text1"/>
        </w:rPr>
        <w:t>d</w:t>
      </w:r>
      <w:r w:rsidRPr="00731632">
        <w:rPr>
          <w:color w:val="000000" w:themeColor="text1"/>
        </w:rPr>
        <w:t xml:space="preserve"> the cost of an emergency department attendance. </w:t>
      </w:r>
      <w:r w:rsidRPr="00731632">
        <w:rPr>
          <w:iCs/>
          <w:color w:val="000000" w:themeColor="text1"/>
        </w:rPr>
        <w:t xml:space="preserve">However, almost 90% of infants who were hospitalised in the costing study were admitted through the emergency department. Therefore, the </w:t>
      </w:r>
      <w:r w:rsidR="00BE7041" w:rsidRPr="00731632">
        <w:rPr>
          <w:iCs/>
          <w:color w:val="000000" w:themeColor="text1"/>
        </w:rPr>
        <w:t xml:space="preserve">evaluation considered that the </w:t>
      </w:r>
      <w:r w:rsidRPr="00731632">
        <w:rPr>
          <w:iCs/>
          <w:color w:val="000000" w:themeColor="text1"/>
        </w:rPr>
        <w:t>cost of hospitalisation may be underestimated.</w:t>
      </w:r>
      <w:r w:rsidR="008174D6" w:rsidRPr="00731632">
        <w:rPr>
          <w:iCs/>
          <w:color w:val="000000" w:themeColor="text1"/>
        </w:rPr>
        <w:t xml:space="preserve"> </w:t>
      </w:r>
      <w:r w:rsidR="00BE7041" w:rsidRPr="00731632">
        <w:rPr>
          <w:iCs/>
          <w:color w:val="000000" w:themeColor="text1"/>
        </w:rPr>
        <w:t>The PSCR confirmed that the costs for hospital admission were derived from an Australian study (Table 6 of Brusco 2022) and applied appropriately in the model.</w:t>
      </w:r>
      <w:bookmarkEnd w:id="84"/>
      <w:r w:rsidR="008174D6" w:rsidRPr="00731632">
        <w:rPr>
          <w:iCs/>
          <w:color w:val="000000" w:themeColor="text1"/>
        </w:rPr>
        <w:t xml:space="preserve"> </w:t>
      </w:r>
      <w:bookmarkEnd w:id="85"/>
    </w:p>
    <w:p w14:paraId="77B533AF" w14:textId="5123FB78" w:rsidR="005C7239" w:rsidRPr="00731632" w:rsidRDefault="00EE2FBE" w:rsidP="00866F91">
      <w:pPr>
        <w:pStyle w:val="3-BodyText"/>
        <w:rPr>
          <w:iCs/>
          <w:color w:val="000000" w:themeColor="text1"/>
        </w:rPr>
      </w:pPr>
      <w:bookmarkStart w:id="86" w:name="_Ref172736565"/>
      <w:r w:rsidRPr="00731632">
        <w:rPr>
          <w:color w:val="000000" w:themeColor="text1"/>
        </w:rPr>
        <w:t>The cost of mechanical ventilation</w:t>
      </w:r>
      <w:r w:rsidR="00F677B5" w:rsidRPr="00731632">
        <w:rPr>
          <w:color w:val="000000" w:themeColor="text1"/>
        </w:rPr>
        <w:t xml:space="preserve"> was </w:t>
      </w:r>
      <w:r w:rsidRPr="00731632">
        <w:rPr>
          <w:color w:val="000000" w:themeColor="text1"/>
        </w:rPr>
        <w:t>stated to be sourced from “DRG E41A – respiratory system disorders W non-invasive ventilation, major complexity”.</w:t>
      </w:r>
      <w:r w:rsidRPr="00731632">
        <w:rPr>
          <w:iCs/>
          <w:color w:val="000000" w:themeColor="text1"/>
        </w:rPr>
        <w:t xml:space="preserve"> </w:t>
      </w:r>
      <w:r w:rsidR="00D51627" w:rsidRPr="00731632">
        <w:rPr>
          <w:iCs/>
          <w:color w:val="000000" w:themeColor="text1"/>
        </w:rPr>
        <w:t>The evaluation noted that n</w:t>
      </w:r>
      <w:r w:rsidRPr="00731632">
        <w:rPr>
          <w:iCs/>
          <w:color w:val="000000" w:themeColor="text1"/>
        </w:rPr>
        <w:t>o source was provided. The cost provided in the submission ($</w:t>
      </w:r>
      <w:r w:rsidR="009F6D97" w:rsidRPr="00D770BB">
        <w:rPr>
          <w:iCs/>
          <w:color w:val="000000" w:themeColor="text1"/>
          <w:w w:val="15"/>
          <w:shd w:val="solid" w:color="000000" w:fill="000000"/>
          <w:fitText w:val="-20" w:id="-893211390"/>
          <w14:textFill>
            <w14:solidFill>
              <w14:schemeClr w14:val="tx1">
                <w14:alpha w14:val="100000"/>
              </w14:schemeClr>
            </w14:solidFill>
          </w14:textFill>
        </w:rPr>
        <w:t>|</w:t>
      </w:r>
      <w:r w:rsidR="003E1422" w:rsidRPr="00D770BB">
        <w:rPr>
          <w:iCs/>
          <w:color w:val="000000" w:themeColor="text1"/>
          <w:w w:val="15"/>
          <w:shd w:val="solid" w:color="000000" w:fill="000000"/>
          <w:fitText w:val="-20" w:id="-893211390"/>
          <w14:textFill>
            <w14:solidFill>
              <w14:schemeClr w14:val="tx1">
                <w14:alpha w14:val="100000"/>
              </w14:schemeClr>
            </w14:solidFill>
          </w14:textFill>
        </w:rPr>
        <w:t xml:space="preserve"> </w:t>
      </w:r>
      <w:r w:rsidR="009F6D97" w:rsidRPr="00D770BB">
        <w:rPr>
          <w:iCs/>
          <w:color w:val="000000" w:themeColor="text1"/>
          <w:spacing w:val="-61"/>
          <w:w w:val="15"/>
          <w:shd w:val="solid" w:color="000000" w:fill="000000"/>
          <w:fitText w:val="-20" w:id="-893211390"/>
          <w14:textFill>
            <w14:solidFill>
              <w14:schemeClr w14:val="tx1">
                <w14:alpha w14:val="100000"/>
              </w14:schemeClr>
            </w14:solidFill>
          </w14:textFill>
        </w:rPr>
        <w:t>|</w:t>
      </w:r>
      <w:r w:rsidRPr="00731632">
        <w:rPr>
          <w:iCs/>
          <w:color w:val="000000" w:themeColor="text1"/>
        </w:rPr>
        <w:t>) cannot be derived from Round 22 – Round 25 of the NHCDC, inflated using the RBA calculator. Costs estimated during the evaluation</w:t>
      </w:r>
      <w:r w:rsidR="00F677B5" w:rsidRPr="00731632">
        <w:rPr>
          <w:iCs/>
          <w:color w:val="000000" w:themeColor="text1"/>
        </w:rPr>
        <w:t xml:space="preserve"> were </w:t>
      </w:r>
      <w:r w:rsidRPr="00731632">
        <w:rPr>
          <w:iCs/>
          <w:color w:val="000000" w:themeColor="text1"/>
        </w:rPr>
        <w:t>between $</w:t>
      </w:r>
      <w:r w:rsidR="009F6D97" w:rsidRPr="00D770BB">
        <w:rPr>
          <w:iCs/>
          <w:color w:val="000000" w:themeColor="text1"/>
          <w:w w:val="15"/>
          <w:shd w:val="solid" w:color="000000" w:fill="000000"/>
          <w:fitText w:val="-20" w:id="-893211389"/>
          <w14:textFill>
            <w14:solidFill>
              <w14:schemeClr w14:val="tx1">
                <w14:alpha w14:val="100000"/>
              </w14:schemeClr>
            </w14:solidFill>
          </w14:textFill>
        </w:rPr>
        <w:t>|</w:t>
      </w:r>
      <w:r w:rsidR="003E1422" w:rsidRPr="00D770BB">
        <w:rPr>
          <w:iCs/>
          <w:color w:val="000000" w:themeColor="text1"/>
          <w:w w:val="15"/>
          <w:shd w:val="solid" w:color="000000" w:fill="000000"/>
          <w:fitText w:val="-20" w:id="-893211389"/>
          <w14:textFill>
            <w14:solidFill>
              <w14:schemeClr w14:val="tx1">
                <w14:alpha w14:val="100000"/>
              </w14:schemeClr>
            </w14:solidFill>
          </w14:textFill>
        </w:rPr>
        <w:t xml:space="preserve"> </w:t>
      </w:r>
      <w:r w:rsidR="009F6D97" w:rsidRPr="00D770BB">
        <w:rPr>
          <w:iCs/>
          <w:color w:val="000000" w:themeColor="text1"/>
          <w:spacing w:val="-61"/>
          <w:w w:val="15"/>
          <w:shd w:val="solid" w:color="000000" w:fill="000000"/>
          <w:fitText w:val="-20" w:id="-893211389"/>
          <w14:textFill>
            <w14:solidFill>
              <w14:schemeClr w14:val="tx1">
                <w14:alpha w14:val="100000"/>
              </w14:schemeClr>
            </w14:solidFill>
          </w14:textFill>
        </w:rPr>
        <w:t>|</w:t>
      </w:r>
      <w:r w:rsidRPr="00731632">
        <w:rPr>
          <w:iCs/>
          <w:color w:val="000000" w:themeColor="text1"/>
        </w:rPr>
        <w:t xml:space="preserve"> - $</w:t>
      </w:r>
      <w:r w:rsidR="009F6D97" w:rsidRPr="00D770BB">
        <w:rPr>
          <w:iCs/>
          <w:color w:val="000000" w:themeColor="text1"/>
          <w:w w:val="15"/>
          <w:shd w:val="solid" w:color="000000" w:fill="000000"/>
          <w:fitText w:val="-20" w:id="-893211388"/>
          <w14:textFill>
            <w14:solidFill>
              <w14:schemeClr w14:val="tx1">
                <w14:alpha w14:val="100000"/>
              </w14:schemeClr>
            </w14:solidFill>
          </w14:textFill>
        </w:rPr>
        <w:t xml:space="preserve">|  </w:t>
      </w:r>
      <w:r w:rsidR="009F6D97" w:rsidRPr="00D770BB">
        <w:rPr>
          <w:iCs/>
          <w:color w:val="000000" w:themeColor="text1"/>
          <w:spacing w:val="-69"/>
          <w:w w:val="15"/>
          <w:shd w:val="solid" w:color="000000" w:fill="000000"/>
          <w:fitText w:val="-20" w:id="-893211388"/>
          <w14:textFill>
            <w14:solidFill>
              <w14:schemeClr w14:val="tx1">
                <w14:alpha w14:val="100000"/>
              </w14:schemeClr>
            </w14:solidFill>
          </w14:textFill>
        </w:rPr>
        <w:t>|</w:t>
      </w:r>
      <w:r w:rsidRPr="00731632">
        <w:rPr>
          <w:iCs/>
          <w:color w:val="000000" w:themeColor="text1"/>
        </w:rPr>
        <w:t xml:space="preserve"> lower. Costs sourced from AR-DRGs in the NHCDC include the cost of hospitalisation (and other costs). The model already includes the cost of hospitalisation and ICU in a proportion of </w:t>
      </w:r>
      <w:r w:rsidR="00B63F4A" w:rsidRPr="00731632">
        <w:rPr>
          <w:iCs/>
          <w:color w:val="000000" w:themeColor="text1"/>
        </w:rPr>
        <w:t>individuals</w:t>
      </w:r>
      <w:r w:rsidRPr="00731632">
        <w:rPr>
          <w:iCs/>
          <w:color w:val="000000" w:themeColor="text1"/>
        </w:rPr>
        <w:t xml:space="preserve">, which likely represents double-counting. More importantly, the costs of hospitalisation and ICU attendance used in the model, sourced from </w:t>
      </w:r>
      <w:r w:rsidR="00DA2164" w:rsidRPr="00731632">
        <w:rPr>
          <w:iCs/>
          <w:color w:val="000000" w:themeColor="text1"/>
        </w:rPr>
        <w:t xml:space="preserve">the </w:t>
      </w:r>
      <w:r w:rsidRPr="00731632">
        <w:rPr>
          <w:iCs/>
          <w:color w:val="000000" w:themeColor="text1"/>
        </w:rPr>
        <w:t>Australian costing study</w:t>
      </w:r>
      <w:r w:rsidR="002E69BE" w:rsidRPr="00731632">
        <w:rPr>
          <w:iCs/>
          <w:color w:val="000000" w:themeColor="text1"/>
        </w:rPr>
        <w:t xml:space="preserve"> (Brusco et al 2022)</w:t>
      </w:r>
      <w:r w:rsidRPr="00731632">
        <w:rPr>
          <w:iCs/>
          <w:color w:val="000000" w:themeColor="text1"/>
        </w:rPr>
        <w:t>, already include costs associated with mechanical ventilation.</w:t>
      </w:r>
      <w:r w:rsidR="002E69BE" w:rsidRPr="00731632">
        <w:rPr>
          <w:iCs/>
          <w:color w:val="000000" w:themeColor="text1"/>
        </w:rPr>
        <w:t xml:space="preserve"> </w:t>
      </w:r>
      <w:r w:rsidR="002E69BE" w:rsidRPr="00731632">
        <w:rPr>
          <w:rFonts w:cs="Calibri"/>
          <w:iCs/>
          <w:color w:val="000000"/>
          <w:szCs w:val="20"/>
        </w:rPr>
        <w:t>The PS</w:t>
      </w:r>
      <w:r w:rsidR="00480C6D" w:rsidRPr="00731632">
        <w:rPr>
          <w:rFonts w:cs="Calibri"/>
          <w:iCs/>
          <w:color w:val="000000"/>
          <w:szCs w:val="20"/>
        </w:rPr>
        <w:t>C</w:t>
      </w:r>
      <w:r w:rsidR="002E69BE" w:rsidRPr="00731632">
        <w:rPr>
          <w:rFonts w:cs="Calibri"/>
          <w:iCs/>
          <w:color w:val="000000"/>
          <w:szCs w:val="20"/>
        </w:rPr>
        <w:t>R maintained that mechanical ventilation should be costed separately using AR-DRG E41A because Brusco et al did not report ventilation costs. However, Brusco et al state</w:t>
      </w:r>
      <w:r w:rsidR="00A44C6A" w:rsidRPr="00731632">
        <w:rPr>
          <w:rFonts w:cs="Calibri"/>
          <w:iCs/>
          <w:color w:val="000000"/>
          <w:szCs w:val="20"/>
        </w:rPr>
        <w:t>d</w:t>
      </w:r>
      <w:r w:rsidR="002E69BE" w:rsidRPr="00731632">
        <w:rPr>
          <w:rFonts w:cs="Calibri"/>
          <w:iCs/>
          <w:color w:val="000000"/>
          <w:szCs w:val="20"/>
        </w:rPr>
        <w:t xml:space="preserve"> that respiratory support costs have been incorporated into the general ward and ICU costs for each admission.</w:t>
      </w:r>
      <w:r w:rsidR="008C418E" w:rsidRPr="00731632">
        <w:rPr>
          <w:rFonts w:cs="Calibri"/>
          <w:iCs/>
          <w:color w:val="000000"/>
          <w:szCs w:val="20"/>
        </w:rPr>
        <w:t xml:space="preserve"> </w:t>
      </w:r>
      <w:r w:rsidR="008C418E" w:rsidRPr="009A482D">
        <w:rPr>
          <w:rFonts w:cs="Calibri"/>
          <w:iCs/>
          <w:color w:val="000000"/>
          <w:szCs w:val="20"/>
        </w:rPr>
        <w:t xml:space="preserve">The pre-PBAC response </w:t>
      </w:r>
      <w:r w:rsidR="008C418E" w:rsidRPr="009A482D">
        <w:rPr>
          <w:rFonts w:cstheme="minorBidi"/>
        </w:rPr>
        <w:t xml:space="preserve">confirmed that mechanical ventilation costs were included in the study by Brusco et al, however maintained that it was </w:t>
      </w:r>
      <w:r w:rsidR="008C418E" w:rsidRPr="009A482D">
        <w:rPr>
          <w:rFonts w:cs="Calibri"/>
          <w:iCs/>
          <w:color w:val="000000"/>
          <w:szCs w:val="20"/>
        </w:rPr>
        <w:t>appropriate to add further costs for mechanical ventilation in the model</w:t>
      </w:r>
      <w:r w:rsidR="008C418E" w:rsidRPr="00DA4673">
        <w:rPr>
          <w:rFonts w:cs="Calibri"/>
          <w:iCs/>
          <w:color w:val="000000"/>
          <w:szCs w:val="20"/>
        </w:rPr>
        <w:t>.</w:t>
      </w:r>
      <w:r w:rsidR="003E1422">
        <w:rPr>
          <w:rFonts w:cs="Calibri"/>
          <w:iCs/>
          <w:color w:val="000000"/>
          <w:szCs w:val="20"/>
        </w:rPr>
        <w:t xml:space="preserve"> </w:t>
      </w:r>
      <w:r w:rsidR="00654C68" w:rsidRPr="00731632">
        <w:rPr>
          <w:rFonts w:cs="Calibri"/>
          <w:iCs/>
          <w:color w:val="000000"/>
          <w:szCs w:val="20"/>
        </w:rPr>
        <w:t xml:space="preserve">The </w:t>
      </w:r>
      <w:r w:rsidR="008C418E" w:rsidRPr="00731632">
        <w:rPr>
          <w:rFonts w:cs="Calibri"/>
          <w:iCs/>
          <w:color w:val="000000"/>
          <w:szCs w:val="20"/>
        </w:rPr>
        <w:t xml:space="preserve">PBAC agreed with the </w:t>
      </w:r>
      <w:r w:rsidR="00654C68" w:rsidRPr="00731632">
        <w:rPr>
          <w:rFonts w:cs="Calibri"/>
          <w:iCs/>
          <w:color w:val="000000"/>
          <w:szCs w:val="20"/>
        </w:rPr>
        <w:t>ESC that the cost of mechanical ventilation should be removed from the model</w:t>
      </w:r>
      <w:r w:rsidR="008C418E" w:rsidRPr="00731632">
        <w:rPr>
          <w:rFonts w:cs="Calibri"/>
          <w:iCs/>
          <w:color w:val="000000"/>
          <w:szCs w:val="20"/>
        </w:rPr>
        <w:t xml:space="preserve"> as the submission’s approach double</w:t>
      </w:r>
      <w:r w:rsidR="006753C1" w:rsidRPr="00731632">
        <w:rPr>
          <w:rFonts w:cs="Calibri"/>
          <w:iCs/>
          <w:color w:val="000000"/>
          <w:szCs w:val="20"/>
        </w:rPr>
        <w:noBreakHyphen/>
      </w:r>
      <w:r w:rsidR="008C418E" w:rsidRPr="00731632">
        <w:rPr>
          <w:rFonts w:cs="Calibri"/>
          <w:iCs/>
          <w:color w:val="000000"/>
          <w:szCs w:val="20"/>
        </w:rPr>
        <w:t>counted these costs</w:t>
      </w:r>
      <w:r w:rsidR="00654C68" w:rsidRPr="00731632">
        <w:rPr>
          <w:rFonts w:cs="Calibri"/>
          <w:iCs/>
          <w:color w:val="000000"/>
          <w:szCs w:val="20"/>
        </w:rPr>
        <w:t>.</w:t>
      </w:r>
      <w:bookmarkEnd w:id="86"/>
    </w:p>
    <w:p w14:paraId="72423076" w14:textId="139B90E9" w:rsidR="00013DF7" w:rsidRPr="00731632" w:rsidRDefault="004E16D7" w:rsidP="00DF53E4">
      <w:pPr>
        <w:pStyle w:val="3-BodyText"/>
        <w:rPr>
          <w:iCs/>
          <w:color w:val="000000" w:themeColor="text1"/>
        </w:rPr>
      </w:pPr>
      <w:bookmarkStart w:id="87" w:name="_Ref173504649"/>
      <w:r w:rsidRPr="00731632">
        <w:rPr>
          <w:iCs/>
          <w:color w:val="000000" w:themeColor="text1"/>
        </w:rPr>
        <w:t xml:space="preserve">In general, Brusco et al 2022 would have been </w:t>
      </w:r>
      <w:r w:rsidR="00ED1FB0" w:rsidRPr="00731632">
        <w:rPr>
          <w:iCs/>
          <w:color w:val="000000" w:themeColor="text1"/>
        </w:rPr>
        <w:t xml:space="preserve">a </w:t>
      </w:r>
      <w:r w:rsidRPr="00731632">
        <w:rPr>
          <w:iCs/>
          <w:color w:val="000000" w:themeColor="text1"/>
        </w:rPr>
        <w:t xml:space="preserve">simpler source of costs for all hospitalisations, because it already includes all costs for an average admission, including ventilation. The PSCR states that costs were disaggregated so that they could be applied separately to </w:t>
      </w:r>
      <w:r w:rsidR="00B63F4A" w:rsidRPr="00731632">
        <w:rPr>
          <w:iCs/>
          <w:color w:val="000000" w:themeColor="text1"/>
        </w:rPr>
        <w:t>individuals</w:t>
      </w:r>
      <w:r w:rsidRPr="00731632">
        <w:rPr>
          <w:iCs/>
          <w:color w:val="000000" w:themeColor="text1"/>
        </w:rPr>
        <w:t xml:space="preserve"> who experience different health states. However, the costs in Brusco et al represent the total cost of hospitalisation for the average patient (which includes ambulance costs, ED costs, ICU costs, ventilation costs and ward costs). Therefore, the only health state required for costs would be hospitalisation.</w:t>
      </w:r>
      <w:r w:rsidR="00013DF7" w:rsidRPr="00731632">
        <w:rPr>
          <w:iCs/>
          <w:color w:val="000000" w:themeColor="text1"/>
        </w:rPr>
        <w:t xml:space="preserve"> The PBAC noted ESC’s advice in paragraph </w:t>
      </w:r>
      <w:r w:rsidR="00013DF7" w:rsidRPr="00731632">
        <w:rPr>
          <w:iCs/>
          <w:color w:val="000000" w:themeColor="text1"/>
        </w:rPr>
        <w:fldChar w:fldCharType="begin"/>
      </w:r>
      <w:r w:rsidR="00013DF7" w:rsidRPr="00731632">
        <w:rPr>
          <w:iCs/>
          <w:color w:val="000000" w:themeColor="text1"/>
        </w:rPr>
        <w:instrText xml:space="preserve"> REF _Ref172736975 \r \h </w:instrText>
      </w:r>
      <w:r w:rsidR="00013DF7" w:rsidRPr="00731632">
        <w:rPr>
          <w:iCs/>
          <w:color w:val="000000" w:themeColor="text1"/>
        </w:rPr>
      </w:r>
      <w:r w:rsidR="00013DF7" w:rsidRPr="00731632">
        <w:rPr>
          <w:iCs/>
          <w:color w:val="000000" w:themeColor="text1"/>
        </w:rPr>
        <w:fldChar w:fldCharType="separate"/>
      </w:r>
      <w:r w:rsidR="00D770BB">
        <w:rPr>
          <w:iCs/>
          <w:color w:val="000000" w:themeColor="text1"/>
        </w:rPr>
        <w:t>6.70</w:t>
      </w:r>
      <w:r w:rsidR="00013DF7" w:rsidRPr="00731632">
        <w:rPr>
          <w:iCs/>
          <w:color w:val="000000" w:themeColor="text1"/>
        </w:rPr>
        <w:fldChar w:fldCharType="end"/>
      </w:r>
      <w:r w:rsidR="00013DF7" w:rsidRPr="00731632">
        <w:rPr>
          <w:iCs/>
          <w:color w:val="000000" w:themeColor="text1"/>
        </w:rPr>
        <w:t xml:space="preserve"> that </w:t>
      </w:r>
      <w:r w:rsidR="00013DF7" w:rsidRPr="00731632">
        <w:rPr>
          <w:rFonts w:cs="Calibri"/>
          <w:iCs/>
          <w:color w:val="000000"/>
          <w:szCs w:val="20"/>
        </w:rPr>
        <w:t xml:space="preserve">an analysis that assumed a proportion of </w:t>
      </w:r>
      <w:r w:rsidR="00B63F4A" w:rsidRPr="00731632">
        <w:rPr>
          <w:rFonts w:cs="Calibri"/>
          <w:iCs/>
          <w:color w:val="000000"/>
          <w:szCs w:val="20"/>
        </w:rPr>
        <w:t>individuals</w:t>
      </w:r>
      <w:r w:rsidR="00013DF7" w:rsidRPr="00731632">
        <w:rPr>
          <w:rFonts w:cs="Calibri"/>
          <w:iCs/>
          <w:color w:val="000000"/>
          <w:szCs w:val="20"/>
        </w:rPr>
        <w:t xml:space="preserve"> would be readmitted would be informative, and noted that a rate of 13% could be supported based on the study by Choi et al (2021).</w:t>
      </w:r>
      <w:bookmarkEnd w:id="87"/>
    </w:p>
    <w:p w14:paraId="1BFE2590" w14:textId="53ACAA36" w:rsidR="00EE2FBE" w:rsidRPr="00731632" w:rsidRDefault="00EE2FBE" w:rsidP="00DF53E4">
      <w:pPr>
        <w:pStyle w:val="3-BodyText"/>
        <w:rPr>
          <w:color w:val="000000" w:themeColor="text1"/>
        </w:rPr>
      </w:pPr>
      <w:r w:rsidRPr="00731632">
        <w:rPr>
          <w:color w:val="000000" w:themeColor="text1"/>
        </w:rPr>
        <w:t>The costs associated with managing 1 year of asthma</w:t>
      </w:r>
      <w:r w:rsidR="00F677B5" w:rsidRPr="00731632">
        <w:rPr>
          <w:color w:val="000000" w:themeColor="text1"/>
        </w:rPr>
        <w:t xml:space="preserve"> were </w:t>
      </w:r>
      <w:r w:rsidRPr="00731632">
        <w:rPr>
          <w:color w:val="000000" w:themeColor="text1"/>
        </w:rPr>
        <w:t xml:space="preserve">estimated using an AR-DRG (E69B – bronchitis and asthma, minor complexity). </w:t>
      </w:r>
      <w:r w:rsidRPr="00731632">
        <w:rPr>
          <w:iCs/>
          <w:color w:val="000000" w:themeColor="text1"/>
        </w:rPr>
        <w:t xml:space="preserve">The use of this source </w:t>
      </w:r>
      <w:r w:rsidR="00A44C6A" w:rsidRPr="00731632">
        <w:rPr>
          <w:iCs/>
          <w:color w:val="000000" w:themeColor="text1"/>
        </w:rPr>
        <w:t xml:space="preserve">was </w:t>
      </w:r>
      <w:r w:rsidRPr="00731632">
        <w:rPr>
          <w:iCs/>
          <w:color w:val="000000" w:themeColor="text1"/>
        </w:rPr>
        <w:t xml:space="preserve">not justified in the submission. </w:t>
      </w:r>
      <w:r w:rsidR="00D51627" w:rsidRPr="00731632">
        <w:rPr>
          <w:iCs/>
          <w:color w:val="000000" w:themeColor="text1"/>
        </w:rPr>
        <w:t>The evaluation considered i</w:t>
      </w:r>
      <w:r w:rsidRPr="00731632">
        <w:rPr>
          <w:iCs/>
          <w:color w:val="000000" w:themeColor="text1"/>
        </w:rPr>
        <w:t xml:space="preserve">t </w:t>
      </w:r>
      <w:r w:rsidR="00D51627" w:rsidRPr="00731632">
        <w:rPr>
          <w:iCs/>
          <w:color w:val="000000" w:themeColor="text1"/>
        </w:rPr>
        <w:t>to be</w:t>
      </w:r>
      <w:r w:rsidRPr="00731632">
        <w:rPr>
          <w:iCs/>
          <w:color w:val="000000" w:themeColor="text1"/>
        </w:rPr>
        <w:t xml:space="preserve"> unclear how a single hospitalised episode</w:t>
      </w:r>
      <w:r w:rsidR="00F677B5" w:rsidRPr="00731632">
        <w:rPr>
          <w:iCs/>
          <w:color w:val="000000" w:themeColor="text1"/>
        </w:rPr>
        <w:t xml:space="preserve"> was </w:t>
      </w:r>
      <w:r w:rsidRPr="00731632">
        <w:rPr>
          <w:iCs/>
          <w:color w:val="000000" w:themeColor="text1"/>
        </w:rPr>
        <w:t xml:space="preserve">related to the management of asthma for a year. </w:t>
      </w:r>
    </w:p>
    <w:p w14:paraId="2A03518B" w14:textId="75822813" w:rsidR="007A68CE" w:rsidRPr="00731632" w:rsidRDefault="00EE2FBE" w:rsidP="00DF53E4">
      <w:pPr>
        <w:pStyle w:val="3-BodyText"/>
        <w:rPr>
          <w:color w:val="000000" w:themeColor="text1"/>
        </w:rPr>
      </w:pPr>
      <w:r w:rsidRPr="00731632">
        <w:rPr>
          <w:color w:val="000000" w:themeColor="text1"/>
        </w:rPr>
        <w:t>The costs associated with managing recurrent wheezing</w:t>
      </w:r>
      <w:r w:rsidR="00F677B5" w:rsidRPr="00731632">
        <w:rPr>
          <w:color w:val="000000" w:themeColor="text1"/>
        </w:rPr>
        <w:t xml:space="preserve"> were </w:t>
      </w:r>
      <w:r w:rsidRPr="00731632">
        <w:rPr>
          <w:color w:val="000000" w:themeColor="text1"/>
        </w:rPr>
        <w:t>sourced from a cost-effectiveness study of RSV prevention strategies in Norway</w:t>
      </w:r>
      <w:r w:rsidRPr="00731632">
        <w:rPr>
          <w:rStyle w:val="FootnoteReference"/>
          <w:color w:val="000000" w:themeColor="text1"/>
        </w:rPr>
        <w:footnoteReference w:id="30"/>
      </w:r>
      <w:r w:rsidRPr="00731632">
        <w:rPr>
          <w:color w:val="000000" w:themeColor="text1"/>
        </w:rPr>
        <w:t xml:space="preserve">. </w:t>
      </w:r>
      <w:r w:rsidR="00725DEF" w:rsidRPr="00731632">
        <w:rPr>
          <w:color w:val="000000" w:themeColor="text1"/>
        </w:rPr>
        <w:t xml:space="preserve">The evaluation noted that </w:t>
      </w:r>
      <w:r w:rsidR="00725DEF" w:rsidRPr="00731632">
        <w:rPr>
          <w:iCs/>
          <w:color w:val="000000" w:themeColor="text1"/>
        </w:rPr>
        <w:t>t</w:t>
      </w:r>
      <w:r w:rsidRPr="00731632">
        <w:rPr>
          <w:iCs/>
          <w:color w:val="000000" w:themeColor="text1"/>
        </w:rPr>
        <w:t>he cost of managing recurrent wheezing in the Norwegian economic evaluation</w:t>
      </w:r>
      <w:r w:rsidR="00F677B5" w:rsidRPr="00731632">
        <w:rPr>
          <w:iCs/>
          <w:color w:val="000000" w:themeColor="text1"/>
        </w:rPr>
        <w:t xml:space="preserve"> was </w:t>
      </w:r>
      <w:r w:rsidRPr="00731632">
        <w:rPr>
          <w:iCs/>
          <w:color w:val="000000" w:themeColor="text1"/>
        </w:rPr>
        <w:t xml:space="preserve">stated to be based on 5.5 GP visits and one infant salbutamol inhaler. </w:t>
      </w:r>
    </w:p>
    <w:p w14:paraId="44B1674C" w14:textId="1EE9FE92" w:rsidR="00EE2FBE" w:rsidRPr="00731632" w:rsidRDefault="00EE2FBE" w:rsidP="00EE2FBE">
      <w:pPr>
        <w:pStyle w:val="3-BodyText"/>
        <w:rPr>
          <w:color w:val="000000" w:themeColor="text1"/>
        </w:rPr>
      </w:pPr>
      <w:r w:rsidRPr="00731632">
        <w:rPr>
          <w:iCs/>
          <w:color w:val="000000" w:themeColor="text1"/>
        </w:rPr>
        <w:t>The</w:t>
      </w:r>
      <w:r w:rsidR="00725DEF" w:rsidRPr="00731632">
        <w:rPr>
          <w:iCs/>
          <w:color w:val="000000" w:themeColor="text1"/>
        </w:rPr>
        <w:t xml:space="preserve"> evaluation considered that</w:t>
      </w:r>
      <w:r w:rsidRPr="00731632">
        <w:rPr>
          <w:iCs/>
          <w:color w:val="000000" w:themeColor="text1"/>
        </w:rPr>
        <w:t xml:space="preserve"> </w:t>
      </w:r>
      <w:r w:rsidR="007A68CE" w:rsidRPr="00731632">
        <w:rPr>
          <w:iCs/>
          <w:color w:val="000000" w:themeColor="text1"/>
        </w:rPr>
        <w:t xml:space="preserve">the </w:t>
      </w:r>
      <w:r w:rsidRPr="00731632">
        <w:rPr>
          <w:iCs/>
          <w:color w:val="000000" w:themeColor="text1"/>
        </w:rPr>
        <w:t xml:space="preserve">submission’s model comparing nirsevimab with standard of care has multiple highly uncertain inputs. In many cases, applying alternative estimates results in large impacts on the model results. Key drivers of the modelled </w:t>
      </w:r>
      <w:r w:rsidR="007722A7" w:rsidRPr="00731632">
        <w:rPr>
          <w:iCs/>
          <w:color w:val="000000" w:themeColor="text1"/>
        </w:rPr>
        <w:t>ICER</w:t>
      </w:r>
      <w:r w:rsidRPr="00731632">
        <w:rPr>
          <w:iCs/>
          <w:color w:val="000000" w:themeColor="text1"/>
        </w:rPr>
        <w:t xml:space="preserve"> are provided in </w:t>
      </w:r>
      <w:r w:rsidRPr="00731632">
        <w:rPr>
          <w:iCs/>
          <w:color w:val="000000" w:themeColor="text1"/>
        </w:rPr>
        <w:fldChar w:fldCharType="begin"/>
      </w:r>
      <w:r w:rsidRPr="00731632">
        <w:rPr>
          <w:iCs/>
          <w:color w:val="000000" w:themeColor="text1"/>
        </w:rPr>
        <w:instrText xml:space="preserve"> REF _Ref166502326 \h  \* MERGEFORMAT </w:instrText>
      </w:r>
      <w:r w:rsidRPr="00731632">
        <w:rPr>
          <w:iCs/>
          <w:color w:val="000000" w:themeColor="text1"/>
        </w:rPr>
      </w:r>
      <w:r w:rsidRPr="00731632">
        <w:rPr>
          <w:iCs/>
          <w:color w:val="000000" w:themeColor="text1"/>
        </w:rPr>
        <w:fldChar w:fldCharType="separate"/>
      </w:r>
      <w:r w:rsidR="00D770BB" w:rsidRPr="00D770BB">
        <w:rPr>
          <w:iCs/>
        </w:rPr>
        <w:t>Table 19</w:t>
      </w:r>
      <w:r w:rsidRPr="00731632">
        <w:rPr>
          <w:iCs/>
          <w:color w:val="000000" w:themeColor="text1"/>
        </w:rPr>
        <w:fldChar w:fldCharType="end"/>
      </w:r>
      <w:r w:rsidRPr="00731632">
        <w:rPr>
          <w:iCs/>
          <w:color w:val="000000" w:themeColor="text1"/>
        </w:rPr>
        <w:t>.</w:t>
      </w:r>
    </w:p>
    <w:p w14:paraId="64D49710" w14:textId="131C3C3D" w:rsidR="00EE2FBE" w:rsidRPr="00731632" w:rsidRDefault="00EE2FBE" w:rsidP="00AF4155">
      <w:pPr>
        <w:pStyle w:val="Caption"/>
        <w:widowControl w:val="0"/>
        <w:jc w:val="left"/>
        <w:rPr>
          <w:rStyle w:val="CommentReference"/>
          <w:b/>
          <w:szCs w:val="24"/>
        </w:rPr>
      </w:pPr>
      <w:bookmarkStart w:id="88" w:name="_Ref166502326"/>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19</w:t>
      </w:r>
      <w:r w:rsidR="00BD1FC6" w:rsidRPr="00731632">
        <w:fldChar w:fldCharType="end"/>
      </w:r>
      <w:bookmarkEnd w:id="88"/>
      <w:r w:rsidRPr="00731632">
        <w:t>:</w:t>
      </w:r>
      <w:r w:rsidRPr="00731632">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drivers of the model"/>
      </w:tblPr>
      <w:tblGrid>
        <w:gridCol w:w="1414"/>
        <w:gridCol w:w="2124"/>
        <w:gridCol w:w="5479"/>
      </w:tblGrid>
      <w:tr w:rsidR="00EE2FBE" w:rsidRPr="00731632" w14:paraId="0FD4EBFB" w14:textId="77777777" w:rsidTr="00866F91">
        <w:trPr>
          <w:tblHeader/>
        </w:trPr>
        <w:tc>
          <w:tcPr>
            <w:tcW w:w="784" w:type="pct"/>
            <w:shd w:val="clear" w:color="auto" w:fill="auto"/>
            <w:vAlign w:val="center"/>
          </w:tcPr>
          <w:p w14:paraId="4AB43374" w14:textId="77777777" w:rsidR="00EE2FBE" w:rsidRPr="00731632" w:rsidRDefault="00EE2FBE" w:rsidP="00AF4155">
            <w:pPr>
              <w:pStyle w:val="In-tableHeading"/>
              <w:keepLines/>
              <w:widowControl w:val="0"/>
              <w:jc w:val="center"/>
              <w:rPr>
                <w:szCs w:val="20"/>
                <w:lang w:val="en-AU"/>
              </w:rPr>
            </w:pPr>
            <w:r w:rsidRPr="00731632">
              <w:rPr>
                <w:rFonts w:cs="Calibri"/>
                <w:color w:val="000000"/>
                <w:szCs w:val="20"/>
                <w:lang w:val="en-AU"/>
              </w:rPr>
              <w:t>Description</w:t>
            </w:r>
          </w:p>
        </w:tc>
        <w:tc>
          <w:tcPr>
            <w:tcW w:w="1178" w:type="pct"/>
            <w:shd w:val="clear" w:color="auto" w:fill="auto"/>
            <w:vAlign w:val="center"/>
          </w:tcPr>
          <w:p w14:paraId="7E26BF88" w14:textId="77777777" w:rsidR="00EE2FBE" w:rsidRPr="00731632" w:rsidRDefault="00EE2FBE" w:rsidP="00AF4155">
            <w:pPr>
              <w:pStyle w:val="In-tableHeading"/>
              <w:keepLines/>
              <w:widowControl w:val="0"/>
              <w:jc w:val="center"/>
              <w:rPr>
                <w:szCs w:val="20"/>
                <w:lang w:val="en-AU"/>
              </w:rPr>
            </w:pPr>
            <w:r w:rsidRPr="00731632">
              <w:rPr>
                <w:rFonts w:cs="Calibri"/>
                <w:color w:val="000000"/>
                <w:szCs w:val="20"/>
                <w:lang w:val="en-AU"/>
              </w:rPr>
              <w:t>Method/value</w:t>
            </w:r>
          </w:p>
        </w:tc>
        <w:tc>
          <w:tcPr>
            <w:tcW w:w="3038" w:type="pct"/>
            <w:shd w:val="clear" w:color="auto" w:fill="auto"/>
            <w:vAlign w:val="center"/>
          </w:tcPr>
          <w:p w14:paraId="2F8EAECE" w14:textId="77777777" w:rsidR="00EE2FBE" w:rsidRPr="00731632" w:rsidRDefault="00EE2FBE" w:rsidP="00AF4155">
            <w:pPr>
              <w:pStyle w:val="In-tableHeading"/>
              <w:keepLines/>
              <w:widowControl w:val="0"/>
              <w:rPr>
                <w:iCs/>
                <w:szCs w:val="20"/>
                <w:lang w:val="en-AU"/>
              </w:rPr>
            </w:pPr>
            <w:r w:rsidRPr="00731632">
              <w:rPr>
                <w:rFonts w:cs="Calibri"/>
                <w:iCs/>
                <w:color w:val="000000"/>
                <w:szCs w:val="20"/>
                <w:lang w:val="en-AU"/>
              </w:rPr>
              <w:t>Impact</w:t>
            </w:r>
          </w:p>
        </w:tc>
      </w:tr>
      <w:tr w:rsidR="00EE2FBE" w:rsidRPr="00731632" w14:paraId="2EB75B86" w14:textId="77777777" w:rsidTr="00866F91">
        <w:tc>
          <w:tcPr>
            <w:tcW w:w="784" w:type="pct"/>
            <w:shd w:val="clear" w:color="auto" w:fill="auto"/>
            <w:vAlign w:val="center"/>
          </w:tcPr>
          <w:p w14:paraId="766DB92C" w14:textId="3138AA36" w:rsidR="00EE2FBE" w:rsidRPr="00731632" w:rsidRDefault="00EE2FBE" w:rsidP="00AF4155">
            <w:pPr>
              <w:pStyle w:val="TableText0"/>
              <w:keepLines/>
              <w:widowControl w:val="0"/>
              <w:rPr>
                <w:szCs w:val="20"/>
              </w:rPr>
            </w:pPr>
            <w:r w:rsidRPr="00731632">
              <w:rPr>
                <w:rFonts w:cs="Calibri"/>
                <w:color w:val="000000"/>
                <w:szCs w:val="20"/>
              </w:rPr>
              <w:t xml:space="preserve">Incidence of </w:t>
            </w:r>
            <w:r w:rsidR="0052781F" w:rsidRPr="00731632">
              <w:rPr>
                <w:rFonts w:cs="Calibri"/>
                <w:color w:val="000000"/>
                <w:szCs w:val="20"/>
              </w:rPr>
              <w:t>MA RSV</w:t>
            </w:r>
          </w:p>
        </w:tc>
        <w:tc>
          <w:tcPr>
            <w:tcW w:w="1178" w:type="pct"/>
            <w:shd w:val="clear" w:color="auto" w:fill="auto"/>
            <w:vAlign w:val="center"/>
          </w:tcPr>
          <w:p w14:paraId="6A65C7A4" w14:textId="77777777" w:rsidR="00EE2FBE" w:rsidRPr="00731632" w:rsidRDefault="00EE2FBE" w:rsidP="00AF4155">
            <w:pPr>
              <w:pStyle w:val="TableText0"/>
              <w:keepLines/>
              <w:widowControl w:val="0"/>
              <w:rPr>
                <w:szCs w:val="20"/>
              </w:rPr>
            </w:pPr>
            <w:r w:rsidRPr="00731632">
              <w:rPr>
                <w:rFonts w:cs="Calibri"/>
                <w:color w:val="000000"/>
                <w:szCs w:val="20"/>
              </w:rPr>
              <w:t>10.8% from MELODY study</w:t>
            </w:r>
          </w:p>
        </w:tc>
        <w:tc>
          <w:tcPr>
            <w:tcW w:w="3038" w:type="pct"/>
            <w:shd w:val="clear" w:color="auto" w:fill="auto"/>
            <w:vAlign w:val="center"/>
          </w:tcPr>
          <w:p w14:paraId="7D72EBD0" w14:textId="5F4CEA39" w:rsidR="00EE2FBE" w:rsidRPr="00731632" w:rsidRDefault="00EE2FBE" w:rsidP="00AF4155">
            <w:pPr>
              <w:pStyle w:val="TableText0"/>
              <w:keepLines/>
              <w:widowControl w:val="0"/>
              <w:rPr>
                <w:rFonts w:cs="Arial"/>
                <w:iCs/>
                <w:color w:val="000000"/>
                <w:szCs w:val="20"/>
              </w:rPr>
            </w:pPr>
            <w:r w:rsidRPr="00731632">
              <w:rPr>
                <w:rFonts w:cs="Arial"/>
                <w:iCs/>
                <w:color w:val="000000"/>
                <w:szCs w:val="20"/>
              </w:rPr>
              <w:t>Changing this value by 5% (e.g. to 11.34% or to 10.26% annual incidence), and linking the incidence rate to the hospitalisation rate, results in a 50%-60% change in the ICER of the corrected submission base case. If the incidence</w:t>
            </w:r>
            <w:r w:rsidR="00F677B5" w:rsidRPr="00731632">
              <w:rPr>
                <w:rFonts w:cs="Arial"/>
                <w:iCs/>
                <w:color w:val="000000"/>
                <w:szCs w:val="20"/>
              </w:rPr>
              <w:t xml:space="preserve"> was </w:t>
            </w:r>
            <w:r w:rsidRPr="00731632">
              <w:rPr>
                <w:rFonts w:cs="Arial"/>
                <w:iCs/>
                <w:color w:val="000000"/>
                <w:szCs w:val="20"/>
              </w:rPr>
              <w:t>varied, but the hospitalisation rate remains at 4.2% of all infants, the effect on the model</w:t>
            </w:r>
            <w:r w:rsidR="00F677B5" w:rsidRPr="00731632">
              <w:rPr>
                <w:rFonts w:cs="Arial"/>
                <w:iCs/>
                <w:color w:val="000000"/>
                <w:szCs w:val="20"/>
              </w:rPr>
              <w:t xml:space="preserve"> was </w:t>
            </w:r>
            <w:r w:rsidRPr="00731632">
              <w:rPr>
                <w:rFonts w:cs="Arial"/>
                <w:iCs/>
                <w:color w:val="000000"/>
                <w:szCs w:val="20"/>
              </w:rPr>
              <w:t xml:space="preserve">substantially less. This indicates that the impact of greater </w:t>
            </w:r>
            <w:r w:rsidR="0052781F" w:rsidRPr="00731632">
              <w:rPr>
                <w:rFonts w:cs="Arial"/>
                <w:iCs/>
                <w:color w:val="000000"/>
                <w:szCs w:val="20"/>
              </w:rPr>
              <w:t>MA RSV</w:t>
            </w:r>
            <w:r w:rsidRPr="00731632">
              <w:rPr>
                <w:rFonts w:cs="Arial"/>
                <w:iCs/>
                <w:color w:val="000000"/>
                <w:szCs w:val="20"/>
              </w:rPr>
              <w:t xml:space="preserve"> notifications may be minor if this solely reflects a change in GP attendances and</w:t>
            </w:r>
            <w:r w:rsidR="00F677B5" w:rsidRPr="00731632">
              <w:rPr>
                <w:rFonts w:cs="Arial"/>
                <w:iCs/>
                <w:color w:val="000000"/>
                <w:szCs w:val="20"/>
              </w:rPr>
              <w:t xml:space="preserve"> was </w:t>
            </w:r>
            <w:r w:rsidRPr="00731632">
              <w:rPr>
                <w:rFonts w:cs="Arial"/>
                <w:iCs/>
                <w:color w:val="000000"/>
                <w:szCs w:val="20"/>
              </w:rPr>
              <w:t xml:space="preserve">not linked to hospitalisations. However, more or less severe RSV seasons that result in a decrease or increase in hospitalisations will have a large impact on the cost-effectiveness of nirsevimab. </w:t>
            </w:r>
          </w:p>
          <w:p w14:paraId="5DA8C5C1" w14:textId="21375F02" w:rsidR="00E65D5D" w:rsidRPr="00731632" w:rsidRDefault="00E65D5D" w:rsidP="00AF4155">
            <w:pPr>
              <w:pStyle w:val="TableText0"/>
              <w:keepLines/>
              <w:widowControl w:val="0"/>
              <w:rPr>
                <w:iCs/>
                <w:szCs w:val="20"/>
              </w:rPr>
            </w:pPr>
            <w:r w:rsidRPr="00731632">
              <w:rPr>
                <w:iCs/>
                <w:color w:val="000000" w:themeColor="text1"/>
              </w:rPr>
              <w:t>The ESC noted that the estimated rate of RSV hospitalisations (4.2%) was high in comparison with published estimates, such as Saravanos 2019 (1.7%) and Gebremedhin 2022 (2.33% based on cases aged&lt;1 year)</w:t>
            </w:r>
            <w:r w:rsidR="006753C1" w:rsidRPr="00731632">
              <w:rPr>
                <w:iCs/>
                <w:color w:val="000000" w:themeColor="text1"/>
              </w:rPr>
              <w:t xml:space="preserve"> (s</w:t>
            </w:r>
            <w:r w:rsidR="0055266B" w:rsidRPr="00731632">
              <w:rPr>
                <w:iCs/>
                <w:color w:val="000000" w:themeColor="text1"/>
              </w:rPr>
              <w:t xml:space="preserve">ee paragraph </w:t>
            </w:r>
            <w:r w:rsidR="0055266B" w:rsidRPr="00731632">
              <w:rPr>
                <w:iCs/>
                <w:color w:val="000000" w:themeColor="text1"/>
              </w:rPr>
              <w:fldChar w:fldCharType="begin"/>
            </w:r>
            <w:r w:rsidR="0055266B" w:rsidRPr="00731632">
              <w:rPr>
                <w:iCs/>
                <w:color w:val="000000" w:themeColor="text1"/>
              </w:rPr>
              <w:instrText xml:space="preserve"> REF _Ref172735429 \r \h </w:instrText>
            </w:r>
            <w:r w:rsidR="0055266B" w:rsidRPr="00731632">
              <w:rPr>
                <w:iCs/>
                <w:color w:val="000000" w:themeColor="text1"/>
              </w:rPr>
            </w:r>
            <w:r w:rsidR="0055266B" w:rsidRPr="00731632">
              <w:rPr>
                <w:iCs/>
                <w:color w:val="000000" w:themeColor="text1"/>
              </w:rPr>
              <w:fldChar w:fldCharType="separate"/>
            </w:r>
            <w:r w:rsidR="00D770BB">
              <w:rPr>
                <w:iCs/>
                <w:color w:val="000000" w:themeColor="text1"/>
              </w:rPr>
              <w:t>6.55</w:t>
            </w:r>
            <w:r w:rsidR="0055266B" w:rsidRPr="00731632">
              <w:rPr>
                <w:iCs/>
                <w:color w:val="000000" w:themeColor="text1"/>
              </w:rPr>
              <w:fldChar w:fldCharType="end"/>
            </w:r>
            <w:r w:rsidR="006753C1" w:rsidRPr="00731632">
              <w:rPr>
                <w:iCs/>
                <w:color w:val="000000" w:themeColor="text1"/>
              </w:rPr>
              <w:t>)</w:t>
            </w:r>
            <w:r w:rsidR="0055266B" w:rsidRPr="00731632">
              <w:rPr>
                <w:iCs/>
                <w:color w:val="000000" w:themeColor="text1"/>
              </w:rPr>
              <w:t>.</w:t>
            </w:r>
          </w:p>
        </w:tc>
      </w:tr>
      <w:tr w:rsidR="00EE2FBE" w:rsidRPr="00731632" w14:paraId="54D1C969" w14:textId="77777777" w:rsidTr="00866F91">
        <w:tc>
          <w:tcPr>
            <w:tcW w:w="784" w:type="pct"/>
            <w:shd w:val="clear" w:color="auto" w:fill="auto"/>
            <w:vAlign w:val="center"/>
          </w:tcPr>
          <w:p w14:paraId="4B3EF86C" w14:textId="77777777" w:rsidR="00EE2FBE" w:rsidRPr="00731632" w:rsidRDefault="00EE2FBE" w:rsidP="00866F91">
            <w:pPr>
              <w:pStyle w:val="TableText0"/>
              <w:keepNext w:val="0"/>
              <w:widowControl w:val="0"/>
              <w:rPr>
                <w:szCs w:val="20"/>
              </w:rPr>
            </w:pPr>
            <w:r w:rsidRPr="00731632">
              <w:rPr>
                <w:rFonts w:cs="Calibri"/>
                <w:color w:val="000000"/>
                <w:szCs w:val="20"/>
              </w:rPr>
              <w:t>Timing of nirsevimab administration</w:t>
            </w:r>
          </w:p>
        </w:tc>
        <w:tc>
          <w:tcPr>
            <w:tcW w:w="1178" w:type="pct"/>
            <w:shd w:val="clear" w:color="auto" w:fill="auto"/>
            <w:vAlign w:val="center"/>
          </w:tcPr>
          <w:p w14:paraId="49CD31C8" w14:textId="77777777" w:rsidR="00EE2FBE" w:rsidRPr="00731632" w:rsidRDefault="00EE2FBE" w:rsidP="00866F91">
            <w:pPr>
              <w:pStyle w:val="TableText0"/>
              <w:keepNext w:val="0"/>
              <w:widowControl w:val="0"/>
              <w:rPr>
                <w:szCs w:val="20"/>
              </w:rPr>
            </w:pPr>
            <w:r w:rsidRPr="00731632">
              <w:rPr>
                <w:rFonts w:cs="Calibri"/>
                <w:color w:val="000000"/>
                <w:szCs w:val="20"/>
              </w:rPr>
              <w:t>Modelled to be at the beginning of the season, or at birth if in the season.</w:t>
            </w:r>
          </w:p>
        </w:tc>
        <w:tc>
          <w:tcPr>
            <w:tcW w:w="3038" w:type="pct"/>
            <w:shd w:val="clear" w:color="auto" w:fill="auto"/>
            <w:vAlign w:val="center"/>
          </w:tcPr>
          <w:p w14:paraId="5FFBAABC" w14:textId="37B1624A" w:rsidR="00EE2FBE" w:rsidRPr="00731632" w:rsidRDefault="00EE2FBE" w:rsidP="00016D91">
            <w:pPr>
              <w:pStyle w:val="TableText0"/>
              <w:keepNext w:val="0"/>
              <w:widowControl w:val="0"/>
              <w:rPr>
                <w:iCs/>
                <w:szCs w:val="20"/>
              </w:rPr>
            </w:pPr>
            <w:r w:rsidRPr="00731632">
              <w:rPr>
                <w:rFonts w:cs="Calibri"/>
                <w:iCs/>
                <w:color w:val="000000"/>
                <w:szCs w:val="20"/>
              </w:rPr>
              <w:t>High, favours nirsevimab. The model represents (near) optimal timing of nirsevimab administration. This</w:t>
            </w:r>
            <w:r w:rsidR="00F677B5" w:rsidRPr="00731632">
              <w:rPr>
                <w:rFonts w:cs="Calibri"/>
                <w:iCs/>
                <w:color w:val="000000"/>
                <w:szCs w:val="20"/>
              </w:rPr>
              <w:t xml:space="preserve"> was </w:t>
            </w:r>
            <w:r w:rsidRPr="00731632">
              <w:rPr>
                <w:rFonts w:cs="Calibri"/>
                <w:iCs/>
                <w:color w:val="000000"/>
                <w:szCs w:val="20"/>
              </w:rPr>
              <w:t>unlikely to reflect the use of nirsevimab in clinical practice. Delaying the administration by one month in the model, as may occur if the season begins unpredictably, or if parents/carers</w:t>
            </w:r>
            <w:r w:rsidR="00F677B5" w:rsidRPr="00731632">
              <w:rPr>
                <w:rFonts w:cs="Calibri"/>
                <w:iCs/>
                <w:color w:val="000000"/>
                <w:szCs w:val="20"/>
              </w:rPr>
              <w:t xml:space="preserve"> were </w:t>
            </w:r>
            <w:r w:rsidRPr="00731632">
              <w:rPr>
                <w:rFonts w:cs="Calibri"/>
                <w:iCs/>
                <w:color w:val="000000"/>
                <w:szCs w:val="20"/>
              </w:rPr>
              <w:t xml:space="preserve">unable to attend a GP at the optimal time, </w:t>
            </w:r>
            <w:r w:rsidR="0055266B" w:rsidRPr="00731632">
              <w:rPr>
                <w:rFonts w:cs="Calibri"/>
                <w:iCs/>
                <w:color w:val="000000"/>
                <w:szCs w:val="20"/>
              </w:rPr>
              <w:t xml:space="preserve">increased the </w:t>
            </w:r>
            <w:r w:rsidRPr="00731632">
              <w:rPr>
                <w:rFonts w:cs="Calibri"/>
                <w:iCs/>
                <w:color w:val="000000"/>
                <w:szCs w:val="20"/>
              </w:rPr>
              <w:t xml:space="preserve">ICER by more than 75%. </w:t>
            </w:r>
            <w:r w:rsidR="00C00E7E" w:rsidRPr="00731632">
              <w:rPr>
                <w:rFonts w:cs="Calibri"/>
                <w:iCs/>
                <w:color w:val="000000"/>
                <w:szCs w:val="20"/>
              </w:rPr>
              <w:t>The PSCR noted that t</w:t>
            </w:r>
            <w:r w:rsidR="00C00E7E" w:rsidRPr="00731632">
              <w:rPr>
                <w:rFonts w:eastAsia="Times New Roman" w:cs="Segoe UI"/>
                <w:bCs w:val="0"/>
                <w:iCs/>
                <w:szCs w:val="20"/>
              </w:rPr>
              <w:t>he practicality of the timing of nirsevimab administration would be best addressed by Federal and State experts.</w:t>
            </w:r>
            <w:r w:rsidR="008174D6" w:rsidRPr="00731632">
              <w:rPr>
                <w:rFonts w:eastAsia="Times New Roman" w:cs="Segoe UI"/>
                <w:bCs w:val="0"/>
                <w:iCs/>
                <w:szCs w:val="20"/>
              </w:rPr>
              <w:t xml:space="preserve"> </w:t>
            </w:r>
            <w:r w:rsidR="00016D91" w:rsidRPr="00731632">
              <w:rPr>
                <w:rFonts w:eastAsia="Times New Roman" w:cs="Segoe UI"/>
                <w:bCs w:val="0"/>
                <w:iCs/>
                <w:szCs w:val="20"/>
              </w:rPr>
              <w:t>The ESC noted that timing of administration</w:t>
            </w:r>
            <w:r w:rsidR="00F677B5" w:rsidRPr="00731632">
              <w:rPr>
                <w:rFonts w:eastAsia="Times New Roman" w:cs="Segoe UI"/>
                <w:bCs w:val="0"/>
                <w:iCs/>
                <w:szCs w:val="20"/>
              </w:rPr>
              <w:t xml:space="preserve"> was </w:t>
            </w:r>
            <w:r w:rsidR="00016D91" w:rsidRPr="00731632">
              <w:rPr>
                <w:rFonts w:eastAsia="Times New Roman" w:cs="Segoe UI"/>
                <w:bCs w:val="0"/>
                <w:iCs/>
                <w:szCs w:val="20"/>
              </w:rPr>
              <w:t>a key driver of the model, and the ability to map the RSV season in different jurisdictions, and provide advice about the optimal timing of nirsevimab administration will be critical for achieving cost-effectiveness in clinical practice</w:t>
            </w:r>
            <w:r w:rsidR="006753C1" w:rsidRPr="00731632">
              <w:rPr>
                <w:rFonts w:eastAsia="Times New Roman" w:cs="Segoe UI"/>
                <w:bCs w:val="0"/>
                <w:iCs/>
                <w:szCs w:val="20"/>
              </w:rPr>
              <w:t xml:space="preserve"> (s</w:t>
            </w:r>
            <w:r w:rsidR="0055266B" w:rsidRPr="00731632">
              <w:rPr>
                <w:rFonts w:eastAsia="Times New Roman" w:cs="Segoe UI"/>
                <w:bCs w:val="0"/>
                <w:iCs/>
                <w:szCs w:val="20"/>
              </w:rPr>
              <w:t xml:space="preserve">ee paragraph </w:t>
            </w:r>
            <w:r w:rsidR="0055266B" w:rsidRPr="00731632">
              <w:rPr>
                <w:rFonts w:eastAsia="Times New Roman" w:cs="Segoe UI"/>
                <w:bCs w:val="0"/>
                <w:iCs/>
                <w:szCs w:val="20"/>
              </w:rPr>
              <w:fldChar w:fldCharType="begin"/>
            </w:r>
            <w:r w:rsidR="0055266B" w:rsidRPr="00731632">
              <w:rPr>
                <w:rFonts w:eastAsia="Times New Roman" w:cs="Segoe UI"/>
                <w:bCs w:val="0"/>
                <w:iCs/>
                <w:szCs w:val="20"/>
              </w:rPr>
              <w:instrText xml:space="preserve"> REF _Ref172735872 \r \h </w:instrText>
            </w:r>
            <w:r w:rsidR="0055266B" w:rsidRPr="00731632">
              <w:rPr>
                <w:rFonts w:eastAsia="Times New Roman" w:cs="Segoe UI"/>
                <w:bCs w:val="0"/>
                <w:iCs/>
                <w:szCs w:val="20"/>
              </w:rPr>
            </w:r>
            <w:r w:rsidR="0055266B" w:rsidRPr="00731632">
              <w:rPr>
                <w:rFonts w:eastAsia="Times New Roman" w:cs="Segoe UI"/>
                <w:bCs w:val="0"/>
                <w:iCs/>
                <w:szCs w:val="20"/>
              </w:rPr>
              <w:fldChar w:fldCharType="separate"/>
            </w:r>
            <w:r w:rsidR="00D770BB">
              <w:rPr>
                <w:rFonts w:eastAsia="Times New Roman" w:cs="Segoe UI"/>
                <w:bCs w:val="0"/>
                <w:iCs/>
                <w:szCs w:val="20"/>
              </w:rPr>
              <w:t>6.81</w:t>
            </w:r>
            <w:r w:rsidR="0055266B" w:rsidRPr="00731632">
              <w:rPr>
                <w:rFonts w:eastAsia="Times New Roman" w:cs="Segoe UI"/>
                <w:bCs w:val="0"/>
                <w:iCs/>
                <w:szCs w:val="20"/>
              </w:rPr>
              <w:fldChar w:fldCharType="end"/>
            </w:r>
            <w:r w:rsidR="006753C1" w:rsidRPr="00731632">
              <w:rPr>
                <w:rFonts w:eastAsia="Times New Roman" w:cs="Segoe UI"/>
                <w:bCs w:val="0"/>
                <w:iCs/>
                <w:szCs w:val="20"/>
              </w:rPr>
              <w:t>)</w:t>
            </w:r>
            <w:r w:rsidR="0055266B" w:rsidRPr="00731632">
              <w:rPr>
                <w:rFonts w:eastAsia="Times New Roman" w:cs="Segoe UI"/>
                <w:bCs w:val="0"/>
                <w:iCs/>
                <w:szCs w:val="20"/>
              </w:rPr>
              <w:t>.</w:t>
            </w:r>
          </w:p>
        </w:tc>
      </w:tr>
      <w:tr w:rsidR="001A3D9A" w:rsidRPr="00731632" w14:paraId="4E392EAC" w14:textId="77777777" w:rsidTr="00866F91">
        <w:tc>
          <w:tcPr>
            <w:tcW w:w="784" w:type="pct"/>
            <w:shd w:val="clear" w:color="auto" w:fill="auto"/>
            <w:vAlign w:val="center"/>
          </w:tcPr>
          <w:p w14:paraId="46711BD6" w14:textId="602DF2A8" w:rsidR="001A3D9A" w:rsidRPr="00731632" w:rsidRDefault="001A3D9A" w:rsidP="001A3D9A">
            <w:pPr>
              <w:pStyle w:val="TableText0"/>
              <w:keepNext w:val="0"/>
              <w:widowControl w:val="0"/>
              <w:rPr>
                <w:rFonts w:cs="Calibri"/>
                <w:color w:val="000000"/>
                <w:szCs w:val="20"/>
              </w:rPr>
            </w:pPr>
            <w:r w:rsidRPr="00731632">
              <w:rPr>
                <w:rFonts w:cs="Calibri"/>
                <w:color w:val="000000"/>
                <w:szCs w:val="20"/>
              </w:rPr>
              <w:t>Nirsevimab season</w:t>
            </w:r>
          </w:p>
        </w:tc>
        <w:tc>
          <w:tcPr>
            <w:tcW w:w="1178" w:type="pct"/>
            <w:shd w:val="clear" w:color="auto" w:fill="auto"/>
            <w:vAlign w:val="center"/>
          </w:tcPr>
          <w:p w14:paraId="7C45BD80" w14:textId="312BA7A6" w:rsidR="001A3D9A" w:rsidRPr="00731632" w:rsidRDefault="001A3D9A" w:rsidP="001A3D9A">
            <w:pPr>
              <w:pStyle w:val="TableText0"/>
              <w:keepNext w:val="0"/>
              <w:widowControl w:val="0"/>
              <w:rPr>
                <w:rFonts w:cs="Calibri"/>
                <w:color w:val="000000"/>
                <w:szCs w:val="20"/>
              </w:rPr>
            </w:pPr>
            <w:r w:rsidRPr="00731632">
              <w:rPr>
                <w:rFonts w:cs="Calibri"/>
                <w:color w:val="000000"/>
                <w:szCs w:val="20"/>
              </w:rPr>
              <w:t>21% of the Australian population</w:t>
            </w:r>
            <w:r w:rsidR="00F677B5" w:rsidRPr="00731632">
              <w:rPr>
                <w:rFonts w:cs="Calibri"/>
                <w:color w:val="000000"/>
                <w:szCs w:val="20"/>
              </w:rPr>
              <w:t xml:space="preserve"> was </w:t>
            </w:r>
            <w:r w:rsidRPr="00731632">
              <w:rPr>
                <w:rFonts w:cs="Calibri"/>
                <w:color w:val="000000"/>
                <w:szCs w:val="20"/>
              </w:rPr>
              <w:t>assumed to have a Tropical RSV season.</w:t>
            </w:r>
          </w:p>
        </w:tc>
        <w:tc>
          <w:tcPr>
            <w:tcW w:w="3038" w:type="pct"/>
            <w:shd w:val="clear" w:color="auto" w:fill="auto"/>
            <w:vAlign w:val="center"/>
          </w:tcPr>
          <w:p w14:paraId="1F0BF9BB" w14:textId="1E71A79D" w:rsidR="001A3D9A" w:rsidRPr="00731632" w:rsidRDefault="001A3D9A" w:rsidP="001A3D9A">
            <w:pPr>
              <w:pStyle w:val="TableText0"/>
              <w:keepNext w:val="0"/>
              <w:widowControl w:val="0"/>
              <w:rPr>
                <w:rFonts w:cs="Calibri"/>
                <w:iCs/>
                <w:color w:val="000000"/>
                <w:szCs w:val="20"/>
              </w:rPr>
            </w:pPr>
            <w:r w:rsidRPr="00731632">
              <w:rPr>
                <w:rFonts w:cs="Calibri"/>
                <w:iCs/>
                <w:color w:val="000000"/>
                <w:szCs w:val="20"/>
              </w:rPr>
              <w:t>The cost-effectiveness of nirsevimab differs by climate. This</w:t>
            </w:r>
            <w:r w:rsidR="00F677B5" w:rsidRPr="00731632">
              <w:rPr>
                <w:rFonts w:cs="Calibri"/>
                <w:iCs/>
                <w:color w:val="000000"/>
                <w:szCs w:val="20"/>
              </w:rPr>
              <w:t xml:space="preserve"> was </w:t>
            </w:r>
            <w:r w:rsidRPr="00731632">
              <w:rPr>
                <w:rFonts w:cs="Calibri"/>
                <w:iCs/>
                <w:color w:val="000000"/>
                <w:szCs w:val="20"/>
              </w:rPr>
              <w:t>due to the tropical regions having less well-defined RSV seasons. The ICER</w:t>
            </w:r>
            <w:r w:rsidR="00F677B5" w:rsidRPr="00731632">
              <w:rPr>
                <w:rFonts w:cs="Calibri"/>
                <w:iCs/>
                <w:color w:val="000000"/>
                <w:szCs w:val="20"/>
              </w:rPr>
              <w:t xml:space="preserve"> was </w:t>
            </w:r>
            <w:r w:rsidRPr="00731632">
              <w:rPr>
                <w:rFonts w:cs="Calibri"/>
                <w:iCs/>
                <w:color w:val="000000"/>
                <w:szCs w:val="20"/>
              </w:rPr>
              <w:t xml:space="preserve">sensitive to the proportion of individuals in the Tropical region vs Temperate region. </w:t>
            </w:r>
          </w:p>
          <w:p w14:paraId="1A83D2C2" w14:textId="22AD2F80" w:rsidR="001A3D9A" w:rsidRPr="00731632" w:rsidRDefault="001A3D9A" w:rsidP="001A3D9A">
            <w:pPr>
              <w:pStyle w:val="TableText0"/>
              <w:keepNext w:val="0"/>
              <w:widowControl w:val="0"/>
              <w:rPr>
                <w:rFonts w:cs="Calibri"/>
                <w:i/>
                <w:iCs/>
                <w:color w:val="000000"/>
                <w:szCs w:val="20"/>
              </w:rPr>
            </w:pPr>
            <w:r w:rsidRPr="00731632">
              <w:rPr>
                <w:rFonts w:cs="Calibri"/>
                <w:iCs/>
                <w:color w:val="000000"/>
                <w:szCs w:val="20"/>
              </w:rPr>
              <w:t>In addition, if the RSV season</w:t>
            </w:r>
            <w:r w:rsidR="00F677B5" w:rsidRPr="00731632">
              <w:rPr>
                <w:rFonts w:cs="Calibri"/>
                <w:iCs/>
                <w:color w:val="000000"/>
                <w:szCs w:val="20"/>
              </w:rPr>
              <w:t xml:space="preserve"> was </w:t>
            </w:r>
            <w:r w:rsidRPr="00731632">
              <w:rPr>
                <w:rFonts w:cs="Calibri"/>
                <w:iCs/>
                <w:color w:val="000000"/>
                <w:szCs w:val="20"/>
              </w:rPr>
              <w:t>unknown in a jurisdiction, or if the advice for the timing of administration of nirsevimab</w:t>
            </w:r>
            <w:r w:rsidR="00F677B5" w:rsidRPr="00731632">
              <w:rPr>
                <w:rFonts w:cs="Calibri"/>
                <w:iCs/>
                <w:color w:val="000000"/>
                <w:szCs w:val="20"/>
              </w:rPr>
              <w:t xml:space="preserve"> was </w:t>
            </w:r>
            <w:r w:rsidRPr="00731632">
              <w:rPr>
                <w:rFonts w:cs="Calibri"/>
                <w:iCs/>
                <w:color w:val="000000"/>
                <w:szCs w:val="20"/>
              </w:rPr>
              <w:t>not aligned with the season (i.e., if Southern Queensland has a more Temperate distribution than Cairns, yet follows the same timing of dosing nirsevimab), then this will have a marked impact on the treatment effectiveness of nirsevimab</w:t>
            </w:r>
            <w:r w:rsidR="006753C1" w:rsidRPr="00731632">
              <w:rPr>
                <w:rFonts w:cs="Calibri"/>
                <w:iCs/>
                <w:color w:val="000000"/>
                <w:szCs w:val="20"/>
              </w:rPr>
              <w:t xml:space="preserve"> (s</w:t>
            </w:r>
            <w:r w:rsidR="009E232B" w:rsidRPr="00731632">
              <w:rPr>
                <w:rFonts w:cs="Calibri"/>
                <w:iCs/>
                <w:color w:val="000000"/>
                <w:szCs w:val="20"/>
              </w:rPr>
              <w:t xml:space="preserve">ee paragraphs </w:t>
            </w:r>
            <w:r w:rsidR="009E232B" w:rsidRPr="00731632">
              <w:rPr>
                <w:rFonts w:cs="Calibri"/>
                <w:iCs/>
                <w:color w:val="000000"/>
                <w:szCs w:val="20"/>
              </w:rPr>
              <w:fldChar w:fldCharType="begin"/>
            </w:r>
            <w:r w:rsidR="009E232B" w:rsidRPr="00731632">
              <w:rPr>
                <w:rFonts w:cs="Calibri"/>
                <w:iCs/>
                <w:color w:val="000000"/>
                <w:szCs w:val="20"/>
              </w:rPr>
              <w:instrText xml:space="preserve"> REF _Ref167196900 \r \h </w:instrText>
            </w:r>
            <w:r w:rsidR="009E232B" w:rsidRPr="00731632">
              <w:rPr>
                <w:rFonts w:cs="Calibri"/>
                <w:iCs/>
                <w:color w:val="000000"/>
                <w:szCs w:val="20"/>
              </w:rPr>
            </w:r>
            <w:r w:rsidR="009E232B" w:rsidRPr="00731632">
              <w:rPr>
                <w:rFonts w:cs="Calibri"/>
                <w:iCs/>
                <w:color w:val="000000"/>
                <w:szCs w:val="20"/>
              </w:rPr>
              <w:fldChar w:fldCharType="separate"/>
            </w:r>
            <w:r w:rsidR="00D770BB">
              <w:rPr>
                <w:rFonts w:cs="Calibri"/>
                <w:iCs/>
                <w:color w:val="000000"/>
                <w:szCs w:val="20"/>
              </w:rPr>
              <w:t>6.79</w:t>
            </w:r>
            <w:r w:rsidR="009E232B" w:rsidRPr="00731632">
              <w:rPr>
                <w:rFonts w:cs="Calibri"/>
                <w:iCs/>
                <w:color w:val="000000"/>
                <w:szCs w:val="20"/>
              </w:rPr>
              <w:fldChar w:fldCharType="end"/>
            </w:r>
            <w:r w:rsidR="009E232B" w:rsidRPr="00731632">
              <w:rPr>
                <w:rFonts w:cs="Calibri"/>
                <w:iCs/>
                <w:color w:val="000000"/>
                <w:szCs w:val="20"/>
              </w:rPr>
              <w:t xml:space="preserve"> and </w:t>
            </w:r>
            <w:r w:rsidR="009E232B" w:rsidRPr="00731632">
              <w:rPr>
                <w:rFonts w:cs="Calibri"/>
                <w:iCs/>
                <w:color w:val="000000"/>
                <w:szCs w:val="20"/>
              </w:rPr>
              <w:fldChar w:fldCharType="begin"/>
            </w:r>
            <w:r w:rsidR="009E232B" w:rsidRPr="00731632">
              <w:rPr>
                <w:rFonts w:cs="Calibri"/>
                <w:iCs/>
                <w:color w:val="000000"/>
                <w:szCs w:val="20"/>
              </w:rPr>
              <w:instrText xml:space="preserve"> REF _Ref172737238 \r \h </w:instrText>
            </w:r>
            <w:r w:rsidR="009E232B" w:rsidRPr="00731632">
              <w:rPr>
                <w:rFonts w:cs="Calibri"/>
                <w:iCs/>
                <w:color w:val="000000"/>
                <w:szCs w:val="20"/>
              </w:rPr>
            </w:r>
            <w:r w:rsidR="009E232B" w:rsidRPr="00731632">
              <w:rPr>
                <w:rFonts w:cs="Calibri"/>
                <w:iCs/>
                <w:color w:val="000000"/>
                <w:szCs w:val="20"/>
              </w:rPr>
              <w:fldChar w:fldCharType="separate"/>
            </w:r>
            <w:r w:rsidR="00D770BB">
              <w:rPr>
                <w:rFonts w:cs="Calibri"/>
                <w:iCs/>
                <w:color w:val="000000"/>
                <w:szCs w:val="20"/>
              </w:rPr>
              <w:t>6.80</w:t>
            </w:r>
            <w:r w:rsidR="009E232B" w:rsidRPr="00731632">
              <w:rPr>
                <w:rFonts w:cs="Calibri"/>
                <w:iCs/>
                <w:color w:val="000000"/>
                <w:szCs w:val="20"/>
              </w:rPr>
              <w:fldChar w:fldCharType="end"/>
            </w:r>
            <w:r w:rsidR="006753C1" w:rsidRPr="00731632">
              <w:rPr>
                <w:rFonts w:cs="Calibri"/>
                <w:iCs/>
                <w:color w:val="000000"/>
                <w:szCs w:val="20"/>
              </w:rPr>
              <w:t>)</w:t>
            </w:r>
            <w:r w:rsidR="009E232B" w:rsidRPr="00731632">
              <w:rPr>
                <w:rFonts w:cs="Calibri"/>
                <w:iCs/>
                <w:color w:val="000000"/>
                <w:szCs w:val="20"/>
              </w:rPr>
              <w:t>.</w:t>
            </w:r>
          </w:p>
        </w:tc>
      </w:tr>
      <w:tr w:rsidR="00EE2FBE" w:rsidRPr="00731632" w14:paraId="2C2062D1" w14:textId="77777777" w:rsidTr="00866F91">
        <w:tc>
          <w:tcPr>
            <w:tcW w:w="784" w:type="pct"/>
            <w:shd w:val="clear" w:color="auto" w:fill="auto"/>
            <w:vAlign w:val="center"/>
          </w:tcPr>
          <w:p w14:paraId="0F289631" w14:textId="77777777" w:rsidR="00EE2FBE" w:rsidRPr="00731632" w:rsidRDefault="00EE2FBE" w:rsidP="00866F91">
            <w:pPr>
              <w:pStyle w:val="TableText0"/>
              <w:keepNext w:val="0"/>
              <w:widowControl w:val="0"/>
              <w:rPr>
                <w:szCs w:val="20"/>
              </w:rPr>
            </w:pPr>
            <w:r w:rsidRPr="00731632">
              <w:rPr>
                <w:rFonts w:cs="Calibri"/>
                <w:color w:val="000000"/>
                <w:szCs w:val="20"/>
              </w:rPr>
              <w:t>Nirsevimab effectiveness</w:t>
            </w:r>
          </w:p>
        </w:tc>
        <w:tc>
          <w:tcPr>
            <w:tcW w:w="1178" w:type="pct"/>
            <w:shd w:val="clear" w:color="auto" w:fill="auto"/>
            <w:vAlign w:val="center"/>
          </w:tcPr>
          <w:p w14:paraId="23168F7F" w14:textId="77777777" w:rsidR="00EE2FBE" w:rsidRPr="00731632" w:rsidRDefault="00EE2FBE" w:rsidP="00866F91">
            <w:pPr>
              <w:pStyle w:val="TableText0"/>
              <w:keepNext w:val="0"/>
              <w:widowControl w:val="0"/>
              <w:rPr>
                <w:szCs w:val="20"/>
              </w:rPr>
            </w:pPr>
            <w:r w:rsidRPr="00731632">
              <w:rPr>
                <w:rFonts w:cs="Calibri"/>
                <w:color w:val="000000"/>
                <w:szCs w:val="20"/>
              </w:rPr>
              <w:t>79.5% from a meta-analysis of MELODY and a subgroup of Phase IIb study.</w:t>
            </w:r>
          </w:p>
        </w:tc>
        <w:tc>
          <w:tcPr>
            <w:tcW w:w="3038" w:type="pct"/>
            <w:shd w:val="clear" w:color="auto" w:fill="auto"/>
            <w:vAlign w:val="center"/>
          </w:tcPr>
          <w:p w14:paraId="338BCFBB" w14:textId="5C60585F" w:rsidR="00EE2FBE" w:rsidRPr="00731632" w:rsidRDefault="00EE2FBE" w:rsidP="001E4A25">
            <w:pPr>
              <w:pStyle w:val="TableText0"/>
              <w:keepNext w:val="0"/>
              <w:widowControl w:val="0"/>
              <w:spacing w:after="120"/>
              <w:rPr>
                <w:rFonts w:cs="Arial"/>
                <w:iCs/>
                <w:color w:val="000000"/>
                <w:szCs w:val="20"/>
              </w:rPr>
            </w:pPr>
            <w:r w:rsidRPr="00731632">
              <w:rPr>
                <w:rFonts w:cs="Arial"/>
                <w:iCs/>
                <w:color w:val="000000"/>
                <w:szCs w:val="20"/>
              </w:rPr>
              <w:t>High, favours nirsevimab. The meta-analysis excluded infants who were greater than 5</w:t>
            </w:r>
            <w:r w:rsidR="001E4A25" w:rsidRPr="00731632">
              <w:rPr>
                <w:rFonts w:cs="Arial"/>
                <w:iCs/>
                <w:color w:val="000000"/>
                <w:szCs w:val="20"/>
              </w:rPr>
              <w:t xml:space="preserve"> </w:t>
            </w:r>
            <w:r w:rsidRPr="00731632">
              <w:rPr>
                <w:rFonts w:cs="Arial"/>
                <w:iCs/>
                <w:color w:val="000000"/>
                <w:szCs w:val="20"/>
              </w:rPr>
              <w:t>kg and did not receive the 100</w:t>
            </w:r>
            <w:r w:rsidR="001E4A25" w:rsidRPr="00731632">
              <w:rPr>
                <w:rFonts w:cs="Arial"/>
                <w:iCs/>
                <w:color w:val="000000"/>
                <w:szCs w:val="20"/>
              </w:rPr>
              <w:t xml:space="preserve"> </w:t>
            </w:r>
            <w:r w:rsidRPr="00731632">
              <w:rPr>
                <w:rFonts w:cs="Arial"/>
                <w:iCs/>
                <w:color w:val="000000"/>
                <w:szCs w:val="20"/>
              </w:rPr>
              <w:t>mg dose of nirsevimab. However, the MELODY trial employed the correct dosing and the treatment effect from that trial alone was 74.5%. Applying a treatment effect of 74.5% increases the ICER by 80%.</w:t>
            </w:r>
            <w:r w:rsidR="001E4A25" w:rsidRPr="00731632">
              <w:rPr>
                <w:rFonts w:cs="Arial"/>
                <w:iCs/>
                <w:color w:val="000000"/>
                <w:szCs w:val="20"/>
              </w:rPr>
              <w:t xml:space="preserve"> </w:t>
            </w:r>
            <w:r w:rsidR="001E4A25" w:rsidRPr="00731632">
              <w:rPr>
                <w:iCs/>
                <w:szCs w:val="20"/>
              </w:rPr>
              <w:t>The PSCR maintained that the efficacy rate of 79.5% reflects a more realistic patient population (pooled infants both ≥35 weeks gestation and 29-35 weeks gestation) than the MELODY trial alone (≥35 weeks gestation), at the correct dose.</w:t>
            </w:r>
            <w:r w:rsidR="00C436E8" w:rsidRPr="00731632">
              <w:rPr>
                <w:iCs/>
                <w:szCs w:val="20"/>
              </w:rPr>
              <w:t xml:space="preserve"> </w:t>
            </w:r>
            <w:r w:rsidR="00960316" w:rsidRPr="00731632">
              <w:rPr>
                <w:iCs/>
                <w:szCs w:val="20"/>
              </w:rPr>
              <w:t>The ESC considered that the estimate of 74.5% seems reasonable unless more robust data</w:t>
            </w:r>
            <w:r w:rsidR="00F677B5" w:rsidRPr="00731632">
              <w:rPr>
                <w:iCs/>
                <w:szCs w:val="20"/>
              </w:rPr>
              <w:t xml:space="preserve"> were </w:t>
            </w:r>
            <w:r w:rsidR="00960316" w:rsidRPr="00731632">
              <w:rPr>
                <w:iCs/>
                <w:szCs w:val="20"/>
              </w:rPr>
              <w:t>presented.</w:t>
            </w:r>
            <w:r w:rsidR="008174D6" w:rsidRPr="00731632">
              <w:rPr>
                <w:iCs/>
                <w:szCs w:val="20"/>
              </w:rPr>
              <w:t xml:space="preserve"> </w:t>
            </w:r>
            <w:r w:rsidR="00960316" w:rsidRPr="00731632">
              <w:rPr>
                <w:iCs/>
                <w:szCs w:val="20"/>
              </w:rPr>
              <w:t>It was also noted that effectiveness of nirsevimab for preventing MA RSV hospitalisations was lower than for preventing all MA RSV (62.1% vs 74.5%)</w:t>
            </w:r>
            <w:r w:rsidR="006753C1" w:rsidRPr="00731632">
              <w:rPr>
                <w:iCs/>
                <w:szCs w:val="20"/>
              </w:rPr>
              <w:t xml:space="preserve"> (s</w:t>
            </w:r>
            <w:r w:rsidR="008E22CF" w:rsidRPr="00731632">
              <w:rPr>
                <w:iCs/>
                <w:szCs w:val="20"/>
              </w:rPr>
              <w:t xml:space="preserve">ee paragraph </w:t>
            </w:r>
            <w:r w:rsidR="008E22CF" w:rsidRPr="00731632">
              <w:rPr>
                <w:iCs/>
                <w:szCs w:val="20"/>
              </w:rPr>
              <w:fldChar w:fldCharType="begin"/>
            </w:r>
            <w:r w:rsidR="008E22CF" w:rsidRPr="00731632">
              <w:rPr>
                <w:iCs/>
                <w:szCs w:val="20"/>
              </w:rPr>
              <w:instrText xml:space="preserve"> REF _Ref172736499 \r \h </w:instrText>
            </w:r>
            <w:r w:rsidR="008E22CF" w:rsidRPr="00731632">
              <w:rPr>
                <w:iCs/>
                <w:szCs w:val="20"/>
              </w:rPr>
            </w:r>
            <w:r w:rsidR="008E22CF" w:rsidRPr="00731632">
              <w:rPr>
                <w:iCs/>
                <w:szCs w:val="20"/>
              </w:rPr>
              <w:fldChar w:fldCharType="separate"/>
            </w:r>
            <w:r w:rsidR="00D770BB">
              <w:rPr>
                <w:iCs/>
                <w:szCs w:val="20"/>
              </w:rPr>
              <w:t>6.51</w:t>
            </w:r>
            <w:r w:rsidR="008E22CF" w:rsidRPr="00731632">
              <w:rPr>
                <w:iCs/>
                <w:szCs w:val="20"/>
              </w:rPr>
              <w:fldChar w:fldCharType="end"/>
            </w:r>
            <w:r w:rsidR="006753C1" w:rsidRPr="00731632">
              <w:rPr>
                <w:iCs/>
                <w:szCs w:val="20"/>
              </w:rPr>
              <w:t>)</w:t>
            </w:r>
            <w:r w:rsidR="008E22CF" w:rsidRPr="00731632">
              <w:rPr>
                <w:iCs/>
                <w:szCs w:val="20"/>
              </w:rPr>
              <w:t>.</w:t>
            </w:r>
          </w:p>
          <w:p w14:paraId="15AD158C" w14:textId="0F7A912F" w:rsidR="00EE2FBE" w:rsidRPr="00731632" w:rsidRDefault="00EE2FBE" w:rsidP="00866F91">
            <w:pPr>
              <w:pStyle w:val="TableText0"/>
              <w:keepNext w:val="0"/>
              <w:widowControl w:val="0"/>
              <w:rPr>
                <w:i/>
                <w:iCs/>
                <w:szCs w:val="20"/>
              </w:rPr>
            </w:pPr>
            <w:r w:rsidRPr="00731632">
              <w:rPr>
                <w:iCs/>
                <w:szCs w:val="20"/>
              </w:rPr>
              <w:t xml:space="preserve">The effectiveness of nirsevimab for preventing </w:t>
            </w:r>
            <w:r w:rsidR="0052781F" w:rsidRPr="00731632">
              <w:rPr>
                <w:iCs/>
                <w:szCs w:val="20"/>
              </w:rPr>
              <w:t>MA RSV</w:t>
            </w:r>
            <w:r w:rsidRPr="00731632">
              <w:rPr>
                <w:iCs/>
                <w:szCs w:val="20"/>
              </w:rPr>
              <w:t xml:space="preserve"> hospitalisations</w:t>
            </w:r>
            <w:r w:rsidR="00F677B5" w:rsidRPr="00731632">
              <w:rPr>
                <w:iCs/>
                <w:szCs w:val="20"/>
              </w:rPr>
              <w:t xml:space="preserve"> was </w:t>
            </w:r>
            <w:r w:rsidRPr="00731632">
              <w:rPr>
                <w:iCs/>
                <w:szCs w:val="20"/>
              </w:rPr>
              <w:t xml:space="preserve">lower than for preventing all </w:t>
            </w:r>
            <w:r w:rsidR="0052781F" w:rsidRPr="00731632">
              <w:rPr>
                <w:iCs/>
                <w:szCs w:val="20"/>
              </w:rPr>
              <w:t>MA RSV</w:t>
            </w:r>
            <w:r w:rsidRPr="00731632">
              <w:rPr>
                <w:iCs/>
                <w:szCs w:val="20"/>
              </w:rPr>
              <w:t xml:space="preserve"> (6</w:t>
            </w:r>
            <w:r w:rsidR="001A3D9A" w:rsidRPr="00731632">
              <w:rPr>
                <w:iCs/>
                <w:szCs w:val="20"/>
              </w:rPr>
              <w:t>2.1</w:t>
            </w:r>
            <w:r w:rsidRPr="00731632">
              <w:rPr>
                <w:iCs/>
                <w:szCs w:val="20"/>
              </w:rPr>
              <w:t>% vs 74.5%). The impact of applying a different estimate of effectiveness for hospitalisation cannot be tested in the model, however it</w:t>
            </w:r>
            <w:r w:rsidR="00F677B5" w:rsidRPr="00731632">
              <w:rPr>
                <w:iCs/>
                <w:szCs w:val="20"/>
              </w:rPr>
              <w:t xml:space="preserve"> was </w:t>
            </w:r>
            <w:r w:rsidRPr="00731632">
              <w:rPr>
                <w:iCs/>
                <w:szCs w:val="20"/>
              </w:rPr>
              <w:t>expected to be large as hospitalisations have higher costs and disutilities than primary care attended RSV.</w:t>
            </w:r>
            <w:r w:rsidR="008174D6" w:rsidRPr="00731632">
              <w:rPr>
                <w:iCs/>
                <w:szCs w:val="20"/>
              </w:rPr>
              <w:t xml:space="preserve"> </w:t>
            </w:r>
            <w:r w:rsidR="00FF0609" w:rsidRPr="00731632">
              <w:rPr>
                <w:iCs/>
                <w:szCs w:val="20"/>
              </w:rPr>
              <w:t>The ESC considered that the structural limitation adds uncertainty to the economic evaluation.</w:t>
            </w:r>
          </w:p>
        </w:tc>
      </w:tr>
      <w:tr w:rsidR="00EE2FBE" w:rsidRPr="00731632" w14:paraId="07BE49B9" w14:textId="77777777" w:rsidTr="00866F91">
        <w:tc>
          <w:tcPr>
            <w:tcW w:w="784" w:type="pct"/>
            <w:shd w:val="clear" w:color="auto" w:fill="auto"/>
            <w:vAlign w:val="center"/>
          </w:tcPr>
          <w:p w14:paraId="717BC649" w14:textId="013A51AB" w:rsidR="00EE2FBE" w:rsidRPr="00731632" w:rsidRDefault="00EE2FBE" w:rsidP="00866F91">
            <w:pPr>
              <w:pStyle w:val="TableText0"/>
              <w:keepNext w:val="0"/>
              <w:widowControl w:val="0"/>
              <w:rPr>
                <w:szCs w:val="20"/>
              </w:rPr>
            </w:pPr>
            <w:r w:rsidRPr="00731632">
              <w:rPr>
                <w:rFonts w:cs="Calibri"/>
                <w:color w:val="000000"/>
                <w:szCs w:val="20"/>
              </w:rPr>
              <w:t xml:space="preserve">Proportion of hospitalised </w:t>
            </w:r>
            <w:r w:rsidR="0052781F" w:rsidRPr="00731632">
              <w:rPr>
                <w:rFonts w:cs="Calibri"/>
                <w:color w:val="000000"/>
                <w:szCs w:val="20"/>
              </w:rPr>
              <w:t>MA RSV</w:t>
            </w:r>
            <w:r w:rsidRPr="00731632">
              <w:rPr>
                <w:rFonts w:cs="Calibri"/>
                <w:color w:val="000000"/>
                <w:szCs w:val="20"/>
              </w:rPr>
              <w:t xml:space="preserve"> cases that</w:t>
            </w:r>
            <w:r w:rsidR="00F677B5" w:rsidRPr="00731632">
              <w:rPr>
                <w:rFonts w:cs="Calibri"/>
                <w:color w:val="000000"/>
                <w:szCs w:val="20"/>
              </w:rPr>
              <w:t xml:space="preserve"> were </w:t>
            </w:r>
            <w:r w:rsidRPr="00731632">
              <w:rPr>
                <w:rFonts w:cs="Calibri"/>
                <w:color w:val="000000"/>
                <w:szCs w:val="20"/>
              </w:rPr>
              <w:t>admitted to ICU.</w:t>
            </w:r>
          </w:p>
        </w:tc>
        <w:tc>
          <w:tcPr>
            <w:tcW w:w="1178" w:type="pct"/>
            <w:shd w:val="clear" w:color="auto" w:fill="auto"/>
            <w:vAlign w:val="center"/>
          </w:tcPr>
          <w:p w14:paraId="3472E0F9" w14:textId="77777777" w:rsidR="00EE2FBE" w:rsidRPr="00731632" w:rsidRDefault="00EE2FBE" w:rsidP="00866F91">
            <w:pPr>
              <w:pStyle w:val="TableText0"/>
              <w:keepNext w:val="0"/>
              <w:widowControl w:val="0"/>
              <w:rPr>
                <w:szCs w:val="20"/>
              </w:rPr>
            </w:pPr>
            <w:r w:rsidRPr="00731632">
              <w:rPr>
                <w:rFonts w:cs="Calibri"/>
                <w:color w:val="000000"/>
                <w:szCs w:val="20"/>
              </w:rPr>
              <w:t xml:space="preserve">9.9% sourced from an Australian study (Adelaide and Cairns) in hospitalised children with RSV. </w:t>
            </w:r>
          </w:p>
        </w:tc>
        <w:tc>
          <w:tcPr>
            <w:tcW w:w="3038" w:type="pct"/>
            <w:shd w:val="clear" w:color="auto" w:fill="auto"/>
            <w:vAlign w:val="center"/>
          </w:tcPr>
          <w:p w14:paraId="362D6D13" w14:textId="4DD49633" w:rsidR="00EE2FBE" w:rsidRPr="00731632" w:rsidRDefault="00EE2FBE" w:rsidP="00866F91">
            <w:pPr>
              <w:pStyle w:val="TableText0"/>
              <w:keepNext w:val="0"/>
              <w:widowControl w:val="0"/>
              <w:rPr>
                <w:iCs/>
                <w:szCs w:val="20"/>
              </w:rPr>
            </w:pPr>
            <w:r w:rsidRPr="00731632">
              <w:rPr>
                <w:rFonts w:cs="Calibri"/>
                <w:iCs/>
                <w:color w:val="000000"/>
                <w:szCs w:val="20"/>
              </w:rPr>
              <w:t>Moderate, likely favours nirsevimab. An alternative source from Western Australia reported a probability of 5.7% admission to ICU in hospitalised children with RSV. Using this input results in an increase in the ICER of 31.9%</w:t>
            </w:r>
            <w:r w:rsidR="006753C1" w:rsidRPr="00731632">
              <w:rPr>
                <w:rFonts w:cs="Calibri"/>
                <w:iCs/>
                <w:color w:val="000000"/>
                <w:szCs w:val="20"/>
              </w:rPr>
              <w:t xml:space="preserve"> (s</w:t>
            </w:r>
            <w:r w:rsidR="009E232B" w:rsidRPr="00731632">
              <w:rPr>
                <w:rFonts w:cs="Calibri"/>
                <w:iCs/>
                <w:color w:val="000000"/>
                <w:szCs w:val="20"/>
              </w:rPr>
              <w:t xml:space="preserve">ee paragraph </w:t>
            </w:r>
            <w:r w:rsidR="009E232B" w:rsidRPr="00731632">
              <w:rPr>
                <w:rFonts w:cs="Calibri"/>
                <w:iCs/>
                <w:color w:val="000000"/>
                <w:szCs w:val="20"/>
              </w:rPr>
              <w:fldChar w:fldCharType="begin"/>
            </w:r>
            <w:r w:rsidR="009E232B" w:rsidRPr="00731632">
              <w:rPr>
                <w:rFonts w:cs="Calibri"/>
                <w:iCs/>
                <w:color w:val="000000"/>
                <w:szCs w:val="20"/>
              </w:rPr>
              <w:instrText xml:space="preserve"> REF _Ref172737339 \r \h </w:instrText>
            </w:r>
            <w:r w:rsidR="009E232B" w:rsidRPr="00731632">
              <w:rPr>
                <w:rFonts w:cs="Calibri"/>
                <w:iCs/>
                <w:color w:val="000000"/>
                <w:szCs w:val="20"/>
              </w:rPr>
            </w:r>
            <w:r w:rsidR="009E232B" w:rsidRPr="00731632">
              <w:rPr>
                <w:rFonts w:cs="Calibri"/>
                <w:iCs/>
                <w:color w:val="000000"/>
                <w:szCs w:val="20"/>
              </w:rPr>
              <w:fldChar w:fldCharType="separate"/>
            </w:r>
            <w:r w:rsidR="00D770BB">
              <w:rPr>
                <w:rFonts w:cs="Calibri"/>
                <w:iCs/>
                <w:color w:val="000000"/>
                <w:szCs w:val="20"/>
              </w:rPr>
              <w:t>6.57</w:t>
            </w:r>
            <w:r w:rsidR="009E232B" w:rsidRPr="00731632">
              <w:rPr>
                <w:rFonts w:cs="Calibri"/>
                <w:iCs/>
                <w:color w:val="000000"/>
                <w:szCs w:val="20"/>
              </w:rPr>
              <w:fldChar w:fldCharType="end"/>
            </w:r>
            <w:r w:rsidR="006753C1" w:rsidRPr="00731632">
              <w:rPr>
                <w:rFonts w:cs="Calibri"/>
                <w:iCs/>
                <w:color w:val="000000"/>
                <w:szCs w:val="20"/>
              </w:rPr>
              <w:t>)</w:t>
            </w:r>
            <w:r w:rsidR="009E232B" w:rsidRPr="00731632">
              <w:rPr>
                <w:rFonts w:cs="Calibri"/>
                <w:iCs/>
                <w:color w:val="000000"/>
                <w:szCs w:val="20"/>
              </w:rPr>
              <w:t>.</w:t>
            </w:r>
          </w:p>
        </w:tc>
      </w:tr>
      <w:tr w:rsidR="00EE2FBE" w:rsidRPr="00731632" w14:paraId="76F2DFED" w14:textId="77777777" w:rsidTr="00866F91">
        <w:tc>
          <w:tcPr>
            <w:tcW w:w="784" w:type="pct"/>
            <w:shd w:val="clear" w:color="auto" w:fill="auto"/>
            <w:vAlign w:val="center"/>
          </w:tcPr>
          <w:p w14:paraId="2A1EED30" w14:textId="77777777" w:rsidR="00EE2FBE" w:rsidRPr="00731632" w:rsidRDefault="00EE2FBE" w:rsidP="00866F91">
            <w:pPr>
              <w:pStyle w:val="TableText0"/>
              <w:keepNext w:val="0"/>
              <w:widowControl w:val="0"/>
              <w:rPr>
                <w:szCs w:val="20"/>
              </w:rPr>
            </w:pPr>
            <w:r w:rsidRPr="00731632">
              <w:rPr>
                <w:rFonts w:cs="Calibri"/>
                <w:color w:val="000000"/>
                <w:szCs w:val="20"/>
              </w:rPr>
              <w:t>Probability and cost of mechanical ventilation</w:t>
            </w:r>
          </w:p>
        </w:tc>
        <w:tc>
          <w:tcPr>
            <w:tcW w:w="1178" w:type="pct"/>
            <w:shd w:val="clear" w:color="auto" w:fill="auto"/>
            <w:vAlign w:val="center"/>
          </w:tcPr>
          <w:p w14:paraId="7F7E2001" w14:textId="78613F25" w:rsidR="00EE2FBE" w:rsidRPr="00731632" w:rsidRDefault="00EE2FBE" w:rsidP="00866F91">
            <w:pPr>
              <w:pStyle w:val="TableText0"/>
              <w:keepNext w:val="0"/>
              <w:widowControl w:val="0"/>
              <w:rPr>
                <w:szCs w:val="20"/>
              </w:rPr>
            </w:pPr>
            <w:r w:rsidRPr="00731632">
              <w:rPr>
                <w:rFonts w:cs="Calibri"/>
                <w:color w:val="000000"/>
                <w:szCs w:val="20"/>
              </w:rPr>
              <w:t>2.5% of infants hospitalised with RSV</w:t>
            </w:r>
            <w:r w:rsidR="00F677B5" w:rsidRPr="00731632">
              <w:rPr>
                <w:rFonts w:cs="Calibri"/>
                <w:color w:val="000000"/>
                <w:szCs w:val="20"/>
              </w:rPr>
              <w:t xml:space="preserve"> were </w:t>
            </w:r>
            <w:r w:rsidRPr="00731632">
              <w:rPr>
                <w:rFonts w:cs="Calibri"/>
                <w:color w:val="000000"/>
                <w:szCs w:val="20"/>
              </w:rPr>
              <w:t>modelled to receive mechanical ventilation. The cost of mechanical ventilation</w:t>
            </w:r>
            <w:r w:rsidR="00F677B5" w:rsidRPr="00731632">
              <w:rPr>
                <w:rFonts w:cs="Calibri"/>
                <w:color w:val="000000"/>
                <w:szCs w:val="20"/>
              </w:rPr>
              <w:t xml:space="preserve"> was </w:t>
            </w:r>
            <w:r w:rsidRPr="00731632">
              <w:rPr>
                <w:rFonts w:cs="Calibri"/>
                <w:color w:val="000000"/>
                <w:szCs w:val="20"/>
              </w:rPr>
              <w:t>derived from an AR-DRG and</w:t>
            </w:r>
            <w:r w:rsidR="00F677B5" w:rsidRPr="00731632">
              <w:rPr>
                <w:rFonts w:cs="Calibri"/>
                <w:color w:val="000000"/>
                <w:szCs w:val="20"/>
              </w:rPr>
              <w:t xml:space="preserve"> was </w:t>
            </w:r>
            <w:r w:rsidRPr="00731632">
              <w:rPr>
                <w:rFonts w:cs="Calibri"/>
                <w:color w:val="000000"/>
                <w:szCs w:val="20"/>
              </w:rPr>
              <w:t>$44,682.02.</w:t>
            </w:r>
          </w:p>
        </w:tc>
        <w:tc>
          <w:tcPr>
            <w:tcW w:w="3038" w:type="pct"/>
            <w:shd w:val="clear" w:color="auto" w:fill="auto"/>
            <w:vAlign w:val="center"/>
          </w:tcPr>
          <w:p w14:paraId="57EB5A4D" w14:textId="78A42AC5" w:rsidR="009E232B" w:rsidRPr="00731632" w:rsidRDefault="00EE2FBE" w:rsidP="00866F91">
            <w:pPr>
              <w:pStyle w:val="TableText0"/>
              <w:keepNext w:val="0"/>
              <w:widowControl w:val="0"/>
              <w:rPr>
                <w:rFonts w:cs="Calibri"/>
                <w:iCs/>
                <w:color w:val="000000"/>
                <w:szCs w:val="20"/>
              </w:rPr>
            </w:pPr>
            <w:r w:rsidRPr="00731632">
              <w:rPr>
                <w:rFonts w:cs="Calibri"/>
                <w:iCs/>
                <w:color w:val="000000"/>
                <w:szCs w:val="20"/>
              </w:rPr>
              <w:t>Moderate or High, favours nirsevimab. If mechanical ventilation is retained in the model, there is double counting of the costs as the mechanical ventilation cost already includes hospitalisation costs (which</w:t>
            </w:r>
            <w:r w:rsidR="00F677B5" w:rsidRPr="00731632">
              <w:rPr>
                <w:rFonts w:cs="Calibri"/>
                <w:iCs/>
                <w:color w:val="000000"/>
                <w:szCs w:val="20"/>
              </w:rPr>
              <w:t xml:space="preserve"> were </w:t>
            </w:r>
            <w:r w:rsidRPr="00731632">
              <w:rPr>
                <w:rFonts w:cs="Calibri"/>
                <w:iCs/>
                <w:color w:val="000000"/>
                <w:szCs w:val="20"/>
              </w:rPr>
              <w:t xml:space="preserve">therefore costed twice in the model). </w:t>
            </w:r>
            <w:r w:rsidR="009E232B" w:rsidRPr="00731632">
              <w:rPr>
                <w:rFonts w:cs="Calibri"/>
                <w:iCs/>
                <w:color w:val="000000"/>
                <w:szCs w:val="20"/>
              </w:rPr>
              <w:t>Removing mechanical ventilation from the model results in an increase in the ICER of 89%.</w:t>
            </w:r>
          </w:p>
          <w:p w14:paraId="249EB0D7" w14:textId="72D78B9D" w:rsidR="00EE2FBE" w:rsidRPr="00731632" w:rsidRDefault="00654C68" w:rsidP="00866F91">
            <w:pPr>
              <w:pStyle w:val="TableText0"/>
              <w:keepNext w:val="0"/>
              <w:widowControl w:val="0"/>
              <w:rPr>
                <w:iCs/>
                <w:szCs w:val="20"/>
              </w:rPr>
            </w:pPr>
            <w:r w:rsidRPr="00731632">
              <w:rPr>
                <w:rFonts w:cs="Calibri"/>
                <w:iCs/>
                <w:color w:val="000000"/>
                <w:szCs w:val="20"/>
              </w:rPr>
              <w:t>The ESC considered that the cost of mechanical ventilation should be removed from the model</w:t>
            </w:r>
            <w:r w:rsidR="006753C1" w:rsidRPr="00731632">
              <w:rPr>
                <w:rFonts w:cs="Calibri"/>
                <w:iCs/>
                <w:color w:val="000000"/>
                <w:szCs w:val="20"/>
              </w:rPr>
              <w:t xml:space="preserve"> (s</w:t>
            </w:r>
            <w:r w:rsidR="008E22CF" w:rsidRPr="00731632">
              <w:rPr>
                <w:rFonts w:cs="Calibri"/>
                <w:iCs/>
                <w:color w:val="000000"/>
                <w:szCs w:val="20"/>
              </w:rPr>
              <w:t xml:space="preserve">ee paragraph </w:t>
            </w:r>
            <w:r w:rsidR="008E22CF" w:rsidRPr="00731632">
              <w:rPr>
                <w:rFonts w:cs="Calibri"/>
                <w:iCs/>
                <w:color w:val="000000"/>
                <w:szCs w:val="20"/>
              </w:rPr>
              <w:fldChar w:fldCharType="begin"/>
            </w:r>
            <w:r w:rsidR="008E22CF" w:rsidRPr="00731632">
              <w:rPr>
                <w:rFonts w:cs="Calibri"/>
                <w:iCs/>
                <w:color w:val="000000"/>
                <w:szCs w:val="20"/>
              </w:rPr>
              <w:instrText xml:space="preserve"> REF _Ref172736565 \r \h </w:instrText>
            </w:r>
            <w:r w:rsidR="008E22CF" w:rsidRPr="00731632">
              <w:rPr>
                <w:rFonts w:cs="Calibri"/>
                <w:iCs/>
                <w:color w:val="000000"/>
                <w:szCs w:val="20"/>
              </w:rPr>
            </w:r>
            <w:r w:rsidR="008E22CF" w:rsidRPr="00731632">
              <w:rPr>
                <w:rFonts w:cs="Calibri"/>
                <w:iCs/>
                <w:color w:val="000000"/>
                <w:szCs w:val="20"/>
              </w:rPr>
              <w:fldChar w:fldCharType="separate"/>
            </w:r>
            <w:r w:rsidR="00D770BB">
              <w:rPr>
                <w:rFonts w:cs="Calibri"/>
                <w:iCs/>
                <w:color w:val="000000"/>
                <w:szCs w:val="20"/>
              </w:rPr>
              <w:t>6.73</w:t>
            </w:r>
            <w:r w:rsidR="008E22CF" w:rsidRPr="00731632">
              <w:rPr>
                <w:rFonts w:cs="Calibri"/>
                <w:iCs/>
                <w:color w:val="000000"/>
                <w:szCs w:val="20"/>
              </w:rPr>
              <w:fldChar w:fldCharType="end"/>
            </w:r>
            <w:r w:rsidR="006753C1" w:rsidRPr="00731632">
              <w:rPr>
                <w:rFonts w:cs="Calibri"/>
                <w:iCs/>
                <w:color w:val="000000"/>
                <w:szCs w:val="20"/>
              </w:rPr>
              <w:t>)</w:t>
            </w:r>
            <w:r w:rsidR="008E22CF" w:rsidRPr="00731632">
              <w:rPr>
                <w:rFonts w:cs="Calibri"/>
                <w:iCs/>
                <w:color w:val="000000"/>
                <w:szCs w:val="20"/>
              </w:rPr>
              <w:t>.</w:t>
            </w:r>
          </w:p>
        </w:tc>
      </w:tr>
      <w:tr w:rsidR="00EE2FBE" w:rsidRPr="00731632" w14:paraId="288351BF" w14:textId="77777777" w:rsidTr="00866F91">
        <w:tc>
          <w:tcPr>
            <w:tcW w:w="784" w:type="pct"/>
            <w:shd w:val="clear" w:color="auto" w:fill="auto"/>
            <w:vAlign w:val="center"/>
          </w:tcPr>
          <w:p w14:paraId="5E856D4C" w14:textId="77777777" w:rsidR="00EE2FBE" w:rsidRPr="00731632" w:rsidRDefault="00EE2FBE" w:rsidP="00866F91">
            <w:pPr>
              <w:pStyle w:val="TableText0"/>
              <w:keepNext w:val="0"/>
              <w:widowControl w:val="0"/>
              <w:rPr>
                <w:szCs w:val="20"/>
              </w:rPr>
            </w:pPr>
            <w:r w:rsidRPr="00731632">
              <w:rPr>
                <w:rFonts w:cs="Calibri"/>
                <w:color w:val="000000"/>
                <w:szCs w:val="20"/>
              </w:rPr>
              <w:t>Asthma and wheezing</w:t>
            </w:r>
          </w:p>
        </w:tc>
        <w:tc>
          <w:tcPr>
            <w:tcW w:w="1178" w:type="pct"/>
            <w:shd w:val="clear" w:color="auto" w:fill="auto"/>
            <w:vAlign w:val="center"/>
          </w:tcPr>
          <w:p w14:paraId="3FBEF385" w14:textId="2E37B2BA" w:rsidR="00EE2FBE" w:rsidRPr="00731632" w:rsidRDefault="00EE2FBE" w:rsidP="00866F91">
            <w:pPr>
              <w:pStyle w:val="TableText0"/>
              <w:keepNext w:val="0"/>
              <w:widowControl w:val="0"/>
              <w:rPr>
                <w:szCs w:val="20"/>
              </w:rPr>
            </w:pPr>
            <w:r w:rsidRPr="00731632">
              <w:rPr>
                <w:rFonts w:cs="Calibri"/>
                <w:color w:val="000000"/>
                <w:szCs w:val="20"/>
              </w:rPr>
              <w:t>31% of hospitalised infants experience 1 year of asthma. 31%, 27% and 17% of hospitalised infants experience 1, 2 and 3 years of recurrent wheezing</w:t>
            </w:r>
            <w:r w:rsidR="00311F9C" w:rsidRPr="00731632">
              <w:rPr>
                <w:rFonts w:cs="Calibri"/>
                <w:color w:val="000000"/>
                <w:szCs w:val="20"/>
              </w:rPr>
              <w:t>, respectively</w:t>
            </w:r>
            <w:r w:rsidRPr="00731632">
              <w:rPr>
                <w:rFonts w:cs="Calibri"/>
                <w:color w:val="000000"/>
                <w:szCs w:val="20"/>
              </w:rPr>
              <w:t>.</w:t>
            </w:r>
          </w:p>
        </w:tc>
        <w:tc>
          <w:tcPr>
            <w:tcW w:w="3038" w:type="pct"/>
            <w:shd w:val="clear" w:color="auto" w:fill="auto"/>
            <w:vAlign w:val="center"/>
          </w:tcPr>
          <w:p w14:paraId="1B911946" w14:textId="63DBB3F1" w:rsidR="00EE2FBE" w:rsidRPr="00731632" w:rsidRDefault="00EE2FBE" w:rsidP="00866F91">
            <w:pPr>
              <w:pStyle w:val="TableText0"/>
              <w:keepNext w:val="0"/>
              <w:widowControl w:val="0"/>
              <w:rPr>
                <w:iCs/>
                <w:szCs w:val="20"/>
              </w:rPr>
            </w:pPr>
            <w:r w:rsidRPr="00731632">
              <w:rPr>
                <w:rFonts w:cs="Calibri"/>
                <w:iCs/>
                <w:color w:val="000000"/>
                <w:szCs w:val="20"/>
              </w:rPr>
              <w:t>High, favours nirsevimab. The derivation of the rates of asthma and wheezing</w:t>
            </w:r>
            <w:r w:rsidR="00F677B5" w:rsidRPr="00731632">
              <w:rPr>
                <w:rFonts w:cs="Calibri"/>
                <w:iCs/>
                <w:color w:val="000000"/>
                <w:szCs w:val="20"/>
              </w:rPr>
              <w:t xml:space="preserve"> were </w:t>
            </w:r>
            <w:r w:rsidRPr="00731632">
              <w:rPr>
                <w:rFonts w:cs="Calibri"/>
                <w:iCs/>
                <w:color w:val="000000"/>
                <w:szCs w:val="20"/>
              </w:rPr>
              <w:t>highly uncertain. Studies</w:t>
            </w:r>
            <w:r w:rsidR="00F677B5" w:rsidRPr="00731632">
              <w:rPr>
                <w:rFonts w:cs="Calibri"/>
                <w:iCs/>
                <w:color w:val="000000"/>
                <w:szCs w:val="20"/>
              </w:rPr>
              <w:t xml:space="preserve"> were </w:t>
            </w:r>
            <w:r w:rsidRPr="00731632">
              <w:rPr>
                <w:rFonts w:cs="Calibri"/>
                <w:iCs/>
                <w:color w:val="000000"/>
                <w:szCs w:val="20"/>
              </w:rPr>
              <w:t>conflicting regarding whether there</w:t>
            </w:r>
            <w:r w:rsidR="00F677B5" w:rsidRPr="00731632">
              <w:rPr>
                <w:rFonts w:cs="Calibri"/>
                <w:iCs/>
                <w:color w:val="000000"/>
                <w:szCs w:val="20"/>
              </w:rPr>
              <w:t xml:space="preserve"> were </w:t>
            </w:r>
            <w:r w:rsidRPr="00731632">
              <w:rPr>
                <w:rFonts w:cs="Calibri"/>
                <w:iCs/>
                <w:color w:val="000000"/>
                <w:szCs w:val="20"/>
              </w:rPr>
              <w:t>ongoing impacts of RSV on rates of asthma and wheezing, and the economic analysis from which the rates were sourced only applied these in a supplementary analysis. Removing asthma and wheezing from the economic model results in an increase in the ICER of 122.9%.</w:t>
            </w:r>
            <w:r w:rsidR="00311F9C" w:rsidRPr="00731632">
              <w:rPr>
                <w:rFonts w:cs="Calibri"/>
                <w:iCs/>
                <w:color w:val="000000"/>
                <w:szCs w:val="20"/>
              </w:rPr>
              <w:t xml:space="preserve"> The PSCR maintained that the source for asthma/wheezing rates (Li et al 2022, Norwegian national registry) was the best available data in the absence of Australian data. </w:t>
            </w:r>
            <w:r w:rsidR="006055BF" w:rsidRPr="00731632">
              <w:rPr>
                <w:rFonts w:cs="Calibri"/>
                <w:iCs/>
                <w:color w:val="000000"/>
                <w:szCs w:val="20"/>
              </w:rPr>
              <w:t>However, the ESC considered the estimates of asthma and recurrent wheezing to be uncertain</w:t>
            </w:r>
            <w:r w:rsidR="006753C1" w:rsidRPr="00731632">
              <w:rPr>
                <w:rFonts w:cs="Calibri"/>
                <w:iCs/>
                <w:color w:val="000000"/>
                <w:szCs w:val="20"/>
              </w:rPr>
              <w:t xml:space="preserve"> (s</w:t>
            </w:r>
            <w:r w:rsidR="007E74FF" w:rsidRPr="00731632">
              <w:rPr>
                <w:rFonts w:cs="Calibri"/>
                <w:iCs/>
                <w:color w:val="000000"/>
                <w:szCs w:val="20"/>
              </w:rPr>
              <w:t xml:space="preserve">ee paragraph </w:t>
            </w:r>
            <w:r w:rsidR="007E74FF" w:rsidRPr="00731632">
              <w:rPr>
                <w:rFonts w:cs="Calibri"/>
                <w:iCs/>
                <w:color w:val="000000"/>
                <w:szCs w:val="20"/>
              </w:rPr>
              <w:fldChar w:fldCharType="begin"/>
            </w:r>
            <w:r w:rsidR="007E74FF" w:rsidRPr="00731632">
              <w:rPr>
                <w:rFonts w:cs="Calibri"/>
                <w:iCs/>
                <w:color w:val="000000"/>
                <w:szCs w:val="20"/>
              </w:rPr>
              <w:instrText xml:space="preserve"> REF _Ref172736635 \r \h </w:instrText>
            </w:r>
            <w:r w:rsidR="007E74FF" w:rsidRPr="00731632">
              <w:rPr>
                <w:rFonts w:cs="Calibri"/>
                <w:iCs/>
                <w:color w:val="000000"/>
                <w:szCs w:val="20"/>
              </w:rPr>
            </w:r>
            <w:r w:rsidR="007E74FF" w:rsidRPr="00731632">
              <w:rPr>
                <w:rFonts w:cs="Calibri"/>
                <w:iCs/>
                <w:color w:val="000000"/>
                <w:szCs w:val="20"/>
              </w:rPr>
              <w:fldChar w:fldCharType="separate"/>
            </w:r>
            <w:r w:rsidR="00D770BB">
              <w:rPr>
                <w:rFonts w:cs="Calibri"/>
                <w:iCs/>
                <w:color w:val="000000"/>
                <w:szCs w:val="20"/>
              </w:rPr>
              <w:t>6.61</w:t>
            </w:r>
            <w:r w:rsidR="007E74FF" w:rsidRPr="00731632">
              <w:rPr>
                <w:rFonts w:cs="Calibri"/>
                <w:iCs/>
                <w:color w:val="000000"/>
                <w:szCs w:val="20"/>
              </w:rPr>
              <w:fldChar w:fldCharType="end"/>
            </w:r>
            <w:r w:rsidR="006753C1" w:rsidRPr="00731632">
              <w:rPr>
                <w:rFonts w:cs="Calibri"/>
                <w:iCs/>
                <w:color w:val="000000"/>
                <w:szCs w:val="20"/>
              </w:rPr>
              <w:t>)</w:t>
            </w:r>
            <w:r w:rsidR="007E74FF" w:rsidRPr="00731632">
              <w:rPr>
                <w:rFonts w:cs="Calibri"/>
                <w:iCs/>
                <w:color w:val="000000"/>
                <w:szCs w:val="20"/>
              </w:rPr>
              <w:t>.</w:t>
            </w:r>
          </w:p>
        </w:tc>
      </w:tr>
      <w:tr w:rsidR="00EE2FBE" w:rsidRPr="00731632" w14:paraId="0CE5A569" w14:textId="77777777" w:rsidTr="00866F91">
        <w:tc>
          <w:tcPr>
            <w:tcW w:w="784" w:type="pct"/>
            <w:shd w:val="clear" w:color="auto" w:fill="auto"/>
            <w:vAlign w:val="center"/>
          </w:tcPr>
          <w:p w14:paraId="50E3D285" w14:textId="77777777" w:rsidR="00EE2FBE" w:rsidRPr="00731632" w:rsidRDefault="00EE2FBE" w:rsidP="00866F91">
            <w:pPr>
              <w:pStyle w:val="TableText0"/>
              <w:keepNext w:val="0"/>
              <w:widowControl w:val="0"/>
              <w:rPr>
                <w:szCs w:val="20"/>
              </w:rPr>
            </w:pPr>
            <w:r w:rsidRPr="00731632">
              <w:rPr>
                <w:rFonts w:cs="Calibri"/>
                <w:color w:val="000000"/>
                <w:szCs w:val="20"/>
              </w:rPr>
              <w:t>Case fatality ratio applied to hospitalised infants</w:t>
            </w:r>
          </w:p>
        </w:tc>
        <w:tc>
          <w:tcPr>
            <w:tcW w:w="1178" w:type="pct"/>
            <w:shd w:val="clear" w:color="auto" w:fill="auto"/>
            <w:vAlign w:val="center"/>
          </w:tcPr>
          <w:p w14:paraId="4F1012C1" w14:textId="77777777" w:rsidR="00EE2FBE" w:rsidRPr="00731632" w:rsidRDefault="00EE2FBE" w:rsidP="00866F91">
            <w:pPr>
              <w:pStyle w:val="TableText0"/>
              <w:keepNext w:val="0"/>
              <w:widowControl w:val="0"/>
              <w:rPr>
                <w:szCs w:val="20"/>
              </w:rPr>
            </w:pPr>
            <w:r w:rsidRPr="00731632">
              <w:rPr>
                <w:rFonts w:cs="Calibri"/>
                <w:color w:val="000000"/>
                <w:szCs w:val="20"/>
              </w:rPr>
              <w:t>The proportion of infants hospitalised with RSV who die is modelled to be 0.0033%.</w:t>
            </w:r>
          </w:p>
        </w:tc>
        <w:tc>
          <w:tcPr>
            <w:tcW w:w="3038" w:type="pct"/>
            <w:shd w:val="clear" w:color="auto" w:fill="auto"/>
            <w:vAlign w:val="center"/>
          </w:tcPr>
          <w:p w14:paraId="36AC592B" w14:textId="6B079389" w:rsidR="00EE2FBE" w:rsidRPr="00731632" w:rsidRDefault="00EE2FBE" w:rsidP="00866F91">
            <w:pPr>
              <w:pStyle w:val="TableText0"/>
              <w:keepNext w:val="0"/>
              <w:widowControl w:val="0"/>
              <w:rPr>
                <w:iCs/>
                <w:szCs w:val="20"/>
              </w:rPr>
            </w:pPr>
            <w:r w:rsidRPr="00731632">
              <w:rPr>
                <w:rFonts w:cs="Calibri"/>
                <w:iCs/>
                <w:color w:val="000000"/>
                <w:szCs w:val="20"/>
              </w:rPr>
              <w:t xml:space="preserve">Moderate, favours standard of care. The estimate of mortality due to RSV in hospitalised infants used in the submission could not be replicated. The stated source for the model reports 20 RSV attributable deaths in 9,779 RSV hospitalisations. This results in a case fatality ratio of 0.2%. Applying this in the model reduces the ICER by approximately 24%. </w:t>
            </w:r>
            <w:r w:rsidR="00496E6F" w:rsidRPr="00731632">
              <w:rPr>
                <w:rFonts w:cs="Calibri"/>
                <w:iCs/>
                <w:color w:val="000000"/>
                <w:szCs w:val="20"/>
              </w:rPr>
              <w:t>The PSCR agreed with the evaluation that the case fatality rate used in the submission was an under-estimation</w:t>
            </w:r>
            <w:r w:rsidR="006753C1" w:rsidRPr="00731632">
              <w:rPr>
                <w:rFonts w:cs="Calibri"/>
                <w:iCs/>
                <w:color w:val="000000"/>
                <w:szCs w:val="20"/>
              </w:rPr>
              <w:t xml:space="preserve"> (s</w:t>
            </w:r>
            <w:r w:rsidR="009E6E67" w:rsidRPr="00731632">
              <w:rPr>
                <w:rFonts w:cs="Calibri"/>
                <w:iCs/>
                <w:color w:val="000000"/>
                <w:szCs w:val="20"/>
              </w:rPr>
              <w:t xml:space="preserve">ee paragraph </w:t>
            </w:r>
            <w:r w:rsidR="009E6E67" w:rsidRPr="00731632">
              <w:rPr>
                <w:rFonts w:cs="Calibri"/>
                <w:iCs/>
                <w:color w:val="000000"/>
                <w:szCs w:val="20"/>
              </w:rPr>
              <w:fldChar w:fldCharType="begin"/>
            </w:r>
            <w:r w:rsidR="009E6E67" w:rsidRPr="00731632">
              <w:rPr>
                <w:rFonts w:cs="Calibri"/>
                <w:iCs/>
                <w:color w:val="000000"/>
                <w:szCs w:val="20"/>
              </w:rPr>
              <w:instrText xml:space="preserve"> REF _Ref172736725 \r \h </w:instrText>
            </w:r>
            <w:r w:rsidR="009E6E67" w:rsidRPr="00731632">
              <w:rPr>
                <w:rFonts w:cs="Calibri"/>
                <w:iCs/>
                <w:color w:val="000000"/>
                <w:szCs w:val="20"/>
              </w:rPr>
            </w:r>
            <w:r w:rsidR="009E6E67" w:rsidRPr="00731632">
              <w:rPr>
                <w:rFonts w:cs="Calibri"/>
                <w:iCs/>
                <w:color w:val="000000"/>
                <w:szCs w:val="20"/>
              </w:rPr>
              <w:fldChar w:fldCharType="separate"/>
            </w:r>
            <w:r w:rsidR="00D770BB">
              <w:rPr>
                <w:rFonts w:cs="Calibri"/>
                <w:iCs/>
                <w:color w:val="000000"/>
                <w:szCs w:val="20"/>
              </w:rPr>
              <w:t>6.63</w:t>
            </w:r>
            <w:r w:rsidR="009E6E67" w:rsidRPr="00731632">
              <w:rPr>
                <w:rFonts w:cs="Calibri"/>
                <w:iCs/>
                <w:color w:val="000000"/>
                <w:szCs w:val="20"/>
              </w:rPr>
              <w:fldChar w:fldCharType="end"/>
            </w:r>
            <w:r w:rsidR="006753C1" w:rsidRPr="00731632">
              <w:rPr>
                <w:rFonts w:cs="Calibri"/>
                <w:iCs/>
                <w:color w:val="000000"/>
                <w:szCs w:val="20"/>
              </w:rPr>
              <w:t>)</w:t>
            </w:r>
            <w:r w:rsidR="009E6E67" w:rsidRPr="00731632">
              <w:rPr>
                <w:rFonts w:cs="Calibri"/>
                <w:iCs/>
                <w:color w:val="000000"/>
                <w:szCs w:val="20"/>
              </w:rPr>
              <w:t>.</w:t>
            </w:r>
          </w:p>
        </w:tc>
      </w:tr>
      <w:tr w:rsidR="00EE2FBE" w:rsidRPr="00731632" w14:paraId="1A934F8A" w14:textId="77777777" w:rsidTr="00866F91">
        <w:tc>
          <w:tcPr>
            <w:tcW w:w="784" w:type="pct"/>
            <w:shd w:val="clear" w:color="auto" w:fill="auto"/>
            <w:vAlign w:val="center"/>
          </w:tcPr>
          <w:p w14:paraId="61075800" w14:textId="77777777" w:rsidR="00EE2FBE" w:rsidRPr="00731632" w:rsidRDefault="00EE2FBE" w:rsidP="00866F91">
            <w:pPr>
              <w:pStyle w:val="TableText0"/>
              <w:keepNext w:val="0"/>
              <w:widowControl w:val="0"/>
              <w:rPr>
                <w:szCs w:val="20"/>
              </w:rPr>
            </w:pPr>
            <w:r w:rsidRPr="00731632">
              <w:rPr>
                <w:rFonts w:cs="Calibri"/>
                <w:color w:val="000000"/>
                <w:szCs w:val="20"/>
              </w:rPr>
              <w:t>Emergency attendance costs</w:t>
            </w:r>
          </w:p>
        </w:tc>
        <w:tc>
          <w:tcPr>
            <w:tcW w:w="1178" w:type="pct"/>
            <w:shd w:val="clear" w:color="auto" w:fill="auto"/>
            <w:vAlign w:val="center"/>
          </w:tcPr>
          <w:p w14:paraId="71C7F44E" w14:textId="3293733F" w:rsidR="00EE2FBE" w:rsidRPr="00731632" w:rsidRDefault="00EE2FBE" w:rsidP="00866F91">
            <w:pPr>
              <w:pStyle w:val="TableText0"/>
              <w:keepNext w:val="0"/>
              <w:widowControl w:val="0"/>
              <w:rPr>
                <w:szCs w:val="20"/>
              </w:rPr>
            </w:pPr>
            <w:r w:rsidRPr="00731632">
              <w:rPr>
                <w:rFonts w:cs="Calibri"/>
                <w:color w:val="000000"/>
                <w:szCs w:val="20"/>
              </w:rPr>
              <w:t>The cost of an ED attendance, $1,907.81,</w:t>
            </w:r>
            <w:r w:rsidR="00F677B5" w:rsidRPr="00731632">
              <w:rPr>
                <w:rFonts w:cs="Calibri"/>
                <w:color w:val="000000"/>
                <w:szCs w:val="20"/>
              </w:rPr>
              <w:t xml:space="preserve"> was </w:t>
            </w:r>
            <w:r w:rsidRPr="00731632">
              <w:rPr>
                <w:rFonts w:cs="Calibri"/>
                <w:color w:val="000000"/>
                <w:szCs w:val="20"/>
              </w:rPr>
              <w:t>based on a costing study in children who</w:t>
            </w:r>
            <w:r w:rsidR="00F677B5" w:rsidRPr="00731632">
              <w:rPr>
                <w:rFonts w:cs="Calibri"/>
                <w:color w:val="000000"/>
                <w:szCs w:val="20"/>
              </w:rPr>
              <w:t xml:space="preserve"> were </w:t>
            </w:r>
            <w:r w:rsidRPr="00731632">
              <w:rPr>
                <w:rFonts w:cs="Calibri"/>
                <w:color w:val="000000"/>
                <w:szCs w:val="20"/>
              </w:rPr>
              <w:t>hospitalised with RSV.</w:t>
            </w:r>
          </w:p>
        </w:tc>
        <w:tc>
          <w:tcPr>
            <w:tcW w:w="3038" w:type="pct"/>
            <w:shd w:val="clear" w:color="auto" w:fill="auto"/>
            <w:vAlign w:val="center"/>
          </w:tcPr>
          <w:p w14:paraId="1EF43B4A" w14:textId="3E0BD665" w:rsidR="00EE2FBE" w:rsidRPr="00731632" w:rsidRDefault="00EE2FBE" w:rsidP="00866F91">
            <w:pPr>
              <w:pStyle w:val="TableText0"/>
              <w:keepNext w:val="0"/>
              <w:widowControl w:val="0"/>
              <w:rPr>
                <w:iCs/>
                <w:szCs w:val="20"/>
              </w:rPr>
            </w:pPr>
            <w:r w:rsidRPr="00731632">
              <w:rPr>
                <w:rFonts w:cs="Calibri"/>
                <w:iCs/>
                <w:color w:val="000000"/>
                <w:szCs w:val="20"/>
              </w:rPr>
              <w:t xml:space="preserve">Moderate, favours nirsevimab. ED costs in </w:t>
            </w:r>
            <w:r w:rsidR="00B63F4A" w:rsidRPr="00731632">
              <w:rPr>
                <w:rFonts w:cs="Calibri"/>
                <w:iCs/>
                <w:color w:val="000000"/>
                <w:szCs w:val="20"/>
              </w:rPr>
              <w:t>individuals</w:t>
            </w:r>
            <w:r w:rsidRPr="00731632">
              <w:rPr>
                <w:rFonts w:cs="Calibri"/>
                <w:iCs/>
                <w:color w:val="000000"/>
                <w:szCs w:val="20"/>
              </w:rPr>
              <w:t xml:space="preserve"> who</w:t>
            </w:r>
            <w:r w:rsidR="00F677B5" w:rsidRPr="00731632">
              <w:rPr>
                <w:rFonts w:cs="Calibri"/>
                <w:iCs/>
                <w:color w:val="000000"/>
                <w:szCs w:val="20"/>
              </w:rPr>
              <w:t xml:space="preserve"> were </w:t>
            </w:r>
            <w:r w:rsidRPr="00731632">
              <w:rPr>
                <w:rFonts w:cs="Calibri"/>
                <w:iCs/>
                <w:color w:val="000000"/>
                <w:szCs w:val="20"/>
              </w:rPr>
              <w:t>hospitalised</w:t>
            </w:r>
            <w:r w:rsidR="00F677B5" w:rsidRPr="00731632">
              <w:rPr>
                <w:rFonts w:cs="Calibri"/>
                <w:iCs/>
                <w:color w:val="000000"/>
                <w:szCs w:val="20"/>
              </w:rPr>
              <w:t xml:space="preserve"> were </w:t>
            </w:r>
            <w:r w:rsidRPr="00731632">
              <w:rPr>
                <w:rFonts w:cs="Calibri"/>
                <w:iCs/>
                <w:color w:val="000000"/>
                <w:szCs w:val="20"/>
              </w:rPr>
              <w:t xml:space="preserve">substantially greater than ED costs in </w:t>
            </w:r>
            <w:r w:rsidR="00B63F4A" w:rsidRPr="00731632">
              <w:rPr>
                <w:rFonts w:cs="Calibri"/>
                <w:iCs/>
                <w:color w:val="000000"/>
                <w:szCs w:val="20"/>
              </w:rPr>
              <w:t>individuals</w:t>
            </w:r>
            <w:r w:rsidRPr="00731632">
              <w:rPr>
                <w:rFonts w:cs="Calibri"/>
                <w:iCs/>
                <w:color w:val="000000"/>
                <w:szCs w:val="20"/>
              </w:rPr>
              <w:t xml:space="preserve"> who</w:t>
            </w:r>
            <w:r w:rsidR="00F677B5" w:rsidRPr="00731632">
              <w:rPr>
                <w:rFonts w:cs="Calibri"/>
                <w:iCs/>
                <w:color w:val="000000"/>
                <w:szCs w:val="20"/>
              </w:rPr>
              <w:t xml:space="preserve"> were </w:t>
            </w:r>
            <w:r w:rsidRPr="00731632">
              <w:rPr>
                <w:rFonts w:cs="Calibri"/>
                <w:iCs/>
                <w:color w:val="000000"/>
                <w:szCs w:val="20"/>
              </w:rPr>
              <w:t>discharged without admission. The NHCDC indicates that a non-admitted ED attendance</w:t>
            </w:r>
            <w:r w:rsidR="00F677B5" w:rsidRPr="00731632">
              <w:rPr>
                <w:rFonts w:cs="Calibri"/>
                <w:iCs/>
                <w:color w:val="000000"/>
                <w:szCs w:val="20"/>
              </w:rPr>
              <w:t xml:space="preserve"> was </w:t>
            </w:r>
            <w:r w:rsidRPr="00731632">
              <w:rPr>
                <w:rFonts w:cs="Calibri"/>
                <w:iCs/>
                <w:color w:val="000000"/>
                <w:szCs w:val="20"/>
              </w:rPr>
              <w:t>about 50% of the cost of an admitted ED attendance. Reducing this cost by 50% results in an increase in the ICER of 45.78%</w:t>
            </w:r>
            <w:r w:rsidR="006753C1" w:rsidRPr="00731632">
              <w:rPr>
                <w:rFonts w:cs="Calibri"/>
                <w:iCs/>
                <w:color w:val="000000"/>
                <w:szCs w:val="20"/>
              </w:rPr>
              <w:t xml:space="preserve"> (s</w:t>
            </w:r>
            <w:r w:rsidR="00B652A8" w:rsidRPr="00731632">
              <w:rPr>
                <w:rFonts w:cs="Calibri"/>
                <w:iCs/>
                <w:color w:val="000000"/>
                <w:szCs w:val="20"/>
              </w:rPr>
              <w:t xml:space="preserve">ee paragraph </w:t>
            </w:r>
            <w:r w:rsidR="00B652A8" w:rsidRPr="00731632">
              <w:rPr>
                <w:rFonts w:cs="Calibri"/>
                <w:iCs/>
                <w:color w:val="000000"/>
                <w:szCs w:val="20"/>
              </w:rPr>
              <w:fldChar w:fldCharType="begin"/>
            </w:r>
            <w:r w:rsidR="00B652A8" w:rsidRPr="00731632">
              <w:rPr>
                <w:rFonts w:cs="Calibri"/>
                <w:iCs/>
                <w:color w:val="000000"/>
                <w:szCs w:val="20"/>
              </w:rPr>
              <w:instrText xml:space="preserve"> REF _Ref172737098 \r \h </w:instrText>
            </w:r>
            <w:r w:rsidR="00B652A8" w:rsidRPr="00731632">
              <w:rPr>
                <w:rFonts w:cs="Calibri"/>
                <w:iCs/>
                <w:color w:val="000000"/>
                <w:szCs w:val="20"/>
              </w:rPr>
            </w:r>
            <w:r w:rsidR="00B652A8" w:rsidRPr="00731632">
              <w:rPr>
                <w:rFonts w:cs="Calibri"/>
                <w:iCs/>
                <w:color w:val="000000"/>
                <w:szCs w:val="20"/>
              </w:rPr>
              <w:fldChar w:fldCharType="separate"/>
            </w:r>
            <w:r w:rsidR="00D770BB">
              <w:rPr>
                <w:rFonts w:cs="Calibri"/>
                <w:iCs/>
                <w:color w:val="000000"/>
                <w:szCs w:val="20"/>
              </w:rPr>
              <w:t>6.71</w:t>
            </w:r>
            <w:r w:rsidR="00B652A8" w:rsidRPr="00731632">
              <w:rPr>
                <w:rFonts w:cs="Calibri"/>
                <w:iCs/>
                <w:color w:val="000000"/>
                <w:szCs w:val="20"/>
              </w:rPr>
              <w:fldChar w:fldCharType="end"/>
            </w:r>
            <w:r w:rsidR="006753C1" w:rsidRPr="00731632">
              <w:rPr>
                <w:rFonts w:cs="Calibri"/>
                <w:iCs/>
                <w:color w:val="000000"/>
                <w:szCs w:val="20"/>
              </w:rPr>
              <w:t>)</w:t>
            </w:r>
            <w:r w:rsidR="00B652A8" w:rsidRPr="00731632">
              <w:rPr>
                <w:rFonts w:cs="Calibri"/>
                <w:iCs/>
                <w:color w:val="000000"/>
                <w:szCs w:val="20"/>
              </w:rPr>
              <w:t>.</w:t>
            </w:r>
          </w:p>
        </w:tc>
      </w:tr>
      <w:tr w:rsidR="00EE2FBE" w:rsidRPr="00731632" w14:paraId="32132C08" w14:textId="77777777" w:rsidTr="00866F91">
        <w:tc>
          <w:tcPr>
            <w:tcW w:w="784" w:type="pct"/>
            <w:shd w:val="clear" w:color="auto" w:fill="auto"/>
            <w:vAlign w:val="center"/>
          </w:tcPr>
          <w:p w14:paraId="205F29D1" w14:textId="4A04C95A" w:rsidR="00EE2FBE" w:rsidRPr="00731632" w:rsidRDefault="00EE2FBE" w:rsidP="00866F91">
            <w:pPr>
              <w:pStyle w:val="TableText0"/>
              <w:keepNext w:val="0"/>
              <w:widowControl w:val="0"/>
              <w:rPr>
                <w:szCs w:val="20"/>
              </w:rPr>
            </w:pPr>
            <w:r w:rsidRPr="00731632">
              <w:rPr>
                <w:rFonts w:cs="Calibri"/>
                <w:color w:val="000000"/>
                <w:szCs w:val="20"/>
              </w:rPr>
              <w:t>Duration over which disutilities for RSV health states</w:t>
            </w:r>
            <w:r w:rsidR="00F677B5" w:rsidRPr="00731632">
              <w:rPr>
                <w:rFonts w:cs="Calibri"/>
                <w:color w:val="000000"/>
                <w:szCs w:val="20"/>
              </w:rPr>
              <w:t xml:space="preserve"> were </w:t>
            </w:r>
            <w:r w:rsidRPr="00731632">
              <w:rPr>
                <w:rFonts w:cs="Calibri"/>
                <w:color w:val="000000"/>
                <w:szCs w:val="20"/>
              </w:rPr>
              <w:t>applied.</w:t>
            </w:r>
          </w:p>
        </w:tc>
        <w:tc>
          <w:tcPr>
            <w:tcW w:w="1178" w:type="pct"/>
            <w:shd w:val="clear" w:color="auto" w:fill="auto"/>
            <w:vAlign w:val="center"/>
          </w:tcPr>
          <w:p w14:paraId="7DD3F1BE" w14:textId="19887716" w:rsidR="00EE2FBE" w:rsidRPr="00731632" w:rsidRDefault="00EE2FBE" w:rsidP="00866F91">
            <w:pPr>
              <w:pStyle w:val="TableText0"/>
              <w:keepNext w:val="0"/>
              <w:widowControl w:val="0"/>
              <w:rPr>
                <w:szCs w:val="20"/>
              </w:rPr>
            </w:pPr>
            <w:r w:rsidRPr="00731632">
              <w:rPr>
                <w:rFonts w:cs="Calibri"/>
                <w:color w:val="000000"/>
                <w:szCs w:val="20"/>
              </w:rPr>
              <w:t>Disutilities</w:t>
            </w:r>
            <w:r w:rsidR="00F677B5" w:rsidRPr="00731632">
              <w:rPr>
                <w:rFonts w:cs="Calibri"/>
                <w:color w:val="000000"/>
                <w:szCs w:val="20"/>
              </w:rPr>
              <w:t xml:space="preserve"> were </w:t>
            </w:r>
            <w:r w:rsidRPr="00731632">
              <w:rPr>
                <w:rFonts w:cs="Calibri"/>
                <w:color w:val="000000"/>
                <w:szCs w:val="20"/>
              </w:rPr>
              <w:t>applied for a full model cycle (1 month).</w:t>
            </w:r>
          </w:p>
        </w:tc>
        <w:tc>
          <w:tcPr>
            <w:tcW w:w="3038" w:type="pct"/>
            <w:shd w:val="clear" w:color="auto" w:fill="auto"/>
            <w:vAlign w:val="center"/>
          </w:tcPr>
          <w:p w14:paraId="46EDF66A" w14:textId="06B2F0B7" w:rsidR="00EE2FBE" w:rsidRPr="00731632" w:rsidRDefault="00EE2FBE" w:rsidP="00866F91">
            <w:pPr>
              <w:pStyle w:val="TableText0"/>
              <w:keepNext w:val="0"/>
              <w:widowControl w:val="0"/>
              <w:rPr>
                <w:iCs/>
                <w:szCs w:val="20"/>
              </w:rPr>
            </w:pPr>
            <w:r w:rsidRPr="00731632">
              <w:rPr>
                <w:rFonts w:cs="Calibri"/>
                <w:iCs/>
                <w:color w:val="000000"/>
                <w:szCs w:val="20"/>
              </w:rPr>
              <w:t>Moderate to high, favours nirsevimab. The disutilities for primary care RSV attended by a GP, emergency department attended RSV, hospitalised RSV and ICU RSV were sourced from a study that applied these disutilities for the duration of the event. The duration of the events in this study were substantially shorter than 1 month. Adjusting the disutilities in the model so that the same loss in QALYs</w:t>
            </w:r>
            <w:r w:rsidR="00F677B5" w:rsidRPr="00731632">
              <w:rPr>
                <w:rFonts w:cs="Calibri"/>
                <w:iCs/>
                <w:color w:val="000000"/>
                <w:szCs w:val="20"/>
              </w:rPr>
              <w:t xml:space="preserve"> was </w:t>
            </w:r>
            <w:r w:rsidRPr="00731632">
              <w:rPr>
                <w:rFonts w:cs="Calibri"/>
                <w:iCs/>
                <w:color w:val="000000"/>
                <w:szCs w:val="20"/>
              </w:rPr>
              <w:t xml:space="preserve">observed as would have been had the duration of the event been implemented increases the ICER by 48.5% (see </w:t>
            </w:r>
            <w:r w:rsidRPr="00731632">
              <w:rPr>
                <w:rFonts w:cs="Calibri"/>
                <w:iCs/>
                <w:color w:val="000000"/>
                <w:szCs w:val="20"/>
              </w:rPr>
              <w:fldChar w:fldCharType="begin"/>
            </w:r>
            <w:r w:rsidRPr="00731632">
              <w:rPr>
                <w:rFonts w:cs="Calibri"/>
                <w:iCs/>
                <w:color w:val="000000"/>
                <w:szCs w:val="20"/>
              </w:rPr>
              <w:instrText xml:space="preserve"> REF _Ref166147829 \h  \* MERGEFORMAT </w:instrText>
            </w:r>
            <w:r w:rsidRPr="00731632">
              <w:rPr>
                <w:rFonts w:cs="Calibri"/>
                <w:iCs/>
                <w:color w:val="000000"/>
                <w:szCs w:val="20"/>
              </w:rPr>
            </w:r>
            <w:r w:rsidRPr="00731632">
              <w:rPr>
                <w:rFonts w:cs="Calibri"/>
                <w:iCs/>
                <w:color w:val="000000"/>
                <w:szCs w:val="20"/>
              </w:rPr>
              <w:fldChar w:fldCharType="separate"/>
            </w:r>
            <w:r w:rsidR="00D770BB" w:rsidRPr="00D770BB">
              <w:rPr>
                <w:iCs/>
              </w:rPr>
              <w:t>Table 18</w:t>
            </w:r>
            <w:r w:rsidRPr="00731632">
              <w:rPr>
                <w:rFonts w:cs="Calibri"/>
                <w:iCs/>
                <w:color w:val="000000"/>
                <w:szCs w:val="20"/>
              </w:rPr>
              <w:fldChar w:fldCharType="end"/>
            </w:r>
            <w:r w:rsidRPr="00731632">
              <w:rPr>
                <w:rFonts w:cs="Calibri"/>
                <w:iCs/>
                <w:color w:val="000000"/>
                <w:szCs w:val="20"/>
              </w:rPr>
              <w:t xml:space="preserve"> for derivation of disutilities).</w:t>
            </w:r>
            <w:r w:rsidR="004C4EAC" w:rsidRPr="00731632">
              <w:rPr>
                <w:rFonts w:cs="Calibri"/>
                <w:iCs/>
                <w:color w:val="000000"/>
                <w:szCs w:val="20"/>
              </w:rPr>
              <w:t xml:space="preserve"> The PSCR stated) that even if disutilities</w:t>
            </w:r>
            <w:r w:rsidR="00F677B5" w:rsidRPr="00731632">
              <w:rPr>
                <w:rFonts w:cs="Calibri"/>
                <w:iCs/>
                <w:color w:val="000000"/>
                <w:szCs w:val="20"/>
              </w:rPr>
              <w:t xml:space="preserve"> were </w:t>
            </w:r>
            <w:r w:rsidR="004C4EAC" w:rsidRPr="00731632">
              <w:rPr>
                <w:rFonts w:cs="Calibri"/>
                <w:iCs/>
                <w:color w:val="000000"/>
                <w:szCs w:val="20"/>
              </w:rPr>
              <w:t>20% of their current value, nirsevimab</w:t>
            </w:r>
            <w:r w:rsidR="00F677B5" w:rsidRPr="00731632">
              <w:rPr>
                <w:rFonts w:cs="Calibri"/>
                <w:iCs/>
                <w:color w:val="000000"/>
                <w:szCs w:val="20"/>
              </w:rPr>
              <w:t xml:space="preserve"> was </w:t>
            </w:r>
            <w:r w:rsidR="004C4EAC" w:rsidRPr="00731632">
              <w:rPr>
                <w:rFonts w:cs="Calibri"/>
                <w:iCs/>
                <w:color w:val="000000"/>
                <w:szCs w:val="20"/>
              </w:rPr>
              <w:t>still cost-effective and that the model results</w:t>
            </w:r>
            <w:r w:rsidR="00F677B5" w:rsidRPr="00731632">
              <w:rPr>
                <w:rFonts w:cs="Calibri"/>
                <w:iCs/>
                <w:color w:val="000000"/>
                <w:szCs w:val="20"/>
              </w:rPr>
              <w:t xml:space="preserve"> were </w:t>
            </w:r>
            <w:r w:rsidR="004C4EAC" w:rsidRPr="00731632">
              <w:rPr>
                <w:rFonts w:cs="Calibri"/>
                <w:iCs/>
                <w:color w:val="000000"/>
                <w:szCs w:val="20"/>
              </w:rPr>
              <w:t xml:space="preserve">not sensitive to changes in disutilities associated with RSV health states. However, the ESC considered that </w:t>
            </w:r>
            <w:r w:rsidR="00240E22" w:rsidRPr="00731632">
              <w:rPr>
                <w:rFonts w:cs="Calibri"/>
                <w:iCs/>
                <w:color w:val="000000"/>
                <w:szCs w:val="20"/>
              </w:rPr>
              <w:t>the submission’s approach was not reasonable</w:t>
            </w:r>
            <w:r w:rsidR="006753C1" w:rsidRPr="00731632">
              <w:rPr>
                <w:rFonts w:cs="Calibri"/>
                <w:iCs/>
                <w:color w:val="000000"/>
                <w:szCs w:val="20"/>
              </w:rPr>
              <w:t xml:space="preserve"> (s</w:t>
            </w:r>
            <w:r w:rsidR="00433ACE" w:rsidRPr="00731632">
              <w:rPr>
                <w:rFonts w:cs="Calibri"/>
                <w:iCs/>
                <w:color w:val="000000"/>
                <w:szCs w:val="20"/>
              </w:rPr>
              <w:t xml:space="preserve">ee paragraph </w:t>
            </w:r>
            <w:r w:rsidR="00433ACE" w:rsidRPr="00731632">
              <w:rPr>
                <w:rFonts w:cs="Calibri"/>
                <w:iCs/>
                <w:color w:val="000000"/>
                <w:szCs w:val="20"/>
              </w:rPr>
              <w:fldChar w:fldCharType="begin"/>
            </w:r>
            <w:r w:rsidR="00433ACE" w:rsidRPr="00731632">
              <w:rPr>
                <w:rFonts w:cs="Calibri"/>
                <w:iCs/>
                <w:color w:val="000000"/>
                <w:szCs w:val="20"/>
              </w:rPr>
              <w:instrText xml:space="preserve"> REF _Ref172736870 \r \h </w:instrText>
            </w:r>
            <w:r w:rsidR="00433ACE" w:rsidRPr="00731632">
              <w:rPr>
                <w:rFonts w:cs="Calibri"/>
                <w:iCs/>
                <w:color w:val="000000"/>
                <w:szCs w:val="20"/>
              </w:rPr>
            </w:r>
            <w:r w:rsidR="00433ACE" w:rsidRPr="00731632">
              <w:rPr>
                <w:rFonts w:cs="Calibri"/>
                <w:iCs/>
                <w:color w:val="000000"/>
                <w:szCs w:val="20"/>
              </w:rPr>
              <w:fldChar w:fldCharType="separate"/>
            </w:r>
            <w:r w:rsidR="00D770BB">
              <w:rPr>
                <w:rFonts w:cs="Calibri"/>
                <w:iCs/>
                <w:color w:val="000000"/>
                <w:szCs w:val="20"/>
              </w:rPr>
              <w:t>6.64</w:t>
            </w:r>
            <w:r w:rsidR="00433ACE" w:rsidRPr="00731632">
              <w:rPr>
                <w:rFonts w:cs="Calibri"/>
                <w:iCs/>
                <w:color w:val="000000"/>
                <w:szCs w:val="20"/>
              </w:rPr>
              <w:fldChar w:fldCharType="end"/>
            </w:r>
            <w:r w:rsidR="006753C1" w:rsidRPr="00731632">
              <w:rPr>
                <w:rFonts w:cs="Calibri"/>
                <w:iCs/>
                <w:color w:val="000000"/>
                <w:szCs w:val="20"/>
              </w:rPr>
              <w:t>)</w:t>
            </w:r>
            <w:r w:rsidR="00433ACE" w:rsidRPr="00731632">
              <w:rPr>
                <w:rFonts w:cs="Calibri"/>
                <w:iCs/>
                <w:color w:val="000000"/>
                <w:szCs w:val="20"/>
              </w:rPr>
              <w:t>.</w:t>
            </w:r>
          </w:p>
        </w:tc>
      </w:tr>
      <w:tr w:rsidR="00EE2FBE" w:rsidRPr="00731632" w14:paraId="1D6D2B72" w14:textId="77777777" w:rsidTr="00866F91">
        <w:tc>
          <w:tcPr>
            <w:tcW w:w="784" w:type="pct"/>
            <w:shd w:val="clear" w:color="auto" w:fill="auto"/>
            <w:vAlign w:val="center"/>
          </w:tcPr>
          <w:p w14:paraId="248CFB7C" w14:textId="309EC11E" w:rsidR="00EE2FBE" w:rsidRPr="00731632" w:rsidRDefault="00EE2FBE" w:rsidP="00866F91">
            <w:pPr>
              <w:pStyle w:val="TableText0"/>
              <w:keepNext w:val="0"/>
              <w:widowControl w:val="0"/>
              <w:rPr>
                <w:szCs w:val="20"/>
              </w:rPr>
            </w:pPr>
            <w:r w:rsidRPr="00731632">
              <w:rPr>
                <w:rFonts w:cs="Calibri"/>
                <w:color w:val="000000"/>
                <w:szCs w:val="20"/>
              </w:rPr>
              <w:t>Hospitalisation costs</w:t>
            </w:r>
          </w:p>
        </w:tc>
        <w:tc>
          <w:tcPr>
            <w:tcW w:w="1178" w:type="pct"/>
            <w:shd w:val="clear" w:color="auto" w:fill="auto"/>
            <w:vAlign w:val="center"/>
          </w:tcPr>
          <w:p w14:paraId="4F988FF3" w14:textId="4AF9FC6B" w:rsidR="00EE2FBE" w:rsidRPr="00731632" w:rsidRDefault="00EE2FBE" w:rsidP="00866F91">
            <w:pPr>
              <w:pStyle w:val="TableText0"/>
              <w:keepNext w:val="0"/>
              <w:widowControl w:val="0"/>
              <w:rPr>
                <w:szCs w:val="20"/>
              </w:rPr>
            </w:pPr>
            <w:r w:rsidRPr="00731632">
              <w:rPr>
                <w:rFonts w:cs="Calibri"/>
                <w:color w:val="000000"/>
                <w:szCs w:val="20"/>
              </w:rPr>
              <w:t>Hospitalisation costs exclude ED costs.</w:t>
            </w:r>
          </w:p>
        </w:tc>
        <w:tc>
          <w:tcPr>
            <w:tcW w:w="3038" w:type="pct"/>
            <w:shd w:val="clear" w:color="auto" w:fill="auto"/>
            <w:vAlign w:val="center"/>
          </w:tcPr>
          <w:p w14:paraId="2AD73731" w14:textId="5BBC93C9" w:rsidR="00EE2FBE" w:rsidRPr="00731632" w:rsidRDefault="00EE2FBE" w:rsidP="00866F91">
            <w:pPr>
              <w:pStyle w:val="TableText0"/>
              <w:keepNext w:val="0"/>
              <w:widowControl w:val="0"/>
              <w:rPr>
                <w:iCs/>
                <w:szCs w:val="20"/>
              </w:rPr>
            </w:pPr>
            <w:r w:rsidRPr="00731632">
              <w:rPr>
                <w:rFonts w:cs="Calibri"/>
                <w:iCs/>
                <w:color w:val="000000"/>
                <w:szCs w:val="20"/>
              </w:rPr>
              <w:t xml:space="preserve">High, favours standard of care. The source of the hospitalisation costs excludes emergency department costs. However, almost 90% of all </w:t>
            </w:r>
            <w:r w:rsidR="00B63F4A" w:rsidRPr="00731632">
              <w:rPr>
                <w:rFonts w:cs="Calibri"/>
                <w:iCs/>
                <w:color w:val="000000"/>
                <w:szCs w:val="20"/>
              </w:rPr>
              <w:t>individuals</w:t>
            </w:r>
            <w:r w:rsidRPr="00731632">
              <w:rPr>
                <w:rFonts w:cs="Calibri"/>
                <w:iCs/>
                <w:color w:val="000000"/>
                <w:szCs w:val="20"/>
              </w:rPr>
              <w:t xml:space="preserve"> in the study were admitted to hospital via the emergency department. </w:t>
            </w:r>
            <w:r w:rsidR="00E905EF" w:rsidRPr="00731632">
              <w:rPr>
                <w:rFonts w:cs="Calibri"/>
                <w:iCs/>
                <w:color w:val="000000"/>
                <w:szCs w:val="20"/>
              </w:rPr>
              <w:t>T</w:t>
            </w:r>
            <w:r w:rsidR="00E31E89" w:rsidRPr="00731632">
              <w:rPr>
                <w:rFonts w:cs="Calibri"/>
                <w:iCs/>
                <w:color w:val="000000"/>
                <w:szCs w:val="20"/>
              </w:rPr>
              <w:t xml:space="preserve">he adjustment based on reported respiratory related re-admissions should also be considered as described in the following row (see paragraph </w:t>
            </w:r>
            <w:r w:rsidR="00E31E89" w:rsidRPr="00731632">
              <w:rPr>
                <w:rFonts w:cs="Calibri"/>
                <w:iCs/>
                <w:color w:val="000000"/>
                <w:szCs w:val="20"/>
              </w:rPr>
              <w:fldChar w:fldCharType="begin"/>
            </w:r>
            <w:r w:rsidR="00E31E89" w:rsidRPr="00731632">
              <w:rPr>
                <w:rFonts w:cs="Calibri"/>
                <w:iCs/>
                <w:color w:val="000000"/>
                <w:szCs w:val="20"/>
              </w:rPr>
              <w:instrText xml:space="preserve"> REF _Ref172738217 \r \h </w:instrText>
            </w:r>
            <w:r w:rsidR="00E31E89" w:rsidRPr="00731632">
              <w:rPr>
                <w:rFonts w:cs="Calibri"/>
                <w:iCs/>
                <w:color w:val="000000"/>
                <w:szCs w:val="20"/>
              </w:rPr>
            </w:r>
            <w:r w:rsidR="00E31E89" w:rsidRPr="00731632">
              <w:rPr>
                <w:rFonts w:cs="Calibri"/>
                <w:iCs/>
                <w:color w:val="000000"/>
                <w:szCs w:val="20"/>
              </w:rPr>
              <w:fldChar w:fldCharType="separate"/>
            </w:r>
            <w:r w:rsidR="00D770BB">
              <w:rPr>
                <w:rFonts w:cs="Calibri"/>
                <w:iCs/>
                <w:color w:val="000000"/>
                <w:szCs w:val="20"/>
              </w:rPr>
              <w:t>6.72</w:t>
            </w:r>
            <w:r w:rsidR="00E31E89" w:rsidRPr="00731632">
              <w:rPr>
                <w:rFonts w:cs="Calibri"/>
                <w:iCs/>
                <w:color w:val="000000"/>
                <w:szCs w:val="20"/>
              </w:rPr>
              <w:fldChar w:fldCharType="end"/>
            </w:r>
            <w:r w:rsidR="00E31E89" w:rsidRPr="00731632">
              <w:rPr>
                <w:rFonts w:cs="Calibri"/>
                <w:iCs/>
                <w:color w:val="000000"/>
                <w:szCs w:val="20"/>
              </w:rPr>
              <w:t>).</w:t>
            </w:r>
          </w:p>
        </w:tc>
      </w:tr>
      <w:tr w:rsidR="00EE2FBE" w:rsidRPr="00731632" w14:paraId="6FDE5511" w14:textId="77777777" w:rsidTr="00866F91">
        <w:tc>
          <w:tcPr>
            <w:tcW w:w="784" w:type="pct"/>
            <w:shd w:val="clear" w:color="auto" w:fill="auto"/>
            <w:vAlign w:val="center"/>
          </w:tcPr>
          <w:p w14:paraId="00286353" w14:textId="77777777" w:rsidR="00EE2FBE" w:rsidRPr="00731632" w:rsidRDefault="00EE2FBE" w:rsidP="00866F91">
            <w:pPr>
              <w:pStyle w:val="TableText0"/>
              <w:keepNext w:val="0"/>
              <w:widowControl w:val="0"/>
              <w:rPr>
                <w:szCs w:val="20"/>
              </w:rPr>
            </w:pPr>
            <w:r w:rsidRPr="00731632">
              <w:rPr>
                <w:rFonts w:cs="Calibri"/>
                <w:color w:val="000000"/>
                <w:szCs w:val="20"/>
              </w:rPr>
              <w:t>Hospitalisation, ICU and ED costs</w:t>
            </w:r>
          </w:p>
        </w:tc>
        <w:tc>
          <w:tcPr>
            <w:tcW w:w="1178" w:type="pct"/>
            <w:shd w:val="clear" w:color="auto" w:fill="auto"/>
            <w:vAlign w:val="center"/>
          </w:tcPr>
          <w:p w14:paraId="28770F64" w14:textId="77777777" w:rsidR="00EE2FBE" w:rsidRPr="00731632" w:rsidRDefault="00EE2FBE" w:rsidP="00866F91">
            <w:pPr>
              <w:pStyle w:val="TableText0"/>
              <w:keepNext w:val="0"/>
              <w:widowControl w:val="0"/>
              <w:rPr>
                <w:szCs w:val="20"/>
              </w:rPr>
            </w:pPr>
            <w:r w:rsidRPr="00731632">
              <w:rPr>
                <w:rFonts w:cs="Calibri"/>
                <w:color w:val="000000"/>
                <w:szCs w:val="20"/>
              </w:rPr>
              <w:t>Costs include both the index admission associated with RSV, and all subsequent admissions over the next 6 months.</w:t>
            </w:r>
          </w:p>
        </w:tc>
        <w:tc>
          <w:tcPr>
            <w:tcW w:w="3038" w:type="pct"/>
            <w:shd w:val="clear" w:color="auto" w:fill="auto"/>
            <w:vAlign w:val="center"/>
          </w:tcPr>
          <w:p w14:paraId="7A96378F" w14:textId="49B14FC1" w:rsidR="00925385" w:rsidRPr="00731632" w:rsidRDefault="00EE2FBE" w:rsidP="003C6379">
            <w:pPr>
              <w:pStyle w:val="TableText0"/>
              <w:keepNext w:val="0"/>
              <w:widowControl w:val="0"/>
              <w:rPr>
                <w:iCs/>
                <w:szCs w:val="20"/>
              </w:rPr>
            </w:pPr>
            <w:r w:rsidRPr="00731632">
              <w:rPr>
                <w:rFonts w:cs="Calibri"/>
                <w:iCs/>
                <w:color w:val="000000"/>
                <w:szCs w:val="20"/>
              </w:rPr>
              <w:t>High, favours nirsevimab. It</w:t>
            </w:r>
            <w:r w:rsidR="00F677B5" w:rsidRPr="00731632">
              <w:rPr>
                <w:rFonts w:cs="Calibri"/>
                <w:iCs/>
                <w:color w:val="000000"/>
                <w:szCs w:val="20"/>
              </w:rPr>
              <w:t xml:space="preserve"> was </w:t>
            </w:r>
            <w:r w:rsidRPr="00731632">
              <w:rPr>
                <w:rFonts w:cs="Calibri"/>
                <w:iCs/>
                <w:color w:val="000000"/>
                <w:szCs w:val="20"/>
              </w:rPr>
              <w:t>unlikely that all subsequent admissions can be attributed to RSV, particularly in the high-risk population. Using estimates of costs for hospitalisation, ED and ICU for just the index admission results in an increase in the ICER of 299.5%.</w:t>
            </w:r>
            <w:r w:rsidR="00427002" w:rsidRPr="00731632">
              <w:rPr>
                <w:rFonts w:cs="Calibri"/>
                <w:iCs/>
                <w:color w:val="000000"/>
                <w:szCs w:val="20"/>
              </w:rPr>
              <w:t xml:space="preserve"> </w:t>
            </w:r>
            <w:r w:rsidR="00925385" w:rsidRPr="00731632">
              <w:rPr>
                <w:rFonts w:cs="Calibri"/>
                <w:iCs/>
                <w:color w:val="000000"/>
                <w:szCs w:val="20"/>
              </w:rPr>
              <w:t xml:space="preserve">The ESC considered that an analysis that assumed a proportion of </w:t>
            </w:r>
            <w:r w:rsidR="00B63F4A" w:rsidRPr="00731632">
              <w:rPr>
                <w:rFonts w:cs="Calibri"/>
                <w:iCs/>
                <w:color w:val="000000"/>
                <w:szCs w:val="20"/>
              </w:rPr>
              <w:t>individuals</w:t>
            </w:r>
            <w:r w:rsidR="00925385" w:rsidRPr="00731632">
              <w:rPr>
                <w:rFonts w:cs="Calibri"/>
                <w:iCs/>
                <w:color w:val="000000"/>
                <w:szCs w:val="20"/>
              </w:rPr>
              <w:t xml:space="preserve"> would be readmitted would be informative, and noted that a rate of 13% would be supported by a study that specifically assessed the risk of readmission after RSV hospitalization among children younger than 5 years (Choi 2021), based on reported respiratory related re-admissions</w:t>
            </w:r>
            <w:r w:rsidR="00925385" w:rsidRPr="00731632">
              <w:rPr>
                <w:rStyle w:val="FootnoteReference"/>
                <w:rFonts w:cs="Calibri"/>
                <w:iCs/>
                <w:color w:val="000000"/>
                <w:szCs w:val="20"/>
              </w:rPr>
              <w:footnoteReference w:id="31"/>
            </w:r>
            <w:r w:rsidR="006753C1" w:rsidRPr="00731632">
              <w:rPr>
                <w:rFonts w:cs="Calibri"/>
                <w:iCs/>
                <w:color w:val="000000"/>
                <w:szCs w:val="20"/>
              </w:rPr>
              <w:t xml:space="preserve"> (s</w:t>
            </w:r>
            <w:r w:rsidR="00433ACE" w:rsidRPr="00731632">
              <w:rPr>
                <w:rFonts w:cs="Calibri"/>
                <w:iCs/>
                <w:color w:val="000000"/>
                <w:szCs w:val="20"/>
              </w:rPr>
              <w:t xml:space="preserve">ee paragraph </w:t>
            </w:r>
            <w:r w:rsidR="00433ACE" w:rsidRPr="00731632">
              <w:rPr>
                <w:rFonts w:cs="Calibri"/>
                <w:iCs/>
                <w:color w:val="000000"/>
                <w:szCs w:val="20"/>
              </w:rPr>
              <w:fldChar w:fldCharType="begin"/>
            </w:r>
            <w:r w:rsidR="00433ACE" w:rsidRPr="00731632">
              <w:rPr>
                <w:rFonts w:cs="Calibri"/>
                <w:iCs/>
                <w:color w:val="000000"/>
                <w:szCs w:val="20"/>
              </w:rPr>
              <w:instrText xml:space="preserve"> REF _Ref172736975 \r \h  \* MERGEFORMAT </w:instrText>
            </w:r>
            <w:r w:rsidR="00433ACE" w:rsidRPr="00731632">
              <w:rPr>
                <w:rFonts w:cs="Calibri"/>
                <w:iCs/>
                <w:color w:val="000000"/>
                <w:szCs w:val="20"/>
              </w:rPr>
            </w:r>
            <w:r w:rsidR="00433ACE" w:rsidRPr="00731632">
              <w:rPr>
                <w:rFonts w:cs="Calibri"/>
                <w:iCs/>
                <w:color w:val="000000"/>
                <w:szCs w:val="20"/>
              </w:rPr>
              <w:fldChar w:fldCharType="separate"/>
            </w:r>
            <w:r w:rsidR="00D770BB">
              <w:rPr>
                <w:rFonts w:cs="Calibri"/>
                <w:iCs/>
                <w:color w:val="000000"/>
                <w:szCs w:val="20"/>
              </w:rPr>
              <w:t>6.70</w:t>
            </w:r>
            <w:r w:rsidR="00433ACE" w:rsidRPr="00731632">
              <w:rPr>
                <w:rFonts w:cs="Calibri"/>
                <w:iCs/>
                <w:color w:val="000000"/>
                <w:szCs w:val="20"/>
              </w:rPr>
              <w:fldChar w:fldCharType="end"/>
            </w:r>
            <w:r w:rsidR="006753C1" w:rsidRPr="00731632">
              <w:rPr>
                <w:rFonts w:cs="Calibri"/>
                <w:iCs/>
                <w:color w:val="000000"/>
                <w:szCs w:val="20"/>
              </w:rPr>
              <w:t>)</w:t>
            </w:r>
            <w:r w:rsidR="00433ACE" w:rsidRPr="00731632">
              <w:rPr>
                <w:rFonts w:cs="Calibri"/>
                <w:iCs/>
                <w:color w:val="000000"/>
                <w:szCs w:val="20"/>
              </w:rPr>
              <w:t>.</w:t>
            </w:r>
          </w:p>
        </w:tc>
      </w:tr>
      <w:tr w:rsidR="00EE2FBE" w:rsidRPr="00731632" w14:paraId="52C81BBD" w14:textId="77777777" w:rsidTr="00866F91">
        <w:tc>
          <w:tcPr>
            <w:tcW w:w="784" w:type="pct"/>
            <w:shd w:val="clear" w:color="auto" w:fill="auto"/>
            <w:vAlign w:val="center"/>
          </w:tcPr>
          <w:p w14:paraId="3F727193" w14:textId="77777777" w:rsidR="00EE2FBE" w:rsidRPr="00731632" w:rsidRDefault="00EE2FBE" w:rsidP="00866F91">
            <w:pPr>
              <w:pStyle w:val="TableText0"/>
              <w:keepNext w:val="0"/>
              <w:widowControl w:val="0"/>
              <w:rPr>
                <w:szCs w:val="20"/>
              </w:rPr>
            </w:pPr>
            <w:r w:rsidRPr="00731632">
              <w:rPr>
                <w:rFonts w:cs="Calibri"/>
                <w:color w:val="000000"/>
                <w:szCs w:val="20"/>
              </w:rPr>
              <w:t>Nirsevimab administration costs</w:t>
            </w:r>
          </w:p>
        </w:tc>
        <w:tc>
          <w:tcPr>
            <w:tcW w:w="1178" w:type="pct"/>
            <w:shd w:val="clear" w:color="auto" w:fill="auto"/>
            <w:vAlign w:val="center"/>
          </w:tcPr>
          <w:p w14:paraId="247BECBF" w14:textId="54847099" w:rsidR="00EE2FBE" w:rsidRPr="00731632" w:rsidRDefault="00EE2FBE" w:rsidP="00866F91">
            <w:pPr>
              <w:pStyle w:val="TableText0"/>
              <w:keepNext w:val="0"/>
              <w:widowControl w:val="0"/>
              <w:rPr>
                <w:szCs w:val="20"/>
              </w:rPr>
            </w:pPr>
            <w:r w:rsidRPr="00731632">
              <w:rPr>
                <w:rFonts w:cs="Calibri"/>
                <w:color w:val="000000"/>
                <w:szCs w:val="20"/>
              </w:rPr>
              <w:t>Only one third of all administrations require a unique GP visit, therefore the cost of administration</w:t>
            </w:r>
            <w:r w:rsidR="00F677B5" w:rsidRPr="00731632">
              <w:rPr>
                <w:rFonts w:cs="Calibri"/>
                <w:color w:val="000000"/>
                <w:szCs w:val="20"/>
              </w:rPr>
              <w:t xml:space="preserve"> was </w:t>
            </w:r>
            <w:r w:rsidRPr="00731632">
              <w:rPr>
                <w:rFonts w:cs="Calibri"/>
                <w:color w:val="000000"/>
                <w:szCs w:val="20"/>
              </w:rPr>
              <w:t>$41.40 / 3 = $13.80</w:t>
            </w:r>
          </w:p>
        </w:tc>
        <w:tc>
          <w:tcPr>
            <w:tcW w:w="3038" w:type="pct"/>
            <w:shd w:val="clear" w:color="auto" w:fill="auto"/>
            <w:vAlign w:val="center"/>
          </w:tcPr>
          <w:p w14:paraId="413614C8" w14:textId="6159B7FC" w:rsidR="00EE2FBE" w:rsidRPr="00731632" w:rsidRDefault="00EE2FBE" w:rsidP="00866F91">
            <w:pPr>
              <w:pStyle w:val="TableText0"/>
              <w:keepNext w:val="0"/>
              <w:widowControl w:val="0"/>
              <w:rPr>
                <w:iCs/>
                <w:szCs w:val="20"/>
              </w:rPr>
            </w:pPr>
            <w:r w:rsidRPr="00731632">
              <w:rPr>
                <w:rFonts w:cs="Calibri"/>
                <w:iCs/>
                <w:color w:val="000000"/>
                <w:szCs w:val="20"/>
              </w:rPr>
              <w:t>High, likely favours nirsevimab. It</w:t>
            </w:r>
            <w:r w:rsidR="00F677B5" w:rsidRPr="00731632">
              <w:rPr>
                <w:rFonts w:cs="Calibri"/>
                <w:iCs/>
                <w:color w:val="000000"/>
                <w:szCs w:val="20"/>
              </w:rPr>
              <w:t xml:space="preserve"> was </w:t>
            </w:r>
            <w:r w:rsidRPr="00731632">
              <w:rPr>
                <w:rFonts w:cs="Calibri"/>
                <w:iCs/>
                <w:color w:val="000000"/>
                <w:szCs w:val="20"/>
              </w:rPr>
              <w:t>unclear whether nirsevimab will be administered by a GP at the same time as NIP listed vaccinations. Assuming a unique GP visit</w:t>
            </w:r>
            <w:r w:rsidR="00F677B5" w:rsidRPr="00731632">
              <w:rPr>
                <w:rFonts w:cs="Calibri"/>
                <w:iCs/>
                <w:color w:val="000000"/>
                <w:szCs w:val="20"/>
              </w:rPr>
              <w:t xml:space="preserve"> was </w:t>
            </w:r>
            <w:r w:rsidRPr="00731632">
              <w:rPr>
                <w:rFonts w:cs="Calibri"/>
                <w:iCs/>
                <w:color w:val="000000"/>
                <w:szCs w:val="20"/>
              </w:rPr>
              <w:t>required for each nirsevimab administration results in an increase in the ICER of 78.9%</w:t>
            </w:r>
            <w:r w:rsidR="006753C1" w:rsidRPr="00731632">
              <w:rPr>
                <w:rFonts w:cs="Calibri"/>
                <w:iCs/>
                <w:color w:val="000000"/>
                <w:szCs w:val="20"/>
              </w:rPr>
              <w:t xml:space="preserve"> (s</w:t>
            </w:r>
            <w:r w:rsidR="00B652A8" w:rsidRPr="00731632">
              <w:rPr>
                <w:rFonts w:cs="Calibri"/>
                <w:iCs/>
                <w:color w:val="000000"/>
                <w:szCs w:val="20"/>
              </w:rPr>
              <w:t xml:space="preserve">ee paragraph </w:t>
            </w:r>
            <w:r w:rsidR="00B652A8" w:rsidRPr="00731632">
              <w:rPr>
                <w:rFonts w:cs="Calibri"/>
                <w:iCs/>
                <w:color w:val="000000"/>
                <w:szCs w:val="20"/>
              </w:rPr>
              <w:fldChar w:fldCharType="begin"/>
            </w:r>
            <w:r w:rsidR="00B652A8" w:rsidRPr="00731632">
              <w:rPr>
                <w:rFonts w:cs="Calibri"/>
                <w:iCs/>
                <w:color w:val="000000"/>
                <w:szCs w:val="20"/>
              </w:rPr>
              <w:instrText xml:space="preserve"> REF _Ref172737044 \r \h </w:instrText>
            </w:r>
            <w:r w:rsidR="00B652A8" w:rsidRPr="00731632">
              <w:rPr>
                <w:rFonts w:cs="Calibri"/>
                <w:iCs/>
                <w:color w:val="000000"/>
                <w:szCs w:val="20"/>
              </w:rPr>
            </w:r>
            <w:r w:rsidR="00B652A8" w:rsidRPr="00731632">
              <w:rPr>
                <w:rFonts w:cs="Calibri"/>
                <w:iCs/>
                <w:color w:val="000000"/>
                <w:szCs w:val="20"/>
              </w:rPr>
              <w:fldChar w:fldCharType="separate"/>
            </w:r>
            <w:r w:rsidR="00D770BB">
              <w:rPr>
                <w:rFonts w:cs="Calibri"/>
                <w:iCs/>
                <w:color w:val="000000"/>
                <w:szCs w:val="20"/>
              </w:rPr>
              <w:t>6.69</w:t>
            </w:r>
            <w:r w:rsidR="00B652A8" w:rsidRPr="00731632">
              <w:rPr>
                <w:rFonts w:cs="Calibri"/>
                <w:iCs/>
                <w:color w:val="000000"/>
                <w:szCs w:val="20"/>
              </w:rPr>
              <w:fldChar w:fldCharType="end"/>
            </w:r>
            <w:r w:rsidR="006753C1" w:rsidRPr="00731632">
              <w:rPr>
                <w:rFonts w:cs="Calibri"/>
                <w:iCs/>
                <w:color w:val="000000"/>
                <w:szCs w:val="20"/>
              </w:rPr>
              <w:t>)</w:t>
            </w:r>
            <w:r w:rsidR="00B652A8" w:rsidRPr="00731632">
              <w:rPr>
                <w:rFonts w:cs="Calibri"/>
                <w:iCs/>
                <w:color w:val="000000"/>
                <w:szCs w:val="20"/>
              </w:rPr>
              <w:t>.</w:t>
            </w:r>
          </w:p>
        </w:tc>
      </w:tr>
    </w:tbl>
    <w:p w14:paraId="61DD0EC1" w14:textId="77777777" w:rsidR="00EE2FBE" w:rsidRPr="00731632" w:rsidRDefault="00EE2FBE" w:rsidP="00EE2FBE">
      <w:pPr>
        <w:pStyle w:val="FooterTableFigure"/>
        <w:widowControl w:val="0"/>
        <w:rPr>
          <w:iCs/>
        </w:rPr>
      </w:pPr>
      <w:r w:rsidRPr="00731632">
        <w:rPr>
          <w:iCs/>
        </w:rPr>
        <w:t>Source: Generated during the evaluation from the nirsevimab economic model workbook.</w:t>
      </w:r>
    </w:p>
    <w:p w14:paraId="788BEDEF" w14:textId="78CC47D7" w:rsidR="00EE2FBE" w:rsidRPr="00731632" w:rsidRDefault="00EE2FBE" w:rsidP="00EE2FBE">
      <w:pPr>
        <w:pStyle w:val="FooterTableFigure"/>
        <w:widowControl w:val="0"/>
        <w:rPr>
          <w:iCs/>
        </w:rPr>
      </w:pPr>
      <w:r w:rsidRPr="00731632">
        <w:rPr>
          <w:iCs/>
        </w:rPr>
        <w:t xml:space="preserve">DRG = Diagnosis-related groups; ED = Emergency department; GP = General practitioner; ICER = incremental cost-effectiveness ratio; ICU = Intensive care unit; </w:t>
      </w:r>
      <w:r w:rsidR="0052781F" w:rsidRPr="00731632">
        <w:rPr>
          <w:iCs/>
        </w:rPr>
        <w:t>MA RSV</w:t>
      </w:r>
      <w:r w:rsidRPr="00731632">
        <w:rPr>
          <w:iCs/>
        </w:rPr>
        <w:t xml:space="preserve"> = Medically attended RSV; NHCDC = National Hospital Cost Data Collection; NIP = National Immunisation Program; QALD = quality-adjusted life day; QALY = quality-adjusted life year; RSV = Respiratory syncytial virus.</w:t>
      </w:r>
    </w:p>
    <w:p w14:paraId="7E16A95C" w14:textId="4D0D5E8B" w:rsidR="00EE2FBE" w:rsidRPr="00731632" w:rsidRDefault="00EE2FBE" w:rsidP="00EE2FBE">
      <w:pPr>
        <w:pStyle w:val="3-BodyText"/>
        <w:rPr>
          <w:iCs/>
        </w:rPr>
      </w:pPr>
      <w:r w:rsidRPr="00731632">
        <w:t>Results of the stepped economic evaluation for the aggregated population</w:t>
      </w:r>
      <w:r w:rsidR="00F677B5" w:rsidRPr="00731632">
        <w:t xml:space="preserve"> were </w:t>
      </w:r>
      <w:r w:rsidRPr="00731632">
        <w:t xml:space="preserve">presented in </w:t>
      </w:r>
      <w:r w:rsidRPr="00731632">
        <w:fldChar w:fldCharType="begin"/>
      </w:r>
      <w:r w:rsidRPr="00731632">
        <w:instrText xml:space="preserve"> REF _Ref166168720 \h </w:instrText>
      </w:r>
      <w:r w:rsidRPr="00731632">
        <w:fldChar w:fldCharType="separate"/>
      </w:r>
      <w:r w:rsidR="00D770BB">
        <w:rPr>
          <w:b/>
          <w:bCs/>
          <w:lang w:val="en-US"/>
        </w:rPr>
        <w:t>Error! Reference source not found.</w:t>
      </w:r>
      <w:r w:rsidRPr="00731632">
        <w:fldChar w:fldCharType="end"/>
      </w:r>
      <w:r w:rsidRPr="00731632">
        <w:t xml:space="preserve">. </w:t>
      </w:r>
    </w:p>
    <w:p w14:paraId="75C0F1F5" w14:textId="3E2DDE63" w:rsidR="00DD52A1" w:rsidRPr="00731632" w:rsidRDefault="00DD52A1" w:rsidP="00DD52A1">
      <w:pPr>
        <w:pStyle w:val="Caption"/>
      </w:pPr>
      <w:bookmarkStart w:id="89" w:name="_Hlk176514252"/>
      <w:r w:rsidRPr="00731632">
        <w:t xml:space="preserve">Table </w:t>
      </w:r>
      <w:r w:rsidRPr="00731632">
        <w:fldChar w:fldCharType="begin"/>
      </w:r>
      <w:r w:rsidRPr="00731632">
        <w:instrText xml:space="preserve"> SEQ Table \* ARABIC </w:instrText>
      </w:r>
      <w:r w:rsidRPr="00731632">
        <w:fldChar w:fldCharType="separate"/>
      </w:r>
      <w:r w:rsidR="00D770BB">
        <w:rPr>
          <w:noProof/>
        </w:rPr>
        <w:t>20</w:t>
      </w:r>
      <w:r w:rsidRPr="00731632">
        <w:fldChar w:fldCharType="end"/>
      </w:r>
      <w:r w:rsidRPr="00731632">
        <w:tab/>
      </w:r>
      <w:r w:rsidRPr="00731632">
        <w:rPr>
          <w:rStyle w:val="CommentReference"/>
          <w:b/>
          <w:szCs w:val="24"/>
        </w:rPr>
        <w:t>Results of the stepped economic evaluation</w:t>
      </w:r>
    </w:p>
    <w:tbl>
      <w:tblPr>
        <w:tblStyle w:val="TableGrid"/>
        <w:tblW w:w="0" w:type="auto"/>
        <w:tblLook w:val="04A0" w:firstRow="1" w:lastRow="0" w:firstColumn="1" w:lastColumn="0" w:noHBand="0" w:noVBand="1"/>
        <w:tblCaption w:val="Table 20 Results of the stepped economic evaluation"/>
      </w:tblPr>
      <w:tblGrid>
        <w:gridCol w:w="1273"/>
        <w:gridCol w:w="1346"/>
        <w:gridCol w:w="1630"/>
        <w:gridCol w:w="1712"/>
        <w:gridCol w:w="1617"/>
        <w:gridCol w:w="1439"/>
      </w:tblGrid>
      <w:tr w:rsidR="00DD52A1" w:rsidRPr="00731632" w14:paraId="0F9F1AB3" w14:textId="77777777" w:rsidTr="00006DE8">
        <w:tc>
          <w:tcPr>
            <w:tcW w:w="9017" w:type="dxa"/>
            <w:gridSpan w:val="6"/>
            <w:vAlign w:val="center"/>
          </w:tcPr>
          <w:p w14:paraId="060F2F88" w14:textId="151055E5" w:rsidR="00DD52A1" w:rsidRPr="00731632" w:rsidRDefault="00DD52A1" w:rsidP="00006DE8">
            <w:pPr>
              <w:keepNext/>
              <w:rPr>
                <w:rFonts w:ascii="Arial Narrow" w:hAnsi="Arial Narrow" w:cs="Calibri"/>
                <w:i/>
                <w:iCs/>
                <w:color w:val="000000"/>
                <w:sz w:val="20"/>
                <w:szCs w:val="20"/>
              </w:rPr>
            </w:pPr>
            <w:r w:rsidRPr="00731632">
              <w:rPr>
                <w:rFonts w:ascii="Arial Narrow" w:hAnsi="Arial Narrow" w:cs="Calibri"/>
                <w:b/>
                <w:bCs/>
                <w:color w:val="000000"/>
                <w:sz w:val="20"/>
                <w:szCs w:val="20"/>
              </w:rPr>
              <w:t xml:space="preserve">AGGREGATED POPULATION (n = </w:t>
            </w:r>
            <w:r w:rsidR="009F6D97" w:rsidRPr="003E1422">
              <w:rPr>
                <w:rFonts w:ascii="Arial Narrow" w:hAnsi="Arial Narrow" w:cs="Calibri"/>
                <w:b/>
                <w:bCs/>
                <w:color w:val="000000"/>
                <w:spacing w:val="27"/>
                <w:sz w:val="20"/>
                <w:szCs w:val="20"/>
                <w:shd w:val="solid" w:color="000000" w:fill="000000"/>
                <w:fitText w:val="340" w:id="-893211387"/>
                <w14:textFill>
                  <w14:solidFill>
                    <w14:srgbClr w14:val="000000">
                      <w14:alpha w14:val="100000"/>
                    </w14:srgbClr>
                  </w14:solidFill>
                </w14:textFill>
              </w:rPr>
              <w:t>||</w:t>
            </w:r>
            <w:r w:rsidR="003E1422" w:rsidRPr="003E1422">
              <w:rPr>
                <w:rFonts w:ascii="Arial Narrow" w:hAnsi="Arial Narrow" w:cs="Calibri"/>
                <w:b/>
                <w:bCs/>
                <w:color w:val="000000"/>
                <w:spacing w:val="27"/>
                <w:sz w:val="20"/>
                <w:szCs w:val="20"/>
                <w:shd w:val="solid" w:color="000000" w:fill="000000"/>
                <w:fitText w:val="340" w:id="-893211387"/>
                <w14:textFill>
                  <w14:solidFill>
                    <w14:srgbClr w14:val="000000">
                      <w14:alpha w14:val="100000"/>
                    </w14:srgbClr>
                  </w14:solidFill>
                </w14:textFill>
              </w:rPr>
              <w:t xml:space="preserve"> </w:t>
            </w:r>
            <w:r w:rsidR="009F6D97" w:rsidRPr="003E1422">
              <w:rPr>
                <w:rFonts w:ascii="Arial Narrow" w:hAnsi="Arial Narrow" w:cs="Calibri"/>
                <w:b/>
                <w:bCs/>
                <w:color w:val="000000"/>
                <w:spacing w:val="27"/>
                <w:sz w:val="20"/>
                <w:szCs w:val="20"/>
                <w:shd w:val="solid" w:color="000000" w:fill="000000"/>
                <w:fitText w:val="340" w:id="-893211387"/>
                <w14:textFill>
                  <w14:solidFill>
                    <w14:srgbClr w14:val="000000">
                      <w14:alpha w14:val="100000"/>
                    </w14:srgbClr>
                  </w14:solidFill>
                </w14:textFill>
              </w:rPr>
              <w:t>|</w:t>
            </w:r>
            <w:r w:rsidR="009F6D97" w:rsidRPr="003E1422">
              <w:rPr>
                <w:rFonts w:ascii="Arial Narrow" w:hAnsi="Arial Narrow" w:cs="Calibri"/>
                <w:b/>
                <w:bCs/>
                <w:color w:val="000000"/>
                <w:spacing w:val="3"/>
                <w:sz w:val="20"/>
                <w:szCs w:val="20"/>
                <w:shd w:val="solid" w:color="000000" w:fill="000000"/>
                <w:fitText w:val="340" w:id="-893211387"/>
                <w14:textFill>
                  <w14:solidFill>
                    <w14:srgbClr w14:val="000000">
                      <w14:alpha w14:val="100000"/>
                    </w14:srgbClr>
                  </w14:solidFill>
                </w14:textFill>
              </w:rPr>
              <w:t>|</w:t>
            </w:r>
            <w:r w:rsidRPr="009A482D">
              <w:rPr>
                <w:rFonts w:ascii="Arial Narrow" w:hAnsi="Arial Narrow" w:cs="Calibri"/>
                <w:b/>
                <w:bCs/>
                <w:color w:val="000000"/>
                <w:sz w:val="20"/>
                <w:szCs w:val="20"/>
                <w:vertAlign w:val="superscript"/>
              </w:rPr>
              <w:t>1</w:t>
            </w:r>
            <w:r w:rsidRPr="00731632">
              <w:rPr>
                <w:rFonts w:ascii="Arial Narrow" w:hAnsi="Arial Narrow" w:cs="Calibri"/>
                <w:b/>
                <w:bCs/>
                <w:color w:val="000000"/>
                <w:sz w:val="20"/>
                <w:szCs w:val="20"/>
              </w:rPr>
              <w:t>): includes tropical and temperate regions</w:t>
            </w:r>
          </w:p>
        </w:tc>
      </w:tr>
      <w:tr w:rsidR="00DD52A1" w:rsidRPr="00731632" w14:paraId="478C0E4B" w14:textId="77777777" w:rsidTr="00006DE8">
        <w:tc>
          <w:tcPr>
            <w:tcW w:w="1273" w:type="dxa"/>
            <w:vAlign w:val="center"/>
          </w:tcPr>
          <w:p w14:paraId="65CFF188" w14:textId="77777777" w:rsidR="00DD52A1" w:rsidRPr="00731632" w:rsidRDefault="00DD52A1" w:rsidP="00006DE8">
            <w:pPr>
              <w:keepNext/>
              <w:rPr>
                <w:rFonts w:ascii="Arial Narrow" w:hAnsi="Arial Narrow"/>
                <w:i/>
                <w:iCs/>
                <w:sz w:val="20"/>
                <w:szCs w:val="20"/>
              </w:rPr>
            </w:pPr>
            <w:r w:rsidRPr="00731632">
              <w:rPr>
                <w:rFonts w:ascii="Arial Narrow" w:hAnsi="Arial Narrow" w:cs="Calibri"/>
                <w:b/>
                <w:bCs/>
                <w:color w:val="000000"/>
                <w:sz w:val="20"/>
                <w:szCs w:val="20"/>
              </w:rPr>
              <w:t>Step</w:t>
            </w:r>
          </w:p>
        </w:tc>
        <w:tc>
          <w:tcPr>
            <w:tcW w:w="1346" w:type="dxa"/>
            <w:vAlign w:val="center"/>
          </w:tcPr>
          <w:p w14:paraId="7571EA8F" w14:textId="77777777" w:rsidR="00DD52A1" w:rsidRPr="00731632" w:rsidRDefault="00DD52A1" w:rsidP="00006DE8">
            <w:pPr>
              <w:keepNext/>
              <w:rPr>
                <w:rFonts w:ascii="Arial Narrow" w:hAnsi="Arial Narrow"/>
                <w:i/>
                <w:iCs/>
                <w:sz w:val="20"/>
                <w:szCs w:val="20"/>
              </w:rPr>
            </w:pPr>
            <w:r w:rsidRPr="00731632">
              <w:rPr>
                <w:rFonts w:ascii="Arial Narrow" w:hAnsi="Arial Narrow" w:cs="Calibri"/>
                <w:b/>
                <w:bCs/>
                <w:color w:val="000000"/>
                <w:sz w:val="20"/>
                <w:szCs w:val="20"/>
              </w:rPr>
              <w:t>Model output</w:t>
            </w:r>
          </w:p>
        </w:tc>
        <w:tc>
          <w:tcPr>
            <w:tcW w:w="1630" w:type="dxa"/>
            <w:vAlign w:val="center"/>
          </w:tcPr>
          <w:p w14:paraId="2E406F54" w14:textId="77777777" w:rsidR="00DD52A1" w:rsidRPr="00731632" w:rsidRDefault="00DD52A1" w:rsidP="00006DE8">
            <w:pPr>
              <w:keepNext/>
              <w:jc w:val="center"/>
              <w:rPr>
                <w:rFonts w:ascii="Arial Narrow" w:hAnsi="Arial Narrow"/>
                <w:i/>
                <w:iCs/>
                <w:sz w:val="20"/>
                <w:szCs w:val="20"/>
              </w:rPr>
            </w:pPr>
            <w:r w:rsidRPr="00731632">
              <w:rPr>
                <w:rFonts w:ascii="Arial Narrow" w:hAnsi="Arial Narrow" w:cs="Calibri"/>
                <w:b/>
                <w:bCs/>
                <w:color w:val="000000"/>
                <w:sz w:val="20"/>
                <w:szCs w:val="20"/>
              </w:rPr>
              <w:t>Standard of care</w:t>
            </w:r>
          </w:p>
        </w:tc>
        <w:tc>
          <w:tcPr>
            <w:tcW w:w="1712" w:type="dxa"/>
            <w:vAlign w:val="center"/>
          </w:tcPr>
          <w:p w14:paraId="78FBBB42" w14:textId="77777777" w:rsidR="00DD52A1" w:rsidRPr="00731632" w:rsidRDefault="00DD52A1" w:rsidP="00006DE8">
            <w:pPr>
              <w:keepNext/>
              <w:jc w:val="center"/>
              <w:rPr>
                <w:rFonts w:ascii="Arial Narrow" w:hAnsi="Arial Narrow"/>
                <w:i/>
                <w:iCs/>
                <w:sz w:val="20"/>
                <w:szCs w:val="20"/>
              </w:rPr>
            </w:pPr>
            <w:r w:rsidRPr="00731632">
              <w:rPr>
                <w:rFonts w:ascii="Arial Narrow" w:hAnsi="Arial Narrow" w:cs="Calibri"/>
                <w:b/>
                <w:bCs/>
                <w:color w:val="000000"/>
                <w:sz w:val="20"/>
                <w:szCs w:val="20"/>
              </w:rPr>
              <w:t>Nirsevimab</w:t>
            </w:r>
          </w:p>
        </w:tc>
        <w:tc>
          <w:tcPr>
            <w:tcW w:w="1617" w:type="dxa"/>
            <w:vAlign w:val="center"/>
          </w:tcPr>
          <w:p w14:paraId="6C4BD9B2" w14:textId="77777777" w:rsidR="00DD52A1" w:rsidRPr="00731632" w:rsidRDefault="00DD52A1" w:rsidP="00006DE8">
            <w:pPr>
              <w:keepNext/>
              <w:jc w:val="center"/>
              <w:rPr>
                <w:rFonts w:ascii="Arial Narrow" w:hAnsi="Arial Narrow"/>
                <w:i/>
                <w:iCs/>
                <w:sz w:val="20"/>
                <w:szCs w:val="20"/>
              </w:rPr>
            </w:pPr>
            <w:r w:rsidRPr="00731632">
              <w:rPr>
                <w:rFonts w:ascii="Arial Narrow" w:hAnsi="Arial Narrow" w:cs="Calibri"/>
                <w:b/>
                <w:bCs/>
                <w:color w:val="000000"/>
                <w:sz w:val="20"/>
                <w:szCs w:val="20"/>
              </w:rPr>
              <w:t>Difference</w:t>
            </w:r>
          </w:p>
        </w:tc>
        <w:tc>
          <w:tcPr>
            <w:tcW w:w="1439" w:type="dxa"/>
            <w:vAlign w:val="center"/>
          </w:tcPr>
          <w:p w14:paraId="34EB7248" w14:textId="77777777" w:rsidR="00DD52A1" w:rsidRPr="00731632" w:rsidRDefault="00DD52A1" w:rsidP="00006DE8">
            <w:pPr>
              <w:keepNext/>
              <w:jc w:val="center"/>
              <w:rPr>
                <w:rFonts w:ascii="Arial Narrow" w:hAnsi="Arial Narrow"/>
                <w:i/>
                <w:iCs/>
                <w:sz w:val="20"/>
                <w:szCs w:val="20"/>
              </w:rPr>
            </w:pPr>
            <w:r w:rsidRPr="00731632">
              <w:rPr>
                <w:rFonts w:ascii="Arial Narrow" w:hAnsi="Arial Narrow" w:cs="Calibri"/>
                <w:b/>
                <w:bCs/>
                <w:color w:val="000000"/>
                <w:sz w:val="20"/>
                <w:szCs w:val="20"/>
              </w:rPr>
              <w:t>ICER</w:t>
            </w:r>
          </w:p>
        </w:tc>
      </w:tr>
      <w:tr w:rsidR="00DD52A1" w:rsidRPr="00731632" w14:paraId="737DB803" w14:textId="77777777" w:rsidTr="00006DE8">
        <w:tc>
          <w:tcPr>
            <w:tcW w:w="1273" w:type="dxa"/>
            <w:vMerge w:val="restart"/>
            <w:vAlign w:val="center"/>
          </w:tcPr>
          <w:p w14:paraId="630D40CA" w14:textId="77777777" w:rsidR="00DD52A1" w:rsidRPr="00731632" w:rsidRDefault="00DD52A1" w:rsidP="00006DE8">
            <w:pPr>
              <w:keepNext/>
              <w:rPr>
                <w:rFonts w:ascii="Arial Narrow" w:hAnsi="Arial Narrow"/>
                <w:iCs/>
                <w:sz w:val="20"/>
                <w:szCs w:val="20"/>
              </w:rPr>
            </w:pPr>
            <w:r w:rsidRPr="00731632">
              <w:rPr>
                <w:rFonts w:ascii="Arial Narrow" w:hAnsi="Arial Narrow"/>
                <w:iCs/>
                <w:sz w:val="20"/>
                <w:szCs w:val="20"/>
              </w:rPr>
              <w:t>1</w:t>
            </w:r>
          </w:p>
        </w:tc>
        <w:tc>
          <w:tcPr>
            <w:tcW w:w="1346" w:type="dxa"/>
            <w:vAlign w:val="center"/>
          </w:tcPr>
          <w:p w14:paraId="0E7B74A8" w14:textId="77777777" w:rsidR="00DD52A1" w:rsidRPr="00731632" w:rsidRDefault="00DD52A1" w:rsidP="00006DE8">
            <w:pPr>
              <w:keepNext/>
              <w:rPr>
                <w:rFonts w:ascii="Arial Narrow" w:hAnsi="Arial Narrow"/>
                <w:iCs/>
                <w:sz w:val="20"/>
                <w:szCs w:val="20"/>
              </w:rPr>
            </w:pPr>
            <w:r w:rsidRPr="00731632">
              <w:rPr>
                <w:rFonts w:ascii="Arial Narrow" w:hAnsi="Arial Narrow" w:cs="Calibri"/>
                <w:color w:val="000000"/>
                <w:sz w:val="20"/>
                <w:szCs w:val="20"/>
              </w:rPr>
              <w:t>Costs</w:t>
            </w:r>
          </w:p>
        </w:tc>
        <w:tc>
          <w:tcPr>
            <w:tcW w:w="1630" w:type="dxa"/>
            <w:vAlign w:val="center"/>
          </w:tcPr>
          <w:p w14:paraId="3136FA65" w14:textId="71F84EF2" w:rsidR="00DD52A1" w:rsidRPr="00731632" w:rsidRDefault="00DD52A1" w:rsidP="00006DE8">
            <w:pPr>
              <w:keepNext/>
              <w:jc w:val="center"/>
              <w:rPr>
                <w:rFonts w:ascii="Arial Narrow" w:hAnsi="Arial Narrow"/>
                <w:iCs/>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val="restart"/>
            <w:vAlign w:val="center"/>
          </w:tcPr>
          <w:p w14:paraId="2530B25C" w14:textId="24681750" w:rsidR="00DD52A1" w:rsidRPr="00731632" w:rsidRDefault="00DD52A1" w:rsidP="00006DE8">
            <w:pPr>
              <w:keepNext/>
              <w:jc w:val="center"/>
              <w:rPr>
                <w:rFonts w:ascii="Arial Narrow" w:hAnsi="Arial Narrow"/>
                <w:iCs/>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617" w:type="dxa"/>
            <w:vAlign w:val="center"/>
          </w:tcPr>
          <w:p w14:paraId="583739B4" w14:textId="4B43B89F" w:rsidR="00DD52A1" w:rsidRPr="00731632" w:rsidRDefault="00DD52A1" w:rsidP="00006DE8">
            <w:pPr>
              <w:keepNext/>
              <w:jc w:val="center"/>
              <w:rPr>
                <w:rFonts w:ascii="Arial Narrow" w:hAnsi="Arial Narrow"/>
                <w:iCs/>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restart"/>
            <w:vAlign w:val="center"/>
          </w:tcPr>
          <w:p w14:paraId="59AD96C4" w14:textId="77777777" w:rsidR="00DD52A1" w:rsidRPr="00731632" w:rsidRDefault="00DD52A1" w:rsidP="00006DE8">
            <w:pPr>
              <w:keepNext/>
              <w:jc w:val="center"/>
              <w:rPr>
                <w:rFonts w:ascii="Arial Narrow" w:hAnsi="Arial Narrow"/>
                <w:iCs/>
                <w:sz w:val="20"/>
                <w:szCs w:val="20"/>
              </w:rPr>
            </w:pPr>
          </w:p>
        </w:tc>
      </w:tr>
      <w:tr w:rsidR="00DD52A1" w:rsidRPr="00731632" w14:paraId="7F6EA136" w14:textId="77777777" w:rsidTr="00006DE8">
        <w:tc>
          <w:tcPr>
            <w:tcW w:w="1273" w:type="dxa"/>
            <w:vMerge/>
            <w:vAlign w:val="center"/>
          </w:tcPr>
          <w:p w14:paraId="390950FD" w14:textId="77777777" w:rsidR="00DD52A1" w:rsidRPr="00731632" w:rsidRDefault="00DD52A1" w:rsidP="00006DE8">
            <w:pPr>
              <w:keepNext/>
              <w:rPr>
                <w:rFonts w:ascii="Arial Narrow" w:hAnsi="Arial Narrow"/>
                <w:iCs/>
                <w:sz w:val="20"/>
                <w:szCs w:val="20"/>
              </w:rPr>
            </w:pPr>
          </w:p>
        </w:tc>
        <w:tc>
          <w:tcPr>
            <w:tcW w:w="1346" w:type="dxa"/>
            <w:vAlign w:val="center"/>
          </w:tcPr>
          <w:p w14:paraId="3574C42A" w14:textId="77777777" w:rsidR="00DD52A1" w:rsidRPr="00731632" w:rsidRDefault="00DD52A1" w:rsidP="00006DE8">
            <w:pPr>
              <w:keepNext/>
              <w:rPr>
                <w:rFonts w:ascii="Arial Narrow" w:hAnsi="Arial Narrow"/>
                <w:iCs/>
                <w:sz w:val="20"/>
                <w:szCs w:val="20"/>
              </w:rPr>
            </w:pPr>
            <w:r w:rsidRPr="00731632">
              <w:rPr>
                <w:rFonts w:ascii="Arial Narrow" w:hAnsi="Arial Narrow" w:cs="Calibri"/>
                <w:iCs/>
                <w:color w:val="000000"/>
                <w:sz w:val="20"/>
                <w:szCs w:val="20"/>
              </w:rPr>
              <w:t>Corrected</w:t>
            </w:r>
          </w:p>
        </w:tc>
        <w:tc>
          <w:tcPr>
            <w:tcW w:w="1630" w:type="dxa"/>
            <w:vAlign w:val="center"/>
          </w:tcPr>
          <w:p w14:paraId="5B965952" w14:textId="2C5409E8" w:rsidR="00DD52A1" w:rsidRPr="00731632" w:rsidRDefault="00DD52A1" w:rsidP="00006DE8">
            <w:pPr>
              <w:keepNext/>
              <w:jc w:val="center"/>
              <w:rPr>
                <w:rFonts w:ascii="Arial Narrow" w:hAnsi="Arial Narrow"/>
                <w:iCs/>
                <w:sz w:val="20"/>
                <w:szCs w:val="20"/>
              </w:rPr>
            </w:pPr>
            <w:r w:rsidRPr="00731632">
              <w:rPr>
                <w:rFonts w:ascii="Arial Narrow" w:hAnsi="Arial Narrow" w:cs="Calibri"/>
                <w:iCs/>
                <w:color w:val="000000"/>
                <w:sz w:val="20"/>
                <w:szCs w:val="20"/>
              </w:rPr>
              <w:t>$</w:t>
            </w:r>
            <w:r w:rsidR="009F6D97" w:rsidRPr="009F6D97">
              <w:rPr>
                <w:rFonts w:ascii="Arial Narrow" w:hAnsi="Arial Narrow" w:cs="Calibri"/>
                <w:iCs/>
                <w:color w:val="000000"/>
                <w:sz w:val="20"/>
                <w:szCs w:val="20"/>
                <w:shd w:val="solid" w:color="000000" w:fill="000000"/>
                <w14:textFill>
                  <w14:solidFill>
                    <w14:srgbClr w14:val="000000">
                      <w14:alpha w14:val="100000"/>
                    </w14:srgbClr>
                  </w14:solidFill>
                </w14:textFill>
              </w:rPr>
              <w:t>|</w:t>
            </w:r>
          </w:p>
        </w:tc>
        <w:tc>
          <w:tcPr>
            <w:tcW w:w="1712" w:type="dxa"/>
            <w:vMerge/>
            <w:vAlign w:val="center"/>
          </w:tcPr>
          <w:p w14:paraId="31ED855E" w14:textId="77777777" w:rsidR="00DD52A1" w:rsidRPr="00731632" w:rsidRDefault="00DD52A1" w:rsidP="00006DE8">
            <w:pPr>
              <w:keepNext/>
              <w:jc w:val="center"/>
              <w:rPr>
                <w:rFonts w:ascii="Arial Narrow" w:hAnsi="Arial Narrow"/>
                <w:iCs/>
                <w:sz w:val="20"/>
                <w:szCs w:val="20"/>
              </w:rPr>
            </w:pPr>
          </w:p>
        </w:tc>
        <w:tc>
          <w:tcPr>
            <w:tcW w:w="1617" w:type="dxa"/>
            <w:vAlign w:val="center"/>
          </w:tcPr>
          <w:p w14:paraId="0022342E" w14:textId="4868543F" w:rsidR="00DD52A1" w:rsidRPr="00731632" w:rsidRDefault="00DD52A1" w:rsidP="00006DE8">
            <w:pPr>
              <w:keepNext/>
              <w:jc w:val="center"/>
              <w:rPr>
                <w:rFonts w:ascii="Arial Narrow" w:hAnsi="Arial Narrow"/>
                <w:iCs/>
                <w:sz w:val="20"/>
                <w:szCs w:val="20"/>
              </w:rPr>
            </w:pPr>
            <w:r w:rsidRPr="00731632">
              <w:rPr>
                <w:rFonts w:ascii="Arial Narrow" w:hAnsi="Arial Narrow" w:cs="Calibri"/>
                <w:iCs/>
                <w:color w:val="000000"/>
                <w:sz w:val="20"/>
                <w:szCs w:val="20"/>
              </w:rPr>
              <w:t>$</w:t>
            </w:r>
            <w:r w:rsidR="009F6D97" w:rsidRPr="009F6D97">
              <w:rPr>
                <w:rFonts w:ascii="Arial Narrow" w:hAnsi="Arial Narrow" w:cs="Calibri"/>
                <w:iCs/>
                <w:color w:val="000000"/>
                <w:sz w:val="20"/>
                <w:szCs w:val="20"/>
                <w:shd w:val="solid" w:color="000000" w:fill="000000"/>
                <w14:textFill>
                  <w14:solidFill>
                    <w14:srgbClr w14:val="000000">
                      <w14:alpha w14:val="100000"/>
                    </w14:srgbClr>
                  </w14:solidFill>
                </w14:textFill>
              </w:rPr>
              <w:t>|</w:t>
            </w:r>
          </w:p>
        </w:tc>
        <w:tc>
          <w:tcPr>
            <w:tcW w:w="1439" w:type="dxa"/>
            <w:vMerge/>
            <w:vAlign w:val="center"/>
          </w:tcPr>
          <w:p w14:paraId="3B3871B3" w14:textId="77777777" w:rsidR="00DD52A1" w:rsidRPr="00731632" w:rsidRDefault="00DD52A1" w:rsidP="00006DE8">
            <w:pPr>
              <w:keepNext/>
              <w:jc w:val="center"/>
              <w:rPr>
                <w:rFonts w:ascii="Arial Narrow" w:hAnsi="Arial Narrow"/>
                <w:iCs/>
                <w:sz w:val="20"/>
                <w:szCs w:val="20"/>
              </w:rPr>
            </w:pPr>
          </w:p>
        </w:tc>
      </w:tr>
      <w:tr w:rsidR="00DD52A1" w:rsidRPr="00731632" w14:paraId="1732137B" w14:textId="77777777" w:rsidTr="00006DE8">
        <w:tc>
          <w:tcPr>
            <w:tcW w:w="1273" w:type="dxa"/>
            <w:vMerge w:val="restart"/>
            <w:vAlign w:val="center"/>
          </w:tcPr>
          <w:p w14:paraId="522BA441" w14:textId="77777777" w:rsidR="00DD52A1" w:rsidRPr="00731632" w:rsidRDefault="00DD52A1" w:rsidP="00006DE8">
            <w:pPr>
              <w:keepNext/>
              <w:rPr>
                <w:rFonts w:ascii="Arial Narrow" w:hAnsi="Arial Narrow"/>
                <w:iCs/>
                <w:sz w:val="20"/>
                <w:szCs w:val="20"/>
              </w:rPr>
            </w:pPr>
            <w:r w:rsidRPr="00731632">
              <w:rPr>
                <w:rFonts w:ascii="Arial Narrow" w:hAnsi="Arial Narrow"/>
                <w:iCs/>
                <w:sz w:val="20"/>
                <w:szCs w:val="20"/>
              </w:rPr>
              <w:t>2</w:t>
            </w:r>
          </w:p>
        </w:tc>
        <w:tc>
          <w:tcPr>
            <w:tcW w:w="1346" w:type="dxa"/>
            <w:vAlign w:val="center"/>
          </w:tcPr>
          <w:p w14:paraId="6F493364" w14:textId="77777777" w:rsidR="00DD52A1" w:rsidRPr="00731632" w:rsidRDefault="00DD52A1" w:rsidP="00006DE8">
            <w:pPr>
              <w:keepNext/>
              <w:rPr>
                <w:rFonts w:ascii="Arial Narrow" w:hAnsi="Arial Narrow"/>
                <w:iCs/>
                <w:sz w:val="20"/>
                <w:szCs w:val="20"/>
              </w:rPr>
            </w:pPr>
            <w:r w:rsidRPr="00731632">
              <w:rPr>
                <w:rFonts w:ascii="Arial Narrow" w:hAnsi="Arial Narrow" w:cs="Calibri"/>
                <w:color w:val="000000"/>
                <w:sz w:val="20"/>
                <w:szCs w:val="20"/>
              </w:rPr>
              <w:t>RSV cases</w:t>
            </w:r>
          </w:p>
        </w:tc>
        <w:tc>
          <w:tcPr>
            <w:tcW w:w="1630" w:type="dxa"/>
            <w:vMerge w:val="restart"/>
            <w:vAlign w:val="center"/>
          </w:tcPr>
          <w:p w14:paraId="6645851A" w14:textId="38471D78" w:rsidR="00DD52A1" w:rsidRPr="009A482D" w:rsidRDefault="009F6D97" w:rsidP="00006DE8">
            <w:pPr>
              <w:keepNext/>
              <w:jc w:val="center"/>
              <w:rPr>
                <w:rFonts w:ascii="Arial Narrow" w:hAnsi="Arial Narrow"/>
                <w:iCs/>
                <w:sz w:val="20"/>
                <w:szCs w:val="20"/>
                <w:highlight w:val="lightGray"/>
                <w:vertAlign w:val="superscript"/>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7122BA" w:rsidRPr="009A482D">
              <w:rPr>
                <w:rFonts w:ascii="Arial Narrow" w:hAnsi="Arial Narrow" w:cs="Calibri"/>
                <w:color w:val="000000"/>
                <w:sz w:val="20"/>
                <w:szCs w:val="20"/>
                <w:vertAlign w:val="superscript"/>
              </w:rPr>
              <w:t>5</w:t>
            </w:r>
          </w:p>
        </w:tc>
        <w:tc>
          <w:tcPr>
            <w:tcW w:w="1712" w:type="dxa"/>
            <w:vMerge w:val="restart"/>
            <w:vAlign w:val="center"/>
          </w:tcPr>
          <w:p w14:paraId="1410275E" w14:textId="1B1FEB4F" w:rsidR="00DD52A1" w:rsidRPr="009A482D" w:rsidRDefault="009F6D97" w:rsidP="00006DE8">
            <w:pPr>
              <w:keepNext/>
              <w:jc w:val="center"/>
              <w:rPr>
                <w:rFonts w:ascii="Arial Narrow" w:hAnsi="Arial Narrow"/>
                <w:iCs/>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3D7778">
              <w:rPr>
                <w:rFonts w:ascii="Arial Narrow" w:hAnsi="Arial Narrow" w:cs="Calibri"/>
                <w:color w:val="000000"/>
                <w:sz w:val="20"/>
                <w:szCs w:val="20"/>
                <w:vertAlign w:val="superscript"/>
              </w:rPr>
              <w:t>6</w:t>
            </w:r>
          </w:p>
        </w:tc>
        <w:tc>
          <w:tcPr>
            <w:tcW w:w="1617" w:type="dxa"/>
            <w:vMerge w:val="restart"/>
            <w:vAlign w:val="center"/>
          </w:tcPr>
          <w:p w14:paraId="4AC2EA5C" w14:textId="79D0D9F7" w:rsidR="00DD52A1" w:rsidRPr="00731632" w:rsidRDefault="00DD52A1" w:rsidP="00006DE8">
            <w:pPr>
              <w:keepNext/>
              <w:jc w:val="center"/>
              <w:rPr>
                <w:rFonts w:ascii="Arial Narrow" w:hAnsi="Arial Narrow"/>
                <w:iCs/>
                <w:sz w:val="20"/>
                <w:szCs w:val="20"/>
              </w:rPr>
            </w:pPr>
            <w:r w:rsidRPr="00414607">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3D7778">
              <w:rPr>
                <w:rFonts w:ascii="Arial Narrow" w:hAnsi="Arial Narrow" w:cs="Calibri"/>
                <w:color w:val="000000"/>
                <w:sz w:val="20"/>
                <w:szCs w:val="20"/>
                <w:vertAlign w:val="superscript"/>
              </w:rPr>
              <w:t>6</w:t>
            </w:r>
          </w:p>
        </w:tc>
        <w:tc>
          <w:tcPr>
            <w:tcW w:w="1439" w:type="dxa"/>
            <w:vAlign w:val="center"/>
          </w:tcPr>
          <w:p w14:paraId="32A5A184" w14:textId="23C35500" w:rsidR="00DD52A1" w:rsidRPr="00731632" w:rsidRDefault="00DD52A1" w:rsidP="00006DE8">
            <w:pPr>
              <w:keepNext/>
              <w:jc w:val="center"/>
              <w:rPr>
                <w:rFonts w:ascii="Arial Narrow" w:hAnsi="Arial Narrow"/>
                <w:iCs/>
                <w:sz w:val="20"/>
                <w:szCs w:val="20"/>
              </w:rPr>
            </w:pPr>
            <w:r w:rsidRPr="00731632">
              <w:rPr>
                <w:rFonts w:ascii="Arial Narrow" w:hAnsi="Arial Narrow" w:cs="Calibri"/>
                <w:color w:val="000000"/>
                <w:sz w:val="20"/>
                <w:szCs w:val="20"/>
              </w:rPr>
              <w:t>-$</w:t>
            </w:r>
            <w:r w:rsidR="009F6D97" w:rsidRPr="009F6D97">
              <w:rPr>
                <w:rFonts w:ascii="Arial Narrow" w:hAnsi="Arial Narrow" w:cs="Calibri" w:hint="eastAsia"/>
                <w:color w:val="000000"/>
                <w:w w:val="15"/>
                <w:sz w:val="20"/>
                <w:szCs w:val="20"/>
                <w:shd w:val="solid" w:color="000000" w:fill="000000"/>
                <w:fitText w:val="30" w:id="-893211386"/>
                <w14:textFill>
                  <w14:solidFill>
                    <w14:srgbClr w14:val="000000">
                      <w14:alpha w14:val="100000"/>
                    </w14:srgbClr>
                  </w14:solidFill>
                </w14:textFill>
              </w:rPr>
              <w:t xml:space="preserve">　</w:t>
            </w:r>
            <w:r w:rsidR="009F6D97" w:rsidRPr="009F6D97">
              <w:rPr>
                <w:rFonts w:ascii="Arial Narrow" w:hAnsi="Arial Narrow" w:cs="Calibri"/>
                <w:color w:val="000000"/>
                <w:w w:val="15"/>
                <w:sz w:val="20"/>
                <w:szCs w:val="20"/>
                <w:shd w:val="solid" w:color="000000" w:fill="000000"/>
                <w:fitText w:val="30" w:id="-893211386"/>
                <w14:textFill>
                  <w14:solidFill>
                    <w14:srgbClr w14:val="000000">
                      <w14:alpha w14:val="100000"/>
                    </w14:srgbClr>
                  </w14:solidFill>
                </w14:textFill>
              </w:rPr>
              <w:t>|</w:t>
            </w:r>
            <w:r w:rsidR="009F6D97" w:rsidRPr="009F6D97">
              <w:rPr>
                <w:rFonts w:ascii="Arial Narrow" w:hAnsi="Arial Narrow" w:cs="Calibri" w:hint="eastAsia"/>
                <w:color w:val="000000"/>
                <w:spacing w:val="-35"/>
                <w:w w:val="15"/>
                <w:sz w:val="20"/>
                <w:szCs w:val="20"/>
                <w:shd w:val="solid" w:color="000000" w:fill="000000"/>
                <w:fitText w:val="30" w:id="-893211386"/>
                <w14:textFill>
                  <w14:solidFill>
                    <w14:srgbClr w14:val="000000">
                      <w14:alpha w14:val="100000"/>
                    </w14:srgbClr>
                  </w14:solidFill>
                </w14:textFill>
              </w:rPr>
              <w:t xml:space="preserve">　</w:t>
            </w:r>
            <w:r w:rsidR="002356EB">
              <w:rPr>
                <w:rFonts w:ascii="Arial Narrow" w:hAnsi="Arial Narrow" w:cs="Calibri"/>
                <w:color w:val="000000"/>
                <w:sz w:val="20"/>
                <w:szCs w:val="20"/>
                <w:vertAlign w:val="superscript"/>
              </w:rPr>
              <w:t>2</w:t>
            </w:r>
          </w:p>
        </w:tc>
      </w:tr>
      <w:tr w:rsidR="00DD52A1" w:rsidRPr="00731632" w14:paraId="6B5C589C" w14:textId="77777777" w:rsidTr="00006DE8">
        <w:tc>
          <w:tcPr>
            <w:tcW w:w="1273" w:type="dxa"/>
            <w:vMerge/>
            <w:vAlign w:val="center"/>
          </w:tcPr>
          <w:p w14:paraId="772216F1" w14:textId="77777777" w:rsidR="00DD52A1" w:rsidRPr="00731632" w:rsidRDefault="00DD52A1" w:rsidP="00006DE8">
            <w:pPr>
              <w:keepNext/>
              <w:rPr>
                <w:rFonts w:ascii="Arial Narrow" w:hAnsi="Arial Narrow"/>
                <w:iCs/>
                <w:sz w:val="20"/>
                <w:szCs w:val="20"/>
              </w:rPr>
            </w:pPr>
          </w:p>
        </w:tc>
        <w:tc>
          <w:tcPr>
            <w:tcW w:w="1346" w:type="dxa"/>
            <w:vAlign w:val="center"/>
          </w:tcPr>
          <w:p w14:paraId="71D723C5" w14:textId="77777777" w:rsidR="00DD52A1" w:rsidRPr="00731632" w:rsidRDefault="00DD52A1" w:rsidP="00006DE8">
            <w:pPr>
              <w:keepNext/>
              <w:rPr>
                <w:rFonts w:ascii="Arial Narrow" w:hAnsi="Arial Narrow"/>
                <w:iCs/>
                <w:sz w:val="20"/>
                <w:szCs w:val="20"/>
              </w:rPr>
            </w:pPr>
            <w:r w:rsidRPr="00731632">
              <w:rPr>
                <w:rFonts w:ascii="Arial Narrow" w:hAnsi="Arial Narrow" w:cs="Calibri"/>
                <w:iCs/>
                <w:color w:val="000000"/>
                <w:sz w:val="20"/>
                <w:szCs w:val="20"/>
              </w:rPr>
              <w:t>Corrected</w:t>
            </w:r>
          </w:p>
        </w:tc>
        <w:tc>
          <w:tcPr>
            <w:tcW w:w="1630" w:type="dxa"/>
            <w:vMerge/>
            <w:vAlign w:val="center"/>
          </w:tcPr>
          <w:p w14:paraId="65841F18" w14:textId="77777777" w:rsidR="00DD52A1" w:rsidRPr="00731632" w:rsidRDefault="00DD52A1" w:rsidP="00006DE8">
            <w:pPr>
              <w:keepNext/>
              <w:jc w:val="center"/>
              <w:rPr>
                <w:rFonts w:ascii="Arial Narrow" w:hAnsi="Arial Narrow"/>
                <w:iCs/>
                <w:sz w:val="20"/>
                <w:szCs w:val="20"/>
              </w:rPr>
            </w:pPr>
          </w:p>
        </w:tc>
        <w:tc>
          <w:tcPr>
            <w:tcW w:w="1712" w:type="dxa"/>
            <w:vMerge/>
            <w:vAlign w:val="center"/>
          </w:tcPr>
          <w:p w14:paraId="18A9D687" w14:textId="77777777" w:rsidR="00DD52A1" w:rsidRPr="00731632" w:rsidRDefault="00DD52A1" w:rsidP="00006DE8">
            <w:pPr>
              <w:keepNext/>
              <w:jc w:val="center"/>
              <w:rPr>
                <w:rFonts w:ascii="Arial Narrow" w:hAnsi="Arial Narrow"/>
                <w:iCs/>
                <w:sz w:val="20"/>
                <w:szCs w:val="20"/>
              </w:rPr>
            </w:pPr>
          </w:p>
        </w:tc>
        <w:tc>
          <w:tcPr>
            <w:tcW w:w="1617" w:type="dxa"/>
            <w:vMerge/>
            <w:vAlign w:val="center"/>
          </w:tcPr>
          <w:p w14:paraId="4697C7B8" w14:textId="77777777" w:rsidR="00DD52A1" w:rsidRPr="00731632" w:rsidRDefault="00DD52A1" w:rsidP="00006DE8">
            <w:pPr>
              <w:keepNext/>
              <w:jc w:val="center"/>
              <w:rPr>
                <w:rFonts w:ascii="Arial Narrow" w:hAnsi="Arial Narrow"/>
                <w:iCs/>
                <w:sz w:val="20"/>
                <w:szCs w:val="20"/>
              </w:rPr>
            </w:pPr>
          </w:p>
        </w:tc>
        <w:tc>
          <w:tcPr>
            <w:tcW w:w="1439" w:type="dxa"/>
            <w:vAlign w:val="center"/>
          </w:tcPr>
          <w:p w14:paraId="47D5AD0B" w14:textId="07DEEC09" w:rsidR="00DD52A1" w:rsidRPr="00731632" w:rsidRDefault="00DD52A1" w:rsidP="00006DE8">
            <w:pPr>
              <w:keepNext/>
              <w:jc w:val="center"/>
              <w:rPr>
                <w:rFonts w:ascii="Arial Narrow" w:hAnsi="Arial Narrow"/>
                <w:iCs/>
                <w:sz w:val="20"/>
                <w:szCs w:val="20"/>
              </w:rPr>
            </w:pPr>
            <w:r w:rsidRPr="00731632">
              <w:rPr>
                <w:rFonts w:ascii="Arial Narrow" w:hAnsi="Arial Narrow" w:cs="Calibri"/>
                <w:iCs/>
                <w:color w:val="000000"/>
                <w:sz w:val="20"/>
                <w:szCs w:val="20"/>
              </w:rPr>
              <w:t>-$</w:t>
            </w:r>
            <w:r w:rsidR="009F6D97" w:rsidRPr="009F6D97">
              <w:rPr>
                <w:rFonts w:ascii="Arial Narrow" w:hAnsi="Arial Narrow" w:cs="Calibri" w:hint="eastAsia"/>
                <w:iCs/>
                <w:color w:val="000000"/>
                <w:w w:val="15"/>
                <w:sz w:val="20"/>
                <w:szCs w:val="20"/>
                <w:shd w:val="solid" w:color="000000" w:fill="000000"/>
                <w:fitText w:val="30" w:id="-893211385"/>
                <w14:textFill>
                  <w14:solidFill>
                    <w14:srgbClr w14:val="000000">
                      <w14:alpha w14:val="100000"/>
                    </w14:srgbClr>
                  </w14:solidFill>
                </w14:textFill>
              </w:rPr>
              <w:t xml:space="preserve">　</w:t>
            </w:r>
            <w:r w:rsidR="009F6D97" w:rsidRPr="009F6D97">
              <w:rPr>
                <w:rFonts w:ascii="Arial Narrow" w:hAnsi="Arial Narrow" w:cs="Calibri"/>
                <w:iCs/>
                <w:color w:val="000000"/>
                <w:w w:val="15"/>
                <w:sz w:val="20"/>
                <w:szCs w:val="20"/>
                <w:shd w:val="solid" w:color="000000" w:fill="000000"/>
                <w:fitText w:val="30" w:id="-893211385"/>
                <w14:textFill>
                  <w14:solidFill>
                    <w14:srgbClr w14:val="000000">
                      <w14:alpha w14:val="100000"/>
                    </w14:srgbClr>
                  </w14:solidFill>
                </w14:textFill>
              </w:rPr>
              <w:t>|</w:t>
            </w:r>
            <w:r w:rsidR="009F6D97" w:rsidRPr="009F6D97">
              <w:rPr>
                <w:rFonts w:ascii="Arial Narrow" w:hAnsi="Arial Narrow" w:cs="Calibri" w:hint="eastAsia"/>
                <w:iCs/>
                <w:color w:val="000000"/>
                <w:spacing w:val="-35"/>
                <w:w w:val="15"/>
                <w:sz w:val="20"/>
                <w:szCs w:val="20"/>
                <w:shd w:val="solid" w:color="000000" w:fill="000000"/>
                <w:fitText w:val="30" w:id="-893211385"/>
                <w14:textFill>
                  <w14:solidFill>
                    <w14:srgbClr w14:val="000000">
                      <w14:alpha w14:val="100000"/>
                    </w14:srgbClr>
                  </w14:solidFill>
                </w14:textFill>
              </w:rPr>
              <w:t xml:space="preserve">　</w:t>
            </w:r>
            <w:r w:rsidR="002356EB">
              <w:rPr>
                <w:rFonts w:ascii="Arial Narrow" w:hAnsi="Arial Narrow" w:cs="Calibri"/>
                <w:color w:val="000000"/>
                <w:sz w:val="20"/>
                <w:szCs w:val="20"/>
                <w:vertAlign w:val="superscript"/>
              </w:rPr>
              <w:t>2</w:t>
            </w:r>
          </w:p>
        </w:tc>
      </w:tr>
      <w:tr w:rsidR="00DD52A1" w:rsidRPr="00731632" w14:paraId="46BD5D94" w14:textId="77777777" w:rsidTr="00006DE8">
        <w:tc>
          <w:tcPr>
            <w:tcW w:w="1273" w:type="dxa"/>
            <w:vMerge w:val="restart"/>
            <w:vAlign w:val="center"/>
          </w:tcPr>
          <w:p w14:paraId="50C03BCD" w14:textId="77777777" w:rsidR="00DD52A1" w:rsidRPr="00731632" w:rsidRDefault="00DD52A1" w:rsidP="00006DE8">
            <w:pPr>
              <w:keepNext/>
              <w:rPr>
                <w:rFonts w:ascii="Arial Narrow" w:hAnsi="Arial Narrow"/>
                <w:iCs/>
                <w:sz w:val="20"/>
                <w:szCs w:val="20"/>
              </w:rPr>
            </w:pPr>
            <w:r w:rsidRPr="00731632">
              <w:rPr>
                <w:rFonts w:ascii="Arial Narrow" w:hAnsi="Arial Narrow"/>
                <w:iCs/>
                <w:sz w:val="20"/>
                <w:szCs w:val="20"/>
              </w:rPr>
              <w:t>3</w:t>
            </w:r>
          </w:p>
        </w:tc>
        <w:tc>
          <w:tcPr>
            <w:tcW w:w="1346" w:type="dxa"/>
            <w:vAlign w:val="center"/>
          </w:tcPr>
          <w:p w14:paraId="79C30D4C" w14:textId="77777777" w:rsidR="00DD52A1" w:rsidRPr="00731632" w:rsidRDefault="00DD52A1" w:rsidP="00006DE8">
            <w:pPr>
              <w:keepNext/>
              <w:rPr>
                <w:rFonts w:ascii="Arial Narrow" w:hAnsi="Arial Narrow"/>
                <w:iCs/>
                <w:sz w:val="20"/>
                <w:szCs w:val="20"/>
              </w:rPr>
            </w:pPr>
            <w:r w:rsidRPr="00731632">
              <w:rPr>
                <w:rFonts w:ascii="Arial Narrow" w:hAnsi="Arial Narrow" w:cs="Calibri"/>
                <w:color w:val="000000"/>
                <w:sz w:val="20"/>
                <w:szCs w:val="20"/>
              </w:rPr>
              <w:t>Life years</w:t>
            </w:r>
          </w:p>
        </w:tc>
        <w:tc>
          <w:tcPr>
            <w:tcW w:w="1630" w:type="dxa"/>
            <w:vMerge w:val="restart"/>
            <w:vAlign w:val="center"/>
          </w:tcPr>
          <w:p w14:paraId="4AE2170B" w14:textId="77777777" w:rsidR="00DD52A1" w:rsidRPr="00BA5C78" w:rsidRDefault="00DD52A1" w:rsidP="00006DE8">
            <w:pPr>
              <w:keepNext/>
              <w:jc w:val="center"/>
              <w:rPr>
                <w:rFonts w:ascii="Arial Narrow" w:hAnsi="Arial Narrow"/>
                <w:iCs/>
                <w:sz w:val="20"/>
                <w:szCs w:val="20"/>
              </w:rPr>
            </w:pPr>
            <w:r w:rsidRPr="00BA5C78">
              <w:rPr>
                <w:rFonts w:ascii="Arial Narrow" w:hAnsi="Arial Narrow" w:cs="Calibri"/>
                <w:color w:val="000000"/>
                <w:sz w:val="20"/>
                <w:szCs w:val="20"/>
              </w:rPr>
              <w:t>6,007,586</w:t>
            </w:r>
          </w:p>
        </w:tc>
        <w:tc>
          <w:tcPr>
            <w:tcW w:w="1712" w:type="dxa"/>
            <w:vMerge w:val="restart"/>
            <w:vAlign w:val="center"/>
          </w:tcPr>
          <w:p w14:paraId="5E9AD357" w14:textId="77777777" w:rsidR="00DD52A1" w:rsidRPr="006655B4" w:rsidRDefault="00DD52A1" w:rsidP="00006DE8">
            <w:pPr>
              <w:keepNext/>
              <w:jc w:val="center"/>
              <w:rPr>
                <w:rFonts w:ascii="Arial Narrow" w:hAnsi="Arial Narrow"/>
                <w:iCs/>
                <w:sz w:val="20"/>
                <w:szCs w:val="20"/>
              </w:rPr>
            </w:pPr>
            <w:r w:rsidRPr="006655B4">
              <w:rPr>
                <w:rFonts w:ascii="Arial Narrow" w:hAnsi="Arial Narrow" w:cs="Calibri"/>
                <w:color w:val="000000"/>
                <w:sz w:val="20"/>
                <w:szCs w:val="20"/>
              </w:rPr>
              <w:t>6,007,591</w:t>
            </w:r>
          </w:p>
        </w:tc>
        <w:tc>
          <w:tcPr>
            <w:tcW w:w="1617" w:type="dxa"/>
            <w:vMerge w:val="restart"/>
            <w:vAlign w:val="center"/>
          </w:tcPr>
          <w:p w14:paraId="74AAA258" w14:textId="77777777" w:rsidR="00DD52A1" w:rsidRPr="006655B4" w:rsidRDefault="00DD52A1" w:rsidP="00006DE8">
            <w:pPr>
              <w:keepNext/>
              <w:jc w:val="center"/>
              <w:rPr>
                <w:rFonts w:ascii="Arial Narrow" w:hAnsi="Arial Narrow"/>
                <w:iCs/>
                <w:sz w:val="20"/>
                <w:szCs w:val="20"/>
              </w:rPr>
            </w:pPr>
            <w:r w:rsidRPr="006655B4">
              <w:rPr>
                <w:rFonts w:ascii="Arial Narrow" w:hAnsi="Arial Narrow" w:cs="Calibri"/>
                <w:color w:val="000000"/>
                <w:sz w:val="20"/>
                <w:szCs w:val="20"/>
              </w:rPr>
              <w:t>4.896</w:t>
            </w:r>
          </w:p>
        </w:tc>
        <w:tc>
          <w:tcPr>
            <w:tcW w:w="1439" w:type="dxa"/>
            <w:vAlign w:val="center"/>
          </w:tcPr>
          <w:p w14:paraId="5122FFD5" w14:textId="2A94D58E" w:rsidR="00DD52A1" w:rsidRPr="00731632" w:rsidRDefault="00DD52A1" w:rsidP="00006DE8">
            <w:pPr>
              <w:keepNext/>
              <w:jc w:val="center"/>
              <w:rPr>
                <w:rFonts w:ascii="Arial Narrow" w:hAnsi="Arial Narrow"/>
                <w:iCs/>
                <w:sz w:val="20"/>
                <w:szCs w:val="20"/>
              </w:rPr>
            </w:pPr>
            <w:r w:rsidRPr="00731632">
              <w:rPr>
                <w:rFonts w:ascii="Arial Narrow" w:hAnsi="Arial Narrow" w:cs="Calibri"/>
                <w:color w:val="000000"/>
                <w:sz w:val="20"/>
                <w:szCs w:val="20"/>
              </w:rPr>
              <w:t>$</w:t>
            </w:r>
            <w:r w:rsidR="009F6D97" w:rsidRPr="00D770BB">
              <w:rPr>
                <w:rFonts w:ascii="Arial Narrow" w:hAnsi="Arial Narrow" w:cs="Calibri" w:hint="eastAsia"/>
                <w:color w:val="000000"/>
                <w:w w:val="15"/>
                <w:sz w:val="20"/>
                <w:szCs w:val="20"/>
                <w:shd w:val="solid" w:color="000000" w:fill="000000"/>
                <w:fitText w:val="10" w:id="-893211384"/>
                <w14:textFill>
                  <w14:solidFill>
                    <w14:srgbClr w14:val="000000">
                      <w14:alpha w14:val="100000"/>
                    </w14:srgbClr>
                  </w14:solidFill>
                </w14:textFill>
              </w:rPr>
              <w:t xml:space="preserve">　</w:t>
            </w:r>
            <w:r w:rsidR="009F6D97" w:rsidRPr="00D770BB">
              <w:rPr>
                <w:rFonts w:ascii="Arial Narrow" w:hAnsi="Arial Narrow" w:cs="Calibri"/>
                <w:color w:val="000000"/>
                <w:w w:val="15"/>
                <w:sz w:val="20"/>
                <w:szCs w:val="20"/>
                <w:shd w:val="solid" w:color="000000" w:fill="000000"/>
                <w:fitText w:val="10" w:id="-893211384"/>
                <w14:textFill>
                  <w14:solidFill>
                    <w14:srgbClr w14:val="000000">
                      <w14:alpha w14:val="100000"/>
                    </w14:srgbClr>
                  </w14:solidFill>
                </w14:textFill>
              </w:rPr>
              <w:t>|</w:t>
            </w:r>
            <w:r w:rsidR="009F6D97" w:rsidRPr="00D770BB">
              <w:rPr>
                <w:rFonts w:ascii="Arial Narrow" w:hAnsi="Arial Narrow" w:cs="Calibri" w:hint="eastAsia"/>
                <w:color w:val="000000"/>
                <w:spacing w:val="-56"/>
                <w:w w:val="15"/>
                <w:sz w:val="20"/>
                <w:szCs w:val="20"/>
                <w:shd w:val="solid" w:color="000000" w:fill="000000"/>
                <w:fitText w:val="10" w:id="-893211384"/>
                <w14:textFill>
                  <w14:solidFill>
                    <w14:srgbClr w14:val="000000">
                      <w14:alpha w14:val="100000"/>
                    </w14:srgbClr>
                  </w14:solidFill>
                </w14:textFill>
              </w:rPr>
              <w:t xml:space="preserve">　</w:t>
            </w:r>
            <w:r w:rsidR="002356EB">
              <w:rPr>
                <w:rFonts w:ascii="Arial Narrow" w:hAnsi="Arial Narrow" w:cs="Calibri"/>
                <w:color w:val="000000"/>
                <w:sz w:val="20"/>
                <w:szCs w:val="20"/>
                <w:vertAlign w:val="superscript"/>
              </w:rPr>
              <w:t>3</w:t>
            </w:r>
          </w:p>
        </w:tc>
      </w:tr>
      <w:tr w:rsidR="00DD52A1" w:rsidRPr="00731632" w14:paraId="0BF116EC" w14:textId="77777777" w:rsidTr="00006DE8">
        <w:tc>
          <w:tcPr>
            <w:tcW w:w="1273" w:type="dxa"/>
            <w:vMerge/>
            <w:vAlign w:val="center"/>
          </w:tcPr>
          <w:p w14:paraId="69BBD061" w14:textId="77777777" w:rsidR="00DD52A1" w:rsidRPr="00731632" w:rsidRDefault="00DD52A1" w:rsidP="00006DE8">
            <w:pPr>
              <w:keepNext/>
              <w:rPr>
                <w:rFonts w:ascii="Arial Narrow" w:hAnsi="Arial Narrow"/>
                <w:iCs/>
                <w:sz w:val="20"/>
                <w:szCs w:val="20"/>
              </w:rPr>
            </w:pPr>
          </w:p>
        </w:tc>
        <w:tc>
          <w:tcPr>
            <w:tcW w:w="1346" w:type="dxa"/>
            <w:vAlign w:val="center"/>
          </w:tcPr>
          <w:p w14:paraId="6535FC5E" w14:textId="77777777" w:rsidR="00DD52A1" w:rsidRPr="00731632" w:rsidRDefault="00DD52A1" w:rsidP="00006DE8">
            <w:pPr>
              <w:keepNext/>
              <w:rPr>
                <w:rFonts w:ascii="Arial Narrow" w:hAnsi="Arial Narrow"/>
                <w:iCs/>
                <w:sz w:val="20"/>
                <w:szCs w:val="20"/>
              </w:rPr>
            </w:pPr>
            <w:r w:rsidRPr="00731632">
              <w:rPr>
                <w:rFonts w:ascii="Arial Narrow" w:hAnsi="Arial Narrow" w:cs="Calibri"/>
                <w:iCs/>
                <w:color w:val="000000"/>
                <w:sz w:val="20"/>
                <w:szCs w:val="20"/>
              </w:rPr>
              <w:t>Corrected</w:t>
            </w:r>
          </w:p>
        </w:tc>
        <w:tc>
          <w:tcPr>
            <w:tcW w:w="1630" w:type="dxa"/>
            <w:vMerge/>
            <w:vAlign w:val="center"/>
          </w:tcPr>
          <w:p w14:paraId="631F87E6" w14:textId="77777777" w:rsidR="00DD52A1" w:rsidRPr="00BA5C78" w:rsidRDefault="00DD52A1" w:rsidP="00006DE8">
            <w:pPr>
              <w:keepNext/>
              <w:jc w:val="center"/>
              <w:rPr>
                <w:rFonts w:ascii="Arial Narrow" w:hAnsi="Arial Narrow"/>
                <w:iCs/>
                <w:sz w:val="20"/>
                <w:szCs w:val="20"/>
              </w:rPr>
            </w:pPr>
          </w:p>
        </w:tc>
        <w:tc>
          <w:tcPr>
            <w:tcW w:w="1712" w:type="dxa"/>
            <w:vMerge/>
            <w:vAlign w:val="center"/>
          </w:tcPr>
          <w:p w14:paraId="4BAD7605" w14:textId="77777777" w:rsidR="00DD52A1" w:rsidRPr="006655B4" w:rsidRDefault="00DD52A1" w:rsidP="00006DE8">
            <w:pPr>
              <w:keepNext/>
              <w:jc w:val="center"/>
              <w:rPr>
                <w:rFonts w:ascii="Arial Narrow" w:hAnsi="Arial Narrow"/>
                <w:iCs/>
                <w:sz w:val="20"/>
                <w:szCs w:val="20"/>
              </w:rPr>
            </w:pPr>
          </w:p>
        </w:tc>
        <w:tc>
          <w:tcPr>
            <w:tcW w:w="1617" w:type="dxa"/>
            <w:vMerge/>
            <w:vAlign w:val="center"/>
          </w:tcPr>
          <w:p w14:paraId="58957422" w14:textId="77777777" w:rsidR="00DD52A1" w:rsidRPr="006655B4" w:rsidRDefault="00DD52A1" w:rsidP="00006DE8">
            <w:pPr>
              <w:keepNext/>
              <w:jc w:val="center"/>
              <w:rPr>
                <w:rFonts w:ascii="Arial Narrow" w:hAnsi="Arial Narrow"/>
                <w:iCs/>
                <w:sz w:val="20"/>
                <w:szCs w:val="20"/>
              </w:rPr>
            </w:pPr>
          </w:p>
        </w:tc>
        <w:tc>
          <w:tcPr>
            <w:tcW w:w="1439" w:type="dxa"/>
            <w:vAlign w:val="center"/>
          </w:tcPr>
          <w:p w14:paraId="78951FC7" w14:textId="12C4DC93" w:rsidR="00DD52A1" w:rsidRPr="00731632" w:rsidRDefault="00DD52A1" w:rsidP="00006DE8">
            <w:pPr>
              <w:keepNext/>
              <w:jc w:val="center"/>
              <w:rPr>
                <w:rFonts w:ascii="Arial Narrow" w:hAnsi="Arial Narrow"/>
                <w:iCs/>
                <w:sz w:val="20"/>
                <w:szCs w:val="20"/>
              </w:rPr>
            </w:pPr>
            <w:r w:rsidRPr="00731632">
              <w:rPr>
                <w:rFonts w:ascii="Arial Narrow" w:hAnsi="Arial Narrow" w:cs="Calibri"/>
                <w:iCs/>
                <w:color w:val="000000"/>
                <w:sz w:val="20"/>
                <w:szCs w:val="20"/>
              </w:rPr>
              <w:t>$</w:t>
            </w:r>
            <w:r w:rsidR="009F6D97" w:rsidRPr="00D770BB">
              <w:rPr>
                <w:rFonts w:ascii="Arial Narrow" w:hAnsi="Arial Narrow" w:cs="Calibri" w:hint="eastAsia"/>
                <w:iCs/>
                <w:color w:val="000000"/>
                <w:w w:val="15"/>
                <w:sz w:val="20"/>
                <w:szCs w:val="20"/>
                <w:shd w:val="solid" w:color="000000" w:fill="000000"/>
                <w:fitText w:val="10" w:id="-893211383"/>
                <w14:textFill>
                  <w14:solidFill>
                    <w14:srgbClr w14:val="000000">
                      <w14:alpha w14:val="100000"/>
                    </w14:srgbClr>
                  </w14:solidFill>
                </w14:textFill>
              </w:rPr>
              <w:t xml:space="preserve">　</w:t>
            </w:r>
            <w:r w:rsidR="009F6D97" w:rsidRPr="00D770BB">
              <w:rPr>
                <w:rFonts w:ascii="Arial Narrow" w:hAnsi="Arial Narrow" w:cs="Calibri"/>
                <w:iCs/>
                <w:color w:val="000000"/>
                <w:w w:val="15"/>
                <w:sz w:val="20"/>
                <w:szCs w:val="20"/>
                <w:shd w:val="solid" w:color="000000" w:fill="000000"/>
                <w:fitText w:val="10" w:id="-893211383"/>
                <w14:textFill>
                  <w14:solidFill>
                    <w14:srgbClr w14:val="000000">
                      <w14:alpha w14:val="100000"/>
                    </w14:srgbClr>
                  </w14:solidFill>
                </w14:textFill>
              </w:rPr>
              <w:t>|</w:t>
            </w:r>
            <w:r w:rsidR="009F6D97" w:rsidRPr="00D770BB">
              <w:rPr>
                <w:rFonts w:ascii="Arial Narrow" w:hAnsi="Arial Narrow" w:cs="Calibri" w:hint="eastAsia"/>
                <w:iCs/>
                <w:color w:val="000000"/>
                <w:spacing w:val="-56"/>
                <w:w w:val="15"/>
                <w:sz w:val="20"/>
                <w:szCs w:val="20"/>
                <w:shd w:val="solid" w:color="000000" w:fill="000000"/>
                <w:fitText w:val="10" w:id="-893211383"/>
                <w14:textFill>
                  <w14:solidFill>
                    <w14:srgbClr w14:val="000000">
                      <w14:alpha w14:val="100000"/>
                    </w14:srgbClr>
                  </w14:solidFill>
                </w14:textFill>
              </w:rPr>
              <w:t xml:space="preserve">　</w:t>
            </w:r>
            <w:r w:rsidR="002356EB">
              <w:rPr>
                <w:rFonts w:ascii="Arial Narrow" w:hAnsi="Arial Narrow" w:cs="Calibri"/>
                <w:color w:val="000000"/>
                <w:sz w:val="20"/>
                <w:szCs w:val="20"/>
                <w:vertAlign w:val="superscript"/>
              </w:rPr>
              <w:t>3</w:t>
            </w:r>
          </w:p>
        </w:tc>
      </w:tr>
      <w:tr w:rsidR="00DD52A1" w:rsidRPr="00731632" w14:paraId="592C77AC" w14:textId="77777777" w:rsidTr="00006DE8">
        <w:tc>
          <w:tcPr>
            <w:tcW w:w="1273" w:type="dxa"/>
            <w:vMerge w:val="restart"/>
            <w:vAlign w:val="center"/>
          </w:tcPr>
          <w:p w14:paraId="3B091880" w14:textId="77777777" w:rsidR="00DD52A1" w:rsidRPr="00731632" w:rsidRDefault="00DD52A1" w:rsidP="00006DE8">
            <w:pPr>
              <w:keepNext/>
              <w:rPr>
                <w:rFonts w:ascii="Arial Narrow" w:hAnsi="Arial Narrow" w:cs="Calibri"/>
                <w:color w:val="000000"/>
                <w:sz w:val="20"/>
                <w:szCs w:val="20"/>
              </w:rPr>
            </w:pPr>
            <w:r w:rsidRPr="00731632">
              <w:rPr>
                <w:rFonts w:ascii="Arial Narrow" w:hAnsi="Arial Narrow"/>
                <w:iCs/>
                <w:sz w:val="20"/>
                <w:szCs w:val="20"/>
              </w:rPr>
              <w:t>4</w:t>
            </w:r>
          </w:p>
        </w:tc>
        <w:tc>
          <w:tcPr>
            <w:tcW w:w="1346" w:type="dxa"/>
            <w:vAlign w:val="center"/>
          </w:tcPr>
          <w:p w14:paraId="66FDCC40" w14:textId="77777777" w:rsidR="00DD52A1" w:rsidRPr="00731632" w:rsidRDefault="00DD52A1" w:rsidP="00006DE8">
            <w:pPr>
              <w:keepNext/>
              <w:rPr>
                <w:rFonts w:ascii="Arial Narrow" w:hAnsi="Arial Narrow" w:cs="Calibri"/>
                <w:color w:val="000000"/>
                <w:sz w:val="20"/>
                <w:szCs w:val="20"/>
              </w:rPr>
            </w:pPr>
            <w:r w:rsidRPr="00731632">
              <w:rPr>
                <w:rFonts w:ascii="Arial Narrow" w:hAnsi="Arial Narrow" w:cs="Calibri"/>
                <w:color w:val="000000"/>
                <w:sz w:val="20"/>
                <w:szCs w:val="20"/>
              </w:rPr>
              <w:t>QALYs</w:t>
            </w:r>
          </w:p>
        </w:tc>
        <w:tc>
          <w:tcPr>
            <w:tcW w:w="1630" w:type="dxa"/>
            <w:vMerge w:val="restart"/>
            <w:vAlign w:val="center"/>
          </w:tcPr>
          <w:p w14:paraId="3191A6B7" w14:textId="77777777" w:rsidR="00DD52A1" w:rsidRPr="00BA5C78" w:rsidRDefault="00DD52A1" w:rsidP="00006DE8">
            <w:pPr>
              <w:keepNext/>
              <w:jc w:val="center"/>
              <w:rPr>
                <w:rFonts w:ascii="Arial Narrow" w:hAnsi="Arial Narrow" w:cs="Calibri"/>
                <w:color w:val="000000"/>
                <w:sz w:val="20"/>
                <w:szCs w:val="20"/>
              </w:rPr>
            </w:pPr>
            <w:r w:rsidRPr="00BA5C78">
              <w:rPr>
                <w:rFonts w:ascii="Arial Narrow" w:hAnsi="Arial Narrow" w:cs="Calibri"/>
                <w:color w:val="000000"/>
                <w:sz w:val="20"/>
                <w:szCs w:val="20"/>
              </w:rPr>
              <w:t>5,984,282</w:t>
            </w:r>
          </w:p>
        </w:tc>
        <w:tc>
          <w:tcPr>
            <w:tcW w:w="1712" w:type="dxa"/>
            <w:vMerge w:val="restart"/>
            <w:vAlign w:val="center"/>
          </w:tcPr>
          <w:p w14:paraId="3BB590CC" w14:textId="77777777" w:rsidR="00DD52A1" w:rsidRPr="006655B4" w:rsidRDefault="00DD52A1" w:rsidP="00006DE8">
            <w:pPr>
              <w:keepNext/>
              <w:jc w:val="center"/>
              <w:rPr>
                <w:rFonts w:ascii="Arial Narrow" w:hAnsi="Arial Narrow" w:cs="Calibri"/>
                <w:color w:val="000000"/>
                <w:sz w:val="20"/>
                <w:szCs w:val="20"/>
              </w:rPr>
            </w:pPr>
            <w:r w:rsidRPr="006655B4">
              <w:rPr>
                <w:rFonts w:ascii="Arial Narrow" w:hAnsi="Arial Narrow" w:cs="Calibri"/>
                <w:color w:val="000000"/>
                <w:sz w:val="20"/>
                <w:szCs w:val="20"/>
              </w:rPr>
              <w:t>5,985,217</w:t>
            </w:r>
          </w:p>
        </w:tc>
        <w:tc>
          <w:tcPr>
            <w:tcW w:w="1617" w:type="dxa"/>
            <w:vMerge w:val="restart"/>
            <w:vAlign w:val="center"/>
          </w:tcPr>
          <w:p w14:paraId="3F80C58A" w14:textId="77777777" w:rsidR="00DD52A1" w:rsidRPr="006655B4" w:rsidRDefault="00DD52A1" w:rsidP="00006DE8">
            <w:pPr>
              <w:keepNext/>
              <w:jc w:val="center"/>
              <w:rPr>
                <w:rFonts w:ascii="Arial Narrow" w:hAnsi="Arial Narrow" w:cs="Calibri"/>
                <w:i/>
                <w:iCs/>
                <w:color w:val="000000"/>
                <w:sz w:val="20"/>
                <w:szCs w:val="20"/>
              </w:rPr>
            </w:pPr>
            <w:r w:rsidRPr="006655B4">
              <w:rPr>
                <w:rFonts w:ascii="Arial Narrow" w:hAnsi="Arial Narrow" w:cs="Calibri"/>
                <w:color w:val="000000"/>
                <w:sz w:val="20"/>
                <w:szCs w:val="20"/>
              </w:rPr>
              <w:t>936</w:t>
            </w:r>
          </w:p>
        </w:tc>
        <w:tc>
          <w:tcPr>
            <w:tcW w:w="1439" w:type="dxa"/>
            <w:vAlign w:val="center"/>
          </w:tcPr>
          <w:p w14:paraId="4A271A65" w14:textId="1953D268" w:rsidR="00DD52A1" w:rsidRPr="00731632" w:rsidRDefault="00DD52A1" w:rsidP="00006DE8">
            <w:pPr>
              <w:keepNext/>
              <w:jc w:val="center"/>
              <w:rPr>
                <w:rFonts w:ascii="Arial Narrow" w:hAnsi="Arial Narrow" w:cs="Calibri"/>
                <w:i/>
                <w:iCs/>
                <w:color w:val="000000"/>
                <w:sz w:val="20"/>
                <w:szCs w:val="20"/>
              </w:rPr>
            </w:pPr>
            <w:r w:rsidRPr="00731632">
              <w:rPr>
                <w:rFonts w:ascii="Arial Narrow" w:hAnsi="Arial Narrow" w:cs="Calibri"/>
                <w:color w:val="000000"/>
                <w:sz w:val="20"/>
                <w:szCs w:val="20"/>
              </w:rPr>
              <w:t>$</w:t>
            </w:r>
            <w:r w:rsidR="009F6D97" w:rsidRPr="00D770BB">
              <w:rPr>
                <w:rFonts w:ascii="Arial Narrow" w:hAnsi="Arial Narrow" w:cs="Calibri" w:hint="eastAsia"/>
                <w:color w:val="000000"/>
                <w:w w:val="15"/>
                <w:sz w:val="20"/>
                <w:szCs w:val="20"/>
                <w:shd w:val="solid" w:color="000000" w:fill="000000"/>
                <w:fitText w:val="10" w:id="-893211382"/>
                <w14:textFill>
                  <w14:solidFill>
                    <w14:srgbClr w14:val="000000">
                      <w14:alpha w14:val="100000"/>
                    </w14:srgbClr>
                  </w14:solidFill>
                </w14:textFill>
              </w:rPr>
              <w:t xml:space="preserve">　</w:t>
            </w:r>
            <w:r w:rsidR="009F6D97" w:rsidRPr="00D770BB">
              <w:rPr>
                <w:rFonts w:ascii="Arial Narrow" w:hAnsi="Arial Narrow" w:cs="Calibri"/>
                <w:color w:val="000000"/>
                <w:w w:val="15"/>
                <w:sz w:val="20"/>
                <w:szCs w:val="20"/>
                <w:shd w:val="solid" w:color="000000" w:fill="000000"/>
                <w:fitText w:val="10" w:id="-893211382"/>
                <w14:textFill>
                  <w14:solidFill>
                    <w14:srgbClr w14:val="000000">
                      <w14:alpha w14:val="100000"/>
                    </w14:srgbClr>
                  </w14:solidFill>
                </w14:textFill>
              </w:rPr>
              <w:t>|</w:t>
            </w:r>
            <w:r w:rsidR="009F6D97" w:rsidRPr="00D770BB">
              <w:rPr>
                <w:rFonts w:ascii="Arial Narrow" w:hAnsi="Arial Narrow" w:cs="Calibri" w:hint="eastAsia"/>
                <w:color w:val="000000"/>
                <w:spacing w:val="-56"/>
                <w:w w:val="15"/>
                <w:sz w:val="20"/>
                <w:szCs w:val="20"/>
                <w:shd w:val="solid" w:color="000000" w:fill="000000"/>
                <w:fitText w:val="10" w:id="-893211382"/>
                <w14:textFill>
                  <w14:solidFill>
                    <w14:srgbClr w14:val="000000">
                      <w14:alpha w14:val="100000"/>
                    </w14:srgbClr>
                  </w14:solidFill>
                </w14:textFill>
              </w:rPr>
              <w:t xml:space="preserve">　</w:t>
            </w:r>
            <w:r w:rsidR="002356EB">
              <w:rPr>
                <w:rFonts w:ascii="Arial Narrow" w:hAnsi="Arial Narrow" w:cs="Calibri"/>
                <w:color w:val="000000"/>
                <w:sz w:val="20"/>
                <w:szCs w:val="20"/>
                <w:vertAlign w:val="superscript"/>
              </w:rPr>
              <w:t>4</w:t>
            </w:r>
          </w:p>
        </w:tc>
      </w:tr>
      <w:tr w:rsidR="00DD52A1" w:rsidRPr="00731632" w14:paraId="32299F2F" w14:textId="77777777" w:rsidTr="00006DE8">
        <w:tc>
          <w:tcPr>
            <w:tcW w:w="1273" w:type="dxa"/>
            <w:vMerge/>
            <w:vAlign w:val="center"/>
          </w:tcPr>
          <w:p w14:paraId="19F7D94E" w14:textId="77777777" w:rsidR="00DD52A1" w:rsidRPr="00731632" w:rsidRDefault="00DD52A1" w:rsidP="00006DE8">
            <w:pPr>
              <w:keepNext/>
              <w:rPr>
                <w:rFonts w:ascii="Arial Narrow" w:hAnsi="Arial Narrow" w:cs="Calibri"/>
                <w:color w:val="000000"/>
                <w:sz w:val="20"/>
                <w:szCs w:val="20"/>
              </w:rPr>
            </w:pPr>
          </w:p>
        </w:tc>
        <w:tc>
          <w:tcPr>
            <w:tcW w:w="1346" w:type="dxa"/>
            <w:vAlign w:val="center"/>
          </w:tcPr>
          <w:p w14:paraId="54583451" w14:textId="77777777" w:rsidR="00DD52A1" w:rsidRPr="00731632" w:rsidRDefault="00DD52A1" w:rsidP="00006DE8">
            <w:pPr>
              <w:keepNext/>
              <w:rPr>
                <w:rFonts w:ascii="Arial Narrow" w:hAnsi="Arial Narrow" w:cs="Calibri"/>
                <w:color w:val="000000"/>
                <w:sz w:val="20"/>
                <w:szCs w:val="20"/>
              </w:rPr>
            </w:pPr>
            <w:r w:rsidRPr="00731632">
              <w:rPr>
                <w:rFonts w:ascii="Arial Narrow" w:hAnsi="Arial Narrow" w:cs="Calibri"/>
                <w:iCs/>
                <w:color w:val="000000"/>
                <w:sz w:val="20"/>
                <w:szCs w:val="20"/>
              </w:rPr>
              <w:t>Corrected</w:t>
            </w:r>
          </w:p>
        </w:tc>
        <w:tc>
          <w:tcPr>
            <w:tcW w:w="1630" w:type="dxa"/>
            <w:vMerge/>
            <w:vAlign w:val="center"/>
          </w:tcPr>
          <w:p w14:paraId="56DBDCFE" w14:textId="77777777" w:rsidR="00DD52A1" w:rsidRPr="00731632" w:rsidRDefault="00DD52A1" w:rsidP="00006DE8">
            <w:pPr>
              <w:keepNext/>
              <w:jc w:val="center"/>
              <w:rPr>
                <w:rFonts w:ascii="Arial Narrow" w:hAnsi="Arial Narrow" w:cs="Calibri"/>
                <w:color w:val="000000"/>
                <w:sz w:val="20"/>
                <w:szCs w:val="20"/>
              </w:rPr>
            </w:pPr>
          </w:p>
        </w:tc>
        <w:tc>
          <w:tcPr>
            <w:tcW w:w="1712" w:type="dxa"/>
            <w:vMerge/>
            <w:vAlign w:val="center"/>
          </w:tcPr>
          <w:p w14:paraId="4BB9E6BF" w14:textId="77777777" w:rsidR="00DD52A1" w:rsidRPr="00731632" w:rsidRDefault="00DD52A1" w:rsidP="00006DE8">
            <w:pPr>
              <w:keepNext/>
              <w:jc w:val="center"/>
              <w:rPr>
                <w:rFonts w:ascii="Arial Narrow" w:hAnsi="Arial Narrow" w:cs="Calibri"/>
                <w:color w:val="000000"/>
                <w:sz w:val="20"/>
                <w:szCs w:val="20"/>
              </w:rPr>
            </w:pPr>
          </w:p>
        </w:tc>
        <w:tc>
          <w:tcPr>
            <w:tcW w:w="1617" w:type="dxa"/>
            <w:vMerge/>
            <w:vAlign w:val="center"/>
          </w:tcPr>
          <w:p w14:paraId="35D60B7F" w14:textId="77777777" w:rsidR="00DD52A1" w:rsidRPr="00731632" w:rsidRDefault="00DD52A1" w:rsidP="00006DE8">
            <w:pPr>
              <w:keepNext/>
              <w:jc w:val="center"/>
              <w:rPr>
                <w:rFonts w:ascii="Arial Narrow" w:hAnsi="Arial Narrow" w:cs="Calibri"/>
                <w:iCs/>
                <w:color w:val="000000"/>
                <w:sz w:val="20"/>
                <w:szCs w:val="20"/>
              </w:rPr>
            </w:pPr>
          </w:p>
        </w:tc>
        <w:tc>
          <w:tcPr>
            <w:tcW w:w="1439" w:type="dxa"/>
            <w:vAlign w:val="center"/>
          </w:tcPr>
          <w:p w14:paraId="6F83E65E" w14:textId="1913655E" w:rsidR="00DD52A1" w:rsidRPr="00731632" w:rsidRDefault="00DD52A1" w:rsidP="00006DE8">
            <w:pPr>
              <w:keepNext/>
              <w:jc w:val="center"/>
              <w:rPr>
                <w:rFonts w:ascii="Arial Narrow" w:hAnsi="Arial Narrow" w:cs="Calibri"/>
                <w:iCs/>
                <w:color w:val="000000"/>
                <w:sz w:val="20"/>
                <w:szCs w:val="20"/>
              </w:rPr>
            </w:pPr>
            <w:r w:rsidRPr="00731632">
              <w:rPr>
                <w:rFonts w:ascii="Arial Narrow" w:hAnsi="Arial Narrow" w:cs="Calibri"/>
                <w:iCs/>
                <w:color w:val="000000"/>
                <w:sz w:val="20"/>
                <w:szCs w:val="20"/>
              </w:rPr>
              <w:t>$</w:t>
            </w:r>
            <w:r w:rsidR="009F6D97" w:rsidRPr="00D770BB">
              <w:rPr>
                <w:rFonts w:ascii="Arial Narrow" w:hAnsi="Arial Narrow" w:cs="Calibri" w:hint="eastAsia"/>
                <w:iCs/>
                <w:color w:val="000000"/>
                <w:w w:val="15"/>
                <w:sz w:val="20"/>
                <w:szCs w:val="20"/>
                <w:shd w:val="solid" w:color="000000" w:fill="000000"/>
                <w:fitText w:val="10" w:id="-893211381"/>
                <w14:textFill>
                  <w14:solidFill>
                    <w14:srgbClr w14:val="000000">
                      <w14:alpha w14:val="100000"/>
                    </w14:srgbClr>
                  </w14:solidFill>
                </w14:textFill>
              </w:rPr>
              <w:t xml:space="preserve">　</w:t>
            </w:r>
            <w:r w:rsidR="009F6D97" w:rsidRPr="00D770BB">
              <w:rPr>
                <w:rFonts w:ascii="Arial Narrow" w:hAnsi="Arial Narrow" w:cs="Calibri"/>
                <w:iCs/>
                <w:color w:val="000000"/>
                <w:w w:val="15"/>
                <w:sz w:val="20"/>
                <w:szCs w:val="20"/>
                <w:shd w:val="solid" w:color="000000" w:fill="000000"/>
                <w:fitText w:val="10" w:id="-893211381"/>
                <w14:textFill>
                  <w14:solidFill>
                    <w14:srgbClr w14:val="000000">
                      <w14:alpha w14:val="100000"/>
                    </w14:srgbClr>
                  </w14:solidFill>
                </w14:textFill>
              </w:rPr>
              <w:t>|</w:t>
            </w:r>
            <w:r w:rsidR="009F6D97" w:rsidRPr="00D770BB">
              <w:rPr>
                <w:rFonts w:ascii="Arial Narrow" w:hAnsi="Arial Narrow" w:cs="Calibri" w:hint="eastAsia"/>
                <w:iCs/>
                <w:color w:val="000000"/>
                <w:spacing w:val="-56"/>
                <w:w w:val="15"/>
                <w:sz w:val="20"/>
                <w:szCs w:val="20"/>
                <w:shd w:val="solid" w:color="000000" w:fill="000000"/>
                <w:fitText w:val="10" w:id="-893211381"/>
                <w14:textFill>
                  <w14:solidFill>
                    <w14:srgbClr w14:val="000000">
                      <w14:alpha w14:val="100000"/>
                    </w14:srgbClr>
                  </w14:solidFill>
                </w14:textFill>
              </w:rPr>
              <w:t xml:space="preserve">　</w:t>
            </w:r>
            <w:r w:rsidR="002356EB">
              <w:rPr>
                <w:rFonts w:ascii="Arial Narrow" w:hAnsi="Arial Narrow" w:cs="Calibri"/>
                <w:iCs/>
                <w:color w:val="000000"/>
                <w:sz w:val="20"/>
                <w:szCs w:val="20"/>
                <w:vertAlign w:val="superscript"/>
              </w:rPr>
              <w:t>4</w:t>
            </w:r>
          </w:p>
        </w:tc>
      </w:tr>
    </w:tbl>
    <w:p w14:paraId="01CC8B72" w14:textId="2DC49331" w:rsidR="00DD52A1" w:rsidRPr="00731632" w:rsidRDefault="00DD52A1" w:rsidP="00DD52A1">
      <w:pPr>
        <w:rPr>
          <w:rFonts w:ascii="Arial Narrow" w:hAnsi="Arial Narrow"/>
          <w:sz w:val="18"/>
          <w:szCs w:val="18"/>
        </w:rPr>
      </w:pPr>
      <w:r w:rsidRPr="00731632">
        <w:rPr>
          <w:rFonts w:ascii="Arial Narrow" w:hAnsi="Arial Narrow"/>
          <w:sz w:val="18"/>
          <w:szCs w:val="18"/>
        </w:rPr>
        <w:t>Source: Table 3.8.2, of the submission.</w:t>
      </w:r>
    </w:p>
    <w:p w14:paraId="1F0E3ED3" w14:textId="77777777" w:rsidR="00DD52A1" w:rsidRDefault="00DD52A1" w:rsidP="00DD52A1">
      <w:pPr>
        <w:rPr>
          <w:rFonts w:ascii="Arial Narrow" w:hAnsi="Arial Narrow"/>
          <w:sz w:val="18"/>
          <w:szCs w:val="18"/>
        </w:rPr>
      </w:pPr>
      <w:r w:rsidRPr="00731632">
        <w:rPr>
          <w:rFonts w:ascii="Arial Narrow" w:hAnsi="Arial Narrow"/>
          <w:sz w:val="18"/>
          <w:szCs w:val="18"/>
        </w:rPr>
        <w:t>ED = Emergency department; ICER = incremental cost-effectiveness ratio; QALY = quality-adjusted life year; RSV = Respiratory syncytial virus.</w:t>
      </w:r>
    </w:p>
    <w:p w14:paraId="008CF728" w14:textId="77777777" w:rsidR="00DD52A1" w:rsidRDefault="00DD52A1" w:rsidP="00DD52A1">
      <w:pPr>
        <w:rPr>
          <w:rFonts w:ascii="Arial Narrow" w:hAnsi="Arial Narrow"/>
          <w:sz w:val="18"/>
          <w:szCs w:val="18"/>
        </w:rPr>
      </w:pPr>
      <w:r w:rsidRPr="006F773B">
        <w:rPr>
          <w:rFonts w:ascii="Arial Narrow" w:hAnsi="Arial Narrow"/>
          <w:sz w:val="18"/>
          <w:szCs w:val="18"/>
        </w:rPr>
        <w:t>The redacted values correspond to the following ranges</w:t>
      </w:r>
    </w:p>
    <w:p w14:paraId="2E8516AE" w14:textId="03AEF76E" w:rsidR="00976E65" w:rsidRDefault="00976E65" w:rsidP="00DD52A1">
      <w:pPr>
        <w:rPr>
          <w:rFonts w:ascii="Arial Narrow" w:hAnsi="Arial Narrow"/>
          <w:sz w:val="18"/>
          <w:szCs w:val="18"/>
        </w:rPr>
      </w:pPr>
      <w:r>
        <w:rPr>
          <w:rFonts w:ascii="Arial Narrow" w:hAnsi="Arial Narrow"/>
          <w:sz w:val="18"/>
          <w:szCs w:val="18"/>
        </w:rPr>
        <w:t xml:space="preserve">1 </w:t>
      </w:r>
      <w:r w:rsidR="002356EB" w:rsidRPr="002356EB">
        <w:rPr>
          <w:rFonts w:ascii="Arial Narrow" w:hAnsi="Arial Narrow"/>
          <w:sz w:val="18"/>
          <w:szCs w:val="18"/>
        </w:rPr>
        <w:t>300,000 to &lt; 400,000</w:t>
      </w:r>
    </w:p>
    <w:p w14:paraId="3AF25D1F" w14:textId="694F7DAA" w:rsidR="00DD52A1" w:rsidRDefault="002356EB" w:rsidP="00DD52A1">
      <w:pPr>
        <w:rPr>
          <w:rFonts w:ascii="Arial Narrow" w:hAnsi="Arial Narrow"/>
          <w:sz w:val="18"/>
          <w:szCs w:val="18"/>
        </w:rPr>
      </w:pPr>
      <w:r>
        <w:rPr>
          <w:rFonts w:ascii="Arial Narrow" w:hAnsi="Arial Narrow"/>
          <w:sz w:val="18"/>
          <w:szCs w:val="18"/>
        </w:rPr>
        <w:t>2</w:t>
      </w:r>
      <w:r w:rsidR="00DD52A1">
        <w:rPr>
          <w:rFonts w:ascii="Arial Narrow" w:hAnsi="Arial Narrow"/>
          <w:sz w:val="18"/>
          <w:szCs w:val="18"/>
        </w:rPr>
        <w:t xml:space="preserve"> </w:t>
      </w:r>
      <w:r w:rsidR="00DD52A1" w:rsidRPr="00C8067E">
        <w:rPr>
          <w:rFonts w:ascii="Arial Narrow" w:hAnsi="Arial Narrow"/>
          <w:sz w:val="18"/>
          <w:szCs w:val="18"/>
        </w:rPr>
        <w:t>Dominant</w:t>
      </w:r>
    </w:p>
    <w:p w14:paraId="7EEB52D0" w14:textId="2994CBCF" w:rsidR="00DD52A1" w:rsidRDefault="002356EB" w:rsidP="00DD52A1">
      <w:pPr>
        <w:rPr>
          <w:rFonts w:ascii="Arial Narrow" w:hAnsi="Arial Narrow"/>
          <w:sz w:val="18"/>
          <w:szCs w:val="18"/>
        </w:rPr>
      </w:pPr>
      <w:r>
        <w:rPr>
          <w:rFonts w:ascii="Arial Narrow" w:hAnsi="Arial Narrow"/>
          <w:sz w:val="18"/>
          <w:szCs w:val="18"/>
        </w:rPr>
        <w:t>3</w:t>
      </w:r>
      <w:r w:rsidR="00DD52A1">
        <w:rPr>
          <w:rFonts w:ascii="Arial Narrow" w:hAnsi="Arial Narrow"/>
          <w:sz w:val="18"/>
          <w:szCs w:val="18"/>
        </w:rPr>
        <w:t xml:space="preserve"> </w:t>
      </w:r>
      <w:r w:rsidR="00DD52A1" w:rsidRPr="002C2006">
        <w:rPr>
          <w:rFonts w:ascii="Arial Narrow" w:hAnsi="Arial Narrow"/>
          <w:sz w:val="18"/>
          <w:szCs w:val="18"/>
        </w:rPr>
        <w:t>&gt; $1,055,000</w:t>
      </w:r>
    </w:p>
    <w:p w14:paraId="24D4F817" w14:textId="4C5B9100" w:rsidR="00DD52A1" w:rsidRDefault="002356EB" w:rsidP="00DD52A1">
      <w:pPr>
        <w:rPr>
          <w:rFonts w:ascii="Arial Narrow" w:hAnsi="Arial Narrow"/>
          <w:sz w:val="18"/>
          <w:szCs w:val="18"/>
        </w:rPr>
      </w:pPr>
      <w:r>
        <w:rPr>
          <w:rFonts w:ascii="Arial Narrow" w:hAnsi="Arial Narrow"/>
          <w:sz w:val="18"/>
          <w:szCs w:val="18"/>
        </w:rPr>
        <w:t>4</w:t>
      </w:r>
      <w:r w:rsidR="00DD52A1">
        <w:rPr>
          <w:rFonts w:ascii="Arial Narrow" w:hAnsi="Arial Narrow"/>
          <w:sz w:val="18"/>
          <w:szCs w:val="18"/>
        </w:rPr>
        <w:t xml:space="preserve"> </w:t>
      </w:r>
      <w:r w:rsidR="00DD52A1" w:rsidRPr="00A36C67">
        <w:rPr>
          <w:rFonts w:ascii="Arial Narrow" w:hAnsi="Arial Narrow"/>
          <w:sz w:val="18"/>
          <w:szCs w:val="18"/>
        </w:rPr>
        <w:t>$5,000 to &lt; $15,000</w:t>
      </w:r>
    </w:p>
    <w:p w14:paraId="63AC8605" w14:textId="03A29995" w:rsidR="00137065" w:rsidRDefault="00137065" w:rsidP="00DD52A1">
      <w:pPr>
        <w:rPr>
          <w:rFonts w:ascii="Arial Narrow" w:hAnsi="Arial Narrow"/>
          <w:sz w:val="18"/>
          <w:szCs w:val="18"/>
        </w:rPr>
      </w:pPr>
      <w:r>
        <w:rPr>
          <w:rFonts w:ascii="Arial Narrow" w:hAnsi="Arial Narrow"/>
          <w:sz w:val="18"/>
          <w:szCs w:val="18"/>
        </w:rPr>
        <w:t xml:space="preserve">5 </w:t>
      </w:r>
      <w:r w:rsidR="00935AB8" w:rsidRPr="00935AB8">
        <w:rPr>
          <w:rFonts w:ascii="Arial Narrow" w:hAnsi="Arial Narrow"/>
          <w:sz w:val="18"/>
          <w:szCs w:val="18"/>
        </w:rPr>
        <w:t>30,000 to &lt; 40,000</w:t>
      </w:r>
    </w:p>
    <w:p w14:paraId="7691B8B8" w14:textId="3A21B01B" w:rsidR="00A058CE" w:rsidRPr="00DF53E4" w:rsidRDefault="00935AB8" w:rsidP="00DF53E4">
      <w:pPr>
        <w:spacing w:after="120"/>
        <w:rPr>
          <w:rFonts w:ascii="Arial Narrow" w:hAnsi="Arial Narrow"/>
          <w:sz w:val="18"/>
          <w:szCs w:val="18"/>
        </w:rPr>
      </w:pPr>
      <w:r>
        <w:rPr>
          <w:rFonts w:ascii="Arial Narrow" w:hAnsi="Arial Narrow"/>
          <w:sz w:val="18"/>
          <w:szCs w:val="18"/>
        </w:rPr>
        <w:t xml:space="preserve">6 </w:t>
      </w:r>
      <w:r w:rsidR="007122BA" w:rsidRPr="007122BA">
        <w:rPr>
          <w:rFonts w:ascii="Arial Narrow" w:hAnsi="Arial Narrow"/>
          <w:sz w:val="18"/>
          <w:szCs w:val="18"/>
        </w:rPr>
        <w:t>10,000 to &lt; 20,000</w:t>
      </w:r>
      <w:bookmarkEnd w:id="89"/>
    </w:p>
    <w:p w14:paraId="5288F94F" w14:textId="599DFD61" w:rsidR="00EE2FBE" w:rsidRPr="00731632" w:rsidRDefault="00725DEF" w:rsidP="00EE2FBE">
      <w:pPr>
        <w:pStyle w:val="3-BodyText"/>
        <w:rPr>
          <w:iCs/>
        </w:rPr>
      </w:pPr>
      <w:bookmarkStart w:id="90" w:name="_Ref167196900"/>
      <w:r w:rsidRPr="00731632">
        <w:rPr>
          <w:iCs/>
        </w:rPr>
        <w:t>The evaluation noted that t</w:t>
      </w:r>
      <w:r w:rsidR="00EE2FBE" w:rsidRPr="00731632">
        <w:rPr>
          <w:iCs/>
        </w:rPr>
        <w:t>he results for the tropical population and the temperate population differed considerably. The incremental cost per additional QALY in the tropical population was estimated to be $</w:t>
      </w:r>
      <w:r w:rsidR="006A3CC5" w:rsidRPr="006A3CC5">
        <w:rPr>
          <w:iCs/>
        </w:rPr>
        <w:t>35,000 to &lt; $45,000</w:t>
      </w:r>
      <w:r w:rsidR="00EE2FBE" w:rsidRPr="00731632">
        <w:rPr>
          <w:iCs/>
        </w:rPr>
        <w:t>. In the temperate population, this was $</w:t>
      </w:r>
      <w:r w:rsidR="00282919" w:rsidRPr="00282919">
        <w:rPr>
          <w:iCs/>
        </w:rPr>
        <w:t xml:space="preserve">5,000 to &lt; $15,000 </w:t>
      </w:r>
      <w:r w:rsidR="00951A36" w:rsidRPr="00731632">
        <w:rPr>
          <w:iCs/>
        </w:rPr>
        <w:t>(</w:t>
      </w:r>
      <w:r w:rsidR="00951A36" w:rsidRPr="00731632">
        <w:rPr>
          <w:iCs/>
        </w:rPr>
        <w:fldChar w:fldCharType="begin"/>
      </w:r>
      <w:r w:rsidR="00951A36" w:rsidRPr="00731632">
        <w:rPr>
          <w:iCs/>
        </w:rPr>
        <w:instrText xml:space="preserve"> REF _Ref169813601 \h </w:instrText>
      </w:r>
      <w:r w:rsidR="00951A36" w:rsidRPr="00731632">
        <w:rPr>
          <w:iCs/>
        </w:rPr>
      </w:r>
      <w:r w:rsidR="00951A36" w:rsidRPr="00731632">
        <w:rPr>
          <w:iCs/>
        </w:rPr>
        <w:fldChar w:fldCharType="separate"/>
      </w:r>
      <w:r w:rsidR="00D770BB" w:rsidRPr="00731632">
        <w:t xml:space="preserve">Table </w:t>
      </w:r>
      <w:r w:rsidR="00D770BB">
        <w:rPr>
          <w:noProof/>
        </w:rPr>
        <w:t>21</w:t>
      </w:r>
      <w:r w:rsidR="00951A36" w:rsidRPr="00731632">
        <w:rPr>
          <w:iCs/>
        </w:rPr>
        <w:fldChar w:fldCharType="end"/>
      </w:r>
      <w:r w:rsidR="00951A36" w:rsidRPr="00731632">
        <w:rPr>
          <w:iCs/>
        </w:rPr>
        <w:t>)</w:t>
      </w:r>
      <w:r w:rsidR="00EE2FBE" w:rsidRPr="00731632">
        <w:rPr>
          <w:iCs/>
        </w:rPr>
        <w:t>. The key driver of the difference between the two populations relate</w:t>
      </w:r>
      <w:r w:rsidR="003E3C03" w:rsidRPr="00731632">
        <w:rPr>
          <w:iCs/>
        </w:rPr>
        <w:t>d</w:t>
      </w:r>
      <w:r w:rsidR="00EE2FBE" w:rsidRPr="00731632">
        <w:rPr>
          <w:iCs/>
        </w:rPr>
        <w:t xml:space="preserve"> to the</w:t>
      </w:r>
      <w:r w:rsidR="000E4738" w:rsidRPr="00731632">
        <w:rPr>
          <w:iCs/>
        </w:rPr>
        <w:t xml:space="preserve"> </w:t>
      </w:r>
      <w:r w:rsidR="00016D91" w:rsidRPr="00731632">
        <w:rPr>
          <w:iCs/>
        </w:rPr>
        <w:t>monthly</w:t>
      </w:r>
      <w:r w:rsidR="00EE2FBE" w:rsidRPr="00731632">
        <w:rPr>
          <w:iCs/>
        </w:rPr>
        <w:t xml:space="preserve"> distribution of </w:t>
      </w:r>
      <w:r w:rsidR="0052781F" w:rsidRPr="00731632">
        <w:rPr>
          <w:iCs/>
        </w:rPr>
        <w:t>MA RSV</w:t>
      </w:r>
      <w:r w:rsidR="00EE2FBE" w:rsidRPr="00731632">
        <w:rPr>
          <w:iCs/>
        </w:rPr>
        <w:t xml:space="preserve"> cases throughout the season. </w:t>
      </w:r>
      <w:bookmarkStart w:id="91" w:name="_Hlk173769003"/>
      <w:r w:rsidR="00EE2FBE" w:rsidRPr="00731632">
        <w:rPr>
          <w:iCs/>
        </w:rPr>
        <w:t>If an infant</w:t>
      </w:r>
      <w:r w:rsidR="00F677B5" w:rsidRPr="00731632">
        <w:rPr>
          <w:iCs/>
        </w:rPr>
        <w:t xml:space="preserve"> was </w:t>
      </w:r>
      <w:r w:rsidR="00EE2FBE" w:rsidRPr="00731632">
        <w:rPr>
          <w:iCs/>
        </w:rPr>
        <w:t>dosed at the beginning of the season in a temperate region (based on observed cases in a South Australian hospital), they would be covered for almost 88% of the annual RSV cases. However, if an infant</w:t>
      </w:r>
      <w:r w:rsidR="00F677B5" w:rsidRPr="00731632">
        <w:rPr>
          <w:iCs/>
        </w:rPr>
        <w:t xml:space="preserve"> was </w:t>
      </w:r>
      <w:r w:rsidR="00EE2FBE" w:rsidRPr="00731632">
        <w:rPr>
          <w:iCs/>
        </w:rPr>
        <w:t>dosed at the beginning of the season in a tropical region (based on a northern Queensland hospital), they would only be protected during 78% of the annual RSV cases.</w:t>
      </w:r>
      <w:r w:rsidR="001A3D9A" w:rsidRPr="00731632">
        <w:rPr>
          <w:iCs/>
        </w:rPr>
        <w:t xml:space="preserve"> </w:t>
      </w:r>
      <w:bookmarkEnd w:id="91"/>
      <w:r w:rsidR="001A3D9A" w:rsidRPr="00731632">
        <w:rPr>
          <w:iCs/>
        </w:rPr>
        <w:t>Although the submission assigned all births in Queensland and Northern Territory to the Tropical population, it</w:t>
      </w:r>
      <w:r w:rsidR="00F677B5" w:rsidRPr="00731632">
        <w:rPr>
          <w:iCs/>
        </w:rPr>
        <w:t xml:space="preserve"> was </w:t>
      </w:r>
      <w:r w:rsidR="001A3D9A" w:rsidRPr="00731632">
        <w:rPr>
          <w:iCs/>
        </w:rPr>
        <w:t xml:space="preserve">unclear whether all populations would be exposed to the Tropical distribution of the RSV season (which was based on an observational study in Cairns).. </w:t>
      </w:r>
      <w:r w:rsidR="00907138" w:rsidRPr="00731632">
        <w:rPr>
          <w:iCs/>
        </w:rPr>
        <w:t>A</w:t>
      </w:r>
      <w:r w:rsidR="001A3D9A" w:rsidRPr="00731632">
        <w:rPr>
          <w:iCs/>
        </w:rPr>
        <w:t xml:space="preserve"> key driver of the model is the ability to map the RSV season in different jurisdictions, and provide advice about the optimal timing of nirsevimab administration.</w:t>
      </w:r>
      <w:bookmarkEnd w:id="90"/>
    </w:p>
    <w:p w14:paraId="2F26E48D" w14:textId="71797B20" w:rsidR="00B94441" w:rsidRPr="00731632" w:rsidRDefault="00EE2FBE" w:rsidP="00EE2FBE">
      <w:pPr>
        <w:pStyle w:val="3-BodyText"/>
        <w:rPr>
          <w:iCs/>
        </w:rPr>
      </w:pPr>
      <w:bookmarkStart w:id="92" w:name="_Ref172737238"/>
      <w:r w:rsidRPr="00731632">
        <w:rPr>
          <w:iCs/>
        </w:rPr>
        <w:t xml:space="preserve">Although </w:t>
      </w:r>
      <w:r w:rsidR="001E551C" w:rsidRPr="00731632">
        <w:rPr>
          <w:iCs/>
        </w:rPr>
        <w:t xml:space="preserve">the </w:t>
      </w:r>
      <w:r w:rsidRPr="00731632">
        <w:rPr>
          <w:iCs/>
        </w:rPr>
        <w:t xml:space="preserve">RSV season in the modelled tropical region </w:t>
      </w:r>
      <w:r w:rsidR="001A3D9A" w:rsidRPr="00731632">
        <w:rPr>
          <w:iCs/>
        </w:rPr>
        <w:t xml:space="preserve">(21% of the total population) </w:t>
      </w:r>
      <w:r w:rsidRPr="00731632">
        <w:rPr>
          <w:iCs/>
        </w:rPr>
        <w:t xml:space="preserve">is more dispersed, </w:t>
      </w:r>
      <w:r w:rsidR="00725DEF" w:rsidRPr="00731632">
        <w:rPr>
          <w:iCs/>
        </w:rPr>
        <w:t xml:space="preserve">the evaluation noted that </w:t>
      </w:r>
      <w:r w:rsidRPr="00731632">
        <w:rPr>
          <w:iCs/>
        </w:rPr>
        <w:t>it is still defined. It is unclear whether there are regions in Australia that would have more erratic seasons, or seasons with longer durations, than the distribution from Cairns. Given the impact of a more dispersed RSV season on the ICER (almost 6.5 times higher in tropical vs temperate regions), it is likely that the ICER of nirsevimab vs standard of care in regions without distinct RSV seasons would be considerably higher than either the temperate or tropical populations in the model.</w:t>
      </w:r>
      <w:r w:rsidR="001A3D9A" w:rsidRPr="00731632">
        <w:rPr>
          <w:iCs/>
        </w:rPr>
        <w:t xml:space="preserve"> An additional concern relates to the advice provided by local health authorities regarding the optimal timing of nirsevimab dosing. In regions that are clearly temperate or clearly tropical, this may be straightforward. However, if the line between tropical and temperate seasonal distribution of RSV does not neatly align with State borders, it may be challenging to provide advice regarding optimal timing if it differs by location within the same State.</w:t>
      </w:r>
      <w:bookmarkEnd w:id="92"/>
      <w:r w:rsidR="00E76389" w:rsidRPr="00731632">
        <w:rPr>
          <w:iCs/>
        </w:rPr>
        <w:t xml:space="preserve"> </w:t>
      </w:r>
    </w:p>
    <w:p w14:paraId="180E97D4" w14:textId="474052EC" w:rsidR="00951A36" w:rsidRPr="00731632" w:rsidRDefault="00B94441" w:rsidP="00866F91">
      <w:pPr>
        <w:pStyle w:val="3-BodyText"/>
      </w:pPr>
      <w:bookmarkStart w:id="93" w:name="_Ref172735872"/>
      <w:r w:rsidRPr="00731632">
        <w:t>The PSCR stated that administration of nirsevimab</w:t>
      </w:r>
      <w:r w:rsidR="00715965" w:rsidRPr="00731632">
        <w:t>,</w:t>
      </w:r>
      <w:r w:rsidRPr="00731632">
        <w:t xml:space="preserve"> </w:t>
      </w:r>
      <w:r w:rsidR="00715965" w:rsidRPr="00731632">
        <w:t xml:space="preserve">either </w:t>
      </w:r>
      <w:r w:rsidRPr="00731632">
        <w:t xml:space="preserve">at or </w:t>
      </w:r>
      <w:r w:rsidR="00715965" w:rsidRPr="00731632">
        <w:t>near</w:t>
      </w:r>
      <w:r w:rsidRPr="00731632">
        <w:t xml:space="preserve"> to the optimal time, </w:t>
      </w:r>
      <w:r w:rsidR="00715965" w:rsidRPr="00731632">
        <w:t xml:space="preserve">could be achieved in practice in the context of </w:t>
      </w:r>
      <w:r w:rsidRPr="00731632">
        <w:t xml:space="preserve">frequent GP visits </w:t>
      </w:r>
      <w:r w:rsidR="00715965" w:rsidRPr="00731632">
        <w:t xml:space="preserve">that occur </w:t>
      </w:r>
      <w:r w:rsidRPr="00731632">
        <w:t>for other immunisations that infants require during the first year of life.</w:t>
      </w:r>
      <w:r w:rsidR="008174D6" w:rsidRPr="00731632">
        <w:t xml:space="preserve"> </w:t>
      </w:r>
      <w:r w:rsidR="00E76389" w:rsidRPr="00731632">
        <w:t xml:space="preserve">The PSCR </w:t>
      </w:r>
      <w:r w:rsidR="00715965" w:rsidRPr="00731632">
        <w:t xml:space="preserve">also </w:t>
      </w:r>
      <w:r w:rsidR="00E76389" w:rsidRPr="00731632">
        <w:t>noted that the practicality of the timing of nirsevimab administration would be best addressed by Federal and State experts.</w:t>
      </w:r>
      <w:r w:rsidR="008174D6" w:rsidRPr="00731632">
        <w:t xml:space="preserve"> </w:t>
      </w:r>
      <w:r w:rsidR="008E6FF1" w:rsidRPr="00731632">
        <w:t>The ESC noted that timing of administration is a key driver of the model, and the ability to map the RSV season in different jurisdictions, and provide advice about the optimal timing of nirsevimab administration will be critical for achieving cost-effectiveness in clinical practice.</w:t>
      </w:r>
      <w:r w:rsidR="0055266B" w:rsidRPr="00731632">
        <w:t xml:space="preserve"> </w:t>
      </w:r>
      <w:r w:rsidR="00335302" w:rsidRPr="00731632">
        <w:rPr>
          <w:iCs/>
        </w:rPr>
        <w:t xml:space="preserve">The PBAC noted that nirsevimab is likely to be most effective when given shortly after birth for infants born just before or during the RSV season.  </w:t>
      </w:r>
      <w:r w:rsidR="003C7B16" w:rsidRPr="00731632">
        <w:t xml:space="preserve">The PBAC considered that the optimal administration assumed by the model did not reflect the likely use of nirsevimab in clinical practice, and </w:t>
      </w:r>
      <w:r w:rsidR="0055266B" w:rsidRPr="00731632">
        <w:t>noted the sensitivity analysis which showed that delaying the administration by one month in the model, as may occur if the season begins unpredictably, or if parents/carers</w:t>
      </w:r>
      <w:r w:rsidR="00F677B5" w:rsidRPr="00731632">
        <w:t xml:space="preserve"> were </w:t>
      </w:r>
      <w:r w:rsidR="0055266B" w:rsidRPr="00731632">
        <w:t>unable to attend a GP at the optimal time, resulted in an increase in the ICER of 78%.</w:t>
      </w:r>
      <w:bookmarkEnd w:id="93"/>
    </w:p>
    <w:p w14:paraId="52599321" w14:textId="3058E132" w:rsidR="00951A36" w:rsidRPr="00731632" w:rsidRDefault="00951A36" w:rsidP="00866F91">
      <w:pPr>
        <w:pStyle w:val="3-BodyText"/>
      </w:pPr>
      <w:r w:rsidRPr="00731632">
        <w:t xml:space="preserve">Results of the stepped economic evaluation for the topical, temperate and aggregated populations are presented in </w:t>
      </w:r>
      <w:r w:rsidRPr="00731632">
        <w:fldChar w:fldCharType="begin"/>
      </w:r>
      <w:r w:rsidRPr="00731632">
        <w:instrText xml:space="preserve"> REF _Ref169813601 \h </w:instrText>
      </w:r>
      <w:r w:rsidRPr="00731632">
        <w:fldChar w:fldCharType="separate"/>
      </w:r>
      <w:r w:rsidR="00D770BB" w:rsidRPr="00731632">
        <w:t xml:space="preserve">Table </w:t>
      </w:r>
      <w:r w:rsidR="00D770BB">
        <w:rPr>
          <w:noProof/>
        </w:rPr>
        <w:t>21</w:t>
      </w:r>
      <w:r w:rsidRPr="00731632">
        <w:fldChar w:fldCharType="end"/>
      </w:r>
      <w:r w:rsidRPr="00731632">
        <w:t>. The ESC noted that the ICERs for the tropical population ($</w:t>
      </w:r>
      <w:r w:rsidR="006E6D12" w:rsidRPr="006E6D12">
        <w:t>35,000 to &lt; $45,000</w:t>
      </w:r>
      <w:r w:rsidR="00DF53E4">
        <w:t xml:space="preserve"> </w:t>
      </w:r>
      <w:r w:rsidRPr="00731632">
        <w:t>per additional QALY) and the temperate population ($</w:t>
      </w:r>
      <w:r w:rsidR="000838BC" w:rsidRPr="000838BC">
        <w:t xml:space="preserve">5,000 to &lt; $15,000 </w:t>
      </w:r>
      <w:r w:rsidRPr="00731632">
        <w:t>per additional QALY) differed considerably.</w:t>
      </w:r>
    </w:p>
    <w:p w14:paraId="4C396923" w14:textId="00DECA88" w:rsidR="00951A36" w:rsidRPr="00731632" w:rsidRDefault="00951A36" w:rsidP="00951A36">
      <w:pPr>
        <w:pStyle w:val="Caption"/>
      </w:pPr>
      <w:bookmarkStart w:id="94" w:name="_Ref169813601"/>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21</w:t>
      </w:r>
      <w:r w:rsidR="00BD1FC6" w:rsidRPr="00731632">
        <w:fldChar w:fldCharType="end"/>
      </w:r>
      <w:bookmarkEnd w:id="94"/>
      <w:r w:rsidRPr="00731632">
        <w:tab/>
      </w:r>
      <w:r w:rsidRPr="00731632">
        <w:rPr>
          <w:rStyle w:val="CommentReference"/>
          <w:b/>
          <w:szCs w:val="24"/>
        </w:rPr>
        <w:t xml:space="preserve">Results of the stepped economic evaluation </w:t>
      </w:r>
      <w:r w:rsidRPr="00731632">
        <w:t>for the submission base case</w:t>
      </w:r>
      <w:r w:rsidR="009C281D" w:rsidRPr="00731632">
        <w:t xml:space="preserve"> (including results corrected by the evaluation)</w:t>
      </w:r>
    </w:p>
    <w:tbl>
      <w:tblPr>
        <w:tblStyle w:val="TableGrid"/>
        <w:tblW w:w="0" w:type="auto"/>
        <w:tblLook w:val="04A0" w:firstRow="1" w:lastRow="0" w:firstColumn="1" w:lastColumn="0" w:noHBand="0" w:noVBand="1"/>
        <w:tblCaption w:val="Table 21 Results of the stepped economic evaluation for the submission base case (including results corrected by the evaluation)"/>
      </w:tblPr>
      <w:tblGrid>
        <w:gridCol w:w="1273"/>
        <w:gridCol w:w="1346"/>
        <w:gridCol w:w="1630"/>
        <w:gridCol w:w="1712"/>
        <w:gridCol w:w="1617"/>
        <w:gridCol w:w="1439"/>
      </w:tblGrid>
      <w:tr w:rsidR="00FD5E76" w:rsidRPr="00731632" w14:paraId="61274B2F" w14:textId="77777777" w:rsidTr="00006DE8">
        <w:tc>
          <w:tcPr>
            <w:tcW w:w="9017" w:type="dxa"/>
            <w:gridSpan w:val="6"/>
            <w:vAlign w:val="center"/>
          </w:tcPr>
          <w:p w14:paraId="641DAA9E" w14:textId="5584A96B" w:rsidR="00FD5E76" w:rsidRPr="00731632" w:rsidRDefault="00FD5E76" w:rsidP="00006DE8">
            <w:pPr>
              <w:keepNext/>
              <w:rPr>
                <w:rFonts w:ascii="Arial Narrow" w:hAnsi="Arial Narrow"/>
                <w:sz w:val="20"/>
                <w:szCs w:val="20"/>
              </w:rPr>
            </w:pPr>
            <w:r w:rsidRPr="00731632">
              <w:rPr>
                <w:rFonts w:ascii="Arial Narrow" w:hAnsi="Arial Narrow" w:cs="Calibri"/>
                <w:b/>
                <w:bCs/>
                <w:color w:val="000000"/>
                <w:sz w:val="20"/>
                <w:szCs w:val="20"/>
              </w:rPr>
              <w:t xml:space="preserve">TROPICAL POPULATION (n = </w:t>
            </w:r>
            <w:r w:rsidR="009F6D97" w:rsidRPr="003E1422">
              <w:rPr>
                <w:rFonts w:ascii="Arial Narrow" w:hAnsi="Arial Narrow" w:cs="Calibri"/>
                <w:b/>
                <w:bCs/>
                <w:color w:val="000000"/>
                <w:spacing w:val="12"/>
                <w:sz w:val="20"/>
                <w:szCs w:val="20"/>
                <w:shd w:val="solid" w:color="000000" w:fill="000000"/>
                <w:fitText w:val="340" w:id="-893211380"/>
                <w14:textFill>
                  <w14:solidFill>
                    <w14:srgbClr w14:val="000000">
                      <w14:alpha w14:val="100000"/>
                    </w14:srgbClr>
                  </w14:solidFill>
                </w14:textFill>
              </w:rPr>
              <w:t>||  |</w:t>
            </w:r>
            <w:r w:rsidR="009F6D97" w:rsidRPr="003E1422">
              <w:rPr>
                <w:rFonts w:ascii="Arial Narrow" w:hAnsi="Arial Narrow" w:cs="Calibri"/>
                <w:b/>
                <w:bCs/>
                <w:color w:val="000000"/>
                <w:spacing w:val="5"/>
                <w:sz w:val="20"/>
                <w:szCs w:val="20"/>
                <w:shd w:val="solid" w:color="000000" w:fill="000000"/>
                <w:fitText w:val="340" w:id="-893211380"/>
                <w14:textFill>
                  <w14:solidFill>
                    <w14:srgbClr w14:val="000000">
                      <w14:alpha w14:val="100000"/>
                    </w14:srgbClr>
                  </w14:solidFill>
                </w14:textFill>
              </w:rPr>
              <w:t>|</w:t>
            </w:r>
            <w:r w:rsidR="00C81BC3">
              <w:rPr>
                <w:rFonts w:ascii="Arial Narrow" w:hAnsi="Arial Narrow" w:cs="Calibri"/>
                <w:b/>
                <w:bCs/>
                <w:color w:val="000000"/>
                <w:sz w:val="20"/>
                <w:szCs w:val="20"/>
                <w:vertAlign w:val="superscript"/>
              </w:rPr>
              <w:t>1</w:t>
            </w:r>
            <w:r w:rsidRPr="00731632">
              <w:rPr>
                <w:rFonts w:ascii="Arial Narrow" w:hAnsi="Arial Narrow" w:cs="Calibri"/>
                <w:b/>
                <w:bCs/>
                <w:color w:val="000000"/>
                <w:sz w:val="20"/>
                <w:szCs w:val="20"/>
              </w:rPr>
              <w:t>)</w:t>
            </w:r>
          </w:p>
        </w:tc>
      </w:tr>
      <w:tr w:rsidR="00FD5E76" w:rsidRPr="00731632" w14:paraId="446AB011" w14:textId="77777777" w:rsidTr="009F6D97">
        <w:tc>
          <w:tcPr>
            <w:tcW w:w="1273" w:type="dxa"/>
            <w:vAlign w:val="center"/>
          </w:tcPr>
          <w:p w14:paraId="3B7C45DB" w14:textId="77777777" w:rsidR="00FD5E76" w:rsidRPr="00731632" w:rsidRDefault="00FD5E76" w:rsidP="00006DE8">
            <w:pPr>
              <w:keepNext/>
              <w:rPr>
                <w:rFonts w:ascii="Arial Narrow" w:hAnsi="Arial Narrow" w:cs="Calibri"/>
                <w:b/>
                <w:bCs/>
                <w:color w:val="000000"/>
                <w:sz w:val="20"/>
                <w:szCs w:val="20"/>
              </w:rPr>
            </w:pPr>
            <w:r w:rsidRPr="00731632">
              <w:rPr>
                <w:rFonts w:ascii="Arial Narrow" w:hAnsi="Arial Narrow" w:cs="Calibri"/>
                <w:b/>
                <w:bCs/>
                <w:color w:val="000000"/>
                <w:sz w:val="20"/>
                <w:szCs w:val="20"/>
              </w:rPr>
              <w:t>Step</w:t>
            </w:r>
          </w:p>
        </w:tc>
        <w:tc>
          <w:tcPr>
            <w:tcW w:w="1346" w:type="dxa"/>
            <w:vAlign w:val="center"/>
          </w:tcPr>
          <w:p w14:paraId="2990BF19" w14:textId="77777777" w:rsidR="00FD5E76" w:rsidRPr="00731632" w:rsidRDefault="00FD5E76" w:rsidP="00006DE8">
            <w:pPr>
              <w:keepNext/>
              <w:rPr>
                <w:rFonts w:ascii="Arial Narrow" w:hAnsi="Arial Narrow" w:cs="Calibri"/>
                <w:b/>
                <w:bCs/>
                <w:color w:val="000000"/>
                <w:sz w:val="20"/>
                <w:szCs w:val="20"/>
              </w:rPr>
            </w:pPr>
            <w:r w:rsidRPr="00731632">
              <w:rPr>
                <w:rFonts w:ascii="Arial Narrow" w:hAnsi="Arial Narrow" w:cs="Calibri"/>
                <w:b/>
                <w:bCs/>
                <w:color w:val="000000"/>
                <w:sz w:val="20"/>
                <w:szCs w:val="20"/>
              </w:rPr>
              <w:t>Model output</w:t>
            </w:r>
            <w:r w:rsidRPr="00731632">
              <w:rPr>
                <w:rFonts w:ascii="Arial Narrow" w:hAnsi="Arial Narrow" w:cs="Calibri"/>
                <w:b/>
                <w:bCs/>
                <w:color w:val="000000"/>
                <w:sz w:val="20"/>
                <w:szCs w:val="20"/>
                <w:vertAlign w:val="superscript"/>
              </w:rPr>
              <w:t>a</w:t>
            </w:r>
          </w:p>
        </w:tc>
        <w:tc>
          <w:tcPr>
            <w:tcW w:w="1630" w:type="dxa"/>
            <w:vAlign w:val="center"/>
          </w:tcPr>
          <w:p w14:paraId="30FFE212" w14:textId="77777777" w:rsidR="00FD5E76" w:rsidRPr="00731632" w:rsidRDefault="00FD5E76" w:rsidP="00006DE8">
            <w:pPr>
              <w:keepNext/>
              <w:jc w:val="center"/>
              <w:rPr>
                <w:rFonts w:ascii="Arial Narrow" w:hAnsi="Arial Narrow" w:cs="Calibri"/>
                <w:b/>
                <w:bCs/>
                <w:color w:val="000000"/>
                <w:sz w:val="20"/>
                <w:szCs w:val="20"/>
              </w:rPr>
            </w:pPr>
            <w:r w:rsidRPr="00731632">
              <w:rPr>
                <w:rFonts w:ascii="Arial Narrow" w:hAnsi="Arial Narrow" w:cs="Calibri"/>
                <w:b/>
                <w:bCs/>
                <w:color w:val="000000"/>
                <w:sz w:val="20"/>
                <w:szCs w:val="20"/>
              </w:rPr>
              <w:t>Standard of care</w:t>
            </w:r>
          </w:p>
        </w:tc>
        <w:tc>
          <w:tcPr>
            <w:tcW w:w="1712" w:type="dxa"/>
            <w:tcBorders>
              <w:bottom w:val="single" w:sz="4" w:space="0" w:color="auto"/>
            </w:tcBorders>
            <w:vAlign w:val="center"/>
          </w:tcPr>
          <w:p w14:paraId="6390AB06" w14:textId="77777777" w:rsidR="00FD5E76" w:rsidRPr="00731632" w:rsidRDefault="00FD5E76" w:rsidP="00006DE8">
            <w:pPr>
              <w:keepNext/>
              <w:jc w:val="center"/>
              <w:rPr>
                <w:rFonts w:ascii="Arial Narrow" w:hAnsi="Arial Narrow" w:cs="Calibri"/>
                <w:b/>
                <w:bCs/>
                <w:color w:val="000000"/>
                <w:sz w:val="20"/>
                <w:szCs w:val="20"/>
              </w:rPr>
            </w:pPr>
            <w:r w:rsidRPr="00731632">
              <w:rPr>
                <w:rFonts w:ascii="Arial Narrow" w:hAnsi="Arial Narrow" w:cs="Calibri"/>
                <w:b/>
                <w:bCs/>
                <w:color w:val="000000"/>
                <w:sz w:val="20"/>
                <w:szCs w:val="20"/>
              </w:rPr>
              <w:t>Nirsevimab</w:t>
            </w:r>
          </w:p>
        </w:tc>
        <w:tc>
          <w:tcPr>
            <w:tcW w:w="1617" w:type="dxa"/>
            <w:vAlign w:val="center"/>
          </w:tcPr>
          <w:p w14:paraId="3FFDE0E4" w14:textId="77777777" w:rsidR="00FD5E76" w:rsidRPr="00731632" w:rsidRDefault="00FD5E76" w:rsidP="00006DE8">
            <w:pPr>
              <w:keepNext/>
              <w:jc w:val="center"/>
              <w:rPr>
                <w:rFonts w:ascii="Arial Narrow" w:hAnsi="Arial Narrow" w:cs="Calibri"/>
                <w:b/>
                <w:bCs/>
                <w:color w:val="000000"/>
                <w:sz w:val="20"/>
                <w:szCs w:val="20"/>
              </w:rPr>
            </w:pPr>
            <w:r w:rsidRPr="00731632">
              <w:rPr>
                <w:rFonts w:ascii="Arial Narrow" w:hAnsi="Arial Narrow" w:cs="Calibri"/>
                <w:b/>
                <w:bCs/>
                <w:color w:val="000000"/>
                <w:sz w:val="20"/>
                <w:szCs w:val="20"/>
              </w:rPr>
              <w:t>Difference</w:t>
            </w:r>
          </w:p>
        </w:tc>
        <w:tc>
          <w:tcPr>
            <w:tcW w:w="1439" w:type="dxa"/>
            <w:vAlign w:val="center"/>
          </w:tcPr>
          <w:p w14:paraId="09A97142" w14:textId="77777777" w:rsidR="00FD5E76" w:rsidRPr="00731632" w:rsidRDefault="00FD5E76" w:rsidP="00006DE8">
            <w:pPr>
              <w:keepNext/>
              <w:jc w:val="center"/>
              <w:rPr>
                <w:rFonts w:ascii="Arial Narrow" w:hAnsi="Arial Narrow" w:cs="Calibri"/>
                <w:b/>
                <w:bCs/>
                <w:color w:val="000000"/>
                <w:sz w:val="20"/>
                <w:szCs w:val="20"/>
              </w:rPr>
            </w:pPr>
            <w:r w:rsidRPr="00731632">
              <w:rPr>
                <w:rFonts w:ascii="Arial Narrow" w:hAnsi="Arial Narrow" w:cs="Calibri"/>
                <w:b/>
                <w:bCs/>
                <w:color w:val="000000"/>
                <w:sz w:val="20"/>
                <w:szCs w:val="20"/>
              </w:rPr>
              <w:t>ICER</w:t>
            </w:r>
          </w:p>
        </w:tc>
      </w:tr>
      <w:tr w:rsidR="00FD5E76" w:rsidRPr="00731632" w14:paraId="7C79FDC8" w14:textId="77777777" w:rsidTr="00B67E00">
        <w:trPr>
          <w:trHeight w:val="170"/>
        </w:trPr>
        <w:tc>
          <w:tcPr>
            <w:tcW w:w="1273" w:type="dxa"/>
            <w:vMerge w:val="restart"/>
            <w:vAlign w:val="center"/>
          </w:tcPr>
          <w:p w14:paraId="4BF153C4"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1</w:t>
            </w:r>
          </w:p>
        </w:tc>
        <w:tc>
          <w:tcPr>
            <w:tcW w:w="1346" w:type="dxa"/>
            <w:vAlign w:val="center"/>
          </w:tcPr>
          <w:p w14:paraId="04276D02" w14:textId="77777777" w:rsidR="00FD5E76" w:rsidRPr="00731632" w:rsidRDefault="00FD5E76" w:rsidP="00B67E00">
            <w:pPr>
              <w:keepNext/>
              <w:spacing w:after="100" w:afterAutospacing="1"/>
              <w:rPr>
                <w:rFonts w:ascii="Arial Narrow" w:hAnsi="Arial Narrow"/>
                <w:sz w:val="20"/>
                <w:szCs w:val="20"/>
              </w:rPr>
            </w:pPr>
            <w:r w:rsidRPr="00731632">
              <w:rPr>
                <w:rFonts w:ascii="Arial Narrow" w:hAnsi="Arial Narrow" w:cs="Calibri"/>
                <w:color w:val="000000"/>
                <w:sz w:val="20"/>
                <w:szCs w:val="20"/>
              </w:rPr>
              <w:t>Costs</w:t>
            </w:r>
          </w:p>
        </w:tc>
        <w:tc>
          <w:tcPr>
            <w:tcW w:w="1630" w:type="dxa"/>
            <w:vAlign w:val="center"/>
          </w:tcPr>
          <w:p w14:paraId="778DA14B" w14:textId="0837D306" w:rsidR="00FD5E76" w:rsidRPr="00731632" w:rsidRDefault="00FD5E76" w:rsidP="00B67E00">
            <w:pPr>
              <w:keepNext/>
              <w:spacing w:after="100" w:afterAutospacing="1"/>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val="restart"/>
            <w:shd w:val="clear" w:color="auto" w:fill="auto"/>
            <w:vAlign w:val="center"/>
          </w:tcPr>
          <w:p w14:paraId="0F71A399" w14:textId="1DC29DB5" w:rsidR="00FD5E76" w:rsidRPr="009A482D" w:rsidRDefault="00B67E00" w:rsidP="00B67E00">
            <w:pPr>
              <w:keepNext/>
              <w:spacing w:after="100" w:afterAutospacing="1"/>
              <w:jc w:val="center"/>
              <w:rPr>
                <w:rFonts w:ascii="Arial Narrow" w:hAnsi="Arial Narrow"/>
                <w:sz w:val="20"/>
                <w:szCs w:val="20"/>
                <w:highlight w:val="lightGray"/>
              </w:rPr>
            </w:pPr>
            <w:r w:rsidRPr="00731632">
              <w:rPr>
                <w:rFonts w:ascii="Arial Narrow" w:hAnsi="Arial Narrow" w:cs="Calibri"/>
                <w:color w:val="000000"/>
                <w:sz w:val="20"/>
                <w:szCs w:val="20"/>
              </w:rPr>
              <w:t>$</w:t>
            </w: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617" w:type="dxa"/>
            <w:vAlign w:val="center"/>
          </w:tcPr>
          <w:p w14:paraId="159DE70C" w14:textId="0BA59FA0" w:rsidR="00FD5E76" w:rsidRPr="00731632" w:rsidRDefault="00FD5E76" w:rsidP="00B67E00">
            <w:pPr>
              <w:keepNext/>
              <w:spacing w:after="100" w:afterAutospacing="1"/>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restart"/>
            <w:vAlign w:val="center"/>
          </w:tcPr>
          <w:p w14:paraId="65B56F41" w14:textId="77777777" w:rsidR="00FD5E76" w:rsidRPr="00731632" w:rsidRDefault="00FD5E76" w:rsidP="00B67E00">
            <w:pPr>
              <w:keepNext/>
              <w:spacing w:after="100" w:afterAutospacing="1"/>
              <w:jc w:val="center"/>
              <w:rPr>
                <w:rFonts w:ascii="Arial Narrow" w:hAnsi="Arial Narrow"/>
                <w:sz w:val="20"/>
                <w:szCs w:val="20"/>
              </w:rPr>
            </w:pPr>
          </w:p>
        </w:tc>
      </w:tr>
      <w:tr w:rsidR="00FD5E76" w:rsidRPr="00731632" w14:paraId="29B75274" w14:textId="77777777" w:rsidTr="00B67E00">
        <w:trPr>
          <w:trHeight w:val="227"/>
        </w:trPr>
        <w:tc>
          <w:tcPr>
            <w:tcW w:w="1273" w:type="dxa"/>
            <w:vMerge/>
            <w:vAlign w:val="center"/>
          </w:tcPr>
          <w:p w14:paraId="6F09D472" w14:textId="77777777" w:rsidR="00FD5E76" w:rsidRPr="00731632" w:rsidRDefault="00FD5E76" w:rsidP="00006DE8">
            <w:pPr>
              <w:keepNext/>
              <w:rPr>
                <w:rFonts w:ascii="Arial Narrow" w:hAnsi="Arial Narrow"/>
                <w:sz w:val="20"/>
                <w:szCs w:val="20"/>
              </w:rPr>
            </w:pPr>
          </w:p>
        </w:tc>
        <w:tc>
          <w:tcPr>
            <w:tcW w:w="1346" w:type="dxa"/>
            <w:vAlign w:val="center"/>
          </w:tcPr>
          <w:p w14:paraId="6727FDBE" w14:textId="77777777" w:rsidR="00FD5E76" w:rsidRPr="00731632" w:rsidRDefault="00FD5E76" w:rsidP="00B67E00">
            <w:pPr>
              <w:keepNext/>
              <w:spacing w:after="100" w:afterAutospacing="1"/>
              <w:rPr>
                <w:rFonts w:ascii="Arial Narrow" w:hAnsi="Arial Narrow"/>
                <w:sz w:val="20"/>
                <w:szCs w:val="20"/>
              </w:rPr>
            </w:pPr>
            <w:r w:rsidRPr="00731632">
              <w:rPr>
                <w:rFonts w:ascii="Arial Narrow" w:hAnsi="Arial Narrow" w:cs="Calibri"/>
                <w:color w:val="000000"/>
                <w:sz w:val="20"/>
                <w:szCs w:val="20"/>
              </w:rPr>
              <w:t>Corrected</w:t>
            </w:r>
          </w:p>
        </w:tc>
        <w:tc>
          <w:tcPr>
            <w:tcW w:w="1630" w:type="dxa"/>
            <w:vAlign w:val="center"/>
          </w:tcPr>
          <w:p w14:paraId="043E4442" w14:textId="5F59A68D" w:rsidR="00FD5E76" w:rsidRPr="00731632" w:rsidRDefault="00FD5E76" w:rsidP="00B67E00">
            <w:pPr>
              <w:keepNext/>
              <w:spacing w:after="100" w:afterAutospacing="1"/>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shd w:val="clear" w:color="auto" w:fill="auto"/>
            <w:vAlign w:val="center"/>
          </w:tcPr>
          <w:p w14:paraId="63CD5078" w14:textId="77777777" w:rsidR="00FD5E76" w:rsidRPr="009A482D" w:rsidRDefault="00FD5E76" w:rsidP="00B67E00">
            <w:pPr>
              <w:keepNext/>
              <w:spacing w:after="100" w:afterAutospacing="1"/>
              <w:jc w:val="center"/>
              <w:rPr>
                <w:rFonts w:ascii="Arial Narrow" w:hAnsi="Arial Narrow"/>
                <w:sz w:val="20"/>
                <w:szCs w:val="20"/>
                <w:highlight w:val="lightGray"/>
              </w:rPr>
            </w:pPr>
          </w:p>
        </w:tc>
        <w:tc>
          <w:tcPr>
            <w:tcW w:w="1617" w:type="dxa"/>
            <w:vAlign w:val="center"/>
          </w:tcPr>
          <w:p w14:paraId="56950A26" w14:textId="486C2700" w:rsidR="00FD5E76" w:rsidRPr="00731632" w:rsidRDefault="00FD5E76" w:rsidP="00B67E00">
            <w:pPr>
              <w:keepNext/>
              <w:spacing w:after="100" w:afterAutospacing="1"/>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ign w:val="center"/>
          </w:tcPr>
          <w:p w14:paraId="2EB325A1" w14:textId="77777777" w:rsidR="00FD5E76" w:rsidRPr="00731632" w:rsidRDefault="00FD5E76" w:rsidP="00B67E00">
            <w:pPr>
              <w:keepNext/>
              <w:spacing w:after="100" w:afterAutospacing="1"/>
              <w:jc w:val="center"/>
              <w:rPr>
                <w:rFonts w:ascii="Arial Narrow" w:hAnsi="Arial Narrow"/>
                <w:sz w:val="20"/>
                <w:szCs w:val="20"/>
              </w:rPr>
            </w:pPr>
          </w:p>
        </w:tc>
      </w:tr>
      <w:tr w:rsidR="00FD5E76" w:rsidRPr="00731632" w14:paraId="2C677C59" w14:textId="77777777" w:rsidTr="00006DE8">
        <w:tc>
          <w:tcPr>
            <w:tcW w:w="1273" w:type="dxa"/>
            <w:vMerge w:val="restart"/>
            <w:vAlign w:val="center"/>
          </w:tcPr>
          <w:p w14:paraId="78E2F21F"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2</w:t>
            </w:r>
          </w:p>
        </w:tc>
        <w:tc>
          <w:tcPr>
            <w:tcW w:w="1346" w:type="dxa"/>
            <w:vAlign w:val="center"/>
          </w:tcPr>
          <w:p w14:paraId="356F8221"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RSV cases</w:t>
            </w:r>
          </w:p>
        </w:tc>
        <w:tc>
          <w:tcPr>
            <w:tcW w:w="1630" w:type="dxa"/>
            <w:vMerge w:val="restart"/>
            <w:vAlign w:val="center"/>
          </w:tcPr>
          <w:p w14:paraId="11DFF100" w14:textId="55F2A755" w:rsidR="00FD5E76" w:rsidRPr="009A482D" w:rsidRDefault="009F6D97" w:rsidP="00006DE8">
            <w:pPr>
              <w:keepNext/>
              <w:jc w:val="center"/>
              <w:rPr>
                <w:rFonts w:ascii="Arial Narrow" w:hAnsi="Arial Narrow"/>
                <w:sz w:val="20"/>
                <w:szCs w:val="20"/>
                <w:highlight w:val="lightGray"/>
                <w:vertAlign w:val="superscript"/>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6632D8" w:rsidRPr="009A482D">
              <w:rPr>
                <w:rFonts w:ascii="Arial Narrow" w:hAnsi="Arial Narrow" w:cs="Calibri"/>
                <w:color w:val="000000"/>
                <w:sz w:val="20"/>
                <w:szCs w:val="20"/>
                <w:vertAlign w:val="superscript"/>
              </w:rPr>
              <w:t>8</w:t>
            </w:r>
          </w:p>
        </w:tc>
        <w:tc>
          <w:tcPr>
            <w:tcW w:w="1712" w:type="dxa"/>
            <w:vMerge w:val="restart"/>
            <w:vAlign w:val="center"/>
          </w:tcPr>
          <w:p w14:paraId="572D4BA4" w14:textId="44AD5C2B" w:rsidR="00FD5E76" w:rsidRPr="009A482D" w:rsidRDefault="009F6D97" w:rsidP="00006DE8">
            <w:pPr>
              <w:keepNext/>
              <w:jc w:val="center"/>
              <w:rPr>
                <w:rFonts w:ascii="Arial Narrow" w:hAnsi="Arial Narrow"/>
                <w:sz w:val="20"/>
                <w:szCs w:val="20"/>
                <w:highlight w:val="lightGray"/>
                <w:vertAlign w:val="superscript"/>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2A1A60" w:rsidRPr="009A482D">
              <w:rPr>
                <w:rFonts w:ascii="Arial Narrow" w:hAnsi="Arial Narrow" w:cs="Calibri"/>
                <w:color w:val="000000"/>
                <w:sz w:val="20"/>
                <w:szCs w:val="20"/>
                <w:vertAlign w:val="superscript"/>
              </w:rPr>
              <w:t>9</w:t>
            </w:r>
          </w:p>
        </w:tc>
        <w:tc>
          <w:tcPr>
            <w:tcW w:w="1617" w:type="dxa"/>
            <w:vMerge w:val="restart"/>
            <w:vAlign w:val="center"/>
          </w:tcPr>
          <w:p w14:paraId="7FBBA6B8" w14:textId="5AB1695C"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9340D5" w:rsidRPr="00006DE8">
              <w:rPr>
                <w:rFonts w:ascii="Arial Narrow" w:hAnsi="Arial Narrow" w:cs="Calibri"/>
                <w:color w:val="000000"/>
                <w:sz w:val="20"/>
                <w:szCs w:val="20"/>
                <w:vertAlign w:val="superscript"/>
              </w:rPr>
              <w:t>9</w:t>
            </w:r>
          </w:p>
        </w:tc>
        <w:tc>
          <w:tcPr>
            <w:tcW w:w="1439" w:type="dxa"/>
            <w:vAlign w:val="center"/>
          </w:tcPr>
          <w:p w14:paraId="5CF7E05F" w14:textId="79D06A6C"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EF45AE">
              <w:rPr>
                <w:rFonts w:ascii="Arial Narrow" w:hAnsi="Arial Narrow" w:cs="Calibri"/>
                <w:color w:val="000000"/>
                <w:sz w:val="20"/>
                <w:szCs w:val="20"/>
                <w:vertAlign w:val="superscript"/>
              </w:rPr>
              <w:t>2</w:t>
            </w:r>
          </w:p>
        </w:tc>
      </w:tr>
      <w:tr w:rsidR="00FD5E76" w:rsidRPr="00731632" w14:paraId="77DE7260" w14:textId="77777777" w:rsidTr="00006DE8">
        <w:tc>
          <w:tcPr>
            <w:tcW w:w="1273" w:type="dxa"/>
            <w:vMerge/>
            <w:vAlign w:val="center"/>
          </w:tcPr>
          <w:p w14:paraId="191A2206" w14:textId="77777777" w:rsidR="00FD5E76" w:rsidRPr="00731632" w:rsidRDefault="00FD5E76" w:rsidP="00006DE8">
            <w:pPr>
              <w:keepNext/>
              <w:rPr>
                <w:rFonts w:ascii="Arial Narrow" w:hAnsi="Arial Narrow"/>
                <w:sz w:val="20"/>
                <w:szCs w:val="20"/>
              </w:rPr>
            </w:pPr>
          </w:p>
        </w:tc>
        <w:tc>
          <w:tcPr>
            <w:tcW w:w="1346" w:type="dxa"/>
            <w:vAlign w:val="center"/>
          </w:tcPr>
          <w:p w14:paraId="1A9802CB"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54AFEB94" w14:textId="77777777" w:rsidR="00FD5E76" w:rsidRPr="0084611B" w:rsidRDefault="00FD5E76" w:rsidP="00006DE8">
            <w:pPr>
              <w:keepNext/>
              <w:jc w:val="center"/>
              <w:rPr>
                <w:rFonts w:ascii="Arial Narrow" w:hAnsi="Arial Narrow"/>
                <w:sz w:val="20"/>
                <w:szCs w:val="20"/>
                <w:highlight w:val="yellow"/>
              </w:rPr>
            </w:pPr>
          </w:p>
        </w:tc>
        <w:tc>
          <w:tcPr>
            <w:tcW w:w="1712" w:type="dxa"/>
            <w:vMerge/>
            <w:vAlign w:val="center"/>
          </w:tcPr>
          <w:p w14:paraId="7BED71B1" w14:textId="77777777" w:rsidR="00FD5E76" w:rsidRPr="009A482D" w:rsidRDefault="00FD5E76" w:rsidP="00006DE8">
            <w:pPr>
              <w:keepNext/>
              <w:jc w:val="center"/>
              <w:rPr>
                <w:rFonts w:ascii="Arial Narrow" w:hAnsi="Arial Narrow"/>
                <w:sz w:val="20"/>
                <w:szCs w:val="20"/>
                <w:highlight w:val="lightGray"/>
              </w:rPr>
            </w:pPr>
          </w:p>
        </w:tc>
        <w:tc>
          <w:tcPr>
            <w:tcW w:w="1617" w:type="dxa"/>
            <w:vMerge/>
            <w:vAlign w:val="center"/>
          </w:tcPr>
          <w:p w14:paraId="5F2F86D7" w14:textId="77777777" w:rsidR="00FD5E76" w:rsidRPr="00731632" w:rsidRDefault="00FD5E76" w:rsidP="00006DE8">
            <w:pPr>
              <w:keepNext/>
              <w:jc w:val="center"/>
              <w:rPr>
                <w:rFonts w:ascii="Arial Narrow" w:hAnsi="Arial Narrow"/>
                <w:sz w:val="20"/>
                <w:szCs w:val="20"/>
              </w:rPr>
            </w:pPr>
          </w:p>
        </w:tc>
        <w:tc>
          <w:tcPr>
            <w:tcW w:w="1439" w:type="dxa"/>
            <w:vAlign w:val="center"/>
          </w:tcPr>
          <w:p w14:paraId="3D54C38B" w14:textId="18AF5434"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EF45AE">
              <w:rPr>
                <w:rFonts w:ascii="Arial Narrow" w:hAnsi="Arial Narrow" w:cs="Calibri"/>
                <w:color w:val="000000"/>
                <w:sz w:val="20"/>
                <w:szCs w:val="20"/>
                <w:vertAlign w:val="superscript"/>
              </w:rPr>
              <w:t>2</w:t>
            </w:r>
          </w:p>
        </w:tc>
      </w:tr>
      <w:tr w:rsidR="00FD5E76" w:rsidRPr="00731632" w14:paraId="653F04D2" w14:textId="77777777" w:rsidTr="00006DE8">
        <w:tc>
          <w:tcPr>
            <w:tcW w:w="1273" w:type="dxa"/>
            <w:vMerge w:val="restart"/>
            <w:vAlign w:val="center"/>
          </w:tcPr>
          <w:p w14:paraId="2BD6C6A3"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3</w:t>
            </w:r>
          </w:p>
        </w:tc>
        <w:tc>
          <w:tcPr>
            <w:tcW w:w="1346" w:type="dxa"/>
            <w:vAlign w:val="center"/>
          </w:tcPr>
          <w:p w14:paraId="698F1522"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Life years</w:t>
            </w:r>
          </w:p>
        </w:tc>
        <w:tc>
          <w:tcPr>
            <w:tcW w:w="1630" w:type="dxa"/>
            <w:vMerge w:val="restart"/>
            <w:vAlign w:val="center"/>
          </w:tcPr>
          <w:p w14:paraId="312AA2DA"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1,278,928</w:t>
            </w:r>
          </w:p>
        </w:tc>
        <w:tc>
          <w:tcPr>
            <w:tcW w:w="1712" w:type="dxa"/>
            <w:vMerge w:val="restart"/>
            <w:vAlign w:val="center"/>
          </w:tcPr>
          <w:p w14:paraId="4BB65571" w14:textId="77777777" w:rsidR="00FD5E76" w:rsidRPr="00F41328" w:rsidRDefault="00FD5E76" w:rsidP="00006DE8">
            <w:pPr>
              <w:keepNext/>
              <w:jc w:val="center"/>
              <w:rPr>
                <w:rFonts w:ascii="Arial Narrow" w:hAnsi="Arial Narrow"/>
                <w:sz w:val="20"/>
                <w:szCs w:val="20"/>
              </w:rPr>
            </w:pPr>
            <w:r w:rsidRPr="00F41328">
              <w:rPr>
                <w:rFonts w:ascii="Arial Narrow" w:hAnsi="Arial Narrow" w:cs="Calibri"/>
                <w:color w:val="000000"/>
                <w:sz w:val="20"/>
                <w:szCs w:val="20"/>
              </w:rPr>
              <w:t>1,278,929</w:t>
            </w:r>
          </w:p>
        </w:tc>
        <w:tc>
          <w:tcPr>
            <w:tcW w:w="1617" w:type="dxa"/>
            <w:vMerge w:val="restart"/>
            <w:vAlign w:val="center"/>
          </w:tcPr>
          <w:p w14:paraId="2CF8BE7F" w14:textId="77777777" w:rsidR="00FD5E76" w:rsidRPr="00F41328"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0.871</w:t>
            </w:r>
          </w:p>
        </w:tc>
        <w:tc>
          <w:tcPr>
            <w:tcW w:w="1439" w:type="dxa"/>
            <w:vAlign w:val="center"/>
          </w:tcPr>
          <w:p w14:paraId="5DB0DDEF" w14:textId="7BBEF683"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3</w:t>
            </w:r>
          </w:p>
        </w:tc>
      </w:tr>
      <w:tr w:rsidR="00FD5E76" w:rsidRPr="00731632" w14:paraId="49514FBE" w14:textId="77777777" w:rsidTr="00006DE8">
        <w:tc>
          <w:tcPr>
            <w:tcW w:w="1273" w:type="dxa"/>
            <w:vMerge/>
            <w:vAlign w:val="center"/>
          </w:tcPr>
          <w:p w14:paraId="3DA8D4D1" w14:textId="77777777" w:rsidR="00FD5E76" w:rsidRPr="00731632" w:rsidRDefault="00FD5E76" w:rsidP="00006DE8">
            <w:pPr>
              <w:keepNext/>
              <w:rPr>
                <w:rFonts w:ascii="Arial Narrow" w:hAnsi="Arial Narrow"/>
                <w:sz w:val="20"/>
                <w:szCs w:val="20"/>
              </w:rPr>
            </w:pPr>
          </w:p>
        </w:tc>
        <w:tc>
          <w:tcPr>
            <w:tcW w:w="1346" w:type="dxa"/>
            <w:vAlign w:val="center"/>
          </w:tcPr>
          <w:p w14:paraId="10F91851"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3F268C5B" w14:textId="77777777" w:rsidR="00FD5E76" w:rsidRPr="009A482D" w:rsidRDefault="00FD5E76" w:rsidP="00006DE8">
            <w:pPr>
              <w:keepNext/>
              <w:jc w:val="center"/>
              <w:rPr>
                <w:rFonts w:ascii="Arial Narrow" w:hAnsi="Arial Narrow"/>
                <w:sz w:val="20"/>
                <w:szCs w:val="20"/>
              </w:rPr>
            </w:pPr>
          </w:p>
        </w:tc>
        <w:tc>
          <w:tcPr>
            <w:tcW w:w="1712" w:type="dxa"/>
            <w:vMerge/>
            <w:vAlign w:val="center"/>
          </w:tcPr>
          <w:p w14:paraId="44E349FD" w14:textId="77777777" w:rsidR="00FD5E76" w:rsidRPr="00F41328" w:rsidRDefault="00FD5E76" w:rsidP="00006DE8">
            <w:pPr>
              <w:keepNext/>
              <w:jc w:val="center"/>
              <w:rPr>
                <w:rFonts w:ascii="Arial Narrow" w:hAnsi="Arial Narrow"/>
                <w:sz w:val="20"/>
                <w:szCs w:val="20"/>
              </w:rPr>
            </w:pPr>
          </w:p>
        </w:tc>
        <w:tc>
          <w:tcPr>
            <w:tcW w:w="1617" w:type="dxa"/>
            <w:vMerge/>
            <w:vAlign w:val="center"/>
          </w:tcPr>
          <w:p w14:paraId="5E9A3AF6" w14:textId="77777777" w:rsidR="00FD5E76" w:rsidRPr="00F41328" w:rsidRDefault="00FD5E76" w:rsidP="00006DE8">
            <w:pPr>
              <w:keepNext/>
              <w:jc w:val="center"/>
              <w:rPr>
                <w:rFonts w:ascii="Arial Narrow" w:hAnsi="Arial Narrow"/>
                <w:sz w:val="20"/>
                <w:szCs w:val="20"/>
              </w:rPr>
            </w:pPr>
          </w:p>
        </w:tc>
        <w:tc>
          <w:tcPr>
            <w:tcW w:w="1439" w:type="dxa"/>
            <w:vAlign w:val="center"/>
          </w:tcPr>
          <w:p w14:paraId="5DD4D737" w14:textId="5826A075"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3</w:t>
            </w:r>
          </w:p>
        </w:tc>
      </w:tr>
      <w:tr w:rsidR="00FD5E76" w:rsidRPr="00731632" w14:paraId="24EAE2F4" w14:textId="77777777" w:rsidTr="00006DE8">
        <w:tc>
          <w:tcPr>
            <w:tcW w:w="1273" w:type="dxa"/>
            <w:vMerge w:val="restart"/>
            <w:vAlign w:val="center"/>
          </w:tcPr>
          <w:p w14:paraId="4F6D020A"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4</w:t>
            </w:r>
          </w:p>
        </w:tc>
        <w:tc>
          <w:tcPr>
            <w:tcW w:w="1346" w:type="dxa"/>
            <w:vAlign w:val="center"/>
          </w:tcPr>
          <w:p w14:paraId="23F4278E"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QALYs</w:t>
            </w:r>
          </w:p>
        </w:tc>
        <w:tc>
          <w:tcPr>
            <w:tcW w:w="1630" w:type="dxa"/>
            <w:vMerge w:val="restart"/>
            <w:vAlign w:val="center"/>
          </w:tcPr>
          <w:p w14:paraId="689E37F8"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1,273,964</w:t>
            </w:r>
          </w:p>
        </w:tc>
        <w:tc>
          <w:tcPr>
            <w:tcW w:w="1712" w:type="dxa"/>
            <w:vMerge w:val="restart"/>
            <w:vAlign w:val="center"/>
          </w:tcPr>
          <w:p w14:paraId="18D60694" w14:textId="77777777" w:rsidR="00FD5E76" w:rsidRPr="00F41328" w:rsidRDefault="00FD5E76" w:rsidP="00006DE8">
            <w:pPr>
              <w:keepNext/>
              <w:jc w:val="center"/>
              <w:rPr>
                <w:rFonts w:ascii="Arial Narrow" w:hAnsi="Arial Narrow"/>
                <w:sz w:val="20"/>
                <w:szCs w:val="20"/>
              </w:rPr>
            </w:pPr>
            <w:r w:rsidRPr="00F41328">
              <w:rPr>
                <w:rFonts w:ascii="Arial Narrow" w:hAnsi="Arial Narrow" w:cs="Calibri"/>
                <w:color w:val="000000"/>
                <w:sz w:val="20"/>
                <w:szCs w:val="20"/>
              </w:rPr>
              <w:t>1,274,132</w:t>
            </w:r>
          </w:p>
        </w:tc>
        <w:tc>
          <w:tcPr>
            <w:tcW w:w="1617" w:type="dxa"/>
            <w:vMerge w:val="restart"/>
            <w:vAlign w:val="center"/>
          </w:tcPr>
          <w:p w14:paraId="65C71B4E" w14:textId="77777777" w:rsidR="00FD5E76" w:rsidRPr="00F41328"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167</w:t>
            </w:r>
          </w:p>
        </w:tc>
        <w:tc>
          <w:tcPr>
            <w:tcW w:w="1439" w:type="dxa"/>
            <w:vAlign w:val="center"/>
          </w:tcPr>
          <w:p w14:paraId="226F5A60" w14:textId="03AE399D"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4</w:t>
            </w:r>
          </w:p>
        </w:tc>
      </w:tr>
      <w:tr w:rsidR="00FD5E76" w:rsidRPr="00731632" w14:paraId="02C32E7F" w14:textId="77777777" w:rsidTr="00006DE8">
        <w:tc>
          <w:tcPr>
            <w:tcW w:w="1273" w:type="dxa"/>
            <w:vMerge/>
            <w:vAlign w:val="center"/>
          </w:tcPr>
          <w:p w14:paraId="62116874" w14:textId="77777777" w:rsidR="00FD5E76" w:rsidRPr="00731632" w:rsidRDefault="00FD5E76" w:rsidP="00006DE8">
            <w:pPr>
              <w:keepNext/>
              <w:rPr>
                <w:rFonts w:ascii="Arial Narrow" w:hAnsi="Arial Narrow"/>
                <w:sz w:val="20"/>
                <w:szCs w:val="20"/>
              </w:rPr>
            </w:pPr>
          </w:p>
        </w:tc>
        <w:tc>
          <w:tcPr>
            <w:tcW w:w="1346" w:type="dxa"/>
            <w:vAlign w:val="center"/>
          </w:tcPr>
          <w:p w14:paraId="50E124B9"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684AAD57" w14:textId="77777777" w:rsidR="00FD5E76" w:rsidRPr="00731632" w:rsidRDefault="00FD5E76" w:rsidP="00006DE8">
            <w:pPr>
              <w:keepNext/>
              <w:jc w:val="center"/>
              <w:rPr>
                <w:rFonts w:ascii="Arial Narrow" w:hAnsi="Arial Narrow"/>
                <w:sz w:val="20"/>
                <w:szCs w:val="20"/>
              </w:rPr>
            </w:pPr>
          </w:p>
        </w:tc>
        <w:tc>
          <w:tcPr>
            <w:tcW w:w="1712" w:type="dxa"/>
            <w:vMerge/>
            <w:vAlign w:val="center"/>
          </w:tcPr>
          <w:p w14:paraId="13E8BE2C" w14:textId="77777777" w:rsidR="00FD5E76" w:rsidRPr="00731632" w:rsidRDefault="00FD5E76" w:rsidP="00006DE8">
            <w:pPr>
              <w:keepNext/>
              <w:jc w:val="center"/>
              <w:rPr>
                <w:rFonts w:ascii="Arial Narrow" w:hAnsi="Arial Narrow"/>
                <w:sz w:val="20"/>
                <w:szCs w:val="20"/>
              </w:rPr>
            </w:pPr>
          </w:p>
        </w:tc>
        <w:tc>
          <w:tcPr>
            <w:tcW w:w="1617" w:type="dxa"/>
            <w:vMerge/>
            <w:vAlign w:val="center"/>
          </w:tcPr>
          <w:p w14:paraId="62D4501C" w14:textId="77777777" w:rsidR="00FD5E76" w:rsidRPr="00731632" w:rsidRDefault="00FD5E76" w:rsidP="00006DE8">
            <w:pPr>
              <w:keepNext/>
              <w:jc w:val="center"/>
              <w:rPr>
                <w:rFonts w:ascii="Arial Narrow" w:hAnsi="Arial Narrow"/>
                <w:sz w:val="20"/>
                <w:szCs w:val="20"/>
              </w:rPr>
            </w:pPr>
          </w:p>
        </w:tc>
        <w:tc>
          <w:tcPr>
            <w:tcW w:w="1439" w:type="dxa"/>
            <w:vAlign w:val="center"/>
          </w:tcPr>
          <w:p w14:paraId="06122FDF" w14:textId="3E845913"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4</w:t>
            </w:r>
          </w:p>
        </w:tc>
      </w:tr>
      <w:tr w:rsidR="00FD5E76" w:rsidRPr="00731632" w14:paraId="3EE22565" w14:textId="77777777" w:rsidTr="00006DE8">
        <w:tc>
          <w:tcPr>
            <w:tcW w:w="9017" w:type="dxa"/>
            <w:gridSpan w:val="6"/>
            <w:vAlign w:val="center"/>
          </w:tcPr>
          <w:p w14:paraId="14DB5F42" w14:textId="74AF00DA" w:rsidR="00FD5E76" w:rsidRPr="00731632" w:rsidRDefault="00FD5E76" w:rsidP="00006DE8">
            <w:pPr>
              <w:keepNext/>
              <w:rPr>
                <w:rFonts w:ascii="Arial Narrow" w:hAnsi="Arial Narrow" w:cs="Calibri"/>
                <w:color w:val="000000"/>
                <w:sz w:val="20"/>
                <w:szCs w:val="20"/>
              </w:rPr>
            </w:pPr>
            <w:r w:rsidRPr="00731632">
              <w:rPr>
                <w:rFonts w:ascii="Arial Narrow" w:hAnsi="Arial Narrow" w:cs="Calibri"/>
                <w:b/>
                <w:bCs/>
                <w:color w:val="000000"/>
                <w:sz w:val="20"/>
                <w:szCs w:val="20"/>
              </w:rPr>
              <w:t xml:space="preserve">TEMPERATE POPULATION (n = </w:t>
            </w:r>
            <w:r w:rsidR="009F6D97" w:rsidRPr="003E1422">
              <w:rPr>
                <w:rFonts w:ascii="Arial Narrow" w:hAnsi="Arial Narrow" w:cs="Calibri"/>
                <w:b/>
                <w:bCs/>
                <w:color w:val="000000"/>
                <w:spacing w:val="10"/>
                <w:sz w:val="20"/>
                <w:szCs w:val="20"/>
                <w:shd w:val="solid" w:color="000000" w:fill="000000"/>
                <w:fitText w:val="330" w:id="-893211379"/>
                <w14:textFill>
                  <w14:solidFill>
                    <w14:srgbClr w14:val="000000">
                      <w14:alpha w14:val="100000"/>
                    </w14:srgbClr>
                  </w14:solidFill>
                </w14:textFill>
              </w:rPr>
              <w:t>||  |</w:t>
            </w:r>
            <w:r w:rsidR="009F6D97" w:rsidRPr="003E1422">
              <w:rPr>
                <w:rFonts w:ascii="Arial Narrow" w:hAnsi="Arial Narrow" w:cs="Calibri"/>
                <w:b/>
                <w:bCs/>
                <w:color w:val="000000"/>
                <w:spacing w:val="5"/>
                <w:sz w:val="20"/>
                <w:szCs w:val="20"/>
                <w:shd w:val="solid" w:color="000000" w:fill="000000"/>
                <w:fitText w:val="330" w:id="-893211379"/>
                <w14:textFill>
                  <w14:solidFill>
                    <w14:srgbClr w14:val="000000">
                      <w14:alpha w14:val="100000"/>
                    </w14:srgbClr>
                  </w14:solidFill>
                </w14:textFill>
              </w:rPr>
              <w:t>|</w:t>
            </w:r>
            <w:r w:rsidR="00E531CB">
              <w:rPr>
                <w:rFonts w:ascii="Arial Narrow" w:hAnsi="Arial Narrow" w:cs="Calibri"/>
                <w:b/>
                <w:bCs/>
                <w:color w:val="000000"/>
                <w:sz w:val="20"/>
                <w:szCs w:val="20"/>
                <w:vertAlign w:val="superscript"/>
              </w:rPr>
              <w:t>5</w:t>
            </w:r>
            <w:r w:rsidRPr="00731632">
              <w:rPr>
                <w:rFonts w:ascii="Arial Narrow" w:hAnsi="Arial Narrow" w:cs="Calibri"/>
                <w:b/>
                <w:bCs/>
                <w:color w:val="000000"/>
                <w:sz w:val="20"/>
                <w:szCs w:val="20"/>
              </w:rPr>
              <w:t>)</w:t>
            </w:r>
          </w:p>
        </w:tc>
      </w:tr>
      <w:tr w:rsidR="00FD5E76" w:rsidRPr="00731632" w14:paraId="7F79331C" w14:textId="77777777" w:rsidTr="009F6D97">
        <w:tc>
          <w:tcPr>
            <w:tcW w:w="1273" w:type="dxa"/>
            <w:vAlign w:val="center"/>
          </w:tcPr>
          <w:p w14:paraId="04C169F0" w14:textId="77777777" w:rsidR="00FD5E76" w:rsidRPr="00731632" w:rsidRDefault="00FD5E76" w:rsidP="00006DE8">
            <w:pPr>
              <w:keepNext/>
              <w:rPr>
                <w:rFonts w:ascii="Arial Narrow" w:hAnsi="Arial Narrow"/>
                <w:sz w:val="20"/>
                <w:szCs w:val="20"/>
              </w:rPr>
            </w:pPr>
            <w:r w:rsidRPr="00731632">
              <w:rPr>
                <w:rFonts w:ascii="Arial Narrow" w:hAnsi="Arial Narrow" w:cs="Calibri"/>
                <w:b/>
                <w:bCs/>
                <w:color w:val="000000"/>
                <w:sz w:val="20"/>
                <w:szCs w:val="20"/>
              </w:rPr>
              <w:t>Step</w:t>
            </w:r>
          </w:p>
        </w:tc>
        <w:tc>
          <w:tcPr>
            <w:tcW w:w="1346" w:type="dxa"/>
            <w:vAlign w:val="center"/>
          </w:tcPr>
          <w:p w14:paraId="0B09D24A" w14:textId="77777777" w:rsidR="00FD5E76" w:rsidRPr="00731632" w:rsidRDefault="00FD5E76" w:rsidP="00006DE8">
            <w:pPr>
              <w:keepNext/>
              <w:rPr>
                <w:rFonts w:ascii="Arial Narrow" w:hAnsi="Arial Narrow"/>
                <w:sz w:val="20"/>
                <w:szCs w:val="20"/>
              </w:rPr>
            </w:pPr>
            <w:r w:rsidRPr="00731632">
              <w:rPr>
                <w:rFonts w:ascii="Arial Narrow" w:hAnsi="Arial Narrow" w:cs="Calibri"/>
                <w:b/>
                <w:bCs/>
                <w:color w:val="000000"/>
                <w:sz w:val="20"/>
                <w:szCs w:val="20"/>
              </w:rPr>
              <w:t>Model output</w:t>
            </w:r>
          </w:p>
        </w:tc>
        <w:tc>
          <w:tcPr>
            <w:tcW w:w="1630" w:type="dxa"/>
            <w:vAlign w:val="center"/>
          </w:tcPr>
          <w:p w14:paraId="12D519E8"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Standard of care</w:t>
            </w:r>
          </w:p>
        </w:tc>
        <w:tc>
          <w:tcPr>
            <w:tcW w:w="1712" w:type="dxa"/>
            <w:tcBorders>
              <w:bottom w:val="single" w:sz="4" w:space="0" w:color="auto"/>
            </w:tcBorders>
            <w:vAlign w:val="center"/>
          </w:tcPr>
          <w:p w14:paraId="144F9587"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Nirsevimab</w:t>
            </w:r>
          </w:p>
        </w:tc>
        <w:tc>
          <w:tcPr>
            <w:tcW w:w="1617" w:type="dxa"/>
            <w:vAlign w:val="center"/>
          </w:tcPr>
          <w:p w14:paraId="4C281104"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Difference</w:t>
            </w:r>
          </w:p>
        </w:tc>
        <w:tc>
          <w:tcPr>
            <w:tcW w:w="1439" w:type="dxa"/>
            <w:vAlign w:val="center"/>
          </w:tcPr>
          <w:p w14:paraId="3821B067"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ICER</w:t>
            </w:r>
          </w:p>
        </w:tc>
      </w:tr>
      <w:tr w:rsidR="00FD5E76" w:rsidRPr="00731632" w14:paraId="5F87DA20" w14:textId="77777777" w:rsidTr="00B67E00">
        <w:tc>
          <w:tcPr>
            <w:tcW w:w="1273" w:type="dxa"/>
            <w:vMerge w:val="restart"/>
            <w:vAlign w:val="center"/>
          </w:tcPr>
          <w:p w14:paraId="67AAB540"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1</w:t>
            </w:r>
          </w:p>
        </w:tc>
        <w:tc>
          <w:tcPr>
            <w:tcW w:w="1346" w:type="dxa"/>
            <w:vAlign w:val="center"/>
          </w:tcPr>
          <w:p w14:paraId="1AF850AA"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Costs</w:t>
            </w:r>
          </w:p>
        </w:tc>
        <w:tc>
          <w:tcPr>
            <w:tcW w:w="1630" w:type="dxa"/>
            <w:vAlign w:val="center"/>
          </w:tcPr>
          <w:p w14:paraId="433B3943" w14:textId="4E553B27"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val="restart"/>
            <w:shd w:val="clear" w:color="auto" w:fill="auto"/>
            <w:vAlign w:val="center"/>
          </w:tcPr>
          <w:p w14:paraId="52109F52" w14:textId="4E28DD6E"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14:textFill>
                  <w14:solidFill>
                    <w14:srgbClr w14:val="000000">
                      <w14:alpha w14:val="100000"/>
                    </w14:srgbClr>
                  </w14:solidFill>
                </w14:textFill>
              </w:rPr>
              <w:t>|</w:t>
            </w:r>
            <w:r w:rsidR="00B67E00" w:rsidRPr="00731632">
              <w:rPr>
                <w:rFonts w:ascii="Arial Narrow" w:hAnsi="Arial Narrow" w:cs="Calibri"/>
                <w:color w:val="000000"/>
                <w:sz w:val="20"/>
                <w:szCs w:val="20"/>
              </w:rPr>
              <w:t>$</w:t>
            </w:r>
            <w:r w:rsidR="00B67E00"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617" w:type="dxa"/>
            <w:vAlign w:val="center"/>
          </w:tcPr>
          <w:p w14:paraId="62BD00C7" w14:textId="73A890AC" w:rsidR="00FD5E76" w:rsidRPr="005B6CA7" w:rsidRDefault="00FD5E76" w:rsidP="00006DE8">
            <w:pPr>
              <w:keepNext/>
              <w:jc w:val="center"/>
              <w:rPr>
                <w:rFonts w:ascii="Arial Narrow" w:hAnsi="Arial Narrow"/>
                <w:sz w:val="20"/>
                <w:szCs w:val="20"/>
              </w:rPr>
            </w:pPr>
            <w:r w:rsidRPr="005B6CA7">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restart"/>
            <w:vAlign w:val="center"/>
          </w:tcPr>
          <w:p w14:paraId="07D3B307" w14:textId="77777777" w:rsidR="00FD5E76" w:rsidRPr="00731632" w:rsidRDefault="00FD5E76" w:rsidP="00006DE8">
            <w:pPr>
              <w:keepNext/>
              <w:jc w:val="center"/>
              <w:rPr>
                <w:rFonts w:ascii="Arial Narrow" w:hAnsi="Arial Narrow"/>
                <w:sz w:val="20"/>
                <w:szCs w:val="20"/>
              </w:rPr>
            </w:pPr>
          </w:p>
        </w:tc>
      </w:tr>
      <w:tr w:rsidR="00FD5E76" w:rsidRPr="00731632" w14:paraId="690C47A4" w14:textId="77777777" w:rsidTr="00B67E00">
        <w:tc>
          <w:tcPr>
            <w:tcW w:w="1273" w:type="dxa"/>
            <w:vMerge/>
            <w:vAlign w:val="center"/>
          </w:tcPr>
          <w:p w14:paraId="79C7DB82" w14:textId="77777777" w:rsidR="00FD5E76" w:rsidRPr="00731632" w:rsidRDefault="00FD5E76" w:rsidP="00006DE8">
            <w:pPr>
              <w:keepNext/>
              <w:rPr>
                <w:rFonts w:ascii="Arial Narrow" w:hAnsi="Arial Narrow"/>
                <w:sz w:val="20"/>
                <w:szCs w:val="20"/>
              </w:rPr>
            </w:pPr>
          </w:p>
        </w:tc>
        <w:tc>
          <w:tcPr>
            <w:tcW w:w="1346" w:type="dxa"/>
            <w:vAlign w:val="center"/>
          </w:tcPr>
          <w:p w14:paraId="033CFAEC"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Align w:val="center"/>
          </w:tcPr>
          <w:p w14:paraId="5572EA67" w14:textId="34F57669"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shd w:val="clear" w:color="auto" w:fill="auto"/>
            <w:vAlign w:val="center"/>
          </w:tcPr>
          <w:p w14:paraId="349753E1" w14:textId="77777777" w:rsidR="00FD5E76" w:rsidRPr="009A482D" w:rsidRDefault="00FD5E76" w:rsidP="00006DE8">
            <w:pPr>
              <w:keepNext/>
              <w:jc w:val="center"/>
              <w:rPr>
                <w:rFonts w:ascii="Arial Narrow" w:hAnsi="Arial Narrow"/>
                <w:sz w:val="20"/>
                <w:szCs w:val="20"/>
                <w:highlight w:val="lightGray"/>
              </w:rPr>
            </w:pPr>
          </w:p>
        </w:tc>
        <w:tc>
          <w:tcPr>
            <w:tcW w:w="1617" w:type="dxa"/>
            <w:vAlign w:val="center"/>
          </w:tcPr>
          <w:p w14:paraId="2C799CC8" w14:textId="5D590B60" w:rsidR="00FD5E76" w:rsidRPr="005B6CA7" w:rsidRDefault="00FD5E76" w:rsidP="00006DE8">
            <w:pPr>
              <w:keepNext/>
              <w:jc w:val="center"/>
              <w:rPr>
                <w:rFonts w:ascii="Arial Narrow" w:hAnsi="Arial Narrow"/>
                <w:sz w:val="20"/>
                <w:szCs w:val="20"/>
              </w:rPr>
            </w:pPr>
            <w:r w:rsidRPr="005B6CA7">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ign w:val="center"/>
          </w:tcPr>
          <w:p w14:paraId="5080676B" w14:textId="77777777" w:rsidR="00FD5E76" w:rsidRPr="00731632" w:rsidRDefault="00FD5E76" w:rsidP="00006DE8">
            <w:pPr>
              <w:keepNext/>
              <w:jc w:val="center"/>
              <w:rPr>
                <w:rFonts w:ascii="Arial Narrow" w:hAnsi="Arial Narrow"/>
                <w:sz w:val="20"/>
                <w:szCs w:val="20"/>
              </w:rPr>
            </w:pPr>
          </w:p>
        </w:tc>
      </w:tr>
      <w:tr w:rsidR="00FD5E76" w:rsidRPr="00731632" w14:paraId="04F80091" w14:textId="77777777" w:rsidTr="00006DE8">
        <w:tc>
          <w:tcPr>
            <w:tcW w:w="1273" w:type="dxa"/>
            <w:vMerge w:val="restart"/>
            <w:vAlign w:val="center"/>
          </w:tcPr>
          <w:p w14:paraId="17253B44"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2</w:t>
            </w:r>
          </w:p>
        </w:tc>
        <w:tc>
          <w:tcPr>
            <w:tcW w:w="1346" w:type="dxa"/>
            <w:vAlign w:val="center"/>
          </w:tcPr>
          <w:p w14:paraId="0A5F6DA2"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RSV cases</w:t>
            </w:r>
          </w:p>
        </w:tc>
        <w:tc>
          <w:tcPr>
            <w:tcW w:w="1630" w:type="dxa"/>
            <w:vMerge w:val="restart"/>
            <w:vAlign w:val="center"/>
          </w:tcPr>
          <w:p w14:paraId="09FD8FBC" w14:textId="22A77B00" w:rsidR="00FD5E76" w:rsidRPr="009A482D" w:rsidRDefault="009F6D97" w:rsidP="00006DE8">
            <w:pPr>
              <w:keepNext/>
              <w:jc w:val="center"/>
              <w:rPr>
                <w:rFonts w:ascii="Arial Narrow" w:hAnsi="Arial Narrow"/>
                <w:sz w:val="20"/>
                <w:szCs w:val="20"/>
                <w:highlight w:val="lightGray"/>
                <w:vertAlign w:val="superscript"/>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034D7E" w:rsidRPr="009A482D">
              <w:rPr>
                <w:rFonts w:ascii="Arial Narrow" w:hAnsi="Arial Narrow" w:cs="Calibri"/>
                <w:color w:val="000000"/>
                <w:sz w:val="20"/>
                <w:szCs w:val="20"/>
                <w:vertAlign w:val="superscript"/>
              </w:rPr>
              <w:t>10</w:t>
            </w:r>
          </w:p>
        </w:tc>
        <w:tc>
          <w:tcPr>
            <w:tcW w:w="1712" w:type="dxa"/>
            <w:vMerge w:val="restart"/>
            <w:vAlign w:val="center"/>
          </w:tcPr>
          <w:p w14:paraId="5F7FD565" w14:textId="72D59774"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030F3E" w:rsidRPr="00006DE8">
              <w:rPr>
                <w:rFonts w:ascii="Arial Narrow" w:hAnsi="Arial Narrow" w:cs="Calibri"/>
                <w:color w:val="000000"/>
                <w:sz w:val="20"/>
                <w:szCs w:val="20"/>
                <w:vertAlign w:val="superscript"/>
              </w:rPr>
              <w:t>8</w:t>
            </w:r>
          </w:p>
        </w:tc>
        <w:tc>
          <w:tcPr>
            <w:tcW w:w="1617" w:type="dxa"/>
            <w:vMerge w:val="restart"/>
            <w:vAlign w:val="center"/>
          </w:tcPr>
          <w:p w14:paraId="462A6313" w14:textId="37E59D76" w:rsidR="00FD5E76" w:rsidRPr="0084611B" w:rsidRDefault="00FD5E76" w:rsidP="00006DE8">
            <w:pPr>
              <w:keepNext/>
              <w:jc w:val="center"/>
              <w:rPr>
                <w:rFonts w:ascii="Arial Narrow" w:hAnsi="Arial Narrow"/>
                <w:sz w:val="20"/>
                <w:szCs w:val="20"/>
                <w:highlight w:val="yellow"/>
              </w:rPr>
            </w:pPr>
            <w:r w:rsidRPr="009A482D">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030F3E" w:rsidRPr="00006DE8">
              <w:rPr>
                <w:rFonts w:ascii="Arial Narrow" w:hAnsi="Arial Narrow" w:cs="Calibri"/>
                <w:color w:val="000000"/>
                <w:sz w:val="20"/>
                <w:szCs w:val="20"/>
                <w:vertAlign w:val="superscript"/>
              </w:rPr>
              <w:t>1</w:t>
            </w:r>
            <w:r w:rsidR="00591C41">
              <w:rPr>
                <w:rFonts w:ascii="Arial Narrow" w:hAnsi="Arial Narrow" w:cs="Calibri"/>
                <w:color w:val="000000"/>
                <w:sz w:val="20"/>
                <w:szCs w:val="20"/>
                <w:vertAlign w:val="superscript"/>
              </w:rPr>
              <w:t>1</w:t>
            </w:r>
          </w:p>
        </w:tc>
        <w:tc>
          <w:tcPr>
            <w:tcW w:w="1439" w:type="dxa"/>
            <w:vAlign w:val="center"/>
          </w:tcPr>
          <w:p w14:paraId="6327B282" w14:textId="31CCF7FE"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EF45AE">
              <w:rPr>
                <w:rFonts w:ascii="Arial Narrow" w:hAnsi="Arial Narrow" w:cs="Calibri"/>
                <w:color w:val="000000"/>
                <w:sz w:val="20"/>
                <w:szCs w:val="20"/>
                <w:vertAlign w:val="superscript"/>
              </w:rPr>
              <w:t>2</w:t>
            </w:r>
          </w:p>
        </w:tc>
      </w:tr>
      <w:tr w:rsidR="00FD5E76" w:rsidRPr="00731632" w14:paraId="57012519" w14:textId="77777777" w:rsidTr="00006DE8">
        <w:tc>
          <w:tcPr>
            <w:tcW w:w="1273" w:type="dxa"/>
            <w:vMerge/>
            <w:vAlign w:val="center"/>
          </w:tcPr>
          <w:p w14:paraId="393A7E43" w14:textId="77777777" w:rsidR="00FD5E76" w:rsidRPr="00731632" w:rsidRDefault="00FD5E76" w:rsidP="00006DE8">
            <w:pPr>
              <w:keepNext/>
              <w:rPr>
                <w:rFonts w:ascii="Arial Narrow" w:hAnsi="Arial Narrow"/>
                <w:sz w:val="20"/>
                <w:szCs w:val="20"/>
              </w:rPr>
            </w:pPr>
          </w:p>
        </w:tc>
        <w:tc>
          <w:tcPr>
            <w:tcW w:w="1346" w:type="dxa"/>
            <w:vAlign w:val="center"/>
          </w:tcPr>
          <w:p w14:paraId="140AA40A"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7743C2FC" w14:textId="77777777" w:rsidR="00FD5E76" w:rsidRPr="0084611B" w:rsidRDefault="00FD5E76" w:rsidP="00006DE8">
            <w:pPr>
              <w:keepNext/>
              <w:jc w:val="center"/>
              <w:rPr>
                <w:rFonts w:ascii="Arial Narrow" w:hAnsi="Arial Narrow"/>
                <w:sz w:val="20"/>
                <w:szCs w:val="20"/>
                <w:highlight w:val="yellow"/>
              </w:rPr>
            </w:pPr>
          </w:p>
        </w:tc>
        <w:tc>
          <w:tcPr>
            <w:tcW w:w="1712" w:type="dxa"/>
            <w:vMerge/>
            <w:vAlign w:val="center"/>
          </w:tcPr>
          <w:p w14:paraId="7D9C35F4" w14:textId="77777777" w:rsidR="00FD5E76" w:rsidRPr="009A482D" w:rsidRDefault="00FD5E76" w:rsidP="00006DE8">
            <w:pPr>
              <w:keepNext/>
              <w:jc w:val="center"/>
              <w:rPr>
                <w:rFonts w:ascii="Arial Narrow" w:hAnsi="Arial Narrow"/>
                <w:sz w:val="20"/>
                <w:szCs w:val="20"/>
                <w:highlight w:val="lightGray"/>
              </w:rPr>
            </w:pPr>
          </w:p>
        </w:tc>
        <w:tc>
          <w:tcPr>
            <w:tcW w:w="1617" w:type="dxa"/>
            <w:vMerge/>
            <w:vAlign w:val="center"/>
          </w:tcPr>
          <w:p w14:paraId="6CCECDF2" w14:textId="77777777" w:rsidR="00FD5E76" w:rsidRPr="0084611B" w:rsidRDefault="00FD5E76" w:rsidP="00006DE8">
            <w:pPr>
              <w:keepNext/>
              <w:jc w:val="center"/>
              <w:rPr>
                <w:rFonts w:ascii="Arial Narrow" w:hAnsi="Arial Narrow"/>
                <w:sz w:val="20"/>
                <w:szCs w:val="20"/>
                <w:highlight w:val="yellow"/>
              </w:rPr>
            </w:pPr>
          </w:p>
        </w:tc>
        <w:tc>
          <w:tcPr>
            <w:tcW w:w="1439" w:type="dxa"/>
            <w:vAlign w:val="center"/>
          </w:tcPr>
          <w:p w14:paraId="54BFA3F1" w14:textId="0CA1C3A1"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EF45AE">
              <w:rPr>
                <w:rFonts w:ascii="Arial Narrow" w:hAnsi="Arial Narrow" w:cs="Calibri"/>
                <w:color w:val="000000"/>
                <w:sz w:val="20"/>
                <w:szCs w:val="20"/>
                <w:vertAlign w:val="superscript"/>
              </w:rPr>
              <w:t>2</w:t>
            </w:r>
          </w:p>
        </w:tc>
      </w:tr>
      <w:tr w:rsidR="00FD5E76" w:rsidRPr="00731632" w14:paraId="34C21525" w14:textId="77777777" w:rsidTr="00006DE8">
        <w:tc>
          <w:tcPr>
            <w:tcW w:w="1273" w:type="dxa"/>
            <w:vMerge w:val="restart"/>
            <w:vAlign w:val="center"/>
          </w:tcPr>
          <w:p w14:paraId="61F91409"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3</w:t>
            </w:r>
          </w:p>
        </w:tc>
        <w:tc>
          <w:tcPr>
            <w:tcW w:w="1346" w:type="dxa"/>
            <w:vAlign w:val="center"/>
          </w:tcPr>
          <w:p w14:paraId="2B8282F3"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Life years</w:t>
            </w:r>
          </w:p>
        </w:tc>
        <w:tc>
          <w:tcPr>
            <w:tcW w:w="1630" w:type="dxa"/>
            <w:vMerge w:val="restart"/>
            <w:vAlign w:val="center"/>
          </w:tcPr>
          <w:p w14:paraId="48E66A69"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4,728,659</w:t>
            </w:r>
          </w:p>
        </w:tc>
        <w:tc>
          <w:tcPr>
            <w:tcW w:w="1712" w:type="dxa"/>
            <w:vMerge w:val="restart"/>
            <w:vAlign w:val="center"/>
          </w:tcPr>
          <w:p w14:paraId="4A8D1895" w14:textId="77777777" w:rsidR="00FD5E76" w:rsidRPr="00F41328" w:rsidRDefault="00FD5E76" w:rsidP="00006DE8">
            <w:pPr>
              <w:keepNext/>
              <w:jc w:val="center"/>
              <w:rPr>
                <w:rFonts w:ascii="Arial Narrow" w:hAnsi="Arial Narrow"/>
                <w:sz w:val="20"/>
                <w:szCs w:val="20"/>
              </w:rPr>
            </w:pPr>
            <w:r w:rsidRPr="00F41328">
              <w:rPr>
                <w:rFonts w:ascii="Arial Narrow" w:hAnsi="Arial Narrow" w:cs="Calibri"/>
                <w:color w:val="000000"/>
                <w:sz w:val="20"/>
                <w:szCs w:val="20"/>
              </w:rPr>
              <w:t>4,728,663</w:t>
            </w:r>
          </w:p>
        </w:tc>
        <w:tc>
          <w:tcPr>
            <w:tcW w:w="1617" w:type="dxa"/>
            <w:vMerge w:val="restart"/>
            <w:vAlign w:val="center"/>
          </w:tcPr>
          <w:p w14:paraId="21F4EF30"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4.025</w:t>
            </w:r>
          </w:p>
        </w:tc>
        <w:tc>
          <w:tcPr>
            <w:tcW w:w="1439" w:type="dxa"/>
            <w:vAlign w:val="center"/>
          </w:tcPr>
          <w:p w14:paraId="4C88BCDC" w14:textId="6616FBE0"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3</w:t>
            </w:r>
          </w:p>
        </w:tc>
      </w:tr>
      <w:tr w:rsidR="00FD5E76" w:rsidRPr="00731632" w14:paraId="79811D64" w14:textId="77777777" w:rsidTr="00006DE8">
        <w:tc>
          <w:tcPr>
            <w:tcW w:w="1273" w:type="dxa"/>
            <w:vMerge/>
            <w:vAlign w:val="center"/>
          </w:tcPr>
          <w:p w14:paraId="14B20263" w14:textId="77777777" w:rsidR="00FD5E76" w:rsidRPr="00731632" w:rsidRDefault="00FD5E76" w:rsidP="00006DE8">
            <w:pPr>
              <w:keepNext/>
              <w:rPr>
                <w:rFonts w:ascii="Arial Narrow" w:hAnsi="Arial Narrow"/>
                <w:sz w:val="20"/>
                <w:szCs w:val="20"/>
              </w:rPr>
            </w:pPr>
          </w:p>
        </w:tc>
        <w:tc>
          <w:tcPr>
            <w:tcW w:w="1346" w:type="dxa"/>
            <w:vAlign w:val="center"/>
          </w:tcPr>
          <w:p w14:paraId="0C12508E"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35A92117" w14:textId="77777777" w:rsidR="00FD5E76" w:rsidRPr="009A482D" w:rsidRDefault="00FD5E76" w:rsidP="00006DE8">
            <w:pPr>
              <w:keepNext/>
              <w:jc w:val="center"/>
              <w:rPr>
                <w:rFonts w:ascii="Arial Narrow" w:hAnsi="Arial Narrow"/>
                <w:sz w:val="20"/>
                <w:szCs w:val="20"/>
              </w:rPr>
            </w:pPr>
          </w:p>
        </w:tc>
        <w:tc>
          <w:tcPr>
            <w:tcW w:w="1712" w:type="dxa"/>
            <w:vMerge/>
            <w:vAlign w:val="center"/>
          </w:tcPr>
          <w:p w14:paraId="34675077" w14:textId="77777777" w:rsidR="00FD5E76" w:rsidRPr="00F41328" w:rsidRDefault="00FD5E76" w:rsidP="00006DE8">
            <w:pPr>
              <w:keepNext/>
              <w:jc w:val="center"/>
              <w:rPr>
                <w:rFonts w:ascii="Arial Narrow" w:hAnsi="Arial Narrow"/>
                <w:sz w:val="20"/>
                <w:szCs w:val="20"/>
              </w:rPr>
            </w:pPr>
          </w:p>
        </w:tc>
        <w:tc>
          <w:tcPr>
            <w:tcW w:w="1617" w:type="dxa"/>
            <w:vMerge/>
            <w:vAlign w:val="center"/>
          </w:tcPr>
          <w:p w14:paraId="7A86A84A" w14:textId="77777777" w:rsidR="00FD5E76" w:rsidRPr="009A482D" w:rsidRDefault="00FD5E76" w:rsidP="00006DE8">
            <w:pPr>
              <w:keepNext/>
              <w:jc w:val="center"/>
              <w:rPr>
                <w:rFonts w:ascii="Arial Narrow" w:hAnsi="Arial Narrow"/>
                <w:sz w:val="20"/>
                <w:szCs w:val="20"/>
              </w:rPr>
            </w:pPr>
          </w:p>
        </w:tc>
        <w:tc>
          <w:tcPr>
            <w:tcW w:w="1439" w:type="dxa"/>
            <w:vAlign w:val="center"/>
          </w:tcPr>
          <w:p w14:paraId="1AF30E87" w14:textId="2A8EE265"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3</w:t>
            </w:r>
          </w:p>
        </w:tc>
      </w:tr>
      <w:tr w:rsidR="00FD5E76" w:rsidRPr="00731632" w14:paraId="2129BFC0" w14:textId="77777777" w:rsidTr="00006DE8">
        <w:tc>
          <w:tcPr>
            <w:tcW w:w="1273" w:type="dxa"/>
            <w:vMerge w:val="restart"/>
            <w:vAlign w:val="center"/>
          </w:tcPr>
          <w:p w14:paraId="6951890D"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4</w:t>
            </w:r>
          </w:p>
        </w:tc>
        <w:tc>
          <w:tcPr>
            <w:tcW w:w="1346" w:type="dxa"/>
            <w:vAlign w:val="center"/>
          </w:tcPr>
          <w:p w14:paraId="78039E26"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QALYs</w:t>
            </w:r>
          </w:p>
        </w:tc>
        <w:tc>
          <w:tcPr>
            <w:tcW w:w="1630" w:type="dxa"/>
            <w:vMerge w:val="restart"/>
            <w:vAlign w:val="center"/>
          </w:tcPr>
          <w:p w14:paraId="3DD6FD42"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4,710,317</w:t>
            </w:r>
          </w:p>
        </w:tc>
        <w:tc>
          <w:tcPr>
            <w:tcW w:w="1712" w:type="dxa"/>
            <w:vMerge w:val="restart"/>
            <w:vAlign w:val="center"/>
          </w:tcPr>
          <w:p w14:paraId="7BBEA4B7" w14:textId="77777777" w:rsidR="00FD5E76" w:rsidRPr="00F41328" w:rsidRDefault="00FD5E76" w:rsidP="00006DE8">
            <w:pPr>
              <w:keepNext/>
              <w:jc w:val="center"/>
              <w:rPr>
                <w:rFonts w:ascii="Arial Narrow" w:hAnsi="Arial Narrow"/>
                <w:sz w:val="20"/>
                <w:szCs w:val="20"/>
              </w:rPr>
            </w:pPr>
            <w:r w:rsidRPr="00F41328">
              <w:rPr>
                <w:rFonts w:ascii="Arial Narrow" w:hAnsi="Arial Narrow" w:cs="Calibri"/>
                <w:color w:val="000000"/>
                <w:sz w:val="20"/>
                <w:szCs w:val="20"/>
              </w:rPr>
              <w:t>4,711,086</w:t>
            </w:r>
          </w:p>
        </w:tc>
        <w:tc>
          <w:tcPr>
            <w:tcW w:w="1617" w:type="dxa"/>
            <w:vMerge w:val="restart"/>
            <w:vAlign w:val="center"/>
          </w:tcPr>
          <w:p w14:paraId="5BC1F538"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768</w:t>
            </w:r>
          </w:p>
        </w:tc>
        <w:tc>
          <w:tcPr>
            <w:tcW w:w="1439" w:type="dxa"/>
            <w:vAlign w:val="center"/>
          </w:tcPr>
          <w:p w14:paraId="3AE93F2F" w14:textId="275CDF37"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BE30C8">
              <w:rPr>
                <w:rFonts w:ascii="Arial Narrow" w:hAnsi="Arial Narrow" w:cs="Calibri"/>
                <w:color w:val="000000"/>
                <w:sz w:val="20"/>
                <w:szCs w:val="20"/>
                <w:vertAlign w:val="superscript"/>
              </w:rPr>
              <w:t>6</w:t>
            </w:r>
          </w:p>
        </w:tc>
      </w:tr>
      <w:tr w:rsidR="00FD5E76" w:rsidRPr="00731632" w14:paraId="61F4E313" w14:textId="77777777" w:rsidTr="00006DE8">
        <w:tc>
          <w:tcPr>
            <w:tcW w:w="1273" w:type="dxa"/>
            <w:vMerge/>
            <w:vAlign w:val="center"/>
          </w:tcPr>
          <w:p w14:paraId="59ADDBC6" w14:textId="77777777" w:rsidR="00FD5E76" w:rsidRPr="00731632" w:rsidRDefault="00FD5E76" w:rsidP="00006DE8">
            <w:pPr>
              <w:keepNext/>
              <w:rPr>
                <w:rFonts w:ascii="Arial Narrow" w:hAnsi="Arial Narrow"/>
                <w:sz w:val="20"/>
                <w:szCs w:val="20"/>
              </w:rPr>
            </w:pPr>
          </w:p>
        </w:tc>
        <w:tc>
          <w:tcPr>
            <w:tcW w:w="1346" w:type="dxa"/>
            <w:vAlign w:val="center"/>
          </w:tcPr>
          <w:p w14:paraId="7DD52F84"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768CCD11" w14:textId="77777777" w:rsidR="00FD5E76" w:rsidRPr="00731632" w:rsidRDefault="00FD5E76" w:rsidP="00006DE8">
            <w:pPr>
              <w:keepNext/>
              <w:jc w:val="center"/>
              <w:rPr>
                <w:rFonts w:ascii="Arial Narrow" w:hAnsi="Arial Narrow"/>
                <w:sz w:val="20"/>
                <w:szCs w:val="20"/>
              </w:rPr>
            </w:pPr>
          </w:p>
        </w:tc>
        <w:tc>
          <w:tcPr>
            <w:tcW w:w="1712" w:type="dxa"/>
            <w:vMerge/>
            <w:vAlign w:val="center"/>
          </w:tcPr>
          <w:p w14:paraId="12A3F798" w14:textId="77777777" w:rsidR="00FD5E76" w:rsidRPr="00731632" w:rsidRDefault="00FD5E76" w:rsidP="00006DE8">
            <w:pPr>
              <w:keepNext/>
              <w:jc w:val="center"/>
              <w:rPr>
                <w:rFonts w:ascii="Arial Narrow" w:hAnsi="Arial Narrow"/>
                <w:sz w:val="20"/>
                <w:szCs w:val="20"/>
              </w:rPr>
            </w:pPr>
          </w:p>
        </w:tc>
        <w:tc>
          <w:tcPr>
            <w:tcW w:w="1617" w:type="dxa"/>
            <w:vMerge/>
            <w:vAlign w:val="center"/>
          </w:tcPr>
          <w:p w14:paraId="375E43C8" w14:textId="77777777" w:rsidR="00FD5E76" w:rsidRPr="00731632" w:rsidRDefault="00FD5E76" w:rsidP="00006DE8">
            <w:pPr>
              <w:keepNext/>
              <w:jc w:val="center"/>
              <w:rPr>
                <w:rFonts w:ascii="Arial Narrow" w:hAnsi="Arial Narrow"/>
                <w:sz w:val="20"/>
                <w:szCs w:val="20"/>
              </w:rPr>
            </w:pPr>
          </w:p>
        </w:tc>
        <w:tc>
          <w:tcPr>
            <w:tcW w:w="1439" w:type="dxa"/>
            <w:vAlign w:val="center"/>
          </w:tcPr>
          <w:p w14:paraId="365B2706" w14:textId="145608D8"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BE30C8">
              <w:rPr>
                <w:rFonts w:ascii="Arial Narrow" w:hAnsi="Arial Narrow" w:cs="Calibri"/>
                <w:color w:val="000000"/>
                <w:sz w:val="20"/>
                <w:szCs w:val="20"/>
                <w:vertAlign w:val="superscript"/>
              </w:rPr>
              <w:t>6</w:t>
            </w:r>
          </w:p>
        </w:tc>
      </w:tr>
      <w:tr w:rsidR="00FD5E76" w:rsidRPr="00731632" w14:paraId="5936EC63" w14:textId="77777777" w:rsidTr="00006DE8">
        <w:tc>
          <w:tcPr>
            <w:tcW w:w="9017" w:type="dxa"/>
            <w:gridSpan w:val="6"/>
            <w:vAlign w:val="center"/>
          </w:tcPr>
          <w:p w14:paraId="0AB83E33" w14:textId="089FD4D7" w:rsidR="00FD5E76" w:rsidRPr="00731632" w:rsidRDefault="00FD5E76" w:rsidP="00006DE8">
            <w:pPr>
              <w:keepNext/>
              <w:rPr>
                <w:rFonts w:ascii="Arial Narrow" w:hAnsi="Arial Narrow" w:cs="Calibri"/>
                <w:color w:val="000000"/>
                <w:sz w:val="20"/>
                <w:szCs w:val="20"/>
              </w:rPr>
            </w:pPr>
            <w:r w:rsidRPr="00731632">
              <w:rPr>
                <w:rFonts w:ascii="Arial Narrow" w:hAnsi="Arial Narrow" w:cs="Calibri"/>
                <w:b/>
                <w:bCs/>
                <w:color w:val="000000"/>
                <w:sz w:val="20"/>
                <w:szCs w:val="20"/>
              </w:rPr>
              <w:t xml:space="preserve">AGGREGATED POPULATION (n = </w:t>
            </w:r>
            <w:r w:rsidR="009F6D97" w:rsidRPr="003E1422">
              <w:rPr>
                <w:rFonts w:ascii="Arial Narrow" w:hAnsi="Arial Narrow" w:cs="Calibri"/>
                <w:b/>
                <w:bCs/>
                <w:color w:val="000000"/>
                <w:spacing w:val="12"/>
                <w:sz w:val="20"/>
                <w:szCs w:val="20"/>
                <w:shd w:val="solid" w:color="000000" w:fill="000000"/>
                <w:fitText w:val="340" w:id="-893211136"/>
                <w14:textFill>
                  <w14:solidFill>
                    <w14:srgbClr w14:val="000000">
                      <w14:alpha w14:val="100000"/>
                    </w14:srgbClr>
                  </w14:solidFill>
                </w14:textFill>
              </w:rPr>
              <w:t>||  |</w:t>
            </w:r>
            <w:r w:rsidR="009F6D97" w:rsidRPr="003E1422">
              <w:rPr>
                <w:rFonts w:ascii="Arial Narrow" w:hAnsi="Arial Narrow" w:cs="Calibri"/>
                <w:b/>
                <w:bCs/>
                <w:color w:val="000000"/>
                <w:spacing w:val="5"/>
                <w:sz w:val="20"/>
                <w:szCs w:val="20"/>
                <w:shd w:val="solid" w:color="000000" w:fill="000000"/>
                <w:fitText w:val="340" w:id="-893211136"/>
                <w14:textFill>
                  <w14:solidFill>
                    <w14:srgbClr w14:val="000000">
                      <w14:alpha w14:val="100000"/>
                    </w14:srgbClr>
                  </w14:solidFill>
                </w14:textFill>
              </w:rPr>
              <w:t>|</w:t>
            </w:r>
            <w:r w:rsidR="00B9014E" w:rsidRPr="009A482D">
              <w:rPr>
                <w:rFonts w:ascii="Arial Narrow" w:hAnsi="Arial Narrow" w:cs="Calibri"/>
                <w:b/>
                <w:bCs/>
                <w:color w:val="000000"/>
                <w:sz w:val="20"/>
                <w:szCs w:val="20"/>
                <w:vertAlign w:val="superscript"/>
              </w:rPr>
              <w:t>7</w:t>
            </w:r>
            <w:r w:rsidRPr="00731632">
              <w:rPr>
                <w:rFonts w:ascii="Arial Narrow" w:hAnsi="Arial Narrow" w:cs="Calibri"/>
                <w:b/>
                <w:bCs/>
                <w:color w:val="000000"/>
                <w:sz w:val="20"/>
                <w:szCs w:val="20"/>
              </w:rPr>
              <w:t>)</w:t>
            </w:r>
          </w:p>
        </w:tc>
      </w:tr>
      <w:tr w:rsidR="00FD5E76" w:rsidRPr="00731632" w14:paraId="7D7ACD9C" w14:textId="77777777" w:rsidTr="009F6D97">
        <w:tc>
          <w:tcPr>
            <w:tcW w:w="1273" w:type="dxa"/>
            <w:vAlign w:val="center"/>
          </w:tcPr>
          <w:p w14:paraId="2B178535" w14:textId="77777777" w:rsidR="00FD5E76" w:rsidRPr="00731632" w:rsidRDefault="00FD5E76" w:rsidP="00006DE8">
            <w:pPr>
              <w:keepNext/>
              <w:rPr>
                <w:rFonts w:ascii="Arial Narrow" w:hAnsi="Arial Narrow"/>
                <w:sz w:val="20"/>
                <w:szCs w:val="20"/>
              </w:rPr>
            </w:pPr>
            <w:r w:rsidRPr="00731632">
              <w:rPr>
                <w:rFonts w:ascii="Arial Narrow" w:hAnsi="Arial Narrow" w:cs="Calibri"/>
                <w:b/>
                <w:bCs/>
                <w:color w:val="000000"/>
                <w:sz w:val="20"/>
                <w:szCs w:val="20"/>
              </w:rPr>
              <w:t>Step</w:t>
            </w:r>
          </w:p>
        </w:tc>
        <w:tc>
          <w:tcPr>
            <w:tcW w:w="1346" w:type="dxa"/>
            <w:vAlign w:val="center"/>
          </w:tcPr>
          <w:p w14:paraId="405E03AB" w14:textId="77777777" w:rsidR="00FD5E76" w:rsidRPr="00731632" w:rsidRDefault="00FD5E76" w:rsidP="00006DE8">
            <w:pPr>
              <w:keepNext/>
              <w:rPr>
                <w:rFonts w:ascii="Arial Narrow" w:hAnsi="Arial Narrow"/>
                <w:sz w:val="20"/>
                <w:szCs w:val="20"/>
              </w:rPr>
            </w:pPr>
            <w:r w:rsidRPr="00731632">
              <w:rPr>
                <w:rFonts w:ascii="Arial Narrow" w:hAnsi="Arial Narrow" w:cs="Calibri"/>
                <w:b/>
                <w:bCs/>
                <w:color w:val="000000"/>
                <w:sz w:val="20"/>
                <w:szCs w:val="20"/>
              </w:rPr>
              <w:t>Model output</w:t>
            </w:r>
          </w:p>
        </w:tc>
        <w:tc>
          <w:tcPr>
            <w:tcW w:w="1630" w:type="dxa"/>
            <w:vAlign w:val="center"/>
          </w:tcPr>
          <w:p w14:paraId="71BF808C"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Standard of care</w:t>
            </w:r>
          </w:p>
        </w:tc>
        <w:tc>
          <w:tcPr>
            <w:tcW w:w="1712" w:type="dxa"/>
            <w:tcBorders>
              <w:bottom w:val="single" w:sz="4" w:space="0" w:color="auto"/>
            </w:tcBorders>
            <w:vAlign w:val="center"/>
          </w:tcPr>
          <w:p w14:paraId="5AB37B5C"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Nirsevimab</w:t>
            </w:r>
          </w:p>
        </w:tc>
        <w:tc>
          <w:tcPr>
            <w:tcW w:w="1617" w:type="dxa"/>
            <w:vAlign w:val="center"/>
          </w:tcPr>
          <w:p w14:paraId="3290660B"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Difference</w:t>
            </w:r>
          </w:p>
        </w:tc>
        <w:tc>
          <w:tcPr>
            <w:tcW w:w="1439" w:type="dxa"/>
            <w:vAlign w:val="center"/>
          </w:tcPr>
          <w:p w14:paraId="68A783DE" w14:textId="77777777" w:rsidR="00FD5E76" w:rsidRPr="00731632" w:rsidRDefault="00FD5E76" w:rsidP="00006DE8">
            <w:pPr>
              <w:keepNext/>
              <w:jc w:val="center"/>
              <w:rPr>
                <w:rFonts w:ascii="Arial Narrow" w:hAnsi="Arial Narrow"/>
                <w:sz w:val="20"/>
                <w:szCs w:val="20"/>
              </w:rPr>
            </w:pPr>
            <w:r w:rsidRPr="00731632">
              <w:rPr>
                <w:rFonts w:ascii="Arial Narrow" w:hAnsi="Arial Narrow" w:cs="Calibri"/>
                <w:b/>
                <w:bCs/>
                <w:color w:val="000000"/>
                <w:sz w:val="20"/>
                <w:szCs w:val="20"/>
              </w:rPr>
              <w:t>ICER</w:t>
            </w:r>
          </w:p>
        </w:tc>
      </w:tr>
      <w:tr w:rsidR="00FD5E76" w:rsidRPr="00731632" w14:paraId="1EF60548" w14:textId="77777777" w:rsidTr="00B67E00">
        <w:tc>
          <w:tcPr>
            <w:tcW w:w="1273" w:type="dxa"/>
            <w:vMerge w:val="restart"/>
            <w:vAlign w:val="center"/>
          </w:tcPr>
          <w:p w14:paraId="6B2EE470"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1</w:t>
            </w:r>
          </w:p>
        </w:tc>
        <w:tc>
          <w:tcPr>
            <w:tcW w:w="1346" w:type="dxa"/>
            <w:vAlign w:val="center"/>
          </w:tcPr>
          <w:p w14:paraId="00FE85D1"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Costs</w:t>
            </w:r>
          </w:p>
        </w:tc>
        <w:tc>
          <w:tcPr>
            <w:tcW w:w="1630" w:type="dxa"/>
            <w:vAlign w:val="center"/>
          </w:tcPr>
          <w:p w14:paraId="3F605068" w14:textId="7B1C509F"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val="restart"/>
            <w:shd w:val="clear" w:color="auto" w:fill="auto"/>
            <w:vAlign w:val="center"/>
          </w:tcPr>
          <w:p w14:paraId="6CF9896F" w14:textId="10C3930A"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14:textFill>
                  <w14:solidFill>
                    <w14:srgbClr w14:val="000000">
                      <w14:alpha w14:val="100000"/>
                    </w14:srgbClr>
                  </w14:solidFill>
                </w14:textFill>
              </w:rPr>
              <w:t>|</w:t>
            </w:r>
            <w:r w:rsidR="00B67E00" w:rsidRPr="00731632">
              <w:rPr>
                <w:rFonts w:ascii="Arial Narrow" w:hAnsi="Arial Narrow" w:cs="Calibri"/>
                <w:color w:val="000000"/>
                <w:sz w:val="20"/>
                <w:szCs w:val="20"/>
              </w:rPr>
              <w:t>$</w:t>
            </w:r>
            <w:r w:rsidR="00B67E00"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617" w:type="dxa"/>
            <w:vAlign w:val="center"/>
          </w:tcPr>
          <w:p w14:paraId="3C1A62F5" w14:textId="2741BD32"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restart"/>
            <w:vAlign w:val="center"/>
          </w:tcPr>
          <w:p w14:paraId="5B531FC1" w14:textId="77777777" w:rsidR="00FD5E76" w:rsidRPr="00731632" w:rsidRDefault="00FD5E76" w:rsidP="00006DE8">
            <w:pPr>
              <w:keepNext/>
              <w:jc w:val="center"/>
              <w:rPr>
                <w:rFonts w:ascii="Arial Narrow" w:hAnsi="Arial Narrow"/>
                <w:sz w:val="20"/>
                <w:szCs w:val="20"/>
              </w:rPr>
            </w:pPr>
          </w:p>
        </w:tc>
      </w:tr>
      <w:tr w:rsidR="00FD5E76" w:rsidRPr="00731632" w14:paraId="00E21C32" w14:textId="77777777" w:rsidTr="00B67E00">
        <w:tc>
          <w:tcPr>
            <w:tcW w:w="1273" w:type="dxa"/>
            <w:vMerge/>
            <w:vAlign w:val="center"/>
          </w:tcPr>
          <w:p w14:paraId="5F3570A6" w14:textId="77777777" w:rsidR="00FD5E76" w:rsidRPr="00731632" w:rsidRDefault="00FD5E76" w:rsidP="00006DE8">
            <w:pPr>
              <w:keepNext/>
              <w:rPr>
                <w:rFonts w:ascii="Arial Narrow" w:hAnsi="Arial Narrow"/>
                <w:sz w:val="20"/>
                <w:szCs w:val="20"/>
              </w:rPr>
            </w:pPr>
          </w:p>
        </w:tc>
        <w:tc>
          <w:tcPr>
            <w:tcW w:w="1346" w:type="dxa"/>
            <w:vAlign w:val="center"/>
          </w:tcPr>
          <w:p w14:paraId="202F73D0"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Align w:val="center"/>
          </w:tcPr>
          <w:p w14:paraId="577AAE6E" w14:textId="62AFB93F"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712" w:type="dxa"/>
            <w:vMerge/>
            <w:shd w:val="clear" w:color="auto" w:fill="auto"/>
            <w:vAlign w:val="center"/>
          </w:tcPr>
          <w:p w14:paraId="188290D3" w14:textId="77777777" w:rsidR="00FD5E76" w:rsidRPr="009A482D" w:rsidRDefault="00FD5E76" w:rsidP="00006DE8">
            <w:pPr>
              <w:keepNext/>
              <w:jc w:val="center"/>
              <w:rPr>
                <w:rFonts w:ascii="Arial Narrow" w:hAnsi="Arial Narrow"/>
                <w:sz w:val="20"/>
                <w:szCs w:val="20"/>
                <w:highlight w:val="lightGray"/>
              </w:rPr>
            </w:pPr>
          </w:p>
        </w:tc>
        <w:tc>
          <w:tcPr>
            <w:tcW w:w="1617" w:type="dxa"/>
            <w:vAlign w:val="center"/>
          </w:tcPr>
          <w:p w14:paraId="63FAA07A" w14:textId="5935C23D" w:rsidR="00FD5E76" w:rsidRPr="00731632" w:rsidRDefault="00FD5E76" w:rsidP="00006DE8">
            <w:pPr>
              <w:keepNext/>
              <w:jc w:val="center"/>
              <w:rPr>
                <w:rFonts w:ascii="Arial Narrow" w:hAnsi="Arial Narrow"/>
                <w:sz w:val="20"/>
                <w:szCs w:val="20"/>
              </w:rPr>
            </w:pPr>
            <w:r w:rsidRPr="00731632">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39" w:type="dxa"/>
            <w:vMerge/>
            <w:vAlign w:val="center"/>
          </w:tcPr>
          <w:p w14:paraId="20EB6082" w14:textId="77777777" w:rsidR="00FD5E76" w:rsidRPr="00731632" w:rsidRDefault="00FD5E76" w:rsidP="00006DE8">
            <w:pPr>
              <w:keepNext/>
              <w:jc w:val="center"/>
              <w:rPr>
                <w:rFonts w:ascii="Arial Narrow" w:hAnsi="Arial Narrow"/>
                <w:sz w:val="20"/>
                <w:szCs w:val="20"/>
              </w:rPr>
            </w:pPr>
          </w:p>
        </w:tc>
      </w:tr>
      <w:tr w:rsidR="00FD5E76" w:rsidRPr="00731632" w14:paraId="2AB93ABB" w14:textId="77777777" w:rsidTr="00006DE8">
        <w:tc>
          <w:tcPr>
            <w:tcW w:w="1273" w:type="dxa"/>
            <w:vMerge w:val="restart"/>
            <w:vAlign w:val="center"/>
          </w:tcPr>
          <w:p w14:paraId="7D6049C8"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2</w:t>
            </w:r>
          </w:p>
        </w:tc>
        <w:tc>
          <w:tcPr>
            <w:tcW w:w="1346" w:type="dxa"/>
            <w:vAlign w:val="center"/>
          </w:tcPr>
          <w:p w14:paraId="71FB7085"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RSV cases</w:t>
            </w:r>
          </w:p>
        </w:tc>
        <w:tc>
          <w:tcPr>
            <w:tcW w:w="1630" w:type="dxa"/>
            <w:vMerge w:val="restart"/>
            <w:vAlign w:val="center"/>
          </w:tcPr>
          <w:p w14:paraId="5618953A" w14:textId="7F9CF2B2"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591C41" w:rsidRPr="00006DE8">
              <w:rPr>
                <w:rFonts w:ascii="Arial Narrow" w:hAnsi="Arial Narrow" w:cs="Calibri"/>
                <w:color w:val="000000"/>
                <w:sz w:val="20"/>
                <w:szCs w:val="20"/>
                <w:vertAlign w:val="superscript"/>
              </w:rPr>
              <w:t>1</w:t>
            </w:r>
            <w:r w:rsidR="00591C41">
              <w:rPr>
                <w:rFonts w:ascii="Arial Narrow" w:hAnsi="Arial Narrow" w:cs="Calibri"/>
                <w:color w:val="000000"/>
                <w:sz w:val="20"/>
                <w:szCs w:val="20"/>
                <w:vertAlign w:val="superscript"/>
              </w:rPr>
              <w:t>2</w:t>
            </w:r>
          </w:p>
        </w:tc>
        <w:tc>
          <w:tcPr>
            <w:tcW w:w="1712" w:type="dxa"/>
            <w:vMerge w:val="restart"/>
            <w:vAlign w:val="center"/>
          </w:tcPr>
          <w:p w14:paraId="0821B61A" w14:textId="291FF6E8"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591C41" w:rsidRPr="00006DE8">
              <w:rPr>
                <w:rFonts w:ascii="Arial Narrow" w:hAnsi="Arial Narrow" w:cs="Calibri"/>
                <w:color w:val="000000"/>
                <w:sz w:val="20"/>
                <w:szCs w:val="20"/>
                <w:vertAlign w:val="superscript"/>
              </w:rPr>
              <w:t>1</w:t>
            </w:r>
            <w:r w:rsidR="00591C41">
              <w:rPr>
                <w:rFonts w:ascii="Arial Narrow" w:hAnsi="Arial Narrow" w:cs="Calibri"/>
                <w:color w:val="000000"/>
                <w:sz w:val="20"/>
                <w:szCs w:val="20"/>
                <w:vertAlign w:val="superscript"/>
              </w:rPr>
              <w:t>1</w:t>
            </w:r>
          </w:p>
        </w:tc>
        <w:tc>
          <w:tcPr>
            <w:tcW w:w="1617" w:type="dxa"/>
            <w:vMerge w:val="restart"/>
            <w:vAlign w:val="center"/>
          </w:tcPr>
          <w:p w14:paraId="1053C9BB" w14:textId="7FA215BE" w:rsidR="00FD5E76" w:rsidRPr="0084611B" w:rsidRDefault="00FD5E76" w:rsidP="00006DE8">
            <w:pPr>
              <w:keepNext/>
              <w:jc w:val="center"/>
              <w:rPr>
                <w:rFonts w:ascii="Arial Narrow" w:hAnsi="Arial Narrow"/>
                <w:sz w:val="20"/>
                <w:szCs w:val="20"/>
                <w:highlight w:val="yellow"/>
              </w:rPr>
            </w:pPr>
            <w:r w:rsidRPr="009A482D">
              <w:rPr>
                <w:rFonts w:ascii="Arial Narrow" w:hAnsi="Arial Narrow" w:cs="Calibri"/>
                <w:color w:val="000000"/>
                <w:sz w:val="20"/>
                <w:szCs w:val="20"/>
              </w:rPr>
              <w:t>-</w:t>
            </w:r>
            <w:r w:rsidR="009F6D97"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591C41" w:rsidRPr="00006DE8">
              <w:rPr>
                <w:rFonts w:ascii="Arial Narrow" w:hAnsi="Arial Narrow" w:cs="Calibri"/>
                <w:color w:val="000000"/>
                <w:sz w:val="20"/>
                <w:szCs w:val="20"/>
                <w:vertAlign w:val="superscript"/>
              </w:rPr>
              <w:t>1</w:t>
            </w:r>
            <w:r w:rsidR="00591C41">
              <w:rPr>
                <w:rFonts w:ascii="Arial Narrow" w:hAnsi="Arial Narrow" w:cs="Calibri"/>
                <w:color w:val="000000"/>
                <w:sz w:val="20"/>
                <w:szCs w:val="20"/>
                <w:vertAlign w:val="superscript"/>
              </w:rPr>
              <w:t>1</w:t>
            </w:r>
          </w:p>
        </w:tc>
        <w:tc>
          <w:tcPr>
            <w:tcW w:w="1439" w:type="dxa"/>
            <w:vAlign w:val="center"/>
          </w:tcPr>
          <w:p w14:paraId="796ECCF1" w14:textId="1B973A05"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EF45AE">
              <w:rPr>
                <w:rFonts w:ascii="Arial Narrow" w:hAnsi="Arial Narrow" w:cs="Calibri"/>
                <w:color w:val="000000"/>
                <w:sz w:val="20"/>
                <w:szCs w:val="20"/>
                <w:vertAlign w:val="superscript"/>
              </w:rPr>
              <w:t>2</w:t>
            </w:r>
          </w:p>
        </w:tc>
      </w:tr>
      <w:tr w:rsidR="00FD5E76" w:rsidRPr="00731632" w14:paraId="1D40413E" w14:textId="77777777" w:rsidTr="00006DE8">
        <w:tc>
          <w:tcPr>
            <w:tcW w:w="1273" w:type="dxa"/>
            <w:vMerge/>
            <w:vAlign w:val="center"/>
          </w:tcPr>
          <w:p w14:paraId="1F0ED11B" w14:textId="77777777" w:rsidR="00FD5E76" w:rsidRPr="00731632" w:rsidRDefault="00FD5E76" w:rsidP="00006DE8">
            <w:pPr>
              <w:keepNext/>
              <w:rPr>
                <w:rFonts w:ascii="Arial Narrow" w:hAnsi="Arial Narrow"/>
                <w:sz w:val="20"/>
                <w:szCs w:val="20"/>
              </w:rPr>
            </w:pPr>
          </w:p>
        </w:tc>
        <w:tc>
          <w:tcPr>
            <w:tcW w:w="1346" w:type="dxa"/>
            <w:vAlign w:val="center"/>
          </w:tcPr>
          <w:p w14:paraId="1678C2FE"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31DD3702" w14:textId="77777777" w:rsidR="00FD5E76" w:rsidRPr="0084611B" w:rsidRDefault="00FD5E76" w:rsidP="00006DE8">
            <w:pPr>
              <w:keepNext/>
              <w:jc w:val="center"/>
              <w:rPr>
                <w:rFonts w:ascii="Arial Narrow" w:hAnsi="Arial Narrow"/>
                <w:sz w:val="20"/>
                <w:szCs w:val="20"/>
                <w:highlight w:val="yellow"/>
              </w:rPr>
            </w:pPr>
          </w:p>
        </w:tc>
        <w:tc>
          <w:tcPr>
            <w:tcW w:w="1712" w:type="dxa"/>
            <w:vMerge/>
            <w:vAlign w:val="center"/>
          </w:tcPr>
          <w:p w14:paraId="0E940C11" w14:textId="77777777" w:rsidR="00FD5E76" w:rsidRPr="009A482D" w:rsidRDefault="00FD5E76" w:rsidP="00006DE8">
            <w:pPr>
              <w:keepNext/>
              <w:jc w:val="center"/>
              <w:rPr>
                <w:rFonts w:ascii="Arial Narrow" w:hAnsi="Arial Narrow"/>
                <w:sz w:val="20"/>
                <w:szCs w:val="20"/>
                <w:highlight w:val="lightGray"/>
              </w:rPr>
            </w:pPr>
          </w:p>
        </w:tc>
        <w:tc>
          <w:tcPr>
            <w:tcW w:w="1617" w:type="dxa"/>
            <w:vMerge/>
            <w:vAlign w:val="center"/>
          </w:tcPr>
          <w:p w14:paraId="609F8E76" w14:textId="77777777" w:rsidR="00FD5E76" w:rsidRPr="0084611B" w:rsidRDefault="00FD5E76" w:rsidP="00006DE8">
            <w:pPr>
              <w:keepNext/>
              <w:jc w:val="center"/>
              <w:rPr>
                <w:rFonts w:ascii="Arial Narrow" w:hAnsi="Arial Narrow"/>
                <w:sz w:val="20"/>
                <w:szCs w:val="20"/>
                <w:highlight w:val="yellow"/>
              </w:rPr>
            </w:pPr>
          </w:p>
        </w:tc>
        <w:tc>
          <w:tcPr>
            <w:tcW w:w="1439" w:type="dxa"/>
            <w:vAlign w:val="center"/>
          </w:tcPr>
          <w:p w14:paraId="64293E19" w14:textId="10A294B3"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EF45AE">
              <w:rPr>
                <w:rFonts w:ascii="Arial Narrow" w:hAnsi="Arial Narrow" w:cs="Calibri"/>
                <w:color w:val="000000"/>
                <w:sz w:val="20"/>
                <w:szCs w:val="20"/>
                <w:vertAlign w:val="superscript"/>
              </w:rPr>
              <w:t>2</w:t>
            </w:r>
          </w:p>
        </w:tc>
      </w:tr>
      <w:tr w:rsidR="00FD5E76" w:rsidRPr="00731632" w14:paraId="040F5371" w14:textId="77777777" w:rsidTr="00006DE8">
        <w:tc>
          <w:tcPr>
            <w:tcW w:w="1273" w:type="dxa"/>
            <w:vMerge w:val="restart"/>
            <w:vAlign w:val="center"/>
          </w:tcPr>
          <w:p w14:paraId="45139A2D" w14:textId="77777777" w:rsidR="00FD5E76" w:rsidRPr="00731632" w:rsidRDefault="00FD5E76" w:rsidP="00006DE8">
            <w:pPr>
              <w:keepNext/>
              <w:rPr>
                <w:rFonts w:ascii="Arial Narrow" w:hAnsi="Arial Narrow"/>
                <w:sz w:val="20"/>
                <w:szCs w:val="20"/>
              </w:rPr>
            </w:pPr>
            <w:r w:rsidRPr="00731632">
              <w:rPr>
                <w:rFonts w:ascii="Arial Narrow" w:hAnsi="Arial Narrow"/>
                <w:sz w:val="20"/>
                <w:szCs w:val="20"/>
              </w:rPr>
              <w:t>3</w:t>
            </w:r>
          </w:p>
        </w:tc>
        <w:tc>
          <w:tcPr>
            <w:tcW w:w="1346" w:type="dxa"/>
            <w:vAlign w:val="center"/>
          </w:tcPr>
          <w:p w14:paraId="1C0E8219"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Life years</w:t>
            </w:r>
          </w:p>
        </w:tc>
        <w:tc>
          <w:tcPr>
            <w:tcW w:w="1630" w:type="dxa"/>
            <w:vMerge w:val="restart"/>
            <w:vAlign w:val="center"/>
          </w:tcPr>
          <w:p w14:paraId="73A1B313"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6,007,586</w:t>
            </w:r>
          </w:p>
        </w:tc>
        <w:tc>
          <w:tcPr>
            <w:tcW w:w="1712" w:type="dxa"/>
            <w:vMerge w:val="restart"/>
            <w:vAlign w:val="center"/>
          </w:tcPr>
          <w:p w14:paraId="1D5FD05F" w14:textId="77777777" w:rsidR="00FD5E76" w:rsidRPr="00F41328" w:rsidRDefault="00FD5E76" w:rsidP="00006DE8">
            <w:pPr>
              <w:keepNext/>
              <w:jc w:val="center"/>
              <w:rPr>
                <w:rFonts w:ascii="Arial Narrow" w:hAnsi="Arial Narrow"/>
                <w:sz w:val="20"/>
                <w:szCs w:val="20"/>
              </w:rPr>
            </w:pPr>
            <w:r w:rsidRPr="00F41328">
              <w:rPr>
                <w:rFonts w:ascii="Arial Narrow" w:hAnsi="Arial Narrow" w:cs="Calibri"/>
                <w:color w:val="000000"/>
                <w:sz w:val="20"/>
                <w:szCs w:val="20"/>
              </w:rPr>
              <w:t>6,007,591</w:t>
            </w:r>
          </w:p>
        </w:tc>
        <w:tc>
          <w:tcPr>
            <w:tcW w:w="1617" w:type="dxa"/>
            <w:vMerge w:val="restart"/>
            <w:vAlign w:val="center"/>
          </w:tcPr>
          <w:p w14:paraId="7FC998B6" w14:textId="77777777" w:rsidR="00FD5E76" w:rsidRPr="009A482D" w:rsidRDefault="00FD5E76" w:rsidP="00006DE8">
            <w:pPr>
              <w:keepNext/>
              <w:jc w:val="center"/>
              <w:rPr>
                <w:rFonts w:ascii="Arial Narrow" w:hAnsi="Arial Narrow"/>
                <w:sz w:val="20"/>
                <w:szCs w:val="20"/>
              </w:rPr>
            </w:pPr>
            <w:r w:rsidRPr="009A482D">
              <w:rPr>
                <w:rFonts w:ascii="Arial Narrow" w:hAnsi="Arial Narrow" w:cs="Calibri"/>
                <w:color w:val="000000"/>
                <w:sz w:val="20"/>
                <w:szCs w:val="20"/>
              </w:rPr>
              <w:t>4.896</w:t>
            </w:r>
          </w:p>
        </w:tc>
        <w:tc>
          <w:tcPr>
            <w:tcW w:w="1439" w:type="dxa"/>
            <w:vAlign w:val="center"/>
          </w:tcPr>
          <w:p w14:paraId="73F473E7" w14:textId="3BFFBE22"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3</w:t>
            </w:r>
          </w:p>
        </w:tc>
      </w:tr>
      <w:tr w:rsidR="00FD5E76" w:rsidRPr="00731632" w14:paraId="3E896040" w14:textId="77777777" w:rsidTr="00006DE8">
        <w:tc>
          <w:tcPr>
            <w:tcW w:w="1273" w:type="dxa"/>
            <w:vMerge/>
            <w:vAlign w:val="center"/>
          </w:tcPr>
          <w:p w14:paraId="5B00C687" w14:textId="77777777" w:rsidR="00FD5E76" w:rsidRPr="00731632" w:rsidRDefault="00FD5E76" w:rsidP="00006DE8">
            <w:pPr>
              <w:keepNext/>
              <w:rPr>
                <w:rFonts w:ascii="Arial Narrow" w:hAnsi="Arial Narrow"/>
                <w:sz w:val="20"/>
                <w:szCs w:val="20"/>
              </w:rPr>
            </w:pPr>
          </w:p>
        </w:tc>
        <w:tc>
          <w:tcPr>
            <w:tcW w:w="1346" w:type="dxa"/>
            <w:vAlign w:val="center"/>
          </w:tcPr>
          <w:p w14:paraId="47CD16E3" w14:textId="77777777" w:rsidR="00FD5E76" w:rsidRPr="00731632" w:rsidRDefault="00FD5E76" w:rsidP="00006DE8">
            <w:pPr>
              <w:keepNext/>
              <w:rPr>
                <w:rFonts w:ascii="Arial Narrow" w:hAnsi="Arial Narrow"/>
                <w:sz w:val="20"/>
                <w:szCs w:val="20"/>
              </w:rPr>
            </w:pPr>
            <w:r w:rsidRPr="00731632">
              <w:rPr>
                <w:rFonts w:ascii="Arial Narrow" w:hAnsi="Arial Narrow" w:cs="Calibri"/>
                <w:color w:val="000000"/>
                <w:sz w:val="20"/>
                <w:szCs w:val="20"/>
              </w:rPr>
              <w:t>Corrected</w:t>
            </w:r>
          </w:p>
        </w:tc>
        <w:tc>
          <w:tcPr>
            <w:tcW w:w="1630" w:type="dxa"/>
            <w:vMerge/>
            <w:vAlign w:val="center"/>
          </w:tcPr>
          <w:p w14:paraId="21F3E73F" w14:textId="77777777" w:rsidR="00FD5E76" w:rsidRPr="009A482D" w:rsidRDefault="00FD5E76" w:rsidP="00006DE8">
            <w:pPr>
              <w:keepNext/>
              <w:jc w:val="center"/>
              <w:rPr>
                <w:rFonts w:ascii="Arial Narrow" w:hAnsi="Arial Narrow"/>
                <w:sz w:val="20"/>
                <w:szCs w:val="20"/>
              </w:rPr>
            </w:pPr>
          </w:p>
        </w:tc>
        <w:tc>
          <w:tcPr>
            <w:tcW w:w="1712" w:type="dxa"/>
            <w:vMerge/>
            <w:vAlign w:val="center"/>
          </w:tcPr>
          <w:p w14:paraId="24FB1B21" w14:textId="77777777" w:rsidR="00FD5E76" w:rsidRPr="00F41328" w:rsidRDefault="00FD5E76" w:rsidP="00006DE8">
            <w:pPr>
              <w:keepNext/>
              <w:jc w:val="center"/>
              <w:rPr>
                <w:rFonts w:ascii="Arial Narrow" w:hAnsi="Arial Narrow"/>
                <w:sz w:val="20"/>
                <w:szCs w:val="20"/>
              </w:rPr>
            </w:pPr>
          </w:p>
        </w:tc>
        <w:tc>
          <w:tcPr>
            <w:tcW w:w="1617" w:type="dxa"/>
            <w:vMerge/>
            <w:vAlign w:val="center"/>
          </w:tcPr>
          <w:p w14:paraId="504C8027" w14:textId="77777777" w:rsidR="00FD5E76" w:rsidRPr="009A482D" w:rsidRDefault="00FD5E76" w:rsidP="00006DE8">
            <w:pPr>
              <w:keepNext/>
              <w:jc w:val="center"/>
              <w:rPr>
                <w:rFonts w:ascii="Arial Narrow" w:hAnsi="Arial Narrow"/>
                <w:sz w:val="20"/>
                <w:szCs w:val="20"/>
              </w:rPr>
            </w:pPr>
          </w:p>
        </w:tc>
        <w:tc>
          <w:tcPr>
            <w:tcW w:w="1439" w:type="dxa"/>
            <w:vAlign w:val="center"/>
          </w:tcPr>
          <w:p w14:paraId="21DD36BB" w14:textId="036752DF" w:rsidR="00FD5E76" w:rsidRPr="009A482D" w:rsidRDefault="009F6D97" w:rsidP="00006DE8">
            <w:pPr>
              <w:keepNext/>
              <w:jc w:val="center"/>
              <w:rPr>
                <w:rFonts w:ascii="Arial Narrow" w:hAnsi="Arial Narrow"/>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1E46D2">
              <w:rPr>
                <w:rFonts w:ascii="Arial Narrow" w:hAnsi="Arial Narrow" w:cs="Calibri"/>
                <w:color w:val="000000"/>
                <w:sz w:val="20"/>
                <w:szCs w:val="20"/>
                <w:vertAlign w:val="superscript"/>
              </w:rPr>
              <w:t>3</w:t>
            </w:r>
          </w:p>
        </w:tc>
      </w:tr>
      <w:tr w:rsidR="00FD5E76" w:rsidRPr="00731632" w14:paraId="0285D519" w14:textId="77777777" w:rsidTr="00006DE8">
        <w:tc>
          <w:tcPr>
            <w:tcW w:w="1273" w:type="dxa"/>
            <w:vMerge w:val="restart"/>
            <w:vAlign w:val="center"/>
          </w:tcPr>
          <w:p w14:paraId="373E598F" w14:textId="77777777" w:rsidR="00FD5E76" w:rsidRPr="00731632" w:rsidRDefault="00FD5E76" w:rsidP="00006DE8">
            <w:pPr>
              <w:keepNext/>
              <w:rPr>
                <w:rFonts w:ascii="Arial Narrow" w:hAnsi="Arial Narrow" w:cs="Calibri"/>
                <w:color w:val="000000"/>
                <w:sz w:val="20"/>
                <w:szCs w:val="20"/>
              </w:rPr>
            </w:pPr>
            <w:r w:rsidRPr="00731632">
              <w:rPr>
                <w:rFonts w:ascii="Arial Narrow" w:hAnsi="Arial Narrow"/>
                <w:sz w:val="20"/>
                <w:szCs w:val="20"/>
              </w:rPr>
              <w:t>4</w:t>
            </w:r>
          </w:p>
        </w:tc>
        <w:tc>
          <w:tcPr>
            <w:tcW w:w="1346" w:type="dxa"/>
            <w:vAlign w:val="center"/>
          </w:tcPr>
          <w:p w14:paraId="6DFE8269" w14:textId="77777777" w:rsidR="00FD5E76" w:rsidRPr="00731632" w:rsidRDefault="00FD5E76" w:rsidP="00006DE8">
            <w:pPr>
              <w:keepNext/>
              <w:rPr>
                <w:rFonts w:ascii="Arial Narrow" w:hAnsi="Arial Narrow" w:cs="Calibri"/>
                <w:color w:val="000000"/>
                <w:sz w:val="20"/>
                <w:szCs w:val="20"/>
              </w:rPr>
            </w:pPr>
            <w:r w:rsidRPr="00731632">
              <w:rPr>
                <w:rFonts w:ascii="Arial Narrow" w:hAnsi="Arial Narrow" w:cs="Calibri"/>
                <w:color w:val="000000"/>
                <w:sz w:val="20"/>
                <w:szCs w:val="20"/>
              </w:rPr>
              <w:t>QALYs</w:t>
            </w:r>
          </w:p>
        </w:tc>
        <w:tc>
          <w:tcPr>
            <w:tcW w:w="1630" w:type="dxa"/>
            <w:vMerge w:val="restart"/>
            <w:vAlign w:val="center"/>
          </w:tcPr>
          <w:p w14:paraId="57DDF094" w14:textId="77777777" w:rsidR="00FD5E76" w:rsidRPr="009A482D" w:rsidRDefault="00FD5E76" w:rsidP="00006DE8">
            <w:pPr>
              <w:keepNext/>
              <w:jc w:val="center"/>
              <w:rPr>
                <w:rFonts w:ascii="Arial Narrow" w:hAnsi="Arial Narrow" w:cs="Calibri"/>
                <w:color w:val="000000"/>
                <w:sz w:val="20"/>
                <w:szCs w:val="20"/>
              </w:rPr>
            </w:pPr>
            <w:r w:rsidRPr="009A482D">
              <w:rPr>
                <w:rFonts w:ascii="Arial Narrow" w:hAnsi="Arial Narrow" w:cs="Calibri"/>
                <w:color w:val="000000"/>
                <w:sz w:val="20"/>
                <w:szCs w:val="20"/>
              </w:rPr>
              <w:t>5,984,282</w:t>
            </w:r>
          </w:p>
        </w:tc>
        <w:tc>
          <w:tcPr>
            <w:tcW w:w="1712" w:type="dxa"/>
            <w:vMerge w:val="restart"/>
            <w:vAlign w:val="center"/>
          </w:tcPr>
          <w:p w14:paraId="7863301C" w14:textId="77777777" w:rsidR="00FD5E76" w:rsidRPr="00F41328" w:rsidRDefault="00FD5E76" w:rsidP="00006DE8">
            <w:pPr>
              <w:keepNext/>
              <w:jc w:val="center"/>
              <w:rPr>
                <w:rFonts w:ascii="Arial Narrow" w:hAnsi="Arial Narrow" w:cs="Calibri"/>
                <w:color w:val="000000"/>
                <w:sz w:val="20"/>
                <w:szCs w:val="20"/>
              </w:rPr>
            </w:pPr>
            <w:r w:rsidRPr="00F41328">
              <w:rPr>
                <w:rFonts w:ascii="Arial Narrow" w:hAnsi="Arial Narrow" w:cs="Calibri"/>
                <w:color w:val="000000"/>
                <w:sz w:val="20"/>
                <w:szCs w:val="20"/>
              </w:rPr>
              <w:t>5,985,217</w:t>
            </w:r>
          </w:p>
        </w:tc>
        <w:tc>
          <w:tcPr>
            <w:tcW w:w="1617" w:type="dxa"/>
            <w:vMerge w:val="restart"/>
            <w:vAlign w:val="center"/>
          </w:tcPr>
          <w:p w14:paraId="103993EB" w14:textId="77777777" w:rsidR="00FD5E76" w:rsidRPr="009A482D" w:rsidRDefault="00FD5E76" w:rsidP="00006DE8">
            <w:pPr>
              <w:keepNext/>
              <w:jc w:val="center"/>
              <w:rPr>
                <w:rFonts w:ascii="Arial Narrow" w:hAnsi="Arial Narrow" w:cs="Calibri"/>
                <w:color w:val="000000"/>
                <w:sz w:val="20"/>
                <w:szCs w:val="20"/>
              </w:rPr>
            </w:pPr>
            <w:r w:rsidRPr="009A482D">
              <w:rPr>
                <w:rFonts w:ascii="Arial Narrow" w:hAnsi="Arial Narrow" w:cs="Calibri"/>
                <w:color w:val="000000"/>
                <w:sz w:val="20"/>
                <w:szCs w:val="20"/>
              </w:rPr>
              <w:t>936</w:t>
            </w:r>
          </w:p>
        </w:tc>
        <w:tc>
          <w:tcPr>
            <w:tcW w:w="1439" w:type="dxa"/>
            <w:vAlign w:val="center"/>
          </w:tcPr>
          <w:p w14:paraId="0BEC47A9" w14:textId="5EB33895" w:rsidR="00FD5E76" w:rsidRPr="009A482D" w:rsidRDefault="009F6D97" w:rsidP="00006DE8">
            <w:pPr>
              <w:keepNext/>
              <w:jc w:val="center"/>
              <w:rPr>
                <w:rFonts w:ascii="Arial Narrow" w:hAnsi="Arial Narrow" w:cs="Calibri"/>
                <w:color w:val="000000"/>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BE30C8">
              <w:rPr>
                <w:rFonts w:ascii="Arial Narrow" w:hAnsi="Arial Narrow" w:cs="Calibri"/>
                <w:color w:val="000000"/>
                <w:sz w:val="20"/>
                <w:szCs w:val="20"/>
                <w:vertAlign w:val="superscript"/>
              </w:rPr>
              <w:t>6</w:t>
            </w:r>
          </w:p>
        </w:tc>
      </w:tr>
      <w:tr w:rsidR="00FD5E76" w:rsidRPr="00731632" w14:paraId="7DF8F190" w14:textId="77777777" w:rsidTr="00006DE8">
        <w:tc>
          <w:tcPr>
            <w:tcW w:w="1273" w:type="dxa"/>
            <w:vMerge/>
            <w:vAlign w:val="center"/>
          </w:tcPr>
          <w:p w14:paraId="634CC41F" w14:textId="77777777" w:rsidR="00FD5E76" w:rsidRPr="00731632" w:rsidRDefault="00FD5E76" w:rsidP="00006DE8">
            <w:pPr>
              <w:keepNext/>
              <w:rPr>
                <w:rFonts w:ascii="Arial Narrow" w:hAnsi="Arial Narrow" w:cs="Calibri"/>
                <w:color w:val="000000"/>
                <w:sz w:val="20"/>
                <w:szCs w:val="20"/>
              </w:rPr>
            </w:pPr>
          </w:p>
        </w:tc>
        <w:tc>
          <w:tcPr>
            <w:tcW w:w="1346" w:type="dxa"/>
            <w:vAlign w:val="center"/>
          </w:tcPr>
          <w:p w14:paraId="130CC145" w14:textId="77777777" w:rsidR="00FD5E76" w:rsidRPr="00731632" w:rsidRDefault="00FD5E76" w:rsidP="00006DE8">
            <w:pPr>
              <w:keepNext/>
              <w:rPr>
                <w:rFonts w:ascii="Arial Narrow" w:hAnsi="Arial Narrow" w:cs="Calibri"/>
                <w:color w:val="000000"/>
                <w:sz w:val="20"/>
                <w:szCs w:val="20"/>
              </w:rPr>
            </w:pPr>
            <w:r w:rsidRPr="00731632">
              <w:rPr>
                <w:rFonts w:ascii="Arial Narrow" w:hAnsi="Arial Narrow" w:cs="Calibri"/>
                <w:color w:val="000000"/>
                <w:sz w:val="20"/>
                <w:szCs w:val="20"/>
              </w:rPr>
              <w:t>Corrected</w:t>
            </w:r>
          </w:p>
        </w:tc>
        <w:tc>
          <w:tcPr>
            <w:tcW w:w="1630" w:type="dxa"/>
            <w:vMerge/>
            <w:vAlign w:val="center"/>
          </w:tcPr>
          <w:p w14:paraId="6B5F1CAD" w14:textId="77777777" w:rsidR="00FD5E76" w:rsidRPr="00731632" w:rsidRDefault="00FD5E76" w:rsidP="00006DE8">
            <w:pPr>
              <w:keepNext/>
              <w:jc w:val="center"/>
              <w:rPr>
                <w:rFonts w:ascii="Arial Narrow" w:hAnsi="Arial Narrow" w:cs="Calibri"/>
                <w:color w:val="000000"/>
                <w:sz w:val="20"/>
                <w:szCs w:val="20"/>
              </w:rPr>
            </w:pPr>
          </w:p>
        </w:tc>
        <w:tc>
          <w:tcPr>
            <w:tcW w:w="1712" w:type="dxa"/>
            <w:vMerge/>
            <w:vAlign w:val="center"/>
          </w:tcPr>
          <w:p w14:paraId="3ADC03EC" w14:textId="77777777" w:rsidR="00FD5E76" w:rsidRPr="00731632" w:rsidRDefault="00FD5E76" w:rsidP="00006DE8">
            <w:pPr>
              <w:keepNext/>
              <w:jc w:val="center"/>
              <w:rPr>
                <w:rFonts w:ascii="Arial Narrow" w:hAnsi="Arial Narrow" w:cs="Calibri"/>
                <w:color w:val="000000"/>
                <w:sz w:val="20"/>
                <w:szCs w:val="20"/>
              </w:rPr>
            </w:pPr>
          </w:p>
        </w:tc>
        <w:tc>
          <w:tcPr>
            <w:tcW w:w="1617" w:type="dxa"/>
            <w:vMerge/>
            <w:vAlign w:val="center"/>
          </w:tcPr>
          <w:p w14:paraId="258F3DF1" w14:textId="77777777" w:rsidR="00FD5E76" w:rsidRPr="00731632" w:rsidRDefault="00FD5E76" w:rsidP="00006DE8">
            <w:pPr>
              <w:keepNext/>
              <w:jc w:val="center"/>
              <w:rPr>
                <w:rFonts w:ascii="Arial Narrow" w:hAnsi="Arial Narrow" w:cs="Calibri"/>
                <w:color w:val="000000"/>
                <w:sz w:val="20"/>
                <w:szCs w:val="20"/>
              </w:rPr>
            </w:pPr>
          </w:p>
        </w:tc>
        <w:tc>
          <w:tcPr>
            <w:tcW w:w="1439" w:type="dxa"/>
            <w:vAlign w:val="center"/>
          </w:tcPr>
          <w:p w14:paraId="03480BCA" w14:textId="03C1C952" w:rsidR="00FD5E76" w:rsidRPr="009A482D" w:rsidRDefault="009F6D97" w:rsidP="00006DE8">
            <w:pPr>
              <w:keepNext/>
              <w:jc w:val="center"/>
              <w:rPr>
                <w:rFonts w:ascii="Arial Narrow" w:hAnsi="Arial Narrow" w:cs="Calibri"/>
                <w:color w:val="000000"/>
                <w:sz w:val="20"/>
                <w:szCs w:val="20"/>
                <w:highlight w:val="lightGray"/>
              </w:rPr>
            </w:pPr>
            <w:r w:rsidRPr="009F6D97">
              <w:rPr>
                <w:rFonts w:ascii="Arial Narrow" w:hAnsi="Arial Narrow" w:cs="Calibri"/>
                <w:color w:val="000000"/>
                <w:sz w:val="20"/>
                <w:szCs w:val="20"/>
                <w:shd w:val="solid" w:color="000000" w:fill="000000"/>
                <w14:textFill>
                  <w14:solidFill>
                    <w14:srgbClr w14:val="000000">
                      <w14:alpha w14:val="100000"/>
                    </w14:srgbClr>
                  </w14:solidFill>
                </w14:textFill>
              </w:rPr>
              <w:t>|</w:t>
            </w:r>
            <w:r w:rsidR="00BE30C8">
              <w:rPr>
                <w:rFonts w:ascii="Arial Narrow" w:hAnsi="Arial Narrow" w:cs="Calibri"/>
                <w:color w:val="000000"/>
                <w:sz w:val="20"/>
                <w:szCs w:val="20"/>
                <w:vertAlign w:val="superscript"/>
              </w:rPr>
              <w:t>6</w:t>
            </w:r>
          </w:p>
        </w:tc>
      </w:tr>
    </w:tbl>
    <w:p w14:paraId="52580F75" w14:textId="65F2682B" w:rsidR="00FD5E76" w:rsidRPr="00731632" w:rsidRDefault="00FD5E76" w:rsidP="00FD5E76">
      <w:pPr>
        <w:rPr>
          <w:rFonts w:ascii="Arial Narrow" w:hAnsi="Arial Narrow"/>
          <w:sz w:val="18"/>
          <w:szCs w:val="18"/>
        </w:rPr>
      </w:pPr>
      <w:r w:rsidRPr="00731632">
        <w:rPr>
          <w:rFonts w:ascii="Arial Narrow" w:hAnsi="Arial Narrow"/>
          <w:sz w:val="18"/>
          <w:szCs w:val="18"/>
        </w:rPr>
        <w:t>Source: Table 3.8.2, of the submission.</w:t>
      </w:r>
    </w:p>
    <w:p w14:paraId="1755ECE0" w14:textId="77777777" w:rsidR="00FD5E76" w:rsidRPr="00731632" w:rsidRDefault="00FD5E76" w:rsidP="00FD5E76">
      <w:pPr>
        <w:rPr>
          <w:rFonts w:ascii="Arial Narrow" w:hAnsi="Arial Narrow"/>
          <w:sz w:val="18"/>
          <w:szCs w:val="18"/>
        </w:rPr>
      </w:pPr>
      <w:r w:rsidRPr="00731632">
        <w:rPr>
          <w:rFonts w:ascii="Arial Narrow" w:hAnsi="Arial Narrow"/>
          <w:sz w:val="18"/>
          <w:szCs w:val="18"/>
        </w:rPr>
        <w:t>ED = Emergency department; ICER = incremental cost-effectiveness ratio; QALY = quality-adjusted life year; RSV = Respiratory syncytial virus.</w:t>
      </w:r>
    </w:p>
    <w:p w14:paraId="566CFA08" w14:textId="77777777" w:rsidR="00FD5E76" w:rsidRDefault="00FD5E76" w:rsidP="00FD5E76">
      <w:pPr>
        <w:rPr>
          <w:rFonts w:ascii="Arial Narrow" w:hAnsi="Arial Narrow"/>
          <w:sz w:val="18"/>
          <w:szCs w:val="18"/>
        </w:rPr>
      </w:pPr>
      <w:r w:rsidRPr="00731632">
        <w:rPr>
          <w:rFonts w:ascii="Arial Narrow" w:hAnsi="Arial Narrow"/>
          <w:sz w:val="18"/>
          <w:szCs w:val="18"/>
          <w:vertAlign w:val="superscript"/>
        </w:rPr>
        <w:t>a</w:t>
      </w:r>
      <w:r w:rsidRPr="00731632">
        <w:rPr>
          <w:rFonts w:ascii="Arial Narrow" w:hAnsi="Arial Narrow"/>
          <w:sz w:val="18"/>
          <w:szCs w:val="18"/>
        </w:rPr>
        <w:t xml:space="preserve"> Corrected values relate to a referencing error in the model which excluded the emergency department costs for Month 2 infants in the control arm of the model.</w:t>
      </w:r>
    </w:p>
    <w:p w14:paraId="2DC0E8A3" w14:textId="77777777" w:rsidR="00FD5E76" w:rsidRDefault="00FD5E76" w:rsidP="00FD5E76">
      <w:pPr>
        <w:rPr>
          <w:rFonts w:ascii="Arial Narrow" w:hAnsi="Arial Narrow"/>
          <w:sz w:val="18"/>
          <w:szCs w:val="18"/>
        </w:rPr>
      </w:pPr>
      <w:r w:rsidRPr="006F773B">
        <w:rPr>
          <w:rFonts w:ascii="Arial Narrow" w:hAnsi="Arial Narrow"/>
          <w:sz w:val="18"/>
          <w:szCs w:val="18"/>
        </w:rPr>
        <w:t>The redacted values correspond to the following ranges</w:t>
      </w:r>
    </w:p>
    <w:p w14:paraId="17AFF186" w14:textId="3B404B0D" w:rsidR="001C743F" w:rsidRDefault="001C743F" w:rsidP="00FD5E76">
      <w:pPr>
        <w:rPr>
          <w:rFonts w:ascii="Arial Narrow" w:hAnsi="Arial Narrow"/>
          <w:sz w:val="18"/>
          <w:szCs w:val="18"/>
        </w:rPr>
      </w:pPr>
      <w:r>
        <w:rPr>
          <w:rFonts w:ascii="Arial Narrow" w:hAnsi="Arial Narrow"/>
          <w:sz w:val="18"/>
          <w:szCs w:val="18"/>
        </w:rPr>
        <w:t xml:space="preserve">1 </w:t>
      </w:r>
      <w:r w:rsidR="00EF45AE" w:rsidRPr="00EF45AE">
        <w:rPr>
          <w:rFonts w:ascii="Arial Narrow" w:hAnsi="Arial Narrow"/>
          <w:sz w:val="18"/>
          <w:szCs w:val="18"/>
        </w:rPr>
        <w:t>60,000 to &lt; 70,000</w:t>
      </w:r>
    </w:p>
    <w:p w14:paraId="5CA985FC" w14:textId="1F93376E" w:rsidR="00FD5E76" w:rsidRDefault="00EF45AE" w:rsidP="00FD5E76">
      <w:pPr>
        <w:rPr>
          <w:rFonts w:ascii="Arial Narrow" w:hAnsi="Arial Narrow"/>
          <w:sz w:val="18"/>
          <w:szCs w:val="18"/>
        </w:rPr>
      </w:pPr>
      <w:r>
        <w:rPr>
          <w:rFonts w:ascii="Arial Narrow" w:hAnsi="Arial Narrow"/>
          <w:sz w:val="18"/>
          <w:szCs w:val="18"/>
        </w:rPr>
        <w:t>2</w:t>
      </w:r>
      <w:r w:rsidR="00FD5E76">
        <w:rPr>
          <w:rFonts w:ascii="Arial Narrow" w:hAnsi="Arial Narrow"/>
          <w:sz w:val="18"/>
          <w:szCs w:val="18"/>
        </w:rPr>
        <w:t xml:space="preserve"> </w:t>
      </w:r>
      <w:r w:rsidR="00FD5E76" w:rsidRPr="00C8067E">
        <w:rPr>
          <w:rFonts w:ascii="Arial Narrow" w:hAnsi="Arial Narrow"/>
          <w:sz w:val="18"/>
          <w:szCs w:val="18"/>
        </w:rPr>
        <w:t>Dominant</w:t>
      </w:r>
    </w:p>
    <w:p w14:paraId="6E860D67" w14:textId="6DC22976" w:rsidR="00FD5E76" w:rsidRDefault="001E46D2" w:rsidP="00FD5E76">
      <w:pPr>
        <w:rPr>
          <w:rFonts w:ascii="Arial Narrow" w:hAnsi="Arial Narrow"/>
          <w:sz w:val="18"/>
          <w:szCs w:val="18"/>
        </w:rPr>
      </w:pPr>
      <w:r>
        <w:rPr>
          <w:rFonts w:ascii="Arial Narrow" w:hAnsi="Arial Narrow"/>
          <w:sz w:val="18"/>
          <w:szCs w:val="18"/>
        </w:rPr>
        <w:t>3</w:t>
      </w:r>
      <w:r w:rsidR="00FD5E76">
        <w:rPr>
          <w:rFonts w:ascii="Arial Narrow" w:hAnsi="Arial Narrow"/>
          <w:sz w:val="18"/>
          <w:szCs w:val="18"/>
        </w:rPr>
        <w:t xml:space="preserve"> </w:t>
      </w:r>
      <w:r w:rsidR="00FD5E76" w:rsidRPr="002C2006">
        <w:rPr>
          <w:rFonts w:ascii="Arial Narrow" w:hAnsi="Arial Narrow"/>
          <w:sz w:val="18"/>
          <w:szCs w:val="18"/>
        </w:rPr>
        <w:t>&gt; $1,055,000</w:t>
      </w:r>
    </w:p>
    <w:p w14:paraId="27BD2819" w14:textId="4CBD7E0A" w:rsidR="00FD5E76" w:rsidRDefault="001E46D2" w:rsidP="00FD5E76">
      <w:pPr>
        <w:rPr>
          <w:rFonts w:ascii="Arial Narrow" w:hAnsi="Arial Narrow"/>
          <w:sz w:val="18"/>
          <w:szCs w:val="18"/>
        </w:rPr>
      </w:pPr>
      <w:r>
        <w:rPr>
          <w:rFonts w:ascii="Arial Narrow" w:hAnsi="Arial Narrow"/>
          <w:sz w:val="18"/>
          <w:szCs w:val="18"/>
        </w:rPr>
        <w:t>4</w:t>
      </w:r>
      <w:r w:rsidR="00FD5E76">
        <w:rPr>
          <w:rFonts w:ascii="Arial Narrow" w:hAnsi="Arial Narrow"/>
          <w:sz w:val="18"/>
          <w:szCs w:val="18"/>
        </w:rPr>
        <w:t xml:space="preserve"> </w:t>
      </w:r>
      <w:r w:rsidR="00FD5E76" w:rsidRPr="00ED6AD5">
        <w:rPr>
          <w:rFonts w:ascii="Arial Narrow" w:hAnsi="Arial Narrow"/>
          <w:sz w:val="18"/>
          <w:szCs w:val="18"/>
        </w:rPr>
        <w:t>$35,000 to &lt; $45,000</w:t>
      </w:r>
    </w:p>
    <w:p w14:paraId="350B9EF4" w14:textId="33924D5C" w:rsidR="00E531CB" w:rsidRDefault="00E531CB" w:rsidP="00FD5E76">
      <w:pPr>
        <w:rPr>
          <w:rFonts w:ascii="Arial Narrow" w:hAnsi="Arial Narrow"/>
          <w:sz w:val="18"/>
          <w:szCs w:val="18"/>
        </w:rPr>
      </w:pPr>
      <w:r>
        <w:rPr>
          <w:rFonts w:ascii="Arial Narrow" w:hAnsi="Arial Narrow"/>
          <w:sz w:val="18"/>
          <w:szCs w:val="18"/>
        </w:rPr>
        <w:t xml:space="preserve">5 </w:t>
      </w:r>
      <w:r w:rsidR="00BE30C8" w:rsidRPr="00BE30C8">
        <w:rPr>
          <w:rFonts w:ascii="Arial Narrow" w:hAnsi="Arial Narrow"/>
          <w:sz w:val="18"/>
          <w:szCs w:val="18"/>
        </w:rPr>
        <w:t>200,000 to &lt; 300,000</w:t>
      </w:r>
    </w:p>
    <w:p w14:paraId="35908EE7" w14:textId="1C992E4F" w:rsidR="00A2129F" w:rsidRDefault="00BE30C8" w:rsidP="00951A36">
      <w:pPr>
        <w:rPr>
          <w:rFonts w:ascii="Arial Narrow" w:hAnsi="Arial Narrow"/>
          <w:sz w:val="18"/>
          <w:szCs w:val="18"/>
        </w:rPr>
      </w:pPr>
      <w:r>
        <w:rPr>
          <w:rFonts w:ascii="Arial Narrow" w:hAnsi="Arial Narrow"/>
          <w:sz w:val="18"/>
          <w:szCs w:val="18"/>
        </w:rPr>
        <w:t>6</w:t>
      </w:r>
      <w:r w:rsidR="00FD5E76">
        <w:rPr>
          <w:rFonts w:ascii="Arial Narrow" w:hAnsi="Arial Narrow"/>
          <w:sz w:val="18"/>
          <w:szCs w:val="18"/>
        </w:rPr>
        <w:t xml:space="preserve"> </w:t>
      </w:r>
      <w:r w:rsidR="00FD5E76" w:rsidRPr="00A36C67">
        <w:rPr>
          <w:rFonts w:ascii="Arial Narrow" w:hAnsi="Arial Narrow"/>
          <w:sz w:val="18"/>
          <w:szCs w:val="18"/>
        </w:rPr>
        <w:t>$5,000 to &lt; $15,000</w:t>
      </w:r>
    </w:p>
    <w:p w14:paraId="70B8678E" w14:textId="26DEDD03" w:rsidR="00CA7DBC" w:rsidRDefault="00CA7DBC" w:rsidP="00951A36">
      <w:pPr>
        <w:rPr>
          <w:rFonts w:ascii="Arial Narrow" w:hAnsi="Arial Narrow"/>
          <w:sz w:val="18"/>
          <w:szCs w:val="18"/>
        </w:rPr>
      </w:pPr>
      <w:r>
        <w:rPr>
          <w:rFonts w:ascii="Arial Narrow" w:hAnsi="Arial Narrow"/>
          <w:sz w:val="18"/>
          <w:szCs w:val="18"/>
        </w:rPr>
        <w:t xml:space="preserve">7 </w:t>
      </w:r>
      <w:r w:rsidRPr="00CA7DBC">
        <w:rPr>
          <w:rFonts w:ascii="Arial Narrow" w:hAnsi="Arial Narrow"/>
          <w:sz w:val="18"/>
          <w:szCs w:val="18"/>
        </w:rPr>
        <w:t>300,000 to &lt; 400,000</w:t>
      </w:r>
    </w:p>
    <w:p w14:paraId="5506840B" w14:textId="4CDD94B6" w:rsidR="006632D8" w:rsidRDefault="006632D8" w:rsidP="00951A36">
      <w:pPr>
        <w:rPr>
          <w:rFonts w:ascii="Arial Narrow" w:hAnsi="Arial Narrow"/>
          <w:sz w:val="18"/>
          <w:szCs w:val="18"/>
        </w:rPr>
      </w:pPr>
      <w:r>
        <w:rPr>
          <w:rFonts w:ascii="Arial Narrow" w:hAnsi="Arial Narrow"/>
          <w:sz w:val="18"/>
          <w:szCs w:val="18"/>
        </w:rPr>
        <w:t xml:space="preserve">8 </w:t>
      </w:r>
      <w:r w:rsidR="002A1A60" w:rsidRPr="002A1A60">
        <w:rPr>
          <w:rFonts w:ascii="Arial Narrow" w:hAnsi="Arial Narrow"/>
          <w:sz w:val="18"/>
          <w:szCs w:val="18"/>
        </w:rPr>
        <w:t>5,000 to &lt; 10,000</w:t>
      </w:r>
    </w:p>
    <w:p w14:paraId="66367F5F" w14:textId="0428E264" w:rsidR="009340D5" w:rsidRDefault="009340D5" w:rsidP="00951A36">
      <w:pPr>
        <w:rPr>
          <w:rFonts w:ascii="Arial Narrow" w:hAnsi="Arial Narrow"/>
          <w:sz w:val="18"/>
          <w:szCs w:val="18"/>
        </w:rPr>
      </w:pPr>
      <w:r>
        <w:rPr>
          <w:rFonts w:ascii="Arial Narrow" w:hAnsi="Arial Narrow"/>
          <w:sz w:val="18"/>
          <w:szCs w:val="18"/>
        </w:rPr>
        <w:t xml:space="preserve">9 </w:t>
      </w:r>
      <w:r w:rsidRPr="009340D5">
        <w:rPr>
          <w:rFonts w:ascii="Arial Narrow" w:hAnsi="Arial Narrow"/>
          <w:sz w:val="18"/>
          <w:szCs w:val="18"/>
        </w:rPr>
        <w:t>500 to &lt; 5,000</w:t>
      </w:r>
    </w:p>
    <w:p w14:paraId="4F6F86D6" w14:textId="78DEF441" w:rsidR="00034D7E" w:rsidRDefault="00034D7E" w:rsidP="00951A36">
      <w:pPr>
        <w:rPr>
          <w:rFonts w:ascii="Arial Narrow" w:hAnsi="Arial Narrow"/>
          <w:sz w:val="18"/>
          <w:szCs w:val="18"/>
        </w:rPr>
      </w:pPr>
      <w:r>
        <w:rPr>
          <w:rFonts w:ascii="Arial Narrow" w:hAnsi="Arial Narrow"/>
          <w:sz w:val="18"/>
          <w:szCs w:val="18"/>
        </w:rPr>
        <w:t xml:space="preserve">10 </w:t>
      </w:r>
      <w:r w:rsidR="00030F3E" w:rsidRPr="00030F3E">
        <w:rPr>
          <w:rFonts w:ascii="Arial Narrow" w:hAnsi="Arial Narrow"/>
          <w:sz w:val="18"/>
          <w:szCs w:val="18"/>
        </w:rPr>
        <w:t>20,000 to &lt; 30,000</w:t>
      </w:r>
    </w:p>
    <w:p w14:paraId="177E3D47" w14:textId="0D3FC74D" w:rsidR="00591C41" w:rsidRDefault="00591C41" w:rsidP="00591C41">
      <w:pPr>
        <w:rPr>
          <w:rFonts w:ascii="Arial Narrow" w:hAnsi="Arial Narrow"/>
          <w:sz w:val="18"/>
          <w:szCs w:val="18"/>
        </w:rPr>
      </w:pPr>
      <w:r>
        <w:rPr>
          <w:rFonts w:ascii="Arial Narrow" w:hAnsi="Arial Narrow"/>
          <w:sz w:val="18"/>
          <w:szCs w:val="18"/>
        </w:rPr>
        <w:t>11 1</w:t>
      </w:r>
      <w:r w:rsidRPr="00030F3E">
        <w:rPr>
          <w:rFonts w:ascii="Arial Narrow" w:hAnsi="Arial Narrow"/>
          <w:sz w:val="18"/>
          <w:szCs w:val="18"/>
        </w:rPr>
        <w:t xml:space="preserve">0,000 to &lt; </w:t>
      </w:r>
      <w:r>
        <w:rPr>
          <w:rFonts w:ascii="Arial Narrow" w:hAnsi="Arial Narrow"/>
          <w:sz w:val="18"/>
          <w:szCs w:val="18"/>
        </w:rPr>
        <w:t>2</w:t>
      </w:r>
      <w:r w:rsidRPr="00030F3E">
        <w:rPr>
          <w:rFonts w:ascii="Arial Narrow" w:hAnsi="Arial Narrow"/>
          <w:sz w:val="18"/>
          <w:szCs w:val="18"/>
        </w:rPr>
        <w:t>0,000</w:t>
      </w:r>
    </w:p>
    <w:p w14:paraId="4388FC89" w14:textId="2F82691D" w:rsidR="006632D8" w:rsidRPr="00731632" w:rsidRDefault="00591C41" w:rsidP="00B67E00">
      <w:pPr>
        <w:spacing w:after="120"/>
        <w:rPr>
          <w:rFonts w:ascii="Arial Narrow" w:hAnsi="Arial Narrow"/>
          <w:sz w:val="18"/>
          <w:szCs w:val="18"/>
        </w:rPr>
      </w:pPr>
      <w:r>
        <w:rPr>
          <w:rFonts w:ascii="Arial Narrow" w:hAnsi="Arial Narrow"/>
          <w:sz w:val="18"/>
          <w:szCs w:val="18"/>
        </w:rPr>
        <w:t>12 3</w:t>
      </w:r>
      <w:r w:rsidRPr="00030F3E">
        <w:rPr>
          <w:rFonts w:ascii="Arial Narrow" w:hAnsi="Arial Narrow"/>
          <w:sz w:val="18"/>
          <w:szCs w:val="18"/>
        </w:rPr>
        <w:t xml:space="preserve">0,000 to &lt; </w:t>
      </w:r>
      <w:r>
        <w:rPr>
          <w:rFonts w:ascii="Arial Narrow" w:hAnsi="Arial Narrow"/>
          <w:sz w:val="18"/>
          <w:szCs w:val="18"/>
        </w:rPr>
        <w:t>4</w:t>
      </w:r>
      <w:r w:rsidRPr="00030F3E">
        <w:rPr>
          <w:rFonts w:ascii="Arial Narrow" w:hAnsi="Arial Narrow"/>
          <w:sz w:val="18"/>
          <w:szCs w:val="18"/>
        </w:rPr>
        <w:t>0,000</w:t>
      </w:r>
    </w:p>
    <w:p w14:paraId="528B65F1" w14:textId="144DFC19" w:rsidR="00EE2FBE" w:rsidRPr="00731632" w:rsidRDefault="00EE2FBE" w:rsidP="00EE2FBE">
      <w:pPr>
        <w:pStyle w:val="3-BodyText"/>
        <w:rPr>
          <w:iCs/>
        </w:rPr>
      </w:pPr>
      <w:r w:rsidRPr="00731632">
        <w:t xml:space="preserve">Univariate and multivariate sensitivity analyses </w:t>
      </w:r>
      <w:r w:rsidR="001C370E" w:rsidRPr="00731632">
        <w:t>were</w:t>
      </w:r>
      <w:r w:rsidRPr="00731632">
        <w:t xml:space="preserve"> selected to reflect the key uncertainties and the key drivers of the economic model. </w:t>
      </w:r>
      <w:r w:rsidRPr="00731632">
        <w:rPr>
          <w:iCs/>
        </w:rPr>
        <w:t>Sensitivity analyses are numbered as they appear</w:t>
      </w:r>
      <w:r w:rsidR="009C281D" w:rsidRPr="00731632">
        <w:rPr>
          <w:iCs/>
        </w:rPr>
        <w:t>ed</w:t>
      </w:r>
      <w:r w:rsidRPr="00731632">
        <w:rPr>
          <w:iCs/>
        </w:rPr>
        <w:t xml:space="preserve"> in the commentary.</w:t>
      </w:r>
    </w:p>
    <w:p w14:paraId="48D2A731" w14:textId="52EEC811" w:rsidR="00EE2FBE" w:rsidRPr="00731632" w:rsidRDefault="00EE2FBE" w:rsidP="00266A98">
      <w:pPr>
        <w:pStyle w:val="Caption"/>
      </w:pPr>
      <w:bookmarkStart w:id="95" w:name="_Ref166275546"/>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22</w:t>
      </w:r>
      <w:r w:rsidR="00BD1FC6" w:rsidRPr="00731632">
        <w:fldChar w:fldCharType="end"/>
      </w:r>
      <w:bookmarkEnd w:id="95"/>
      <w:r w:rsidRPr="00731632">
        <w:t>: Sensitivity analyses applied during the evaluation</w:t>
      </w:r>
    </w:p>
    <w:tbl>
      <w:tblPr>
        <w:tblStyle w:val="TableGrid"/>
        <w:tblW w:w="5000" w:type="pct"/>
        <w:tblLook w:val="04A0" w:firstRow="1" w:lastRow="0" w:firstColumn="1" w:lastColumn="0" w:noHBand="0" w:noVBand="1"/>
        <w:tblCaption w:val="Table 22: Sensitivity analyses applied during the evaluation"/>
      </w:tblPr>
      <w:tblGrid>
        <w:gridCol w:w="645"/>
        <w:gridCol w:w="3951"/>
        <w:gridCol w:w="1137"/>
        <w:gridCol w:w="1137"/>
        <w:gridCol w:w="891"/>
        <w:gridCol w:w="1256"/>
      </w:tblGrid>
      <w:tr w:rsidR="00B67E00" w:rsidRPr="00731632" w14:paraId="5A340AD7" w14:textId="77777777" w:rsidTr="00B67E00">
        <w:tc>
          <w:tcPr>
            <w:tcW w:w="312" w:type="pct"/>
            <w:vAlign w:val="center"/>
          </w:tcPr>
          <w:p w14:paraId="5464D811" w14:textId="77777777" w:rsidR="00EE2FBE" w:rsidRPr="00731632" w:rsidRDefault="00EE2FBE" w:rsidP="00266A98">
            <w:pPr>
              <w:keepNext/>
              <w:keepLines/>
              <w:rPr>
                <w:rFonts w:ascii="Arial Narrow" w:hAnsi="Arial Narrow"/>
                <w:b/>
                <w:bCs/>
                <w:iCs/>
                <w:sz w:val="20"/>
                <w:szCs w:val="20"/>
              </w:rPr>
            </w:pPr>
            <w:bookmarkStart w:id="96" w:name="_Hlk169823485"/>
            <w:r w:rsidRPr="00731632">
              <w:rPr>
                <w:rFonts w:ascii="Arial Narrow" w:hAnsi="Arial Narrow" w:cs="Calibri"/>
                <w:b/>
                <w:bCs/>
                <w:iCs/>
                <w:color w:val="000000"/>
                <w:sz w:val="20"/>
                <w:szCs w:val="20"/>
              </w:rPr>
              <w:t>SA#</w:t>
            </w:r>
          </w:p>
        </w:tc>
        <w:tc>
          <w:tcPr>
            <w:tcW w:w="2214" w:type="pct"/>
            <w:vAlign w:val="center"/>
          </w:tcPr>
          <w:p w14:paraId="3BC1F924" w14:textId="77777777" w:rsidR="00EE2FBE" w:rsidRPr="00731632" w:rsidRDefault="00EE2FBE" w:rsidP="00B67E00">
            <w:pPr>
              <w:keepNext/>
              <w:keepLines/>
              <w:jc w:val="center"/>
              <w:rPr>
                <w:rFonts w:ascii="Arial Narrow" w:hAnsi="Arial Narrow"/>
                <w:b/>
                <w:bCs/>
                <w:iCs/>
                <w:sz w:val="20"/>
                <w:szCs w:val="20"/>
              </w:rPr>
            </w:pPr>
            <w:r w:rsidRPr="00731632">
              <w:rPr>
                <w:rFonts w:ascii="Arial Narrow" w:hAnsi="Arial Narrow" w:cs="Calibri"/>
                <w:b/>
                <w:bCs/>
                <w:iCs/>
                <w:color w:val="000000"/>
                <w:sz w:val="20"/>
                <w:szCs w:val="20"/>
              </w:rPr>
              <w:t>Sensitivity analyses</w:t>
            </w:r>
          </w:p>
        </w:tc>
        <w:tc>
          <w:tcPr>
            <w:tcW w:w="630" w:type="pct"/>
            <w:tcBorders>
              <w:bottom w:val="single" w:sz="4" w:space="0" w:color="auto"/>
            </w:tcBorders>
            <w:vAlign w:val="center"/>
          </w:tcPr>
          <w:p w14:paraId="1B7FA250" w14:textId="66A83ABF" w:rsidR="00EE2FBE" w:rsidRPr="00731632" w:rsidRDefault="00EE2FBE" w:rsidP="00B67E00">
            <w:pPr>
              <w:keepNext/>
              <w:keepLines/>
              <w:jc w:val="center"/>
              <w:rPr>
                <w:rFonts w:ascii="Arial Narrow" w:hAnsi="Arial Narrow"/>
                <w:b/>
                <w:bCs/>
                <w:iCs/>
                <w:sz w:val="20"/>
                <w:szCs w:val="20"/>
              </w:rPr>
            </w:pPr>
            <w:r w:rsidRPr="00731632">
              <w:rPr>
                <w:rFonts w:ascii="Arial Narrow" w:hAnsi="Arial Narrow" w:cs="Calibri"/>
                <w:b/>
                <w:bCs/>
                <w:iCs/>
                <w:color w:val="000000"/>
                <w:sz w:val="20"/>
                <w:szCs w:val="20"/>
              </w:rPr>
              <w:t>Incremental cost</w:t>
            </w:r>
            <w:r w:rsidR="00EB53FC">
              <w:rPr>
                <w:rFonts w:ascii="Arial Narrow" w:hAnsi="Arial Narrow" w:cs="Calibri"/>
                <w:b/>
                <w:bCs/>
                <w:iCs/>
                <w:color w:val="000000"/>
                <w:sz w:val="20"/>
                <w:szCs w:val="20"/>
              </w:rPr>
              <w:t xml:space="preserve"> ($)</w:t>
            </w:r>
          </w:p>
        </w:tc>
        <w:tc>
          <w:tcPr>
            <w:tcW w:w="630" w:type="pct"/>
            <w:vAlign w:val="center"/>
          </w:tcPr>
          <w:p w14:paraId="0A828E70" w14:textId="77777777" w:rsidR="00EE2FBE" w:rsidRPr="00731632" w:rsidRDefault="00EE2FBE" w:rsidP="00B67E00">
            <w:pPr>
              <w:keepNext/>
              <w:keepLines/>
              <w:jc w:val="center"/>
              <w:rPr>
                <w:rFonts w:ascii="Arial Narrow" w:hAnsi="Arial Narrow"/>
                <w:b/>
                <w:bCs/>
                <w:iCs/>
                <w:sz w:val="20"/>
                <w:szCs w:val="20"/>
              </w:rPr>
            </w:pPr>
            <w:r w:rsidRPr="00731632">
              <w:rPr>
                <w:rFonts w:ascii="Arial Narrow" w:hAnsi="Arial Narrow" w:cs="Calibri"/>
                <w:b/>
                <w:bCs/>
                <w:iCs/>
                <w:color w:val="000000"/>
                <w:sz w:val="20"/>
                <w:szCs w:val="20"/>
              </w:rPr>
              <w:t>Incremental QALY</w:t>
            </w:r>
          </w:p>
        </w:tc>
        <w:tc>
          <w:tcPr>
            <w:tcW w:w="494" w:type="pct"/>
            <w:vAlign w:val="center"/>
          </w:tcPr>
          <w:p w14:paraId="4D9F1B14" w14:textId="77777777" w:rsidR="00EE2FBE" w:rsidRPr="00731632" w:rsidRDefault="00EE2FBE" w:rsidP="00B67E00">
            <w:pPr>
              <w:keepNext/>
              <w:keepLines/>
              <w:jc w:val="center"/>
              <w:rPr>
                <w:rFonts w:ascii="Arial Narrow" w:hAnsi="Arial Narrow"/>
                <w:b/>
                <w:bCs/>
                <w:iCs/>
                <w:sz w:val="20"/>
                <w:szCs w:val="20"/>
              </w:rPr>
            </w:pPr>
            <w:r w:rsidRPr="00731632">
              <w:rPr>
                <w:rFonts w:ascii="Arial Narrow" w:hAnsi="Arial Narrow" w:cs="Calibri"/>
                <w:b/>
                <w:bCs/>
                <w:iCs/>
                <w:color w:val="000000"/>
                <w:sz w:val="20"/>
                <w:szCs w:val="20"/>
              </w:rPr>
              <w:t>ICER</w:t>
            </w:r>
          </w:p>
        </w:tc>
        <w:tc>
          <w:tcPr>
            <w:tcW w:w="719" w:type="pct"/>
            <w:vAlign w:val="center"/>
          </w:tcPr>
          <w:p w14:paraId="6BDEB78A" w14:textId="77777777" w:rsidR="00EE2FBE" w:rsidRPr="00731632" w:rsidRDefault="00EE2FBE" w:rsidP="00B67E00">
            <w:pPr>
              <w:keepNext/>
              <w:keepLines/>
              <w:jc w:val="center"/>
              <w:rPr>
                <w:rFonts w:ascii="Arial Narrow" w:hAnsi="Arial Narrow"/>
                <w:b/>
                <w:bCs/>
                <w:iCs/>
                <w:sz w:val="20"/>
                <w:szCs w:val="20"/>
              </w:rPr>
            </w:pPr>
            <w:r w:rsidRPr="00731632">
              <w:rPr>
                <w:rFonts w:ascii="Arial Narrow" w:hAnsi="Arial Narrow" w:cs="Calibri"/>
                <w:b/>
                <w:bCs/>
                <w:iCs/>
                <w:color w:val="000000"/>
                <w:sz w:val="20"/>
                <w:szCs w:val="20"/>
              </w:rPr>
              <w:t>Change from base case</w:t>
            </w:r>
          </w:p>
        </w:tc>
      </w:tr>
      <w:tr w:rsidR="00B67E00" w:rsidRPr="00731632" w14:paraId="740D2FC2" w14:textId="77777777" w:rsidTr="00B67E00">
        <w:tc>
          <w:tcPr>
            <w:tcW w:w="312" w:type="pct"/>
            <w:vAlign w:val="bottom"/>
          </w:tcPr>
          <w:p w14:paraId="1990AE8D" w14:textId="77777777" w:rsidR="00EE2FBE" w:rsidRPr="00731632" w:rsidRDefault="00EE2FBE" w:rsidP="00266A98">
            <w:pPr>
              <w:keepNext/>
              <w:keepLines/>
              <w:rPr>
                <w:rFonts w:ascii="Arial Narrow" w:hAnsi="Arial Narrow"/>
                <w:iCs/>
                <w:sz w:val="20"/>
                <w:szCs w:val="20"/>
              </w:rPr>
            </w:pPr>
          </w:p>
        </w:tc>
        <w:tc>
          <w:tcPr>
            <w:tcW w:w="2214" w:type="pct"/>
            <w:vAlign w:val="bottom"/>
          </w:tcPr>
          <w:p w14:paraId="5E8525E5" w14:textId="77777777"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Base case</w:t>
            </w:r>
          </w:p>
        </w:tc>
        <w:tc>
          <w:tcPr>
            <w:tcW w:w="630" w:type="pct"/>
            <w:tcBorders>
              <w:bottom w:val="single" w:sz="4" w:space="0" w:color="auto"/>
            </w:tcBorders>
            <w:shd w:val="solid" w:color="000000" w:fill="000000"/>
            <w:vAlign w:val="bottom"/>
          </w:tcPr>
          <w:p w14:paraId="350BB7C1" w14:textId="796CEBEF" w:rsidR="00EE2FBE" w:rsidRPr="009A482D" w:rsidRDefault="009F6D97" w:rsidP="00266A98">
            <w:pPr>
              <w:keepNext/>
              <w:keepLines/>
              <w:rPr>
                <w:rFonts w:ascii="Arial Narrow" w:hAnsi="Arial Narrow"/>
                <w:iCs/>
                <w:sz w:val="20"/>
                <w:szCs w:val="20"/>
                <w:highlight w:val="lightGray"/>
              </w:rPr>
            </w:pPr>
            <w:r w:rsidRPr="003E1422">
              <w:rPr>
                <w:rFonts w:ascii="Arial Narrow" w:hAnsi="Arial Narrow" w:cs="Calibri"/>
                <w:iCs/>
                <w:color w:val="000000"/>
                <w:spacing w:val="9"/>
                <w:sz w:val="20"/>
                <w:szCs w:val="20"/>
                <w:fitText w:val="310" w:id="-893211135"/>
                <w14:textFill>
                  <w14:solidFill>
                    <w14:srgbClr w14:val="000000">
                      <w14:alpha w14:val="100000"/>
                    </w14:srgbClr>
                  </w14:solidFill>
                </w14:textFill>
              </w:rPr>
              <w:t>||  |</w:t>
            </w:r>
            <w:r w:rsidRPr="003E1422">
              <w:rPr>
                <w:rFonts w:ascii="Arial Narrow" w:hAnsi="Arial Narrow" w:cs="Calibri"/>
                <w:iCs/>
                <w:color w:val="000000"/>
                <w:spacing w:val="4"/>
                <w:sz w:val="20"/>
                <w:szCs w:val="20"/>
                <w:fitText w:val="310" w:id="-893211135"/>
                <w14:textFill>
                  <w14:solidFill>
                    <w14:srgbClr w14:val="000000">
                      <w14:alpha w14:val="100000"/>
                    </w14:srgbClr>
                  </w14:solidFill>
                </w14:textFill>
              </w:rPr>
              <w:t>|</w:t>
            </w:r>
          </w:p>
        </w:tc>
        <w:tc>
          <w:tcPr>
            <w:tcW w:w="630" w:type="pct"/>
            <w:vAlign w:val="center"/>
          </w:tcPr>
          <w:p w14:paraId="1D9540BB"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936</w:t>
            </w:r>
          </w:p>
        </w:tc>
        <w:tc>
          <w:tcPr>
            <w:tcW w:w="494" w:type="pct"/>
            <w:vAlign w:val="bottom"/>
          </w:tcPr>
          <w:p w14:paraId="01E102B4" w14:textId="09EE2464" w:rsidR="00EE2FBE" w:rsidRPr="009A482D" w:rsidRDefault="009F6D97" w:rsidP="00266A98">
            <w:pPr>
              <w:keepNext/>
              <w:keepLines/>
              <w:rPr>
                <w:rFonts w:ascii="Arial Narrow" w:hAnsi="Arial Narrow"/>
                <w:iCs/>
                <w:sz w:val="20"/>
                <w:szCs w:val="20"/>
                <w:highlight w:val="lightGray"/>
              </w:rPr>
            </w:pPr>
            <w:r w:rsidRPr="0021604F">
              <w:rPr>
                <w:rFonts w:ascii="Arial Narrow" w:hAnsi="Arial Narrow" w:cs="Calibri"/>
                <w:iCs/>
                <w:color w:val="000000"/>
                <w:spacing w:val="9"/>
                <w:sz w:val="20"/>
                <w:szCs w:val="20"/>
                <w:shd w:val="solid" w:color="000000" w:fill="000000"/>
                <w:fitText w:val="310" w:id="-893211134"/>
                <w14:textFill>
                  <w14:solidFill>
                    <w14:srgbClr w14:val="000000">
                      <w14:alpha w14:val="100000"/>
                    </w14:srgbClr>
                  </w14:solidFill>
                </w14:textFill>
              </w:rPr>
              <w:t>||  |</w:t>
            </w:r>
            <w:r w:rsidRPr="0021604F">
              <w:rPr>
                <w:rFonts w:ascii="Arial Narrow" w:hAnsi="Arial Narrow" w:cs="Calibri"/>
                <w:iCs/>
                <w:color w:val="000000"/>
                <w:spacing w:val="4"/>
                <w:sz w:val="20"/>
                <w:szCs w:val="20"/>
                <w:shd w:val="solid" w:color="000000" w:fill="000000"/>
                <w:fitText w:val="310" w:id="-893211134"/>
                <w14:textFill>
                  <w14:solidFill>
                    <w14:srgbClr w14:val="000000">
                      <w14:alpha w14:val="100000"/>
                    </w14:srgbClr>
                  </w14:solidFill>
                </w14:textFill>
              </w:rPr>
              <w:t>|</w:t>
            </w:r>
            <w:r w:rsidR="008E291D" w:rsidRPr="009A482D">
              <w:rPr>
                <w:rFonts w:ascii="Arial Narrow" w:hAnsi="Arial Narrow" w:cs="Calibri"/>
                <w:iCs/>
                <w:color w:val="000000"/>
                <w:sz w:val="20"/>
                <w:szCs w:val="20"/>
                <w:vertAlign w:val="superscript"/>
              </w:rPr>
              <w:t>1</w:t>
            </w:r>
          </w:p>
        </w:tc>
        <w:tc>
          <w:tcPr>
            <w:tcW w:w="719" w:type="pct"/>
            <w:vAlign w:val="bottom"/>
          </w:tcPr>
          <w:p w14:paraId="303172C8" w14:textId="77777777" w:rsidR="00EE2FBE" w:rsidRPr="00731632" w:rsidRDefault="00EE2FBE" w:rsidP="00266A98">
            <w:pPr>
              <w:keepNext/>
              <w:keepLines/>
              <w:rPr>
                <w:rFonts w:ascii="Arial Narrow" w:hAnsi="Arial Narrow"/>
                <w:iCs/>
                <w:sz w:val="20"/>
                <w:szCs w:val="20"/>
              </w:rPr>
            </w:pPr>
            <w:r w:rsidRPr="00731632">
              <w:rPr>
                <w:rFonts w:ascii="Arial Narrow" w:hAnsi="Arial Narrow"/>
                <w:iCs/>
                <w:sz w:val="20"/>
                <w:szCs w:val="20"/>
              </w:rPr>
              <w:t>-</w:t>
            </w:r>
          </w:p>
        </w:tc>
      </w:tr>
      <w:bookmarkEnd w:id="96"/>
      <w:tr w:rsidR="00B67E00" w:rsidRPr="00731632" w14:paraId="15113239" w14:textId="77777777" w:rsidTr="00B67E00">
        <w:tc>
          <w:tcPr>
            <w:tcW w:w="312" w:type="pct"/>
            <w:vAlign w:val="bottom"/>
          </w:tcPr>
          <w:p w14:paraId="38EE12CC" w14:textId="77777777" w:rsidR="00EE2FBE" w:rsidRPr="00731632" w:rsidRDefault="00EE2FBE" w:rsidP="00266A98">
            <w:pPr>
              <w:keepNext/>
              <w:keepLines/>
              <w:rPr>
                <w:rFonts w:ascii="Arial Narrow" w:hAnsi="Arial Narrow"/>
                <w:iCs/>
                <w:sz w:val="20"/>
                <w:szCs w:val="20"/>
              </w:rPr>
            </w:pPr>
          </w:p>
        </w:tc>
        <w:tc>
          <w:tcPr>
            <w:tcW w:w="2214" w:type="pct"/>
            <w:vAlign w:val="bottom"/>
          </w:tcPr>
          <w:p w14:paraId="2053F68D" w14:textId="77777777"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Corrected base case</w:t>
            </w:r>
          </w:p>
        </w:tc>
        <w:tc>
          <w:tcPr>
            <w:tcW w:w="630" w:type="pct"/>
            <w:shd w:val="solid" w:color="000000" w:fill="000000"/>
            <w:vAlign w:val="bottom"/>
          </w:tcPr>
          <w:p w14:paraId="50263BEA" w14:textId="1747C7AC" w:rsidR="00EE2FBE" w:rsidRPr="009A482D" w:rsidRDefault="009F6D97" w:rsidP="00266A98">
            <w:pPr>
              <w:keepNext/>
              <w:keepLines/>
              <w:rPr>
                <w:rFonts w:ascii="Arial Narrow" w:hAnsi="Arial Narrow"/>
                <w:iCs/>
                <w:sz w:val="20"/>
                <w:szCs w:val="20"/>
                <w:highlight w:val="lightGray"/>
              </w:rPr>
            </w:pPr>
            <w:r w:rsidRPr="009F6D97">
              <w:rPr>
                <w:rFonts w:ascii="Arial Narrow" w:hAnsi="Arial Narrow" w:cs="Calibri"/>
                <w:iCs/>
                <w:color w:val="000000"/>
                <w:spacing w:val="9"/>
                <w:sz w:val="20"/>
                <w:szCs w:val="20"/>
                <w:fitText w:val="310" w:id="-893211133"/>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3"/>
                <w14:textFill>
                  <w14:solidFill>
                    <w14:srgbClr w14:val="000000">
                      <w14:alpha w14:val="100000"/>
                    </w14:srgbClr>
                  </w14:solidFill>
                </w14:textFill>
              </w:rPr>
              <w:t>|</w:t>
            </w:r>
          </w:p>
        </w:tc>
        <w:tc>
          <w:tcPr>
            <w:tcW w:w="630" w:type="pct"/>
            <w:vAlign w:val="center"/>
          </w:tcPr>
          <w:p w14:paraId="65D55ECA"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936</w:t>
            </w:r>
          </w:p>
        </w:tc>
        <w:tc>
          <w:tcPr>
            <w:tcW w:w="494" w:type="pct"/>
            <w:vAlign w:val="bottom"/>
          </w:tcPr>
          <w:p w14:paraId="45A262F8" w14:textId="20C0DDD3" w:rsidR="00EE2FBE" w:rsidRPr="009A482D" w:rsidRDefault="009F6D97" w:rsidP="00266A98">
            <w:pPr>
              <w:keepNext/>
              <w:keepLines/>
              <w:rPr>
                <w:rFonts w:ascii="Arial Narrow" w:hAnsi="Arial Narrow"/>
                <w:iCs/>
                <w:sz w:val="20"/>
                <w:szCs w:val="20"/>
                <w:highlight w:val="lightGray"/>
              </w:rPr>
            </w:pPr>
            <w:r w:rsidRPr="009F6D97">
              <w:rPr>
                <w:rFonts w:ascii="Arial Narrow" w:hAnsi="Arial Narrow" w:cs="Calibri"/>
                <w:iCs/>
                <w:color w:val="000000"/>
                <w:spacing w:val="9"/>
                <w:sz w:val="20"/>
                <w:szCs w:val="20"/>
                <w:shd w:val="solid" w:color="000000" w:fill="000000"/>
                <w:fitText w:val="310" w:id="-893211132"/>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2"/>
                <w14:textFill>
                  <w14:solidFill>
                    <w14:srgbClr w14:val="000000">
                      <w14:alpha w14:val="100000"/>
                    </w14:srgbClr>
                  </w14:solidFill>
                </w14:textFill>
              </w:rPr>
              <w:t>|</w:t>
            </w:r>
            <w:r w:rsidR="006A49DA" w:rsidRPr="005C269B">
              <w:rPr>
                <w:rFonts w:ascii="Arial Narrow" w:hAnsi="Arial Narrow" w:cs="Calibri"/>
                <w:iCs/>
                <w:color w:val="000000"/>
                <w:sz w:val="20"/>
                <w:szCs w:val="20"/>
                <w:vertAlign w:val="superscript"/>
              </w:rPr>
              <w:t>1</w:t>
            </w:r>
          </w:p>
        </w:tc>
        <w:tc>
          <w:tcPr>
            <w:tcW w:w="719" w:type="pct"/>
            <w:vAlign w:val="bottom"/>
          </w:tcPr>
          <w:p w14:paraId="01BB9A0A" w14:textId="2410E86D" w:rsidR="00EE2FBE" w:rsidRPr="003E0927" w:rsidRDefault="009F6D97" w:rsidP="00266A98">
            <w:pPr>
              <w:keepNext/>
              <w:keepLines/>
              <w:rPr>
                <w:rFonts w:ascii="Arial Narrow" w:hAnsi="Arial Narrow"/>
                <w:iCs/>
                <w:sz w:val="20"/>
                <w:szCs w:val="20"/>
              </w:rPr>
            </w:pPr>
            <w:r w:rsidRPr="009F6D97">
              <w:rPr>
                <w:rFonts w:ascii="Arial Narrow" w:hAnsi="Arial Narrow"/>
                <w:iCs/>
                <w:color w:val="000000"/>
                <w:spacing w:val="9"/>
                <w:sz w:val="20"/>
                <w:szCs w:val="20"/>
                <w:shd w:val="solid" w:color="000000" w:fill="000000"/>
                <w:fitText w:val="310" w:id="-893211131"/>
                <w14:textFill>
                  <w14:solidFill>
                    <w14:srgbClr w14:val="000000">
                      <w14:alpha w14:val="100000"/>
                    </w14:srgbClr>
                  </w14:solidFill>
                </w14:textFill>
              </w:rPr>
              <w:t>||  |</w:t>
            </w:r>
            <w:r w:rsidRPr="009F6D97">
              <w:rPr>
                <w:rFonts w:ascii="Arial Narrow" w:hAnsi="Arial Narrow"/>
                <w:iCs/>
                <w:color w:val="000000"/>
                <w:spacing w:val="4"/>
                <w:sz w:val="20"/>
                <w:szCs w:val="20"/>
                <w:shd w:val="solid" w:color="000000" w:fill="000000"/>
                <w:fitText w:val="310" w:id="-893211131"/>
                <w14:textFill>
                  <w14:solidFill>
                    <w14:srgbClr w14:val="000000">
                      <w14:alpha w14:val="100000"/>
                    </w14:srgbClr>
                  </w14:solidFill>
                </w14:textFill>
              </w:rPr>
              <w:t>|</w:t>
            </w:r>
            <w:r w:rsidR="00EE2FBE" w:rsidRPr="009A482D">
              <w:rPr>
                <w:rFonts w:ascii="Arial Narrow" w:hAnsi="Arial Narrow"/>
                <w:iCs/>
                <w:sz w:val="20"/>
                <w:szCs w:val="20"/>
              </w:rPr>
              <w:t>%</w:t>
            </w:r>
          </w:p>
        </w:tc>
      </w:tr>
      <w:tr w:rsidR="00EE2FBE" w:rsidRPr="00731632" w14:paraId="4F3220ED" w14:textId="77777777" w:rsidTr="00B67E00">
        <w:tc>
          <w:tcPr>
            <w:tcW w:w="312" w:type="pct"/>
            <w:vAlign w:val="bottom"/>
          </w:tcPr>
          <w:p w14:paraId="4FC07E37" w14:textId="77777777" w:rsidR="00EE2FBE" w:rsidRPr="00731632" w:rsidRDefault="00EE2FBE" w:rsidP="00266A98">
            <w:pPr>
              <w:keepNext/>
              <w:keepLines/>
              <w:rPr>
                <w:rFonts w:ascii="Arial Narrow" w:hAnsi="Arial Narrow"/>
                <w:iCs/>
                <w:sz w:val="20"/>
                <w:szCs w:val="20"/>
              </w:rPr>
            </w:pPr>
          </w:p>
        </w:tc>
        <w:tc>
          <w:tcPr>
            <w:tcW w:w="4688" w:type="pct"/>
            <w:gridSpan w:val="5"/>
            <w:vAlign w:val="bottom"/>
          </w:tcPr>
          <w:p w14:paraId="26B6D5BB" w14:textId="2E342BFA" w:rsidR="00EE2FBE" w:rsidRPr="00731632" w:rsidRDefault="00EE2FBE" w:rsidP="00985A6C">
            <w:pPr>
              <w:keepNext/>
              <w:keepLines/>
              <w:jc w:val="left"/>
              <w:rPr>
                <w:rFonts w:ascii="Arial Narrow" w:hAnsi="Arial Narrow"/>
                <w:b/>
                <w:bCs/>
                <w:iCs/>
                <w:sz w:val="20"/>
                <w:szCs w:val="20"/>
              </w:rPr>
            </w:pPr>
            <w:r w:rsidRPr="00731632">
              <w:rPr>
                <w:rFonts w:ascii="Arial Narrow" w:hAnsi="Arial Narrow" w:cs="Calibri"/>
                <w:b/>
                <w:bCs/>
                <w:iCs/>
                <w:color w:val="000000"/>
                <w:sz w:val="20"/>
                <w:szCs w:val="20"/>
              </w:rPr>
              <w:t xml:space="preserve">Incidence of </w:t>
            </w:r>
            <w:r w:rsidR="0052781F" w:rsidRPr="00731632">
              <w:rPr>
                <w:rFonts w:ascii="Arial Narrow" w:hAnsi="Arial Narrow" w:cs="Calibri"/>
                <w:b/>
                <w:bCs/>
                <w:iCs/>
                <w:color w:val="000000"/>
                <w:sz w:val="20"/>
                <w:szCs w:val="20"/>
              </w:rPr>
              <w:t>MA RSV</w:t>
            </w:r>
            <w:r w:rsidRPr="00731632">
              <w:rPr>
                <w:rFonts w:ascii="Arial Narrow" w:hAnsi="Arial Narrow" w:cs="Calibri"/>
                <w:b/>
                <w:bCs/>
                <w:iCs/>
                <w:color w:val="000000"/>
                <w:sz w:val="20"/>
                <w:szCs w:val="20"/>
              </w:rPr>
              <w:t xml:space="preserve"> cases (base case = 10.8%)</w:t>
            </w:r>
          </w:p>
        </w:tc>
      </w:tr>
      <w:tr w:rsidR="00B67E00" w:rsidRPr="00731632" w14:paraId="57068354" w14:textId="77777777" w:rsidTr="00B67E00">
        <w:tc>
          <w:tcPr>
            <w:tcW w:w="312" w:type="pct"/>
            <w:vAlign w:val="bottom"/>
          </w:tcPr>
          <w:p w14:paraId="51261490" w14:textId="77777777" w:rsidR="00EE2FBE" w:rsidRPr="00731632" w:rsidRDefault="00EE2FBE" w:rsidP="00266A98">
            <w:pPr>
              <w:keepNext/>
              <w:keepLines/>
              <w:rPr>
                <w:rFonts w:ascii="Arial Narrow" w:hAnsi="Arial Narrow"/>
                <w:iCs/>
                <w:sz w:val="20"/>
                <w:szCs w:val="20"/>
              </w:rPr>
            </w:pPr>
            <w:r w:rsidRPr="00731632">
              <w:rPr>
                <w:rFonts w:ascii="Arial Narrow" w:hAnsi="Arial Narrow" w:cs="Calibri"/>
                <w:iCs/>
                <w:color w:val="000000"/>
                <w:sz w:val="20"/>
                <w:szCs w:val="20"/>
              </w:rPr>
              <w:t>3</w:t>
            </w:r>
          </w:p>
        </w:tc>
        <w:tc>
          <w:tcPr>
            <w:tcW w:w="2214" w:type="pct"/>
            <w:vAlign w:val="bottom"/>
          </w:tcPr>
          <w:p w14:paraId="3CEFCACE" w14:textId="77777777"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5% lower and hospitalisations proportionally lower</w:t>
            </w:r>
          </w:p>
        </w:tc>
        <w:tc>
          <w:tcPr>
            <w:tcW w:w="630" w:type="pct"/>
            <w:tcBorders>
              <w:bottom w:val="single" w:sz="4" w:space="0" w:color="auto"/>
            </w:tcBorders>
            <w:shd w:val="solid" w:color="000000" w:fill="000000"/>
            <w:vAlign w:val="bottom"/>
          </w:tcPr>
          <w:p w14:paraId="5644094A" w14:textId="38C52EE0"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fitText w:val="310" w:id="-893211130"/>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0"/>
                <w14:textFill>
                  <w14:solidFill>
                    <w14:srgbClr w14:val="000000">
                      <w14:alpha w14:val="100000"/>
                    </w14:srgbClr>
                  </w14:solidFill>
                </w14:textFill>
              </w:rPr>
              <w:t>|</w:t>
            </w:r>
          </w:p>
        </w:tc>
        <w:tc>
          <w:tcPr>
            <w:tcW w:w="630" w:type="pct"/>
            <w:vAlign w:val="center"/>
          </w:tcPr>
          <w:p w14:paraId="0B254E87"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890</w:t>
            </w:r>
          </w:p>
        </w:tc>
        <w:tc>
          <w:tcPr>
            <w:tcW w:w="494" w:type="pct"/>
            <w:vAlign w:val="bottom"/>
          </w:tcPr>
          <w:p w14:paraId="31424113" w14:textId="7DF86058"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9"/>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9"/>
                <w14:textFill>
                  <w14:solidFill>
                    <w14:srgbClr w14:val="000000">
                      <w14:alpha w14:val="100000"/>
                    </w14:srgbClr>
                  </w14:solidFill>
                </w14:textFill>
              </w:rPr>
              <w:t>|</w:t>
            </w:r>
            <w:r w:rsidR="00B53666" w:rsidRPr="009A482D">
              <w:rPr>
                <w:rFonts w:ascii="Arial Narrow" w:hAnsi="Arial Narrow" w:cs="Calibri"/>
                <w:iCs/>
                <w:color w:val="000000"/>
                <w:sz w:val="20"/>
                <w:szCs w:val="20"/>
                <w:vertAlign w:val="superscript"/>
              </w:rPr>
              <w:t>2</w:t>
            </w:r>
          </w:p>
        </w:tc>
        <w:tc>
          <w:tcPr>
            <w:tcW w:w="719" w:type="pct"/>
            <w:vAlign w:val="bottom"/>
          </w:tcPr>
          <w:p w14:paraId="55C739F0" w14:textId="6FC3B252" w:rsidR="00EE2FBE" w:rsidRPr="00BA352F" w:rsidRDefault="009F6D97" w:rsidP="00266A98">
            <w:pPr>
              <w:keepNext/>
              <w:keepLines/>
              <w:rPr>
                <w:rFonts w:ascii="Arial Narrow" w:hAnsi="Arial Narrow"/>
                <w:iCs/>
                <w:sz w:val="20"/>
                <w:szCs w:val="20"/>
                <w:highlight w:val="yellow"/>
              </w:rPr>
            </w:pPr>
            <w:r w:rsidRPr="009F6D97">
              <w:rPr>
                <w:rFonts w:ascii="Arial Narrow" w:hAnsi="Arial Narrow" w:cs="Calibri"/>
                <w:iCs/>
                <w:color w:val="000000"/>
                <w:spacing w:val="9"/>
                <w:sz w:val="20"/>
                <w:szCs w:val="20"/>
                <w:shd w:val="solid" w:color="000000" w:fill="000000"/>
                <w:fitText w:val="310" w:id="-893211128"/>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8"/>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B67E00" w:rsidRPr="00731632" w14:paraId="03676DA5" w14:textId="77777777" w:rsidTr="00B67E00">
        <w:tc>
          <w:tcPr>
            <w:tcW w:w="312" w:type="pct"/>
            <w:vAlign w:val="bottom"/>
          </w:tcPr>
          <w:p w14:paraId="2FE910DF" w14:textId="77777777" w:rsidR="00EE2FBE" w:rsidRPr="00731632" w:rsidRDefault="00EE2FBE" w:rsidP="00266A98">
            <w:pPr>
              <w:keepNext/>
              <w:keepLines/>
              <w:rPr>
                <w:rFonts w:ascii="Arial Narrow" w:hAnsi="Arial Narrow"/>
                <w:iCs/>
                <w:sz w:val="20"/>
                <w:szCs w:val="20"/>
              </w:rPr>
            </w:pPr>
            <w:r w:rsidRPr="00731632">
              <w:rPr>
                <w:rFonts w:ascii="Arial Narrow" w:hAnsi="Arial Narrow" w:cs="Calibri"/>
                <w:iCs/>
                <w:color w:val="000000"/>
                <w:sz w:val="20"/>
                <w:szCs w:val="20"/>
              </w:rPr>
              <w:t>4</w:t>
            </w:r>
          </w:p>
        </w:tc>
        <w:tc>
          <w:tcPr>
            <w:tcW w:w="2214" w:type="pct"/>
            <w:vAlign w:val="bottom"/>
          </w:tcPr>
          <w:p w14:paraId="1B390F4F" w14:textId="77777777"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5% higher and hospitalisations proportionally higher</w:t>
            </w:r>
          </w:p>
        </w:tc>
        <w:tc>
          <w:tcPr>
            <w:tcW w:w="630" w:type="pct"/>
            <w:shd w:val="solid" w:color="000000" w:fill="000000"/>
            <w:vAlign w:val="bottom"/>
          </w:tcPr>
          <w:p w14:paraId="770D0A6F" w14:textId="1214E2F0"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fitText w:val="310" w:id="-893211127"/>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7"/>
                <w14:textFill>
                  <w14:solidFill>
                    <w14:srgbClr w14:val="000000">
                      <w14:alpha w14:val="100000"/>
                    </w14:srgbClr>
                  </w14:solidFill>
                </w14:textFill>
              </w:rPr>
              <w:t>|</w:t>
            </w:r>
          </w:p>
        </w:tc>
        <w:tc>
          <w:tcPr>
            <w:tcW w:w="630" w:type="pct"/>
            <w:vAlign w:val="center"/>
          </w:tcPr>
          <w:p w14:paraId="4A564221"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981</w:t>
            </w:r>
          </w:p>
        </w:tc>
        <w:tc>
          <w:tcPr>
            <w:tcW w:w="494" w:type="pct"/>
            <w:vAlign w:val="bottom"/>
          </w:tcPr>
          <w:p w14:paraId="6A33C4ED" w14:textId="4099E089"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6"/>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6"/>
                <w14:textFill>
                  <w14:solidFill>
                    <w14:srgbClr w14:val="000000">
                      <w14:alpha w14:val="100000"/>
                    </w14:srgbClr>
                  </w14:solidFill>
                </w14:textFill>
              </w:rPr>
              <w:t>|</w:t>
            </w:r>
            <w:r w:rsidR="006A49DA" w:rsidRPr="005C269B">
              <w:rPr>
                <w:rFonts w:ascii="Arial Narrow" w:hAnsi="Arial Narrow" w:cs="Calibri"/>
                <w:iCs/>
                <w:color w:val="000000"/>
                <w:sz w:val="20"/>
                <w:szCs w:val="20"/>
                <w:vertAlign w:val="superscript"/>
              </w:rPr>
              <w:t>1</w:t>
            </w:r>
          </w:p>
        </w:tc>
        <w:tc>
          <w:tcPr>
            <w:tcW w:w="719" w:type="pct"/>
            <w:vAlign w:val="bottom"/>
          </w:tcPr>
          <w:p w14:paraId="5F16A93D" w14:textId="385927FA" w:rsidR="00EE2FBE" w:rsidRPr="00BA352F" w:rsidRDefault="00EE2FBE" w:rsidP="00266A98">
            <w:pPr>
              <w:keepNext/>
              <w:keepLines/>
              <w:rPr>
                <w:rFonts w:ascii="Arial Narrow" w:hAnsi="Arial Narrow"/>
                <w:iCs/>
                <w:sz w:val="20"/>
                <w:szCs w:val="20"/>
                <w:highlight w:val="yellow"/>
              </w:rPr>
            </w:pPr>
            <w:r w:rsidRPr="009A482D">
              <w:rPr>
                <w:rFonts w:ascii="Arial Narrow" w:hAnsi="Arial Narrow" w:cs="Calibri"/>
                <w:iCs/>
                <w:color w:val="000000"/>
                <w:sz w:val="20"/>
                <w:szCs w:val="20"/>
              </w:rPr>
              <w:t>-</w:t>
            </w:r>
            <w:r w:rsidR="009F6D97" w:rsidRPr="009F6D97">
              <w:rPr>
                <w:rFonts w:ascii="Arial Narrow" w:hAnsi="Arial Narrow" w:cs="Calibri"/>
                <w:iCs/>
                <w:color w:val="000000"/>
                <w:spacing w:val="9"/>
                <w:sz w:val="20"/>
                <w:szCs w:val="20"/>
                <w:shd w:val="solid" w:color="000000" w:fill="000000"/>
                <w:fitText w:val="310" w:id="-893211125"/>
                <w14:textFill>
                  <w14:solidFill>
                    <w14:srgbClr w14:val="000000">
                      <w14:alpha w14:val="100000"/>
                    </w14:srgbClr>
                  </w14:solidFill>
                </w14:textFill>
              </w:rPr>
              <w:t>||  |</w:t>
            </w:r>
            <w:r w:rsidR="009F6D97" w:rsidRPr="009F6D97">
              <w:rPr>
                <w:rFonts w:ascii="Arial Narrow" w:hAnsi="Arial Narrow" w:cs="Calibri"/>
                <w:iCs/>
                <w:color w:val="000000"/>
                <w:spacing w:val="4"/>
                <w:sz w:val="20"/>
                <w:szCs w:val="20"/>
                <w:shd w:val="solid" w:color="000000" w:fill="000000"/>
                <w:fitText w:val="310" w:id="-893211125"/>
                <w14:textFill>
                  <w14:solidFill>
                    <w14:srgbClr w14:val="000000">
                      <w14:alpha w14:val="100000"/>
                    </w14:srgbClr>
                  </w14:solidFill>
                </w14:textFill>
              </w:rPr>
              <w:t>|</w:t>
            </w:r>
            <w:r w:rsidRPr="009A482D">
              <w:rPr>
                <w:rFonts w:ascii="Arial Narrow" w:hAnsi="Arial Narrow" w:cs="Calibri"/>
                <w:iCs/>
                <w:color w:val="000000"/>
                <w:sz w:val="20"/>
                <w:szCs w:val="20"/>
              </w:rPr>
              <w:t>%</w:t>
            </w:r>
          </w:p>
        </w:tc>
      </w:tr>
      <w:tr w:rsidR="00EE2FBE" w:rsidRPr="00731632" w14:paraId="19DEA765" w14:textId="77777777" w:rsidTr="00B67E00">
        <w:tc>
          <w:tcPr>
            <w:tcW w:w="312" w:type="pct"/>
            <w:vAlign w:val="bottom"/>
          </w:tcPr>
          <w:p w14:paraId="31E5F64F" w14:textId="77777777" w:rsidR="00EE2FBE" w:rsidRPr="00731632" w:rsidRDefault="00EE2FBE" w:rsidP="00266A98">
            <w:pPr>
              <w:keepNext/>
              <w:keepLines/>
              <w:rPr>
                <w:rFonts w:ascii="Arial Narrow" w:hAnsi="Arial Narrow"/>
                <w:iCs/>
                <w:sz w:val="20"/>
                <w:szCs w:val="20"/>
              </w:rPr>
            </w:pPr>
          </w:p>
        </w:tc>
        <w:tc>
          <w:tcPr>
            <w:tcW w:w="4688" w:type="pct"/>
            <w:gridSpan w:val="5"/>
            <w:vAlign w:val="bottom"/>
          </w:tcPr>
          <w:p w14:paraId="5E270459" w14:textId="2287E83E" w:rsidR="00EE2FBE" w:rsidRPr="00731632" w:rsidRDefault="00EE2FBE" w:rsidP="00985A6C">
            <w:pPr>
              <w:keepNext/>
              <w:keepLines/>
              <w:jc w:val="left"/>
              <w:rPr>
                <w:rFonts w:ascii="Arial Narrow" w:hAnsi="Arial Narrow"/>
                <w:b/>
                <w:bCs/>
                <w:iCs/>
                <w:sz w:val="20"/>
                <w:szCs w:val="20"/>
              </w:rPr>
            </w:pPr>
            <w:r w:rsidRPr="00731632">
              <w:rPr>
                <w:rFonts w:ascii="Arial Narrow" w:hAnsi="Arial Narrow" w:cs="Calibri"/>
                <w:b/>
                <w:bCs/>
                <w:iCs/>
                <w:color w:val="000000"/>
                <w:sz w:val="20"/>
                <w:szCs w:val="20"/>
              </w:rPr>
              <w:t xml:space="preserve">Nirsevimab effectiveness (base case = avoid 79.5% of </w:t>
            </w:r>
            <w:r w:rsidR="0052781F" w:rsidRPr="00731632">
              <w:rPr>
                <w:rFonts w:ascii="Arial Narrow" w:hAnsi="Arial Narrow" w:cs="Calibri"/>
                <w:b/>
                <w:bCs/>
                <w:iCs/>
                <w:color w:val="000000"/>
                <w:sz w:val="20"/>
                <w:szCs w:val="20"/>
              </w:rPr>
              <w:t>MA RSV</w:t>
            </w:r>
            <w:r w:rsidRPr="00731632">
              <w:rPr>
                <w:rFonts w:ascii="Arial Narrow" w:hAnsi="Arial Narrow" w:cs="Calibri"/>
                <w:b/>
                <w:bCs/>
                <w:iCs/>
                <w:color w:val="000000"/>
                <w:sz w:val="20"/>
                <w:szCs w:val="20"/>
              </w:rPr>
              <w:t xml:space="preserve"> during period of protection)</w:t>
            </w:r>
          </w:p>
        </w:tc>
      </w:tr>
      <w:tr w:rsidR="00B67E00" w:rsidRPr="00731632" w14:paraId="6B7F44B5" w14:textId="77777777" w:rsidTr="00B67E00">
        <w:tc>
          <w:tcPr>
            <w:tcW w:w="312" w:type="pct"/>
            <w:vAlign w:val="bottom"/>
          </w:tcPr>
          <w:p w14:paraId="0DC89819" w14:textId="77777777" w:rsidR="00EE2FBE" w:rsidRPr="00731632" w:rsidRDefault="00EE2FBE" w:rsidP="00266A98">
            <w:pPr>
              <w:keepNext/>
              <w:keepLines/>
              <w:rPr>
                <w:rFonts w:ascii="Arial Narrow" w:hAnsi="Arial Narrow"/>
                <w:iCs/>
                <w:sz w:val="20"/>
                <w:szCs w:val="20"/>
              </w:rPr>
            </w:pPr>
            <w:r w:rsidRPr="00731632">
              <w:rPr>
                <w:rFonts w:ascii="Arial Narrow" w:hAnsi="Arial Narrow" w:cs="Calibri"/>
                <w:iCs/>
                <w:color w:val="000000"/>
                <w:sz w:val="20"/>
                <w:szCs w:val="20"/>
              </w:rPr>
              <w:t>6</w:t>
            </w:r>
          </w:p>
        </w:tc>
        <w:tc>
          <w:tcPr>
            <w:tcW w:w="2214" w:type="pct"/>
            <w:vAlign w:val="bottom"/>
          </w:tcPr>
          <w:p w14:paraId="637FB8B8" w14:textId="77777777"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74.5% effectiveness (ITT from MELODY)</w:t>
            </w:r>
          </w:p>
        </w:tc>
        <w:tc>
          <w:tcPr>
            <w:tcW w:w="630" w:type="pct"/>
            <w:tcBorders>
              <w:bottom w:val="single" w:sz="4" w:space="0" w:color="auto"/>
            </w:tcBorders>
            <w:shd w:val="solid" w:color="000000" w:fill="000000"/>
            <w:vAlign w:val="bottom"/>
          </w:tcPr>
          <w:p w14:paraId="35DE492E" w14:textId="0FE33E3A" w:rsidR="00EE2FBE" w:rsidRPr="009A482D" w:rsidRDefault="009F6D97" w:rsidP="00266A98">
            <w:pPr>
              <w:keepNext/>
              <w:keepLines/>
              <w:rPr>
                <w:rFonts w:ascii="Arial Narrow" w:hAnsi="Arial Narrow"/>
                <w:iCs/>
                <w:sz w:val="20"/>
                <w:szCs w:val="20"/>
                <w:highlight w:val="lightGray"/>
              </w:rPr>
            </w:pPr>
            <w:r w:rsidRPr="009F6D97">
              <w:rPr>
                <w:rFonts w:ascii="Arial Narrow" w:hAnsi="Arial Narrow" w:cs="Calibri"/>
                <w:iCs/>
                <w:color w:val="000000"/>
                <w:spacing w:val="9"/>
                <w:sz w:val="20"/>
                <w:szCs w:val="20"/>
                <w:fitText w:val="310" w:id="-893211124"/>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4"/>
                <w14:textFill>
                  <w14:solidFill>
                    <w14:srgbClr w14:val="000000">
                      <w14:alpha w14:val="100000"/>
                    </w14:srgbClr>
                  </w14:solidFill>
                </w14:textFill>
              </w:rPr>
              <w:t>|</w:t>
            </w:r>
          </w:p>
        </w:tc>
        <w:tc>
          <w:tcPr>
            <w:tcW w:w="630" w:type="pct"/>
            <w:vAlign w:val="center"/>
          </w:tcPr>
          <w:p w14:paraId="2BAA377D"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876</w:t>
            </w:r>
          </w:p>
        </w:tc>
        <w:tc>
          <w:tcPr>
            <w:tcW w:w="494" w:type="pct"/>
            <w:vAlign w:val="bottom"/>
          </w:tcPr>
          <w:p w14:paraId="3C1F7EB7" w14:textId="51E0E861" w:rsidR="00EE2FBE" w:rsidRPr="009A482D" w:rsidRDefault="009F6D97" w:rsidP="00266A98">
            <w:pPr>
              <w:keepNext/>
              <w:keepLines/>
              <w:rPr>
                <w:rFonts w:ascii="Arial Narrow" w:hAnsi="Arial Narrow"/>
                <w:iCs/>
                <w:sz w:val="20"/>
                <w:szCs w:val="20"/>
                <w:highlight w:val="lightGray"/>
              </w:rPr>
            </w:pPr>
            <w:r w:rsidRPr="009F6D97">
              <w:rPr>
                <w:rFonts w:ascii="Arial Narrow" w:hAnsi="Arial Narrow" w:cs="Calibri"/>
                <w:iCs/>
                <w:color w:val="000000"/>
                <w:spacing w:val="9"/>
                <w:sz w:val="20"/>
                <w:szCs w:val="20"/>
                <w:shd w:val="solid" w:color="000000" w:fill="000000"/>
                <w:fitText w:val="310" w:id="-893211123"/>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3"/>
                <w14:textFill>
                  <w14:solidFill>
                    <w14:srgbClr w14:val="000000">
                      <w14:alpha w14:val="100000"/>
                    </w14:srgbClr>
                  </w14:solidFill>
                </w14:textFill>
              </w:rPr>
              <w:t>|</w:t>
            </w:r>
            <w:r w:rsidR="00036E82" w:rsidRPr="005C269B">
              <w:rPr>
                <w:rFonts w:ascii="Arial Narrow" w:hAnsi="Arial Narrow" w:cs="Calibri"/>
                <w:iCs/>
                <w:color w:val="000000"/>
                <w:sz w:val="20"/>
                <w:szCs w:val="20"/>
                <w:vertAlign w:val="superscript"/>
              </w:rPr>
              <w:t>2</w:t>
            </w:r>
          </w:p>
        </w:tc>
        <w:tc>
          <w:tcPr>
            <w:tcW w:w="719" w:type="pct"/>
            <w:vAlign w:val="bottom"/>
          </w:tcPr>
          <w:p w14:paraId="1F4D1730" w14:textId="4212BB65" w:rsidR="00EE2FBE" w:rsidRPr="009A482D"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2"/>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2"/>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B67E00" w:rsidRPr="00731632" w14:paraId="12B9B6A9" w14:textId="77777777" w:rsidTr="00B67E00">
        <w:tc>
          <w:tcPr>
            <w:tcW w:w="312" w:type="pct"/>
            <w:vAlign w:val="center"/>
          </w:tcPr>
          <w:p w14:paraId="6F3B40CF" w14:textId="0B473A6B" w:rsidR="001A3D9A" w:rsidRPr="00731632" w:rsidRDefault="001A3D9A" w:rsidP="00266A98">
            <w:pPr>
              <w:keepNext/>
              <w:keepLines/>
              <w:rPr>
                <w:rFonts w:ascii="Arial Narrow" w:hAnsi="Arial Narrow" w:cs="Calibri"/>
                <w:iCs/>
                <w:color w:val="000000"/>
                <w:sz w:val="20"/>
                <w:szCs w:val="20"/>
              </w:rPr>
            </w:pPr>
            <w:r w:rsidRPr="00731632">
              <w:rPr>
                <w:rFonts w:ascii="Arial Narrow" w:hAnsi="Arial Narrow" w:cs="Calibri"/>
                <w:iCs/>
                <w:color w:val="000000"/>
                <w:sz w:val="20"/>
                <w:szCs w:val="20"/>
              </w:rPr>
              <w:t>6a</w:t>
            </w:r>
          </w:p>
        </w:tc>
        <w:tc>
          <w:tcPr>
            <w:tcW w:w="2214" w:type="pct"/>
            <w:vAlign w:val="center"/>
          </w:tcPr>
          <w:p w14:paraId="4F324241" w14:textId="4698CA60" w:rsidR="001A3D9A" w:rsidRPr="00731632" w:rsidRDefault="001A3D9A" w:rsidP="00985A6C">
            <w:pPr>
              <w:keepNext/>
              <w:keepLines/>
              <w:jc w:val="left"/>
              <w:rPr>
                <w:rFonts w:ascii="Arial Narrow" w:hAnsi="Arial Narrow" w:cs="Calibri"/>
                <w:iCs/>
                <w:color w:val="000000"/>
                <w:sz w:val="20"/>
                <w:szCs w:val="20"/>
              </w:rPr>
            </w:pPr>
            <w:r w:rsidRPr="00731632">
              <w:rPr>
                <w:rFonts w:ascii="Arial Narrow" w:hAnsi="Arial Narrow" w:cs="Calibri"/>
                <w:iCs/>
                <w:color w:val="000000"/>
                <w:sz w:val="20"/>
                <w:szCs w:val="20"/>
              </w:rPr>
              <w:t>62.1% effectiveness (effectiveness for avoiding hospitalisations with RSV, from MELODY)</w:t>
            </w:r>
          </w:p>
        </w:tc>
        <w:tc>
          <w:tcPr>
            <w:tcW w:w="630" w:type="pct"/>
            <w:shd w:val="solid" w:color="000000" w:fill="000000"/>
          </w:tcPr>
          <w:p w14:paraId="56249798" w14:textId="34DE5317" w:rsidR="001A3D9A" w:rsidRPr="009A482D" w:rsidRDefault="009F6D97" w:rsidP="00266A98">
            <w:pPr>
              <w:keepNext/>
              <w:keepLines/>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21"/>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1"/>
                <w14:textFill>
                  <w14:solidFill>
                    <w14:srgbClr w14:val="000000">
                      <w14:alpha w14:val="100000"/>
                    </w14:srgbClr>
                  </w14:solidFill>
                </w14:textFill>
              </w:rPr>
              <w:t>|</w:t>
            </w:r>
          </w:p>
        </w:tc>
        <w:tc>
          <w:tcPr>
            <w:tcW w:w="630" w:type="pct"/>
            <w:vAlign w:val="center"/>
          </w:tcPr>
          <w:p w14:paraId="54D89635" w14:textId="70F9598C" w:rsidR="001A3D9A" w:rsidRPr="00731632" w:rsidRDefault="001A3D9A" w:rsidP="00B67E00">
            <w:pPr>
              <w:keepNext/>
              <w:keepLines/>
              <w:jc w:val="center"/>
              <w:rPr>
                <w:rFonts w:ascii="Arial Narrow" w:hAnsi="Arial Narrow" w:cs="Calibri"/>
                <w:iCs/>
                <w:color w:val="000000"/>
                <w:sz w:val="20"/>
                <w:szCs w:val="20"/>
              </w:rPr>
            </w:pPr>
            <w:r w:rsidRPr="00731632">
              <w:rPr>
                <w:rFonts w:ascii="Arial Narrow" w:hAnsi="Arial Narrow" w:cs="Calibri"/>
                <w:iCs/>
                <w:color w:val="000000"/>
                <w:sz w:val="20"/>
                <w:szCs w:val="20"/>
              </w:rPr>
              <w:t>728</w:t>
            </w:r>
          </w:p>
        </w:tc>
        <w:tc>
          <w:tcPr>
            <w:tcW w:w="494" w:type="pct"/>
          </w:tcPr>
          <w:p w14:paraId="14074FFD" w14:textId="76871051" w:rsidR="001A3D9A" w:rsidRPr="009A482D" w:rsidRDefault="009F6D97" w:rsidP="00266A98">
            <w:pPr>
              <w:keepNext/>
              <w:keepLines/>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20"/>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0"/>
                <w14:textFill>
                  <w14:solidFill>
                    <w14:srgbClr w14:val="000000">
                      <w14:alpha w14:val="100000"/>
                    </w14:srgbClr>
                  </w14:solidFill>
                </w14:textFill>
              </w:rPr>
              <w:t>|</w:t>
            </w:r>
            <w:r w:rsidR="00036E82" w:rsidRPr="009A482D">
              <w:rPr>
                <w:rFonts w:ascii="Arial Narrow" w:hAnsi="Arial Narrow" w:cs="Calibri"/>
                <w:iCs/>
                <w:color w:val="000000"/>
                <w:sz w:val="20"/>
                <w:szCs w:val="20"/>
                <w:vertAlign w:val="superscript"/>
              </w:rPr>
              <w:t>3</w:t>
            </w:r>
          </w:p>
        </w:tc>
        <w:tc>
          <w:tcPr>
            <w:tcW w:w="719" w:type="pct"/>
          </w:tcPr>
          <w:p w14:paraId="7794637D" w14:textId="7FA1AE94" w:rsidR="001A3D9A" w:rsidRPr="009A482D" w:rsidRDefault="009F6D97" w:rsidP="00266A98">
            <w:pPr>
              <w:keepNext/>
              <w:keepLines/>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36"/>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6"/>
                <w14:textFill>
                  <w14:solidFill>
                    <w14:srgbClr w14:val="000000">
                      <w14:alpha w14:val="100000"/>
                    </w14:srgbClr>
                  </w14:solidFill>
                </w14:textFill>
              </w:rPr>
              <w:t>|</w:t>
            </w:r>
            <w:r w:rsidR="001A3D9A" w:rsidRPr="009A482D">
              <w:rPr>
                <w:rFonts w:ascii="Arial Narrow" w:hAnsi="Arial Narrow" w:cs="Calibri"/>
                <w:iCs/>
                <w:color w:val="000000"/>
                <w:sz w:val="20"/>
                <w:szCs w:val="20"/>
              </w:rPr>
              <w:t>%</w:t>
            </w:r>
          </w:p>
        </w:tc>
      </w:tr>
      <w:tr w:rsidR="00EE2FBE" w:rsidRPr="00731632" w14:paraId="529017E3" w14:textId="77777777" w:rsidTr="00B67E00">
        <w:tc>
          <w:tcPr>
            <w:tcW w:w="312" w:type="pct"/>
            <w:vAlign w:val="bottom"/>
          </w:tcPr>
          <w:p w14:paraId="0C7BBD68" w14:textId="77777777" w:rsidR="00EE2FBE" w:rsidRPr="00731632" w:rsidRDefault="00EE2FBE" w:rsidP="00266A98">
            <w:pPr>
              <w:keepNext/>
              <w:keepLines/>
              <w:rPr>
                <w:rFonts w:ascii="Arial Narrow" w:hAnsi="Arial Narrow"/>
                <w:iCs/>
                <w:sz w:val="20"/>
                <w:szCs w:val="20"/>
              </w:rPr>
            </w:pPr>
          </w:p>
        </w:tc>
        <w:tc>
          <w:tcPr>
            <w:tcW w:w="4688" w:type="pct"/>
            <w:gridSpan w:val="5"/>
            <w:vAlign w:val="bottom"/>
          </w:tcPr>
          <w:p w14:paraId="021DF6C2" w14:textId="77777777" w:rsidR="00EE2FBE" w:rsidRPr="00731632" w:rsidRDefault="00EE2FBE" w:rsidP="00985A6C">
            <w:pPr>
              <w:keepNext/>
              <w:keepLines/>
              <w:jc w:val="left"/>
              <w:rPr>
                <w:rFonts w:ascii="Arial Narrow" w:hAnsi="Arial Narrow"/>
                <w:b/>
                <w:bCs/>
                <w:iCs/>
                <w:sz w:val="20"/>
                <w:szCs w:val="20"/>
              </w:rPr>
            </w:pPr>
            <w:r w:rsidRPr="00731632">
              <w:rPr>
                <w:rFonts w:ascii="Arial Narrow" w:hAnsi="Arial Narrow" w:cs="Calibri"/>
                <w:b/>
                <w:bCs/>
                <w:iCs/>
                <w:color w:val="000000"/>
                <w:sz w:val="20"/>
                <w:szCs w:val="20"/>
              </w:rPr>
              <w:t>Timing of nirsevimab dosing (base case = in season dosing)</w:t>
            </w:r>
          </w:p>
        </w:tc>
      </w:tr>
      <w:tr w:rsidR="00B67E00" w:rsidRPr="00731632" w14:paraId="4D459F51" w14:textId="77777777" w:rsidTr="00B67E00">
        <w:tc>
          <w:tcPr>
            <w:tcW w:w="312" w:type="pct"/>
            <w:vAlign w:val="bottom"/>
          </w:tcPr>
          <w:p w14:paraId="7CF14E22" w14:textId="77777777" w:rsidR="00EE2FBE" w:rsidRPr="00731632" w:rsidRDefault="00EE2FBE" w:rsidP="00266A98">
            <w:pPr>
              <w:keepNext/>
              <w:keepLines/>
              <w:rPr>
                <w:rFonts w:ascii="Arial Narrow" w:hAnsi="Arial Narrow"/>
                <w:iCs/>
                <w:sz w:val="20"/>
                <w:szCs w:val="20"/>
              </w:rPr>
            </w:pPr>
            <w:r w:rsidRPr="00731632">
              <w:rPr>
                <w:rFonts w:ascii="Arial Narrow" w:hAnsi="Arial Narrow" w:cs="Calibri"/>
                <w:iCs/>
                <w:color w:val="000000"/>
                <w:sz w:val="20"/>
                <w:szCs w:val="20"/>
              </w:rPr>
              <w:t>8</w:t>
            </w:r>
          </w:p>
        </w:tc>
        <w:tc>
          <w:tcPr>
            <w:tcW w:w="2214" w:type="pct"/>
            <w:vAlign w:val="bottom"/>
          </w:tcPr>
          <w:p w14:paraId="504F6A0F" w14:textId="77777777"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In season, but delayed by 1 month</w:t>
            </w:r>
          </w:p>
        </w:tc>
        <w:tc>
          <w:tcPr>
            <w:tcW w:w="630" w:type="pct"/>
            <w:shd w:val="solid" w:color="000000" w:fill="000000"/>
            <w:vAlign w:val="bottom"/>
          </w:tcPr>
          <w:p w14:paraId="11A49718" w14:textId="506797FE" w:rsidR="00EE2FBE" w:rsidRPr="009A482D" w:rsidRDefault="009F6D97" w:rsidP="00266A98">
            <w:pPr>
              <w:keepNext/>
              <w:keepLines/>
              <w:rPr>
                <w:rFonts w:ascii="Arial Narrow" w:hAnsi="Arial Narrow"/>
                <w:iCs/>
                <w:sz w:val="20"/>
                <w:szCs w:val="20"/>
                <w:highlight w:val="lightGray"/>
              </w:rPr>
            </w:pPr>
            <w:r w:rsidRPr="009F6D97">
              <w:rPr>
                <w:rFonts w:ascii="Arial Narrow" w:hAnsi="Arial Narrow" w:cs="Calibri"/>
                <w:iCs/>
                <w:color w:val="000000"/>
                <w:spacing w:val="9"/>
                <w:sz w:val="20"/>
                <w:szCs w:val="20"/>
                <w:fitText w:val="310" w:id="-893211135"/>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5"/>
                <w14:textFill>
                  <w14:solidFill>
                    <w14:srgbClr w14:val="000000">
                      <w14:alpha w14:val="100000"/>
                    </w14:srgbClr>
                  </w14:solidFill>
                </w14:textFill>
              </w:rPr>
              <w:t>|</w:t>
            </w:r>
          </w:p>
        </w:tc>
        <w:tc>
          <w:tcPr>
            <w:tcW w:w="630" w:type="pct"/>
            <w:vAlign w:val="center"/>
          </w:tcPr>
          <w:p w14:paraId="72453ECB"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882</w:t>
            </w:r>
          </w:p>
        </w:tc>
        <w:tc>
          <w:tcPr>
            <w:tcW w:w="494" w:type="pct"/>
            <w:vAlign w:val="bottom"/>
          </w:tcPr>
          <w:p w14:paraId="6586F219" w14:textId="488E81DE"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4"/>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4"/>
                <w14:textFill>
                  <w14:solidFill>
                    <w14:srgbClr w14:val="000000">
                      <w14:alpha w14:val="100000"/>
                    </w14:srgbClr>
                  </w14:solidFill>
                </w14:textFill>
              </w:rPr>
              <w:t>|</w:t>
            </w:r>
            <w:r w:rsidR="00036E82" w:rsidRPr="005C269B">
              <w:rPr>
                <w:rFonts w:ascii="Arial Narrow" w:hAnsi="Arial Narrow" w:cs="Calibri"/>
                <w:iCs/>
                <w:color w:val="000000"/>
                <w:sz w:val="20"/>
                <w:szCs w:val="20"/>
                <w:vertAlign w:val="superscript"/>
              </w:rPr>
              <w:t>2</w:t>
            </w:r>
          </w:p>
        </w:tc>
        <w:tc>
          <w:tcPr>
            <w:tcW w:w="719" w:type="pct"/>
            <w:vAlign w:val="bottom"/>
          </w:tcPr>
          <w:p w14:paraId="050288C5" w14:textId="6073F408"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3"/>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3"/>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328FC428" w14:textId="77777777" w:rsidTr="00B67E00">
        <w:tc>
          <w:tcPr>
            <w:tcW w:w="312" w:type="pct"/>
            <w:vAlign w:val="bottom"/>
          </w:tcPr>
          <w:p w14:paraId="02FDD7A5" w14:textId="77777777" w:rsidR="00EE2FBE" w:rsidRPr="00731632" w:rsidRDefault="00EE2FBE" w:rsidP="00266A98">
            <w:pPr>
              <w:keepNext/>
              <w:keepLines/>
              <w:rPr>
                <w:rFonts w:ascii="Arial Narrow" w:hAnsi="Arial Narrow"/>
                <w:iCs/>
                <w:sz w:val="20"/>
                <w:szCs w:val="20"/>
              </w:rPr>
            </w:pPr>
          </w:p>
        </w:tc>
        <w:tc>
          <w:tcPr>
            <w:tcW w:w="4688" w:type="pct"/>
            <w:gridSpan w:val="5"/>
            <w:vAlign w:val="bottom"/>
          </w:tcPr>
          <w:p w14:paraId="5F469A06" w14:textId="77777777" w:rsidR="00EE2FBE" w:rsidRPr="00731632" w:rsidRDefault="00EE2FBE" w:rsidP="00985A6C">
            <w:pPr>
              <w:keepNext/>
              <w:keepLines/>
              <w:jc w:val="left"/>
              <w:rPr>
                <w:rFonts w:ascii="Arial Narrow" w:hAnsi="Arial Narrow"/>
                <w:b/>
                <w:bCs/>
                <w:iCs/>
                <w:sz w:val="20"/>
                <w:szCs w:val="20"/>
              </w:rPr>
            </w:pPr>
            <w:r w:rsidRPr="00731632">
              <w:rPr>
                <w:rFonts w:ascii="Arial Narrow" w:hAnsi="Arial Narrow" w:cs="Calibri"/>
                <w:b/>
                <w:bCs/>
                <w:iCs/>
                <w:color w:val="000000"/>
                <w:sz w:val="20"/>
                <w:szCs w:val="20"/>
              </w:rPr>
              <w:t>Cost of mechanical ventilation (base case = $44,682.02)</w:t>
            </w:r>
          </w:p>
        </w:tc>
      </w:tr>
      <w:tr w:rsidR="00B67E00" w:rsidRPr="00731632" w14:paraId="35DD39A0" w14:textId="77777777" w:rsidTr="00B67E00">
        <w:tc>
          <w:tcPr>
            <w:tcW w:w="312" w:type="pct"/>
            <w:vAlign w:val="bottom"/>
          </w:tcPr>
          <w:p w14:paraId="5064F332" w14:textId="77777777" w:rsidR="00EE2FBE" w:rsidRPr="00731632" w:rsidRDefault="00EE2FBE" w:rsidP="00266A98">
            <w:pPr>
              <w:keepNext/>
              <w:keepLines/>
              <w:rPr>
                <w:rFonts w:ascii="Arial Narrow" w:hAnsi="Arial Narrow"/>
                <w:iCs/>
                <w:sz w:val="20"/>
                <w:szCs w:val="20"/>
              </w:rPr>
            </w:pPr>
            <w:r w:rsidRPr="00731632">
              <w:rPr>
                <w:rFonts w:ascii="Arial Narrow" w:hAnsi="Arial Narrow" w:cs="Calibri"/>
                <w:iCs/>
                <w:color w:val="000000"/>
                <w:sz w:val="20"/>
                <w:szCs w:val="20"/>
              </w:rPr>
              <w:t>13</w:t>
            </w:r>
          </w:p>
        </w:tc>
        <w:tc>
          <w:tcPr>
            <w:tcW w:w="2214" w:type="pct"/>
            <w:vAlign w:val="bottom"/>
          </w:tcPr>
          <w:p w14:paraId="4BD295A3" w14:textId="2410C6CB" w:rsidR="00EE2FBE" w:rsidRPr="00731632" w:rsidRDefault="00EE2FBE" w:rsidP="00985A6C">
            <w:pPr>
              <w:keepNext/>
              <w:keepLines/>
              <w:jc w:val="left"/>
              <w:rPr>
                <w:rFonts w:ascii="Arial Narrow" w:hAnsi="Arial Narrow"/>
                <w:iCs/>
                <w:sz w:val="20"/>
                <w:szCs w:val="20"/>
              </w:rPr>
            </w:pPr>
            <w:r w:rsidRPr="00731632">
              <w:rPr>
                <w:rFonts w:ascii="Arial Narrow" w:hAnsi="Arial Narrow" w:cs="Calibri"/>
                <w:iCs/>
                <w:color w:val="000000"/>
                <w:sz w:val="20"/>
                <w:szCs w:val="20"/>
              </w:rPr>
              <w:t>Remove mechanical ventilation entirely (costs</w:t>
            </w:r>
            <w:r w:rsidR="00F677B5" w:rsidRPr="00731632">
              <w:rPr>
                <w:rFonts w:ascii="Arial Narrow" w:hAnsi="Arial Narrow" w:cs="Calibri"/>
                <w:iCs/>
                <w:color w:val="000000"/>
                <w:sz w:val="20"/>
                <w:szCs w:val="20"/>
              </w:rPr>
              <w:t xml:space="preserve"> were </w:t>
            </w:r>
            <w:r w:rsidRPr="00731632">
              <w:rPr>
                <w:rFonts w:ascii="Arial Narrow" w:hAnsi="Arial Narrow" w:cs="Calibri"/>
                <w:iCs/>
                <w:color w:val="000000"/>
                <w:sz w:val="20"/>
                <w:szCs w:val="20"/>
              </w:rPr>
              <w:t>already captured in hospitalisation and ICU estimates)</w:t>
            </w:r>
          </w:p>
        </w:tc>
        <w:tc>
          <w:tcPr>
            <w:tcW w:w="630" w:type="pct"/>
            <w:shd w:val="solid" w:color="000000" w:fill="000000"/>
            <w:vAlign w:val="bottom"/>
          </w:tcPr>
          <w:p w14:paraId="68C36B33" w14:textId="3105E4FD"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fitText w:val="310" w:id="-893211132"/>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2"/>
                <w14:textFill>
                  <w14:solidFill>
                    <w14:srgbClr w14:val="000000">
                      <w14:alpha w14:val="100000"/>
                    </w14:srgbClr>
                  </w14:solidFill>
                </w14:textFill>
              </w:rPr>
              <w:t>|</w:t>
            </w:r>
          </w:p>
        </w:tc>
        <w:tc>
          <w:tcPr>
            <w:tcW w:w="630" w:type="pct"/>
            <w:vAlign w:val="center"/>
          </w:tcPr>
          <w:p w14:paraId="2BF46D54" w14:textId="77777777" w:rsidR="00EE2FBE" w:rsidRPr="00731632" w:rsidRDefault="00EE2FBE" w:rsidP="00B67E00">
            <w:pPr>
              <w:keepNext/>
              <w:keepLines/>
              <w:jc w:val="center"/>
              <w:rPr>
                <w:rFonts w:ascii="Arial Narrow" w:hAnsi="Arial Narrow"/>
                <w:iCs/>
                <w:sz w:val="20"/>
                <w:szCs w:val="20"/>
              </w:rPr>
            </w:pPr>
            <w:r w:rsidRPr="00731632">
              <w:rPr>
                <w:rFonts w:ascii="Arial Narrow" w:hAnsi="Arial Narrow" w:cs="Calibri"/>
                <w:iCs/>
                <w:color w:val="000000"/>
                <w:sz w:val="20"/>
                <w:szCs w:val="20"/>
              </w:rPr>
              <w:t>896</w:t>
            </w:r>
          </w:p>
        </w:tc>
        <w:tc>
          <w:tcPr>
            <w:tcW w:w="494" w:type="pct"/>
            <w:vAlign w:val="bottom"/>
          </w:tcPr>
          <w:p w14:paraId="5B12F546" w14:textId="1F2112D4"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1"/>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1"/>
                <w14:textFill>
                  <w14:solidFill>
                    <w14:srgbClr w14:val="000000">
                      <w14:alpha w14:val="100000"/>
                    </w14:srgbClr>
                  </w14:solidFill>
                </w14:textFill>
              </w:rPr>
              <w:t>|</w:t>
            </w:r>
            <w:r w:rsidR="00F30ADC" w:rsidRPr="009A482D">
              <w:rPr>
                <w:rFonts w:ascii="Arial Narrow" w:hAnsi="Arial Narrow" w:cs="Calibri"/>
                <w:iCs/>
                <w:color w:val="000000"/>
                <w:sz w:val="20"/>
                <w:szCs w:val="20"/>
                <w:vertAlign w:val="superscript"/>
              </w:rPr>
              <w:t>2</w:t>
            </w:r>
          </w:p>
        </w:tc>
        <w:tc>
          <w:tcPr>
            <w:tcW w:w="719" w:type="pct"/>
            <w:vAlign w:val="bottom"/>
          </w:tcPr>
          <w:p w14:paraId="01585C65" w14:textId="16CCA275" w:rsidR="00EE2FBE" w:rsidRPr="00731632" w:rsidRDefault="009F6D97" w:rsidP="00266A98">
            <w:pPr>
              <w:keepNext/>
              <w:keepLines/>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0"/>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0"/>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565E338A" w14:textId="77777777" w:rsidTr="00B67E00">
        <w:tc>
          <w:tcPr>
            <w:tcW w:w="312" w:type="pct"/>
            <w:vAlign w:val="bottom"/>
          </w:tcPr>
          <w:p w14:paraId="02F88C0B" w14:textId="77777777" w:rsidR="00EE2FBE" w:rsidRPr="00731632" w:rsidRDefault="00EE2FBE" w:rsidP="00866F91">
            <w:pPr>
              <w:rPr>
                <w:rFonts w:ascii="Arial Narrow" w:hAnsi="Arial Narrow"/>
                <w:iCs/>
                <w:sz w:val="20"/>
                <w:szCs w:val="20"/>
              </w:rPr>
            </w:pPr>
          </w:p>
        </w:tc>
        <w:tc>
          <w:tcPr>
            <w:tcW w:w="4688" w:type="pct"/>
            <w:gridSpan w:val="5"/>
            <w:vAlign w:val="bottom"/>
          </w:tcPr>
          <w:p w14:paraId="14212391" w14:textId="77777777"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Asthma and recurrent wheezing (base case = costs and QALYs incorporated)</w:t>
            </w:r>
          </w:p>
        </w:tc>
      </w:tr>
      <w:tr w:rsidR="00B67E00" w:rsidRPr="00731632" w14:paraId="35446343" w14:textId="77777777" w:rsidTr="00B67E00">
        <w:tc>
          <w:tcPr>
            <w:tcW w:w="312" w:type="pct"/>
            <w:vAlign w:val="bottom"/>
          </w:tcPr>
          <w:p w14:paraId="76EC1902" w14:textId="77777777"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14</w:t>
            </w:r>
          </w:p>
        </w:tc>
        <w:tc>
          <w:tcPr>
            <w:tcW w:w="2214" w:type="pct"/>
            <w:vAlign w:val="bottom"/>
          </w:tcPr>
          <w:p w14:paraId="5A8866CC" w14:textId="77777777"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Remove costs and QALY losses associated with both asthma and wheezing</w:t>
            </w:r>
          </w:p>
        </w:tc>
        <w:tc>
          <w:tcPr>
            <w:tcW w:w="630" w:type="pct"/>
            <w:shd w:val="solid" w:color="000000" w:fill="000000"/>
            <w:vAlign w:val="bottom"/>
          </w:tcPr>
          <w:p w14:paraId="3DDC90BA" w14:textId="7AB09BFA"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fitText w:val="310" w:id="-893211129"/>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9"/>
                <w14:textFill>
                  <w14:solidFill>
                    <w14:srgbClr w14:val="000000">
                      <w14:alpha w14:val="100000"/>
                    </w14:srgbClr>
                  </w14:solidFill>
                </w14:textFill>
              </w:rPr>
              <w:t>|</w:t>
            </w:r>
          </w:p>
        </w:tc>
        <w:tc>
          <w:tcPr>
            <w:tcW w:w="630" w:type="pct"/>
            <w:vAlign w:val="center"/>
          </w:tcPr>
          <w:p w14:paraId="51A909A2" w14:textId="77777777"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650</w:t>
            </w:r>
          </w:p>
        </w:tc>
        <w:tc>
          <w:tcPr>
            <w:tcW w:w="494" w:type="pct"/>
            <w:vAlign w:val="bottom"/>
          </w:tcPr>
          <w:p w14:paraId="5CE3726D" w14:textId="2A39882A"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8"/>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8"/>
                <w14:textFill>
                  <w14:solidFill>
                    <w14:srgbClr w14:val="000000">
                      <w14:alpha w14:val="100000"/>
                    </w14:srgbClr>
                  </w14:solidFill>
                </w14:textFill>
              </w:rPr>
              <w:t>|</w:t>
            </w:r>
            <w:r w:rsidR="009501EC" w:rsidRPr="009A482D">
              <w:rPr>
                <w:rFonts w:ascii="Arial Narrow" w:hAnsi="Arial Narrow" w:cs="Calibri"/>
                <w:iCs/>
                <w:color w:val="000000"/>
                <w:sz w:val="20"/>
                <w:szCs w:val="20"/>
                <w:vertAlign w:val="superscript"/>
              </w:rPr>
              <w:t>4</w:t>
            </w:r>
          </w:p>
        </w:tc>
        <w:tc>
          <w:tcPr>
            <w:tcW w:w="719" w:type="pct"/>
            <w:vAlign w:val="bottom"/>
          </w:tcPr>
          <w:p w14:paraId="1CA9B2FD" w14:textId="3569CC9E"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7"/>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7"/>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7DC583F6" w14:textId="77777777" w:rsidTr="00B67E00">
        <w:tc>
          <w:tcPr>
            <w:tcW w:w="312" w:type="pct"/>
            <w:vAlign w:val="bottom"/>
          </w:tcPr>
          <w:p w14:paraId="1BA0C288" w14:textId="77777777" w:rsidR="00EE2FBE" w:rsidRPr="00731632" w:rsidRDefault="00EE2FBE" w:rsidP="00866F91">
            <w:pPr>
              <w:rPr>
                <w:rFonts w:ascii="Arial Narrow" w:hAnsi="Arial Narrow"/>
                <w:iCs/>
                <w:sz w:val="20"/>
                <w:szCs w:val="20"/>
              </w:rPr>
            </w:pPr>
          </w:p>
        </w:tc>
        <w:tc>
          <w:tcPr>
            <w:tcW w:w="4688" w:type="pct"/>
            <w:gridSpan w:val="5"/>
            <w:vAlign w:val="bottom"/>
          </w:tcPr>
          <w:p w14:paraId="01538FEF" w14:textId="77777777"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Emergency attendance costs (base case $1907.81)</w:t>
            </w:r>
          </w:p>
        </w:tc>
      </w:tr>
      <w:tr w:rsidR="00B67E00" w:rsidRPr="00731632" w14:paraId="79B76439" w14:textId="77777777" w:rsidTr="00B67E00">
        <w:tc>
          <w:tcPr>
            <w:tcW w:w="312" w:type="pct"/>
            <w:vAlign w:val="bottom"/>
          </w:tcPr>
          <w:p w14:paraId="1D6460CB" w14:textId="77777777"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15</w:t>
            </w:r>
          </w:p>
        </w:tc>
        <w:tc>
          <w:tcPr>
            <w:tcW w:w="2214" w:type="pct"/>
            <w:vAlign w:val="bottom"/>
          </w:tcPr>
          <w:p w14:paraId="2EE20478" w14:textId="77777777"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Reduce by 50% based on NHCDC ratio of hospitalised vs nonhospitalised ED ($953.91)</w:t>
            </w:r>
          </w:p>
        </w:tc>
        <w:tc>
          <w:tcPr>
            <w:tcW w:w="630" w:type="pct"/>
            <w:shd w:val="solid" w:color="000000" w:fill="000000"/>
            <w:vAlign w:val="bottom"/>
          </w:tcPr>
          <w:p w14:paraId="2FD23654" w14:textId="4E055E0A"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fitText w:val="310" w:id="-893211126"/>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6"/>
                <w14:textFill>
                  <w14:solidFill>
                    <w14:srgbClr w14:val="000000">
                      <w14:alpha w14:val="100000"/>
                    </w14:srgbClr>
                  </w14:solidFill>
                </w14:textFill>
              </w:rPr>
              <w:t>|</w:t>
            </w:r>
          </w:p>
        </w:tc>
        <w:tc>
          <w:tcPr>
            <w:tcW w:w="630" w:type="pct"/>
            <w:vAlign w:val="center"/>
          </w:tcPr>
          <w:p w14:paraId="2E7AF9FA" w14:textId="77777777"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936</w:t>
            </w:r>
          </w:p>
        </w:tc>
        <w:tc>
          <w:tcPr>
            <w:tcW w:w="494" w:type="pct"/>
            <w:vAlign w:val="bottom"/>
          </w:tcPr>
          <w:p w14:paraId="3ED4ADE8" w14:textId="0EC6E5B7"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5"/>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5"/>
                <w14:textFill>
                  <w14:solidFill>
                    <w14:srgbClr w14:val="000000">
                      <w14:alpha w14:val="100000"/>
                    </w14:srgbClr>
                  </w14:solidFill>
                </w14:textFill>
              </w:rPr>
              <w:t>|</w:t>
            </w:r>
            <w:r w:rsidR="00036E82" w:rsidRPr="005C269B">
              <w:rPr>
                <w:rFonts w:ascii="Arial Narrow" w:hAnsi="Arial Narrow" w:cs="Calibri"/>
                <w:iCs/>
                <w:color w:val="000000"/>
                <w:sz w:val="20"/>
                <w:szCs w:val="20"/>
                <w:vertAlign w:val="superscript"/>
              </w:rPr>
              <w:t>2</w:t>
            </w:r>
          </w:p>
        </w:tc>
        <w:tc>
          <w:tcPr>
            <w:tcW w:w="719" w:type="pct"/>
            <w:vAlign w:val="bottom"/>
          </w:tcPr>
          <w:p w14:paraId="00207F11" w14:textId="6A13934B"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4"/>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4"/>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66E6FC28" w14:textId="77777777" w:rsidTr="00B67E00">
        <w:tc>
          <w:tcPr>
            <w:tcW w:w="312" w:type="pct"/>
            <w:vAlign w:val="bottom"/>
          </w:tcPr>
          <w:p w14:paraId="0B8CCFA1" w14:textId="77777777" w:rsidR="00EE2FBE" w:rsidRPr="00731632" w:rsidRDefault="00EE2FBE" w:rsidP="00866F91">
            <w:pPr>
              <w:rPr>
                <w:rFonts w:ascii="Arial Narrow" w:hAnsi="Arial Narrow"/>
                <w:iCs/>
                <w:sz w:val="20"/>
                <w:szCs w:val="20"/>
              </w:rPr>
            </w:pPr>
          </w:p>
        </w:tc>
        <w:tc>
          <w:tcPr>
            <w:tcW w:w="4688" w:type="pct"/>
            <w:gridSpan w:val="5"/>
            <w:vAlign w:val="bottom"/>
          </w:tcPr>
          <w:p w14:paraId="34060B29" w14:textId="46F8D78C"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Hospitalisation costs (base case $10,895.19)</w:t>
            </w:r>
          </w:p>
        </w:tc>
      </w:tr>
      <w:tr w:rsidR="00B67E00" w:rsidRPr="00731632" w14:paraId="4173A639" w14:textId="77777777" w:rsidTr="00B67E00">
        <w:tc>
          <w:tcPr>
            <w:tcW w:w="312" w:type="pct"/>
            <w:vAlign w:val="bottom"/>
          </w:tcPr>
          <w:p w14:paraId="466489AF" w14:textId="6A8C8CC0"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16</w:t>
            </w:r>
          </w:p>
        </w:tc>
        <w:tc>
          <w:tcPr>
            <w:tcW w:w="2214" w:type="pct"/>
            <w:vAlign w:val="bottom"/>
          </w:tcPr>
          <w:p w14:paraId="1A02E1C8" w14:textId="5A710B34"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Add ED costs to hospitalisation costs ($12,803)</w:t>
            </w:r>
          </w:p>
        </w:tc>
        <w:tc>
          <w:tcPr>
            <w:tcW w:w="630" w:type="pct"/>
            <w:vAlign w:val="bottom"/>
          </w:tcPr>
          <w:p w14:paraId="7B9C7C03" w14:textId="495B3478" w:rsidR="00EE2FBE" w:rsidRPr="00731632" w:rsidRDefault="00EE2FBE" w:rsidP="00866F91">
            <w:pPr>
              <w:rPr>
                <w:rFonts w:ascii="Arial Narrow" w:hAnsi="Arial Narrow"/>
                <w:iCs/>
                <w:sz w:val="20"/>
                <w:szCs w:val="20"/>
              </w:rPr>
            </w:pPr>
            <w:r w:rsidRPr="003E0927">
              <w:rPr>
                <w:rFonts w:ascii="Arial Narrow" w:hAnsi="Arial Narrow" w:cs="Calibri"/>
                <w:iCs/>
                <w:color w:val="000000"/>
                <w:sz w:val="20"/>
                <w:szCs w:val="20"/>
              </w:rPr>
              <w:t>-</w:t>
            </w:r>
            <w:r w:rsidR="009F6D97" w:rsidRPr="009F6D97">
              <w:rPr>
                <w:rFonts w:ascii="Arial Narrow" w:hAnsi="Arial Narrow" w:cs="Calibri"/>
                <w:iCs/>
                <w:color w:val="000000"/>
                <w:spacing w:val="9"/>
                <w:sz w:val="20"/>
                <w:szCs w:val="20"/>
                <w:shd w:val="solid" w:color="000000" w:fill="000000"/>
                <w:fitText w:val="310" w:id="-893211123"/>
                <w14:textFill>
                  <w14:solidFill>
                    <w14:srgbClr w14:val="000000">
                      <w14:alpha w14:val="100000"/>
                    </w14:srgbClr>
                  </w14:solidFill>
                </w14:textFill>
              </w:rPr>
              <w:t>||  |</w:t>
            </w:r>
            <w:r w:rsidR="009F6D97" w:rsidRPr="009F6D97">
              <w:rPr>
                <w:rFonts w:ascii="Arial Narrow" w:hAnsi="Arial Narrow" w:cs="Calibri"/>
                <w:iCs/>
                <w:color w:val="000000"/>
                <w:spacing w:val="4"/>
                <w:sz w:val="20"/>
                <w:szCs w:val="20"/>
                <w:shd w:val="solid" w:color="000000" w:fill="000000"/>
                <w:fitText w:val="310" w:id="-893211123"/>
                <w14:textFill>
                  <w14:solidFill>
                    <w14:srgbClr w14:val="000000">
                      <w14:alpha w14:val="100000"/>
                    </w14:srgbClr>
                  </w14:solidFill>
                </w14:textFill>
              </w:rPr>
              <w:t>|</w:t>
            </w:r>
          </w:p>
        </w:tc>
        <w:tc>
          <w:tcPr>
            <w:tcW w:w="630" w:type="pct"/>
            <w:vAlign w:val="center"/>
          </w:tcPr>
          <w:p w14:paraId="3D4E6E6F" w14:textId="6FB786E4"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936</w:t>
            </w:r>
          </w:p>
        </w:tc>
        <w:tc>
          <w:tcPr>
            <w:tcW w:w="494" w:type="pct"/>
            <w:vAlign w:val="bottom"/>
          </w:tcPr>
          <w:p w14:paraId="04EF6F2C" w14:textId="5267B5D5"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dominant</w:t>
            </w:r>
          </w:p>
        </w:tc>
        <w:tc>
          <w:tcPr>
            <w:tcW w:w="719" w:type="pct"/>
            <w:vAlign w:val="bottom"/>
          </w:tcPr>
          <w:p w14:paraId="70888C1A" w14:textId="4EA457BC" w:rsidR="00EE2FBE" w:rsidRPr="00731632" w:rsidRDefault="00E905EF" w:rsidP="00866F91">
            <w:pPr>
              <w:rPr>
                <w:rFonts w:ascii="Arial Narrow" w:hAnsi="Arial Narrow"/>
                <w:iCs/>
                <w:sz w:val="20"/>
                <w:szCs w:val="20"/>
              </w:rPr>
            </w:pPr>
            <w:r w:rsidRPr="00731632">
              <w:rPr>
                <w:rFonts w:ascii="Arial Narrow" w:hAnsi="Arial Narrow" w:cs="Calibri"/>
                <w:iCs/>
                <w:color w:val="000000"/>
                <w:sz w:val="20"/>
                <w:szCs w:val="20"/>
              </w:rPr>
              <w:t xml:space="preserve">n/a </w:t>
            </w:r>
          </w:p>
        </w:tc>
      </w:tr>
      <w:tr w:rsidR="00EE2FBE" w:rsidRPr="00731632" w14:paraId="27B77386" w14:textId="77777777" w:rsidTr="00B67E00">
        <w:tc>
          <w:tcPr>
            <w:tcW w:w="312" w:type="pct"/>
            <w:vAlign w:val="bottom"/>
          </w:tcPr>
          <w:p w14:paraId="0CBCBE63" w14:textId="77777777" w:rsidR="00EE2FBE" w:rsidRPr="00731632" w:rsidRDefault="00EE2FBE" w:rsidP="00866F91">
            <w:pPr>
              <w:rPr>
                <w:rFonts w:ascii="Arial Narrow" w:hAnsi="Arial Narrow"/>
                <w:iCs/>
                <w:sz w:val="20"/>
                <w:szCs w:val="20"/>
              </w:rPr>
            </w:pPr>
          </w:p>
        </w:tc>
        <w:tc>
          <w:tcPr>
            <w:tcW w:w="4688" w:type="pct"/>
            <w:gridSpan w:val="5"/>
            <w:vAlign w:val="bottom"/>
          </w:tcPr>
          <w:p w14:paraId="3FE0A219" w14:textId="77777777"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Subsequent hospitalisations, ED visits and ICU visits (base case = costs include all subsequent (all cause) admissions over 6 months)</w:t>
            </w:r>
          </w:p>
        </w:tc>
      </w:tr>
      <w:tr w:rsidR="00B67E00" w:rsidRPr="00731632" w14:paraId="52F0D626" w14:textId="77777777" w:rsidTr="00B67E00">
        <w:tc>
          <w:tcPr>
            <w:tcW w:w="312" w:type="pct"/>
            <w:vAlign w:val="bottom"/>
          </w:tcPr>
          <w:p w14:paraId="43D7985F" w14:textId="77777777"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17</w:t>
            </w:r>
          </w:p>
        </w:tc>
        <w:tc>
          <w:tcPr>
            <w:tcW w:w="2214" w:type="pct"/>
            <w:vAlign w:val="bottom"/>
          </w:tcPr>
          <w:p w14:paraId="40FD534C" w14:textId="77777777"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Include only the index hospitalisation in the estimate of the hospitalisation costs, ED visit and ICU visit</w:t>
            </w:r>
          </w:p>
        </w:tc>
        <w:tc>
          <w:tcPr>
            <w:tcW w:w="630" w:type="pct"/>
            <w:shd w:val="solid" w:color="000000" w:fill="000000"/>
            <w:vAlign w:val="bottom"/>
          </w:tcPr>
          <w:p w14:paraId="51715BD5" w14:textId="00E9B2A9"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fitText w:val="310" w:id="-893211122"/>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2"/>
                <w14:textFill>
                  <w14:solidFill>
                    <w14:srgbClr w14:val="000000">
                      <w14:alpha w14:val="100000"/>
                    </w14:srgbClr>
                  </w14:solidFill>
                </w14:textFill>
              </w:rPr>
              <w:t>|</w:t>
            </w:r>
          </w:p>
        </w:tc>
        <w:tc>
          <w:tcPr>
            <w:tcW w:w="630" w:type="pct"/>
            <w:vAlign w:val="center"/>
          </w:tcPr>
          <w:p w14:paraId="04DCD053" w14:textId="77777777"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936</w:t>
            </w:r>
          </w:p>
        </w:tc>
        <w:tc>
          <w:tcPr>
            <w:tcW w:w="494" w:type="pct"/>
            <w:vAlign w:val="bottom"/>
          </w:tcPr>
          <w:p w14:paraId="2630C0BE" w14:textId="3CD2A9D2"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1"/>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1"/>
                <w14:textFill>
                  <w14:solidFill>
                    <w14:srgbClr w14:val="000000">
                      <w14:alpha w14:val="100000"/>
                    </w14:srgbClr>
                  </w14:solidFill>
                </w14:textFill>
              </w:rPr>
              <w:t>|</w:t>
            </w:r>
            <w:r w:rsidR="00F30ADC" w:rsidRPr="005C269B">
              <w:rPr>
                <w:rFonts w:ascii="Arial Narrow" w:hAnsi="Arial Narrow" w:cs="Calibri"/>
                <w:iCs/>
                <w:color w:val="000000"/>
                <w:sz w:val="20"/>
                <w:szCs w:val="20"/>
                <w:vertAlign w:val="superscript"/>
              </w:rPr>
              <w:t>3</w:t>
            </w:r>
          </w:p>
        </w:tc>
        <w:tc>
          <w:tcPr>
            <w:tcW w:w="719" w:type="pct"/>
            <w:vAlign w:val="bottom"/>
          </w:tcPr>
          <w:p w14:paraId="375F0287" w14:textId="5C7DA0C5"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0"/>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0"/>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72B239D4" w14:textId="77777777" w:rsidTr="00B67E00">
        <w:tc>
          <w:tcPr>
            <w:tcW w:w="312" w:type="pct"/>
            <w:vAlign w:val="bottom"/>
          </w:tcPr>
          <w:p w14:paraId="7C54593A" w14:textId="77777777" w:rsidR="00EE2FBE" w:rsidRPr="00731632" w:rsidRDefault="00EE2FBE" w:rsidP="00866F91">
            <w:pPr>
              <w:rPr>
                <w:rFonts w:ascii="Arial Narrow" w:hAnsi="Arial Narrow"/>
                <w:iCs/>
                <w:sz w:val="20"/>
                <w:szCs w:val="20"/>
              </w:rPr>
            </w:pPr>
          </w:p>
        </w:tc>
        <w:tc>
          <w:tcPr>
            <w:tcW w:w="4688" w:type="pct"/>
            <w:gridSpan w:val="5"/>
            <w:vAlign w:val="bottom"/>
          </w:tcPr>
          <w:p w14:paraId="4AEFF5B7" w14:textId="77777777"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Disutilities applied to primary care, ED, ICU and hospitalisation RSV health states (base case = applied for a full month)</w:t>
            </w:r>
          </w:p>
        </w:tc>
      </w:tr>
      <w:tr w:rsidR="00B67E00" w:rsidRPr="00731632" w14:paraId="5B5944C9" w14:textId="77777777" w:rsidTr="00B67E00">
        <w:tc>
          <w:tcPr>
            <w:tcW w:w="312" w:type="pct"/>
            <w:vAlign w:val="bottom"/>
          </w:tcPr>
          <w:p w14:paraId="3A617DBE" w14:textId="77777777"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18</w:t>
            </w:r>
          </w:p>
        </w:tc>
        <w:tc>
          <w:tcPr>
            <w:tcW w:w="2214" w:type="pct"/>
            <w:vAlign w:val="bottom"/>
          </w:tcPr>
          <w:p w14:paraId="4921A216" w14:textId="30DF706E"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 xml:space="preserve">Disutilities applied to reflect duration of event </w:t>
            </w:r>
            <w:r w:rsidR="00EE0954" w:rsidRPr="00731632">
              <w:rPr>
                <w:rFonts w:ascii="Arial Narrow" w:hAnsi="Arial Narrow" w:cs="Calibri"/>
                <w:iCs/>
                <w:color w:val="000000"/>
                <w:sz w:val="20"/>
                <w:szCs w:val="20"/>
              </w:rPr>
              <w:t>from</w:t>
            </w:r>
            <w:r w:rsidRPr="00731632">
              <w:rPr>
                <w:rFonts w:ascii="Arial Narrow" w:hAnsi="Arial Narrow" w:cs="Calibri"/>
                <w:iCs/>
                <w:color w:val="000000"/>
                <w:sz w:val="20"/>
                <w:szCs w:val="20"/>
              </w:rPr>
              <w:t xml:space="preserve"> Nourbakhsh 2021</w:t>
            </w:r>
          </w:p>
        </w:tc>
        <w:tc>
          <w:tcPr>
            <w:tcW w:w="630" w:type="pct"/>
            <w:shd w:val="solid" w:color="000000" w:fill="000000"/>
            <w:vAlign w:val="bottom"/>
          </w:tcPr>
          <w:p w14:paraId="2A540B72" w14:textId="2A01F7A2"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fitText w:val="310" w:id="-893211136"/>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6"/>
                <w14:textFill>
                  <w14:solidFill>
                    <w14:srgbClr w14:val="000000">
                      <w14:alpha w14:val="100000"/>
                    </w14:srgbClr>
                  </w14:solidFill>
                </w14:textFill>
              </w:rPr>
              <w:t>|</w:t>
            </w:r>
          </w:p>
        </w:tc>
        <w:tc>
          <w:tcPr>
            <w:tcW w:w="630" w:type="pct"/>
            <w:vAlign w:val="center"/>
          </w:tcPr>
          <w:p w14:paraId="7547EC01" w14:textId="77777777"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630</w:t>
            </w:r>
          </w:p>
        </w:tc>
        <w:tc>
          <w:tcPr>
            <w:tcW w:w="494" w:type="pct"/>
            <w:vAlign w:val="bottom"/>
          </w:tcPr>
          <w:p w14:paraId="6335C92A" w14:textId="1E1A14BF"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5"/>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5"/>
                <w14:textFill>
                  <w14:solidFill>
                    <w14:srgbClr w14:val="000000">
                      <w14:alpha w14:val="100000"/>
                    </w14:srgbClr>
                  </w14:solidFill>
                </w14:textFill>
              </w:rPr>
              <w:t>|</w:t>
            </w:r>
            <w:r w:rsidR="00036E82" w:rsidRPr="005C269B">
              <w:rPr>
                <w:rFonts w:ascii="Arial Narrow" w:hAnsi="Arial Narrow" w:cs="Calibri"/>
                <w:iCs/>
                <w:color w:val="000000"/>
                <w:sz w:val="20"/>
                <w:szCs w:val="20"/>
                <w:vertAlign w:val="superscript"/>
              </w:rPr>
              <w:t>2</w:t>
            </w:r>
          </w:p>
        </w:tc>
        <w:tc>
          <w:tcPr>
            <w:tcW w:w="719" w:type="pct"/>
            <w:vAlign w:val="bottom"/>
          </w:tcPr>
          <w:p w14:paraId="21733231" w14:textId="6C21BE1F"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4"/>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4"/>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38C497F6" w14:textId="77777777" w:rsidTr="00B67E00">
        <w:tc>
          <w:tcPr>
            <w:tcW w:w="312" w:type="pct"/>
            <w:vAlign w:val="bottom"/>
          </w:tcPr>
          <w:p w14:paraId="0AB0BBB3" w14:textId="77777777" w:rsidR="00EE2FBE" w:rsidRPr="00731632" w:rsidRDefault="00EE2FBE" w:rsidP="00866F91">
            <w:pPr>
              <w:rPr>
                <w:rFonts w:ascii="Arial Narrow" w:hAnsi="Arial Narrow"/>
                <w:iCs/>
                <w:sz w:val="20"/>
                <w:szCs w:val="20"/>
              </w:rPr>
            </w:pPr>
          </w:p>
        </w:tc>
        <w:tc>
          <w:tcPr>
            <w:tcW w:w="4688" w:type="pct"/>
            <w:gridSpan w:val="5"/>
            <w:vAlign w:val="bottom"/>
          </w:tcPr>
          <w:p w14:paraId="391D6BFD" w14:textId="77777777"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Administration cost of nirsevimab (base case = one third of administrations require a GP visit)</w:t>
            </w:r>
          </w:p>
        </w:tc>
      </w:tr>
      <w:tr w:rsidR="00B67E00" w:rsidRPr="00731632" w14:paraId="1779824F" w14:textId="77777777" w:rsidTr="00B67E00">
        <w:tc>
          <w:tcPr>
            <w:tcW w:w="312" w:type="pct"/>
            <w:vAlign w:val="bottom"/>
          </w:tcPr>
          <w:p w14:paraId="6906840B" w14:textId="77777777"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19</w:t>
            </w:r>
          </w:p>
        </w:tc>
        <w:tc>
          <w:tcPr>
            <w:tcW w:w="2214" w:type="pct"/>
            <w:vAlign w:val="bottom"/>
          </w:tcPr>
          <w:p w14:paraId="3A04855E" w14:textId="77777777"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All administrations require a GP visit</w:t>
            </w:r>
          </w:p>
        </w:tc>
        <w:tc>
          <w:tcPr>
            <w:tcW w:w="630" w:type="pct"/>
            <w:shd w:val="solid" w:color="000000" w:fill="000000"/>
            <w:vAlign w:val="bottom"/>
          </w:tcPr>
          <w:p w14:paraId="5A7D4C27" w14:textId="7CCDA7C9"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fitText w:val="310" w:id="-893211133"/>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3"/>
                <w14:textFill>
                  <w14:solidFill>
                    <w14:srgbClr w14:val="000000">
                      <w14:alpha w14:val="100000"/>
                    </w14:srgbClr>
                  </w14:solidFill>
                </w14:textFill>
              </w:rPr>
              <w:t>|</w:t>
            </w:r>
          </w:p>
        </w:tc>
        <w:tc>
          <w:tcPr>
            <w:tcW w:w="630" w:type="pct"/>
            <w:vAlign w:val="center"/>
          </w:tcPr>
          <w:p w14:paraId="13DF4851" w14:textId="77777777"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936</w:t>
            </w:r>
          </w:p>
        </w:tc>
        <w:tc>
          <w:tcPr>
            <w:tcW w:w="494" w:type="pct"/>
            <w:vAlign w:val="bottom"/>
          </w:tcPr>
          <w:p w14:paraId="77E5FE39" w14:textId="68D2B8E1"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2"/>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2"/>
                <w14:textFill>
                  <w14:solidFill>
                    <w14:srgbClr w14:val="000000">
                      <w14:alpha w14:val="100000"/>
                    </w14:srgbClr>
                  </w14:solidFill>
                </w14:textFill>
              </w:rPr>
              <w:t>|</w:t>
            </w:r>
            <w:r w:rsidR="00036E82" w:rsidRPr="005C269B">
              <w:rPr>
                <w:rFonts w:ascii="Arial Narrow" w:hAnsi="Arial Narrow" w:cs="Calibri"/>
                <w:iCs/>
                <w:color w:val="000000"/>
                <w:sz w:val="20"/>
                <w:szCs w:val="20"/>
                <w:vertAlign w:val="superscript"/>
              </w:rPr>
              <w:t>2</w:t>
            </w:r>
          </w:p>
        </w:tc>
        <w:tc>
          <w:tcPr>
            <w:tcW w:w="719" w:type="pct"/>
            <w:vAlign w:val="bottom"/>
          </w:tcPr>
          <w:p w14:paraId="4D56D6C1" w14:textId="26342524"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31"/>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1"/>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EE2FBE" w:rsidRPr="00731632" w14:paraId="24308AE8" w14:textId="77777777" w:rsidTr="00B67E00">
        <w:tc>
          <w:tcPr>
            <w:tcW w:w="312" w:type="pct"/>
            <w:vAlign w:val="bottom"/>
          </w:tcPr>
          <w:p w14:paraId="2B88BC29" w14:textId="77777777" w:rsidR="00EE2FBE" w:rsidRPr="00731632" w:rsidRDefault="00EE2FBE" w:rsidP="00866F91">
            <w:pPr>
              <w:rPr>
                <w:rFonts w:ascii="Arial Narrow" w:hAnsi="Arial Narrow"/>
                <w:iCs/>
                <w:sz w:val="20"/>
                <w:szCs w:val="20"/>
              </w:rPr>
            </w:pPr>
          </w:p>
        </w:tc>
        <w:tc>
          <w:tcPr>
            <w:tcW w:w="4688" w:type="pct"/>
            <w:gridSpan w:val="5"/>
            <w:vAlign w:val="bottom"/>
          </w:tcPr>
          <w:p w14:paraId="37A731DC" w14:textId="77777777" w:rsidR="00EE2FBE" w:rsidRPr="00731632" w:rsidRDefault="00EE2FBE" w:rsidP="00985A6C">
            <w:pPr>
              <w:jc w:val="left"/>
              <w:rPr>
                <w:rFonts w:ascii="Arial Narrow" w:hAnsi="Arial Narrow"/>
                <w:b/>
                <w:bCs/>
                <w:iCs/>
                <w:sz w:val="20"/>
                <w:szCs w:val="20"/>
              </w:rPr>
            </w:pPr>
            <w:r w:rsidRPr="00731632">
              <w:rPr>
                <w:rFonts w:ascii="Arial Narrow" w:hAnsi="Arial Narrow" w:cs="Calibri"/>
                <w:b/>
                <w:bCs/>
                <w:iCs/>
                <w:color w:val="000000"/>
                <w:sz w:val="20"/>
                <w:szCs w:val="20"/>
              </w:rPr>
              <w:t>Case fatality ratio of hospitalised RSV (base case = 0.000033)</w:t>
            </w:r>
          </w:p>
        </w:tc>
      </w:tr>
      <w:tr w:rsidR="00B67E00" w:rsidRPr="00731632" w14:paraId="3C315FC8" w14:textId="77777777" w:rsidTr="00B67E00">
        <w:tc>
          <w:tcPr>
            <w:tcW w:w="312" w:type="pct"/>
            <w:vAlign w:val="bottom"/>
          </w:tcPr>
          <w:p w14:paraId="754DB2C8" w14:textId="77777777"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20</w:t>
            </w:r>
          </w:p>
        </w:tc>
        <w:tc>
          <w:tcPr>
            <w:tcW w:w="2214" w:type="pct"/>
            <w:vAlign w:val="bottom"/>
          </w:tcPr>
          <w:p w14:paraId="40D08DF4" w14:textId="77777777" w:rsidR="00EE2FBE" w:rsidRPr="00731632" w:rsidRDefault="00EE2FBE" w:rsidP="00985A6C">
            <w:pPr>
              <w:jc w:val="left"/>
              <w:rPr>
                <w:rFonts w:ascii="Arial Narrow" w:hAnsi="Arial Narrow"/>
                <w:iCs/>
                <w:sz w:val="20"/>
                <w:szCs w:val="20"/>
              </w:rPr>
            </w:pPr>
            <w:r w:rsidRPr="00731632">
              <w:rPr>
                <w:rFonts w:ascii="Arial Narrow" w:hAnsi="Arial Narrow" w:cs="Calibri"/>
                <w:iCs/>
                <w:color w:val="000000"/>
                <w:sz w:val="20"/>
                <w:szCs w:val="20"/>
              </w:rPr>
              <w:t>CFR calculated during the evaluation (0.002)</w:t>
            </w:r>
          </w:p>
        </w:tc>
        <w:tc>
          <w:tcPr>
            <w:tcW w:w="630" w:type="pct"/>
            <w:vAlign w:val="bottom"/>
          </w:tcPr>
          <w:p w14:paraId="1BE2A7AE" w14:textId="7631FE18" w:rsidR="00EE2FBE" w:rsidRPr="00731632" w:rsidRDefault="00EE2FBE" w:rsidP="00866F91">
            <w:pPr>
              <w:rPr>
                <w:rFonts w:ascii="Arial Narrow" w:hAnsi="Arial Narrow"/>
                <w:iCs/>
                <w:sz w:val="20"/>
                <w:szCs w:val="20"/>
              </w:rPr>
            </w:pPr>
            <w:r w:rsidRPr="00731632">
              <w:rPr>
                <w:rFonts w:ascii="Arial Narrow" w:hAnsi="Arial Narrow" w:cs="Calibri"/>
                <w:iCs/>
                <w:color w:val="000000"/>
                <w:sz w:val="20"/>
                <w:szCs w:val="20"/>
              </w:rPr>
              <w:t>$</w:t>
            </w:r>
            <w:r w:rsidR="009F6D97" w:rsidRPr="009F6D97">
              <w:rPr>
                <w:rFonts w:ascii="Arial Narrow" w:hAnsi="Arial Narrow" w:cs="Calibri"/>
                <w:iCs/>
                <w:color w:val="000000"/>
                <w:spacing w:val="9"/>
                <w:sz w:val="20"/>
                <w:szCs w:val="20"/>
                <w:shd w:val="solid" w:color="000000" w:fill="000000"/>
                <w:fitText w:val="310" w:id="-893211130"/>
                <w14:textFill>
                  <w14:solidFill>
                    <w14:srgbClr w14:val="000000">
                      <w14:alpha w14:val="100000"/>
                    </w14:srgbClr>
                  </w14:solidFill>
                </w14:textFill>
              </w:rPr>
              <w:t>||  |</w:t>
            </w:r>
            <w:r w:rsidR="009F6D97" w:rsidRPr="009F6D97">
              <w:rPr>
                <w:rFonts w:ascii="Arial Narrow" w:hAnsi="Arial Narrow" w:cs="Calibri"/>
                <w:iCs/>
                <w:color w:val="000000"/>
                <w:spacing w:val="4"/>
                <w:sz w:val="20"/>
                <w:szCs w:val="20"/>
                <w:shd w:val="solid" w:color="000000" w:fill="000000"/>
                <w:fitText w:val="310" w:id="-893211130"/>
                <w14:textFill>
                  <w14:solidFill>
                    <w14:srgbClr w14:val="000000">
                      <w14:alpha w14:val="100000"/>
                    </w14:srgbClr>
                  </w14:solidFill>
                </w14:textFill>
              </w:rPr>
              <w:t>|</w:t>
            </w:r>
          </w:p>
        </w:tc>
        <w:tc>
          <w:tcPr>
            <w:tcW w:w="630" w:type="pct"/>
            <w:vAlign w:val="center"/>
          </w:tcPr>
          <w:p w14:paraId="6147701D" w14:textId="77777777" w:rsidR="00EE2FBE" w:rsidRPr="00731632" w:rsidRDefault="00EE2FBE" w:rsidP="00B67E00">
            <w:pPr>
              <w:jc w:val="center"/>
              <w:rPr>
                <w:rFonts w:ascii="Arial Narrow" w:hAnsi="Arial Narrow"/>
                <w:iCs/>
                <w:sz w:val="20"/>
                <w:szCs w:val="20"/>
              </w:rPr>
            </w:pPr>
            <w:r w:rsidRPr="00731632">
              <w:rPr>
                <w:rFonts w:ascii="Arial Narrow" w:hAnsi="Arial Narrow" w:cs="Calibri"/>
                <w:iCs/>
                <w:color w:val="000000"/>
                <w:sz w:val="20"/>
                <w:szCs w:val="20"/>
              </w:rPr>
              <w:t>1232</w:t>
            </w:r>
          </w:p>
        </w:tc>
        <w:tc>
          <w:tcPr>
            <w:tcW w:w="494" w:type="pct"/>
            <w:vAlign w:val="bottom"/>
          </w:tcPr>
          <w:p w14:paraId="0CA4E154" w14:textId="25A1F5DF" w:rsidR="00EE2FBE" w:rsidRPr="00731632" w:rsidRDefault="009F6D97" w:rsidP="00866F91">
            <w:pPr>
              <w:rPr>
                <w:rFonts w:ascii="Arial Narrow" w:hAnsi="Arial Narrow"/>
                <w:iCs/>
                <w:sz w:val="20"/>
                <w:szCs w:val="20"/>
              </w:rPr>
            </w:pPr>
            <w:r w:rsidRPr="009F6D97">
              <w:rPr>
                <w:rFonts w:ascii="Arial Narrow" w:hAnsi="Arial Narrow" w:cs="Calibri"/>
                <w:iCs/>
                <w:color w:val="000000"/>
                <w:spacing w:val="9"/>
                <w:sz w:val="20"/>
                <w:szCs w:val="20"/>
                <w:shd w:val="solid" w:color="000000" w:fill="000000"/>
                <w:fitText w:val="310" w:id="-893211129"/>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9"/>
                <w14:textFill>
                  <w14:solidFill>
                    <w14:srgbClr w14:val="000000">
                      <w14:alpha w14:val="100000"/>
                    </w14:srgbClr>
                  </w14:solidFill>
                </w14:textFill>
              </w:rPr>
              <w:t>|</w:t>
            </w:r>
            <w:r w:rsidR="00B53666" w:rsidRPr="005C269B">
              <w:rPr>
                <w:rFonts w:ascii="Arial Narrow" w:hAnsi="Arial Narrow" w:cs="Calibri"/>
                <w:iCs/>
                <w:color w:val="000000"/>
                <w:sz w:val="20"/>
                <w:szCs w:val="20"/>
                <w:vertAlign w:val="superscript"/>
              </w:rPr>
              <w:t>1</w:t>
            </w:r>
          </w:p>
        </w:tc>
        <w:tc>
          <w:tcPr>
            <w:tcW w:w="719" w:type="pct"/>
            <w:vAlign w:val="bottom"/>
          </w:tcPr>
          <w:p w14:paraId="2C65105C" w14:textId="6AAEAD3D" w:rsidR="00EE2FBE" w:rsidRPr="00731632" w:rsidRDefault="00EE2FBE" w:rsidP="00866F91">
            <w:pPr>
              <w:rPr>
                <w:rFonts w:ascii="Arial Narrow" w:hAnsi="Arial Narrow"/>
                <w:iCs/>
                <w:sz w:val="20"/>
                <w:szCs w:val="20"/>
              </w:rPr>
            </w:pPr>
            <w:r w:rsidRPr="009A482D">
              <w:rPr>
                <w:rFonts w:ascii="Arial Narrow" w:hAnsi="Arial Narrow" w:cs="Calibri"/>
                <w:iCs/>
                <w:color w:val="000000"/>
                <w:sz w:val="20"/>
                <w:szCs w:val="20"/>
              </w:rPr>
              <w:t>-</w:t>
            </w:r>
            <w:r w:rsidR="009F6D97" w:rsidRPr="009F6D97">
              <w:rPr>
                <w:rFonts w:ascii="Arial Narrow" w:hAnsi="Arial Narrow" w:cs="Calibri"/>
                <w:iCs/>
                <w:color w:val="000000"/>
                <w:spacing w:val="9"/>
                <w:sz w:val="20"/>
                <w:szCs w:val="20"/>
                <w:shd w:val="solid" w:color="000000" w:fill="000000"/>
                <w:fitText w:val="310" w:id="-893211128"/>
                <w14:textFill>
                  <w14:solidFill>
                    <w14:srgbClr w14:val="000000">
                      <w14:alpha w14:val="100000"/>
                    </w14:srgbClr>
                  </w14:solidFill>
                </w14:textFill>
              </w:rPr>
              <w:t>||  |</w:t>
            </w:r>
            <w:r w:rsidR="009F6D97" w:rsidRPr="009F6D97">
              <w:rPr>
                <w:rFonts w:ascii="Arial Narrow" w:hAnsi="Arial Narrow" w:cs="Calibri"/>
                <w:iCs/>
                <w:color w:val="000000"/>
                <w:spacing w:val="4"/>
                <w:sz w:val="20"/>
                <w:szCs w:val="20"/>
                <w:shd w:val="solid" w:color="000000" w:fill="000000"/>
                <w:fitText w:val="310" w:id="-893211128"/>
                <w14:textFill>
                  <w14:solidFill>
                    <w14:srgbClr w14:val="000000">
                      <w14:alpha w14:val="100000"/>
                    </w14:srgbClr>
                  </w14:solidFill>
                </w14:textFill>
              </w:rPr>
              <w:t>|</w:t>
            </w:r>
            <w:r w:rsidRPr="009A482D">
              <w:rPr>
                <w:rFonts w:ascii="Arial Narrow" w:hAnsi="Arial Narrow" w:cs="Calibri"/>
                <w:iCs/>
                <w:color w:val="000000"/>
                <w:sz w:val="20"/>
                <w:szCs w:val="20"/>
              </w:rPr>
              <w:t>%</w:t>
            </w:r>
          </w:p>
        </w:tc>
      </w:tr>
      <w:tr w:rsidR="00EE2FBE" w:rsidRPr="00731632" w14:paraId="6FE85F30" w14:textId="77777777" w:rsidTr="00B67E00">
        <w:tc>
          <w:tcPr>
            <w:tcW w:w="312" w:type="pct"/>
            <w:vAlign w:val="bottom"/>
          </w:tcPr>
          <w:p w14:paraId="4D3444A3" w14:textId="77777777" w:rsidR="00EE2FBE" w:rsidRPr="00731632" w:rsidRDefault="00EE2FBE" w:rsidP="00866F91">
            <w:pPr>
              <w:rPr>
                <w:rFonts w:ascii="Arial Narrow" w:hAnsi="Arial Narrow" w:cs="Calibri"/>
                <w:iCs/>
                <w:color w:val="000000"/>
                <w:sz w:val="20"/>
                <w:szCs w:val="20"/>
              </w:rPr>
            </w:pPr>
          </w:p>
        </w:tc>
        <w:tc>
          <w:tcPr>
            <w:tcW w:w="4688" w:type="pct"/>
            <w:gridSpan w:val="5"/>
            <w:vAlign w:val="bottom"/>
          </w:tcPr>
          <w:p w14:paraId="6939F7E8" w14:textId="52E564DE" w:rsidR="00EE2FBE" w:rsidRPr="00731632" w:rsidRDefault="00EE2FBE" w:rsidP="00985A6C">
            <w:pPr>
              <w:jc w:val="left"/>
              <w:rPr>
                <w:rFonts w:ascii="Arial Narrow" w:hAnsi="Arial Narrow" w:cs="Calibri"/>
                <w:iCs/>
                <w:color w:val="000000"/>
                <w:sz w:val="20"/>
                <w:szCs w:val="20"/>
              </w:rPr>
            </w:pPr>
            <w:r w:rsidRPr="00731632">
              <w:rPr>
                <w:rFonts w:ascii="Arial Narrow" w:hAnsi="Arial Narrow" w:cs="Calibri"/>
                <w:b/>
                <w:bCs/>
                <w:iCs/>
                <w:color w:val="000000"/>
                <w:sz w:val="20"/>
                <w:szCs w:val="20"/>
              </w:rPr>
              <w:t xml:space="preserve">Multivariate </w:t>
            </w:r>
            <w:r w:rsidR="00FB769B" w:rsidRPr="00731632">
              <w:rPr>
                <w:rFonts w:ascii="Arial Narrow" w:hAnsi="Arial Narrow" w:cs="Calibri"/>
                <w:b/>
                <w:bCs/>
                <w:iCs/>
                <w:color w:val="000000"/>
                <w:sz w:val="20"/>
                <w:szCs w:val="20"/>
              </w:rPr>
              <w:t>analyses prepared during evaluation</w:t>
            </w:r>
          </w:p>
        </w:tc>
      </w:tr>
      <w:tr w:rsidR="00B67E00" w:rsidRPr="00731632" w14:paraId="38A27185" w14:textId="77777777" w:rsidTr="00B67E00">
        <w:tc>
          <w:tcPr>
            <w:tcW w:w="312" w:type="pct"/>
            <w:vAlign w:val="bottom"/>
          </w:tcPr>
          <w:p w14:paraId="4098A175" w14:textId="77777777" w:rsidR="00EE2FBE" w:rsidRPr="00731632" w:rsidRDefault="00EE2FBE" w:rsidP="00866F91">
            <w:pPr>
              <w:rPr>
                <w:rFonts w:ascii="Arial Narrow" w:hAnsi="Arial Narrow" w:cs="Calibri"/>
                <w:iCs/>
                <w:color w:val="000000"/>
                <w:sz w:val="20"/>
                <w:szCs w:val="20"/>
              </w:rPr>
            </w:pPr>
            <w:r w:rsidRPr="00731632">
              <w:rPr>
                <w:rFonts w:ascii="Arial Narrow" w:hAnsi="Arial Narrow" w:cs="Calibri"/>
                <w:iCs/>
                <w:color w:val="000000"/>
                <w:sz w:val="20"/>
                <w:szCs w:val="20"/>
              </w:rPr>
              <w:t>MA1</w:t>
            </w:r>
          </w:p>
        </w:tc>
        <w:tc>
          <w:tcPr>
            <w:tcW w:w="2214" w:type="pct"/>
            <w:vAlign w:val="bottom"/>
          </w:tcPr>
          <w:p w14:paraId="3A76EA6F" w14:textId="77777777" w:rsidR="00EE2FBE" w:rsidRPr="00731632" w:rsidRDefault="00EE2FBE" w:rsidP="00985A6C">
            <w:pPr>
              <w:jc w:val="left"/>
              <w:rPr>
                <w:rFonts w:ascii="Arial Narrow" w:hAnsi="Arial Narrow" w:cs="Calibri"/>
                <w:iCs/>
                <w:color w:val="000000"/>
                <w:sz w:val="20"/>
                <w:szCs w:val="20"/>
              </w:rPr>
            </w:pPr>
            <w:r w:rsidRPr="00731632">
              <w:rPr>
                <w:rFonts w:ascii="Arial Narrow" w:hAnsi="Arial Narrow" w:cs="Calibri"/>
                <w:iCs/>
                <w:color w:val="000000"/>
                <w:sz w:val="20"/>
                <w:szCs w:val="20"/>
              </w:rPr>
              <w:t>6+13+14+15+16+17+20</w:t>
            </w:r>
          </w:p>
        </w:tc>
        <w:tc>
          <w:tcPr>
            <w:tcW w:w="630" w:type="pct"/>
            <w:tcBorders>
              <w:bottom w:val="single" w:sz="4" w:space="0" w:color="auto"/>
            </w:tcBorders>
            <w:shd w:val="solid" w:color="000000" w:fill="000000"/>
            <w:vAlign w:val="bottom"/>
          </w:tcPr>
          <w:p w14:paraId="7F0C717F" w14:textId="5CF8EDE2" w:rsidR="00EE2FBE" w:rsidRPr="009A482D" w:rsidRDefault="009F6D97" w:rsidP="00866F91">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27"/>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7"/>
                <w14:textFill>
                  <w14:solidFill>
                    <w14:srgbClr w14:val="000000">
                      <w14:alpha w14:val="100000"/>
                    </w14:srgbClr>
                  </w14:solidFill>
                </w14:textFill>
              </w:rPr>
              <w:t>|</w:t>
            </w:r>
          </w:p>
        </w:tc>
        <w:tc>
          <w:tcPr>
            <w:tcW w:w="630" w:type="pct"/>
            <w:vAlign w:val="center"/>
          </w:tcPr>
          <w:p w14:paraId="1B6B18CA" w14:textId="77777777" w:rsidR="00EE2FBE" w:rsidRPr="00731632" w:rsidRDefault="00EE2FBE" w:rsidP="00B67E00">
            <w:pPr>
              <w:jc w:val="center"/>
              <w:rPr>
                <w:rFonts w:ascii="Arial Narrow" w:hAnsi="Arial Narrow" w:cs="Calibri"/>
                <w:iCs/>
                <w:color w:val="000000"/>
                <w:sz w:val="20"/>
                <w:szCs w:val="20"/>
              </w:rPr>
            </w:pPr>
            <w:r w:rsidRPr="00731632">
              <w:rPr>
                <w:rFonts w:ascii="Arial Narrow" w:hAnsi="Arial Narrow" w:cs="Calibri"/>
                <w:iCs/>
                <w:color w:val="000000"/>
                <w:sz w:val="20"/>
                <w:szCs w:val="20"/>
              </w:rPr>
              <w:t>850</w:t>
            </w:r>
          </w:p>
        </w:tc>
        <w:tc>
          <w:tcPr>
            <w:tcW w:w="494" w:type="pct"/>
            <w:vAlign w:val="bottom"/>
          </w:tcPr>
          <w:p w14:paraId="76A2B666" w14:textId="50F8CEAE" w:rsidR="00EE2FBE" w:rsidRPr="009A482D" w:rsidRDefault="009F6D97" w:rsidP="00866F91">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26"/>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6"/>
                <w14:textFill>
                  <w14:solidFill>
                    <w14:srgbClr w14:val="000000">
                      <w14:alpha w14:val="100000"/>
                    </w14:srgbClr>
                  </w14:solidFill>
                </w14:textFill>
              </w:rPr>
              <w:t>|</w:t>
            </w:r>
            <w:r w:rsidR="002202CE" w:rsidRPr="009A482D">
              <w:rPr>
                <w:rFonts w:ascii="Arial Narrow" w:hAnsi="Arial Narrow" w:cs="Calibri"/>
                <w:iCs/>
                <w:color w:val="000000"/>
                <w:sz w:val="20"/>
                <w:szCs w:val="20"/>
                <w:vertAlign w:val="superscript"/>
              </w:rPr>
              <w:t>5</w:t>
            </w:r>
          </w:p>
        </w:tc>
        <w:tc>
          <w:tcPr>
            <w:tcW w:w="719" w:type="pct"/>
            <w:vAlign w:val="bottom"/>
          </w:tcPr>
          <w:p w14:paraId="5B3C7006" w14:textId="483711B0" w:rsidR="00EE2FBE" w:rsidRPr="009A482D" w:rsidRDefault="009F6D97" w:rsidP="00866F91">
            <w:pPr>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25"/>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5"/>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B67E00" w:rsidRPr="00731632" w14:paraId="4C8E6B47" w14:textId="77777777" w:rsidTr="00B67E00">
        <w:tc>
          <w:tcPr>
            <w:tcW w:w="312" w:type="pct"/>
            <w:vAlign w:val="bottom"/>
          </w:tcPr>
          <w:p w14:paraId="4AE9BEE7" w14:textId="77777777" w:rsidR="00EE2FBE" w:rsidRPr="00731632" w:rsidRDefault="00EE2FBE" w:rsidP="00866F91">
            <w:pPr>
              <w:rPr>
                <w:rFonts w:ascii="Arial Narrow" w:hAnsi="Arial Narrow" w:cs="Calibri"/>
                <w:iCs/>
                <w:color w:val="000000"/>
                <w:sz w:val="20"/>
                <w:szCs w:val="20"/>
              </w:rPr>
            </w:pPr>
            <w:r w:rsidRPr="00731632">
              <w:rPr>
                <w:rFonts w:ascii="Arial Narrow" w:hAnsi="Arial Narrow" w:cs="Calibri"/>
                <w:iCs/>
                <w:color w:val="000000"/>
                <w:sz w:val="20"/>
                <w:szCs w:val="20"/>
              </w:rPr>
              <w:t>MA2</w:t>
            </w:r>
          </w:p>
        </w:tc>
        <w:tc>
          <w:tcPr>
            <w:tcW w:w="2214" w:type="pct"/>
            <w:vAlign w:val="bottom"/>
          </w:tcPr>
          <w:p w14:paraId="044D779E" w14:textId="77777777" w:rsidR="00EE2FBE" w:rsidRPr="00731632" w:rsidRDefault="00EE2FBE" w:rsidP="00985A6C">
            <w:pPr>
              <w:jc w:val="left"/>
              <w:rPr>
                <w:rFonts w:ascii="Arial Narrow" w:hAnsi="Arial Narrow" w:cs="Calibri"/>
                <w:iCs/>
                <w:color w:val="000000"/>
                <w:sz w:val="20"/>
                <w:szCs w:val="20"/>
              </w:rPr>
            </w:pPr>
            <w:r w:rsidRPr="00731632">
              <w:rPr>
                <w:rFonts w:ascii="Arial Narrow" w:hAnsi="Arial Narrow" w:cs="Calibri"/>
                <w:iCs/>
                <w:color w:val="000000"/>
                <w:sz w:val="20"/>
                <w:szCs w:val="20"/>
              </w:rPr>
              <w:t>MA1 + 19</w:t>
            </w:r>
          </w:p>
        </w:tc>
        <w:tc>
          <w:tcPr>
            <w:tcW w:w="630" w:type="pct"/>
            <w:tcBorders>
              <w:bottom w:val="single" w:sz="4" w:space="0" w:color="auto"/>
            </w:tcBorders>
            <w:shd w:val="solid" w:color="000000" w:fill="000000"/>
            <w:vAlign w:val="bottom"/>
          </w:tcPr>
          <w:p w14:paraId="2AF297C1" w14:textId="0063799A" w:rsidR="00EE2FBE" w:rsidRPr="009A482D" w:rsidRDefault="009F6D97" w:rsidP="00866F91">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24"/>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4"/>
                <w14:textFill>
                  <w14:solidFill>
                    <w14:srgbClr w14:val="000000">
                      <w14:alpha w14:val="100000"/>
                    </w14:srgbClr>
                  </w14:solidFill>
                </w14:textFill>
              </w:rPr>
              <w:t>|</w:t>
            </w:r>
          </w:p>
        </w:tc>
        <w:tc>
          <w:tcPr>
            <w:tcW w:w="630" w:type="pct"/>
            <w:vAlign w:val="center"/>
          </w:tcPr>
          <w:p w14:paraId="37B49929" w14:textId="77777777" w:rsidR="00EE2FBE" w:rsidRPr="00731632" w:rsidRDefault="00EE2FBE" w:rsidP="00B67E00">
            <w:pPr>
              <w:jc w:val="center"/>
              <w:rPr>
                <w:rFonts w:ascii="Arial Narrow" w:hAnsi="Arial Narrow" w:cs="Calibri"/>
                <w:iCs/>
                <w:color w:val="000000"/>
                <w:sz w:val="20"/>
                <w:szCs w:val="20"/>
              </w:rPr>
            </w:pPr>
            <w:r w:rsidRPr="00731632">
              <w:rPr>
                <w:rFonts w:ascii="Arial Narrow" w:hAnsi="Arial Narrow" w:cs="Calibri"/>
                <w:iCs/>
                <w:color w:val="000000"/>
                <w:sz w:val="20"/>
                <w:szCs w:val="20"/>
              </w:rPr>
              <w:t>850</w:t>
            </w:r>
          </w:p>
        </w:tc>
        <w:tc>
          <w:tcPr>
            <w:tcW w:w="494" w:type="pct"/>
            <w:vAlign w:val="bottom"/>
          </w:tcPr>
          <w:p w14:paraId="26648FC4" w14:textId="7A3B281C" w:rsidR="00EE2FBE" w:rsidRPr="009A482D" w:rsidRDefault="009F6D97" w:rsidP="00866F91">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23"/>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3"/>
                <w14:textFill>
                  <w14:solidFill>
                    <w14:srgbClr w14:val="000000">
                      <w14:alpha w14:val="100000"/>
                    </w14:srgbClr>
                  </w14:solidFill>
                </w14:textFill>
              </w:rPr>
              <w:t>|</w:t>
            </w:r>
            <w:r w:rsidR="00F91AE5" w:rsidRPr="009A482D">
              <w:rPr>
                <w:rFonts w:ascii="Arial Narrow" w:hAnsi="Arial Narrow" w:cs="Calibri"/>
                <w:iCs/>
                <w:color w:val="000000"/>
                <w:sz w:val="20"/>
                <w:szCs w:val="20"/>
                <w:vertAlign w:val="superscript"/>
              </w:rPr>
              <w:t>6</w:t>
            </w:r>
          </w:p>
        </w:tc>
        <w:tc>
          <w:tcPr>
            <w:tcW w:w="719" w:type="pct"/>
            <w:vAlign w:val="bottom"/>
          </w:tcPr>
          <w:p w14:paraId="7AEC0BD2" w14:textId="091EFF01" w:rsidR="00EE2FBE" w:rsidRPr="009A482D" w:rsidRDefault="009F6D97" w:rsidP="00866F91">
            <w:pPr>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22"/>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2"/>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B67E00" w:rsidRPr="00731632" w14:paraId="3A84C26D" w14:textId="77777777" w:rsidTr="00B67E00">
        <w:tc>
          <w:tcPr>
            <w:tcW w:w="312" w:type="pct"/>
            <w:vAlign w:val="bottom"/>
          </w:tcPr>
          <w:p w14:paraId="0EB66387" w14:textId="77777777" w:rsidR="00EE2FBE" w:rsidRPr="00731632" w:rsidRDefault="00EE2FBE" w:rsidP="00866F91">
            <w:pPr>
              <w:rPr>
                <w:rFonts w:ascii="Arial Narrow" w:hAnsi="Arial Narrow" w:cs="Calibri"/>
                <w:iCs/>
                <w:color w:val="000000"/>
                <w:sz w:val="20"/>
                <w:szCs w:val="20"/>
              </w:rPr>
            </w:pPr>
            <w:r w:rsidRPr="00731632">
              <w:rPr>
                <w:rFonts w:ascii="Arial Narrow" w:hAnsi="Arial Narrow" w:cs="Calibri"/>
                <w:iCs/>
                <w:color w:val="000000"/>
                <w:sz w:val="20"/>
                <w:szCs w:val="20"/>
              </w:rPr>
              <w:t>MA3</w:t>
            </w:r>
          </w:p>
        </w:tc>
        <w:tc>
          <w:tcPr>
            <w:tcW w:w="2214" w:type="pct"/>
            <w:vAlign w:val="bottom"/>
          </w:tcPr>
          <w:p w14:paraId="0614F8A1" w14:textId="77777777" w:rsidR="00EE2FBE" w:rsidRPr="00731632" w:rsidRDefault="00EE2FBE" w:rsidP="00985A6C">
            <w:pPr>
              <w:jc w:val="left"/>
              <w:rPr>
                <w:rFonts w:ascii="Arial Narrow" w:hAnsi="Arial Narrow" w:cs="Calibri"/>
                <w:iCs/>
                <w:color w:val="000000"/>
                <w:sz w:val="20"/>
                <w:szCs w:val="20"/>
              </w:rPr>
            </w:pPr>
            <w:r w:rsidRPr="00731632">
              <w:rPr>
                <w:rFonts w:ascii="Arial Narrow" w:hAnsi="Arial Narrow" w:cs="Calibri"/>
                <w:iCs/>
                <w:color w:val="000000"/>
                <w:sz w:val="20"/>
                <w:szCs w:val="20"/>
              </w:rPr>
              <w:t>MA1 + 8 + 19</w:t>
            </w:r>
          </w:p>
        </w:tc>
        <w:tc>
          <w:tcPr>
            <w:tcW w:w="630" w:type="pct"/>
            <w:shd w:val="solid" w:color="000000" w:fill="000000"/>
            <w:vAlign w:val="bottom"/>
          </w:tcPr>
          <w:p w14:paraId="6D92F002" w14:textId="23951D84" w:rsidR="00EE2FBE" w:rsidRPr="009A482D" w:rsidRDefault="009F6D97" w:rsidP="00866F91">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21"/>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1"/>
                <w14:textFill>
                  <w14:solidFill>
                    <w14:srgbClr w14:val="000000">
                      <w14:alpha w14:val="100000"/>
                    </w14:srgbClr>
                  </w14:solidFill>
                </w14:textFill>
              </w:rPr>
              <w:t>|</w:t>
            </w:r>
          </w:p>
        </w:tc>
        <w:tc>
          <w:tcPr>
            <w:tcW w:w="630" w:type="pct"/>
            <w:vAlign w:val="center"/>
          </w:tcPr>
          <w:p w14:paraId="390E6D6B" w14:textId="77777777" w:rsidR="00EE2FBE" w:rsidRPr="00731632" w:rsidRDefault="00EE2FBE" w:rsidP="00B67E00">
            <w:pPr>
              <w:jc w:val="center"/>
              <w:rPr>
                <w:rFonts w:ascii="Arial Narrow" w:hAnsi="Arial Narrow" w:cs="Calibri"/>
                <w:iCs/>
                <w:color w:val="000000"/>
                <w:sz w:val="20"/>
                <w:szCs w:val="20"/>
              </w:rPr>
            </w:pPr>
            <w:r w:rsidRPr="00731632">
              <w:rPr>
                <w:rFonts w:ascii="Arial Narrow" w:hAnsi="Arial Narrow" w:cs="Calibri"/>
                <w:iCs/>
                <w:color w:val="000000"/>
                <w:sz w:val="20"/>
                <w:szCs w:val="20"/>
              </w:rPr>
              <w:t>799</w:t>
            </w:r>
          </w:p>
        </w:tc>
        <w:tc>
          <w:tcPr>
            <w:tcW w:w="494" w:type="pct"/>
            <w:vAlign w:val="bottom"/>
          </w:tcPr>
          <w:p w14:paraId="798882E6" w14:textId="3EA760C5" w:rsidR="00EE2FBE" w:rsidRPr="009A482D" w:rsidRDefault="009F6D97" w:rsidP="00866F91">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20"/>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0"/>
                <w14:textFill>
                  <w14:solidFill>
                    <w14:srgbClr w14:val="000000">
                      <w14:alpha w14:val="100000"/>
                    </w14:srgbClr>
                  </w14:solidFill>
                </w14:textFill>
              </w:rPr>
              <w:t>|</w:t>
            </w:r>
            <w:r w:rsidR="00A70427" w:rsidRPr="005C269B">
              <w:rPr>
                <w:rFonts w:ascii="Arial Narrow" w:hAnsi="Arial Narrow" w:cs="Calibri"/>
                <w:iCs/>
                <w:color w:val="000000"/>
                <w:sz w:val="20"/>
                <w:szCs w:val="20"/>
                <w:vertAlign w:val="superscript"/>
              </w:rPr>
              <w:t>6</w:t>
            </w:r>
          </w:p>
        </w:tc>
        <w:tc>
          <w:tcPr>
            <w:tcW w:w="719" w:type="pct"/>
            <w:vAlign w:val="bottom"/>
          </w:tcPr>
          <w:p w14:paraId="0512BA61" w14:textId="017816C4" w:rsidR="00EE2FBE" w:rsidRPr="009A482D" w:rsidRDefault="009F6D97" w:rsidP="00866F91">
            <w:pPr>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36"/>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6"/>
                <w14:textFill>
                  <w14:solidFill>
                    <w14:srgbClr w14:val="000000">
                      <w14:alpha w14:val="100000"/>
                    </w14:srgbClr>
                  </w14:solidFill>
                </w14:textFill>
              </w:rPr>
              <w:t>|</w:t>
            </w:r>
            <w:r w:rsidR="00EE2FBE" w:rsidRPr="009A482D">
              <w:rPr>
                <w:rFonts w:ascii="Arial Narrow" w:hAnsi="Arial Narrow" w:cs="Calibri"/>
                <w:iCs/>
                <w:color w:val="000000"/>
                <w:sz w:val="20"/>
                <w:szCs w:val="20"/>
              </w:rPr>
              <w:t>%</w:t>
            </w:r>
          </w:p>
        </w:tc>
      </w:tr>
      <w:tr w:rsidR="0031223D" w:rsidRPr="00731632" w14:paraId="1E9A8DAC" w14:textId="77777777" w:rsidTr="00B67E00">
        <w:tc>
          <w:tcPr>
            <w:tcW w:w="312" w:type="pct"/>
            <w:vAlign w:val="bottom"/>
          </w:tcPr>
          <w:p w14:paraId="2D240D6E" w14:textId="77777777" w:rsidR="00FB769B" w:rsidRPr="00731632" w:rsidRDefault="00FB769B" w:rsidP="00866F91">
            <w:pPr>
              <w:rPr>
                <w:rFonts w:ascii="Arial Narrow" w:hAnsi="Arial Narrow" w:cs="Calibri"/>
                <w:i/>
                <w:color w:val="000000"/>
                <w:sz w:val="20"/>
                <w:szCs w:val="20"/>
              </w:rPr>
            </w:pPr>
          </w:p>
        </w:tc>
        <w:tc>
          <w:tcPr>
            <w:tcW w:w="4688" w:type="pct"/>
            <w:gridSpan w:val="5"/>
            <w:vAlign w:val="bottom"/>
          </w:tcPr>
          <w:p w14:paraId="5B23F792" w14:textId="02E51269" w:rsidR="00FB769B" w:rsidRPr="00731632" w:rsidRDefault="00FB769B" w:rsidP="00985A6C">
            <w:pPr>
              <w:jc w:val="left"/>
              <w:rPr>
                <w:rFonts w:ascii="Arial Narrow" w:hAnsi="Arial Narrow" w:cs="Calibri"/>
                <w:iCs/>
                <w:color w:val="000000"/>
                <w:sz w:val="20"/>
                <w:szCs w:val="20"/>
              </w:rPr>
            </w:pPr>
            <w:r w:rsidRPr="00731632">
              <w:rPr>
                <w:rFonts w:ascii="Arial Narrow" w:hAnsi="Arial Narrow" w:cs="Calibri"/>
                <w:b/>
                <w:bCs/>
                <w:iCs/>
                <w:color w:val="000000"/>
                <w:sz w:val="20"/>
                <w:szCs w:val="20"/>
              </w:rPr>
              <w:t>Multivariate analys</w:t>
            </w:r>
            <w:r w:rsidR="00985A6C" w:rsidRPr="00731632">
              <w:rPr>
                <w:rFonts w:ascii="Arial Narrow" w:hAnsi="Arial Narrow" w:cs="Calibri"/>
                <w:b/>
                <w:bCs/>
                <w:iCs/>
                <w:color w:val="000000"/>
                <w:sz w:val="20"/>
                <w:szCs w:val="20"/>
              </w:rPr>
              <w:t>e</w:t>
            </w:r>
            <w:r w:rsidRPr="00731632">
              <w:rPr>
                <w:rFonts w:ascii="Arial Narrow" w:hAnsi="Arial Narrow" w:cs="Calibri"/>
                <w:b/>
                <w:bCs/>
                <w:iCs/>
                <w:color w:val="000000"/>
                <w:sz w:val="20"/>
                <w:szCs w:val="20"/>
              </w:rPr>
              <w:t>s proposed by the ESC</w:t>
            </w:r>
          </w:p>
        </w:tc>
      </w:tr>
      <w:tr w:rsidR="00B67E00" w:rsidRPr="00731632" w14:paraId="5069C62C" w14:textId="77777777" w:rsidTr="00B67E00">
        <w:tc>
          <w:tcPr>
            <w:tcW w:w="312" w:type="pct"/>
            <w:vAlign w:val="bottom"/>
          </w:tcPr>
          <w:p w14:paraId="1E22397B" w14:textId="6D1D1FE5" w:rsidR="00E960CB" w:rsidRPr="00731632" w:rsidRDefault="00E960CB" w:rsidP="00E960CB">
            <w:pPr>
              <w:rPr>
                <w:rFonts w:ascii="Arial Narrow" w:hAnsi="Arial Narrow" w:cs="Calibri"/>
                <w:iCs/>
                <w:color w:val="000000"/>
                <w:sz w:val="20"/>
                <w:szCs w:val="20"/>
              </w:rPr>
            </w:pPr>
            <w:bookmarkStart w:id="97" w:name="_Hlk169822727"/>
            <w:r w:rsidRPr="00731632">
              <w:rPr>
                <w:rFonts w:ascii="Arial Narrow" w:hAnsi="Arial Narrow" w:cs="Calibri"/>
                <w:iCs/>
                <w:color w:val="000000"/>
                <w:sz w:val="20"/>
                <w:szCs w:val="20"/>
              </w:rPr>
              <w:t>ESC1</w:t>
            </w:r>
          </w:p>
        </w:tc>
        <w:tc>
          <w:tcPr>
            <w:tcW w:w="2214" w:type="pct"/>
          </w:tcPr>
          <w:p w14:paraId="2203EA58" w14:textId="3C6D9E5E" w:rsidR="00E960CB" w:rsidRPr="00731632" w:rsidRDefault="00E960CB" w:rsidP="00985A6C">
            <w:pPr>
              <w:jc w:val="left"/>
              <w:rPr>
                <w:rFonts w:ascii="Arial Narrow" w:hAnsi="Arial Narrow" w:cs="Calibri"/>
                <w:iCs/>
                <w:color w:val="000000"/>
                <w:sz w:val="20"/>
                <w:szCs w:val="20"/>
              </w:rPr>
            </w:pPr>
            <w:r w:rsidRPr="00731632">
              <w:rPr>
                <w:rFonts w:ascii="Arial Narrow" w:hAnsi="Arial Narrow" w:cs="Calibri"/>
                <w:iCs/>
                <w:color w:val="000000"/>
                <w:sz w:val="20"/>
                <w:szCs w:val="20"/>
              </w:rPr>
              <w:t>13 + 18</w:t>
            </w:r>
          </w:p>
        </w:tc>
        <w:tc>
          <w:tcPr>
            <w:tcW w:w="630" w:type="pct"/>
            <w:tcBorders>
              <w:bottom w:val="single" w:sz="4" w:space="0" w:color="auto"/>
            </w:tcBorders>
            <w:shd w:val="solid" w:color="000000" w:fill="000000"/>
          </w:tcPr>
          <w:p w14:paraId="0B41F076" w14:textId="3D838245" w:rsidR="00E960CB" w:rsidRPr="009A482D" w:rsidRDefault="009F6D97" w:rsidP="00E960CB">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35"/>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5"/>
                <w14:textFill>
                  <w14:solidFill>
                    <w14:srgbClr w14:val="000000">
                      <w14:alpha w14:val="100000"/>
                    </w14:srgbClr>
                  </w14:solidFill>
                </w14:textFill>
              </w:rPr>
              <w:t>|</w:t>
            </w:r>
          </w:p>
        </w:tc>
        <w:tc>
          <w:tcPr>
            <w:tcW w:w="630" w:type="pct"/>
            <w:vAlign w:val="center"/>
          </w:tcPr>
          <w:p w14:paraId="7BB2A512" w14:textId="6B29FFCB" w:rsidR="00E960CB" w:rsidRPr="00731632" w:rsidRDefault="00E960CB" w:rsidP="00B67E00">
            <w:pPr>
              <w:jc w:val="center"/>
              <w:rPr>
                <w:rFonts w:ascii="Arial Narrow" w:hAnsi="Arial Narrow" w:cs="Calibri"/>
                <w:iCs/>
                <w:color w:val="000000"/>
                <w:sz w:val="20"/>
                <w:szCs w:val="20"/>
              </w:rPr>
            </w:pPr>
            <w:r w:rsidRPr="00731632">
              <w:rPr>
                <w:rFonts w:ascii="Arial Narrow" w:hAnsi="Arial Narrow" w:cs="Calibri"/>
                <w:iCs/>
                <w:color w:val="000000"/>
                <w:sz w:val="20"/>
                <w:szCs w:val="20"/>
              </w:rPr>
              <w:t>580</w:t>
            </w:r>
          </w:p>
        </w:tc>
        <w:tc>
          <w:tcPr>
            <w:tcW w:w="494" w:type="pct"/>
          </w:tcPr>
          <w:p w14:paraId="0F73AB50" w14:textId="1CBB8A4A" w:rsidR="00E960CB" w:rsidRPr="009A482D" w:rsidRDefault="009F6D97" w:rsidP="00E960CB">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34"/>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4"/>
                <w14:textFill>
                  <w14:solidFill>
                    <w14:srgbClr w14:val="000000">
                      <w14:alpha w14:val="100000"/>
                    </w14:srgbClr>
                  </w14:solidFill>
                </w14:textFill>
              </w:rPr>
              <w:t>|</w:t>
            </w:r>
            <w:r w:rsidR="002202CE" w:rsidRPr="005C269B">
              <w:rPr>
                <w:rFonts w:ascii="Arial Narrow" w:hAnsi="Arial Narrow" w:cs="Calibri"/>
                <w:iCs/>
                <w:color w:val="000000"/>
                <w:sz w:val="20"/>
                <w:szCs w:val="20"/>
                <w:vertAlign w:val="superscript"/>
              </w:rPr>
              <w:t>4</w:t>
            </w:r>
          </w:p>
        </w:tc>
        <w:tc>
          <w:tcPr>
            <w:tcW w:w="719" w:type="pct"/>
          </w:tcPr>
          <w:p w14:paraId="637FD4A2" w14:textId="02A7DD41" w:rsidR="00E960CB" w:rsidRPr="009A482D" w:rsidRDefault="009F6D97" w:rsidP="00E960CB">
            <w:pPr>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33"/>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3"/>
                <w14:textFill>
                  <w14:solidFill>
                    <w14:srgbClr w14:val="000000">
                      <w14:alpha w14:val="100000"/>
                    </w14:srgbClr>
                  </w14:solidFill>
                </w14:textFill>
              </w:rPr>
              <w:t>|</w:t>
            </w:r>
            <w:r w:rsidR="00E960CB" w:rsidRPr="009A482D">
              <w:rPr>
                <w:rFonts w:ascii="Arial Narrow" w:hAnsi="Arial Narrow" w:cs="Calibri"/>
                <w:iCs/>
                <w:color w:val="000000"/>
                <w:sz w:val="20"/>
                <w:szCs w:val="20"/>
              </w:rPr>
              <w:t>%</w:t>
            </w:r>
          </w:p>
        </w:tc>
      </w:tr>
      <w:tr w:rsidR="00B67E00" w:rsidRPr="00731632" w14:paraId="1474F062" w14:textId="77777777" w:rsidTr="00B67E00">
        <w:tc>
          <w:tcPr>
            <w:tcW w:w="312" w:type="pct"/>
            <w:vAlign w:val="bottom"/>
          </w:tcPr>
          <w:p w14:paraId="08AB3342" w14:textId="3002A741" w:rsidR="00E960CB" w:rsidRPr="00731632" w:rsidRDefault="00E960CB" w:rsidP="00E960CB">
            <w:pPr>
              <w:rPr>
                <w:rFonts w:ascii="Arial Narrow" w:hAnsi="Arial Narrow" w:cs="Calibri"/>
                <w:iCs/>
                <w:color w:val="000000"/>
                <w:sz w:val="20"/>
                <w:szCs w:val="20"/>
              </w:rPr>
            </w:pPr>
            <w:r w:rsidRPr="00731632">
              <w:rPr>
                <w:rFonts w:ascii="Arial Narrow" w:hAnsi="Arial Narrow" w:cs="Calibri"/>
                <w:iCs/>
                <w:color w:val="000000"/>
                <w:sz w:val="20"/>
                <w:szCs w:val="20"/>
              </w:rPr>
              <w:t>ESC2</w:t>
            </w:r>
          </w:p>
        </w:tc>
        <w:tc>
          <w:tcPr>
            <w:tcW w:w="2214" w:type="pct"/>
          </w:tcPr>
          <w:p w14:paraId="2ADA2413" w14:textId="350FDDE0" w:rsidR="00E960CB" w:rsidRPr="00731632" w:rsidRDefault="00E960CB" w:rsidP="00985A6C">
            <w:pPr>
              <w:jc w:val="left"/>
              <w:rPr>
                <w:rFonts w:ascii="Arial Narrow" w:hAnsi="Arial Narrow" w:cs="Calibri"/>
                <w:iCs/>
                <w:color w:val="000000"/>
                <w:sz w:val="20"/>
                <w:szCs w:val="20"/>
              </w:rPr>
            </w:pPr>
            <w:r w:rsidRPr="00731632">
              <w:rPr>
                <w:rFonts w:ascii="Arial Narrow" w:hAnsi="Arial Narrow" w:cs="Calibri"/>
                <w:iCs/>
                <w:color w:val="000000"/>
                <w:sz w:val="20"/>
                <w:szCs w:val="20"/>
              </w:rPr>
              <w:t>13 + 18 + 14</w:t>
            </w:r>
          </w:p>
        </w:tc>
        <w:tc>
          <w:tcPr>
            <w:tcW w:w="630" w:type="pct"/>
            <w:tcBorders>
              <w:bottom w:val="single" w:sz="4" w:space="0" w:color="auto"/>
            </w:tcBorders>
            <w:shd w:val="solid" w:color="000000" w:fill="000000"/>
          </w:tcPr>
          <w:p w14:paraId="0DA6B01E" w14:textId="74D1D7FB" w:rsidR="00E960CB" w:rsidRPr="009A482D" w:rsidRDefault="009F6D97" w:rsidP="00E960CB">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32"/>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32"/>
                <w14:textFill>
                  <w14:solidFill>
                    <w14:srgbClr w14:val="000000">
                      <w14:alpha w14:val="100000"/>
                    </w14:srgbClr>
                  </w14:solidFill>
                </w14:textFill>
              </w:rPr>
              <w:t>|</w:t>
            </w:r>
          </w:p>
        </w:tc>
        <w:tc>
          <w:tcPr>
            <w:tcW w:w="630" w:type="pct"/>
            <w:vAlign w:val="center"/>
          </w:tcPr>
          <w:p w14:paraId="4EBF1FC0" w14:textId="7FA5CC5A" w:rsidR="00E960CB" w:rsidRPr="00731632" w:rsidRDefault="00E960CB" w:rsidP="00B67E00">
            <w:pPr>
              <w:jc w:val="center"/>
              <w:rPr>
                <w:rFonts w:ascii="Arial Narrow" w:hAnsi="Arial Narrow" w:cs="Calibri"/>
                <w:iCs/>
                <w:color w:val="000000"/>
                <w:sz w:val="20"/>
                <w:szCs w:val="20"/>
              </w:rPr>
            </w:pPr>
            <w:r w:rsidRPr="00731632">
              <w:rPr>
                <w:rFonts w:ascii="Arial Narrow" w:hAnsi="Arial Narrow" w:cs="Calibri"/>
                <w:iCs/>
                <w:color w:val="000000"/>
                <w:sz w:val="20"/>
                <w:szCs w:val="20"/>
              </w:rPr>
              <w:t>295</w:t>
            </w:r>
          </w:p>
        </w:tc>
        <w:tc>
          <w:tcPr>
            <w:tcW w:w="494" w:type="pct"/>
          </w:tcPr>
          <w:p w14:paraId="1531F314" w14:textId="0F0EF7B2" w:rsidR="00E960CB" w:rsidRPr="009A482D" w:rsidRDefault="009F6D97" w:rsidP="00E960CB">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31"/>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1"/>
                <w14:textFill>
                  <w14:solidFill>
                    <w14:srgbClr w14:val="000000">
                      <w14:alpha w14:val="100000"/>
                    </w14:srgbClr>
                  </w14:solidFill>
                </w14:textFill>
              </w:rPr>
              <w:t>|</w:t>
            </w:r>
            <w:r w:rsidR="00A70427" w:rsidRPr="005C269B">
              <w:rPr>
                <w:rFonts w:ascii="Arial Narrow" w:hAnsi="Arial Narrow" w:cs="Calibri"/>
                <w:iCs/>
                <w:color w:val="000000"/>
                <w:sz w:val="20"/>
                <w:szCs w:val="20"/>
                <w:vertAlign w:val="superscript"/>
              </w:rPr>
              <w:t>6</w:t>
            </w:r>
          </w:p>
        </w:tc>
        <w:tc>
          <w:tcPr>
            <w:tcW w:w="719" w:type="pct"/>
          </w:tcPr>
          <w:p w14:paraId="3846F014" w14:textId="4A0EDC9E" w:rsidR="00E960CB" w:rsidRPr="009A482D" w:rsidRDefault="009F6D97" w:rsidP="00E960CB">
            <w:pPr>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30"/>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30"/>
                <w14:textFill>
                  <w14:solidFill>
                    <w14:srgbClr w14:val="000000">
                      <w14:alpha w14:val="100000"/>
                    </w14:srgbClr>
                  </w14:solidFill>
                </w14:textFill>
              </w:rPr>
              <w:t>|</w:t>
            </w:r>
            <w:r w:rsidR="00E960CB" w:rsidRPr="009A482D">
              <w:rPr>
                <w:rFonts w:ascii="Arial Narrow" w:hAnsi="Arial Narrow" w:cs="Calibri"/>
                <w:iCs/>
                <w:color w:val="000000"/>
                <w:sz w:val="20"/>
                <w:szCs w:val="20"/>
              </w:rPr>
              <w:t>%</w:t>
            </w:r>
          </w:p>
        </w:tc>
      </w:tr>
      <w:tr w:rsidR="00B67E00" w:rsidRPr="00731632" w14:paraId="1202D7A8" w14:textId="77777777" w:rsidTr="00B67E00">
        <w:tc>
          <w:tcPr>
            <w:tcW w:w="312" w:type="pct"/>
            <w:vAlign w:val="bottom"/>
          </w:tcPr>
          <w:p w14:paraId="779CAE66" w14:textId="59979A3D" w:rsidR="005F4C09" w:rsidRPr="00731632" w:rsidRDefault="005F4C09" w:rsidP="005F4C09">
            <w:pPr>
              <w:rPr>
                <w:rFonts w:ascii="Arial Narrow" w:hAnsi="Arial Narrow" w:cs="Calibri"/>
                <w:iCs/>
                <w:color w:val="000000"/>
                <w:sz w:val="20"/>
                <w:szCs w:val="20"/>
              </w:rPr>
            </w:pPr>
            <w:r w:rsidRPr="00731632">
              <w:rPr>
                <w:rFonts w:ascii="Arial Narrow" w:hAnsi="Arial Narrow" w:cs="Calibri"/>
                <w:iCs/>
                <w:color w:val="000000"/>
                <w:sz w:val="20"/>
                <w:szCs w:val="20"/>
              </w:rPr>
              <w:t>ESC3</w:t>
            </w:r>
          </w:p>
        </w:tc>
        <w:tc>
          <w:tcPr>
            <w:tcW w:w="2214" w:type="pct"/>
          </w:tcPr>
          <w:p w14:paraId="50DB83FA" w14:textId="723EDB92" w:rsidR="005F4C09" w:rsidRPr="00731632" w:rsidRDefault="005F4C09" w:rsidP="00985A6C">
            <w:pPr>
              <w:jc w:val="left"/>
              <w:rPr>
                <w:rFonts w:ascii="Arial Narrow" w:hAnsi="Arial Narrow" w:cs="Calibri"/>
                <w:iCs/>
                <w:color w:val="000000"/>
                <w:sz w:val="20"/>
                <w:szCs w:val="20"/>
              </w:rPr>
            </w:pPr>
            <w:r w:rsidRPr="00731632">
              <w:rPr>
                <w:rFonts w:ascii="Arial Narrow" w:hAnsi="Arial Narrow" w:cs="Calibri"/>
                <w:iCs/>
                <w:color w:val="000000"/>
                <w:sz w:val="20"/>
                <w:szCs w:val="20"/>
              </w:rPr>
              <w:t>13 + 18 + 14 + 20</w:t>
            </w:r>
          </w:p>
        </w:tc>
        <w:tc>
          <w:tcPr>
            <w:tcW w:w="630" w:type="pct"/>
            <w:shd w:val="solid" w:color="000000" w:fill="000000"/>
          </w:tcPr>
          <w:p w14:paraId="1062F0A7" w14:textId="33BE67B3" w:rsidR="005F4C09" w:rsidRPr="009A482D" w:rsidRDefault="009F6D97" w:rsidP="005F4C09">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fitText w:val="310" w:id="-893211129"/>
                <w14:textFill>
                  <w14:solidFill>
                    <w14:srgbClr w14:val="000000">
                      <w14:alpha w14:val="100000"/>
                    </w14:srgbClr>
                  </w14:solidFill>
                </w14:textFill>
              </w:rPr>
              <w:t>||  |</w:t>
            </w:r>
            <w:r w:rsidRPr="009F6D97">
              <w:rPr>
                <w:rFonts w:ascii="Arial Narrow" w:hAnsi="Arial Narrow" w:cs="Calibri"/>
                <w:iCs/>
                <w:color w:val="000000"/>
                <w:spacing w:val="4"/>
                <w:sz w:val="20"/>
                <w:szCs w:val="20"/>
                <w:fitText w:val="310" w:id="-893211129"/>
                <w14:textFill>
                  <w14:solidFill>
                    <w14:srgbClr w14:val="000000">
                      <w14:alpha w14:val="100000"/>
                    </w14:srgbClr>
                  </w14:solidFill>
                </w14:textFill>
              </w:rPr>
              <w:t>|</w:t>
            </w:r>
          </w:p>
        </w:tc>
        <w:tc>
          <w:tcPr>
            <w:tcW w:w="630" w:type="pct"/>
            <w:vAlign w:val="center"/>
          </w:tcPr>
          <w:p w14:paraId="3EB7008C" w14:textId="73E2D0BA" w:rsidR="005F4C09" w:rsidRPr="00731632" w:rsidRDefault="005F4C09" w:rsidP="00B67E00">
            <w:pPr>
              <w:jc w:val="center"/>
              <w:rPr>
                <w:rFonts w:ascii="Arial Narrow" w:hAnsi="Arial Narrow" w:cs="Calibri"/>
                <w:iCs/>
                <w:color w:val="000000"/>
                <w:sz w:val="20"/>
                <w:szCs w:val="20"/>
              </w:rPr>
            </w:pPr>
            <w:r w:rsidRPr="00731632">
              <w:rPr>
                <w:rFonts w:ascii="Arial Narrow" w:hAnsi="Arial Narrow" w:cs="Calibri"/>
                <w:iCs/>
                <w:color w:val="000000"/>
                <w:sz w:val="20"/>
                <w:szCs w:val="20"/>
              </w:rPr>
              <w:t>592</w:t>
            </w:r>
          </w:p>
        </w:tc>
        <w:tc>
          <w:tcPr>
            <w:tcW w:w="494" w:type="pct"/>
          </w:tcPr>
          <w:p w14:paraId="0D9CD873" w14:textId="63FDDB10" w:rsidR="005F4C09" w:rsidRPr="009A482D" w:rsidRDefault="009F6D97" w:rsidP="005F4C09">
            <w:pPr>
              <w:rPr>
                <w:rFonts w:ascii="Arial Narrow" w:hAnsi="Arial Narrow" w:cs="Calibri"/>
                <w:iCs/>
                <w:color w:val="000000"/>
                <w:sz w:val="20"/>
                <w:szCs w:val="20"/>
                <w:highlight w:val="lightGray"/>
              </w:rPr>
            </w:pPr>
            <w:r w:rsidRPr="009F6D97">
              <w:rPr>
                <w:rFonts w:ascii="Arial Narrow" w:hAnsi="Arial Narrow" w:cs="Calibri"/>
                <w:iCs/>
                <w:color w:val="000000"/>
                <w:spacing w:val="9"/>
                <w:sz w:val="20"/>
                <w:szCs w:val="20"/>
                <w:shd w:val="solid" w:color="000000" w:fill="000000"/>
                <w:fitText w:val="310" w:id="-893211128"/>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8"/>
                <w14:textFill>
                  <w14:solidFill>
                    <w14:srgbClr w14:val="000000">
                      <w14:alpha w14:val="100000"/>
                    </w14:srgbClr>
                  </w14:solidFill>
                </w14:textFill>
              </w:rPr>
              <w:t>|</w:t>
            </w:r>
            <w:r w:rsidR="00EB4A7C" w:rsidRPr="009A482D">
              <w:rPr>
                <w:rFonts w:ascii="Arial Narrow" w:hAnsi="Arial Narrow" w:cs="Calibri"/>
                <w:iCs/>
                <w:color w:val="000000"/>
                <w:sz w:val="20"/>
                <w:szCs w:val="20"/>
                <w:vertAlign w:val="superscript"/>
              </w:rPr>
              <w:t>7</w:t>
            </w:r>
          </w:p>
        </w:tc>
        <w:tc>
          <w:tcPr>
            <w:tcW w:w="719" w:type="pct"/>
          </w:tcPr>
          <w:p w14:paraId="5528623B" w14:textId="0437E873" w:rsidR="005F4C09" w:rsidRPr="009A482D" w:rsidRDefault="009F6D97" w:rsidP="005F4C09">
            <w:pPr>
              <w:rPr>
                <w:rFonts w:ascii="Arial Narrow" w:hAnsi="Arial Narrow" w:cs="Calibri"/>
                <w:iCs/>
                <w:color w:val="000000"/>
                <w:sz w:val="20"/>
                <w:szCs w:val="20"/>
              </w:rPr>
            </w:pPr>
            <w:r w:rsidRPr="009F6D97">
              <w:rPr>
                <w:rFonts w:ascii="Arial Narrow" w:hAnsi="Arial Narrow" w:cs="Calibri"/>
                <w:iCs/>
                <w:color w:val="000000"/>
                <w:spacing w:val="9"/>
                <w:sz w:val="20"/>
                <w:szCs w:val="20"/>
                <w:shd w:val="solid" w:color="000000" w:fill="000000"/>
                <w:fitText w:val="310" w:id="-893211127"/>
                <w14:textFill>
                  <w14:solidFill>
                    <w14:srgbClr w14:val="000000">
                      <w14:alpha w14:val="100000"/>
                    </w14:srgbClr>
                  </w14:solidFill>
                </w14:textFill>
              </w:rPr>
              <w:t>||  |</w:t>
            </w:r>
            <w:r w:rsidRPr="009F6D97">
              <w:rPr>
                <w:rFonts w:ascii="Arial Narrow" w:hAnsi="Arial Narrow" w:cs="Calibri"/>
                <w:iCs/>
                <w:color w:val="000000"/>
                <w:spacing w:val="4"/>
                <w:sz w:val="20"/>
                <w:szCs w:val="20"/>
                <w:shd w:val="solid" w:color="000000" w:fill="000000"/>
                <w:fitText w:val="310" w:id="-893211127"/>
                <w14:textFill>
                  <w14:solidFill>
                    <w14:srgbClr w14:val="000000">
                      <w14:alpha w14:val="100000"/>
                    </w14:srgbClr>
                  </w14:solidFill>
                </w14:textFill>
              </w:rPr>
              <w:t>|</w:t>
            </w:r>
            <w:r w:rsidR="005F4C09" w:rsidRPr="009A482D">
              <w:rPr>
                <w:rFonts w:ascii="Arial Narrow" w:hAnsi="Arial Narrow" w:cs="Calibri"/>
                <w:iCs/>
                <w:color w:val="000000"/>
                <w:sz w:val="20"/>
                <w:szCs w:val="20"/>
              </w:rPr>
              <w:t>%</w:t>
            </w:r>
          </w:p>
        </w:tc>
      </w:tr>
    </w:tbl>
    <w:bookmarkEnd w:id="97"/>
    <w:p w14:paraId="1223A95D" w14:textId="77777777" w:rsidR="00EE2FBE" w:rsidRPr="00731632" w:rsidRDefault="00EE2FBE" w:rsidP="00EE2FBE">
      <w:pPr>
        <w:rPr>
          <w:rFonts w:ascii="Arial Narrow" w:hAnsi="Arial Narrow"/>
          <w:iCs/>
          <w:sz w:val="18"/>
          <w:szCs w:val="18"/>
        </w:rPr>
      </w:pPr>
      <w:r w:rsidRPr="00731632">
        <w:rPr>
          <w:rFonts w:ascii="Arial Narrow" w:hAnsi="Arial Narrow"/>
          <w:iCs/>
          <w:sz w:val="18"/>
          <w:szCs w:val="18"/>
        </w:rPr>
        <w:t>Source: generated during the evaluation from the Nirsevimab economic evaluation workbook</w:t>
      </w:r>
    </w:p>
    <w:p w14:paraId="7D251F7C" w14:textId="499994F3" w:rsidR="00EE2FBE" w:rsidRPr="00731632" w:rsidRDefault="00EE2FBE" w:rsidP="00EE2FBE">
      <w:pPr>
        <w:rPr>
          <w:rFonts w:ascii="Arial Narrow" w:hAnsi="Arial Narrow"/>
          <w:iCs/>
          <w:sz w:val="18"/>
          <w:szCs w:val="18"/>
        </w:rPr>
      </w:pPr>
      <w:r w:rsidRPr="00731632">
        <w:rPr>
          <w:rFonts w:ascii="Arial Narrow" w:hAnsi="Arial Narrow"/>
          <w:iCs/>
          <w:sz w:val="18"/>
          <w:szCs w:val="18"/>
        </w:rPr>
        <w:t xml:space="preserve">CFR = case fatality ratio; ED = Emergency department; GP = General practitioner; ICER = incremental cost-effectiveness ratio; ICU = Intensive care unit; </w:t>
      </w:r>
      <w:r w:rsidR="0052781F" w:rsidRPr="00731632">
        <w:rPr>
          <w:rFonts w:ascii="Arial Narrow" w:hAnsi="Arial Narrow"/>
          <w:iCs/>
          <w:sz w:val="18"/>
          <w:szCs w:val="18"/>
        </w:rPr>
        <w:t>MA RSV</w:t>
      </w:r>
      <w:r w:rsidRPr="00731632">
        <w:rPr>
          <w:rFonts w:ascii="Arial Narrow" w:hAnsi="Arial Narrow"/>
          <w:iCs/>
          <w:sz w:val="18"/>
          <w:szCs w:val="18"/>
        </w:rPr>
        <w:t xml:space="preserve"> = Medically attended RSV; NHCDC = National Hospital Cost Data Collection; NNDSS = National Notifiable Diseases Surveillance System; QALY = quality-adjusted life year; RSV = Respiratory syncytial virus, SA# = sensitivity analysis number.</w:t>
      </w:r>
    </w:p>
    <w:p w14:paraId="2AB8415D" w14:textId="77777777" w:rsidR="00460C1F" w:rsidRDefault="00EE2FBE" w:rsidP="00B67E00">
      <w:pPr>
        <w:rPr>
          <w:rFonts w:ascii="Arial Narrow" w:hAnsi="Arial Narrow"/>
          <w:iCs/>
          <w:sz w:val="18"/>
          <w:szCs w:val="18"/>
        </w:rPr>
      </w:pPr>
      <w:r w:rsidRPr="00731632">
        <w:rPr>
          <w:rFonts w:ascii="Arial Narrow" w:hAnsi="Arial Narrow"/>
          <w:iCs/>
          <w:sz w:val="18"/>
          <w:szCs w:val="18"/>
          <w:vertAlign w:val="superscript"/>
        </w:rPr>
        <w:t>a</w:t>
      </w:r>
      <w:r w:rsidRPr="00731632">
        <w:rPr>
          <w:rFonts w:ascii="Arial Narrow" w:hAnsi="Arial Narrow"/>
          <w:iCs/>
          <w:sz w:val="18"/>
          <w:szCs w:val="18"/>
        </w:rPr>
        <w:t>Varying the discount rate alone has almost no impact on the model due to the very small case-fatality ratio applied in the submission’s base case. Sensitivity analysis 21 and 22 represent multivariate analysis and incorporate a change to the CFR (SA# 20) and a change to the discount rate. The impact of the discount rate on the model should be compared with SA# 20.</w:t>
      </w:r>
    </w:p>
    <w:p w14:paraId="1CB39F75" w14:textId="390742B2" w:rsidR="00460C1F" w:rsidRPr="00B67E00" w:rsidRDefault="00460C1F" w:rsidP="00460C1F">
      <w:pPr>
        <w:rPr>
          <w:rFonts w:ascii="Arial Narrow" w:hAnsi="Arial Narrow"/>
          <w:i/>
          <w:iCs/>
          <w:sz w:val="18"/>
          <w:szCs w:val="18"/>
        </w:rPr>
      </w:pPr>
      <w:r w:rsidRPr="00B67E00">
        <w:rPr>
          <w:rFonts w:ascii="Arial Narrow" w:hAnsi="Arial Narrow"/>
          <w:i/>
          <w:iCs/>
          <w:sz w:val="18"/>
          <w:szCs w:val="18"/>
        </w:rPr>
        <w:t>The redacted values correspond to the following ranges</w:t>
      </w:r>
    </w:p>
    <w:p w14:paraId="49A9A3E6" w14:textId="42C23054" w:rsidR="006A49DA" w:rsidRPr="00B67E00" w:rsidRDefault="006A49DA" w:rsidP="006A49DA">
      <w:pPr>
        <w:rPr>
          <w:rFonts w:ascii="Arial Narrow" w:hAnsi="Arial Narrow"/>
          <w:i/>
          <w:iCs/>
          <w:sz w:val="18"/>
          <w:szCs w:val="18"/>
        </w:rPr>
      </w:pPr>
      <w:r w:rsidRPr="00B67E00">
        <w:rPr>
          <w:rFonts w:ascii="Arial Narrow" w:hAnsi="Arial Narrow"/>
          <w:i/>
          <w:iCs/>
          <w:sz w:val="18"/>
          <w:szCs w:val="18"/>
        </w:rPr>
        <w:t>1 $5,000 to &lt; $15,000</w:t>
      </w:r>
    </w:p>
    <w:p w14:paraId="43E61C20" w14:textId="7EA27B0D" w:rsidR="006A49DA" w:rsidRPr="00B67E00" w:rsidRDefault="00036E82" w:rsidP="00460C1F">
      <w:pPr>
        <w:rPr>
          <w:rFonts w:ascii="Arial Narrow" w:hAnsi="Arial Narrow"/>
          <w:i/>
          <w:iCs/>
          <w:sz w:val="18"/>
          <w:szCs w:val="18"/>
        </w:rPr>
      </w:pPr>
      <w:r w:rsidRPr="00B67E00">
        <w:rPr>
          <w:rFonts w:ascii="Arial Narrow" w:hAnsi="Arial Narrow"/>
          <w:i/>
          <w:iCs/>
          <w:sz w:val="18"/>
          <w:szCs w:val="18"/>
        </w:rPr>
        <w:t>2 $15,000 to &lt; $25,000</w:t>
      </w:r>
    </w:p>
    <w:p w14:paraId="48D8D16A" w14:textId="22136233" w:rsidR="00A232A3" w:rsidRPr="00B67E00" w:rsidRDefault="005B6766" w:rsidP="00460C1F">
      <w:pPr>
        <w:rPr>
          <w:rFonts w:ascii="Arial Narrow" w:hAnsi="Arial Narrow"/>
          <w:i/>
          <w:iCs/>
          <w:sz w:val="18"/>
          <w:szCs w:val="18"/>
        </w:rPr>
      </w:pPr>
      <w:r w:rsidRPr="00B67E00">
        <w:rPr>
          <w:rFonts w:ascii="Arial Narrow" w:hAnsi="Arial Narrow"/>
          <w:i/>
          <w:iCs/>
          <w:sz w:val="18"/>
          <w:szCs w:val="18"/>
        </w:rPr>
        <w:t>3 $45,000 to &lt; $55,000</w:t>
      </w:r>
    </w:p>
    <w:p w14:paraId="37A2A7F0" w14:textId="20D4037A" w:rsidR="002202CE" w:rsidRPr="00B67E00" w:rsidRDefault="002202CE" w:rsidP="00460C1F">
      <w:pPr>
        <w:rPr>
          <w:rFonts w:ascii="Arial Narrow" w:hAnsi="Arial Narrow"/>
          <w:i/>
          <w:iCs/>
          <w:sz w:val="18"/>
          <w:szCs w:val="18"/>
        </w:rPr>
      </w:pPr>
      <w:r w:rsidRPr="00B67E00">
        <w:rPr>
          <w:rFonts w:ascii="Arial Narrow" w:hAnsi="Arial Narrow"/>
          <w:i/>
          <w:iCs/>
          <w:sz w:val="18"/>
          <w:szCs w:val="18"/>
        </w:rPr>
        <w:t>4 $25,000 to &lt; $35,000</w:t>
      </w:r>
    </w:p>
    <w:p w14:paraId="2BA487D8" w14:textId="6017E82D" w:rsidR="001657E8" w:rsidRPr="00B67E00" w:rsidRDefault="001657E8" w:rsidP="00460C1F">
      <w:pPr>
        <w:rPr>
          <w:rFonts w:ascii="Arial Narrow" w:hAnsi="Arial Narrow"/>
          <w:i/>
          <w:iCs/>
          <w:sz w:val="18"/>
          <w:szCs w:val="18"/>
        </w:rPr>
      </w:pPr>
      <w:r w:rsidRPr="00B67E00">
        <w:rPr>
          <w:rFonts w:ascii="Arial Narrow" w:hAnsi="Arial Narrow"/>
          <w:i/>
          <w:iCs/>
          <w:sz w:val="18"/>
          <w:szCs w:val="18"/>
        </w:rPr>
        <w:t>5 $55,000 to &lt; $75,000</w:t>
      </w:r>
    </w:p>
    <w:p w14:paraId="474415A4" w14:textId="36253D94" w:rsidR="00A70427" w:rsidRPr="00B67E00" w:rsidRDefault="00A70427" w:rsidP="00460C1F">
      <w:pPr>
        <w:rPr>
          <w:rFonts w:ascii="Arial Narrow" w:hAnsi="Arial Narrow"/>
          <w:i/>
          <w:iCs/>
          <w:sz w:val="18"/>
          <w:szCs w:val="18"/>
        </w:rPr>
      </w:pPr>
      <w:r w:rsidRPr="00B67E00">
        <w:rPr>
          <w:rFonts w:ascii="Arial Narrow" w:hAnsi="Arial Narrow"/>
          <w:i/>
          <w:iCs/>
          <w:sz w:val="18"/>
          <w:szCs w:val="18"/>
        </w:rPr>
        <w:t>6 $75,000 to &lt; $95,000</w:t>
      </w:r>
    </w:p>
    <w:p w14:paraId="1435DBEC" w14:textId="70ADB852" w:rsidR="00EE2FBE" w:rsidRPr="00B67E00" w:rsidRDefault="00946D74" w:rsidP="00B67E00">
      <w:pPr>
        <w:spacing w:after="120"/>
        <w:rPr>
          <w:rFonts w:ascii="Arial Narrow" w:hAnsi="Arial Narrow"/>
          <w:i/>
          <w:iCs/>
          <w:sz w:val="18"/>
          <w:szCs w:val="18"/>
        </w:rPr>
      </w:pPr>
      <w:r w:rsidRPr="00B67E00">
        <w:rPr>
          <w:rFonts w:ascii="Arial Narrow" w:hAnsi="Arial Narrow"/>
          <w:i/>
          <w:iCs/>
          <w:sz w:val="18"/>
          <w:szCs w:val="18"/>
        </w:rPr>
        <w:t>7 $35,000 to &lt; $45,000</w:t>
      </w:r>
    </w:p>
    <w:p w14:paraId="7142BA95" w14:textId="267E5ED4" w:rsidR="00EE2FBE" w:rsidRPr="00731632" w:rsidRDefault="00EE2FBE" w:rsidP="00EE2FBE">
      <w:pPr>
        <w:pStyle w:val="3-BodyText"/>
        <w:rPr>
          <w:iCs/>
        </w:rPr>
      </w:pPr>
      <w:r w:rsidRPr="00731632">
        <w:rPr>
          <w:iCs/>
        </w:rPr>
        <w:t>The</w:t>
      </w:r>
      <w:r w:rsidR="00C93BFB" w:rsidRPr="00731632">
        <w:rPr>
          <w:iCs/>
        </w:rPr>
        <w:t xml:space="preserve"> evaluation considered that the</w:t>
      </w:r>
      <w:r w:rsidRPr="00731632">
        <w:rPr>
          <w:iCs/>
        </w:rPr>
        <w:t xml:space="preserve"> </w:t>
      </w:r>
      <w:r w:rsidR="009C281D" w:rsidRPr="00731632">
        <w:rPr>
          <w:iCs/>
        </w:rPr>
        <w:t xml:space="preserve">submission’s </w:t>
      </w:r>
      <w:r w:rsidRPr="00731632">
        <w:rPr>
          <w:iCs/>
        </w:rPr>
        <w:t>model contain</w:t>
      </w:r>
      <w:r w:rsidR="009C281D" w:rsidRPr="00731632">
        <w:rPr>
          <w:iCs/>
        </w:rPr>
        <w:t>ed</w:t>
      </w:r>
      <w:r w:rsidRPr="00731632">
        <w:rPr>
          <w:iCs/>
        </w:rPr>
        <w:t xml:space="preserve"> many parameters that</w:t>
      </w:r>
      <w:r w:rsidR="00F677B5" w:rsidRPr="00731632">
        <w:rPr>
          <w:iCs/>
        </w:rPr>
        <w:t xml:space="preserve"> were </w:t>
      </w:r>
      <w:r w:rsidRPr="00731632">
        <w:rPr>
          <w:iCs/>
        </w:rPr>
        <w:t xml:space="preserve">both uncertain and influential on the model results. A multivariate analysis </w:t>
      </w:r>
      <w:r w:rsidR="00ED0A7C" w:rsidRPr="00731632">
        <w:rPr>
          <w:iCs/>
        </w:rPr>
        <w:t>was</w:t>
      </w:r>
      <w:r w:rsidRPr="00731632">
        <w:rPr>
          <w:iCs/>
        </w:rPr>
        <w:t xml:space="preserve"> undertaken </w:t>
      </w:r>
      <w:r w:rsidR="00ED0A7C" w:rsidRPr="00731632">
        <w:rPr>
          <w:iCs/>
        </w:rPr>
        <w:t xml:space="preserve">by the evaluation </w:t>
      </w:r>
      <w:r w:rsidRPr="00731632">
        <w:rPr>
          <w:iCs/>
        </w:rPr>
        <w:t xml:space="preserve">(MA1 in </w:t>
      </w:r>
      <w:r w:rsidRPr="00731632">
        <w:rPr>
          <w:iCs/>
        </w:rPr>
        <w:fldChar w:fldCharType="begin"/>
      </w:r>
      <w:r w:rsidRPr="00731632">
        <w:rPr>
          <w:iCs/>
        </w:rPr>
        <w:instrText xml:space="preserve"> REF _Ref166275546 \h  \* MERGEFORMAT </w:instrText>
      </w:r>
      <w:r w:rsidRPr="00731632">
        <w:rPr>
          <w:iCs/>
        </w:rPr>
      </w:r>
      <w:r w:rsidRPr="00731632">
        <w:rPr>
          <w:iCs/>
        </w:rPr>
        <w:fldChar w:fldCharType="separate"/>
      </w:r>
      <w:r w:rsidR="00D770BB" w:rsidRPr="00D770BB">
        <w:rPr>
          <w:iCs/>
        </w:rPr>
        <w:t>Table 22</w:t>
      </w:r>
      <w:r w:rsidRPr="00731632">
        <w:rPr>
          <w:iCs/>
        </w:rPr>
        <w:fldChar w:fldCharType="end"/>
      </w:r>
      <w:r w:rsidRPr="00731632">
        <w:rPr>
          <w:iCs/>
        </w:rPr>
        <w:t>). Changes applied in the multivariate analysis that increase the ICER include: an estimate of effectiveness from the MELODY study, the removal of mechanical ventilation from the model, the removal of asthma and wheezing from the model, the reduction of ED costs for non</w:t>
      </w:r>
      <w:r w:rsidR="00266A98" w:rsidRPr="00731632">
        <w:rPr>
          <w:iCs/>
        </w:rPr>
        <w:t>-</w:t>
      </w:r>
      <w:r w:rsidRPr="00731632">
        <w:rPr>
          <w:iCs/>
        </w:rPr>
        <w:t xml:space="preserve">hospitalised </w:t>
      </w:r>
      <w:r w:rsidR="00B63F4A" w:rsidRPr="00731632">
        <w:rPr>
          <w:iCs/>
        </w:rPr>
        <w:t>individuals</w:t>
      </w:r>
      <w:r w:rsidRPr="00731632">
        <w:rPr>
          <w:iCs/>
        </w:rPr>
        <w:t>, and the use of only index hospitalisations relating for the derivation of hospitalisation, ICU and ED costs. Changes that reduce the ICER</w:t>
      </w:r>
      <w:r w:rsidR="00F677B5" w:rsidRPr="00731632">
        <w:rPr>
          <w:iCs/>
        </w:rPr>
        <w:t xml:space="preserve"> were </w:t>
      </w:r>
      <w:r w:rsidRPr="00731632">
        <w:rPr>
          <w:iCs/>
        </w:rPr>
        <w:t>the addition of ED costs to hospitalisation costs and the application of a higher case fatality rate.</w:t>
      </w:r>
    </w:p>
    <w:p w14:paraId="27FCDBC5" w14:textId="27244726" w:rsidR="00EE2FBE" w:rsidRPr="00731632" w:rsidRDefault="00EE2FBE" w:rsidP="00866F91">
      <w:pPr>
        <w:pStyle w:val="3-BodyText"/>
        <w:rPr>
          <w:iCs/>
        </w:rPr>
      </w:pPr>
      <w:bookmarkStart w:id="98" w:name="_Ref169888540"/>
      <w:r w:rsidRPr="00731632">
        <w:rPr>
          <w:iCs/>
        </w:rPr>
        <w:t>The multivariate analysis</w:t>
      </w:r>
      <w:r w:rsidR="004A7FCA" w:rsidRPr="00731632">
        <w:rPr>
          <w:iCs/>
        </w:rPr>
        <w:t xml:space="preserve"> (MA1 in </w:t>
      </w:r>
      <w:r w:rsidR="004A7FCA" w:rsidRPr="00731632">
        <w:rPr>
          <w:iCs/>
        </w:rPr>
        <w:fldChar w:fldCharType="begin"/>
      </w:r>
      <w:r w:rsidR="004A7FCA" w:rsidRPr="00731632">
        <w:rPr>
          <w:iCs/>
        </w:rPr>
        <w:instrText xml:space="preserve"> REF _Ref166275546 \h </w:instrText>
      </w:r>
      <w:r w:rsidR="004A7FCA" w:rsidRPr="00731632">
        <w:rPr>
          <w:iCs/>
        </w:rPr>
      </w:r>
      <w:r w:rsidR="004A7FCA" w:rsidRPr="00731632">
        <w:rPr>
          <w:iCs/>
        </w:rPr>
        <w:fldChar w:fldCharType="separate"/>
      </w:r>
      <w:r w:rsidR="00D770BB" w:rsidRPr="00731632">
        <w:t xml:space="preserve">Table </w:t>
      </w:r>
      <w:r w:rsidR="00D770BB">
        <w:rPr>
          <w:noProof/>
        </w:rPr>
        <w:t>22</w:t>
      </w:r>
      <w:r w:rsidR="004A7FCA" w:rsidRPr="00731632">
        <w:rPr>
          <w:iCs/>
        </w:rPr>
        <w:fldChar w:fldCharType="end"/>
      </w:r>
      <w:r w:rsidR="004A7FCA" w:rsidRPr="00731632">
        <w:rPr>
          <w:iCs/>
        </w:rPr>
        <w:t>)</w:t>
      </w:r>
      <w:r w:rsidRPr="00731632">
        <w:rPr>
          <w:iCs/>
        </w:rPr>
        <w:t xml:space="preserve"> </w:t>
      </w:r>
      <w:r w:rsidR="00ED0A7C" w:rsidRPr="00731632">
        <w:rPr>
          <w:iCs/>
        </w:rPr>
        <w:t xml:space="preserve">resulted </w:t>
      </w:r>
      <w:r w:rsidRPr="00731632">
        <w:rPr>
          <w:iCs/>
        </w:rPr>
        <w:t xml:space="preserve">in an ICER of </w:t>
      </w:r>
      <w:r w:rsidR="003D2AE4" w:rsidRPr="003D2AE4">
        <w:rPr>
          <w:iCs/>
        </w:rPr>
        <w:t xml:space="preserve">$55,000 to &lt; $75,000 </w:t>
      </w:r>
      <w:r w:rsidR="009C281D" w:rsidRPr="00731632">
        <w:rPr>
          <w:iCs/>
        </w:rPr>
        <w:t>per QALY</w:t>
      </w:r>
      <w:r w:rsidRPr="00731632">
        <w:rPr>
          <w:iCs/>
        </w:rPr>
        <w:t xml:space="preserve">. </w:t>
      </w:r>
      <w:r w:rsidR="009C281D" w:rsidRPr="00731632">
        <w:rPr>
          <w:iCs/>
        </w:rPr>
        <w:t xml:space="preserve"> The evaluation also calculated that i</w:t>
      </w:r>
      <w:r w:rsidRPr="00731632">
        <w:rPr>
          <w:iCs/>
        </w:rPr>
        <w:t xml:space="preserve">f a unique GP attendance </w:t>
      </w:r>
      <w:r w:rsidR="009C281D" w:rsidRPr="00731632">
        <w:rPr>
          <w:iCs/>
        </w:rPr>
        <w:t xml:space="preserve">was assumed </w:t>
      </w:r>
      <w:r w:rsidRPr="00731632">
        <w:rPr>
          <w:iCs/>
        </w:rPr>
        <w:t xml:space="preserve">for each nirsevimab administration, and </w:t>
      </w:r>
      <w:r w:rsidR="009C281D" w:rsidRPr="00731632">
        <w:rPr>
          <w:iCs/>
        </w:rPr>
        <w:t xml:space="preserve">the timing of nirsevimab </w:t>
      </w:r>
      <w:r w:rsidRPr="00731632">
        <w:rPr>
          <w:iCs/>
        </w:rPr>
        <w:t xml:space="preserve">administration </w:t>
      </w:r>
      <w:r w:rsidR="009C281D" w:rsidRPr="00731632">
        <w:rPr>
          <w:iCs/>
        </w:rPr>
        <w:t xml:space="preserve">was delayed </w:t>
      </w:r>
      <w:r w:rsidRPr="00731632">
        <w:rPr>
          <w:iCs/>
        </w:rPr>
        <w:t xml:space="preserve">in the model by 1 month </w:t>
      </w:r>
      <w:r w:rsidR="009C281D" w:rsidRPr="00731632">
        <w:rPr>
          <w:iCs/>
        </w:rPr>
        <w:t xml:space="preserve">(to reflect </w:t>
      </w:r>
      <w:r w:rsidRPr="00731632">
        <w:rPr>
          <w:iCs/>
        </w:rPr>
        <w:t xml:space="preserve"> imprecision </w:t>
      </w:r>
      <w:r w:rsidR="009C281D" w:rsidRPr="00731632">
        <w:rPr>
          <w:iCs/>
        </w:rPr>
        <w:t xml:space="preserve">of timing of </w:t>
      </w:r>
      <w:r w:rsidRPr="00731632">
        <w:rPr>
          <w:iCs/>
        </w:rPr>
        <w:t>dosing in clinical practice</w:t>
      </w:r>
      <w:r w:rsidR="009C281D" w:rsidRPr="00731632">
        <w:rPr>
          <w:iCs/>
        </w:rPr>
        <w:t>)</w:t>
      </w:r>
      <w:r w:rsidRPr="00731632">
        <w:rPr>
          <w:iCs/>
        </w:rPr>
        <w:t>, the ICER increase</w:t>
      </w:r>
      <w:r w:rsidR="009C281D" w:rsidRPr="00731632">
        <w:rPr>
          <w:iCs/>
        </w:rPr>
        <w:t xml:space="preserve">d </w:t>
      </w:r>
      <w:r w:rsidRPr="00731632">
        <w:rPr>
          <w:iCs/>
        </w:rPr>
        <w:t xml:space="preserve"> to</w:t>
      </w:r>
      <w:r w:rsidR="00B057FA" w:rsidRPr="00731632">
        <w:rPr>
          <w:iCs/>
        </w:rPr>
        <w:t xml:space="preserve"> </w:t>
      </w:r>
      <w:r w:rsidR="009C281D" w:rsidRPr="00731632">
        <w:rPr>
          <w:iCs/>
        </w:rPr>
        <w:t>$</w:t>
      </w:r>
      <w:r w:rsidR="00D02A94" w:rsidRPr="00D02A94">
        <w:rPr>
          <w:iCs/>
        </w:rPr>
        <w:t>75,000 to &lt; $95,000</w:t>
      </w:r>
      <w:r w:rsidR="00B67E00">
        <w:rPr>
          <w:iCs/>
        </w:rPr>
        <w:t xml:space="preserve"> </w:t>
      </w:r>
      <w:r w:rsidR="009C281D" w:rsidRPr="00731632">
        <w:rPr>
          <w:iCs/>
        </w:rPr>
        <w:t>per QALY</w:t>
      </w:r>
      <w:r w:rsidR="004A7FCA" w:rsidRPr="00731632">
        <w:rPr>
          <w:iCs/>
        </w:rPr>
        <w:t xml:space="preserve"> (MA3 in </w:t>
      </w:r>
      <w:r w:rsidR="004A7FCA" w:rsidRPr="00731632">
        <w:rPr>
          <w:iCs/>
        </w:rPr>
        <w:fldChar w:fldCharType="begin"/>
      </w:r>
      <w:r w:rsidR="004A7FCA" w:rsidRPr="00731632">
        <w:rPr>
          <w:iCs/>
        </w:rPr>
        <w:instrText xml:space="preserve"> REF _Ref166275546 \h </w:instrText>
      </w:r>
      <w:r w:rsidR="004A7FCA" w:rsidRPr="00731632">
        <w:rPr>
          <w:iCs/>
        </w:rPr>
      </w:r>
      <w:r w:rsidR="004A7FCA" w:rsidRPr="00731632">
        <w:rPr>
          <w:iCs/>
        </w:rPr>
        <w:fldChar w:fldCharType="separate"/>
      </w:r>
      <w:r w:rsidR="00D770BB" w:rsidRPr="00731632">
        <w:t xml:space="preserve">Table </w:t>
      </w:r>
      <w:r w:rsidR="00D770BB">
        <w:rPr>
          <w:noProof/>
        </w:rPr>
        <w:t>22</w:t>
      </w:r>
      <w:r w:rsidR="004A7FCA" w:rsidRPr="00731632">
        <w:rPr>
          <w:iCs/>
        </w:rPr>
        <w:fldChar w:fldCharType="end"/>
      </w:r>
      <w:r w:rsidR="004A7FCA" w:rsidRPr="00731632">
        <w:rPr>
          <w:iCs/>
        </w:rPr>
        <w:t>)</w:t>
      </w:r>
      <w:r w:rsidRPr="00731632">
        <w:rPr>
          <w:iCs/>
        </w:rPr>
        <w:t>.</w:t>
      </w:r>
      <w:bookmarkEnd w:id="98"/>
      <w:r w:rsidRPr="00731632">
        <w:rPr>
          <w:iCs/>
        </w:rPr>
        <w:t xml:space="preserve"> </w:t>
      </w:r>
    </w:p>
    <w:p w14:paraId="60C0DF91" w14:textId="148C38BE" w:rsidR="00475C51" w:rsidRPr="00731632" w:rsidRDefault="009B1C42" w:rsidP="00475C51">
      <w:pPr>
        <w:pStyle w:val="3-BodyText"/>
        <w:rPr>
          <w:iCs/>
        </w:rPr>
      </w:pPr>
      <w:bookmarkStart w:id="99" w:name="_Ref173486723"/>
      <w:r w:rsidRPr="00731632">
        <w:rPr>
          <w:color w:val="000000" w:themeColor="text1"/>
        </w:rPr>
        <w:t xml:space="preserve">The  treatment effect for nirsevimab was applied with a single input, which was a reduction in the number of MA RSV cases.  </w:t>
      </w:r>
      <w:r w:rsidR="009C281D" w:rsidRPr="00731632">
        <w:rPr>
          <w:iCs/>
        </w:rPr>
        <w:t xml:space="preserve">The ESC noted that </w:t>
      </w:r>
      <w:r w:rsidR="00EE2FBE" w:rsidRPr="00731632">
        <w:rPr>
          <w:iCs/>
        </w:rPr>
        <w:t xml:space="preserve">the difference in the treatment effect of nirsevimab for preventing </w:t>
      </w:r>
      <w:r w:rsidR="0052781F" w:rsidRPr="00731632">
        <w:rPr>
          <w:iCs/>
        </w:rPr>
        <w:t>MA RSV</w:t>
      </w:r>
      <w:r w:rsidR="00EE2FBE" w:rsidRPr="00731632">
        <w:rPr>
          <w:iCs/>
        </w:rPr>
        <w:t xml:space="preserve"> (74.5%) and for preventing hospitalised RSV (62.1%)</w:t>
      </w:r>
      <w:r w:rsidR="009C281D" w:rsidRPr="00731632">
        <w:rPr>
          <w:iCs/>
        </w:rPr>
        <w:t xml:space="preserve"> was not addressed by the submission</w:t>
      </w:r>
      <w:r w:rsidR="00EE2FBE" w:rsidRPr="00731632">
        <w:rPr>
          <w:iCs/>
        </w:rPr>
        <w:t>.</w:t>
      </w:r>
      <w:bookmarkEnd w:id="99"/>
    </w:p>
    <w:p w14:paraId="55EF8894" w14:textId="5CFC2FA6" w:rsidR="00D73405" w:rsidRPr="00731632" w:rsidRDefault="00475C51" w:rsidP="00866F91">
      <w:pPr>
        <w:pStyle w:val="3-BodyText"/>
        <w:rPr>
          <w:iCs/>
        </w:rPr>
      </w:pPr>
      <w:bookmarkStart w:id="100" w:name="_Hlk170135932"/>
      <w:bookmarkStart w:id="101" w:name="_Ref169872819"/>
      <w:r w:rsidRPr="00731632">
        <w:rPr>
          <w:iCs/>
        </w:rPr>
        <w:t>The ESC considered that there were several key uncertainties which made interpretation of the economic model difficult.</w:t>
      </w:r>
      <w:r w:rsidR="008174D6" w:rsidRPr="00731632">
        <w:rPr>
          <w:iCs/>
        </w:rPr>
        <w:t xml:space="preserve"> </w:t>
      </w:r>
      <w:r w:rsidRPr="00731632">
        <w:rPr>
          <w:iCs/>
        </w:rPr>
        <w:t xml:space="preserve">The ESC proposed </w:t>
      </w:r>
      <w:r w:rsidR="005F4C09" w:rsidRPr="00731632">
        <w:rPr>
          <w:iCs/>
        </w:rPr>
        <w:t xml:space="preserve">three </w:t>
      </w:r>
      <w:r w:rsidRPr="00731632">
        <w:rPr>
          <w:iCs/>
        </w:rPr>
        <w:t xml:space="preserve">new multivariate analyses for consideration </w:t>
      </w:r>
      <w:r w:rsidR="00E960CB" w:rsidRPr="00731632">
        <w:rPr>
          <w:iCs/>
        </w:rPr>
        <w:t>(</w:t>
      </w:r>
      <w:r w:rsidRPr="00731632">
        <w:rPr>
          <w:iCs/>
        </w:rPr>
        <w:fldChar w:fldCharType="begin"/>
      </w:r>
      <w:r w:rsidRPr="00731632">
        <w:rPr>
          <w:iCs/>
        </w:rPr>
        <w:instrText xml:space="preserve"> REF _Ref166275546 \h </w:instrText>
      </w:r>
      <w:r w:rsidR="00A84DFA" w:rsidRPr="00731632">
        <w:rPr>
          <w:iCs/>
        </w:rPr>
        <w:instrText xml:space="preserve"> \* MERGEFORMAT </w:instrText>
      </w:r>
      <w:r w:rsidRPr="00731632">
        <w:rPr>
          <w:iCs/>
        </w:rPr>
      </w:r>
      <w:r w:rsidRPr="00731632">
        <w:rPr>
          <w:iCs/>
        </w:rPr>
        <w:fldChar w:fldCharType="separate"/>
      </w:r>
      <w:r w:rsidR="00D770BB" w:rsidRPr="00D770BB">
        <w:rPr>
          <w:iCs/>
        </w:rPr>
        <w:t>Table 22</w:t>
      </w:r>
      <w:r w:rsidRPr="00731632">
        <w:rPr>
          <w:iCs/>
        </w:rPr>
        <w:fldChar w:fldCharType="end"/>
      </w:r>
      <w:r w:rsidR="00E960CB" w:rsidRPr="00731632">
        <w:rPr>
          <w:iCs/>
        </w:rPr>
        <w:t>)</w:t>
      </w:r>
      <w:r w:rsidRPr="00731632">
        <w:rPr>
          <w:iCs/>
        </w:rPr>
        <w:t xml:space="preserve">, however </w:t>
      </w:r>
      <w:r w:rsidR="00202978" w:rsidRPr="00731632">
        <w:rPr>
          <w:iCs/>
        </w:rPr>
        <w:t xml:space="preserve">still felt that the resultant ICERs were likely to be </w:t>
      </w:r>
      <w:r w:rsidR="005F4C09" w:rsidRPr="00731632">
        <w:rPr>
          <w:iCs/>
        </w:rPr>
        <w:t>optimistic</w:t>
      </w:r>
      <w:r w:rsidRPr="00731632">
        <w:rPr>
          <w:iCs/>
        </w:rPr>
        <w:t>.</w:t>
      </w:r>
      <w:r w:rsidR="008174D6" w:rsidRPr="00731632">
        <w:rPr>
          <w:iCs/>
        </w:rPr>
        <w:t xml:space="preserve"> </w:t>
      </w:r>
      <w:r w:rsidR="00202978" w:rsidRPr="00731632">
        <w:rPr>
          <w:iCs/>
        </w:rPr>
        <w:t>T</w:t>
      </w:r>
      <w:r w:rsidRPr="00731632">
        <w:rPr>
          <w:iCs/>
        </w:rPr>
        <w:t xml:space="preserve">he ESC </w:t>
      </w:r>
      <w:r w:rsidR="00A84DFA" w:rsidRPr="00731632">
        <w:rPr>
          <w:iCs/>
        </w:rPr>
        <w:t>advised</w:t>
      </w:r>
      <w:r w:rsidRPr="00731632">
        <w:rPr>
          <w:iCs/>
        </w:rPr>
        <w:t xml:space="preserve"> that </w:t>
      </w:r>
      <w:r w:rsidR="00A84DFA" w:rsidRPr="00731632">
        <w:rPr>
          <w:iCs/>
        </w:rPr>
        <w:t>the amendments proposed could be considered a minimum set of changes that would</w:t>
      </w:r>
      <w:r w:rsidR="008174D6" w:rsidRPr="00731632">
        <w:rPr>
          <w:iCs/>
        </w:rPr>
        <w:t xml:space="preserve"> </w:t>
      </w:r>
      <w:r w:rsidR="00A84DFA" w:rsidRPr="00731632">
        <w:rPr>
          <w:iCs/>
        </w:rPr>
        <w:t>be informative for decision-making</w:t>
      </w:r>
      <w:r w:rsidR="00D73405" w:rsidRPr="00731632">
        <w:rPr>
          <w:iCs/>
        </w:rPr>
        <w:t>.</w:t>
      </w:r>
      <w:r w:rsidR="00A84DFA" w:rsidRPr="00731632">
        <w:rPr>
          <w:iCs/>
        </w:rPr>
        <w:t xml:space="preserve"> These included </w:t>
      </w:r>
      <w:r w:rsidRPr="00731632">
        <w:rPr>
          <w:iCs/>
        </w:rPr>
        <w:t xml:space="preserve">amendments to </w:t>
      </w:r>
      <w:r w:rsidR="00EB33B7" w:rsidRPr="00731632">
        <w:rPr>
          <w:iCs/>
        </w:rPr>
        <w:t xml:space="preserve">1) </w:t>
      </w:r>
      <w:r w:rsidRPr="00731632">
        <w:rPr>
          <w:iCs/>
        </w:rPr>
        <w:t xml:space="preserve">mechanical ventilation costs; </w:t>
      </w:r>
      <w:r w:rsidR="00EB33B7" w:rsidRPr="00731632">
        <w:rPr>
          <w:iCs/>
        </w:rPr>
        <w:t xml:space="preserve">2) </w:t>
      </w:r>
      <w:r w:rsidRPr="00731632">
        <w:rPr>
          <w:iCs/>
        </w:rPr>
        <w:t xml:space="preserve">use of updated </w:t>
      </w:r>
      <w:bookmarkEnd w:id="100"/>
      <w:r w:rsidRPr="00731632">
        <w:rPr>
          <w:iCs/>
        </w:rPr>
        <w:t xml:space="preserve">disutilities; </w:t>
      </w:r>
      <w:r w:rsidR="00EB33B7" w:rsidRPr="00731632">
        <w:rPr>
          <w:iCs/>
        </w:rPr>
        <w:t xml:space="preserve">3) </w:t>
      </w:r>
      <w:r w:rsidRPr="00731632">
        <w:rPr>
          <w:iCs/>
        </w:rPr>
        <w:t>removal of asthma and recurrent wheezing</w:t>
      </w:r>
      <w:r w:rsidR="0056213B" w:rsidRPr="00731632">
        <w:rPr>
          <w:iCs/>
        </w:rPr>
        <w:t xml:space="preserve">; and 4) adjustment of CFR to 0.002. </w:t>
      </w:r>
      <w:r w:rsidR="00A84DFA" w:rsidRPr="00731632">
        <w:rPr>
          <w:iCs/>
        </w:rPr>
        <w:t>In addition, the ESC advised that other elements of the economic model were subject to substantial uncertainty.</w:t>
      </w:r>
      <w:r w:rsidR="008174D6" w:rsidRPr="00731632">
        <w:rPr>
          <w:iCs/>
        </w:rPr>
        <w:t xml:space="preserve"> </w:t>
      </w:r>
      <w:r w:rsidR="00A84DFA" w:rsidRPr="00731632">
        <w:rPr>
          <w:iCs/>
        </w:rPr>
        <w:t>These additional key elements were:</w:t>
      </w:r>
      <w:bookmarkEnd w:id="101"/>
    </w:p>
    <w:p w14:paraId="3E2033D5" w14:textId="3EF073F5" w:rsidR="00A84DFA" w:rsidRPr="00731632" w:rsidRDefault="00A84DFA" w:rsidP="00B67E00">
      <w:pPr>
        <w:pStyle w:val="3-BodyText"/>
        <w:numPr>
          <w:ilvl w:val="1"/>
          <w:numId w:val="21"/>
        </w:numPr>
        <w:ind w:left="1134" w:hanging="284"/>
        <w:rPr>
          <w:iCs/>
        </w:rPr>
      </w:pPr>
      <w:r w:rsidRPr="00731632">
        <w:rPr>
          <w:iCs/>
        </w:rPr>
        <w:t xml:space="preserve">reduced effectiveness, noting that the estimate of 79.5% </w:t>
      </w:r>
      <w:r w:rsidR="00925385" w:rsidRPr="00731632">
        <w:rPr>
          <w:iCs/>
        </w:rPr>
        <w:t xml:space="preserve">from a meta-analysis </w:t>
      </w:r>
      <w:r w:rsidRPr="00731632">
        <w:rPr>
          <w:iCs/>
        </w:rPr>
        <w:t xml:space="preserve">applied by the submission was substantially higher than </w:t>
      </w:r>
      <w:r w:rsidR="00925385" w:rsidRPr="00731632">
        <w:rPr>
          <w:iCs/>
        </w:rPr>
        <w:t xml:space="preserve">estimates from the MELODY trial and further that effectiveness of nirsevimab for preventing MA RSV hospitalisations was lower than for preventing all MA RSV (62.1% vs 74.5%), and the economic model did not easily allow hospitalisations to be modelled separately (see </w:t>
      </w:r>
      <w:r w:rsidR="00925385" w:rsidRPr="00731632">
        <w:rPr>
          <w:iCs/>
        </w:rPr>
        <w:fldChar w:fldCharType="begin"/>
      </w:r>
      <w:r w:rsidR="00925385" w:rsidRPr="00731632">
        <w:rPr>
          <w:iCs/>
        </w:rPr>
        <w:instrText xml:space="preserve"> REF _Ref166502326 \h </w:instrText>
      </w:r>
      <w:r w:rsidR="003E6BAB" w:rsidRPr="00731632">
        <w:rPr>
          <w:iCs/>
        </w:rPr>
        <w:instrText xml:space="preserve"> \* MERGEFORMAT </w:instrText>
      </w:r>
      <w:r w:rsidR="00925385" w:rsidRPr="00731632">
        <w:rPr>
          <w:iCs/>
        </w:rPr>
      </w:r>
      <w:r w:rsidR="00925385" w:rsidRPr="00731632">
        <w:rPr>
          <w:iCs/>
        </w:rPr>
        <w:fldChar w:fldCharType="separate"/>
      </w:r>
      <w:r w:rsidR="00D770BB" w:rsidRPr="00D770BB">
        <w:rPr>
          <w:iCs/>
        </w:rPr>
        <w:t>Table 19</w:t>
      </w:r>
      <w:r w:rsidR="00925385" w:rsidRPr="00731632">
        <w:rPr>
          <w:iCs/>
        </w:rPr>
        <w:fldChar w:fldCharType="end"/>
      </w:r>
      <w:r w:rsidR="00925385" w:rsidRPr="00731632">
        <w:rPr>
          <w:iCs/>
        </w:rPr>
        <w:t>).</w:t>
      </w:r>
    </w:p>
    <w:p w14:paraId="58A3AE61" w14:textId="27B627E0" w:rsidR="003E6BAB" w:rsidRPr="00731632" w:rsidRDefault="00A84DFA" w:rsidP="00B67E00">
      <w:pPr>
        <w:pStyle w:val="3-BodyText"/>
        <w:numPr>
          <w:ilvl w:val="1"/>
          <w:numId w:val="21"/>
        </w:numPr>
        <w:ind w:left="1134" w:hanging="284"/>
        <w:rPr>
          <w:iCs/>
        </w:rPr>
      </w:pPr>
      <w:r w:rsidRPr="00731632">
        <w:rPr>
          <w:iCs/>
        </w:rPr>
        <w:t>timing</w:t>
      </w:r>
      <w:r w:rsidR="00360141" w:rsidRPr="00731632">
        <w:rPr>
          <w:rFonts w:cs="Calibri"/>
          <w:iCs/>
          <w:color w:val="000000"/>
          <w:szCs w:val="20"/>
        </w:rPr>
        <w:t xml:space="preserve"> of nirsevimab administration represents (near) optimal administration, which may not reflect clinical practice</w:t>
      </w:r>
      <w:r w:rsidRPr="00731632">
        <w:rPr>
          <w:iCs/>
        </w:rPr>
        <w:t xml:space="preserve"> </w:t>
      </w:r>
      <w:r w:rsidR="003E6BAB" w:rsidRPr="00731632">
        <w:rPr>
          <w:iCs/>
          <w:szCs w:val="20"/>
        </w:rPr>
        <w:t xml:space="preserve">(see </w:t>
      </w:r>
      <w:r w:rsidR="003E6BAB" w:rsidRPr="00731632">
        <w:rPr>
          <w:iCs/>
          <w:szCs w:val="20"/>
        </w:rPr>
        <w:fldChar w:fldCharType="begin"/>
      </w:r>
      <w:r w:rsidR="003E6BAB" w:rsidRPr="00731632">
        <w:rPr>
          <w:iCs/>
          <w:szCs w:val="20"/>
        </w:rPr>
        <w:instrText xml:space="preserve"> REF _Ref166502326 \h  \* MERGEFORMAT </w:instrText>
      </w:r>
      <w:r w:rsidR="003E6BAB" w:rsidRPr="00731632">
        <w:rPr>
          <w:iCs/>
          <w:szCs w:val="20"/>
        </w:rPr>
      </w:r>
      <w:r w:rsidR="003E6BAB" w:rsidRPr="00731632">
        <w:rPr>
          <w:iCs/>
          <w:szCs w:val="20"/>
        </w:rPr>
        <w:fldChar w:fldCharType="separate"/>
      </w:r>
      <w:r w:rsidR="00D770BB" w:rsidRPr="00D770BB">
        <w:rPr>
          <w:iCs/>
        </w:rPr>
        <w:t>Table 19</w:t>
      </w:r>
      <w:r w:rsidR="003E6BAB" w:rsidRPr="00731632">
        <w:rPr>
          <w:iCs/>
          <w:szCs w:val="20"/>
        </w:rPr>
        <w:fldChar w:fldCharType="end"/>
      </w:r>
      <w:r w:rsidR="003E6BAB" w:rsidRPr="00731632">
        <w:rPr>
          <w:iCs/>
          <w:szCs w:val="20"/>
        </w:rPr>
        <w:t>).</w:t>
      </w:r>
    </w:p>
    <w:p w14:paraId="0CD2B30D" w14:textId="2DDFF24B" w:rsidR="004146A5" w:rsidRPr="00731632" w:rsidRDefault="00FE7296" w:rsidP="00B67E00">
      <w:pPr>
        <w:pStyle w:val="3-BodyText"/>
        <w:numPr>
          <w:ilvl w:val="1"/>
          <w:numId w:val="21"/>
        </w:numPr>
        <w:ind w:left="1134" w:hanging="284"/>
        <w:rPr>
          <w:iCs/>
        </w:rPr>
      </w:pPr>
      <w:r w:rsidRPr="00731632">
        <w:rPr>
          <w:iCs/>
        </w:rPr>
        <w:t xml:space="preserve">the </w:t>
      </w:r>
      <w:r w:rsidR="004146A5" w:rsidRPr="00731632">
        <w:rPr>
          <w:iCs/>
        </w:rPr>
        <w:t>estimate for RSV hospitalisation</w:t>
      </w:r>
      <w:r w:rsidR="0026796F" w:rsidRPr="00731632">
        <w:rPr>
          <w:iCs/>
        </w:rPr>
        <w:t xml:space="preserve"> rate</w:t>
      </w:r>
      <w:r w:rsidRPr="00731632">
        <w:rPr>
          <w:iCs/>
        </w:rPr>
        <w:t xml:space="preserve"> was applied at the highest rate (4.2%) </w:t>
      </w:r>
      <w:r w:rsidR="002E5835" w:rsidRPr="00731632">
        <w:rPr>
          <w:iCs/>
        </w:rPr>
        <w:t xml:space="preserve">of </w:t>
      </w:r>
      <w:r w:rsidR="00AE419B" w:rsidRPr="00731632">
        <w:rPr>
          <w:iCs/>
        </w:rPr>
        <w:t>rates</w:t>
      </w:r>
      <w:r w:rsidR="002E5835" w:rsidRPr="00731632">
        <w:rPr>
          <w:iCs/>
        </w:rPr>
        <w:t xml:space="preserve"> </w:t>
      </w:r>
      <w:r w:rsidRPr="00731632">
        <w:rPr>
          <w:iCs/>
        </w:rPr>
        <w:t xml:space="preserve">reported </w:t>
      </w:r>
      <w:r w:rsidR="002E5835" w:rsidRPr="00731632">
        <w:rPr>
          <w:iCs/>
        </w:rPr>
        <w:t>in</w:t>
      </w:r>
      <w:r w:rsidRPr="00731632">
        <w:rPr>
          <w:iCs/>
        </w:rPr>
        <w:t xml:space="preserve"> three unpublished studies</w:t>
      </w:r>
      <w:r w:rsidR="004146A5" w:rsidRPr="00731632">
        <w:rPr>
          <w:iCs/>
        </w:rPr>
        <w:t xml:space="preserve"> </w:t>
      </w:r>
      <w:r w:rsidR="004146A5" w:rsidRPr="00731632">
        <w:rPr>
          <w:iCs/>
          <w:szCs w:val="20"/>
        </w:rPr>
        <w:t xml:space="preserve">(see </w:t>
      </w:r>
      <w:r w:rsidR="0026796F" w:rsidRPr="00731632">
        <w:rPr>
          <w:iCs/>
          <w:szCs w:val="20"/>
        </w:rPr>
        <w:t xml:space="preserve">paragraph </w:t>
      </w:r>
      <w:r w:rsidR="0026796F" w:rsidRPr="00731632">
        <w:rPr>
          <w:iCs/>
          <w:szCs w:val="20"/>
        </w:rPr>
        <w:fldChar w:fldCharType="begin"/>
      </w:r>
      <w:r w:rsidR="0026796F" w:rsidRPr="00731632">
        <w:rPr>
          <w:iCs/>
          <w:szCs w:val="20"/>
        </w:rPr>
        <w:instrText xml:space="preserve"> REF _Ref170135748 \r \h </w:instrText>
      </w:r>
      <w:r w:rsidR="00985A6C" w:rsidRPr="00731632">
        <w:rPr>
          <w:iCs/>
          <w:szCs w:val="20"/>
        </w:rPr>
        <w:instrText xml:space="preserve"> \* MERGEFORMAT </w:instrText>
      </w:r>
      <w:r w:rsidR="0026796F" w:rsidRPr="00731632">
        <w:rPr>
          <w:iCs/>
          <w:szCs w:val="20"/>
        </w:rPr>
      </w:r>
      <w:r w:rsidR="0026796F" w:rsidRPr="00731632">
        <w:rPr>
          <w:iCs/>
          <w:szCs w:val="20"/>
        </w:rPr>
        <w:fldChar w:fldCharType="separate"/>
      </w:r>
      <w:r w:rsidR="00D770BB">
        <w:rPr>
          <w:iCs/>
          <w:szCs w:val="20"/>
        </w:rPr>
        <w:t>6.55</w:t>
      </w:r>
      <w:r w:rsidR="0026796F" w:rsidRPr="00731632">
        <w:rPr>
          <w:iCs/>
          <w:szCs w:val="20"/>
        </w:rPr>
        <w:fldChar w:fldCharType="end"/>
      </w:r>
      <w:r w:rsidR="0026796F" w:rsidRPr="00731632">
        <w:rPr>
          <w:iCs/>
          <w:szCs w:val="20"/>
        </w:rPr>
        <w:t xml:space="preserve"> and </w:t>
      </w:r>
      <w:r w:rsidR="004146A5" w:rsidRPr="00731632">
        <w:rPr>
          <w:iCs/>
          <w:szCs w:val="20"/>
        </w:rPr>
        <w:fldChar w:fldCharType="begin"/>
      </w:r>
      <w:r w:rsidR="004146A5" w:rsidRPr="00731632">
        <w:rPr>
          <w:iCs/>
          <w:szCs w:val="20"/>
        </w:rPr>
        <w:instrText xml:space="preserve"> REF _Ref166502326 \h  \* MERGEFORMAT </w:instrText>
      </w:r>
      <w:r w:rsidR="004146A5" w:rsidRPr="00731632">
        <w:rPr>
          <w:iCs/>
          <w:szCs w:val="20"/>
        </w:rPr>
      </w:r>
      <w:r w:rsidR="004146A5" w:rsidRPr="00731632">
        <w:rPr>
          <w:iCs/>
          <w:szCs w:val="20"/>
        </w:rPr>
        <w:fldChar w:fldCharType="separate"/>
      </w:r>
      <w:r w:rsidR="00D770BB" w:rsidRPr="00D770BB">
        <w:rPr>
          <w:iCs/>
        </w:rPr>
        <w:t>Table 19</w:t>
      </w:r>
      <w:r w:rsidR="004146A5" w:rsidRPr="00731632">
        <w:rPr>
          <w:iCs/>
          <w:szCs w:val="20"/>
        </w:rPr>
        <w:fldChar w:fldCharType="end"/>
      </w:r>
      <w:r w:rsidR="004146A5" w:rsidRPr="00731632">
        <w:rPr>
          <w:iCs/>
          <w:szCs w:val="20"/>
        </w:rPr>
        <w:t>).</w:t>
      </w:r>
    </w:p>
    <w:p w14:paraId="6A4CB8B3" w14:textId="387D501B" w:rsidR="007B5237" w:rsidRPr="00731632" w:rsidRDefault="007B5237" w:rsidP="00B67E00">
      <w:pPr>
        <w:pStyle w:val="3-BodyText"/>
        <w:numPr>
          <w:ilvl w:val="1"/>
          <w:numId w:val="21"/>
        </w:numPr>
        <w:ind w:left="1134" w:hanging="284"/>
        <w:rPr>
          <w:iCs/>
          <w:szCs w:val="20"/>
        </w:rPr>
      </w:pPr>
      <w:r w:rsidRPr="00731632">
        <w:rPr>
          <w:iCs/>
          <w:szCs w:val="20"/>
        </w:rPr>
        <w:t xml:space="preserve">reducing the cost of subsequent hospitalisations rather than applying a cost (as per the submission) that represented an aggregation of all hospitalisations over 6 months (see </w:t>
      </w:r>
      <w:r w:rsidRPr="00731632">
        <w:rPr>
          <w:iCs/>
          <w:szCs w:val="20"/>
        </w:rPr>
        <w:fldChar w:fldCharType="begin"/>
      </w:r>
      <w:r w:rsidRPr="00731632">
        <w:rPr>
          <w:iCs/>
          <w:szCs w:val="20"/>
        </w:rPr>
        <w:instrText xml:space="preserve"> REF _Ref166502326 \h  \* MERGEFORMAT </w:instrText>
      </w:r>
      <w:r w:rsidRPr="00731632">
        <w:rPr>
          <w:iCs/>
          <w:szCs w:val="20"/>
        </w:rPr>
      </w:r>
      <w:r w:rsidRPr="00731632">
        <w:rPr>
          <w:iCs/>
          <w:szCs w:val="20"/>
        </w:rPr>
        <w:fldChar w:fldCharType="separate"/>
      </w:r>
      <w:r w:rsidR="00D770BB" w:rsidRPr="00D770BB">
        <w:rPr>
          <w:iCs/>
          <w:szCs w:val="20"/>
        </w:rPr>
        <w:t>Table 19</w:t>
      </w:r>
      <w:r w:rsidRPr="00731632">
        <w:rPr>
          <w:iCs/>
          <w:szCs w:val="20"/>
        </w:rPr>
        <w:fldChar w:fldCharType="end"/>
      </w:r>
      <w:r w:rsidRPr="00731632">
        <w:rPr>
          <w:iCs/>
          <w:szCs w:val="20"/>
        </w:rPr>
        <w:t>).</w:t>
      </w:r>
    </w:p>
    <w:p w14:paraId="4E973669" w14:textId="466E4C2C" w:rsidR="00C265A7" w:rsidRPr="00731632" w:rsidRDefault="00C265A7" w:rsidP="00B67E00">
      <w:pPr>
        <w:pStyle w:val="5-SubsectionSubheading"/>
        <w:spacing w:before="120"/>
        <w:rPr>
          <w:iCs/>
        </w:rPr>
      </w:pPr>
      <w:r w:rsidRPr="00731632">
        <w:t>Supplementary (nirsevimab versus palivizumab</w:t>
      </w:r>
      <w:r w:rsidR="00B032B7" w:rsidRPr="00731632">
        <w:t>) and near market (nirsevimab versus RSVpreF maternal immunisation) comparisons</w:t>
      </w:r>
    </w:p>
    <w:p w14:paraId="371A93C5" w14:textId="2E2AA29A" w:rsidR="00EE2FBE" w:rsidRPr="00731632" w:rsidRDefault="00EE2FBE" w:rsidP="00EE2FBE">
      <w:pPr>
        <w:pStyle w:val="3-BodyText"/>
        <w:rPr>
          <w:color w:val="000000" w:themeColor="text1"/>
        </w:rPr>
      </w:pPr>
      <w:r w:rsidRPr="00731632">
        <w:rPr>
          <w:color w:val="000000" w:themeColor="text1"/>
        </w:rPr>
        <w:t>The submission presented an economic evaluation comparing two additional comparators: maternal vaccination (for the first RSV season) and palivizumab (for high</w:t>
      </w:r>
      <w:r w:rsidR="00AD7828" w:rsidRPr="00731632">
        <w:rPr>
          <w:color w:val="000000" w:themeColor="text1"/>
        </w:rPr>
        <w:noBreakHyphen/>
      </w:r>
      <w:r w:rsidRPr="00731632">
        <w:rPr>
          <w:color w:val="000000" w:themeColor="text1"/>
        </w:rPr>
        <w:t xml:space="preserve">risk infants in the second RSV season). The economic analysis comparing nirsevimab with the near market comparator, maternal vaccination, </w:t>
      </w:r>
      <w:r w:rsidR="0068562F" w:rsidRPr="00731632">
        <w:rPr>
          <w:color w:val="000000" w:themeColor="text1"/>
        </w:rPr>
        <w:t xml:space="preserve">was </w:t>
      </w:r>
      <w:r w:rsidRPr="00731632">
        <w:rPr>
          <w:color w:val="000000" w:themeColor="text1"/>
        </w:rPr>
        <w:t xml:space="preserve">a cost-utility analysis. The supplementary economic analysis comparing nirsevimab and palivizumab </w:t>
      </w:r>
      <w:r w:rsidR="0068562F" w:rsidRPr="00731632">
        <w:rPr>
          <w:color w:val="000000" w:themeColor="text1"/>
        </w:rPr>
        <w:t xml:space="preserve">was </w:t>
      </w:r>
      <w:r w:rsidRPr="00731632">
        <w:rPr>
          <w:color w:val="000000" w:themeColor="text1"/>
        </w:rPr>
        <w:t xml:space="preserve">a cost-minimisation analysis. </w:t>
      </w:r>
    </w:p>
    <w:p w14:paraId="11A3CA74" w14:textId="41D33253" w:rsidR="00EE2FBE" w:rsidRPr="00731632" w:rsidRDefault="00EE2FBE" w:rsidP="00BE7D86">
      <w:pPr>
        <w:pStyle w:val="3-BodyText"/>
      </w:pPr>
      <w:r w:rsidRPr="00731632">
        <w:rPr>
          <w:iCs/>
          <w:color w:val="000000" w:themeColor="text1"/>
        </w:rPr>
        <w:t>The</w:t>
      </w:r>
      <w:r w:rsidR="00C93BFB" w:rsidRPr="00731632">
        <w:rPr>
          <w:iCs/>
          <w:color w:val="000000" w:themeColor="text1"/>
        </w:rPr>
        <w:t xml:space="preserve"> evaluation considered that the</w:t>
      </w:r>
      <w:r w:rsidRPr="00731632">
        <w:rPr>
          <w:iCs/>
          <w:color w:val="000000" w:themeColor="text1"/>
        </w:rPr>
        <w:t xml:space="preserve"> comparison of nirsevimab vs maternal vaccination </w:t>
      </w:r>
      <w:r w:rsidR="0068562F" w:rsidRPr="00731632">
        <w:rPr>
          <w:iCs/>
          <w:color w:val="000000" w:themeColor="text1"/>
        </w:rPr>
        <w:t xml:space="preserve">was </w:t>
      </w:r>
      <w:r w:rsidRPr="00731632">
        <w:rPr>
          <w:iCs/>
          <w:color w:val="000000" w:themeColor="text1"/>
        </w:rPr>
        <w:t xml:space="preserve">uncertain. The economic analysis </w:t>
      </w:r>
      <w:r w:rsidR="00376507" w:rsidRPr="00731632">
        <w:rPr>
          <w:iCs/>
          <w:color w:val="000000" w:themeColor="text1"/>
        </w:rPr>
        <w:t xml:space="preserve">sourced </w:t>
      </w:r>
      <w:r w:rsidRPr="00731632">
        <w:rPr>
          <w:iCs/>
          <w:color w:val="000000" w:themeColor="text1"/>
        </w:rPr>
        <w:t>the treatment effect of maternal vaccination from the primary study of maternal vaccination vs placebo presented in the submission</w:t>
      </w:r>
      <w:r w:rsidRPr="00731632">
        <w:rPr>
          <w:rStyle w:val="FootnoteReference"/>
          <w:iCs/>
          <w:color w:val="000000" w:themeColor="text1"/>
        </w:rPr>
        <w:footnoteReference w:id="32"/>
      </w:r>
      <w:r w:rsidRPr="00731632">
        <w:rPr>
          <w:iCs/>
          <w:color w:val="000000" w:themeColor="text1"/>
        </w:rPr>
        <w:t xml:space="preserve">. </w:t>
      </w:r>
      <w:r w:rsidR="001E551C" w:rsidRPr="00731632">
        <w:rPr>
          <w:iCs/>
          <w:color w:val="000000" w:themeColor="text1"/>
        </w:rPr>
        <w:t>The price assumed for the vaccine was derived from international sources</w:t>
      </w:r>
      <w:r w:rsidRPr="00731632">
        <w:rPr>
          <w:iCs/>
          <w:color w:val="000000" w:themeColor="text1"/>
        </w:rPr>
        <w:t>.</w:t>
      </w:r>
      <w:r w:rsidR="00376507" w:rsidRPr="00731632">
        <w:rPr>
          <w:iCs/>
          <w:color w:val="000000" w:themeColor="text1"/>
        </w:rPr>
        <w:t xml:space="preserve">  The PBAC considered the </w:t>
      </w:r>
      <w:r w:rsidR="004D2D44" w:rsidRPr="00731632">
        <w:rPr>
          <w:iCs/>
          <w:color w:val="000000" w:themeColor="text1"/>
        </w:rPr>
        <w:t>economic analysis</w:t>
      </w:r>
      <w:r w:rsidR="00376507" w:rsidRPr="00731632">
        <w:rPr>
          <w:iCs/>
          <w:color w:val="000000" w:themeColor="text1"/>
        </w:rPr>
        <w:t xml:space="preserve"> was not informative for decision</w:t>
      </w:r>
      <w:r w:rsidR="004D2D44" w:rsidRPr="00731632">
        <w:rPr>
          <w:iCs/>
          <w:color w:val="000000" w:themeColor="text1"/>
        </w:rPr>
        <w:t>-</w:t>
      </w:r>
      <w:r w:rsidR="00376507" w:rsidRPr="00731632">
        <w:rPr>
          <w:iCs/>
          <w:color w:val="000000" w:themeColor="text1"/>
        </w:rPr>
        <w:t>making.</w:t>
      </w:r>
    </w:p>
    <w:p w14:paraId="36CEE723" w14:textId="64A04586" w:rsidR="00DE4273" w:rsidRPr="00731632" w:rsidRDefault="00EE2FBE" w:rsidP="00EE2FBE">
      <w:pPr>
        <w:pStyle w:val="3-BodyText"/>
        <w:rPr>
          <w:iCs/>
          <w:color w:val="000000" w:themeColor="text1"/>
        </w:rPr>
      </w:pPr>
      <w:r w:rsidRPr="00731632">
        <w:rPr>
          <w:iCs/>
          <w:color w:val="000000" w:themeColor="text1"/>
        </w:rPr>
        <w:t xml:space="preserve">The </w:t>
      </w:r>
      <w:r w:rsidR="00D35CE2" w:rsidRPr="00731632">
        <w:rPr>
          <w:iCs/>
          <w:color w:val="000000" w:themeColor="text1"/>
        </w:rPr>
        <w:t xml:space="preserve">submission presented a </w:t>
      </w:r>
      <w:r w:rsidRPr="00731632">
        <w:rPr>
          <w:iCs/>
          <w:color w:val="000000" w:themeColor="text1"/>
        </w:rPr>
        <w:t xml:space="preserve">comparison of nirsevimab vs palivizumab </w:t>
      </w:r>
      <w:r w:rsidR="00D35CE2" w:rsidRPr="00731632">
        <w:rPr>
          <w:iCs/>
          <w:color w:val="000000" w:themeColor="text1"/>
        </w:rPr>
        <w:t>in</w:t>
      </w:r>
      <w:r w:rsidR="001E551C" w:rsidRPr="00731632">
        <w:rPr>
          <w:iCs/>
          <w:color w:val="000000" w:themeColor="text1"/>
        </w:rPr>
        <w:t xml:space="preserve"> a high-risk population entering their second RSV season, </w:t>
      </w:r>
      <w:r w:rsidR="00D35CE2" w:rsidRPr="00731632">
        <w:rPr>
          <w:iCs/>
          <w:color w:val="000000" w:themeColor="text1"/>
        </w:rPr>
        <w:t xml:space="preserve">which </w:t>
      </w:r>
      <w:r w:rsidR="001E551C" w:rsidRPr="00731632">
        <w:rPr>
          <w:iCs/>
          <w:color w:val="000000" w:themeColor="text1"/>
        </w:rPr>
        <w:t>was</w:t>
      </w:r>
      <w:r w:rsidRPr="00731632">
        <w:rPr>
          <w:iCs/>
          <w:color w:val="000000" w:themeColor="text1"/>
        </w:rPr>
        <w:t xml:space="preserve"> based on an equi-effective dose of 1 nirsevimab dose to 5 x 1 month palivizumab doses. As palivizumab is not PBS listed, and has previously been rejected by PBAC on the basis of cost-effectiveness (March 2005 PBAC Outcomes), the interpretation of this analysis is unclear.</w:t>
      </w:r>
      <w:bookmarkEnd w:id="66"/>
      <w:r w:rsidR="008174D6" w:rsidRPr="00731632">
        <w:rPr>
          <w:iCs/>
          <w:color w:val="000000" w:themeColor="text1"/>
        </w:rPr>
        <w:t xml:space="preserve"> </w:t>
      </w:r>
      <w:r w:rsidR="00376507" w:rsidRPr="00731632">
        <w:rPr>
          <w:iCs/>
          <w:color w:val="000000" w:themeColor="text1"/>
        </w:rPr>
        <w:t xml:space="preserve"> The PBAC considered the evaluation was not informative for decision making.</w:t>
      </w:r>
    </w:p>
    <w:p w14:paraId="796A9180" w14:textId="41EDD978" w:rsidR="00376507" w:rsidRPr="00731632" w:rsidRDefault="00376507" w:rsidP="004D2D44">
      <w:pPr>
        <w:pStyle w:val="3-BodyText"/>
        <w:rPr>
          <w:iCs/>
          <w:color w:val="000000" w:themeColor="text1"/>
        </w:rPr>
      </w:pPr>
      <w:r w:rsidRPr="00731632">
        <w:rPr>
          <w:iCs/>
          <w:color w:val="000000" w:themeColor="text1"/>
        </w:rPr>
        <w:t xml:space="preserve">The </w:t>
      </w:r>
      <w:r w:rsidR="001E551C" w:rsidRPr="00731632">
        <w:rPr>
          <w:iCs/>
          <w:color w:val="000000" w:themeColor="text1"/>
        </w:rPr>
        <w:t>submission did not provide an analysis of the cost-effectiveness of nirsevimab for high</w:t>
      </w:r>
      <w:r w:rsidR="00AD7828" w:rsidRPr="00731632">
        <w:rPr>
          <w:iCs/>
          <w:color w:val="000000" w:themeColor="text1"/>
        </w:rPr>
        <w:noBreakHyphen/>
      </w:r>
      <w:r w:rsidR="001E551C" w:rsidRPr="00731632">
        <w:rPr>
          <w:iCs/>
          <w:color w:val="000000" w:themeColor="text1"/>
        </w:rPr>
        <w:t xml:space="preserve">risk infants in their second RSV season comparing nirsevimab with no </w:t>
      </w:r>
      <w:r w:rsidRPr="00731632">
        <w:rPr>
          <w:iCs/>
          <w:color w:val="000000" w:themeColor="text1"/>
        </w:rPr>
        <w:t>immunisation</w:t>
      </w:r>
      <w:r w:rsidR="001E551C" w:rsidRPr="00731632">
        <w:rPr>
          <w:iCs/>
          <w:color w:val="000000" w:themeColor="text1"/>
        </w:rPr>
        <w:t>.</w:t>
      </w:r>
      <w:r w:rsidRPr="00731632">
        <w:rPr>
          <w:iCs/>
          <w:color w:val="000000" w:themeColor="text1"/>
        </w:rPr>
        <w:t xml:space="preserve"> The PBAC considered that this was not appropriate and that </w:t>
      </w:r>
      <w:r w:rsidRPr="00731632">
        <w:rPr>
          <w:iCs/>
          <w:snapToGrid/>
        </w:rPr>
        <w:t>no immunisation should be considered the main comparator for the second season, given that palivizumab is not widely available</w:t>
      </w:r>
      <w:r w:rsidR="00B20770" w:rsidRPr="00731632">
        <w:rPr>
          <w:iCs/>
          <w:snapToGrid/>
        </w:rPr>
        <w:t xml:space="preserve"> (see paragraph </w:t>
      </w:r>
      <w:r w:rsidR="00B20770" w:rsidRPr="00731632">
        <w:rPr>
          <w:iCs/>
          <w:snapToGrid/>
        </w:rPr>
        <w:fldChar w:fldCharType="begin"/>
      </w:r>
      <w:r w:rsidR="00B20770" w:rsidRPr="00731632">
        <w:rPr>
          <w:iCs/>
          <w:snapToGrid/>
        </w:rPr>
        <w:instrText xml:space="preserve"> REF _Ref172740153 \r \h </w:instrText>
      </w:r>
      <w:r w:rsidR="00B20770" w:rsidRPr="00731632">
        <w:rPr>
          <w:iCs/>
          <w:snapToGrid/>
        </w:rPr>
      </w:r>
      <w:r w:rsidR="00B20770" w:rsidRPr="00731632">
        <w:rPr>
          <w:iCs/>
          <w:snapToGrid/>
        </w:rPr>
        <w:fldChar w:fldCharType="separate"/>
      </w:r>
      <w:r w:rsidR="00D770BB">
        <w:rPr>
          <w:iCs/>
          <w:snapToGrid/>
        </w:rPr>
        <w:t>5.5</w:t>
      </w:r>
      <w:r w:rsidR="00B20770" w:rsidRPr="00731632">
        <w:rPr>
          <w:iCs/>
          <w:snapToGrid/>
        </w:rPr>
        <w:fldChar w:fldCharType="end"/>
      </w:r>
      <w:r w:rsidR="00B20770" w:rsidRPr="00731632">
        <w:rPr>
          <w:iCs/>
          <w:snapToGrid/>
        </w:rPr>
        <w:t>)</w:t>
      </w:r>
      <w:r w:rsidRPr="00731632">
        <w:rPr>
          <w:iCs/>
          <w:snapToGrid/>
        </w:rPr>
        <w:t>.</w:t>
      </w:r>
    </w:p>
    <w:p w14:paraId="3A860D12" w14:textId="3A2E511B" w:rsidR="00C25D9C" w:rsidRPr="00731632" w:rsidRDefault="00E9539E" w:rsidP="00BB732D">
      <w:pPr>
        <w:pStyle w:val="4-SubsectionHeading"/>
      </w:pPr>
      <w:bookmarkStart w:id="102" w:name="_Toc22897646"/>
      <w:bookmarkStart w:id="103" w:name="_Toc167276240"/>
      <w:r w:rsidRPr="00731632">
        <w:t>Nirsevimab</w:t>
      </w:r>
      <w:r w:rsidR="00C25D9C" w:rsidRPr="00731632">
        <w:t xml:space="preserve"> cost/patient/</w:t>
      </w:r>
      <w:bookmarkEnd w:id="102"/>
      <w:r w:rsidRPr="00731632">
        <w:t>year</w:t>
      </w:r>
      <w:bookmarkEnd w:id="103"/>
    </w:p>
    <w:p w14:paraId="5B8DB57B" w14:textId="71D20B07" w:rsidR="00494207" w:rsidRPr="00731632" w:rsidRDefault="00E16AD8" w:rsidP="00E16AD8">
      <w:pPr>
        <w:pStyle w:val="Caption"/>
        <w:rPr>
          <w:rStyle w:val="CommentReference"/>
          <w:b/>
          <w:szCs w:val="24"/>
        </w:rPr>
      </w:pPr>
      <w:bookmarkStart w:id="104" w:name="_Ref104805102"/>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23</w:t>
      </w:r>
      <w:r w:rsidR="00BD1FC6" w:rsidRPr="00731632">
        <w:fldChar w:fldCharType="end"/>
      </w:r>
      <w:bookmarkEnd w:id="104"/>
      <w:r w:rsidRPr="00731632">
        <w:t>:</w:t>
      </w:r>
      <w:r w:rsidR="00494207" w:rsidRPr="00731632">
        <w:rPr>
          <w:rStyle w:val="CommentReference"/>
          <w:b/>
          <w:szCs w:val="24"/>
        </w:rPr>
        <w:t xml:space="preserve"> 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Drug cost per patient for proposed drug"/>
      </w:tblPr>
      <w:tblGrid>
        <w:gridCol w:w="2529"/>
        <w:gridCol w:w="2162"/>
        <w:gridCol w:w="2160"/>
        <w:gridCol w:w="2166"/>
      </w:tblGrid>
      <w:tr w:rsidR="00FF6272" w:rsidRPr="00731632" w14:paraId="083AD6CD" w14:textId="77777777" w:rsidTr="00866F91">
        <w:trPr>
          <w:cantSplit/>
          <w:tblHeader/>
          <w:jc w:val="center"/>
        </w:trPr>
        <w:tc>
          <w:tcPr>
            <w:tcW w:w="1402" w:type="pct"/>
            <w:shd w:val="clear" w:color="auto" w:fill="auto"/>
            <w:vAlign w:val="center"/>
          </w:tcPr>
          <w:p w14:paraId="4F2D5942" w14:textId="77777777" w:rsidR="00FF6272" w:rsidRPr="00731632" w:rsidRDefault="00FF6272" w:rsidP="00866F91">
            <w:pPr>
              <w:pStyle w:val="In-tableHeading"/>
              <w:jc w:val="center"/>
              <w:rPr>
                <w:lang w:val="en-AU"/>
              </w:rPr>
            </w:pPr>
          </w:p>
        </w:tc>
        <w:tc>
          <w:tcPr>
            <w:tcW w:w="1199" w:type="pct"/>
            <w:shd w:val="clear" w:color="auto" w:fill="auto"/>
            <w:vAlign w:val="center"/>
          </w:tcPr>
          <w:p w14:paraId="19C60F5F" w14:textId="77777777" w:rsidR="00FF6272" w:rsidRPr="00731632" w:rsidRDefault="00FF6272" w:rsidP="00866F91">
            <w:pPr>
              <w:pStyle w:val="In-tableHeading"/>
              <w:jc w:val="center"/>
              <w:rPr>
                <w:lang w:val="en-AU"/>
              </w:rPr>
            </w:pPr>
            <w:r w:rsidRPr="00731632">
              <w:rPr>
                <w:lang w:val="en-AU"/>
              </w:rPr>
              <w:t xml:space="preserve">Nirsevimab recommended dose and frequency </w:t>
            </w:r>
          </w:p>
        </w:tc>
        <w:tc>
          <w:tcPr>
            <w:tcW w:w="1198" w:type="pct"/>
            <w:shd w:val="clear" w:color="auto" w:fill="auto"/>
            <w:vAlign w:val="center"/>
          </w:tcPr>
          <w:p w14:paraId="5E48738C" w14:textId="77777777" w:rsidR="00FF6272" w:rsidRPr="00731632" w:rsidRDefault="00FF6272" w:rsidP="00866F91">
            <w:pPr>
              <w:pStyle w:val="In-tableHeading"/>
              <w:jc w:val="center"/>
              <w:rPr>
                <w:lang w:val="en-AU"/>
              </w:rPr>
            </w:pPr>
            <w:r w:rsidRPr="00731632">
              <w:rPr>
                <w:lang w:val="en-AU"/>
              </w:rPr>
              <w:t>Nirsevimab</w:t>
            </w:r>
          </w:p>
          <w:p w14:paraId="1C859901" w14:textId="77777777" w:rsidR="00FF6272" w:rsidRPr="00731632" w:rsidRDefault="00FF6272" w:rsidP="00866F91">
            <w:pPr>
              <w:pStyle w:val="In-tableHeading"/>
              <w:jc w:val="center"/>
              <w:rPr>
                <w:lang w:val="en-AU"/>
              </w:rPr>
            </w:pPr>
            <w:r w:rsidRPr="00731632">
              <w:rPr>
                <w:lang w:val="en-AU"/>
              </w:rPr>
              <w:t>Model</w:t>
            </w:r>
          </w:p>
        </w:tc>
        <w:tc>
          <w:tcPr>
            <w:tcW w:w="1201" w:type="pct"/>
            <w:shd w:val="clear" w:color="auto" w:fill="auto"/>
            <w:vAlign w:val="center"/>
          </w:tcPr>
          <w:p w14:paraId="4C4B785B" w14:textId="77777777" w:rsidR="00FF6272" w:rsidRPr="00731632" w:rsidRDefault="00FF6272" w:rsidP="00866F91">
            <w:pPr>
              <w:pStyle w:val="In-tableHeading"/>
              <w:jc w:val="center"/>
              <w:rPr>
                <w:lang w:val="en-AU"/>
              </w:rPr>
            </w:pPr>
            <w:r w:rsidRPr="00731632">
              <w:rPr>
                <w:lang w:val="en-AU"/>
              </w:rPr>
              <w:t>Nirsevimab</w:t>
            </w:r>
          </w:p>
          <w:p w14:paraId="06550F5B" w14:textId="77777777" w:rsidR="00FF6272" w:rsidRPr="00731632" w:rsidRDefault="00FF6272" w:rsidP="00866F91">
            <w:pPr>
              <w:pStyle w:val="In-tableHeading"/>
              <w:jc w:val="center"/>
              <w:rPr>
                <w:lang w:val="en-AU"/>
              </w:rPr>
            </w:pPr>
            <w:r w:rsidRPr="00731632">
              <w:rPr>
                <w:lang w:val="en-AU"/>
              </w:rPr>
              <w:t>Financial estimates</w:t>
            </w:r>
          </w:p>
        </w:tc>
      </w:tr>
      <w:tr w:rsidR="00FF6272" w:rsidRPr="00731632" w14:paraId="7A9E4725" w14:textId="77777777" w:rsidTr="00866F91">
        <w:trPr>
          <w:cantSplit/>
          <w:jc w:val="center"/>
        </w:trPr>
        <w:tc>
          <w:tcPr>
            <w:tcW w:w="1402" w:type="pct"/>
            <w:shd w:val="clear" w:color="auto" w:fill="auto"/>
            <w:vAlign w:val="center"/>
          </w:tcPr>
          <w:p w14:paraId="544F278D" w14:textId="77777777" w:rsidR="00FF6272" w:rsidRPr="00731632" w:rsidRDefault="00FF6272" w:rsidP="00866F91">
            <w:pPr>
              <w:pStyle w:val="TableText0"/>
            </w:pPr>
            <w:r w:rsidRPr="00731632">
              <w:t>Dose</w:t>
            </w:r>
          </w:p>
        </w:tc>
        <w:tc>
          <w:tcPr>
            <w:tcW w:w="1199" w:type="pct"/>
            <w:shd w:val="clear" w:color="auto" w:fill="auto"/>
            <w:vAlign w:val="center"/>
          </w:tcPr>
          <w:p w14:paraId="7BAD2516" w14:textId="77777777" w:rsidR="00FF6272" w:rsidRPr="00731632" w:rsidRDefault="00FF6272" w:rsidP="00866F91">
            <w:pPr>
              <w:pStyle w:val="TableText0"/>
              <w:jc w:val="center"/>
              <w:rPr>
                <w:bCs w:val="0"/>
                <w:vertAlign w:val="superscript"/>
              </w:rPr>
            </w:pPr>
            <w:r w:rsidRPr="00731632">
              <w:rPr>
                <w:bCs w:val="0"/>
              </w:rPr>
              <w:t xml:space="preserve">One or two doses </w:t>
            </w:r>
            <w:r w:rsidRPr="00731632">
              <w:rPr>
                <w:bCs w:val="0"/>
                <w:vertAlign w:val="superscript"/>
              </w:rPr>
              <w:t>a</w:t>
            </w:r>
          </w:p>
        </w:tc>
        <w:tc>
          <w:tcPr>
            <w:tcW w:w="1198" w:type="pct"/>
            <w:shd w:val="clear" w:color="auto" w:fill="auto"/>
            <w:vAlign w:val="center"/>
          </w:tcPr>
          <w:p w14:paraId="3C74A72B" w14:textId="326818C9" w:rsidR="00FF6272" w:rsidRPr="00731632" w:rsidRDefault="00E9539E" w:rsidP="00866F91">
            <w:pPr>
              <w:pStyle w:val="TableText0"/>
              <w:jc w:val="center"/>
              <w:rPr>
                <w:bCs w:val="0"/>
              </w:rPr>
            </w:pPr>
            <w:r w:rsidRPr="00731632">
              <w:rPr>
                <w:bCs w:val="0"/>
              </w:rPr>
              <w:t>One dose</w:t>
            </w:r>
          </w:p>
        </w:tc>
        <w:tc>
          <w:tcPr>
            <w:tcW w:w="1201" w:type="pct"/>
            <w:shd w:val="clear" w:color="auto" w:fill="auto"/>
            <w:vAlign w:val="center"/>
          </w:tcPr>
          <w:p w14:paraId="623DDEEE" w14:textId="77777777" w:rsidR="00FF6272" w:rsidRPr="00731632" w:rsidRDefault="00FF6272" w:rsidP="00866F91">
            <w:pPr>
              <w:pStyle w:val="TableText0"/>
              <w:jc w:val="center"/>
              <w:rPr>
                <w:b/>
              </w:rPr>
            </w:pPr>
            <w:r w:rsidRPr="00731632">
              <w:rPr>
                <w:bCs w:val="0"/>
              </w:rPr>
              <w:t xml:space="preserve">One or two doses </w:t>
            </w:r>
            <w:r w:rsidRPr="00731632">
              <w:rPr>
                <w:bCs w:val="0"/>
                <w:vertAlign w:val="superscript"/>
              </w:rPr>
              <w:t>a</w:t>
            </w:r>
          </w:p>
        </w:tc>
      </w:tr>
      <w:tr w:rsidR="00FF6272" w:rsidRPr="00731632" w14:paraId="3B469979" w14:textId="77777777" w:rsidTr="00866F91">
        <w:trPr>
          <w:cantSplit/>
          <w:jc w:val="center"/>
        </w:trPr>
        <w:tc>
          <w:tcPr>
            <w:tcW w:w="1402" w:type="pct"/>
            <w:shd w:val="clear" w:color="auto" w:fill="auto"/>
            <w:vAlign w:val="center"/>
          </w:tcPr>
          <w:p w14:paraId="251C4BDB" w14:textId="77777777" w:rsidR="00FF6272" w:rsidRPr="00731632" w:rsidRDefault="00FF6272" w:rsidP="00866F91">
            <w:pPr>
              <w:pStyle w:val="TableText0"/>
            </w:pPr>
            <w:r w:rsidRPr="00731632">
              <w:t>Frequency</w:t>
            </w:r>
          </w:p>
        </w:tc>
        <w:tc>
          <w:tcPr>
            <w:tcW w:w="1199" w:type="pct"/>
            <w:shd w:val="clear" w:color="auto" w:fill="auto"/>
            <w:vAlign w:val="center"/>
          </w:tcPr>
          <w:p w14:paraId="4996DC50" w14:textId="77777777" w:rsidR="00FF6272" w:rsidRPr="00731632" w:rsidRDefault="00FF6272" w:rsidP="00866F91">
            <w:pPr>
              <w:pStyle w:val="TableText0"/>
              <w:jc w:val="center"/>
              <w:rPr>
                <w:bCs w:val="0"/>
              </w:rPr>
            </w:pPr>
            <w:r w:rsidRPr="00731632">
              <w:rPr>
                <w:bCs w:val="0"/>
              </w:rPr>
              <w:t>Once a year</w:t>
            </w:r>
          </w:p>
        </w:tc>
        <w:tc>
          <w:tcPr>
            <w:tcW w:w="1198" w:type="pct"/>
            <w:shd w:val="clear" w:color="auto" w:fill="auto"/>
            <w:vAlign w:val="center"/>
          </w:tcPr>
          <w:p w14:paraId="3B8EB50A" w14:textId="77777777" w:rsidR="00FF6272" w:rsidRPr="00731632" w:rsidRDefault="00FF6272" w:rsidP="00866F91">
            <w:pPr>
              <w:pStyle w:val="TableText0"/>
              <w:jc w:val="center"/>
              <w:rPr>
                <w:b/>
              </w:rPr>
            </w:pPr>
            <w:r w:rsidRPr="00731632">
              <w:rPr>
                <w:bCs w:val="0"/>
              </w:rPr>
              <w:t>Once a year</w:t>
            </w:r>
          </w:p>
        </w:tc>
        <w:tc>
          <w:tcPr>
            <w:tcW w:w="1201" w:type="pct"/>
            <w:shd w:val="clear" w:color="auto" w:fill="auto"/>
            <w:vAlign w:val="center"/>
          </w:tcPr>
          <w:p w14:paraId="6CC42183" w14:textId="77777777" w:rsidR="00FF6272" w:rsidRPr="00731632" w:rsidRDefault="00FF6272" w:rsidP="00866F91">
            <w:pPr>
              <w:pStyle w:val="TableText0"/>
              <w:jc w:val="center"/>
              <w:rPr>
                <w:b/>
              </w:rPr>
            </w:pPr>
            <w:r w:rsidRPr="00731632">
              <w:rPr>
                <w:bCs w:val="0"/>
              </w:rPr>
              <w:t>Once a year</w:t>
            </w:r>
          </w:p>
        </w:tc>
      </w:tr>
      <w:tr w:rsidR="00FF6272" w:rsidRPr="00731632" w14:paraId="7EF77C94" w14:textId="77777777" w:rsidTr="00866F91">
        <w:trPr>
          <w:cantSplit/>
          <w:jc w:val="center"/>
        </w:trPr>
        <w:tc>
          <w:tcPr>
            <w:tcW w:w="1402" w:type="pct"/>
            <w:shd w:val="clear" w:color="auto" w:fill="auto"/>
            <w:vAlign w:val="center"/>
          </w:tcPr>
          <w:p w14:paraId="1E7A8C9A" w14:textId="77777777" w:rsidR="00FF6272" w:rsidRPr="00731632" w:rsidRDefault="00FF6272" w:rsidP="00866F91">
            <w:pPr>
              <w:pStyle w:val="TableText0"/>
            </w:pPr>
            <w:r w:rsidRPr="00731632">
              <w:t xml:space="preserve">Cost/patient/year </w:t>
            </w:r>
          </w:p>
        </w:tc>
        <w:tc>
          <w:tcPr>
            <w:tcW w:w="1199" w:type="pct"/>
            <w:shd w:val="clear" w:color="auto" w:fill="auto"/>
            <w:vAlign w:val="center"/>
          </w:tcPr>
          <w:p w14:paraId="5E70BB06" w14:textId="1A470E60" w:rsidR="00FF6272" w:rsidRPr="00731632" w:rsidRDefault="00FF6272" w:rsidP="00866F91">
            <w:pPr>
              <w:pStyle w:val="TableText0"/>
              <w:jc w:val="center"/>
            </w:pPr>
            <w:r w:rsidRPr="00731632">
              <w:t>$</w:t>
            </w:r>
            <w:r w:rsidR="009F6D97" w:rsidRPr="009F6D97">
              <w:rPr>
                <w:color w:val="000000"/>
                <w:shd w:val="solid" w:color="000000" w:fill="000000"/>
                <w14:textFill>
                  <w14:solidFill>
                    <w14:srgbClr w14:val="000000">
                      <w14:alpha w14:val="100000"/>
                    </w14:srgbClr>
                  </w14:solidFill>
                </w14:textFill>
              </w:rPr>
              <w:t>|</w:t>
            </w:r>
            <w:r w:rsidRPr="00731632">
              <w:t xml:space="preserve"> per dose</w:t>
            </w:r>
          </w:p>
        </w:tc>
        <w:tc>
          <w:tcPr>
            <w:tcW w:w="1198" w:type="pct"/>
            <w:shd w:val="clear" w:color="auto" w:fill="auto"/>
            <w:vAlign w:val="center"/>
          </w:tcPr>
          <w:p w14:paraId="25C3AF2C" w14:textId="6397E04E" w:rsidR="00FF6272" w:rsidRPr="00731632" w:rsidRDefault="00FF6272" w:rsidP="00866F91">
            <w:pPr>
              <w:pStyle w:val="TableText0"/>
              <w:jc w:val="center"/>
            </w:pPr>
            <w:r w:rsidRPr="00731632">
              <w:t>$</w:t>
            </w:r>
            <w:r w:rsidR="009F6D97" w:rsidRPr="009F6D97">
              <w:rPr>
                <w:color w:val="000000"/>
                <w:shd w:val="solid" w:color="000000" w:fill="000000"/>
                <w14:textFill>
                  <w14:solidFill>
                    <w14:srgbClr w14:val="000000">
                      <w14:alpha w14:val="100000"/>
                    </w14:srgbClr>
                  </w14:solidFill>
                </w14:textFill>
              </w:rPr>
              <w:t>|</w:t>
            </w:r>
            <w:r w:rsidRPr="00731632">
              <w:t xml:space="preserve"> per dose</w:t>
            </w:r>
          </w:p>
        </w:tc>
        <w:tc>
          <w:tcPr>
            <w:tcW w:w="1201" w:type="pct"/>
            <w:shd w:val="clear" w:color="auto" w:fill="auto"/>
            <w:vAlign w:val="center"/>
          </w:tcPr>
          <w:p w14:paraId="5F23E43A" w14:textId="0AAD720B" w:rsidR="00FF6272" w:rsidRPr="00731632" w:rsidRDefault="00FF6272" w:rsidP="00866F91">
            <w:pPr>
              <w:pStyle w:val="TableText0"/>
              <w:jc w:val="center"/>
            </w:pPr>
            <w:r w:rsidRPr="00731632">
              <w:t>$</w:t>
            </w:r>
            <w:r w:rsidR="009F6D97" w:rsidRPr="009F6D97">
              <w:rPr>
                <w:color w:val="000000"/>
                <w:shd w:val="solid" w:color="000000" w:fill="000000"/>
                <w14:textFill>
                  <w14:solidFill>
                    <w14:srgbClr w14:val="000000">
                      <w14:alpha w14:val="100000"/>
                    </w14:srgbClr>
                  </w14:solidFill>
                </w14:textFill>
              </w:rPr>
              <w:t>|</w:t>
            </w:r>
            <w:r w:rsidRPr="00731632">
              <w:t xml:space="preserve"> per dose</w:t>
            </w:r>
          </w:p>
        </w:tc>
      </w:tr>
    </w:tbl>
    <w:p w14:paraId="62843AFC" w14:textId="77777777" w:rsidR="00E9539E" w:rsidRPr="00731632" w:rsidRDefault="00FF6272" w:rsidP="00E9539E">
      <w:pPr>
        <w:pStyle w:val="TableFigureFooter"/>
      </w:pPr>
      <w:r w:rsidRPr="00731632">
        <w:t xml:space="preserve">Source: </w:t>
      </w:r>
      <w:r w:rsidR="00E9539E" w:rsidRPr="00731632">
        <w:t>tabulated during evaluation from the “Appendix 7.1 nirsevimab PBAC macro’ workbook and the “Appendix 6. Nirsevimab Utilisation and Cost Model’ Workbook provided in the submission</w:t>
      </w:r>
    </w:p>
    <w:p w14:paraId="18E2E3AC" w14:textId="0B234113" w:rsidR="00FF6272" w:rsidRPr="00731632" w:rsidRDefault="00FF6272" w:rsidP="00E9539E">
      <w:pPr>
        <w:pStyle w:val="TableFigureFooter"/>
      </w:pPr>
      <w:r w:rsidRPr="00731632">
        <w:rPr>
          <w:vertAlign w:val="superscript"/>
        </w:rPr>
        <w:t xml:space="preserve">a </w:t>
      </w:r>
      <w:r w:rsidRPr="00731632">
        <w:t>One dose for all infants in their first year; second dose for high-risk infants less than 24 months old</w:t>
      </w:r>
    </w:p>
    <w:p w14:paraId="2A412FFD" w14:textId="77777777" w:rsidR="00B60939" w:rsidRPr="00731632" w:rsidRDefault="00B60939" w:rsidP="002B05A1">
      <w:pPr>
        <w:pStyle w:val="4-SubsectionHeading"/>
      </w:pPr>
      <w:bookmarkStart w:id="105" w:name="_Toc22897647"/>
      <w:bookmarkStart w:id="106" w:name="_Toc167276241"/>
      <w:r w:rsidRPr="00731632">
        <w:t>Estimated PBS usage &amp; financial implications</w:t>
      </w:r>
      <w:bookmarkEnd w:id="105"/>
      <w:bookmarkEnd w:id="106"/>
    </w:p>
    <w:p w14:paraId="634B7317" w14:textId="45CD8220" w:rsidR="007B2E9F" w:rsidRPr="00731632" w:rsidRDefault="00C04B7D" w:rsidP="007B2E9F">
      <w:pPr>
        <w:pStyle w:val="3-BodyText"/>
      </w:pPr>
      <w:bookmarkStart w:id="107" w:name="_Toc22897648"/>
      <w:bookmarkStart w:id="108" w:name="_Toc107927634"/>
      <w:bookmarkStart w:id="109" w:name="_Toc167276242"/>
      <w:bookmarkStart w:id="110" w:name="_Toc22897649"/>
      <w:bookmarkStart w:id="111" w:name="_Toc22897650"/>
      <w:r w:rsidRPr="00731632">
        <w:t xml:space="preserve">This submission </w:t>
      </w:r>
      <w:r w:rsidR="007B2E9F" w:rsidRPr="00731632">
        <w:t>was</w:t>
      </w:r>
      <w:r w:rsidRPr="00731632">
        <w:t xml:space="preserve"> considered by the DUSC.</w:t>
      </w:r>
    </w:p>
    <w:p w14:paraId="608B20AE" w14:textId="296C641A" w:rsidR="007B2E9F" w:rsidRPr="00731632" w:rsidRDefault="007B2E9F" w:rsidP="007B2E9F">
      <w:pPr>
        <w:pStyle w:val="3-BodyText"/>
        <w:rPr>
          <w:color w:val="0066FF"/>
        </w:rPr>
      </w:pPr>
      <w:r w:rsidRPr="00731632">
        <w:t>The submission utilised an epidemiological approach to estimate the extent of use and financial impact of listing nirsevimab on the PBS.</w:t>
      </w:r>
      <w:r w:rsidRPr="00731632">
        <w:rPr>
          <w:color w:val="0066FF"/>
        </w:rPr>
        <w:t xml:space="preserve"> </w:t>
      </w:r>
    </w:p>
    <w:p w14:paraId="54719F8E" w14:textId="66E23DA7" w:rsidR="007B2E9F" w:rsidRPr="00731632" w:rsidRDefault="007B2E9F" w:rsidP="007B2E9F">
      <w:pPr>
        <w:pStyle w:val="3-BodyText"/>
      </w:pPr>
      <w:r w:rsidRPr="00731632">
        <w:t xml:space="preserve">The key inputs utilised in the financial analysis are summarised in </w:t>
      </w:r>
      <w:r w:rsidRPr="00731632">
        <w:fldChar w:fldCharType="begin"/>
      </w:r>
      <w:r w:rsidRPr="00731632">
        <w:instrText xml:space="preserve"> REF _Ref104805262 \h  \* MERGEFORMAT </w:instrText>
      </w:r>
      <w:r w:rsidRPr="00731632">
        <w:fldChar w:fldCharType="separate"/>
      </w:r>
      <w:r w:rsidR="00D770BB" w:rsidRPr="00731632">
        <w:t xml:space="preserve">Table </w:t>
      </w:r>
      <w:r w:rsidR="00D770BB">
        <w:t>24</w:t>
      </w:r>
      <w:r w:rsidRPr="00731632">
        <w:fldChar w:fldCharType="end"/>
      </w:r>
      <w:r w:rsidRPr="00731632">
        <w:t xml:space="preserve">. </w:t>
      </w:r>
    </w:p>
    <w:p w14:paraId="2602FD74" w14:textId="2DAC5763" w:rsidR="007B2E9F" w:rsidRPr="00731632" w:rsidRDefault="007B2E9F" w:rsidP="007B2E9F">
      <w:pPr>
        <w:pStyle w:val="Caption"/>
        <w:rPr>
          <w:rStyle w:val="CommentReference"/>
          <w:b/>
          <w:szCs w:val="24"/>
        </w:rPr>
      </w:pPr>
      <w:bookmarkStart w:id="112" w:name="_Ref104805262"/>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24</w:t>
      </w:r>
      <w:r w:rsidR="00BD1FC6" w:rsidRPr="00731632">
        <w:fldChar w:fldCharType="end"/>
      </w:r>
      <w:bookmarkEnd w:id="112"/>
      <w:r w:rsidRPr="00731632">
        <w:t>:</w:t>
      </w:r>
      <w:r w:rsidRPr="00731632">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4: Key inputs for financial estimates"/>
      </w:tblPr>
      <w:tblGrid>
        <w:gridCol w:w="1526"/>
        <w:gridCol w:w="1459"/>
        <w:gridCol w:w="2397"/>
        <w:gridCol w:w="3798"/>
      </w:tblGrid>
      <w:tr w:rsidR="007B2E9F" w:rsidRPr="00731632" w14:paraId="124AC4AB" w14:textId="77777777" w:rsidTr="00C0311D">
        <w:trPr>
          <w:tblHeader/>
        </w:trPr>
        <w:tc>
          <w:tcPr>
            <w:tcW w:w="1526" w:type="dxa"/>
            <w:vAlign w:val="center"/>
          </w:tcPr>
          <w:p w14:paraId="5BC21013" w14:textId="77777777" w:rsidR="007B2E9F" w:rsidRPr="00731632" w:rsidRDefault="007B2E9F" w:rsidP="004D2D44">
            <w:pPr>
              <w:keepNext/>
              <w:jc w:val="center"/>
              <w:rPr>
                <w:rFonts w:ascii="Arial Narrow" w:eastAsiaTheme="majorEastAsia" w:hAnsi="Arial Narrow" w:cs="Times New Roman"/>
                <w:b/>
                <w:sz w:val="20"/>
              </w:rPr>
            </w:pPr>
            <w:r w:rsidRPr="00731632">
              <w:rPr>
                <w:rFonts w:ascii="Arial Narrow" w:eastAsiaTheme="majorEastAsia" w:hAnsi="Arial Narrow" w:cs="Times New Roman"/>
                <w:b/>
                <w:sz w:val="20"/>
              </w:rPr>
              <w:t>Data</w:t>
            </w:r>
          </w:p>
        </w:tc>
        <w:tc>
          <w:tcPr>
            <w:tcW w:w="1459" w:type="dxa"/>
            <w:vAlign w:val="center"/>
          </w:tcPr>
          <w:p w14:paraId="3EEF86F0" w14:textId="77777777" w:rsidR="007B2E9F" w:rsidRPr="00731632" w:rsidRDefault="007B2E9F" w:rsidP="004D2D44">
            <w:pPr>
              <w:keepNext/>
              <w:jc w:val="center"/>
              <w:rPr>
                <w:rFonts w:ascii="Arial Narrow" w:eastAsiaTheme="majorEastAsia" w:hAnsi="Arial Narrow" w:cs="Times New Roman"/>
                <w:b/>
                <w:sz w:val="20"/>
              </w:rPr>
            </w:pPr>
            <w:r w:rsidRPr="00731632">
              <w:rPr>
                <w:rFonts w:ascii="Arial Narrow" w:eastAsiaTheme="majorEastAsia" w:hAnsi="Arial Narrow" w:cs="Times New Roman"/>
                <w:b/>
                <w:sz w:val="20"/>
              </w:rPr>
              <w:t>Value</w:t>
            </w:r>
          </w:p>
        </w:tc>
        <w:tc>
          <w:tcPr>
            <w:tcW w:w="2397" w:type="dxa"/>
            <w:vAlign w:val="center"/>
          </w:tcPr>
          <w:p w14:paraId="06187D75" w14:textId="77777777" w:rsidR="007B2E9F" w:rsidRPr="00731632" w:rsidRDefault="007B2E9F" w:rsidP="004D2D44">
            <w:pPr>
              <w:keepNext/>
              <w:jc w:val="center"/>
              <w:rPr>
                <w:rFonts w:ascii="Arial Narrow" w:eastAsiaTheme="majorEastAsia" w:hAnsi="Arial Narrow" w:cs="Times New Roman"/>
                <w:b/>
                <w:sz w:val="20"/>
              </w:rPr>
            </w:pPr>
            <w:r w:rsidRPr="00731632">
              <w:rPr>
                <w:rFonts w:ascii="Arial Narrow" w:eastAsiaTheme="majorEastAsia" w:hAnsi="Arial Narrow" w:cs="Times New Roman"/>
                <w:b/>
                <w:sz w:val="20"/>
              </w:rPr>
              <w:t>Source</w:t>
            </w:r>
          </w:p>
        </w:tc>
        <w:tc>
          <w:tcPr>
            <w:tcW w:w="3798" w:type="dxa"/>
            <w:vAlign w:val="center"/>
          </w:tcPr>
          <w:p w14:paraId="7491A3EE" w14:textId="77777777" w:rsidR="007B2E9F" w:rsidRPr="00731632" w:rsidRDefault="007B2E9F" w:rsidP="004D2D44">
            <w:pPr>
              <w:keepNext/>
              <w:jc w:val="center"/>
              <w:rPr>
                <w:rFonts w:ascii="Arial Narrow" w:eastAsiaTheme="majorEastAsia" w:hAnsi="Arial Narrow" w:cs="Times New Roman"/>
                <w:b/>
                <w:sz w:val="20"/>
              </w:rPr>
            </w:pPr>
            <w:r w:rsidRPr="00731632">
              <w:rPr>
                <w:rFonts w:ascii="Arial Narrow" w:eastAsiaTheme="majorEastAsia" w:hAnsi="Arial Narrow" w:cs="Times New Roman"/>
                <w:b/>
                <w:sz w:val="20"/>
              </w:rPr>
              <w:t>Comment</w:t>
            </w:r>
          </w:p>
        </w:tc>
      </w:tr>
      <w:tr w:rsidR="007B2E9F" w:rsidRPr="00731632" w14:paraId="769E29A9" w14:textId="77777777" w:rsidTr="00866F91">
        <w:tc>
          <w:tcPr>
            <w:tcW w:w="9180" w:type="dxa"/>
            <w:gridSpan w:val="4"/>
            <w:vAlign w:val="center"/>
          </w:tcPr>
          <w:p w14:paraId="59679A7A" w14:textId="77777777" w:rsidR="007B2E9F" w:rsidRPr="00731632" w:rsidRDefault="007B2E9F" w:rsidP="004D2D44">
            <w:pPr>
              <w:keepNext/>
              <w:jc w:val="left"/>
              <w:rPr>
                <w:rFonts w:ascii="Arial Narrow" w:eastAsiaTheme="majorEastAsia" w:hAnsi="Arial Narrow" w:cs="Times New Roman"/>
                <w:b/>
                <w:sz w:val="20"/>
              </w:rPr>
            </w:pPr>
            <w:r w:rsidRPr="00731632">
              <w:rPr>
                <w:rFonts w:ascii="Arial Narrow" w:eastAsiaTheme="majorEastAsia" w:hAnsi="Arial Narrow" w:cs="Times New Roman"/>
                <w:b/>
                <w:sz w:val="20"/>
              </w:rPr>
              <w:t>Eligible populations</w:t>
            </w:r>
          </w:p>
        </w:tc>
      </w:tr>
      <w:tr w:rsidR="007B2E9F" w:rsidRPr="00731632" w14:paraId="255C5CC3" w14:textId="77777777" w:rsidTr="00866F91">
        <w:tc>
          <w:tcPr>
            <w:tcW w:w="9180" w:type="dxa"/>
            <w:gridSpan w:val="4"/>
            <w:vAlign w:val="center"/>
          </w:tcPr>
          <w:p w14:paraId="2CB13574" w14:textId="77777777" w:rsidR="007B2E9F" w:rsidRPr="00731632" w:rsidRDefault="007B2E9F" w:rsidP="00866F91">
            <w:pPr>
              <w:jc w:val="left"/>
              <w:rPr>
                <w:rFonts w:ascii="Arial Narrow" w:eastAsiaTheme="majorEastAsia" w:hAnsi="Arial Narrow" w:cs="Times New Roman"/>
                <w:b/>
                <w:sz w:val="20"/>
              </w:rPr>
            </w:pPr>
            <w:r w:rsidRPr="00731632">
              <w:rPr>
                <w:rFonts w:ascii="Arial Narrow" w:eastAsiaTheme="majorEastAsia" w:hAnsi="Arial Narrow" w:cs="Times New Roman"/>
                <w:b/>
                <w:sz w:val="20"/>
              </w:rPr>
              <w:t>Population 1: Temperate regions (all infants aged 0-1)</w:t>
            </w:r>
          </w:p>
        </w:tc>
      </w:tr>
      <w:tr w:rsidR="007B2E9F" w:rsidRPr="00731632" w14:paraId="47499E59" w14:textId="77777777" w:rsidTr="00C0311D">
        <w:tc>
          <w:tcPr>
            <w:tcW w:w="1526" w:type="dxa"/>
            <w:vAlign w:val="center"/>
          </w:tcPr>
          <w:p w14:paraId="635F7277" w14:textId="59E39A3E"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Incident </w:t>
            </w:r>
            <w:r w:rsidR="00030592" w:rsidRPr="00731632">
              <w:rPr>
                <w:rFonts w:ascii="Arial Narrow" w:eastAsiaTheme="majorEastAsia" w:hAnsi="Arial Narrow" w:cstheme="majorBidi"/>
                <w:bCs/>
                <w:sz w:val="20"/>
              </w:rPr>
              <w:t>population</w:t>
            </w:r>
          </w:p>
        </w:tc>
        <w:tc>
          <w:tcPr>
            <w:tcW w:w="1459" w:type="dxa"/>
            <w:vAlign w:val="center"/>
          </w:tcPr>
          <w:p w14:paraId="5FB71FF6" w14:textId="3C148C20"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1: </w:t>
            </w:r>
            <w:r w:rsidR="009F6D97" w:rsidRPr="009F6D97">
              <w:rPr>
                <w:rFonts w:ascii="Arial Narrow" w:eastAsiaTheme="majorEastAsia" w:hAnsi="Arial Narrow" w:cstheme="majorBidi"/>
                <w:bCs/>
                <w:color w:val="000000"/>
                <w:spacing w:val="53"/>
                <w:sz w:val="20"/>
                <w:shd w:val="solid" w:color="000000" w:fill="000000"/>
                <w:fitText w:val="330" w:id="-893211126"/>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6"/>
                <w14:textFill>
                  <w14:solidFill>
                    <w14:srgbClr w14:val="000000">
                      <w14:alpha w14:val="100000"/>
                    </w14:srgbClr>
                  </w14:solidFill>
                </w14:textFill>
              </w:rPr>
              <w:t>|</w:t>
            </w:r>
            <w:r w:rsidR="00B1019C" w:rsidRPr="009A482D">
              <w:rPr>
                <w:rFonts w:ascii="Arial Narrow" w:eastAsiaTheme="majorEastAsia" w:hAnsi="Arial Narrow" w:cstheme="majorBidi"/>
                <w:bCs/>
                <w:sz w:val="20"/>
                <w:vertAlign w:val="superscript"/>
              </w:rPr>
              <w:t>1</w:t>
            </w:r>
          </w:p>
          <w:p w14:paraId="0F520D51" w14:textId="75CABE19"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2: </w:t>
            </w:r>
            <w:r w:rsidR="009F6D97" w:rsidRPr="009F6D97">
              <w:rPr>
                <w:rFonts w:ascii="Arial Narrow" w:eastAsiaTheme="majorEastAsia" w:hAnsi="Arial Narrow" w:cstheme="majorBidi"/>
                <w:bCs/>
                <w:color w:val="000000"/>
                <w:spacing w:val="53"/>
                <w:sz w:val="20"/>
                <w:shd w:val="solid" w:color="000000" w:fill="000000"/>
                <w:fitText w:val="330" w:id="-893211125"/>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5"/>
                <w14:textFill>
                  <w14:solidFill>
                    <w14:srgbClr w14:val="000000">
                      <w14:alpha w14:val="100000"/>
                    </w14:srgbClr>
                  </w14:solidFill>
                </w14:textFill>
              </w:rPr>
              <w:t>|</w:t>
            </w:r>
            <w:r w:rsidR="00EE53CF" w:rsidRPr="005C269B">
              <w:rPr>
                <w:rFonts w:ascii="Arial Narrow" w:eastAsiaTheme="majorEastAsia" w:hAnsi="Arial Narrow" w:cstheme="majorBidi"/>
                <w:bCs/>
                <w:sz w:val="20"/>
                <w:vertAlign w:val="superscript"/>
              </w:rPr>
              <w:t>1</w:t>
            </w:r>
          </w:p>
          <w:p w14:paraId="59D593F2" w14:textId="4D13F14D"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3: </w:t>
            </w:r>
            <w:r w:rsidR="009F6D97" w:rsidRPr="009F6D97">
              <w:rPr>
                <w:rFonts w:ascii="Arial Narrow" w:eastAsiaTheme="majorEastAsia" w:hAnsi="Arial Narrow" w:cstheme="majorBidi"/>
                <w:bCs/>
                <w:color w:val="000000"/>
                <w:spacing w:val="53"/>
                <w:sz w:val="20"/>
                <w:shd w:val="solid" w:color="000000" w:fill="000000"/>
                <w:fitText w:val="330" w:id="-893211124"/>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4"/>
                <w14:textFill>
                  <w14:solidFill>
                    <w14:srgbClr w14:val="000000">
                      <w14:alpha w14:val="100000"/>
                    </w14:srgbClr>
                  </w14:solidFill>
                </w14:textFill>
              </w:rPr>
              <w:t>|</w:t>
            </w:r>
            <w:r w:rsidR="00EE53CF" w:rsidRPr="005C269B">
              <w:rPr>
                <w:rFonts w:ascii="Arial Narrow" w:eastAsiaTheme="majorEastAsia" w:hAnsi="Arial Narrow" w:cstheme="majorBidi"/>
                <w:bCs/>
                <w:sz w:val="20"/>
                <w:vertAlign w:val="superscript"/>
              </w:rPr>
              <w:t>1</w:t>
            </w:r>
          </w:p>
          <w:p w14:paraId="71999B9A" w14:textId="7277650A"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4: </w:t>
            </w:r>
            <w:r w:rsidR="009F6D97" w:rsidRPr="009F6D97">
              <w:rPr>
                <w:rFonts w:ascii="Arial Narrow" w:eastAsiaTheme="majorEastAsia" w:hAnsi="Arial Narrow" w:cstheme="majorBidi"/>
                <w:bCs/>
                <w:color w:val="000000"/>
                <w:spacing w:val="53"/>
                <w:sz w:val="20"/>
                <w:shd w:val="solid" w:color="000000" w:fill="000000"/>
                <w:fitText w:val="330" w:id="-893211123"/>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3"/>
                <w14:textFill>
                  <w14:solidFill>
                    <w14:srgbClr w14:val="000000">
                      <w14:alpha w14:val="100000"/>
                    </w14:srgbClr>
                  </w14:solidFill>
                </w14:textFill>
              </w:rPr>
              <w:t>|</w:t>
            </w:r>
            <w:r w:rsidR="00EE53CF" w:rsidRPr="005C269B">
              <w:rPr>
                <w:rFonts w:ascii="Arial Narrow" w:eastAsiaTheme="majorEastAsia" w:hAnsi="Arial Narrow" w:cstheme="majorBidi"/>
                <w:bCs/>
                <w:sz w:val="20"/>
                <w:vertAlign w:val="superscript"/>
              </w:rPr>
              <w:t>1</w:t>
            </w:r>
          </w:p>
          <w:p w14:paraId="2CF36A58" w14:textId="56A82162"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5: </w:t>
            </w:r>
            <w:r w:rsidR="009F6D97" w:rsidRPr="009F6D97">
              <w:rPr>
                <w:rFonts w:ascii="Arial Narrow" w:eastAsiaTheme="majorEastAsia" w:hAnsi="Arial Narrow" w:cstheme="majorBidi"/>
                <w:bCs/>
                <w:color w:val="000000"/>
                <w:spacing w:val="53"/>
                <w:sz w:val="20"/>
                <w:shd w:val="solid" w:color="000000" w:fill="000000"/>
                <w:fitText w:val="330" w:id="-893211122"/>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2"/>
                <w14:textFill>
                  <w14:solidFill>
                    <w14:srgbClr w14:val="000000">
                      <w14:alpha w14:val="100000"/>
                    </w14:srgbClr>
                  </w14:solidFill>
                </w14:textFill>
              </w:rPr>
              <w:t>|</w:t>
            </w:r>
            <w:r w:rsidR="00EE53CF" w:rsidRPr="005C269B">
              <w:rPr>
                <w:rFonts w:ascii="Arial Narrow" w:eastAsiaTheme="majorEastAsia" w:hAnsi="Arial Narrow" w:cstheme="majorBidi"/>
                <w:bCs/>
                <w:sz w:val="20"/>
                <w:vertAlign w:val="superscript"/>
              </w:rPr>
              <w:t>1</w:t>
            </w:r>
          </w:p>
          <w:p w14:paraId="11436E24" w14:textId="7FA264C4"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6: </w:t>
            </w:r>
            <w:r w:rsidR="009F6D97" w:rsidRPr="009F6D97">
              <w:rPr>
                <w:rFonts w:ascii="Arial Narrow" w:eastAsiaTheme="majorEastAsia" w:hAnsi="Arial Narrow" w:cstheme="majorBidi"/>
                <w:bCs/>
                <w:color w:val="000000"/>
                <w:spacing w:val="53"/>
                <w:sz w:val="20"/>
                <w:shd w:val="solid" w:color="000000" w:fill="000000"/>
                <w:fitText w:val="330" w:id="-893211121"/>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1"/>
                <w14:textFill>
                  <w14:solidFill>
                    <w14:srgbClr w14:val="000000">
                      <w14:alpha w14:val="100000"/>
                    </w14:srgbClr>
                  </w14:solidFill>
                </w14:textFill>
              </w:rPr>
              <w:t>|</w:t>
            </w:r>
            <w:r w:rsidR="00EE53CF" w:rsidRPr="005C269B">
              <w:rPr>
                <w:rFonts w:ascii="Arial Narrow" w:eastAsiaTheme="majorEastAsia" w:hAnsi="Arial Narrow" w:cstheme="majorBidi"/>
                <w:bCs/>
                <w:sz w:val="20"/>
                <w:vertAlign w:val="superscript"/>
              </w:rPr>
              <w:t>1</w:t>
            </w:r>
          </w:p>
        </w:tc>
        <w:tc>
          <w:tcPr>
            <w:tcW w:w="2397" w:type="dxa"/>
            <w:vAlign w:val="center"/>
          </w:tcPr>
          <w:p w14:paraId="62E50915"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Table 1.1, ABS 3301.0, Births, summary, by state </w:t>
            </w:r>
          </w:p>
        </w:tc>
        <w:tc>
          <w:tcPr>
            <w:tcW w:w="3798" w:type="dxa"/>
            <w:vAlign w:val="center"/>
          </w:tcPr>
          <w:p w14:paraId="079A58B4" w14:textId="7B543158" w:rsidR="007B2E9F" w:rsidRPr="00731632" w:rsidRDefault="005A0EA7"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w:t>
            </w:r>
            <w:r w:rsidR="0020186F" w:rsidRPr="00731632">
              <w:rPr>
                <w:rFonts w:ascii="Arial Narrow" w:eastAsiaTheme="majorEastAsia" w:hAnsi="Arial Narrow" w:cstheme="majorBidi"/>
                <w:bCs/>
                <w:sz w:val="20"/>
              </w:rPr>
              <w:t>DUSC considered t</w:t>
            </w:r>
            <w:r w:rsidR="007B2E9F" w:rsidRPr="00731632">
              <w:rPr>
                <w:rFonts w:ascii="Arial Narrow" w:eastAsiaTheme="majorEastAsia" w:hAnsi="Arial Narrow" w:cstheme="majorBidi"/>
                <w:bCs/>
                <w:sz w:val="20"/>
              </w:rPr>
              <w:t xml:space="preserve">his was reasonable. </w:t>
            </w:r>
          </w:p>
        </w:tc>
      </w:tr>
      <w:tr w:rsidR="007B2E9F" w:rsidRPr="00731632" w14:paraId="204CB59A" w14:textId="77777777" w:rsidTr="00C0311D">
        <w:tc>
          <w:tcPr>
            <w:tcW w:w="1526" w:type="dxa"/>
            <w:vAlign w:val="center"/>
          </w:tcPr>
          <w:p w14:paraId="6E4C9592"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Uptake rate</w:t>
            </w:r>
          </w:p>
        </w:tc>
        <w:tc>
          <w:tcPr>
            <w:tcW w:w="1459" w:type="dxa"/>
            <w:vAlign w:val="center"/>
          </w:tcPr>
          <w:p w14:paraId="0B12E8B2"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70%</w:t>
            </w:r>
          </w:p>
        </w:tc>
        <w:tc>
          <w:tcPr>
            <w:tcW w:w="2397" w:type="dxa"/>
            <w:vAlign w:val="center"/>
          </w:tcPr>
          <w:p w14:paraId="6F75A271"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Assumption</w:t>
            </w:r>
          </w:p>
        </w:tc>
        <w:tc>
          <w:tcPr>
            <w:tcW w:w="3798" w:type="dxa"/>
            <w:vAlign w:val="center"/>
          </w:tcPr>
          <w:p w14:paraId="529CCF46" w14:textId="6B379AB8" w:rsidR="007B2E9F" w:rsidRPr="00731632" w:rsidRDefault="005A0EA7"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evaluation considered </w:t>
            </w:r>
            <w:r w:rsidR="007B2E9F" w:rsidRPr="00731632">
              <w:rPr>
                <w:rFonts w:ascii="Arial Narrow" w:eastAsiaTheme="majorEastAsia" w:hAnsi="Arial Narrow" w:cstheme="majorBidi"/>
                <w:bCs/>
                <w:sz w:val="20"/>
              </w:rPr>
              <w:t xml:space="preserve">this uptake rate </w:t>
            </w:r>
            <w:r w:rsidRPr="00731632">
              <w:rPr>
                <w:rFonts w:ascii="Arial Narrow" w:eastAsiaTheme="majorEastAsia" w:hAnsi="Arial Narrow" w:cstheme="majorBidi"/>
                <w:bCs/>
                <w:sz w:val="20"/>
              </w:rPr>
              <w:t xml:space="preserve">was uncertain and </w:t>
            </w:r>
            <w:r w:rsidR="007B2E9F" w:rsidRPr="00731632">
              <w:rPr>
                <w:rFonts w:ascii="Arial Narrow" w:eastAsiaTheme="majorEastAsia" w:hAnsi="Arial Narrow" w:cstheme="majorBidi"/>
                <w:bCs/>
                <w:sz w:val="20"/>
              </w:rPr>
              <w:t xml:space="preserve">may be too high. </w:t>
            </w:r>
          </w:p>
          <w:p w14:paraId="7F4D29A1" w14:textId="77777777" w:rsidR="005A0EA7" w:rsidRPr="00731632" w:rsidRDefault="005A0EA7" w:rsidP="00866F91">
            <w:pPr>
              <w:jc w:val="left"/>
              <w:rPr>
                <w:rFonts w:ascii="Arial Narrow" w:eastAsiaTheme="majorEastAsia" w:hAnsi="Arial Narrow" w:cstheme="majorBidi"/>
                <w:bCs/>
                <w:sz w:val="20"/>
              </w:rPr>
            </w:pPr>
          </w:p>
          <w:p w14:paraId="0EE5C895" w14:textId="21B6F494" w:rsidR="005A0EA7" w:rsidRPr="00731632" w:rsidRDefault="005A0EA7"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DUSC considered the uptake rate to be reasonable, noting the introduction of state-based programs offering RSV vaccine for infants and considered that the increased awareness of RSV would lead to a high uptake of nirsevimab if PBS listed. The DUSC noted the immunisation schedule for infants (0, 2 and 4 months) and considered the  opportunities for health care practitioners to discuss RSV risk and immunisation with nirsevimab with parents, would also support uptake.</w:t>
            </w:r>
          </w:p>
        </w:tc>
      </w:tr>
      <w:tr w:rsidR="007B2E9F" w:rsidRPr="00731632" w14:paraId="3B27931B" w14:textId="77777777" w:rsidTr="00C0311D">
        <w:tc>
          <w:tcPr>
            <w:tcW w:w="1526" w:type="dxa"/>
            <w:vAlign w:val="center"/>
          </w:tcPr>
          <w:p w14:paraId="39DF94A3" w14:textId="78D8926E"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Number </w:t>
            </w:r>
            <w:r w:rsidR="00840F19" w:rsidRPr="00731632">
              <w:rPr>
                <w:rFonts w:ascii="Arial Narrow" w:eastAsiaTheme="majorEastAsia" w:hAnsi="Arial Narrow" w:cstheme="majorBidi"/>
                <w:bCs/>
                <w:sz w:val="20"/>
              </w:rPr>
              <w:t xml:space="preserve">immunised </w:t>
            </w:r>
            <w:r w:rsidRPr="00731632">
              <w:rPr>
                <w:rFonts w:ascii="Arial Narrow" w:eastAsiaTheme="majorEastAsia" w:hAnsi="Arial Narrow" w:cstheme="majorBidi"/>
                <w:bCs/>
                <w:sz w:val="20"/>
              </w:rPr>
              <w:t xml:space="preserve"> </w:t>
            </w:r>
          </w:p>
        </w:tc>
        <w:tc>
          <w:tcPr>
            <w:tcW w:w="1459" w:type="dxa"/>
            <w:vAlign w:val="center"/>
          </w:tcPr>
          <w:p w14:paraId="5155F3D3" w14:textId="6CA308E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1: </w:t>
            </w:r>
            <w:r w:rsidR="009F6D97" w:rsidRPr="009F6D97">
              <w:rPr>
                <w:rFonts w:ascii="Arial Narrow" w:eastAsiaTheme="majorEastAsia" w:hAnsi="Arial Narrow" w:cstheme="majorBidi"/>
                <w:bCs/>
                <w:color w:val="000000"/>
                <w:spacing w:val="53"/>
                <w:sz w:val="20"/>
                <w:shd w:val="solid" w:color="000000" w:fill="000000"/>
                <w:fitText w:val="330" w:id="-893211120"/>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20"/>
                <w14:textFill>
                  <w14:solidFill>
                    <w14:srgbClr w14:val="000000">
                      <w14:alpha w14:val="100000"/>
                    </w14:srgbClr>
                  </w14:solidFill>
                </w14:textFill>
              </w:rPr>
              <w:t>|</w:t>
            </w:r>
            <w:r w:rsidR="004729C6" w:rsidRPr="009A482D">
              <w:rPr>
                <w:rFonts w:ascii="Arial Narrow" w:eastAsiaTheme="majorEastAsia" w:hAnsi="Arial Narrow" w:cstheme="majorBidi"/>
                <w:bCs/>
                <w:sz w:val="20"/>
                <w:vertAlign w:val="superscript"/>
              </w:rPr>
              <w:t>2</w:t>
            </w:r>
          </w:p>
          <w:p w14:paraId="6977D1D9" w14:textId="20FB2A1A"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2: </w:t>
            </w:r>
            <w:r w:rsidR="009F6D97" w:rsidRPr="009F6D97">
              <w:rPr>
                <w:rFonts w:ascii="Arial Narrow" w:eastAsiaTheme="majorEastAsia" w:hAnsi="Arial Narrow" w:cstheme="majorBidi"/>
                <w:bCs/>
                <w:color w:val="000000"/>
                <w:spacing w:val="53"/>
                <w:sz w:val="20"/>
                <w:shd w:val="solid" w:color="000000" w:fill="000000"/>
                <w:fitText w:val="330" w:id="-893211136"/>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6"/>
                <w14:textFill>
                  <w14:solidFill>
                    <w14:srgbClr w14:val="000000">
                      <w14:alpha w14:val="100000"/>
                    </w14:srgbClr>
                  </w14:solidFill>
                </w14:textFill>
              </w:rPr>
              <w:t>|</w:t>
            </w:r>
            <w:r w:rsidR="004729C6" w:rsidRPr="005C269B">
              <w:rPr>
                <w:rFonts w:ascii="Arial Narrow" w:eastAsiaTheme="majorEastAsia" w:hAnsi="Arial Narrow" w:cstheme="majorBidi"/>
                <w:bCs/>
                <w:sz w:val="20"/>
                <w:vertAlign w:val="superscript"/>
              </w:rPr>
              <w:t>2</w:t>
            </w:r>
          </w:p>
          <w:p w14:paraId="34BA56C3" w14:textId="18799C19"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3: </w:t>
            </w:r>
            <w:r w:rsidR="009F6D97" w:rsidRPr="009F6D97">
              <w:rPr>
                <w:rFonts w:ascii="Arial Narrow" w:eastAsiaTheme="majorEastAsia" w:hAnsi="Arial Narrow" w:cstheme="majorBidi"/>
                <w:bCs/>
                <w:color w:val="000000"/>
                <w:spacing w:val="53"/>
                <w:sz w:val="20"/>
                <w:shd w:val="solid" w:color="000000" w:fill="000000"/>
                <w:fitText w:val="330" w:id="-893211135"/>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5"/>
                <w14:textFill>
                  <w14:solidFill>
                    <w14:srgbClr w14:val="000000">
                      <w14:alpha w14:val="100000"/>
                    </w14:srgbClr>
                  </w14:solidFill>
                </w14:textFill>
              </w:rPr>
              <w:t>|</w:t>
            </w:r>
            <w:r w:rsidR="004729C6" w:rsidRPr="005C269B">
              <w:rPr>
                <w:rFonts w:ascii="Arial Narrow" w:eastAsiaTheme="majorEastAsia" w:hAnsi="Arial Narrow" w:cstheme="majorBidi"/>
                <w:bCs/>
                <w:sz w:val="20"/>
                <w:vertAlign w:val="superscript"/>
              </w:rPr>
              <w:t>2</w:t>
            </w:r>
          </w:p>
          <w:p w14:paraId="6B9F4403" w14:textId="26E30C0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4: </w:t>
            </w:r>
            <w:r w:rsidR="009F6D97" w:rsidRPr="009F6D97">
              <w:rPr>
                <w:rFonts w:ascii="Arial Narrow" w:eastAsiaTheme="majorEastAsia" w:hAnsi="Arial Narrow" w:cstheme="majorBidi"/>
                <w:bCs/>
                <w:color w:val="000000"/>
                <w:spacing w:val="53"/>
                <w:sz w:val="20"/>
                <w:shd w:val="solid" w:color="000000" w:fill="000000"/>
                <w:fitText w:val="330" w:id="-893211134"/>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4"/>
                <w14:textFill>
                  <w14:solidFill>
                    <w14:srgbClr w14:val="000000">
                      <w14:alpha w14:val="100000"/>
                    </w14:srgbClr>
                  </w14:solidFill>
                </w14:textFill>
              </w:rPr>
              <w:t>|</w:t>
            </w:r>
            <w:r w:rsidR="004729C6" w:rsidRPr="005C269B">
              <w:rPr>
                <w:rFonts w:ascii="Arial Narrow" w:eastAsiaTheme="majorEastAsia" w:hAnsi="Arial Narrow" w:cstheme="majorBidi"/>
                <w:bCs/>
                <w:sz w:val="20"/>
                <w:vertAlign w:val="superscript"/>
              </w:rPr>
              <w:t>2</w:t>
            </w:r>
          </w:p>
          <w:p w14:paraId="58012ABD" w14:textId="323F636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5: </w:t>
            </w:r>
            <w:r w:rsidR="009F6D97" w:rsidRPr="009F6D97">
              <w:rPr>
                <w:rFonts w:ascii="Arial Narrow" w:eastAsiaTheme="majorEastAsia" w:hAnsi="Arial Narrow" w:cstheme="majorBidi"/>
                <w:bCs/>
                <w:color w:val="000000"/>
                <w:spacing w:val="53"/>
                <w:sz w:val="20"/>
                <w:shd w:val="solid" w:color="000000" w:fill="000000"/>
                <w:fitText w:val="330" w:id="-893211133"/>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3"/>
                <w14:textFill>
                  <w14:solidFill>
                    <w14:srgbClr w14:val="000000">
                      <w14:alpha w14:val="100000"/>
                    </w14:srgbClr>
                  </w14:solidFill>
                </w14:textFill>
              </w:rPr>
              <w:t>|</w:t>
            </w:r>
            <w:r w:rsidR="004729C6" w:rsidRPr="005C269B">
              <w:rPr>
                <w:rFonts w:ascii="Arial Narrow" w:eastAsiaTheme="majorEastAsia" w:hAnsi="Arial Narrow" w:cstheme="majorBidi"/>
                <w:bCs/>
                <w:sz w:val="20"/>
                <w:vertAlign w:val="superscript"/>
              </w:rPr>
              <w:t>2</w:t>
            </w:r>
          </w:p>
          <w:p w14:paraId="3FD1740B" w14:textId="11B24726" w:rsidR="007B2E9F" w:rsidRPr="00731632" w:rsidRDefault="007B2E9F" w:rsidP="00866F91">
            <w:pPr>
              <w:jc w:val="left"/>
              <w:rPr>
                <w:rFonts w:ascii="Arial Narrow" w:eastAsiaTheme="majorEastAsia" w:hAnsi="Arial Narrow" w:cstheme="majorBidi"/>
                <w:b/>
                <w:sz w:val="20"/>
              </w:rPr>
            </w:pPr>
            <w:r w:rsidRPr="00731632">
              <w:rPr>
                <w:rFonts w:ascii="Arial Narrow" w:eastAsiaTheme="majorEastAsia" w:hAnsi="Arial Narrow" w:cstheme="majorBidi"/>
                <w:bCs/>
                <w:sz w:val="20"/>
              </w:rPr>
              <w:t xml:space="preserve">Yr 6: </w:t>
            </w:r>
            <w:r w:rsidR="009F6D97" w:rsidRPr="009F6D97">
              <w:rPr>
                <w:rFonts w:ascii="Arial Narrow" w:eastAsiaTheme="majorEastAsia" w:hAnsi="Arial Narrow" w:cstheme="majorBidi"/>
                <w:bCs/>
                <w:color w:val="000000"/>
                <w:spacing w:val="53"/>
                <w:sz w:val="20"/>
                <w:shd w:val="solid" w:color="000000" w:fill="000000"/>
                <w:fitText w:val="330" w:id="-893211132"/>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2"/>
                <w14:textFill>
                  <w14:solidFill>
                    <w14:srgbClr w14:val="000000">
                      <w14:alpha w14:val="100000"/>
                    </w14:srgbClr>
                  </w14:solidFill>
                </w14:textFill>
              </w:rPr>
              <w:t>|</w:t>
            </w:r>
            <w:r w:rsidR="004729C6" w:rsidRPr="005C269B">
              <w:rPr>
                <w:rFonts w:ascii="Arial Narrow" w:eastAsiaTheme="majorEastAsia" w:hAnsi="Arial Narrow" w:cstheme="majorBidi"/>
                <w:bCs/>
                <w:sz w:val="20"/>
                <w:vertAlign w:val="superscript"/>
              </w:rPr>
              <w:t>2</w:t>
            </w:r>
          </w:p>
        </w:tc>
        <w:tc>
          <w:tcPr>
            <w:tcW w:w="2397" w:type="dxa"/>
            <w:vAlign w:val="center"/>
          </w:tcPr>
          <w:p w14:paraId="615DAC9A" w14:textId="0410ACB2"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Estimated by multiplying the number of incident </w:t>
            </w:r>
            <w:r w:rsidR="00B63F4A" w:rsidRPr="00731632">
              <w:rPr>
                <w:rFonts w:ascii="Arial Narrow" w:eastAsiaTheme="majorEastAsia" w:hAnsi="Arial Narrow" w:cstheme="majorBidi"/>
                <w:bCs/>
                <w:sz w:val="20"/>
              </w:rPr>
              <w:t>individuals</w:t>
            </w:r>
            <w:r w:rsidRPr="00731632">
              <w:rPr>
                <w:rFonts w:ascii="Arial Narrow" w:eastAsiaTheme="majorEastAsia" w:hAnsi="Arial Narrow" w:cstheme="majorBidi"/>
                <w:bCs/>
                <w:sz w:val="20"/>
              </w:rPr>
              <w:t xml:space="preserve"> and the uptake rate </w:t>
            </w:r>
          </w:p>
        </w:tc>
        <w:tc>
          <w:tcPr>
            <w:tcW w:w="3798" w:type="dxa"/>
            <w:vAlign w:val="center"/>
          </w:tcPr>
          <w:p w14:paraId="61B36B48" w14:textId="39C373DA" w:rsidR="007B2E9F" w:rsidRPr="00731632" w:rsidRDefault="005A0EA7"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DUSC considered t</w:t>
            </w:r>
            <w:r w:rsidR="007B2E9F" w:rsidRPr="00731632">
              <w:rPr>
                <w:rFonts w:ascii="Arial Narrow" w:eastAsiaTheme="majorEastAsia" w:hAnsi="Arial Narrow" w:cstheme="majorBidi"/>
                <w:bCs/>
                <w:sz w:val="20"/>
              </w:rPr>
              <w:t>his was reasonable.</w:t>
            </w:r>
          </w:p>
        </w:tc>
      </w:tr>
      <w:tr w:rsidR="007B2E9F" w:rsidRPr="00731632" w14:paraId="47F49895" w14:textId="77777777" w:rsidTr="00866F91">
        <w:trPr>
          <w:trHeight w:val="97"/>
        </w:trPr>
        <w:tc>
          <w:tcPr>
            <w:tcW w:w="9180" w:type="dxa"/>
            <w:gridSpan w:val="4"/>
            <w:vAlign w:val="center"/>
          </w:tcPr>
          <w:p w14:paraId="78434680" w14:textId="77777777" w:rsidR="007B2E9F" w:rsidRPr="00731632" w:rsidRDefault="007B2E9F" w:rsidP="00B67E00">
            <w:pPr>
              <w:keepNext/>
              <w:jc w:val="left"/>
              <w:rPr>
                <w:rFonts w:ascii="Arial Narrow" w:eastAsiaTheme="majorEastAsia" w:hAnsi="Arial Narrow" w:cstheme="majorBidi"/>
                <w:b/>
                <w:sz w:val="20"/>
              </w:rPr>
            </w:pPr>
            <w:r w:rsidRPr="00731632">
              <w:rPr>
                <w:rFonts w:ascii="Arial Narrow" w:eastAsiaTheme="majorEastAsia" w:hAnsi="Arial Narrow" w:cstheme="majorBidi"/>
                <w:b/>
                <w:sz w:val="20"/>
              </w:rPr>
              <w:t>Population 2: Tropical regions (all infants aged 0-1)</w:t>
            </w:r>
          </w:p>
        </w:tc>
      </w:tr>
      <w:tr w:rsidR="007B2E9F" w:rsidRPr="00731632" w14:paraId="5B8E4D53" w14:textId="77777777" w:rsidTr="00C0311D">
        <w:trPr>
          <w:cantSplit/>
        </w:trPr>
        <w:tc>
          <w:tcPr>
            <w:tcW w:w="1526" w:type="dxa"/>
            <w:vAlign w:val="center"/>
          </w:tcPr>
          <w:p w14:paraId="0D8E5E2E" w14:textId="06A28B02"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Incident </w:t>
            </w:r>
            <w:r w:rsidR="00B63F4A" w:rsidRPr="00731632">
              <w:rPr>
                <w:rFonts w:ascii="Arial Narrow" w:eastAsiaTheme="majorEastAsia" w:hAnsi="Arial Narrow" w:cstheme="majorBidi"/>
                <w:bCs/>
                <w:sz w:val="20"/>
              </w:rPr>
              <w:t>individuals</w:t>
            </w:r>
          </w:p>
        </w:tc>
        <w:tc>
          <w:tcPr>
            <w:tcW w:w="1459" w:type="dxa"/>
            <w:vAlign w:val="center"/>
          </w:tcPr>
          <w:p w14:paraId="29BFBA38" w14:textId="4DF9DBF3"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1: </w:t>
            </w:r>
            <w:r w:rsidR="009F6D97" w:rsidRPr="009F6D97">
              <w:rPr>
                <w:rFonts w:ascii="Arial Narrow" w:eastAsiaTheme="majorEastAsia" w:hAnsi="Arial Narrow" w:cstheme="majorBidi"/>
                <w:bCs/>
                <w:color w:val="000000"/>
                <w:spacing w:val="53"/>
                <w:sz w:val="20"/>
                <w:shd w:val="solid" w:color="000000" w:fill="000000"/>
                <w:fitText w:val="330" w:id="-893211131"/>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1"/>
                <w14:textFill>
                  <w14:solidFill>
                    <w14:srgbClr w14:val="000000">
                      <w14:alpha w14:val="100000"/>
                    </w14:srgbClr>
                  </w14:solidFill>
                </w14:textFill>
              </w:rPr>
              <w:t>|</w:t>
            </w:r>
            <w:r w:rsidR="004729C6">
              <w:rPr>
                <w:rFonts w:ascii="Arial Narrow" w:eastAsiaTheme="majorEastAsia" w:hAnsi="Arial Narrow" w:cstheme="majorBidi"/>
                <w:bCs/>
                <w:sz w:val="20"/>
              </w:rPr>
              <w:t>3</w:t>
            </w:r>
          </w:p>
          <w:p w14:paraId="3B57AFF7" w14:textId="218D4735"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2: </w:t>
            </w:r>
            <w:r w:rsidR="009F6D97" w:rsidRPr="009F6D97">
              <w:rPr>
                <w:rFonts w:ascii="Arial Narrow" w:eastAsiaTheme="majorEastAsia" w:hAnsi="Arial Narrow" w:cstheme="majorBidi"/>
                <w:bCs/>
                <w:color w:val="000000"/>
                <w:spacing w:val="53"/>
                <w:sz w:val="20"/>
                <w:shd w:val="solid" w:color="000000" w:fill="000000"/>
                <w:fitText w:val="330" w:id="-893211130"/>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1130"/>
                <w14:textFill>
                  <w14:solidFill>
                    <w14:srgbClr w14:val="000000">
                      <w14:alpha w14:val="100000"/>
                    </w14:srgbClr>
                  </w14:solidFill>
                </w14:textFill>
              </w:rPr>
              <w:t>|</w:t>
            </w:r>
            <w:r w:rsidR="0013023E">
              <w:rPr>
                <w:rFonts w:ascii="Arial Narrow" w:eastAsiaTheme="majorEastAsia" w:hAnsi="Arial Narrow" w:cstheme="majorBidi"/>
                <w:bCs/>
                <w:sz w:val="20"/>
              </w:rPr>
              <w:t>3</w:t>
            </w:r>
          </w:p>
          <w:p w14:paraId="2E06645C" w14:textId="65EEC45C"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3: </w:t>
            </w:r>
            <w:r w:rsidR="009F6D97" w:rsidRPr="009F6D97">
              <w:rPr>
                <w:rFonts w:ascii="Arial Narrow" w:eastAsiaTheme="majorEastAsia" w:hAnsi="Arial Narrow" w:cstheme="majorBidi"/>
                <w:bCs/>
                <w:color w:val="000000"/>
                <w:spacing w:val="53"/>
                <w:sz w:val="20"/>
                <w:shd w:val="solid" w:color="000000" w:fill="000000"/>
                <w:fitText w:val="330" w:id="-893210880"/>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80"/>
                <w14:textFill>
                  <w14:solidFill>
                    <w14:srgbClr w14:val="000000">
                      <w14:alpha w14:val="100000"/>
                    </w14:srgbClr>
                  </w14:solidFill>
                </w14:textFill>
              </w:rPr>
              <w:t>|</w:t>
            </w:r>
            <w:r w:rsidR="0013023E">
              <w:rPr>
                <w:rFonts w:ascii="Arial Narrow" w:eastAsiaTheme="majorEastAsia" w:hAnsi="Arial Narrow" w:cstheme="majorBidi"/>
                <w:bCs/>
                <w:sz w:val="20"/>
              </w:rPr>
              <w:t>3</w:t>
            </w:r>
          </w:p>
          <w:p w14:paraId="4644D7CA" w14:textId="1E942325"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4: </w:t>
            </w:r>
            <w:r w:rsidR="009F6D97" w:rsidRPr="009F6D97">
              <w:rPr>
                <w:rFonts w:ascii="Arial Narrow" w:eastAsiaTheme="majorEastAsia" w:hAnsi="Arial Narrow" w:cstheme="majorBidi"/>
                <w:bCs/>
                <w:color w:val="000000"/>
                <w:spacing w:val="53"/>
                <w:sz w:val="20"/>
                <w:shd w:val="solid" w:color="000000" w:fill="000000"/>
                <w:fitText w:val="330" w:id="-893210879"/>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9"/>
                <w14:textFill>
                  <w14:solidFill>
                    <w14:srgbClr w14:val="000000">
                      <w14:alpha w14:val="100000"/>
                    </w14:srgbClr>
                  </w14:solidFill>
                </w14:textFill>
              </w:rPr>
              <w:t>|</w:t>
            </w:r>
            <w:r w:rsidR="0013023E">
              <w:rPr>
                <w:rFonts w:ascii="Arial Narrow" w:eastAsiaTheme="majorEastAsia" w:hAnsi="Arial Narrow" w:cstheme="majorBidi"/>
                <w:bCs/>
                <w:sz w:val="20"/>
              </w:rPr>
              <w:t>3</w:t>
            </w:r>
          </w:p>
          <w:p w14:paraId="5A174D54" w14:textId="28C4EA43"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5: </w:t>
            </w:r>
            <w:r w:rsidR="009F6D97" w:rsidRPr="009F6D97">
              <w:rPr>
                <w:rFonts w:ascii="Arial Narrow" w:eastAsiaTheme="majorEastAsia" w:hAnsi="Arial Narrow" w:cstheme="majorBidi"/>
                <w:bCs/>
                <w:color w:val="000000"/>
                <w:spacing w:val="53"/>
                <w:sz w:val="20"/>
                <w:shd w:val="solid" w:color="000000" w:fill="000000"/>
                <w:fitText w:val="330" w:id="-893210878"/>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8"/>
                <w14:textFill>
                  <w14:solidFill>
                    <w14:srgbClr w14:val="000000">
                      <w14:alpha w14:val="100000"/>
                    </w14:srgbClr>
                  </w14:solidFill>
                </w14:textFill>
              </w:rPr>
              <w:t>|</w:t>
            </w:r>
            <w:r w:rsidR="0013023E">
              <w:rPr>
                <w:rFonts w:ascii="Arial Narrow" w:eastAsiaTheme="majorEastAsia" w:hAnsi="Arial Narrow" w:cstheme="majorBidi"/>
                <w:bCs/>
                <w:sz w:val="20"/>
              </w:rPr>
              <w:t>3</w:t>
            </w:r>
          </w:p>
          <w:p w14:paraId="4AFE6D67" w14:textId="65009011" w:rsidR="007B2E9F" w:rsidRPr="00731632" w:rsidRDefault="007B2E9F" w:rsidP="00866F91">
            <w:pPr>
              <w:jc w:val="left"/>
              <w:rPr>
                <w:rFonts w:ascii="Arial Narrow" w:eastAsiaTheme="majorEastAsia" w:hAnsi="Arial Narrow" w:cstheme="majorBidi"/>
                <w:b/>
                <w:sz w:val="20"/>
              </w:rPr>
            </w:pPr>
            <w:r w:rsidRPr="00731632">
              <w:rPr>
                <w:rFonts w:ascii="Arial Narrow" w:eastAsiaTheme="majorEastAsia" w:hAnsi="Arial Narrow" w:cstheme="majorBidi"/>
                <w:bCs/>
                <w:sz w:val="20"/>
              </w:rPr>
              <w:t xml:space="preserve">Yr 6: </w:t>
            </w:r>
            <w:r w:rsidR="009F6D97" w:rsidRPr="009F6D97">
              <w:rPr>
                <w:rFonts w:ascii="Arial Narrow" w:eastAsiaTheme="majorEastAsia" w:hAnsi="Arial Narrow" w:cstheme="majorBidi"/>
                <w:bCs/>
                <w:color w:val="000000"/>
                <w:spacing w:val="53"/>
                <w:sz w:val="20"/>
                <w:shd w:val="solid" w:color="000000" w:fill="000000"/>
                <w:fitText w:val="330" w:id="-893210877"/>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7"/>
                <w14:textFill>
                  <w14:solidFill>
                    <w14:srgbClr w14:val="000000">
                      <w14:alpha w14:val="100000"/>
                    </w14:srgbClr>
                  </w14:solidFill>
                </w14:textFill>
              </w:rPr>
              <w:t>|</w:t>
            </w:r>
            <w:r w:rsidR="0013023E">
              <w:rPr>
                <w:rFonts w:ascii="Arial Narrow" w:eastAsiaTheme="majorEastAsia" w:hAnsi="Arial Narrow" w:cstheme="majorBidi"/>
                <w:bCs/>
                <w:sz w:val="20"/>
              </w:rPr>
              <w:t>3</w:t>
            </w:r>
          </w:p>
        </w:tc>
        <w:tc>
          <w:tcPr>
            <w:tcW w:w="2397" w:type="dxa"/>
            <w:vAlign w:val="center"/>
          </w:tcPr>
          <w:p w14:paraId="1DB7D2C0" w14:textId="77777777" w:rsidR="007B2E9F" w:rsidRPr="00731632" w:rsidRDefault="007B2E9F" w:rsidP="00866F91">
            <w:pPr>
              <w:jc w:val="left"/>
              <w:rPr>
                <w:rFonts w:ascii="Arial Narrow" w:eastAsiaTheme="majorEastAsia" w:hAnsi="Arial Narrow" w:cstheme="majorBidi"/>
                <w:b/>
                <w:sz w:val="20"/>
              </w:rPr>
            </w:pPr>
            <w:r w:rsidRPr="00731632">
              <w:rPr>
                <w:rFonts w:ascii="Arial Narrow" w:eastAsiaTheme="majorEastAsia" w:hAnsi="Arial Narrow" w:cstheme="majorBidi"/>
                <w:bCs/>
                <w:sz w:val="20"/>
              </w:rPr>
              <w:t>Table 1.1, ABS 3301.0, Births, summary, by state</w:t>
            </w:r>
          </w:p>
        </w:tc>
        <w:tc>
          <w:tcPr>
            <w:tcW w:w="3798" w:type="dxa"/>
            <w:vAlign w:val="center"/>
          </w:tcPr>
          <w:p w14:paraId="301CCA6C" w14:textId="1A55C330" w:rsidR="007B2E9F" w:rsidRPr="00731632" w:rsidRDefault="005A0EA7"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DUSC considered t</w:t>
            </w:r>
            <w:r w:rsidR="007B2E9F" w:rsidRPr="00731632">
              <w:rPr>
                <w:rFonts w:ascii="Arial Narrow" w:eastAsiaTheme="majorEastAsia" w:hAnsi="Arial Narrow" w:cstheme="majorBidi"/>
                <w:bCs/>
                <w:sz w:val="20"/>
              </w:rPr>
              <w:t>his was reasonable.</w:t>
            </w:r>
          </w:p>
        </w:tc>
      </w:tr>
      <w:tr w:rsidR="007B2E9F" w:rsidRPr="00731632" w14:paraId="0A2B47E4" w14:textId="77777777" w:rsidTr="00C0311D">
        <w:tc>
          <w:tcPr>
            <w:tcW w:w="1526" w:type="dxa"/>
            <w:vAlign w:val="center"/>
          </w:tcPr>
          <w:p w14:paraId="7D395CEA"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Uptake rate</w:t>
            </w:r>
          </w:p>
        </w:tc>
        <w:tc>
          <w:tcPr>
            <w:tcW w:w="1459" w:type="dxa"/>
            <w:vAlign w:val="center"/>
          </w:tcPr>
          <w:p w14:paraId="1CAE6F33"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70%</w:t>
            </w:r>
          </w:p>
        </w:tc>
        <w:tc>
          <w:tcPr>
            <w:tcW w:w="2397" w:type="dxa"/>
            <w:vAlign w:val="center"/>
          </w:tcPr>
          <w:p w14:paraId="6AECCA78"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Assumption</w:t>
            </w:r>
          </w:p>
        </w:tc>
        <w:tc>
          <w:tcPr>
            <w:tcW w:w="3798" w:type="dxa"/>
            <w:vAlign w:val="center"/>
          </w:tcPr>
          <w:p w14:paraId="51E23AF0" w14:textId="3AF2E4D4" w:rsidR="005A0EA7" w:rsidRPr="00731632" w:rsidRDefault="005A0EA7" w:rsidP="005A0EA7">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As above, the evaluation considered this uptake rate was uncertain and may be too high. The DUSC considered the uptake rate to be reasonable,</w:t>
            </w:r>
          </w:p>
          <w:p w14:paraId="192060B9" w14:textId="0C00569F" w:rsidR="007B2E9F" w:rsidRPr="00731632" w:rsidRDefault="007B2E9F" w:rsidP="00866F91">
            <w:pPr>
              <w:jc w:val="left"/>
              <w:rPr>
                <w:rFonts w:ascii="Arial Narrow" w:eastAsiaTheme="majorEastAsia" w:hAnsi="Arial Narrow" w:cstheme="majorBidi"/>
                <w:bCs/>
                <w:sz w:val="20"/>
              </w:rPr>
            </w:pPr>
          </w:p>
        </w:tc>
      </w:tr>
      <w:tr w:rsidR="007B2E9F" w:rsidRPr="00731632" w14:paraId="3EA7DE21" w14:textId="77777777" w:rsidTr="00C0311D">
        <w:tc>
          <w:tcPr>
            <w:tcW w:w="1526" w:type="dxa"/>
            <w:vAlign w:val="center"/>
          </w:tcPr>
          <w:p w14:paraId="3971AF86" w14:textId="148DA9FC"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Number </w:t>
            </w:r>
            <w:r w:rsidR="00840F19" w:rsidRPr="00731632">
              <w:rPr>
                <w:rFonts w:ascii="Arial Narrow" w:eastAsiaTheme="majorEastAsia" w:hAnsi="Arial Narrow" w:cstheme="majorBidi"/>
                <w:bCs/>
                <w:sz w:val="20"/>
              </w:rPr>
              <w:t>immunised</w:t>
            </w:r>
          </w:p>
        </w:tc>
        <w:tc>
          <w:tcPr>
            <w:tcW w:w="1459" w:type="dxa"/>
            <w:vAlign w:val="center"/>
          </w:tcPr>
          <w:p w14:paraId="59677C46" w14:textId="38820E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1: </w:t>
            </w:r>
            <w:r w:rsidR="009F6D97" w:rsidRPr="009F6D97">
              <w:rPr>
                <w:rFonts w:ascii="Arial Narrow" w:eastAsiaTheme="majorEastAsia" w:hAnsi="Arial Narrow" w:cstheme="majorBidi"/>
                <w:bCs/>
                <w:color w:val="000000"/>
                <w:spacing w:val="53"/>
                <w:sz w:val="20"/>
                <w:shd w:val="solid" w:color="000000" w:fill="000000"/>
                <w:fitText w:val="330" w:id="-893210876"/>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6"/>
                <w14:textFill>
                  <w14:solidFill>
                    <w14:srgbClr w14:val="000000">
                      <w14:alpha w14:val="100000"/>
                    </w14:srgbClr>
                  </w14:solidFill>
                </w14:textFill>
              </w:rPr>
              <w:t>|</w:t>
            </w:r>
            <w:r w:rsidR="0013023E" w:rsidRPr="009A482D">
              <w:rPr>
                <w:rFonts w:ascii="Arial Narrow" w:eastAsiaTheme="majorEastAsia" w:hAnsi="Arial Narrow" w:cstheme="majorBidi"/>
                <w:bCs/>
                <w:sz w:val="20"/>
                <w:vertAlign w:val="superscript"/>
              </w:rPr>
              <w:t>4</w:t>
            </w:r>
          </w:p>
          <w:p w14:paraId="7217660A" w14:textId="796C9074"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2: </w:t>
            </w:r>
            <w:r w:rsidR="009F6D97" w:rsidRPr="009F6D97">
              <w:rPr>
                <w:rFonts w:ascii="Arial Narrow" w:eastAsiaTheme="majorEastAsia" w:hAnsi="Arial Narrow" w:cstheme="majorBidi"/>
                <w:bCs/>
                <w:color w:val="000000"/>
                <w:spacing w:val="53"/>
                <w:sz w:val="20"/>
                <w:shd w:val="solid" w:color="000000" w:fill="000000"/>
                <w:fitText w:val="330" w:id="-893210875"/>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5"/>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4</w:t>
            </w:r>
          </w:p>
          <w:p w14:paraId="06B27AF5" w14:textId="3E56BA0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3: </w:t>
            </w:r>
            <w:r w:rsidR="009F6D97" w:rsidRPr="009F6D97">
              <w:rPr>
                <w:rFonts w:ascii="Arial Narrow" w:eastAsiaTheme="majorEastAsia" w:hAnsi="Arial Narrow" w:cstheme="majorBidi"/>
                <w:bCs/>
                <w:color w:val="000000"/>
                <w:spacing w:val="53"/>
                <w:sz w:val="20"/>
                <w:shd w:val="solid" w:color="000000" w:fill="000000"/>
                <w:fitText w:val="330" w:id="-893210874"/>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4"/>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4</w:t>
            </w:r>
          </w:p>
          <w:p w14:paraId="0823BD15" w14:textId="0D18BD35"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4: </w:t>
            </w:r>
            <w:r w:rsidR="009F6D97" w:rsidRPr="009F6D97">
              <w:rPr>
                <w:rFonts w:ascii="Arial Narrow" w:eastAsiaTheme="majorEastAsia" w:hAnsi="Arial Narrow" w:cstheme="majorBidi"/>
                <w:bCs/>
                <w:color w:val="000000"/>
                <w:spacing w:val="53"/>
                <w:sz w:val="20"/>
                <w:shd w:val="solid" w:color="000000" w:fill="000000"/>
                <w:fitText w:val="330" w:id="-893210873"/>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3"/>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4</w:t>
            </w:r>
          </w:p>
          <w:p w14:paraId="5E198B52" w14:textId="2BAEA1D4"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5: </w:t>
            </w:r>
            <w:r w:rsidR="009F6D97" w:rsidRPr="009F6D97">
              <w:rPr>
                <w:rFonts w:ascii="Arial Narrow" w:eastAsiaTheme="majorEastAsia" w:hAnsi="Arial Narrow" w:cstheme="majorBidi"/>
                <w:bCs/>
                <w:color w:val="000000"/>
                <w:spacing w:val="53"/>
                <w:sz w:val="20"/>
                <w:shd w:val="solid" w:color="000000" w:fill="000000"/>
                <w:fitText w:val="330" w:id="-893210872"/>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2"/>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4</w:t>
            </w:r>
          </w:p>
          <w:p w14:paraId="1502A794" w14:textId="76B8F103"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6: </w:t>
            </w:r>
            <w:r w:rsidR="009F6D97" w:rsidRPr="009F6D97">
              <w:rPr>
                <w:rFonts w:ascii="Arial Narrow" w:eastAsiaTheme="majorEastAsia" w:hAnsi="Arial Narrow" w:cstheme="majorBidi"/>
                <w:bCs/>
                <w:color w:val="000000"/>
                <w:spacing w:val="53"/>
                <w:sz w:val="20"/>
                <w:shd w:val="solid" w:color="000000" w:fill="000000"/>
                <w:fitText w:val="330" w:id="-893210871"/>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1"/>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4</w:t>
            </w:r>
          </w:p>
        </w:tc>
        <w:tc>
          <w:tcPr>
            <w:tcW w:w="2397" w:type="dxa"/>
            <w:vAlign w:val="center"/>
          </w:tcPr>
          <w:p w14:paraId="21E383A0" w14:textId="19693B96" w:rsidR="007B2E9F" w:rsidRPr="00731632" w:rsidRDefault="007B2E9F" w:rsidP="00866F91">
            <w:pPr>
              <w:jc w:val="left"/>
              <w:rPr>
                <w:rFonts w:ascii="Arial Narrow" w:eastAsiaTheme="majorEastAsia" w:hAnsi="Arial Narrow" w:cstheme="majorBidi"/>
                <w:b/>
                <w:sz w:val="20"/>
              </w:rPr>
            </w:pPr>
            <w:r w:rsidRPr="00731632">
              <w:rPr>
                <w:rFonts w:ascii="Arial Narrow" w:eastAsiaTheme="majorEastAsia" w:hAnsi="Arial Narrow" w:cstheme="majorBidi"/>
                <w:bCs/>
                <w:sz w:val="20"/>
              </w:rPr>
              <w:t xml:space="preserve">Estimated by multiplying the number of incident </w:t>
            </w:r>
            <w:r w:rsidR="00B63F4A" w:rsidRPr="00731632">
              <w:rPr>
                <w:rFonts w:ascii="Arial Narrow" w:eastAsiaTheme="majorEastAsia" w:hAnsi="Arial Narrow" w:cstheme="majorBidi"/>
                <w:bCs/>
                <w:sz w:val="20"/>
              </w:rPr>
              <w:t>individuals</w:t>
            </w:r>
            <w:r w:rsidRPr="00731632">
              <w:rPr>
                <w:rFonts w:ascii="Arial Narrow" w:eastAsiaTheme="majorEastAsia" w:hAnsi="Arial Narrow" w:cstheme="majorBidi"/>
                <w:bCs/>
                <w:sz w:val="20"/>
              </w:rPr>
              <w:t xml:space="preserve"> and the uptake rate</w:t>
            </w:r>
          </w:p>
        </w:tc>
        <w:tc>
          <w:tcPr>
            <w:tcW w:w="3798" w:type="dxa"/>
            <w:vAlign w:val="center"/>
          </w:tcPr>
          <w:p w14:paraId="303D6712" w14:textId="4A4C13B8" w:rsidR="007B2E9F" w:rsidRPr="00731632" w:rsidRDefault="005A0EA7"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DUSC considered t</w:t>
            </w:r>
            <w:r w:rsidR="007B2E9F" w:rsidRPr="00731632">
              <w:rPr>
                <w:rFonts w:ascii="Arial Narrow" w:eastAsiaTheme="majorEastAsia" w:hAnsi="Arial Narrow" w:cstheme="majorBidi"/>
                <w:bCs/>
                <w:sz w:val="20"/>
              </w:rPr>
              <w:t>his was reasonable.</w:t>
            </w:r>
          </w:p>
        </w:tc>
      </w:tr>
      <w:tr w:rsidR="007B2E9F" w:rsidRPr="00731632" w14:paraId="5505FFE1" w14:textId="77777777" w:rsidTr="00866F91">
        <w:tc>
          <w:tcPr>
            <w:tcW w:w="9180" w:type="dxa"/>
            <w:gridSpan w:val="4"/>
            <w:vAlign w:val="center"/>
          </w:tcPr>
          <w:p w14:paraId="4901617E" w14:textId="77777777" w:rsidR="007B2E9F" w:rsidRPr="00731632" w:rsidRDefault="007B2E9F" w:rsidP="00866F91">
            <w:pPr>
              <w:jc w:val="left"/>
              <w:rPr>
                <w:rFonts w:ascii="Arial Narrow" w:eastAsiaTheme="majorEastAsia" w:hAnsi="Arial Narrow" w:cstheme="majorBidi"/>
                <w:b/>
                <w:sz w:val="20"/>
              </w:rPr>
            </w:pPr>
            <w:r w:rsidRPr="00731632">
              <w:rPr>
                <w:rFonts w:ascii="Arial Narrow" w:eastAsiaTheme="majorEastAsia" w:hAnsi="Arial Narrow" w:cstheme="majorBidi"/>
                <w:b/>
                <w:sz w:val="20"/>
              </w:rPr>
              <w:t xml:space="preserve">Population 3: infants aged 1-2 years who remain vulnerable </w:t>
            </w:r>
          </w:p>
        </w:tc>
      </w:tr>
      <w:tr w:rsidR="007B2E9F" w:rsidRPr="00731632" w14:paraId="19C003D4" w14:textId="77777777" w:rsidTr="00C0311D">
        <w:tc>
          <w:tcPr>
            <w:tcW w:w="1526" w:type="dxa"/>
            <w:vAlign w:val="center"/>
          </w:tcPr>
          <w:p w14:paraId="62364429" w14:textId="60667030"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Incident </w:t>
            </w:r>
            <w:r w:rsidR="00B63F4A" w:rsidRPr="00731632">
              <w:rPr>
                <w:rFonts w:ascii="Arial Narrow" w:eastAsiaTheme="majorEastAsia" w:hAnsi="Arial Narrow" w:cstheme="majorBidi"/>
                <w:bCs/>
                <w:sz w:val="20"/>
              </w:rPr>
              <w:t>individuals</w:t>
            </w:r>
          </w:p>
        </w:tc>
        <w:tc>
          <w:tcPr>
            <w:tcW w:w="1459" w:type="dxa"/>
            <w:vAlign w:val="center"/>
          </w:tcPr>
          <w:p w14:paraId="56E1C889" w14:textId="63BC9C6F"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1: </w:t>
            </w:r>
            <w:r w:rsidR="009F6D97" w:rsidRPr="009F6D97">
              <w:rPr>
                <w:rFonts w:ascii="Arial Narrow" w:eastAsiaTheme="majorEastAsia" w:hAnsi="Arial Narrow" w:cstheme="majorBidi"/>
                <w:bCs/>
                <w:color w:val="000000"/>
                <w:spacing w:val="53"/>
                <w:sz w:val="20"/>
                <w:shd w:val="solid" w:color="000000" w:fill="000000"/>
                <w:fitText w:val="330" w:id="-893210870"/>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0"/>
                <w14:textFill>
                  <w14:solidFill>
                    <w14:srgbClr w14:val="000000">
                      <w14:alpha w14:val="100000"/>
                    </w14:srgbClr>
                  </w14:solidFill>
                </w14:textFill>
              </w:rPr>
              <w:t>|</w:t>
            </w:r>
            <w:r w:rsidR="0013023E" w:rsidRPr="009A482D">
              <w:rPr>
                <w:rFonts w:ascii="Arial Narrow" w:eastAsiaTheme="majorEastAsia" w:hAnsi="Arial Narrow" w:cstheme="majorBidi"/>
                <w:bCs/>
                <w:sz w:val="20"/>
                <w:vertAlign w:val="superscript"/>
              </w:rPr>
              <w:t>5</w:t>
            </w:r>
          </w:p>
          <w:p w14:paraId="2ED72256" w14:textId="00E3C924"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2: </w:t>
            </w:r>
            <w:r w:rsidR="009F6D97" w:rsidRPr="009F6D97">
              <w:rPr>
                <w:rFonts w:ascii="Arial Narrow" w:eastAsiaTheme="majorEastAsia" w:hAnsi="Arial Narrow" w:cstheme="majorBidi"/>
                <w:bCs/>
                <w:color w:val="000000"/>
                <w:spacing w:val="53"/>
                <w:sz w:val="20"/>
                <w:shd w:val="solid" w:color="000000" w:fill="000000"/>
                <w:fitText w:val="330" w:id="-893210869"/>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69"/>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5</w:t>
            </w:r>
          </w:p>
          <w:p w14:paraId="0E4D0CAB" w14:textId="377C0C7B"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3: </w:t>
            </w:r>
            <w:r w:rsidR="009F6D97" w:rsidRPr="009F6D97">
              <w:rPr>
                <w:rFonts w:ascii="Arial Narrow" w:eastAsiaTheme="majorEastAsia" w:hAnsi="Arial Narrow" w:cstheme="majorBidi"/>
                <w:bCs/>
                <w:color w:val="000000"/>
                <w:spacing w:val="53"/>
                <w:sz w:val="20"/>
                <w:shd w:val="solid" w:color="000000" w:fill="000000"/>
                <w:fitText w:val="330" w:id="-893210868"/>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68"/>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5</w:t>
            </w:r>
          </w:p>
          <w:p w14:paraId="3CEBC447" w14:textId="476A763F"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4: </w:t>
            </w:r>
            <w:r w:rsidR="009F6D97" w:rsidRPr="009F6D97">
              <w:rPr>
                <w:rFonts w:ascii="Arial Narrow" w:eastAsiaTheme="majorEastAsia" w:hAnsi="Arial Narrow" w:cstheme="majorBidi"/>
                <w:bCs/>
                <w:color w:val="000000"/>
                <w:spacing w:val="53"/>
                <w:sz w:val="20"/>
                <w:shd w:val="solid" w:color="000000" w:fill="000000"/>
                <w:fitText w:val="330" w:id="-893210867"/>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67"/>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5</w:t>
            </w:r>
          </w:p>
          <w:p w14:paraId="3BD5AE8F" w14:textId="4A30CC9D"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5: </w:t>
            </w:r>
            <w:r w:rsidR="009F6D97" w:rsidRPr="009F6D97">
              <w:rPr>
                <w:rFonts w:ascii="Arial Narrow" w:eastAsiaTheme="majorEastAsia" w:hAnsi="Arial Narrow" w:cstheme="majorBidi"/>
                <w:bCs/>
                <w:color w:val="000000"/>
                <w:spacing w:val="53"/>
                <w:sz w:val="20"/>
                <w:shd w:val="solid" w:color="000000" w:fill="000000"/>
                <w:fitText w:val="330" w:id="-893210866"/>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66"/>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5</w:t>
            </w:r>
          </w:p>
          <w:p w14:paraId="0F968AD4" w14:textId="06740E00"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6: </w:t>
            </w:r>
            <w:r w:rsidR="009F6D97" w:rsidRPr="009F6D97">
              <w:rPr>
                <w:rFonts w:ascii="Arial Narrow" w:eastAsiaTheme="majorEastAsia" w:hAnsi="Arial Narrow" w:cstheme="majorBidi"/>
                <w:bCs/>
                <w:color w:val="000000"/>
                <w:spacing w:val="53"/>
                <w:sz w:val="20"/>
                <w:shd w:val="solid" w:color="000000" w:fill="000000"/>
                <w:fitText w:val="330" w:id="-893210865"/>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65"/>
                <w14:textFill>
                  <w14:solidFill>
                    <w14:srgbClr w14:val="000000">
                      <w14:alpha w14:val="100000"/>
                    </w14:srgbClr>
                  </w14:solidFill>
                </w14:textFill>
              </w:rPr>
              <w:t>|</w:t>
            </w:r>
            <w:r w:rsidR="0013023E" w:rsidRPr="005C269B">
              <w:rPr>
                <w:rFonts w:ascii="Arial Narrow" w:eastAsiaTheme="majorEastAsia" w:hAnsi="Arial Narrow" w:cstheme="majorBidi"/>
                <w:bCs/>
                <w:sz w:val="20"/>
                <w:vertAlign w:val="superscript"/>
              </w:rPr>
              <w:t>5</w:t>
            </w:r>
          </w:p>
        </w:tc>
        <w:tc>
          <w:tcPr>
            <w:tcW w:w="2397" w:type="dxa"/>
            <w:vAlign w:val="center"/>
          </w:tcPr>
          <w:p w14:paraId="1D58A98E"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ABS 3222.0,  Projected population (released in 2013).</w:t>
            </w:r>
          </w:p>
        </w:tc>
        <w:tc>
          <w:tcPr>
            <w:tcW w:w="3798" w:type="dxa"/>
            <w:vAlign w:val="center"/>
          </w:tcPr>
          <w:p w14:paraId="6D6D6B73" w14:textId="158B064C" w:rsidR="007B2E9F" w:rsidRPr="00731632" w:rsidRDefault="00313735"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w:t>
            </w:r>
            <w:r w:rsidR="005A0EA7" w:rsidRPr="00731632">
              <w:rPr>
                <w:rFonts w:ascii="Arial Narrow" w:eastAsiaTheme="majorEastAsia" w:hAnsi="Arial Narrow" w:cstheme="majorBidi"/>
                <w:bCs/>
                <w:sz w:val="20"/>
              </w:rPr>
              <w:t xml:space="preserve">evaluation considered it </w:t>
            </w:r>
            <w:r w:rsidR="007B2E9F" w:rsidRPr="00731632">
              <w:rPr>
                <w:rFonts w:ascii="Arial Narrow" w:eastAsiaTheme="majorEastAsia" w:hAnsi="Arial Narrow" w:cstheme="majorBidi"/>
                <w:bCs/>
                <w:sz w:val="20"/>
              </w:rPr>
              <w:t xml:space="preserve">may have been more reasonable to utilise the most updated ABS population projections. Further, for consistency, it may have been appropriate to utilise the number of live births in the prior year to estimate the number of eligible and treated </w:t>
            </w:r>
            <w:r w:rsidR="00B63F4A" w:rsidRPr="00731632">
              <w:rPr>
                <w:rFonts w:ascii="Arial Narrow" w:eastAsiaTheme="majorEastAsia" w:hAnsi="Arial Narrow" w:cstheme="majorBidi"/>
                <w:bCs/>
                <w:sz w:val="20"/>
              </w:rPr>
              <w:t>individuals</w:t>
            </w:r>
            <w:r w:rsidR="007B2E9F" w:rsidRPr="00731632">
              <w:rPr>
                <w:rFonts w:ascii="Arial Narrow" w:eastAsiaTheme="majorEastAsia" w:hAnsi="Arial Narrow" w:cstheme="majorBidi"/>
                <w:bCs/>
                <w:sz w:val="20"/>
              </w:rPr>
              <w:t xml:space="preserve"> in this population. </w:t>
            </w:r>
            <w:r w:rsidR="005A0EA7" w:rsidRPr="00731632">
              <w:rPr>
                <w:rFonts w:ascii="Arial Narrow" w:eastAsiaTheme="majorEastAsia" w:hAnsi="Arial Narrow" w:cstheme="majorBidi"/>
                <w:bCs/>
                <w:sz w:val="20"/>
              </w:rPr>
              <w:t>The DUSC agreed with the evaluation.</w:t>
            </w:r>
          </w:p>
        </w:tc>
      </w:tr>
      <w:tr w:rsidR="007B2E9F" w:rsidRPr="00731632" w14:paraId="5FFF03CE" w14:textId="77777777" w:rsidTr="00C0311D">
        <w:tc>
          <w:tcPr>
            <w:tcW w:w="1526" w:type="dxa"/>
            <w:vAlign w:val="center"/>
          </w:tcPr>
          <w:p w14:paraId="765FA8F7" w14:textId="2A462ACB"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Eligible </w:t>
            </w:r>
            <w:r w:rsidR="00B63F4A" w:rsidRPr="00731632">
              <w:rPr>
                <w:rFonts w:ascii="Arial Narrow" w:eastAsiaTheme="majorEastAsia" w:hAnsi="Arial Narrow" w:cstheme="majorBidi"/>
                <w:bCs/>
                <w:sz w:val="20"/>
              </w:rPr>
              <w:t>individuals</w:t>
            </w:r>
            <w:r w:rsidRPr="00731632">
              <w:rPr>
                <w:rFonts w:ascii="Arial Narrow" w:eastAsiaTheme="majorEastAsia" w:hAnsi="Arial Narrow" w:cstheme="majorBidi"/>
                <w:bCs/>
                <w:sz w:val="20"/>
              </w:rPr>
              <w:t xml:space="preserve"> </w:t>
            </w:r>
          </w:p>
        </w:tc>
        <w:tc>
          <w:tcPr>
            <w:tcW w:w="1459" w:type="dxa"/>
            <w:vAlign w:val="center"/>
          </w:tcPr>
          <w:p w14:paraId="4EE1FA79"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4.34%</w:t>
            </w:r>
          </w:p>
        </w:tc>
        <w:tc>
          <w:tcPr>
            <w:tcW w:w="2397" w:type="dxa"/>
            <w:vAlign w:val="center"/>
          </w:tcPr>
          <w:p w14:paraId="4E52DFC7"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Births with a gestational age of less than 36 weeks; Table 3.5, National Perinatal Data Collection annual update 2022</w:t>
            </w:r>
          </w:p>
        </w:tc>
        <w:tc>
          <w:tcPr>
            <w:tcW w:w="3798" w:type="dxa"/>
            <w:vAlign w:val="center"/>
          </w:tcPr>
          <w:p w14:paraId="3B3C635E" w14:textId="0A90D95A"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w:t>
            </w:r>
            <w:r w:rsidR="005A0EA7" w:rsidRPr="00731632">
              <w:rPr>
                <w:rFonts w:ascii="Arial Narrow" w:eastAsiaTheme="majorEastAsia" w:hAnsi="Arial Narrow" w:cstheme="majorBidi"/>
                <w:bCs/>
                <w:sz w:val="20"/>
              </w:rPr>
              <w:t xml:space="preserve">evaluation considered the </w:t>
            </w:r>
            <w:r w:rsidRPr="00731632">
              <w:rPr>
                <w:rFonts w:ascii="Arial Narrow" w:eastAsiaTheme="majorEastAsia" w:hAnsi="Arial Narrow" w:cstheme="majorBidi"/>
                <w:bCs/>
                <w:sz w:val="20"/>
              </w:rPr>
              <w:t xml:space="preserve">source was reasonable. However, </w:t>
            </w:r>
            <w:r w:rsidR="005A0EA7" w:rsidRPr="00731632">
              <w:rPr>
                <w:rFonts w:ascii="Arial Narrow" w:eastAsiaTheme="majorEastAsia" w:hAnsi="Arial Narrow" w:cstheme="majorBidi"/>
                <w:bCs/>
                <w:sz w:val="20"/>
              </w:rPr>
              <w:t xml:space="preserve">considered the submission had </w:t>
            </w:r>
            <w:r w:rsidRPr="00731632">
              <w:rPr>
                <w:rFonts w:ascii="Arial Narrow" w:eastAsiaTheme="majorEastAsia" w:hAnsi="Arial Narrow" w:cstheme="majorBidi"/>
                <w:bCs/>
                <w:sz w:val="20"/>
              </w:rPr>
              <w:t>underestimate</w:t>
            </w:r>
            <w:r w:rsidR="005A0EA7" w:rsidRPr="00731632">
              <w:rPr>
                <w:rFonts w:ascii="Arial Narrow" w:eastAsiaTheme="majorEastAsia" w:hAnsi="Arial Narrow" w:cstheme="majorBidi"/>
                <w:bCs/>
                <w:sz w:val="20"/>
              </w:rPr>
              <w:t>d the population</w:t>
            </w:r>
            <w:r w:rsidRPr="00731632">
              <w:rPr>
                <w:rFonts w:ascii="Arial Narrow" w:eastAsiaTheme="majorEastAsia" w:hAnsi="Arial Narrow" w:cstheme="majorBidi"/>
                <w:bCs/>
                <w:sz w:val="20"/>
              </w:rPr>
              <w:t xml:space="preserve"> as it </w:t>
            </w:r>
            <w:r w:rsidR="005A0EA7" w:rsidRPr="00731632">
              <w:rPr>
                <w:rFonts w:ascii="Arial Narrow" w:eastAsiaTheme="majorEastAsia" w:hAnsi="Arial Narrow" w:cstheme="majorBidi"/>
                <w:bCs/>
                <w:sz w:val="20"/>
              </w:rPr>
              <w:t xml:space="preserve">did </w:t>
            </w:r>
            <w:r w:rsidRPr="00731632">
              <w:rPr>
                <w:rFonts w:ascii="Arial Narrow" w:eastAsiaTheme="majorEastAsia" w:hAnsi="Arial Narrow" w:cstheme="majorBidi"/>
                <w:bCs/>
                <w:sz w:val="20"/>
              </w:rPr>
              <w:t xml:space="preserve">not account for infants born at 36 weeks or over with bronchopulmonary dysplasia or  congenital heart disease. </w:t>
            </w:r>
            <w:r w:rsidR="005A0EA7" w:rsidRPr="00731632">
              <w:rPr>
                <w:rFonts w:ascii="Arial Narrow" w:eastAsiaTheme="majorEastAsia" w:hAnsi="Arial Narrow" w:cstheme="majorBidi"/>
                <w:bCs/>
                <w:sz w:val="20"/>
              </w:rPr>
              <w:t xml:space="preserve">Further it did not estimate the number of </w:t>
            </w:r>
            <w:r w:rsidRPr="00731632">
              <w:rPr>
                <w:rFonts w:ascii="Arial Narrow" w:eastAsiaTheme="majorEastAsia" w:hAnsi="Arial Narrow" w:cstheme="majorBidi"/>
                <w:bCs/>
                <w:sz w:val="20"/>
              </w:rPr>
              <w:t>indigenous children, who</w:t>
            </w:r>
            <w:r w:rsidR="00F677B5" w:rsidRPr="00731632">
              <w:rPr>
                <w:rFonts w:ascii="Arial Narrow" w:eastAsiaTheme="majorEastAsia" w:hAnsi="Arial Narrow" w:cstheme="majorBidi"/>
                <w:bCs/>
                <w:sz w:val="20"/>
              </w:rPr>
              <w:t xml:space="preserve"> were </w:t>
            </w:r>
            <w:r w:rsidRPr="00731632">
              <w:rPr>
                <w:rFonts w:ascii="Arial Narrow" w:eastAsiaTheme="majorEastAsia" w:hAnsi="Arial Narrow" w:cstheme="majorBidi"/>
                <w:bCs/>
                <w:sz w:val="20"/>
              </w:rPr>
              <w:t xml:space="preserve">at high-risk of severe RSV infection.  </w:t>
            </w:r>
          </w:p>
          <w:p w14:paraId="5C5FBDBE" w14:textId="7DB6328C" w:rsidR="005A0EA7" w:rsidRPr="00731632" w:rsidRDefault="005A0EA7" w:rsidP="005A0EA7">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PSCR stated that bronchopulmonary dysplasia (BPD) is associated with preterm births, with prevalence rates of over 35% for infants with a gestational age of less than 28 weeks.  The DUSC noted the discussion in the PSCR and considered that infants born at 36 weeks or over with bronchopulmonary dysplasia were adequately accounted for in the financial estimates. However, DUSC considered that infants with congenital heart disease and Indigenous children were not accounted for in the financial estimates.</w:t>
            </w:r>
          </w:p>
        </w:tc>
      </w:tr>
      <w:tr w:rsidR="007B2E9F" w:rsidRPr="00731632" w14:paraId="44EF20AF" w14:textId="77777777" w:rsidTr="00C0311D">
        <w:tc>
          <w:tcPr>
            <w:tcW w:w="1526" w:type="dxa"/>
            <w:vAlign w:val="center"/>
          </w:tcPr>
          <w:p w14:paraId="5541D13F"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Uptake rate</w:t>
            </w:r>
          </w:p>
        </w:tc>
        <w:tc>
          <w:tcPr>
            <w:tcW w:w="1459" w:type="dxa"/>
            <w:vAlign w:val="center"/>
          </w:tcPr>
          <w:p w14:paraId="59054ECD"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90%</w:t>
            </w:r>
          </w:p>
        </w:tc>
        <w:tc>
          <w:tcPr>
            <w:tcW w:w="2397" w:type="dxa"/>
            <w:vAlign w:val="center"/>
          </w:tcPr>
          <w:p w14:paraId="3BAD0469"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Assumption</w:t>
            </w:r>
          </w:p>
        </w:tc>
        <w:tc>
          <w:tcPr>
            <w:tcW w:w="3798" w:type="dxa"/>
            <w:vAlign w:val="center"/>
          </w:tcPr>
          <w:p w14:paraId="21E35E51" w14:textId="78BF200B"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w:t>
            </w:r>
            <w:r w:rsidR="00D25D92" w:rsidRPr="00731632">
              <w:rPr>
                <w:rFonts w:ascii="Arial Narrow" w:eastAsiaTheme="majorEastAsia" w:hAnsi="Arial Narrow" w:cstheme="majorBidi"/>
                <w:bCs/>
                <w:sz w:val="20"/>
              </w:rPr>
              <w:t>e evaluation considered th</w:t>
            </w:r>
            <w:r w:rsidRPr="00731632">
              <w:rPr>
                <w:rFonts w:ascii="Arial Narrow" w:eastAsiaTheme="majorEastAsia" w:hAnsi="Arial Narrow" w:cstheme="majorBidi"/>
                <w:bCs/>
                <w:sz w:val="20"/>
              </w:rPr>
              <w:t xml:space="preserve">is may be reasonable given that infants in this population are at a high-risk of developing severe RSV infection. </w:t>
            </w:r>
          </w:p>
          <w:p w14:paraId="778F063C" w14:textId="67D010AB" w:rsidR="00D25D92" w:rsidRPr="00731632" w:rsidRDefault="00D25D92"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DUSC considered the uptake rate to be reasonable, and noted that it would be important to inform families of high</w:t>
            </w:r>
            <w:r w:rsidR="00AD7828" w:rsidRPr="00731632">
              <w:rPr>
                <w:rFonts w:ascii="Arial Narrow" w:eastAsiaTheme="majorEastAsia" w:hAnsi="Arial Narrow" w:cstheme="majorBidi"/>
                <w:bCs/>
                <w:sz w:val="20"/>
              </w:rPr>
              <w:noBreakHyphen/>
            </w:r>
            <w:r w:rsidRPr="00731632">
              <w:rPr>
                <w:rFonts w:ascii="Arial Narrow" w:eastAsiaTheme="majorEastAsia" w:hAnsi="Arial Narrow" w:cstheme="majorBidi"/>
                <w:bCs/>
                <w:sz w:val="20"/>
              </w:rPr>
              <w:t>risk infants of the advice to receive the second dose of nirsevimab.</w:t>
            </w:r>
          </w:p>
        </w:tc>
      </w:tr>
      <w:tr w:rsidR="007B2E9F" w:rsidRPr="00731632" w14:paraId="187D40CE" w14:textId="77777777" w:rsidTr="00C0311D">
        <w:trPr>
          <w:cantSplit/>
        </w:trPr>
        <w:tc>
          <w:tcPr>
            <w:tcW w:w="1526" w:type="dxa"/>
            <w:vAlign w:val="center"/>
          </w:tcPr>
          <w:p w14:paraId="24C5C134" w14:textId="7214155F"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Number </w:t>
            </w:r>
            <w:r w:rsidR="00840F19" w:rsidRPr="00731632">
              <w:rPr>
                <w:rFonts w:ascii="Arial Narrow" w:eastAsiaTheme="majorEastAsia" w:hAnsi="Arial Narrow" w:cstheme="majorBidi"/>
                <w:bCs/>
                <w:sz w:val="20"/>
              </w:rPr>
              <w:t>immunised</w:t>
            </w:r>
            <w:r w:rsidRPr="00731632">
              <w:rPr>
                <w:rFonts w:ascii="Arial Narrow" w:eastAsiaTheme="majorEastAsia" w:hAnsi="Arial Narrow" w:cstheme="majorBidi"/>
                <w:bCs/>
                <w:sz w:val="20"/>
              </w:rPr>
              <w:t xml:space="preserve"> </w:t>
            </w:r>
          </w:p>
        </w:tc>
        <w:tc>
          <w:tcPr>
            <w:tcW w:w="1459" w:type="dxa"/>
            <w:vAlign w:val="center"/>
          </w:tcPr>
          <w:p w14:paraId="5191A362" w14:textId="456BCC7F"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1: </w:t>
            </w:r>
            <w:r w:rsidR="009F6D97" w:rsidRPr="009F6D97">
              <w:rPr>
                <w:rFonts w:ascii="Arial Narrow" w:eastAsiaTheme="majorEastAsia" w:hAnsi="Arial Narrow" w:cstheme="majorBidi"/>
                <w:bCs/>
                <w:color w:val="000000"/>
                <w:spacing w:val="53"/>
                <w:sz w:val="20"/>
                <w:shd w:val="solid" w:color="000000" w:fill="000000"/>
                <w:fitText w:val="330" w:id="-893210864"/>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64"/>
                <w14:textFill>
                  <w14:solidFill>
                    <w14:srgbClr w14:val="000000">
                      <w14:alpha w14:val="100000"/>
                    </w14:srgbClr>
                  </w14:solidFill>
                </w14:textFill>
              </w:rPr>
              <w:t>|</w:t>
            </w:r>
            <w:r w:rsidR="004D34FD" w:rsidRPr="009A482D">
              <w:rPr>
                <w:rFonts w:ascii="Arial Narrow" w:eastAsiaTheme="majorEastAsia" w:hAnsi="Arial Narrow" w:cstheme="majorBidi"/>
                <w:bCs/>
                <w:sz w:val="20"/>
                <w:vertAlign w:val="superscript"/>
              </w:rPr>
              <w:t>6</w:t>
            </w:r>
          </w:p>
          <w:p w14:paraId="5B35C8FB" w14:textId="19540605"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2: </w:t>
            </w:r>
            <w:r w:rsidR="009F6D97" w:rsidRPr="009F6D97">
              <w:rPr>
                <w:rFonts w:ascii="Arial Narrow" w:eastAsiaTheme="majorEastAsia" w:hAnsi="Arial Narrow" w:cstheme="majorBidi"/>
                <w:bCs/>
                <w:color w:val="000000"/>
                <w:spacing w:val="53"/>
                <w:sz w:val="20"/>
                <w:shd w:val="solid" w:color="000000" w:fill="000000"/>
                <w:fitText w:val="330" w:id="-893210880"/>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80"/>
                <w14:textFill>
                  <w14:solidFill>
                    <w14:srgbClr w14:val="000000">
                      <w14:alpha w14:val="100000"/>
                    </w14:srgbClr>
                  </w14:solidFill>
                </w14:textFill>
              </w:rPr>
              <w:t>|</w:t>
            </w:r>
            <w:r w:rsidR="004D34FD" w:rsidRPr="005C269B">
              <w:rPr>
                <w:rFonts w:ascii="Arial Narrow" w:eastAsiaTheme="majorEastAsia" w:hAnsi="Arial Narrow" w:cstheme="majorBidi"/>
                <w:bCs/>
                <w:sz w:val="20"/>
                <w:vertAlign w:val="superscript"/>
              </w:rPr>
              <w:t>6</w:t>
            </w:r>
          </w:p>
          <w:p w14:paraId="396C31FB" w14:textId="6F53FA6A"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3: </w:t>
            </w:r>
            <w:r w:rsidR="009F6D97" w:rsidRPr="009F6D97">
              <w:rPr>
                <w:rFonts w:ascii="Arial Narrow" w:eastAsiaTheme="majorEastAsia" w:hAnsi="Arial Narrow" w:cstheme="majorBidi"/>
                <w:bCs/>
                <w:color w:val="000000"/>
                <w:spacing w:val="53"/>
                <w:sz w:val="20"/>
                <w:shd w:val="solid" w:color="000000" w:fill="000000"/>
                <w:fitText w:val="330" w:id="-893210879"/>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9"/>
                <w14:textFill>
                  <w14:solidFill>
                    <w14:srgbClr w14:val="000000">
                      <w14:alpha w14:val="100000"/>
                    </w14:srgbClr>
                  </w14:solidFill>
                </w14:textFill>
              </w:rPr>
              <w:t>|</w:t>
            </w:r>
            <w:r w:rsidR="004D34FD" w:rsidRPr="005C269B">
              <w:rPr>
                <w:rFonts w:ascii="Arial Narrow" w:eastAsiaTheme="majorEastAsia" w:hAnsi="Arial Narrow" w:cstheme="majorBidi"/>
                <w:bCs/>
                <w:sz w:val="20"/>
                <w:vertAlign w:val="superscript"/>
              </w:rPr>
              <w:t>6</w:t>
            </w:r>
          </w:p>
          <w:p w14:paraId="06C63A23" w14:textId="79483E13"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4: </w:t>
            </w:r>
            <w:r w:rsidR="009F6D97" w:rsidRPr="009F6D97">
              <w:rPr>
                <w:rFonts w:ascii="Arial Narrow" w:eastAsiaTheme="majorEastAsia" w:hAnsi="Arial Narrow" w:cstheme="majorBidi"/>
                <w:bCs/>
                <w:color w:val="000000"/>
                <w:spacing w:val="53"/>
                <w:sz w:val="20"/>
                <w:shd w:val="solid" w:color="000000" w:fill="000000"/>
                <w:fitText w:val="330" w:id="-893210878"/>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8"/>
                <w14:textFill>
                  <w14:solidFill>
                    <w14:srgbClr w14:val="000000">
                      <w14:alpha w14:val="100000"/>
                    </w14:srgbClr>
                  </w14:solidFill>
                </w14:textFill>
              </w:rPr>
              <w:t>|</w:t>
            </w:r>
            <w:r w:rsidR="004D34FD" w:rsidRPr="005C269B">
              <w:rPr>
                <w:rFonts w:ascii="Arial Narrow" w:eastAsiaTheme="majorEastAsia" w:hAnsi="Arial Narrow" w:cstheme="majorBidi"/>
                <w:bCs/>
                <w:sz w:val="20"/>
                <w:vertAlign w:val="superscript"/>
              </w:rPr>
              <w:t>6</w:t>
            </w:r>
          </w:p>
          <w:p w14:paraId="7DB0FCEB" w14:textId="7BFF588C"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5: </w:t>
            </w:r>
            <w:r w:rsidR="009F6D97" w:rsidRPr="009F6D97">
              <w:rPr>
                <w:rFonts w:ascii="Arial Narrow" w:eastAsiaTheme="majorEastAsia" w:hAnsi="Arial Narrow" w:cstheme="majorBidi"/>
                <w:bCs/>
                <w:color w:val="000000"/>
                <w:spacing w:val="53"/>
                <w:sz w:val="20"/>
                <w:shd w:val="solid" w:color="000000" w:fill="000000"/>
                <w:fitText w:val="330" w:id="-893210877"/>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7"/>
                <w14:textFill>
                  <w14:solidFill>
                    <w14:srgbClr w14:val="000000">
                      <w14:alpha w14:val="100000"/>
                    </w14:srgbClr>
                  </w14:solidFill>
                </w14:textFill>
              </w:rPr>
              <w:t>|</w:t>
            </w:r>
            <w:r w:rsidR="004D34FD" w:rsidRPr="005C269B">
              <w:rPr>
                <w:rFonts w:ascii="Arial Narrow" w:eastAsiaTheme="majorEastAsia" w:hAnsi="Arial Narrow" w:cstheme="majorBidi"/>
                <w:bCs/>
                <w:sz w:val="20"/>
                <w:vertAlign w:val="superscript"/>
              </w:rPr>
              <w:t>6</w:t>
            </w:r>
          </w:p>
          <w:p w14:paraId="09E3CA05" w14:textId="1A5EC0ED"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Yr 6: </w:t>
            </w:r>
            <w:r w:rsidR="009F6D97" w:rsidRPr="009F6D97">
              <w:rPr>
                <w:rFonts w:ascii="Arial Narrow" w:eastAsiaTheme="majorEastAsia" w:hAnsi="Arial Narrow" w:cstheme="majorBidi"/>
                <w:bCs/>
                <w:color w:val="000000"/>
                <w:spacing w:val="53"/>
                <w:sz w:val="20"/>
                <w:shd w:val="solid" w:color="000000" w:fill="000000"/>
                <w:fitText w:val="330" w:id="-893210876"/>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6"/>
                <w14:textFill>
                  <w14:solidFill>
                    <w14:srgbClr w14:val="000000">
                      <w14:alpha w14:val="100000"/>
                    </w14:srgbClr>
                  </w14:solidFill>
                </w14:textFill>
              </w:rPr>
              <w:t>|</w:t>
            </w:r>
            <w:r w:rsidR="004D34FD" w:rsidRPr="005C269B">
              <w:rPr>
                <w:rFonts w:ascii="Arial Narrow" w:eastAsiaTheme="majorEastAsia" w:hAnsi="Arial Narrow" w:cstheme="majorBidi"/>
                <w:bCs/>
                <w:sz w:val="20"/>
                <w:vertAlign w:val="superscript"/>
              </w:rPr>
              <w:t>6</w:t>
            </w:r>
          </w:p>
        </w:tc>
        <w:tc>
          <w:tcPr>
            <w:tcW w:w="2397" w:type="dxa"/>
            <w:vAlign w:val="center"/>
          </w:tcPr>
          <w:p w14:paraId="02C9E508" w14:textId="0784C391"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Estimated by multiplying the number of incident </w:t>
            </w:r>
            <w:r w:rsidR="00B63F4A" w:rsidRPr="00731632">
              <w:rPr>
                <w:rFonts w:ascii="Arial Narrow" w:eastAsiaTheme="majorEastAsia" w:hAnsi="Arial Narrow" w:cstheme="majorBidi"/>
                <w:bCs/>
                <w:sz w:val="20"/>
              </w:rPr>
              <w:t>individuals</w:t>
            </w:r>
            <w:r w:rsidRPr="00731632">
              <w:rPr>
                <w:rFonts w:ascii="Arial Narrow" w:eastAsiaTheme="majorEastAsia" w:hAnsi="Arial Narrow" w:cstheme="majorBidi"/>
                <w:bCs/>
                <w:sz w:val="20"/>
              </w:rPr>
              <w:t xml:space="preserve"> with the percentage of births with a gestational age of less than 36 weeks and the uptake rate</w:t>
            </w:r>
          </w:p>
        </w:tc>
        <w:tc>
          <w:tcPr>
            <w:tcW w:w="3798" w:type="dxa"/>
            <w:vAlign w:val="center"/>
          </w:tcPr>
          <w:p w14:paraId="166414C3" w14:textId="6AA92C7A" w:rsidR="007B2E9F" w:rsidRPr="00731632" w:rsidRDefault="00D25D92"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DUSC considered that this was an underestimate of the proposed population, given that it did not explicitly account for infants with congenital heart disease and Indigenous children</w:t>
            </w:r>
            <w:r w:rsidR="007B2E9F" w:rsidRPr="00731632">
              <w:rPr>
                <w:rFonts w:ascii="Arial Narrow" w:eastAsiaTheme="majorEastAsia" w:hAnsi="Arial Narrow" w:cstheme="majorBidi"/>
                <w:bCs/>
                <w:sz w:val="20"/>
              </w:rPr>
              <w:t xml:space="preserve">.  </w:t>
            </w:r>
          </w:p>
        </w:tc>
      </w:tr>
      <w:tr w:rsidR="007B2E9F" w:rsidRPr="00731632" w14:paraId="662FC1B6" w14:textId="77777777" w:rsidTr="00866F91">
        <w:tc>
          <w:tcPr>
            <w:tcW w:w="9180" w:type="dxa"/>
            <w:gridSpan w:val="4"/>
            <w:vAlign w:val="center"/>
          </w:tcPr>
          <w:p w14:paraId="182BDFA7" w14:textId="77777777" w:rsidR="007B2E9F" w:rsidRPr="00731632" w:rsidRDefault="007B2E9F" w:rsidP="00866F91">
            <w:pPr>
              <w:jc w:val="left"/>
              <w:rPr>
                <w:rFonts w:ascii="Arial Narrow" w:eastAsiaTheme="majorEastAsia" w:hAnsi="Arial Narrow" w:cstheme="majorBidi"/>
                <w:b/>
                <w:bCs/>
                <w:sz w:val="20"/>
              </w:rPr>
            </w:pPr>
            <w:r w:rsidRPr="00731632">
              <w:rPr>
                <w:rFonts w:ascii="Arial Narrow" w:eastAsiaTheme="majorEastAsia" w:hAnsi="Arial Narrow" w:cstheme="majorBidi"/>
                <w:b/>
                <w:bCs/>
                <w:sz w:val="20"/>
              </w:rPr>
              <w:t>Costs</w:t>
            </w:r>
          </w:p>
        </w:tc>
      </w:tr>
      <w:tr w:rsidR="007B2E9F" w:rsidRPr="00731632" w14:paraId="07C68676" w14:textId="77777777" w:rsidTr="00C0311D">
        <w:tc>
          <w:tcPr>
            <w:tcW w:w="1526" w:type="dxa"/>
            <w:vAlign w:val="center"/>
          </w:tcPr>
          <w:p w14:paraId="51275E39"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Nirsevimab</w:t>
            </w:r>
          </w:p>
          <w:p w14:paraId="6E569B41"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50 mg </w:t>
            </w:r>
          </w:p>
          <w:p w14:paraId="0B8EF1B2"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100 mg </w:t>
            </w:r>
          </w:p>
          <w:p w14:paraId="05DAEE7E"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200 mg</w:t>
            </w:r>
          </w:p>
        </w:tc>
        <w:tc>
          <w:tcPr>
            <w:tcW w:w="1459" w:type="dxa"/>
            <w:vAlign w:val="center"/>
          </w:tcPr>
          <w:p w14:paraId="3AFC0D6C" w14:textId="77777777" w:rsidR="007B2E9F" w:rsidRPr="00731632" w:rsidRDefault="007B2E9F" w:rsidP="00866F91">
            <w:pPr>
              <w:jc w:val="left"/>
              <w:rPr>
                <w:rFonts w:ascii="Arial Narrow" w:eastAsiaTheme="majorEastAsia" w:hAnsi="Arial Narrow" w:cstheme="majorBidi"/>
                <w:bCs/>
                <w:sz w:val="20"/>
              </w:rPr>
            </w:pPr>
          </w:p>
          <w:p w14:paraId="729BC42B" w14:textId="4CBD9ED3"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w:t>
            </w:r>
            <w:r w:rsidR="009F6D97" w:rsidRPr="009F6D97">
              <w:rPr>
                <w:rFonts w:ascii="Arial Narrow" w:eastAsiaTheme="majorEastAsia" w:hAnsi="Arial Narrow" w:cstheme="majorBidi"/>
                <w:bCs/>
                <w:color w:val="000000"/>
                <w:spacing w:val="53"/>
                <w:sz w:val="20"/>
                <w:shd w:val="solid" w:color="000000" w:fill="000000"/>
                <w:fitText w:val="330" w:id="-893210875"/>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5"/>
                <w14:textFill>
                  <w14:solidFill>
                    <w14:srgbClr w14:val="000000">
                      <w14:alpha w14:val="100000"/>
                    </w14:srgbClr>
                  </w14:solidFill>
                </w14:textFill>
              </w:rPr>
              <w:t>|</w:t>
            </w:r>
          </w:p>
          <w:p w14:paraId="5CC1A0F4" w14:textId="64059FC2"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w:t>
            </w:r>
            <w:r w:rsidR="009F6D97" w:rsidRPr="009F6D97">
              <w:rPr>
                <w:rFonts w:ascii="Arial Narrow" w:eastAsiaTheme="majorEastAsia" w:hAnsi="Arial Narrow" w:cstheme="majorBidi"/>
                <w:bCs/>
                <w:color w:val="000000"/>
                <w:spacing w:val="53"/>
                <w:sz w:val="20"/>
                <w:shd w:val="solid" w:color="000000" w:fill="000000"/>
                <w:fitText w:val="330" w:id="-893210874"/>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4"/>
                <w14:textFill>
                  <w14:solidFill>
                    <w14:srgbClr w14:val="000000">
                      <w14:alpha w14:val="100000"/>
                    </w14:srgbClr>
                  </w14:solidFill>
                </w14:textFill>
              </w:rPr>
              <w:t>|</w:t>
            </w:r>
          </w:p>
          <w:p w14:paraId="0B4889E2" w14:textId="2A2349CE"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w:t>
            </w:r>
            <w:r w:rsidR="009F6D97" w:rsidRPr="009F6D97">
              <w:rPr>
                <w:rFonts w:ascii="Arial Narrow" w:eastAsiaTheme="majorEastAsia" w:hAnsi="Arial Narrow" w:cstheme="majorBidi"/>
                <w:bCs/>
                <w:color w:val="000000"/>
                <w:spacing w:val="53"/>
                <w:sz w:val="20"/>
                <w:shd w:val="solid" w:color="000000" w:fill="000000"/>
                <w:fitText w:val="330" w:id="-893210873"/>
                <w14:textFill>
                  <w14:solidFill>
                    <w14:srgbClr w14:val="000000">
                      <w14:alpha w14:val="100000"/>
                    </w14:srgbClr>
                  </w14:solidFill>
                </w14:textFill>
              </w:rPr>
              <w:t>|||</w:t>
            </w:r>
            <w:r w:rsidR="009F6D97" w:rsidRPr="009F6D97">
              <w:rPr>
                <w:rFonts w:ascii="Arial Narrow" w:eastAsiaTheme="majorEastAsia" w:hAnsi="Arial Narrow" w:cstheme="majorBidi"/>
                <w:bCs/>
                <w:color w:val="000000"/>
                <w:spacing w:val="1"/>
                <w:sz w:val="20"/>
                <w:shd w:val="solid" w:color="000000" w:fill="000000"/>
                <w:fitText w:val="330" w:id="-893210873"/>
                <w14:textFill>
                  <w14:solidFill>
                    <w14:srgbClr w14:val="000000">
                      <w14:alpha w14:val="100000"/>
                    </w14:srgbClr>
                  </w14:solidFill>
                </w14:textFill>
              </w:rPr>
              <w:t>|</w:t>
            </w:r>
          </w:p>
        </w:tc>
        <w:tc>
          <w:tcPr>
            <w:tcW w:w="2397" w:type="dxa"/>
            <w:vAlign w:val="center"/>
          </w:tcPr>
          <w:p w14:paraId="78DE6363"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Requested DPMQs</w:t>
            </w:r>
          </w:p>
        </w:tc>
        <w:tc>
          <w:tcPr>
            <w:tcW w:w="3798" w:type="dxa"/>
            <w:vAlign w:val="center"/>
          </w:tcPr>
          <w:p w14:paraId="0697C754" w14:textId="3964D8CA" w:rsidR="007B2E9F" w:rsidRPr="00731632" w:rsidRDefault="007B2E9F" w:rsidP="00866F91">
            <w:pPr>
              <w:jc w:val="left"/>
              <w:rPr>
                <w:rFonts w:ascii="Arial Narrow" w:eastAsiaTheme="majorEastAsia" w:hAnsi="Arial Narrow" w:cstheme="majorBidi"/>
                <w:bCs/>
                <w:sz w:val="20"/>
              </w:rPr>
            </w:pPr>
          </w:p>
        </w:tc>
      </w:tr>
      <w:tr w:rsidR="007B2E9F" w:rsidRPr="00731632" w14:paraId="51825716" w14:textId="77777777" w:rsidTr="00C0311D">
        <w:tc>
          <w:tcPr>
            <w:tcW w:w="1526" w:type="dxa"/>
            <w:vAlign w:val="center"/>
          </w:tcPr>
          <w:p w14:paraId="6620FF08"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Patient copayment</w:t>
            </w:r>
          </w:p>
        </w:tc>
        <w:tc>
          <w:tcPr>
            <w:tcW w:w="1459" w:type="dxa"/>
            <w:vAlign w:val="center"/>
          </w:tcPr>
          <w:p w14:paraId="1AE4CF84"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PBS: $7.46</w:t>
            </w:r>
          </w:p>
          <w:p w14:paraId="56F9CD39"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RPBS: $4.53</w:t>
            </w:r>
          </w:p>
        </w:tc>
        <w:tc>
          <w:tcPr>
            <w:tcW w:w="2397" w:type="dxa"/>
            <w:vAlign w:val="center"/>
          </w:tcPr>
          <w:p w14:paraId="4842EE7B"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PBS statistics, all PBS listed items utilisation report between June 2022 and 2023. </w:t>
            </w:r>
          </w:p>
        </w:tc>
        <w:tc>
          <w:tcPr>
            <w:tcW w:w="3798" w:type="dxa"/>
            <w:vAlign w:val="center"/>
          </w:tcPr>
          <w:p w14:paraId="4AC3B84E" w14:textId="420B7614" w:rsidR="007B2E9F" w:rsidRPr="00731632" w:rsidRDefault="000E5546"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evaluation </w:t>
            </w:r>
            <w:r w:rsidR="00313735" w:rsidRPr="00731632">
              <w:rPr>
                <w:rFonts w:ascii="Arial Narrow" w:eastAsiaTheme="majorEastAsia" w:hAnsi="Arial Narrow" w:cstheme="majorBidi"/>
                <w:bCs/>
                <w:sz w:val="20"/>
              </w:rPr>
              <w:t>considered</w:t>
            </w:r>
            <w:r w:rsidRPr="00731632">
              <w:rPr>
                <w:rFonts w:ascii="Arial Narrow" w:eastAsiaTheme="majorEastAsia" w:hAnsi="Arial Narrow" w:cstheme="majorBidi"/>
                <w:bCs/>
                <w:sz w:val="20"/>
              </w:rPr>
              <w:t xml:space="preserve"> this was reasonable s</w:t>
            </w:r>
            <w:r w:rsidR="007B2E9F" w:rsidRPr="00731632">
              <w:rPr>
                <w:rFonts w:ascii="Arial Narrow" w:eastAsiaTheme="majorEastAsia" w:hAnsi="Arial Narrow" w:cstheme="majorBidi"/>
                <w:bCs/>
                <w:sz w:val="20"/>
              </w:rPr>
              <w:t xml:space="preserve">ince there is no PBS listed comparator for nirsevimab. </w:t>
            </w:r>
            <w:r w:rsidRPr="00731632">
              <w:rPr>
                <w:rFonts w:ascii="Arial Narrow" w:eastAsiaTheme="majorEastAsia" w:hAnsi="Arial Narrow" w:cstheme="majorBidi"/>
                <w:bCs/>
                <w:sz w:val="20"/>
              </w:rPr>
              <w:t>Although</w:t>
            </w:r>
            <w:r w:rsidR="007B2E9F" w:rsidRPr="00731632">
              <w:rPr>
                <w:rFonts w:ascii="Arial Narrow" w:eastAsiaTheme="majorEastAsia" w:hAnsi="Arial Narrow" w:cstheme="majorBidi"/>
                <w:bCs/>
                <w:sz w:val="20"/>
              </w:rPr>
              <w:t>, since the intended population</w:t>
            </w:r>
            <w:r w:rsidR="00F677B5" w:rsidRPr="00731632">
              <w:rPr>
                <w:rFonts w:ascii="Arial Narrow" w:eastAsiaTheme="majorEastAsia" w:hAnsi="Arial Narrow" w:cstheme="majorBidi"/>
                <w:bCs/>
                <w:sz w:val="20"/>
              </w:rPr>
              <w:t xml:space="preserve"> were </w:t>
            </w:r>
            <w:r w:rsidR="007B2E9F" w:rsidRPr="00731632">
              <w:rPr>
                <w:rFonts w:ascii="Arial Narrow" w:eastAsiaTheme="majorEastAsia" w:hAnsi="Arial Narrow" w:cstheme="majorBidi"/>
                <w:bCs/>
                <w:sz w:val="20"/>
              </w:rPr>
              <w:t xml:space="preserve">infants aged 0-2, </w:t>
            </w:r>
            <w:r w:rsidRPr="00731632">
              <w:rPr>
                <w:rFonts w:ascii="Arial Narrow" w:eastAsiaTheme="majorEastAsia" w:hAnsi="Arial Narrow" w:cstheme="majorBidi"/>
                <w:bCs/>
                <w:sz w:val="20"/>
              </w:rPr>
              <w:t xml:space="preserve">it would have been reasonable for </w:t>
            </w:r>
            <w:r w:rsidR="007B2E9F" w:rsidRPr="00731632">
              <w:rPr>
                <w:rFonts w:ascii="Arial Narrow" w:eastAsiaTheme="majorEastAsia" w:hAnsi="Arial Narrow" w:cstheme="majorBidi"/>
                <w:bCs/>
                <w:sz w:val="20"/>
              </w:rPr>
              <w:t xml:space="preserve">the submission </w:t>
            </w:r>
            <w:r w:rsidRPr="00731632">
              <w:rPr>
                <w:rFonts w:ascii="Arial Narrow" w:eastAsiaTheme="majorEastAsia" w:hAnsi="Arial Narrow" w:cstheme="majorBidi"/>
                <w:bCs/>
                <w:sz w:val="20"/>
              </w:rPr>
              <w:t>to</w:t>
            </w:r>
            <w:r w:rsidR="007B2E9F" w:rsidRPr="00731632">
              <w:rPr>
                <w:rFonts w:ascii="Arial Narrow" w:eastAsiaTheme="majorEastAsia" w:hAnsi="Arial Narrow" w:cstheme="majorBidi"/>
                <w:bCs/>
                <w:sz w:val="20"/>
              </w:rPr>
              <w:t xml:space="preserve"> assume that all services would be PBS services</w:t>
            </w:r>
            <w:r w:rsidRPr="00731632">
              <w:rPr>
                <w:rFonts w:ascii="Arial Narrow" w:eastAsiaTheme="majorEastAsia" w:hAnsi="Arial Narrow" w:cstheme="majorBidi"/>
                <w:bCs/>
                <w:sz w:val="20"/>
              </w:rPr>
              <w:t xml:space="preserve"> (the submission assumed that 3% of services would be RPBS scripts)</w:t>
            </w:r>
            <w:r w:rsidR="007B2E9F" w:rsidRPr="00731632">
              <w:rPr>
                <w:rFonts w:ascii="Arial Narrow" w:eastAsiaTheme="majorEastAsia" w:hAnsi="Arial Narrow" w:cstheme="majorBidi"/>
                <w:bCs/>
                <w:sz w:val="20"/>
              </w:rPr>
              <w:t xml:space="preserve">.  </w:t>
            </w:r>
          </w:p>
        </w:tc>
      </w:tr>
      <w:tr w:rsidR="007B2E9F" w:rsidRPr="00731632" w14:paraId="32D0A0A6" w14:textId="77777777" w:rsidTr="00C0311D">
        <w:tc>
          <w:tcPr>
            <w:tcW w:w="1526" w:type="dxa"/>
            <w:vAlign w:val="center"/>
          </w:tcPr>
          <w:p w14:paraId="1053BD2A"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MBS costs</w:t>
            </w:r>
          </w:p>
        </w:tc>
        <w:tc>
          <w:tcPr>
            <w:tcW w:w="1459" w:type="dxa"/>
            <w:vAlign w:val="center"/>
          </w:tcPr>
          <w:p w14:paraId="778CA362"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MBS item 23: $41.40 </w:t>
            </w:r>
          </w:p>
        </w:tc>
        <w:tc>
          <w:tcPr>
            <w:tcW w:w="2397" w:type="dxa"/>
            <w:vAlign w:val="center"/>
          </w:tcPr>
          <w:p w14:paraId="6964F078" w14:textId="77777777" w:rsidR="007B2E9F" w:rsidRPr="00731632" w:rsidRDefault="007B2E9F" w:rsidP="00866F91">
            <w:pPr>
              <w:jc w:val="left"/>
              <w:rPr>
                <w:rFonts w:ascii="Arial Narrow" w:eastAsiaTheme="majorEastAsia" w:hAnsi="Arial Narrow" w:cstheme="majorBidi"/>
                <w:bCs/>
                <w:sz w:val="20"/>
              </w:rPr>
            </w:pPr>
            <w:r w:rsidRPr="00731632">
              <w:rPr>
                <w:rFonts w:ascii="Arial Narrow" w:eastAsiaTheme="majorEastAsia" w:hAnsi="Arial Narrow" w:cstheme="majorBidi"/>
                <w:bCs/>
                <w:sz w:val="20"/>
              </w:rPr>
              <w:t>The submission estimated an increase in the utilisation of MBS item 23 for nirsevimab administration.</w:t>
            </w:r>
          </w:p>
          <w:p w14:paraId="606A0DD3" w14:textId="2E026524" w:rsidR="007B2E9F" w:rsidRPr="00731632" w:rsidRDefault="007B2E9F" w:rsidP="000E5A9E">
            <w:pPr>
              <w:pStyle w:val="ListParagraph"/>
              <w:numPr>
                <w:ilvl w:val="0"/>
                <w:numId w:val="25"/>
              </w:numPr>
              <w:spacing w:after="0"/>
              <w:ind w:left="157" w:hanging="142"/>
              <w:jc w:val="left"/>
              <w:rPr>
                <w:rFonts w:ascii="Arial Narrow" w:eastAsiaTheme="majorEastAsia" w:hAnsi="Arial Narrow" w:cstheme="majorBidi"/>
                <w:bCs/>
                <w:sz w:val="20"/>
              </w:rPr>
            </w:pPr>
            <w:r w:rsidRPr="00731632">
              <w:rPr>
                <w:rFonts w:ascii="Arial Narrow" w:eastAsiaTheme="majorEastAsia" w:hAnsi="Arial Narrow" w:cstheme="majorBidi"/>
                <w:bCs/>
                <w:sz w:val="20"/>
              </w:rPr>
              <w:t>$13.80 (calculated as $41.40 x 4/12, with 80% benefit) was applied to each  infant. This assume</w:t>
            </w:r>
            <w:r w:rsidR="000E5546" w:rsidRPr="00731632">
              <w:rPr>
                <w:rFonts w:ascii="Arial Narrow" w:eastAsiaTheme="majorEastAsia" w:hAnsi="Arial Narrow" w:cstheme="majorBidi"/>
                <w:bCs/>
                <w:sz w:val="20"/>
              </w:rPr>
              <w:t>d</w:t>
            </w:r>
            <w:r w:rsidRPr="00731632">
              <w:rPr>
                <w:rFonts w:ascii="Arial Narrow" w:eastAsiaTheme="majorEastAsia" w:hAnsi="Arial Narrow" w:cstheme="majorBidi"/>
                <w:bCs/>
                <w:sz w:val="20"/>
              </w:rPr>
              <w:t xml:space="preserve"> in 8 out of 12 months, infants would be treated concurrently with other immunisations  or during seasonal catchups (i.e. not require an additional consultation). </w:t>
            </w:r>
          </w:p>
          <w:p w14:paraId="5FA13683" w14:textId="77777777" w:rsidR="007B2E9F" w:rsidRPr="00731632" w:rsidRDefault="007B2E9F" w:rsidP="000E5A9E">
            <w:pPr>
              <w:pStyle w:val="ListParagraph"/>
              <w:numPr>
                <w:ilvl w:val="0"/>
                <w:numId w:val="25"/>
              </w:numPr>
              <w:spacing w:after="0"/>
              <w:ind w:left="157" w:hanging="157"/>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submission also estimated a decrease in primary care visits associated with the use of nirsevimab (due to reduced RSV). This was the full cost of one GP visit (100% benefit) applied to 3.4% of the treated population. </w:t>
            </w:r>
          </w:p>
        </w:tc>
        <w:tc>
          <w:tcPr>
            <w:tcW w:w="3798" w:type="dxa"/>
            <w:vAlign w:val="center"/>
          </w:tcPr>
          <w:p w14:paraId="46B517C8" w14:textId="18BB8209" w:rsidR="007B2E9F" w:rsidRPr="00731632" w:rsidRDefault="000E5546" w:rsidP="00866F91">
            <w:pPr>
              <w:jc w:val="left"/>
              <w:rPr>
                <w:rFonts w:ascii="Arial Narrow" w:eastAsiaTheme="majorEastAsia" w:hAnsi="Arial Narrow" w:cstheme="majorBidi"/>
                <w:bCs/>
                <w:sz w:val="20"/>
              </w:rPr>
            </w:pPr>
            <w:bookmarkStart w:id="113" w:name="_Hlk172746600"/>
            <w:r w:rsidRPr="00731632">
              <w:rPr>
                <w:rFonts w:ascii="Arial Narrow" w:eastAsiaTheme="majorEastAsia" w:hAnsi="Arial Narrow" w:cstheme="majorBidi"/>
                <w:bCs/>
                <w:sz w:val="20"/>
              </w:rPr>
              <w:t>The evaluation considered that a</w:t>
            </w:r>
            <w:r w:rsidR="007B2E9F" w:rsidRPr="00731632">
              <w:rPr>
                <w:rFonts w:ascii="Arial Narrow" w:eastAsiaTheme="majorEastAsia" w:hAnsi="Arial Narrow" w:cstheme="majorBidi"/>
                <w:bCs/>
                <w:sz w:val="20"/>
              </w:rPr>
              <w:t xml:space="preserve">n increase in MBS primary care costs associated with administration of nirsevimab, countered by a decrease in MBS primary care costs associated with reduced RSV </w:t>
            </w:r>
            <w:r w:rsidRPr="00731632">
              <w:rPr>
                <w:rFonts w:ascii="Arial Narrow" w:eastAsiaTheme="majorEastAsia" w:hAnsi="Arial Narrow" w:cstheme="majorBidi"/>
                <w:bCs/>
                <w:sz w:val="20"/>
              </w:rPr>
              <w:t>was</w:t>
            </w:r>
            <w:r w:rsidR="007B2E9F" w:rsidRPr="00731632">
              <w:rPr>
                <w:rFonts w:ascii="Arial Narrow" w:eastAsiaTheme="majorEastAsia" w:hAnsi="Arial Narrow" w:cstheme="majorBidi"/>
                <w:bCs/>
                <w:sz w:val="20"/>
              </w:rPr>
              <w:t xml:space="preserve"> reasonable, however the </w:t>
            </w:r>
            <w:r w:rsidRPr="00731632">
              <w:rPr>
                <w:rFonts w:ascii="Arial Narrow" w:eastAsiaTheme="majorEastAsia" w:hAnsi="Arial Narrow" w:cstheme="majorBidi"/>
                <w:bCs/>
                <w:sz w:val="20"/>
              </w:rPr>
              <w:t>estimates were</w:t>
            </w:r>
            <w:r w:rsidR="007B2E9F" w:rsidRPr="00731632">
              <w:rPr>
                <w:rFonts w:ascii="Arial Narrow" w:eastAsiaTheme="majorEastAsia" w:hAnsi="Arial Narrow" w:cstheme="majorBidi"/>
                <w:bCs/>
                <w:sz w:val="20"/>
              </w:rPr>
              <w:t xml:space="preserve"> uncertain.</w:t>
            </w:r>
          </w:p>
          <w:p w14:paraId="2C5E257B" w14:textId="36223287" w:rsidR="007B2E9F" w:rsidRPr="00731632" w:rsidRDefault="007B2E9F" w:rsidP="007B2E9F">
            <w:pPr>
              <w:pStyle w:val="ListParagraph"/>
              <w:numPr>
                <w:ilvl w:val="0"/>
                <w:numId w:val="26"/>
              </w:numPr>
              <w:ind w:left="175" w:hanging="142"/>
              <w:jc w:val="left"/>
              <w:rPr>
                <w:rFonts w:ascii="Arial Narrow" w:eastAsiaTheme="majorEastAsia" w:hAnsi="Arial Narrow" w:cstheme="majorBidi"/>
                <w:bCs/>
                <w:sz w:val="20"/>
              </w:rPr>
            </w:pPr>
            <w:r w:rsidRPr="00731632">
              <w:rPr>
                <w:rFonts w:ascii="Arial Narrow" w:eastAsiaTheme="majorEastAsia" w:hAnsi="Arial Narrow" w:cstheme="majorBidi"/>
                <w:bCs/>
                <w:sz w:val="20"/>
              </w:rPr>
              <w:t xml:space="preserve">The proportion of GP visits that would occur for the purpose of nirsevimab administration following listing on the PBS is </w:t>
            </w:r>
            <w:r w:rsidR="000E5546" w:rsidRPr="00731632">
              <w:rPr>
                <w:rFonts w:ascii="Arial Narrow" w:eastAsiaTheme="majorEastAsia" w:hAnsi="Arial Narrow" w:cstheme="majorBidi"/>
                <w:bCs/>
                <w:sz w:val="20"/>
              </w:rPr>
              <w:t xml:space="preserve">uncertain, noting that </w:t>
            </w:r>
            <w:r w:rsidR="00B63F4A" w:rsidRPr="00731632">
              <w:rPr>
                <w:rFonts w:ascii="Arial Narrow" w:eastAsiaTheme="majorEastAsia" w:hAnsi="Arial Narrow" w:cstheme="majorBidi"/>
                <w:bCs/>
                <w:sz w:val="20"/>
              </w:rPr>
              <w:t>individuals</w:t>
            </w:r>
            <w:r w:rsidRPr="00731632">
              <w:rPr>
                <w:rFonts w:ascii="Arial Narrow" w:eastAsiaTheme="majorEastAsia" w:hAnsi="Arial Narrow" w:cstheme="majorBidi"/>
                <w:bCs/>
                <w:sz w:val="20"/>
              </w:rPr>
              <w:t xml:space="preserve"> will be required to have a prescription dispensed prior to administration. MBS costs</w:t>
            </w:r>
            <w:r w:rsidR="00F677B5" w:rsidRPr="00731632">
              <w:rPr>
                <w:rFonts w:ascii="Arial Narrow" w:eastAsiaTheme="majorEastAsia" w:hAnsi="Arial Narrow" w:cstheme="majorBidi"/>
                <w:bCs/>
                <w:sz w:val="20"/>
              </w:rPr>
              <w:t xml:space="preserve"> were </w:t>
            </w:r>
            <w:r w:rsidRPr="00731632">
              <w:rPr>
                <w:rFonts w:ascii="Arial Narrow" w:eastAsiaTheme="majorEastAsia" w:hAnsi="Arial Narrow" w:cstheme="majorBidi"/>
                <w:bCs/>
                <w:sz w:val="20"/>
              </w:rPr>
              <w:t xml:space="preserve">likely to be higher than an average of $13.80 per patient (also noting that for MBS item 23, the submission incorrectly applied a benefit of 80% when a 100% benefit applies to MBS item 23 - this </w:t>
            </w:r>
            <w:r w:rsidR="000E5546" w:rsidRPr="00731632">
              <w:rPr>
                <w:rFonts w:ascii="Arial Narrow" w:eastAsiaTheme="majorEastAsia" w:hAnsi="Arial Narrow" w:cstheme="majorBidi"/>
                <w:bCs/>
                <w:sz w:val="20"/>
              </w:rPr>
              <w:t>was</w:t>
            </w:r>
            <w:r w:rsidRPr="00731632">
              <w:rPr>
                <w:rFonts w:ascii="Arial Narrow" w:eastAsiaTheme="majorEastAsia" w:hAnsi="Arial Narrow" w:cstheme="majorBidi"/>
                <w:bCs/>
                <w:sz w:val="20"/>
              </w:rPr>
              <w:t xml:space="preserve"> corrected in the Commentary.)  </w:t>
            </w:r>
            <w:bookmarkEnd w:id="113"/>
          </w:p>
        </w:tc>
      </w:tr>
    </w:tbl>
    <w:p w14:paraId="08AFC64B" w14:textId="6FD6E0EA" w:rsidR="007B2E9F" w:rsidRPr="00731632" w:rsidRDefault="007B2E9F" w:rsidP="007B2E9F">
      <w:pPr>
        <w:spacing w:after="120"/>
        <w:contextualSpacing/>
        <w:rPr>
          <w:rFonts w:ascii="Arial Narrow" w:hAnsi="Arial Narrow"/>
          <w:snapToGrid w:val="0"/>
          <w:sz w:val="18"/>
          <w:szCs w:val="22"/>
        </w:rPr>
      </w:pPr>
      <w:r w:rsidRPr="00731632">
        <w:rPr>
          <w:rFonts w:ascii="Arial Narrow" w:hAnsi="Arial Narrow"/>
          <w:snapToGrid w:val="0"/>
          <w:sz w:val="18"/>
          <w:szCs w:val="22"/>
        </w:rPr>
        <w:t>Source: tabulated from Table 4.2.3, of the submission.</w:t>
      </w:r>
    </w:p>
    <w:p w14:paraId="5A56D162" w14:textId="77777777" w:rsidR="007B2E9F" w:rsidRDefault="007B2E9F" w:rsidP="007B2E9F">
      <w:pPr>
        <w:spacing w:after="120"/>
        <w:contextualSpacing/>
        <w:rPr>
          <w:rFonts w:ascii="Arial Narrow" w:hAnsi="Arial Narrow"/>
          <w:snapToGrid w:val="0"/>
          <w:sz w:val="18"/>
          <w:szCs w:val="22"/>
        </w:rPr>
      </w:pPr>
      <w:r w:rsidRPr="00731632">
        <w:rPr>
          <w:rFonts w:ascii="Arial Narrow" w:hAnsi="Arial Narrow"/>
          <w:snapToGrid w:val="0"/>
          <w:sz w:val="18"/>
          <w:szCs w:val="22"/>
        </w:rPr>
        <w:t>ABS = Australian Bureau of Statistics;  DPMQ = dispensed price for maximum quantity; GP = general practitioner; MBS = Medicare Benefits Scheme; NIP = national immunisation program; NP = nurse practitioner; PBS = pharmaceutical benefits schedule</w:t>
      </w:r>
    </w:p>
    <w:p w14:paraId="7A74446D" w14:textId="5162D3C1" w:rsidR="009B2FBA" w:rsidRDefault="009B2FBA" w:rsidP="007B2E9F">
      <w:pPr>
        <w:spacing w:after="120"/>
        <w:contextualSpacing/>
        <w:rPr>
          <w:rFonts w:ascii="Arial Narrow" w:hAnsi="Arial Narrow"/>
          <w:snapToGrid w:val="0"/>
          <w:sz w:val="18"/>
          <w:szCs w:val="22"/>
        </w:rPr>
      </w:pPr>
      <w:bookmarkStart w:id="114" w:name="_Hlk176522695"/>
      <w:r w:rsidRPr="009B2FBA">
        <w:rPr>
          <w:rFonts w:ascii="Arial Narrow" w:hAnsi="Arial Narrow"/>
          <w:snapToGrid w:val="0"/>
          <w:sz w:val="18"/>
          <w:szCs w:val="22"/>
        </w:rPr>
        <w:t>The redacted values correspond to the following ranges</w:t>
      </w:r>
    </w:p>
    <w:p w14:paraId="59635280" w14:textId="4CCA6779" w:rsidR="001A2AC8" w:rsidRDefault="006A3D88" w:rsidP="007B2E9F">
      <w:pPr>
        <w:spacing w:after="120"/>
        <w:contextualSpacing/>
        <w:rPr>
          <w:rFonts w:ascii="Arial Narrow" w:hAnsi="Arial Narrow"/>
          <w:snapToGrid w:val="0"/>
          <w:sz w:val="18"/>
          <w:szCs w:val="22"/>
        </w:rPr>
      </w:pPr>
      <w:r>
        <w:rPr>
          <w:rFonts w:ascii="Arial Narrow" w:hAnsi="Arial Narrow"/>
          <w:snapToGrid w:val="0"/>
          <w:sz w:val="18"/>
          <w:szCs w:val="22"/>
        </w:rPr>
        <w:t xml:space="preserve">1 </w:t>
      </w:r>
      <w:r w:rsidR="001A2AC8" w:rsidRPr="001A2AC8">
        <w:rPr>
          <w:rFonts w:ascii="Arial Narrow" w:hAnsi="Arial Narrow"/>
          <w:snapToGrid w:val="0"/>
          <w:sz w:val="18"/>
          <w:szCs w:val="22"/>
        </w:rPr>
        <w:t>200,000 to &lt; 300,000</w:t>
      </w:r>
    </w:p>
    <w:p w14:paraId="1FF98898" w14:textId="529CFF52" w:rsidR="000A51F8" w:rsidRDefault="00D47F76" w:rsidP="000A51F8">
      <w:pPr>
        <w:spacing w:after="120"/>
        <w:contextualSpacing/>
        <w:rPr>
          <w:rFonts w:ascii="Arial Narrow" w:hAnsi="Arial Narrow"/>
          <w:snapToGrid w:val="0"/>
          <w:sz w:val="18"/>
          <w:szCs w:val="22"/>
        </w:rPr>
      </w:pPr>
      <w:r>
        <w:rPr>
          <w:rFonts w:ascii="Arial Narrow" w:hAnsi="Arial Narrow"/>
          <w:snapToGrid w:val="0"/>
          <w:sz w:val="18"/>
          <w:szCs w:val="22"/>
        </w:rPr>
        <w:t xml:space="preserve">2 </w:t>
      </w:r>
      <w:r w:rsidR="000A51F8" w:rsidRPr="000A51F8">
        <w:rPr>
          <w:rFonts w:ascii="Arial Narrow" w:hAnsi="Arial Narrow"/>
          <w:snapToGrid w:val="0"/>
          <w:sz w:val="18"/>
          <w:szCs w:val="22"/>
        </w:rPr>
        <w:t>100,000 to &lt; 200,000</w:t>
      </w:r>
    </w:p>
    <w:p w14:paraId="7724F488" w14:textId="7F99E4C5" w:rsidR="00EB3602" w:rsidRDefault="00EB3602" w:rsidP="000A51F8">
      <w:pPr>
        <w:spacing w:after="120"/>
        <w:contextualSpacing/>
        <w:rPr>
          <w:rFonts w:ascii="Arial Narrow" w:hAnsi="Arial Narrow"/>
          <w:snapToGrid w:val="0"/>
          <w:sz w:val="18"/>
          <w:szCs w:val="22"/>
        </w:rPr>
      </w:pPr>
      <w:r>
        <w:rPr>
          <w:rFonts w:ascii="Arial Narrow" w:hAnsi="Arial Narrow"/>
          <w:snapToGrid w:val="0"/>
          <w:sz w:val="18"/>
          <w:szCs w:val="22"/>
        </w:rPr>
        <w:t xml:space="preserve">3 </w:t>
      </w:r>
      <w:r w:rsidRPr="00EB3602">
        <w:rPr>
          <w:rFonts w:ascii="Arial Narrow" w:hAnsi="Arial Narrow"/>
          <w:snapToGrid w:val="0"/>
          <w:sz w:val="18"/>
          <w:szCs w:val="22"/>
        </w:rPr>
        <w:t>60,000 to &lt; 70,000</w:t>
      </w:r>
    </w:p>
    <w:p w14:paraId="4DD198F9" w14:textId="1D82FBA4" w:rsidR="00EB3602" w:rsidRDefault="0013023E" w:rsidP="00EB3602">
      <w:pPr>
        <w:spacing w:after="120"/>
        <w:contextualSpacing/>
        <w:rPr>
          <w:rFonts w:ascii="Arial Narrow" w:hAnsi="Arial Narrow"/>
          <w:snapToGrid w:val="0"/>
          <w:sz w:val="18"/>
          <w:szCs w:val="22"/>
        </w:rPr>
      </w:pPr>
      <w:r>
        <w:rPr>
          <w:rFonts w:ascii="Arial Narrow" w:hAnsi="Arial Narrow"/>
          <w:snapToGrid w:val="0"/>
          <w:sz w:val="18"/>
          <w:szCs w:val="22"/>
        </w:rPr>
        <w:t xml:space="preserve">4 </w:t>
      </w:r>
      <w:r w:rsidR="00EB3602" w:rsidRPr="00EB3602">
        <w:rPr>
          <w:rFonts w:ascii="Arial Narrow" w:hAnsi="Arial Narrow"/>
          <w:snapToGrid w:val="0"/>
          <w:sz w:val="18"/>
          <w:szCs w:val="22"/>
        </w:rPr>
        <w:t>40,000 to &lt; 50,000</w:t>
      </w:r>
    </w:p>
    <w:p w14:paraId="5B222BB5" w14:textId="0C2C4A85" w:rsidR="0013023E" w:rsidRDefault="0013023E" w:rsidP="00EB3602">
      <w:pPr>
        <w:spacing w:after="120"/>
        <w:contextualSpacing/>
        <w:rPr>
          <w:rFonts w:ascii="Arial Narrow" w:hAnsi="Arial Narrow"/>
          <w:snapToGrid w:val="0"/>
          <w:sz w:val="18"/>
          <w:szCs w:val="22"/>
        </w:rPr>
      </w:pPr>
      <w:r>
        <w:rPr>
          <w:rFonts w:ascii="Arial Narrow" w:hAnsi="Arial Narrow"/>
          <w:snapToGrid w:val="0"/>
          <w:sz w:val="18"/>
          <w:szCs w:val="22"/>
        </w:rPr>
        <w:t xml:space="preserve">5 </w:t>
      </w:r>
      <w:r w:rsidRPr="0013023E">
        <w:rPr>
          <w:rFonts w:ascii="Arial Narrow" w:hAnsi="Arial Narrow"/>
          <w:snapToGrid w:val="0"/>
          <w:sz w:val="18"/>
          <w:szCs w:val="22"/>
        </w:rPr>
        <w:t>300,000 to &lt; 400,000</w:t>
      </w:r>
    </w:p>
    <w:p w14:paraId="39F9187F" w14:textId="3F6FC5E9" w:rsidR="002C6C21" w:rsidRPr="00EB3602" w:rsidRDefault="002C6C21" w:rsidP="00EB3602">
      <w:pPr>
        <w:spacing w:after="120"/>
        <w:contextualSpacing/>
        <w:rPr>
          <w:rFonts w:ascii="Arial Narrow" w:hAnsi="Arial Narrow"/>
          <w:snapToGrid w:val="0"/>
          <w:sz w:val="18"/>
          <w:szCs w:val="22"/>
        </w:rPr>
      </w:pPr>
      <w:r>
        <w:rPr>
          <w:rFonts w:ascii="Arial Narrow" w:hAnsi="Arial Narrow"/>
          <w:snapToGrid w:val="0"/>
          <w:sz w:val="18"/>
          <w:szCs w:val="22"/>
        </w:rPr>
        <w:t xml:space="preserve">6 </w:t>
      </w:r>
      <w:r w:rsidRPr="002C6C21">
        <w:rPr>
          <w:rFonts w:ascii="Arial Narrow" w:hAnsi="Arial Narrow"/>
          <w:snapToGrid w:val="0"/>
          <w:sz w:val="18"/>
          <w:szCs w:val="22"/>
        </w:rPr>
        <w:t>10,000 to &lt; 20,000</w:t>
      </w:r>
    </w:p>
    <w:bookmarkEnd w:id="114"/>
    <w:p w14:paraId="02896098" w14:textId="72F118E8" w:rsidR="007B2E9F" w:rsidRPr="00731632" w:rsidRDefault="007B2E9F" w:rsidP="007B2E9F">
      <w:pPr>
        <w:pStyle w:val="3-BodyText"/>
      </w:pPr>
      <w:r w:rsidRPr="00731632">
        <w:t>The submission estimated the number of infants who</w:t>
      </w:r>
      <w:r w:rsidR="00F677B5" w:rsidRPr="00731632">
        <w:t xml:space="preserve"> were </w:t>
      </w:r>
      <w:r w:rsidRPr="00731632">
        <w:t xml:space="preserve">likely to be </w:t>
      </w:r>
      <w:r w:rsidR="00750621" w:rsidRPr="00731632">
        <w:t>administered</w:t>
      </w:r>
      <w:r w:rsidRPr="00731632">
        <w:t xml:space="preserve"> nirsevimab from the projected number of live births in temperate and tropical regions. An average growth rate in the number of live births was calculated and used to project the number of live births between years 2025 and 2030. For population 3</w:t>
      </w:r>
      <w:r w:rsidR="00CD60CA" w:rsidRPr="00731632">
        <w:t xml:space="preserve"> (infants aged 1-2 years who remain vulnerable)</w:t>
      </w:r>
      <w:r w:rsidRPr="00731632">
        <w:t>, the submission estimated that 4.34% of all infants would remain vulnerable to RSV infections</w:t>
      </w:r>
      <w:r w:rsidR="00CD60CA" w:rsidRPr="00731632">
        <w:t xml:space="preserve"> in the second season</w:t>
      </w:r>
      <w:r w:rsidR="00C9445B" w:rsidRPr="00731632">
        <w:t xml:space="preserve"> as described in </w:t>
      </w:r>
      <w:r w:rsidR="00C9445B" w:rsidRPr="00731632">
        <w:fldChar w:fldCharType="begin"/>
      </w:r>
      <w:r w:rsidR="00C9445B" w:rsidRPr="00731632">
        <w:instrText xml:space="preserve"> REF _Ref104805262 \h </w:instrText>
      </w:r>
      <w:r w:rsidR="00C9445B" w:rsidRPr="00731632">
        <w:fldChar w:fldCharType="separate"/>
      </w:r>
      <w:r w:rsidR="00D770BB" w:rsidRPr="00731632">
        <w:t xml:space="preserve">Table </w:t>
      </w:r>
      <w:r w:rsidR="00D770BB">
        <w:rPr>
          <w:noProof/>
        </w:rPr>
        <w:t>24</w:t>
      </w:r>
      <w:r w:rsidR="00C9445B" w:rsidRPr="00731632">
        <w:fldChar w:fldCharType="end"/>
      </w:r>
      <w:r w:rsidRPr="00731632">
        <w:t xml:space="preserve">. The number of infants who were </w:t>
      </w:r>
      <w:r w:rsidRPr="00731632">
        <w:rPr>
          <w:rFonts w:cstheme="minorHAnsi"/>
        </w:rPr>
        <w:t>≥</w:t>
      </w:r>
      <w:r w:rsidRPr="00731632">
        <w:t xml:space="preserve"> 12 months  and </w:t>
      </w:r>
      <w:r w:rsidRPr="00731632">
        <w:rPr>
          <w:rFonts w:cstheme="minorHAnsi"/>
        </w:rPr>
        <w:t>≤</w:t>
      </w:r>
      <w:r w:rsidRPr="00731632">
        <w:t xml:space="preserve"> 24 months old was sourced from ABS population data. </w:t>
      </w:r>
      <w:r w:rsidR="00764179" w:rsidRPr="00731632">
        <w:t xml:space="preserve">The evaluation considered this </w:t>
      </w:r>
      <w:r w:rsidRPr="00731632">
        <w:t>was reasonable</w:t>
      </w:r>
      <w:r w:rsidR="00764179" w:rsidRPr="00731632">
        <w:t xml:space="preserve"> for estimation of premature infants that would be eligible for nirsevimab</w:t>
      </w:r>
      <w:r w:rsidRPr="00731632">
        <w:t xml:space="preserve">, </w:t>
      </w:r>
      <w:r w:rsidR="00152AF6" w:rsidRPr="00731632">
        <w:t xml:space="preserve">but it was noted that the estimates </w:t>
      </w:r>
      <w:r w:rsidR="00764179" w:rsidRPr="00731632">
        <w:t xml:space="preserve">did </w:t>
      </w:r>
      <w:r w:rsidRPr="00731632">
        <w:t xml:space="preserve">not consider infants born with bronchopulmonary dysplasia, congenital heart disease </w:t>
      </w:r>
      <w:r w:rsidR="00152AF6" w:rsidRPr="00731632">
        <w:t>or</w:t>
      </w:r>
      <w:r w:rsidRPr="00731632">
        <w:t xml:space="preserve"> indigenous children who</w:t>
      </w:r>
      <w:r w:rsidR="00F677B5" w:rsidRPr="00731632">
        <w:t xml:space="preserve"> were </w:t>
      </w:r>
      <w:r w:rsidRPr="00731632">
        <w:t xml:space="preserve">considered to be at high-risk of severe RSV infection. </w:t>
      </w:r>
      <w:r w:rsidRPr="00731632">
        <w:rPr>
          <w:rFonts w:cstheme="minorHAnsi"/>
          <w:bCs/>
        </w:rPr>
        <w:t xml:space="preserve">Further, the submission did not utilise the most </w:t>
      </w:r>
      <w:r w:rsidR="00750621" w:rsidRPr="00731632">
        <w:rPr>
          <w:rFonts w:cstheme="minorHAnsi"/>
          <w:bCs/>
        </w:rPr>
        <w:t xml:space="preserve">recent </w:t>
      </w:r>
      <w:r w:rsidRPr="00731632">
        <w:rPr>
          <w:rFonts w:cstheme="minorHAnsi"/>
          <w:bCs/>
        </w:rPr>
        <w:t xml:space="preserve">ABS population projections which use 2022 data as the basis. When the most </w:t>
      </w:r>
      <w:r w:rsidR="00750621" w:rsidRPr="00731632">
        <w:rPr>
          <w:rFonts w:cstheme="minorHAnsi"/>
          <w:bCs/>
        </w:rPr>
        <w:t xml:space="preserve">recent </w:t>
      </w:r>
      <w:r w:rsidRPr="00731632">
        <w:rPr>
          <w:rFonts w:cstheme="minorHAnsi"/>
          <w:bCs/>
        </w:rPr>
        <w:t>projections</w:t>
      </w:r>
      <w:r w:rsidR="00F677B5" w:rsidRPr="00731632">
        <w:rPr>
          <w:rFonts w:cstheme="minorHAnsi"/>
          <w:bCs/>
        </w:rPr>
        <w:t xml:space="preserve"> were </w:t>
      </w:r>
      <w:r w:rsidRPr="00731632">
        <w:rPr>
          <w:rFonts w:cstheme="minorHAnsi"/>
          <w:bCs/>
        </w:rPr>
        <w:t xml:space="preserve">utilised, the overall cost to the PBS </w:t>
      </w:r>
      <w:r w:rsidR="00313735" w:rsidRPr="00731632">
        <w:rPr>
          <w:rFonts w:cstheme="minorHAnsi"/>
          <w:bCs/>
        </w:rPr>
        <w:t>decreased</w:t>
      </w:r>
      <w:r w:rsidRPr="00731632">
        <w:rPr>
          <w:rFonts w:cstheme="minorHAnsi"/>
          <w:bCs/>
        </w:rPr>
        <w:t xml:space="preserve">. </w:t>
      </w:r>
      <w:r w:rsidRPr="00731632">
        <w:t xml:space="preserve">The submission’s estimates for the number of </w:t>
      </w:r>
      <w:r w:rsidR="00B63F4A" w:rsidRPr="00731632">
        <w:t>individuals</w:t>
      </w:r>
      <w:r w:rsidRPr="00731632">
        <w:t xml:space="preserve"> likely to be treated with nirsevimab in the first 6 years of listing is presented in </w:t>
      </w:r>
      <w:r w:rsidRPr="00731632">
        <w:fldChar w:fldCharType="begin"/>
      </w:r>
      <w:r w:rsidRPr="00731632">
        <w:instrText xml:space="preserve"> REF _Ref104805295 \h </w:instrText>
      </w:r>
      <w:r w:rsidRPr="00731632">
        <w:fldChar w:fldCharType="separate"/>
      </w:r>
      <w:r w:rsidR="00D770BB" w:rsidRPr="00731632">
        <w:t xml:space="preserve">Table </w:t>
      </w:r>
      <w:r w:rsidR="00D770BB">
        <w:rPr>
          <w:noProof/>
        </w:rPr>
        <w:t>25</w:t>
      </w:r>
      <w:r w:rsidRPr="00731632">
        <w:fldChar w:fldCharType="end"/>
      </w:r>
      <w:r w:rsidR="00764179" w:rsidRPr="00731632">
        <w:t xml:space="preserve">, as well as the revised estimates using the most </w:t>
      </w:r>
      <w:r w:rsidR="00750621" w:rsidRPr="00731632">
        <w:t>recent</w:t>
      </w:r>
      <w:r w:rsidR="00764179" w:rsidRPr="00731632">
        <w:t xml:space="preserve"> ABS data</w:t>
      </w:r>
      <w:r w:rsidR="00313735" w:rsidRPr="00731632">
        <w:t xml:space="preserve"> that were prepared during the evaluation</w:t>
      </w:r>
      <w:r w:rsidRPr="00731632">
        <w:t xml:space="preserve">. </w:t>
      </w:r>
    </w:p>
    <w:p w14:paraId="6B4B591E" w14:textId="59767133" w:rsidR="007B2E9F" w:rsidRPr="00731632" w:rsidRDefault="007B2E9F" w:rsidP="000715F5">
      <w:pPr>
        <w:pStyle w:val="3-BodyText"/>
        <w:rPr>
          <w:i/>
          <w:iCs/>
        </w:rPr>
      </w:pPr>
      <w:bookmarkStart w:id="115" w:name="_Ref173484225"/>
      <w:r w:rsidRPr="00731632">
        <w:t xml:space="preserve">The submission applied uptake rates of 70% across all years in populations 1 and 2 and uptake rates of 90% in population 3. The </w:t>
      </w:r>
      <w:r w:rsidR="003B6B50" w:rsidRPr="00731632">
        <w:t xml:space="preserve">commentary considered the </w:t>
      </w:r>
      <w:r w:rsidRPr="00731632">
        <w:t xml:space="preserve">uptake rates applied to the eligible infants in population 3 to be reasonable as this population is at a high risk of developing severe RSV infection. However, as nirsevimab will require a prescription, the </w:t>
      </w:r>
      <w:r w:rsidR="003B6B50" w:rsidRPr="00731632">
        <w:t xml:space="preserve">commentary considered the </w:t>
      </w:r>
      <w:r w:rsidRPr="00731632">
        <w:t>uptake rates applied to populations 1 and 2 appear</w:t>
      </w:r>
      <w:r w:rsidR="003B6B50" w:rsidRPr="00731632">
        <w:t>ed</w:t>
      </w:r>
      <w:r w:rsidRPr="00731632">
        <w:t xml:space="preserve"> too high and</w:t>
      </w:r>
      <w:r w:rsidR="00F677B5" w:rsidRPr="00731632">
        <w:t xml:space="preserve"> were </w:t>
      </w:r>
      <w:r w:rsidRPr="00731632">
        <w:t xml:space="preserve">uncertain. </w:t>
      </w:r>
      <w:r w:rsidR="000715F5" w:rsidRPr="00731632">
        <w:rPr>
          <w:rFonts w:cstheme="minorHAnsi"/>
          <w:bCs/>
        </w:rPr>
        <w:t xml:space="preserve">  The DUSC considered that an assumed uptake of 70% was reasonable for populations 1 and 2, on the basis that increased awareness of RSV would lead to a high uptake of nirsevimab if PBS listed.  </w:t>
      </w:r>
      <w:bookmarkEnd w:id="115"/>
    </w:p>
    <w:p w14:paraId="44A6D30E" w14:textId="3F98D4AE" w:rsidR="007B2E9F" w:rsidRPr="00731632" w:rsidRDefault="007B2E9F" w:rsidP="00B67E00">
      <w:pPr>
        <w:pStyle w:val="Caption"/>
      </w:pPr>
      <w:bookmarkStart w:id="116" w:name="_Ref104805295"/>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25</w:t>
      </w:r>
      <w:r w:rsidR="00BD1FC6" w:rsidRPr="00731632">
        <w:fldChar w:fldCharType="end"/>
      </w:r>
      <w:bookmarkEnd w:id="116"/>
      <w:r w:rsidRPr="00731632">
        <w:t>:</w:t>
      </w:r>
      <w:r w:rsidRPr="00731632">
        <w:rPr>
          <w:rStyle w:val="CommentReference"/>
          <w:b/>
          <w:szCs w:val="24"/>
        </w:rPr>
        <w:t xml:space="preserve"> Estimation of number of treated </w:t>
      </w:r>
      <w:r w:rsidR="00B63F4A" w:rsidRPr="00731632">
        <w:rPr>
          <w:rStyle w:val="CommentReference"/>
          <w:b/>
          <w:szCs w:val="24"/>
        </w:rPr>
        <w:t>individuals</w:t>
      </w:r>
      <w:r w:rsidRPr="00731632">
        <w:rPr>
          <w:rStyle w:val="CommentReference"/>
          <w:b/>
          <w:szCs w:val="24"/>
        </w:rPr>
        <w:t xml:space="preserve"> </w:t>
      </w:r>
    </w:p>
    <w:tbl>
      <w:tblPr>
        <w:tblStyle w:val="TableGrid"/>
        <w:tblW w:w="5000" w:type="pct"/>
        <w:tblLayout w:type="fixed"/>
        <w:tblLook w:val="04A0" w:firstRow="1" w:lastRow="0" w:firstColumn="1" w:lastColumn="0" w:noHBand="0" w:noVBand="1"/>
        <w:tblCaption w:val="Table 25: Estimation of number of treated individuals "/>
      </w:tblPr>
      <w:tblGrid>
        <w:gridCol w:w="2689"/>
        <w:gridCol w:w="1053"/>
        <w:gridCol w:w="1055"/>
        <w:gridCol w:w="1055"/>
        <w:gridCol w:w="1053"/>
        <w:gridCol w:w="1055"/>
        <w:gridCol w:w="1057"/>
      </w:tblGrid>
      <w:tr w:rsidR="007B2E9F" w:rsidRPr="00731632" w14:paraId="6FADE712" w14:textId="77777777" w:rsidTr="00866F91">
        <w:tc>
          <w:tcPr>
            <w:tcW w:w="1491" w:type="pct"/>
          </w:tcPr>
          <w:p w14:paraId="4EFB93EE" w14:textId="77777777" w:rsidR="007B2E9F" w:rsidRPr="00731632" w:rsidRDefault="007B2E9F" w:rsidP="00B67E00">
            <w:pPr>
              <w:pStyle w:val="2-SectionHeading"/>
              <w:numPr>
                <w:ilvl w:val="0"/>
                <w:numId w:val="0"/>
              </w:numPr>
              <w:spacing w:before="0" w:after="0"/>
              <w:ind w:left="720" w:hanging="720"/>
            </w:pPr>
          </w:p>
        </w:tc>
        <w:tc>
          <w:tcPr>
            <w:tcW w:w="584" w:type="pct"/>
            <w:shd w:val="clear" w:color="auto" w:fill="auto"/>
            <w:vAlign w:val="center"/>
          </w:tcPr>
          <w:p w14:paraId="2466F51E" w14:textId="77777777" w:rsidR="007B2E9F" w:rsidRPr="00731632" w:rsidRDefault="007B2E9F" w:rsidP="00B67E00">
            <w:pPr>
              <w:pStyle w:val="TableFigureHeading"/>
            </w:pPr>
            <w:r w:rsidRPr="00731632">
              <w:t>Year 1</w:t>
            </w:r>
          </w:p>
        </w:tc>
        <w:tc>
          <w:tcPr>
            <w:tcW w:w="585" w:type="pct"/>
            <w:shd w:val="clear" w:color="auto" w:fill="auto"/>
            <w:vAlign w:val="center"/>
          </w:tcPr>
          <w:p w14:paraId="1CD649B5" w14:textId="77777777" w:rsidR="007B2E9F" w:rsidRPr="00731632" w:rsidRDefault="007B2E9F" w:rsidP="00B67E00">
            <w:pPr>
              <w:pStyle w:val="TableFigureHeading"/>
            </w:pPr>
            <w:r w:rsidRPr="00731632">
              <w:t>Year 2</w:t>
            </w:r>
          </w:p>
        </w:tc>
        <w:tc>
          <w:tcPr>
            <w:tcW w:w="585" w:type="pct"/>
            <w:shd w:val="clear" w:color="auto" w:fill="auto"/>
            <w:vAlign w:val="center"/>
          </w:tcPr>
          <w:p w14:paraId="63D65502" w14:textId="77777777" w:rsidR="007B2E9F" w:rsidRPr="00731632" w:rsidRDefault="007B2E9F" w:rsidP="00B67E00">
            <w:pPr>
              <w:pStyle w:val="TableFigureHeading"/>
            </w:pPr>
            <w:r w:rsidRPr="00731632">
              <w:t>Year 3</w:t>
            </w:r>
          </w:p>
        </w:tc>
        <w:tc>
          <w:tcPr>
            <w:tcW w:w="584" w:type="pct"/>
            <w:shd w:val="clear" w:color="auto" w:fill="auto"/>
            <w:vAlign w:val="center"/>
          </w:tcPr>
          <w:p w14:paraId="308806AB" w14:textId="77777777" w:rsidR="007B2E9F" w:rsidRPr="00731632" w:rsidRDefault="007B2E9F" w:rsidP="00B67E00">
            <w:pPr>
              <w:pStyle w:val="TableFigureHeading"/>
            </w:pPr>
            <w:r w:rsidRPr="00731632">
              <w:t>Year 4</w:t>
            </w:r>
          </w:p>
        </w:tc>
        <w:tc>
          <w:tcPr>
            <w:tcW w:w="585" w:type="pct"/>
            <w:shd w:val="clear" w:color="auto" w:fill="auto"/>
            <w:vAlign w:val="center"/>
          </w:tcPr>
          <w:p w14:paraId="6D7498E6" w14:textId="77777777" w:rsidR="007B2E9F" w:rsidRPr="00731632" w:rsidRDefault="007B2E9F" w:rsidP="00B67E00">
            <w:pPr>
              <w:pStyle w:val="TableFigureHeading"/>
            </w:pPr>
            <w:r w:rsidRPr="00731632">
              <w:t>Year 5</w:t>
            </w:r>
          </w:p>
        </w:tc>
        <w:tc>
          <w:tcPr>
            <w:tcW w:w="586" w:type="pct"/>
            <w:shd w:val="clear" w:color="auto" w:fill="auto"/>
            <w:vAlign w:val="center"/>
          </w:tcPr>
          <w:p w14:paraId="2D1A9409" w14:textId="77777777" w:rsidR="007B2E9F" w:rsidRPr="00731632" w:rsidRDefault="007B2E9F" w:rsidP="00B67E00">
            <w:pPr>
              <w:pStyle w:val="TableFigureHeading"/>
            </w:pPr>
            <w:r w:rsidRPr="00731632">
              <w:t>Year 6</w:t>
            </w:r>
          </w:p>
        </w:tc>
      </w:tr>
      <w:tr w:rsidR="007B2E9F" w:rsidRPr="00731632" w14:paraId="2FE2B942" w14:textId="77777777" w:rsidTr="00866F91">
        <w:tc>
          <w:tcPr>
            <w:tcW w:w="5000" w:type="pct"/>
            <w:gridSpan w:val="7"/>
          </w:tcPr>
          <w:p w14:paraId="7D869A84" w14:textId="77777777" w:rsidR="007B2E9F" w:rsidRPr="00731632" w:rsidRDefault="007B2E9F" w:rsidP="00B67E00">
            <w:pPr>
              <w:pStyle w:val="TableFigureHeading"/>
            </w:pPr>
            <w:r w:rsidRPr="00731632">
              <w:t>Population 1: temperate regions</w:t>
            </w:r>
          </w:p>
        </w:tc>
      </w:tr>
      <w:tr w:rsidR="007B2E9F" w:rsidRPr="00731632" w14:paraId="0F507EEF" w14:textId="77777777" w:rsidTr="00866F91">
        <w:tc>
          <w:tcPr>
            <w:tcW w:w="1491" w:type="pct"/>
          </w:tcPr>
          <w:p w14:paraId="27E9E3D5" w14:textId="77777777" w:rsidR="007B2E9F" w:rsidRPr="00731632" w:rsidRDefault="007B2E9F" w:rsidP="00B67E00">
            <w:pPr>
              <w:pStyle w:val="TableText0"/>
            </w:pPr>
            <w:r w:rsidRPr="00731632">
              <w:t xml:space="preserve">Projected number of live births </w:t>
            </w:r>
          </w:p>
        </w:tc>
        <w:tc>
          <w:tcPr>
            <w:tcW w:w="584" w:type="pct"/>
          </w:tcPr>
          <w:p w14:paraId="52D62776" w14:textId="54657452" w:rsidR="007B2E9F" w:rsidRPr="009A482D" w:rsidRDefault="009F6D97" w:rsidP="00B67E00">
            <w:pPr>
              <w:pStyle w:val="TableText0"/>
              <w:rPr>
                <w:highlight w:val="lightGray"/>
              </w:rPr>
            </w:pPr>
            <w:r w:rsidRPr="009F6D97">
              <w:rPr>
                <w:color w:val="000000"/>
                <w:spacing w:val="53"/>
                <w:shd w:val="solid" w:color="000000" w:fill="000000"/>
                <w:fitText w:val="330" w:id="-893210872"/>
                <w14:textFill>
                  <w14:solidFill>
                    <w14:srgbClr w14:val="000000">
                      <w14:alpha w14:val="100000"/>
                    </w14:srgbClr>
                  </w14:solidFill>
                </w14:textFill>
              </w:rPr>
              <w:t>|||</w:t>
            </w:r>
            <w:r w:rsidRPr="009F6D97">
              <w:rPr>
                <w:color w:val="000000"/>
                <w:spacing w:val="1"/>
                <w:shd w:val="solid" w:color="000000" w:fill="000000"/>
                <w:fitText w:val="330" w:id="-893210872"/>
                <w14:textFill>
                  <w14:solidFill>
                    <w14:srgbClr w14:val="000000">
                      <w14:alpha w14:val="100000"/>
                    </w14:srgbClr>
                  </w14:solidFill>
                </w14:textFill>
              </w:rPr>
              <w:t>|</w:t>
            </w:r>
            <w:r w:rsidR="00BC5303" w:rsidRPr="009A482D">
              <w:rPr>
                <w:vertAlign w:val="superscript"/>
              </w:rPr>
              <w:t>1</w:t>
            </w:r>
          </w:p>
        </w:tc>
        <w:tc>
          <w:tcPr>
            <w:tcW w:w="585" w:type="pct"/>
          </w:tcPr>
          <w:p w14:paraId="7CB4C5D6" w14:textId="29CFE036" w:rsidR="007B2E9F" w:rsidRPr="009A482D" w:rsidRDefault="009F6D97" w:rsidP="00B67E00">
            <w:pPr>
              <w:pStyle w:val="TableText0"/>
              <w:rPr>
                <w:highlight w:val="lightGray"/>
              </w:rPr>
            </w:pPr>
            <w:r w:rsidRPr="009F6D97">
              <w:rPr>
                <w:color w:val="000000"/>
                <w:spacing w:val="53"/>
                <w:shd w:val="solid" w:color="000000" w:fill="000000"/>
                <w:fitText w:val="330" w:id="-893210871"/>
                <w14:textFill>
                  <w14:solidFill>
                    <w14:srgbClr w14:val="000000">
                      <w14:alpha w14:val="100000"/>
                    </w14:srgbClr>
                  </w14:solidFill>
                </w14:textFill>
              </w:rPr>
              <w:t>|||</w:t>
            </w:r>
            <w:r w:rsidRPr="009F6D97">
              <w:rPr>
                <w:color w:val="000000"/>
                <w:spacing w:val="1"/>
                <w:shd w:val="solid" w:color="000000" w:fill="000000"/>
                <w:fitText w:val="330" w:id="-893210871"/>
                <w14:textFill>
                  <w14:solidFill>
                    <w14:srgbClr w14:val="000000">
                      <w14:alpha w14:val="100000"/>
                    </w14:srgbClr>
                  </w14:solidFill>
                </w14:textFill>
              </w:rPr>
              <w:t>|</w:t>
            </w:r>
            <w:r w:rsidR="00BC5303" w:rsidRPr="009A482D">
              <w:rPr>
                <w:vertAlign w:val="superscript"/>
              </w:rPr>
              <w:t>1</w:t>
            </w:r>
          </w:p>
        </w:tc>
        <w:tc>
          <w:tcPr>
            <w:tcW w:w="585" w:type="pct"/>
          </w:tcPr>
          <w:p w14:paraId="3E169921" w14:textId="6C6ED1C6" w:rsidR="007B2E9F" w:rsidRPr="009A482D" w:rsidRDefault="009F6D97" w:rsidP="00B67E00">
            <w:pPr>
              <w:pStyle w:val="TableText0"/>
              <w:rPr>
                <w:highlight w:val="lightGray"/>
              </w:rPr>
            </w:pPr>
            <w:r w:rsidRPr="009F6D97">
              <w:rPr>
                <w:color w:val="000000"/>
                <w:spacing w:val="53"/>
                <w:shd w:val="solid" w:color="000000" w:fill="000000"/>
                <w:fitText w:val="330" w:id="-893210870"/>
                <w14:textFill>
                  <w14:solidFill>
                    <w14:srgbClr w14:val="000000">
                      <w14:alpha w14:val="100000"/>
                    </w14:srgbClr>
                  </w14:solidFill>
                </w14:textFill>
              </w:rPr>
              <w:t>|||</w:t>
            </w:r>
            <w:r w:rsidRPr="009F6D97">
              <w:rPr>
                <w:color w:val="000000"/>
                <w:spacing w:val="1"/>
                <w:shd w:val="solid" w:color="000000" w:fill="000000"/>
                <w:fitText w:val="330" w:id="-893210870"/>
                <w14:textFill>
                  <w14:solidFill>
                    <w14:srgbClr w14:val="000000">
                      <w14:alpha w14:val="100000"/>
                    </w14:srgbClr>
                  </w14:solidFill>
                </w14:textFill>
              </w:rPr>
              <w:t>|</w:t>
            </w:r>
            <w:r w:rsidR="00BC5303" w:rsidRPr="005C269B">
              <w:rPr>
                <w:vertAlign w:val="superscript"/>
              </w:rPr>
              <w:t>1</w:t>
            </w:r>
          </w:p>
        </w:tc>
        <w:tc>
          <w:tcPr>
            <w:tcW w:w="584" w:type="pct"/>
          </w:tcPr>
          <w:p w14:paraId="03FD6088" w14:textId="0B4FA83E" w:rsidR="007B2E9F" w:rsidRPr="009A482D" w:rsidRDefault="009F6D97" w:rsidP="00B67E00">
            <w:pPr>
              <w:pStyle w:val="TableText0"/>
              <w:rPr>
                <w:highlight w:val="lightGray"/>
              </w:rPr>
            </w:pPr>
            <w:r w:rsidRPr="009F6D97">
              <w:rPr>
                <w:color w:val="000000"/>
                <w:spacing w:val="53"/>
                <w:shd w:val="solid" w:color="000000" w:fill="000000"/>
                <w:fitText w:val="330" w:id="-893210869"/>
                <w14:textFill>
                  <w14:solidFill>
                    <w14:srgbClr w14:val="000000">
                      <w14:alpha w14:val="100000"/>
                    </w14:srgbClr>
                  </w14:solidFill>
                </w14:textFill>
              </w:rPr>
              <w:t>|||</w:t>
            </w:r>
            <w:r w:rsidRPr="009F6D97">
              <w:rPr>
                <w:color w:val="000000"/>
                <w:spacing w:val="1"/>
                <w:shd w:val="solid" w:color="000000" w:fill="000000"/>
                <w:fitText w:val="330" w:id="-893210869"/>
                <w14:textFill>
                  <w14:solidFill>
                    <w14:srgbClr w14:val="000000">
                      <w14:alpha w14:val="100000"/>
                    </w14:srgbClr>
                  </w14:solidFill>
                </w14:textFill>
              </w:rPr>
              <w:t>|</w:t>
            </w:r>
            <w:r w:rsidR="00BC5303" w:rsidRPr="005C269B">
              <w:rPr>
                <w:vertAlign w:val="superscript"/>
              </w:rPr>
              <w:t>1</w:t>
            </w:r>
          </w:p>
        </w:tc>
        <w:tc>
          <w:tcPr>
            <w:tcW w:w="585" w:type="pct"/>
          </w:tcPr>
          <w:p w14:paraId="2A6CF735" w14:textId="3F56CEC4" w:rsidR="007B2E9F" w:rsidRPr="009A482D" w:rsidRDefault="009F6D97" w:rsidP="00B67E00">
            <w:pPr>
              <w:pStyle w:val="TableText0"/>
              <w:rPr>
                <w:highlight w:val="lightGray"/>
              </w:rPr>
            </w:pPr>
            <w:r w:rsidRPr="009F6D97">
              <w:rPr>
                <w:color w:val="000000"/>
                <w:spacing w:val="53"/>
                <w:shd w:val="solid" w:color="000000" w:fill="000000"/>
                <w:fitText w:val="330" w:id="-893210868"/>
                <w14:textFill>
                  <w14:solidFill>
                    <w14:srgbClr w14:val="000000">
                      <w14:alpha w14:val="100000"/>
                    </w14:srgbClr>
                  </w14:solidFill>
                </w14:textFill>
              </w:rPr>
              <w:t>|||</w:t>
            </w:r>
            <w:r w:rsidRPr="009F6D97">
              <w:rPr>
                <w:color w:val="000000"/>
                <w:spacing w:val="1"/>
                <w:shd w:val="solid" w:color="000000" w:fill="000000"/>
                <w:fitText w:val="330" w:id="-893210868"/>
                <w14:textFill>
                  <w14:solidFill>
                    <w14:srgbClr w14:val="000000">
                      <w14:alpha w14:val="100000"/>
                    </w14:srgbClr>
                  </w14:solidFill>
                </w14:textFill>
              </w:rPr>
              <w:t>|</w:t>
            </w:r>
            <w:r w:rsidR="00BC5303" w:rsidRPr="005C269B">
              <w:rPr>
                <w:vertAlign w:val="superscript"/>
              </w:rPr>
              <w:t>1</w:t>
            </w:r>
          </w:p>
        </w:tc>
        <w:tc>
          <w:tcPr>
            <w:tcW w:w="586" w:type="pct"/>
          </w:tcPr>
          <w:p w14:paraId="31546FC4" w14:textId="266BA4CE" w:rsidR="007B2E9F" w:rsidRPr="009A482D" w:rsidRDefault="009F6D97" w:rsidP="00B67E00">
            <w:pPr>
              <w:pStyle w:val="TableText0"/>
              <w:rPr>
                <w:highlight w:val="lightGray"/>
              </w:rPr>
            </w:pPr>
            <w:r w:rsidRPr="009F6D97">
              <w:rPr>
                <w:color w:val="000000"/>
                <w:spacing w:val="53"/>
                <w:shd w:val="solid" w:color="000000" w:fill="000000"/>
                <w:fitText w:val="330" w:id="-893210867"/>
                <w14:textFill>
                  <w14:solidFill>
                    <w14:srgbClr w14:val="000000">
                      <w14:alpha w14:val="100000"/>
                    </w14:srgbClr>
                  </w14:solidFill>
                </w14:textFill>
              </w:rPr>
              <w:t>|||</w:t>
            </w:r>
            <w:r w:rsidRPr="009F6D97">
              <w:rPr>
                <w:color w:val="000000"/>
                <w:spacing w:val="1"/>
                <w:shd w:val="solid" w:color="000000" w:fill="000000"/>
                <w:fitText w:val="330" w:id="-893210867"/>
                <w14:textFill>
                  <w14:solidFill>
                    <w14:srgbClr w14:val="000000">
                      <w14:alpha w14:val="100000"/>
                    </w14:srgbClr>
                  </w14:solidFill>
                </w14:textFill>
              </w:rPr>
              <w:t>|</w:t>
            </w:r>
            <w:r w:rsidR="00BC5303" w:rsidRPr="005C269B">
              <w:rPr>
                <w:vertAlign w:val="superscript"/>
              </w:rPr>
              <w:t>1</w:t>
            </w:r>
          </w:p>
        </w:tc>
      </w:tr>
      <w:tr w:rsidR="007B2E9F" w:rsidRPr="00731632" w14:paraId="632E08CC" w14:textId="77777777" w:rsidTr="00866F91">
        <w:tc>
          <w:tcPr>
            <w:tcW w:w="1491" w:type="pct"/>
          </w:tcPr>
          <w:p w14:paraId="1E224A4D" w14:textId="77777777" w:rsidR="007B2E9F" w:rsidRPr="00731632" w:rsidRDefault="007B2E9F" w:rsidP="00B67E00">
            <w:pPr>
              <w:pStyle w:val="TableText0"/>
            </w:pPr>
            <w:r w:rsidRPr="00731632">
              <w:t>Uptake rate  (70%)</w:t>
            </w:r>
          </w:p>
        </w:tc>
        <w:tc>
          <w:tcPr>
            <w:tcW w:w="584" w:type="pct"/>
          </w:tcPr>
          <w:p w14:paraId="24893DA6" w14:textId="149F2FAF" w:rsidR="007B2E9F" w:rsidRPr="009A482D" w:rsidRDefault="009F6D97" w:rsidP="00B67E00">
            <w:pPr>
              <w:pStyle w:val="TableText0"/>
              <w:rPr>
                <w:highlight w:val="lightGray"/>
              </w:rPr>
            </w:pPr>
            <w:r w:rsidRPr="009F6D97">
              <w:rPr>
                <w:color w:val="000000"/>
                <w:spacing w:val="53"/>
                <w:shd w:val="solid" w:color="000000" w:fill="000000"/>
                <w:fitText w:val="330" w:id="-893210866"/>
                <w14:textFill>
                  <w14:solidFill>
                    <w14:srgbClr w14:val="000000">
                      <w14:alpha w14:val="100000"/>
                    </w14:srgbClr>
                  </w14:solidFill>
                </w14:textFill>
              </w:rPr>
              <w:t>|||</w:t>
            </w:r>
            <w:r w:rsidRPr="009F6D97">
              <w:rPr>
                <w:color w:val="000000"/>
                <w:spacing w:val="1"/>
                <w:shd w:val="solid" w:color="000000" w:fill="000000"/>
                <w:fitText w:val="330" w:id="-893210866"/>
                <w14:textFill>
                  <w14:solidFill>
                    <w14:srgbClr w14:val="000000">
                      <w14:alpha w14:val="100000"/>
                    </w14:srgbClr>
                  </w14:solidFill>
                </w14:textFill>
              </w:rPr>
              <w:t>|</w:t>
            </w:r>
            <w:r w:rsidR="00EE2C93" w:rsidRPr="009A482D">
              <w:rPr>
                <w:vertAlign w:val="superscript"/>
              </w:rPr>
              <w:t>2</w:t>
            </w:r>
          </w:p>
        </w:tc>
        <w:tc>
          <w:tcPr>
            <w:tcW w:w="585" w:type="pct"/>
          </w:tcPr>
          <w:p w14:paraId="400EBC55" w14:textId="2A7B4F22" w:rsidR="007B2E9F" w:rsidRPr="009A482D" w:rsidRDefault="009F6D97" w:rsidP="00B67E00">
            <w:pPr>
              <w:pStyle w:val="TableText0"/>
              <w:rPr>
                <w:highlight w:val="lightGray"/>
              </w:rPr>
            </w:pPr>
            <w:r w:rsidRPr="009F6D97">
              <w:rPr>
                <w:color w:val="000000"/>
                <w:spacing w:val="53"/>
                <w:shd w:val="solid" w:color="000000" w:fill="000000"/>
                <w:fitText w:val="330" w:id="-893210865"/>
                <w14:textFill>
                  <w14:solidFill>
                    <w14:srgbClr w14:val="000000">
                      <w14:alpha w14:val="100000"/>
                    </w14:srgbClr>
                  </w14:solidFill>
                </w14:textFill>
              </w:rPr>
              <w:t>|||</w:t>
            </w:r>
            <w:r w:rsidRPr="009F6D97">
              <w:rPr>
                <w:color w:val="000000"/>
                <w:spacing w:val="1"/>
                <w:shd w:val="solid" w:color="000000" w:fill="000000"/>
                <w:fitText w:val="330" w:id="-893210865"/>
                <w14:textFill>
                  <w14:solidFill>
                    <w14:srgbClr w14:val="000000">
                      <w14:alpha w14:val="100000"/>
                    </w14:srgbClr>
                  </w14:solidFill>
                </w14:textFill>
              </w:rPr>
              <w:t>|</w:t>
            </w:r>
            <w:r w:rsidR="00EE2C93" w:rsidRPr="005C269B">
              <w:rPr>
                <w:vertAlign w:val="superscript"/>
              </w:rPr>
              <w:t>2</w:t>
            </w:r>
          </w:p>
        </w:tc>
        <w:tc>
          <w:tcPr>
            <w:tcW w:w="585" w:type="pct"/>
          </w:tcPr>
          <w:p w14:paraId="105BD71B" w14:textId="4E47096F" w:rsidR="007B2E9F" w:rsidRPr="009A482D" w:rsidRDefault="009F6D97" w:rsidP="00B67E00">
            <w:pPr>
              <w:pStyle w:val="TableText0"/>
              <w:rPr>
                <w:highlight w:val="lightGray"/>
              </w:rPr>
            </w:pPr>
            <w:r w:rsidRPr="009F6D97">
              <w:rPr>
                <w:color w:val="000000"/>
                <w:spacing w:val="53"/>
                <w:shd w:val="solid" w:color="000000" w:fill="000000"/>
                <w:fitText w:val="330" w:id="-893210864"/>
                <w14:textFill>
                  <w14:solidFill>
                    <w14:srgbClr w14:val="000000">
                      <w14:alpha w14:val="100000"/>
                    </w14:srgbClr>
                  </w14:solidFill>
                </w14:textFill>
              </w:rPr>
              <w:t>|||</w:t>
            </w:r>
            <w:r w:rsidRPr="009F6D97">
              <w:rPr>
                <w:color w:val="000000"/>
                <w:spacing w:val="1"/>
                <w:shd w:val="solid" w:color="000000" w:fill="000000"/>
                <w:fitText w:val="330" w:id="-893210864"/>
                <w14:textFill>
                  <w14:solidFill>
                    <w14:srgbClr w14:val="000000">
                      <w14:alpha w14:val="100000"/>
                    </w14:srgbClr>
                  </w14:solidFill>
                </w14:textFill>
              </w:rPr>
              <w:t>|</w:t>
            </w:r>
            <w:r w:rsidR="00EE2C93" w:rsidRPr="005C269B">
              <w:rPr>
                <w:vertAlign w:val="superscript"/>
              </w:rPr>
              <w:t>2</w:t>
            </w:r>
          </w:p>
        </w:tc>
        <w:tc>
          <w:tcPr>
            <w:tcW w:w="584" w:type="pct"/>
          </w:tcPr>
          <w:p w14:paraId="2E57F290" w14:textId="55318912" w:rsidR="007B2E9F" w:rsidRPr="009A482D" w:rsidRDefault="009F6D97" w:rsidP="00B67E00">
            <w:pPr>
              <w:pStyle w:val="TableText0"/>
              <w:rPr>
                <w:highlight w:val="lightGray"/>
              </w:rPr>
            </w:pPr>
            <w:r w:rsidRPr="009F6D97">
              <w:rPr>
                <w:color w:val="000000"/>
                <w:spacing w:val="53"/>
                <w:shd w:val="solid" w:color="000000" w:fill="000000"/>
                <w:fitText w:val="330" w:id="-893210880"/>
                <w14:textFill>
                  <w14:solidFill>
                    <w14:srgbClr w14:val="000000">
                      <w14:alpha w14:val="100000"/>
                    </w14:srgbClr>
                  </w14:solidFill>
                </w14:textFill>
              </w:rPr>
              <w:t>|||</w:t>
            </w:r>
            <w:r w:rsidRPr="009F6D97">
              <w:rPr>
                <w:color w:val="000000"/>
                <w:spacing w:val="1"/>
                <w:shd w:val="solid" w:color="000000" w:fill="000000"/>
                <w:fitText w:val="330" w:id="-893210880"/>
                <w14:textFill>
                  <w14:solidFill>
                    <w14:srgbClr w14:val="000000">
                      <w14:alpha w14:val="100000"/>
                    </w14:srgbClr>
                  </w14:solidFill>
                </w14:textFill>
              </w:rPr>
              <w:t>|</w:t>
            </w:r>
            <w:r w:rsidR="00EE2C93" w:rsidRPr="005C269B">
              <w:rPr>
                <w:vertAlign w:val="superscript"/>
              </w:rPr>
              <w:t>2</w:t>
            </w:r>
          </w:p>
        </w:tc>
        <w:tc>
          <w:tcPr>
            <w:tcW w:w="585" w:type="pct"/>
          </w:tcPr>
          <w:p w14:paraId="7F014A49" w14:textId="23BE5831" w:rsidR="007B2E9F" w:rsidRPr="009A482D" w:rsidRDefault="009F6D97" w:rsidP="00B67E00">
            <w:pPr>
              <w:pStyle w:val="TableText0"/>
              <w:rPr>
                <w:highlight w:val="lightGray"/>
              </w:rPr>
            </w:pPr>
            <w:r w:rsidRPr="009F6D97">
              <w:rPr>
                <w:color w:val="000000"/>
                <w:spacing w:val="53"/>
                <w:shd w:val="solid" w:color="000000" w:fill="000000"/>
                <w:fitText w:val="330" w:id="-893210879"/>
                <w14:textFill>
                  <w14:solidFill>
                    <w14:srgbClr w14:val="000000">
                      <w14:alpha w14:val="100000"/>
                    </w14:srgbClr>
                  </w14:solidFill>
                </w14:textFill>
              </w:rPr>
              <w:t>|||</w:t>
            </w:r>
            <w:r w:rsidRPr="009F6D97">
              <w:rPr>
                <w:color w:val="000000"/>
                <w:spacing w:val="1"/>
                <w:shd w:val="solid" w:color="000000" w:fill="000000"/>
                <w:fitText w:val="330" w:id="-893210879"/>
                <w14:textFill>
                  <w14:solidFill>
                    <w14:srgbClr w14:val="000000">
                      <w14:alpha w14:val="100000"/>
                    </w14:srgbClr>
                  </w14:solidFill>
                </w14:textFill>
              </w:rPr>
              <w:t>|</w:t>
            </w:r>
            <w:r w:rsidR="00EE2C93" w:rsidRPr="005C269B">
              <w:rPr>
                <w:vertAlign w:val="superscript"/>
              </w:rPr>
              <w:t>2</w:t>
            </w:r>
          </w:p>
        </w:tc>
        <w:tc>
          <w:tcPr>
            <w:tcW w:w="586" w:type="pct"/>
          </w:tcPr>
          <w:p w14:paraId="6F8BD9C3" w14:textId="11D9D2BD" w:rsidR="007B2E9F" w:rsidRPr="009A482D" w:rsidRDefault="009F6D97" w:rsidP="00B67E00">
            <w:pPr>
              <w:pStyle w:val="TableText0"/>
              <w:rPr>
                <w:highlight w:val="lightGray"/>
              </w:rPr>
            </w:pPr>
            <w:r w:rsidRPr="009F6D97">
              <w:rPr>
                <w:color w:val="000000"/>
                <w:spacing w:val="53"/>
                <w:shd w:val="solid" w:color="000000" w:fill="000000"/>
                <w:fitText w:val="330" w:id="-893210878"/>
                <w14:textFill>
                  <w14:solidFill>
                    <w14:srgbClr w14:val="000000">
                      <w14:alpha w14:val="100000"/>
                    </w14:srgbClr>
                  </w14:solidFill>
                </w14:textFill>
              </w:rPr>
              <w:t>|||</w:t>
            </w:r>
            <w:r w:rsidRPr="009F6D97">
              <w:rPr>
                <w:color w:val="000000"/>
                <w:spacing w:val="1"/>
                <w:shd w:val="solid" w:color="000000" w:fill="000000"/>
                <w:fitText w:val="330" w:id="-893210878"/>
                <w14:textFill>
                  <w14:solidFill>
                    <w14:srgbClr w14:val="000000">
                      <w14:alpha w14:val="100000"/>
                    </w14:srgbClr>
                  </w14:solidFill>
                </w14:textFill>
              </w:rPr>
              <w:t>|</w:t>
            </w:r>
            <w:r w:rsidR="00EE2C93" w:rsidRPr="005C269B">
              <w:rPr>
                <w:vertAlign w:val="superscript"/>
              </w:rPr>
              <w:t>2</w:t>
            </w:r>
          </w:p>
        </w:tc>
      </w:tr>
      <w:tr w:rsidR="007B2E9F" w:rsidRPr="00731632" w14:paraId="3F529E09" w14:textId="77777777" w:rsidTr="00866F91">
        <w:tc>
          <w:tcPr>
            <w:tcW w:w="5000" w:type="pct"/>
            <w:gridSpan w:val="7"/>
          </w:tcPr>
          <w:p w14:paraId="781456CB" w14:textId="77777777" w:rsidR="007B2E9F" w:rsidRPr="00731632" w:rsidRDefault="007B2E9F" w:rsidP="00B67E00">
            <w:pPr>
              <w:pStyle w:val="TableText0"/>
              <w:rPr>
                <w:b/>
                <w:bCs w:val="0"/>
              </w:rPr>
            </w:pPr>
            <w:r w:rsidRPr="00731632">
              <w:rPr>
                <w:b/>
                <w:bCs w:val="0"/>
              </w:rPr>
              <w:t>Population 2: tropical regions</w:t>
            </w:r>
          </w:p>
        </w:tc>
      </w:tr>
      <w:tr w:rsidR="007B2E9F" w:rsidRPr="00731632" w14:paraId="4F7E3E28" w14:textId="77777777" w:rsidTr="00866F91">
        <w:tc>
          <w:tcPr>
            <w:tcW w:w="1491" w:type="pct"/>
          </w:tcPr>
          <w:p w14:paraId="5F859583" w14:textId="77777777" w:rsidR="007B2E9F" w:rsidRPr="00731632" w:rsidRDefault="007B2E9F" w:rsidP="00B67E00">
            <w:pPr>
              <w:pStyle w:val="TableText0"/>
            </w:pPr>
            <w:r w:rsidRPr="00731632">
              <w:t xml:space="preserve">Projected number of live births </w:t>
            </w:r>
          </w:p>
        </w:tc>
        <w:tc>
          <w:tcPr>
            <w:tcW w:w="584" w:type="pct"/>
          </w:tcPr>
          <w:p w14:paraId="22C59F0E" w14:textId="3CE18312" w:rsidR="007B2E9F" w:rsidRPr="009A482D" w:rsidRDefault="009F6D97" w:rsidP="00B67E00">
            <w:pPr>
              <w:pStyle w:val="TableText0"/>
              <w:rPr>
                <w:highlight w:val="lightGray"/>
              </w:rPr>
            </w:pPr>
            <w:r w:rsidRPr="009F6D97">
              <w:rPr>
                <w:color w:val="000000"/>
                <w:spacing w:val="53"/>
                <w:shd w:val="solid" w:color="000000" w:fill="000000"/>
                <w:fitText w:val="330" w:id="-893210877"/>
                <w14:textFill>
                  <w14:solidFill>
                    <w14:srgbClr w14:val="000000">
                      <w14:alpha w14:val="100000"/>
                    </w14:srgbClr>
                  </w14:solidFill>
                </w14:textFill>
              </w:rPr>
              <w:t>|||</w:t>
            </w:r>
            <w:r w:rsidRPr="009F6D97">
              <w:rPr>
                <w:color w:val="000000"/>
                <w:spacing w:val="1"/>
                <w:shd w:val="solid" w:color="000000" w:fill="000000"/>
                <w:fitText w:val="330" w:id="-893210877"/>
                <w14:textFill>
                  <w14:solidFill>
                    <w14:srgbClr w14:val="000000">
                      <w14:alpha w14:val="100000"/>
                    </w14:srgbClr>
                  </w14:solidFill>
                </w14:textFill>
              </w:rPr>
              <w:t>|</w:t>
            </w:r>
            <w:r w:rsidR="00091F5B" w:rsidRPr="009A482D">
              <w:rPr>
                <w:vertAlign w:val="superscript"/>
              </w:rPr>
              <w:t>3</w:t>
            </w:r>
          </w:p>
        </w:tc>
        <w:tc>
          <w:tcPr>
            <w:tcW w:w="585" w:type="pct"/>
          </w:tcPr>
          <w:p w14:paraId="1273951C" w14:textId="65FE957F" w:rsidR="007B2E9F" w:rsidRPr="009A482D" w:rsidRDefault="009F6D97" w:rsidP="00B67E00">
            <w:pPr>
              <w:pStyle w:val="TableText0"/>
              <w:rPr>
                <w:highlight w:val="lightGray"/>
              </w:rPr>
            </w:pPr>
            <w:r w:rsidRPr="009F6D97">
              <w:rPr>
                <w:color w:val="000000"/>
                <w:spacing w:val="53"/>
                <w:shd w:val="solid" w:color="000000" w:fill="000000"/>
                <w:fitText w:val="330" w:id="-893210876"/>
                <w14:textFill>
                  <w14:solidFill>
                    <w14:srgbClr w14:val="000000">
                      <w14:alpha w14:val="100000"/>
                    </w14:srgbClr>
                  </w14:solidFill>
                </w14:textFill>
              </w:rPr>
              <w:t>|||</w:t>
            </w:r>
            <w:r w:rsidRPr="009F6D97">
              <w:rPr>
                <w:color w:val="000000"/>
                <w:spacing w:val="1"/>
                <w:shd w:val="solid" w:color="000000" w:fill="000000"/>
                <w:fitText w:val="330" w:id="-893210876"/>
                <w14:textFill>
                  <w14:solidFill>
                    <w14:srgbClr w14:val="000000">
                      <w14:alpha w14:val="100000"/>
                    </w14:srgbClr>
                  </w14:solidFill>
                </w14:textFill>
              </w:rPr>
              <w:t>|</w:t>
            </w:r>
            <w:r w:rsidR="00091F5B" w:rsidRPr="005C269B">
              <w:rPr>
                <w:vertAlign w:val="superscript"/>
              </w:rPr>
              <w:t>3</w:t>
            </w:r>
          </w:p>
        </w:tc>
        <w:tc>
          <w:tcPr>
            <w:tcW w:w="585" w:type="pct"/>
          </w:tcPr>
          <w:p w14:paraId="772C0F69" w14:textId="7317CD33" w:rsidR="007B2E9F" w:rsidRPr="009A482D" w:rsidRDefault="009F6D97" w:rsidP="00B67E00">
            <w:pPr>
              <w:pStyle w:val="TableText0"/>
              <w:rPr>
                <w:highlight w:val="lightGray"/>
              </w:rPr>
            </w:pPr>
            <w:r w:rsidRPr="009F6D97">
              <w:rPr>
                <w:color w:val="000000"/>
                <w:spacing w:val="53"/>
                <w:shd w:val="solid" w:color="000000" w:fill="000000"/>
                <w:fitText w:val="330" w:id="-893210875"/>
                <w14:textFill>
                  <w14:solidFill>
                    <w14:srgbClr w14:val="000000">
                      <w14:alpha w14:val="100000"/>
                    </w14:srgbClr>
                  </w14:solidFill>
                </w14:textFill>
              </w:rPr>
              <w:t>|||</w:t>
            </w:r>
            <w:r w:rsidRPr="009F6D97">
              <w:rPr>
                <w:color w:val="000000"/>
                <w:spacing w:val="1"/>
                <w:shd w:val="solid" w:color="000000" w:fill="000000"/>
                <w:fitText w:val="330" w:id="-893210875"/>
                <w14:textFill>
                  <w14:solidFill>
                    <w14:srgbClr w14:val="000000">
                      <w14:alpha w14:val="100000"/>
                    </w14:srgbClr>
                  </w14:solidFill>
                </w14:textFill>
              </w:rPr>
              <w:t>|</w:t>
            </w:r>
            <w:r w:rsidR="00091F5B" w:rsidRPr="005C269B">
              <w:rPr>
                <w:vertAlign w:val="superscript"/>
              </w:rPr>
              <w:t>3</w:t>
            </w:r>
          </w:p>
        </w:tc>
        <w:tc>
          <w:tcPr>
            <w:tcW w:w="584" w:type="pct"/>
          </w:tcPr>
          <w:p w14:paraId="705830D8" w14:textId="39C9EACA" w:rsidR="007B2E9F" w:rsidRPr="009A482D" w:rsidRDefault="009F6D97" w:rsidP="00B67E00">
            <w:pPr>
              <w:pStyle w:val="TableText0"/>
              <w:rPr>
                <w:highlight w:val="lightGray"/>
              </w:rPr>
            </w:pPr>
            <w:r w:rsidRPr="009F6D97">
              <w:rPr>
                <w:color w:val="000000"/>
                <w:spacing w:val="53"/>
                <w:shd w:val="solid" w:color="000000" w:fill="000000"/>
                <w:fitText w:val="330" w:id="-893210874"/>
                <w14:textFill>
                  <w14:solidFill>
                    <w14:srgbClr w14:val="000000">
                      <w14:alpha w14:val="100000"/>
                    </w14:srgbClr>
                  </w14:solidFill>
                </w14:textFill>
              </w:rPr>
              <w:t>|||</w:t>
            </w:r>
            <w:r w:rsidRPr="009F6D97">
              <w:rPr>
                <w:color w:val="000000"/>
                <w:spacing w:val="1"/>
                <w:shd w:val="solid" w:color="000000" w:fill="000000"/>
                <w:fitText w:val="330" w:id="-893210874"/>
                <w14:textFill>
                  <w14:solidFill>
                    <w14:srgbClr w14:val="000000">
                      <w14:alpha w14:val="100000"/>
                    </w14:srgbClr>
                  </w14:solidFill>
                </w14:textFill>
              </w:rPr>
              <w:t>|</w:t>
            </w:r>
            <w:r w:rsidR="00091F5B" w:rsidRPr="005C269B">
              <w:rPr>
                <w:vertAlign w:val="superscript"/>
              </w:rPr>
              <w:t>3</w:t>
            </w:r>
          </w:p>
        </w:tc>
        <w:tc>
          <w:tcPr>
            <w:tcW w:w="585" w:type="pct"/>
          </w:tcPr>
          <w:p w14:paraId="0256B87F" w14:textId="542CFB68" w:rsidR="007B2E9F" w:rsidRPr="009A482D" w:rsidRDefault="009F6D97" w:rsidP="00B67E00">
            <w:pPr>
              <w:pStyle w:val="TableText0"/>
              <w:rPr>
                <w:highlight w:val="lightGray"/>
              </w:rPr>
            </w:pPr>
            <w:r w:rsidRPr="009F6D97">
              <w:rPr>
                <w:color w:val="000000"/>
                <w:spacing w:val="53"/>
                <w:shd w:val="solid" w:color="000000" w:fill="000000"/>
                <w:fitText w:val="330" w:id="-893210873"/>
                <w14:textFill>
                  <w14:solidFill>
                    <w14:srgbClr w14:val="000000">
                      <w14:alpha w14:val="100000"/>
                    </w14:srgbClr>
                  </w14:solidFill>
                </w14:textFill>
              </w:rPr>
              <w:t>|||</w:t>
            </w:r>
            <w:r w:rsidRPr="009F6D97">
              <w:rPr>
                <w:color w:val="000000"/>
                <w:spacing w:val="1"/>
                <w:shd w:val="solid" w:color="000000" w:fill="000000"/>
                <w:fitText w:val="330" w:id="-893210873"/>
                <w14:textFill>
                  <w14:solidFill>
                    <w14:srgbClr w14:val="000000">
                      <w14:alpha w14:val="100000"/>
                    </w14:srgbClr>
                  </w14:solidFill>
                </w14:textFill>
              </w:rPr>
              <w:t>|</w:t>
            </w:r>
            <w:r w:rsidR="00091F5B" w:rsidRPr="005C269B">
              <w:rPr>
                <w:vertAlign w:val="superscript"/>
              </w:rPr>
              <w:t>3</w:t>
            </w:r>
          </w:p>
        </w:tc>
        <w:tc>
          <w:tcPr>
            <w:tcW w:w="586" w:type="pct"/>
          </w:tcPr>
          <w:p w14:paraId="53F09483" w14:textId="4512BB03" w:rsidR="007B2E9F" w:rsidRPr="009A482D" w:rsidRDefault="009F6D97" w:rsidP="00B67E00">
            <w:pPr>
              <w:pStyle w:val="TableText0"/>
              <w:rPr>
                <w:highlight w:val="lightGray"/>
              </w:rPr>
            </w:pPr>
            <w:r w:rsidRPr="009F6D97">
              <w:rPr>
                <w:color w:val="000000"/>
                <w:spacing w:val="53"/>
                <w:shd w:val="solid" w:color="000000" w:fill="000000"/>
                <w:fitText w:val="330" w:id="-893210872"/>
                <w14:textFill>
                  <w14:solidFill>
                    <w14:srgbClr w14:val="000000">
                      <w14:alpha w14:val="100000"/>
                    </w14:srgbClr>
                  </w14:solidFill>
                </w14:textFill>
              </w:rPr>
              <w:t>|||</w:t>
            </w:r>
            <w:r w:rsidRPr="009F6D97">
              <w:rPr>
                <w:color w:val="000000"/>
                <w:spacing w:val="1"/>
                <w:shd w:val="solid" w:color="000000" w:fill="000000"/>
                <w:fitText w:val="330" w:id="-893210872"/>
                <w14:textFill>
                  <w14:solidFill>
                    <w14:srgbClr w14:val="000000">
                      <w14:alpha w14:val="100000"/>
                    </w14:srgbClr>
                  </w14:solidFill>
                </w14:textFill>
              </w:rPr>
              <w:t>|</w:t>
            </w:r>
            <w:r w:rsidR="00091F5B" w:rsidRPr="005C269B">
              <w:rPr>
                <w:vertAlign w:val="superscript"/>
              </w:rPr>
              <w:t>3</w:t>
            </w:r>
          </w:p>
        </w:tc>
      </w:tr>
      <w:tr w:rsidR="007B2E9F" w:rsidRPr="00731632" w14:paraId="3A20E5A3" w14:textId="77777777" w:rsidTr="00866F91">
        <w:tc>
          <w:tcPr>
            <w:tcW w:w="1491" w:type="pct"/>
          </w:tcPr>
          <w:p w14:paraId="392369D6" w14:textId="77777777" w:rsidR="007B2E9F" w:rsidRPr="00731632" w:rsidRDefault="007B2E9F" w:rsidP="00B67E00">
            <w:pPr>
              <w:pStyle w:val="TableText0"/>
            </w:pPr>
            <w:r w:rsidRPr="00731632">
              <w:t>Uptake rate  (70%)</w:t>
            </w:r>
          </w:p>
        </w:tc>
        <w:tc>
          <w:tcPr>
            <w:tcW w:w="584" w:type="pct"/>
          </w:tcPr>
          <w:p w14:paraId="1EA00066" w14:textId="3E0CA01C" w:rsidR="007B2E9F" w:rsidRPr="009A482D" w:rsidRDefault="009F6D97" w:rsidP="00B67E00">
            <w:pPr>
              <w:pStyle w:val="TableText0"/>
              <w:rPr>
                <w:highlight w:val="lightGray"/>
              </w:rPr>
            </w:pPr>
            <w:r w:rsidRPr="009F6D97">
              <w:rPr>
                <w:color w:val="000000"/>
                <w:spacing w:val="53"/>
                <w:shd w:val="solid" w:color="000000" w:fill="000000"/>
                <w:fitText w:val="330" w:id="-893210871"/>
                <w14:textFill>
                  <w14:solidFill>
                    <w14:srgbClr w14:val="000000">
                      <w14:alpha w14:val="100000"/>
                    </w14:srgbClr>
                  </w14:solidFill>
                </w14:textFill>
              </w:rPr>
              <w:t>|||</w:t>
            </w:r>
            <w:r w:rsidRPr="009F6D97">
              <w:rPr>
                <w:color w:val="000000"/>
                <w:spacing w:val="1"/>
                <w:shd w:val="solid" w:color="000000" w:fill="000000"/>
                <w:fitText w:val="330" w:id="-893210871"/>
                <w14:textFill>
                  <w14:solidFill>
                    <w14:srgbClr w14:val="000000">
                      <w14:alpha w14:val="100000"/>
                    </w14:srgbClr>
                  </w14:solidFill>
                </w14:textFill>
              </w:rPr>
              <w:t>|</w:t>
            </w:r>
            <w:r w:rsidR="00091F5B" w:rsidRPr="009A482D">
              <w:rPr>
                <w:vertAlign w:val="superscript"/>
              </w:rPr>
              <w:t>4</w:t>
            </w:r>
          </w:p>
        </w:tc>
        <w:tc>
          <w:tcPr>
            <w:tcW w:w="585" w:type="pct"/>
          </w:tcPr>
          <w:p w14:paraId="7B3C11BB" w14:textId="32D707D0" w:rsidR="007B2E9F" w:rsidRPr="009A482D" w:rsidRDefault="009F6D97" w:rsidP="00B67E00">
            <w:pPr>
              <w:pStyle w:val="TableText0"/>
              <w:rPr>
                <w:highlight w:val="lightGray"/>
              </w:rPr>
            </w:pPr>
            <w:r w:rsidRPr="009F6D97">
              <w:rPr>
                <w:color w:val="000000"/>
                <w:spacing w:val="53"/>
                <w:shd w:val="solid" w:color="000000" w:fill="000000"/>
                <w:fitText w:val="330" w:id="-893210870"/>
                <w14:textFill>
                  <w14:solidFill>
                    <w14:srgbClr w14:val="000000">
                      <w14:alpha w14:val="100000"/>
                    </w14:srgbClr>
                  </w14:solidFill>
                </w14:textFill>
              </w:rPr>
              <w:t>|||</w:t>
            </w:r>
            <w:r w:rsidRPr="009F6D97">
              <w:rPr>
                <w:color w:val="000000"/>
                <w:spacing w:val="1"/>
                <w:shd w:val="solid" w:color="000000" w:fill="000000"/>
                <w:fitText w:val="330" w:id="-893210870"/>
                <w14:textFill>
                  <w14:solidFill>
                    <w14:srgbClr w14:val="000000">
                      <w14:alpha w14:val="100000"/>
                    </w14:srgbClr>
                  </w14:solidFill>
                </w14:textFill>
              </w:rPr>
              <w:t>|</w:t>
            </w:r>
            <w:r w:rsidR="00091F5B" w:rsidRPr="005C269B">
              <w:rPr>
                <w:vertAlign w:val="superscript"/>
              </w:rPr>
              <w:t>4</w:t>
            </w:r>
          </w:p>
        </w:tc>
        <w:tc>
          <w:tcPr>
            <w:tcW w:w="585" w:type="pct"/>
          </w:tcPr>
          <w:p w14:paraId="4A813A7B" w14:textId="4EC54A7F" w:rsidR="007B2E9F" w:rsidRPr="009A482D" w:rsidRDefault="009F6D97" w:rsidP="00B67E00">
            <w:pPr>
              <w:pStyle w:val="TableText0"/>
              <w:rPr>
                <w:highlight w:val="lightGray"/>
              </w:rPr>
            </w:pPr>
            <w:r w:rsidRPr="009F6D97">
              <w:rPr>
                <w:color w:val="000000"/>
                <w:spacing w:val="53"/>
                <w:shd w:val="solid" w:color="000000" w:fill="000000"/>
                <w:fitText w:val="330" w:id="-893210869"/>
                <w14:textFill>
                  <w14:solidFill>
                    <w14:srgbClr w14:val="000000">
                      <w14:alpha w14:val="100000"/>
                    </w14:srgbClr>
                  </w14:solidFill>
                </w14:textFill>
              </w:rPr>
              <w:t>|||</w:t>
            </w:r>
            <w:r w:rsidRPr="009F6D97">
              <w:rPr>
                <w:color w:val="000000"/>
                <w:spacing w:val="1"/>
                <w:shd w:val="solid" w:color="000000" w:fill="000000"/>
                <w:fitText w:val="330" w:id="-893210869"/>
                <w14:textFill>
                  <w14:solidFill>
                    <w14:srgbClr w14:val="000000">
                      <w14:alpha w14:val="100000"/>
                    </w14:srgbClr>
                  </w14:solidFill>
                </w14:textFill>
              </w:rPr>
              <w:t>|</w:t>
            </w:r>
            <w:r w:rsidR="00091F5B" w:rsidRPr="005C269B">
              <w:rPr>
                <w:vertAlign w:val="superscript"/>
              </w:rPr>
              <w:t>4</w:t>
            </w:r>
          </w:p>
        </w:tc>
        <w:tc>
          <w:tcPr>
            <w:tcW w:w="584" w:type="pct"/>
          </w:tcPr>
          <w:p w14:paraId="5AAD4AC9" w14:textId="6782F1B8" w:rsidR="007B2E9F" w:rsidRPr="009A482D" w:rsidRDefault="009F6D97" w:rsidP="00B67E00">
            <w:pPr>
              <w:pStyle w:val="TableText0"/>
              <w:rPr>
                <w:highlight w:val="lightGray"/>
              </w:rPr>
            </w:pPr>
            <w:r w:rsidRPr="009F6D97">
              <w:rPr>
                <w:color w:val="000000"/>
                <w:spacing w:val="53"/>
                <w:shd w:val="solid" w:color="000000" w:fill="000000"/>
                <w:fitText w:val="330" w:id="-893210868"/>
                <w14:textFill>
                  <w14:solidFill>
                    <w14:srgbClr w14:val="000000">
                      <w14:alpha w14:val="100000"/>
                    </w14:srgbClr>
                  </w14:solidFill>
                </w14:textFill>
              </w:rPr>
              <w:t>|||</w:t>
            </w:r>
            <w:r w:rsidRPr="009F6D97">
              <w:rPr>
                <w:color w:val="000000"/>
                <w:spacing w:val="1"/>
                <w:shd w:val="solid" w:color="000000" w:fill="000000"/>
                <w:fitText w:val="330" w:id="-893210868"/>
                <w14:textFill>
                  <w14:solidFill>
                    <w14:srgbClr w14:val="000000">
                      <w14:alpha w14:val="100000"/>
                    </w14:srgbClr>
                  </w14:solidFill>
                </w14:textFill>
              </w:rPr>
              <w:t>|</w:t>
            </w:r>
            <w:r w:rsidR="00091F5B" w:rsidRPr="005C269B">
              <w:rPr>
                <w:vertAlign w:val="superscript"/>
              </w:rPr>
              <w:t>4</w:t>
            </w:r>
          </w:p>
        </w:tc>
        <w:tc>
          <w:tcPr>
            <w:tcW w:w="585" w:type="pct"/>
          </w:tcPr>
          <w:p w14:paraId="451AF383" w14:textId="586573A9" w:rsidR="007B2E9F" w:rsidRPr="009A482D" w:rsidRDefault="009F6D97" w:rsidP="00B67E00">
            <w:pPr>
              <w:pStyle w:val="TableText0"/>
              <w:rPr>
                <w:highlight w:val="lightGray"/>
              </w:rPr>
            </w:pPr>
            <w:r w:rsidRPr="009F6D97">
              <w:rPr>
                <w:color w:val="000000"/>
                <w:spacing w:val="53"/>
                <w:shd w:val="solid" w:color="000000" w:fill="000000"/>
                <w:fitText w:val="330" w:id="-893210867"/>
                <w14:textFill>
                  <w14:solidFill>
                    <w14:srgbClr w14:val="000000">
                      <w14:alpha w14:val="100000"/>
                    </w14:srgbClr>
                  </w14:solidFill>
                </w14:textFill>
              </w:rPr>
              <w:t>|||</w:t>
            </w:r>
            <w:r w:rsidRPr="009F6D97">
              <w:rPr>
                <w:color w:val="000000"/>
                <w:spacing w:val="1"/>
                <w:shd w:val="solid" w:color="000000" w:fill="000000"/>
                <w:fitText w:val="330" w:id="-893210867"/>
                <w14:textFill>
                  <w14:solidFill>
                    <w14:srgbClr w14:val="000000">
                      <w14:alpha w14:val="100000"/>
                    </w14:srgbClr>
                  </w14:solidFill>
                </w14:textFill>
              </w:rPr>
              <w:t>|</w:t>
            </w:r>
            <w:r w:rsidR="00091F5B" w:rsidRPr="005C269B">
              <w:rPr>
                <w:vertAlign w:val="superscript"/>
              </w:rPr>
              <w:t>4</w:t>
            </w:r>
          </w:p>
        </w:tc>
        <w:tc>
          <w:tcPr>
            <w:tcW w:w="586" w:type="pct"/>
          </w:tcPr>
          <w:p w14:paraId="35FCB10C" w14:textId="0F21CBA0" w:rsidR="007B2E9F" w:rsidRPr="009A482D" w:rsidRDefault="009F6D97" w:rsidP="00B67E00">
            <w:pPr>
              <w:pStyle w:val="TableText0"/>
              <w:rPr>
                <w:highlight w:val="lightGray"/>
              </w:rPr>
            </w:pPr>
            <w:r w:rsidRPr="009F6D97">
              <w:rPr>
                <w:color w:val="000000"/>
                <w:spacing w:val="53"/>
                <w:shd w:val="solid" w:color="000000" w:fill="000000"/>
                <w:fitText w:val="330" w:id="-893210866"/>
                <w14:textFill>
                  <w14:solidFill>
                    <w14:srgbClr w14:val="000000">
                      <w14:alpha w14:val="100000"/>
                    </w14:srgbClr>
                  </w14:solidFill>
                </w14:textFill>
              </w:rPr>
              <w:t>|||</w:t>
            </w:r>
            <w:r w:rsidRPr="009F6D97">
              <w:rPr>
                <w:color w:val="000000"/>
                <w:spacing w:val="1"/>
                <w:shd w:val="solid" w:color="000000" w:fill="000000"/>
                <w:fitText w:val="330" w:id="-893210866"/>
                <w14:textFill>
                  <w14:solidFill>
                    <w14:srgbClr w14:val="000000">
                      <w14:alpha w14:val="100000"/>
                    </w14:srgbClr>
                  </w14:solidFill>
                </w14:textFill>
              </w:rPr>
              <w:t>|</w:t>
            </w:r>
            <w:r w:rsidR="00091F5B" w:rsidRPr="005C269B">
              <w:rPr>
                <w:vertAlign w:val="superscript"/>
              </w:rPr>
              <w:t>4</w:t>
            </w:r>
          </w:p>
        </w:tc>
      </w:tr>
      <w:tr w:rsidR="007B2E9F" w:rsidRPr="00731632" w14:paraId="478448B5" w14:textId="77777777" w:rsidTr="00866F91">
        <w:tc>
          <w:tcPr>
            <w:tcW w:w="5000" w:type="pct"/>
            <w:gridSpan w:val="7"/>
          </w:tcPr>
          <w:p w14:paraId="1B16749C" w14:textId="77777777" w:rsidR="007B2E9F" w:rsidRPr="00731632" w:rsidRDefault="007B2E9F" w:rsidP="00B67E00">
            <w:pPr>
              <w:pStyle w:val="TableText0"/>
            </w:pPr>
            <w:r w:rsidRPr="00731632">
              <w:rPr>
                <w:b/>
                <w:bCs w:val="0"/>
              </w:rPr>
              <w:t>Population 3:  infants aged 1-2 years who remain vulnerable to RSV</w:t>
            </w:r>
          </w:p>
        </w:tc>
      </w:tr>
      <w:tr w:rsidR="007B2E9F" w:rsidRPr="00731632" w14:paraId="28E7AD37" w14:textId="77777777" w:rsidTr="00866F91">
        <w:tc>
          <w:tcPr>
            <w:tcW w:w="1491" w:type="pct"/>
          </w:tcPr>
          <w:p w14:paraId="38E61EE5" w14:textId="77777777" w:rsidR="007B2E9F" w:rsidRPr="00731632" w:rsidRDefault="007B2E9F" w:rsidP="00B67E00">
            <w:pPr>
              <w:pStyle w:val="TableText0"/>
            </w:pPr>
            <w:r w:rsidRPr="00731632">
              <w:t xml:space="preserve">Number of infants aged 1-2 years </w:t>
            </w:r>
          </w:p>
        </w:tc>
        <w:tc>
          <w:tcPr>
            <w:tcW w:w="584" w:type="pct"/>
          </w:tcPr>
          <w:p w14:paraId="6F3C1A8B" w14:textId="7C26BC99" w:rsidR="007B2E9F" w:rsidRPr="009A482D" w:rsidRDefault="009F6D97" w:rsidP="00B67E00">
            <w:pPr>
              <w:pStyle w:val="TableText0"/>
              <w:rPr>
                <w:highlight w:val="lightGray"/>
              </w:rPr>
            </w:pPr>
            <w:r w:rsidRPr="009F6D97">
              <w:rPr>
                <w:color w:val="000000"/>
                <w:spacing w:val="53"/>
                <w:shd w:val="solid" w:color="000000" w:fill="000000"/>
                <w:fitText w:val="330" w:id="-893210865"/>
                <w14:textFill>
                  <w14:solidFill>
                    <w14:srgbClr w14:val="000000">
                      <w14:alpha w14:val="100000"/>
                    </w14:srgbClr>
                  </w14:solidFill>
                </w14:textFill>
              </w:rPr>
              <w:t>|||</w:t>
            </w:r>
            <w:r w:rsidRPr="009F6D97">
              <w:rPr>
                <w:color w:val="000000"/>
                <w:spacing w:val="1"/>
                <w:shd w:val="solid" w:color="000000" w:fill="000000"/>
                <w:fitText w:val="330" w:id="-893210865"/>
                <w14:textFill>
                  <w14:solidFill>
                    <w14:srgbClr w14:val="000000">
                      <w14:alpha w14:val="100000"/>
                    </w14:srgbClr>
                  </w14:solidFill>
                </w14:textFill>
              </w:rPr>
              <w:t>|</w:t>
            </w:r>
            <w:r w:rsidR="006346E8" w:rsidRPr="009A482D">
              <w:rPr>
                <w:vertAlign w:val="superscript"/>
              </w:rPr>
              <w:t>5</w:t>
            </w:r>
          </w:p>
        </w:tc>
        <w:tc>
          <w:tcPr>
            <w:tcW w:w="585" w:type="pct"/>
          </w:tcPr>
          <w:p w14:paraId="6FD34127" w14:textId="72375AEE" w:rsidR="007B2E9F" w:rsidRPr="009A482D" w:rsidRDefault="009F6D97" w:rsidP="00B67E00">
            <w:pPr>
              <w:pStyle w:val="TableText0"/>
              <w:rPr>
                <w:highlight w:val="lightGray"/>
              </w:rPr>
            </w:pPr>
            <w:r w:rsidRPr="009F6D97">
              <w:rPr>
                <w:color w:val="000000"/>
                <w:spacing w:val="53"/>
                <w:shd w:val="solid" w:color="000000" w:fill="000000"/>
                <w:fitText w:val="330" w:id="-893210864"/>
                <w14:textFill>
                  <w14:solidFill>
                    <w14:srgbClr w14:val="000000">
                      <w14:alpha w14:val="100000"/>
                    </w14:srgbClr>
                  </w14:solidFill>
                </w14:textFill>
              </w:rPr>
              <w:t>|||</w:t>
            </w:r>
            <w:r w:rsidRPr="009F6D97">
              <w:rPr>
                <w:color w:val="000000"/>
                <w:spacing w:val="1"/>
                <w:shd w:val="solid" w:color="000000" w:fill="000000"/>
                <w:fitText w:val="330" w:id="-893210864"/>
                <w14:textFill>
                  <w14:solidFill>
                    <w14:srgbClr w14:val="000000">
                      <w14:alpha w14:val="100000"/>
                    </w14:srgbClr>
                  </w14:solidFill>
                </w14:textFill>
              </w:rPr>
              <w:t>|</w:t>
            </w:r>
            <w:r w:rsidR="006346E8" w:rsidRPr="005C269B">
              <w:rPr>
                <w:vertAlign w:val="superscript"/>
              </w:rPr>
              <w:t>5</w:t>
            </w:r>
          </w:p>
        </w:tc>
        <w:tc>
          <w:tcPr>
            <w:tcW w:w="585" w:type="pct"/>
          </w:tcPr>
          <w:p w14:paraId="16775C59" w14:textId="6EFFFF1C" w:rsidR="007B2E9F" w:rsidRPr="009A482D" w:rsidRDefault="009F6D97" w:rsidP="00B67E00">
            <w:pPr>
              <w:pStyle w:val="TableText0"/>
              <w:rPr>
                <w:highlight w:val="lightGray"/>
              </w:rPr>
            </w:pPr>
            <w:r w:rsidRPr="009F6D97">
              <w:rPr>
                <w:color w:val="000000"/>
                <w:spacing w:val="53"/>
                <w:shd w:val="solid" w:color="000000" w:fill="000000"/>
                <w:fitText w:val="330" w:id="-893210880"/>
                <w14:textFill>
                  <w14:solidFill>
                    <w14:srgbClr w14:val="000000">
                      <w14:alpha w14:val="100000"/>
                    </w14:srgbClr>
                  </w14:solidFill>
                </w14:textFill>
              </w:rPr>
              <w:t>|||</w:t>
            </w:r>
            <w:r w:rsidRPr="009F6D97">
              <w:rPr>
                <w:color w:val="000000"/>
                <w:spacing w:val="1"/>
                <w:shd w:val="solid" w:color="000000" w:fill="000000"/>
                <w:fitText w:val="330" w:id="-893210880"/>
                <w14:textFill>
                  <w14:solidFill>
                    <w14:srgbClr w14:val="000000">
                      <w14:alpha w14:val="100000"/>
                    </w14:srgbClr>
                  </w14:solidFill>
                </w14:textFill>
              </w:rPr>
              <w:t>|</w:t>
            </w:r>
            <w:r w:rsidR="006346E8" w:rsidRPr="005C269B">
              <w:rPr>
                <w:vertAlign w:val="superscript"/>
              </w:rPr>
              <w:t>5</w:t>
            </w:r>
          </w:p>
        </w:tc>
        <w:tc>
          <w:tcPr>
            <w:tcW w:w="584" w:type="pct"/>
          </w:tcPr>
          <w:p w14:paraId="7C1E7A73" w14:textId="12606A01" w:rsidR="007B2E9F" w:rsidRPr="009A482D" w:rsidRDefault="009F6D97" w:rsidP="00B67E00">
            <w:pPr>
              <w:pStyle w:val="TableText0"/>
              <w:rPr>
                <w:highlight w:val="lightGray"/>
              </w:rPr>
            </w:pPr>
            <w:r w:rsidRPr="009F6D97">
              <w:rPr>
                <w:color w:val="000000"/>
                <w:spacing w:val="53"/>
                <w:shd w:val="solid" w:color="000000" w:fill="000000"/>
                <w:fitText w:val="330" w:id="-893210879"/>
                <w14:textFill>
                  <w14:solidFill>
                    <w14:srgbClr w14:val="000000">
                      <w14:alpha w14:val="100000"/>
                    </w14:srgbClr>
                  </w14:solidFill>
                </w14:textFill>
              </w:rPr>
              <w:t>|||</w:t>
            </w:r>
            <w:r w:rsidRPr="009F6D97">
              <w:rPr>
                <w:color w:val="000000"/>
                <w:spacing w:val="1"/>
                <w:shd w:val="solid" w:color="000000" w:fill="000000"/>
                <w:fitText w:val="330" w:id="-893210879"/>
                <w14:textFill>
                  <w14:solidFill>
                    <w14:srgbClr w14:val="000000">
                      <w14:alpha w14:val="100000"/>
                    </w14:srgbClr>
                  </w14:solidFill>
                </w14:textFill>
              </w:rPr>
              <w:t>|</w:t>
            </w:r>
            <w:r w:rsidR="006346E8" w:rsidRPr="005C269B">
              <w:rPr>
                <w:vertAlign w:val="superscript"/>
              </w:rPr>
              <w:t>5</w:t>
            </w:r>
          </w:p>
        </w:tc>
        <w:tc>
          <w:tcPr>
            <w:tcW w:w="585" w:type="pct"/>
          </w:tcPr>
          <w:p w14:paraId="384C8FDB" w14:textId="5480EAAC" w:rsidR="007B2E9F" w:rsidRPr="009A482D" w:rsidRDefault="009F6D97" w:rsidP="00B67E00">
            <w:pPr>
              <w:pStyle w:val="TableText0"/>
              <w:rPr>
                <w:highlight w:val="lightGray"/>
              </w:rPr>
            </w:pPr>
            <w:r w:rsidRPr="009F6D97">
              <w:rPr>
                <w:color w:val="000000"/>
                <w:spacing w:val="53"/>
                <w:shd w:val="solid" w:color="000000" w:fill="000000"/>
                <w:fitText w:val="330" w:id="-893210878"/>
                <w14:textFill>
                  <w14:solidFill>
                    <w14:srgbClr w14:val="000000">
                      <w14:alpha w14:val="100000"/>
                    </w14:srgbClr>
                  </w14:solidFill>
                </w14:textFill>
              </w:rPr>
              <w:t>|||</w:t>
            </w:r>
            <w:r w:rsidRPr="009F6D97">
              <w:rPr>
                <w:color w:val="000000"/>
                <w:spacing w:val="1"/>
                <w:shd w:val="solid" w:color="000000" w:fill="000000"/>
                <w:fitText w:val="330" w:id="-893210878"/>
                <w14:textFill>
                  <w14:solidFill>
                    <w14:srgbClr w14:val="000000">
                      <w14:alpha w14:val="100000"/>
                    </w14:srgbClr>
                  </w14:solidFill>
                </w14:textFill>
              </w:rPr>
              <w:t>|</w:t>
            </w:r>
            <w:r w:rsidR="006346E8" w:rsidRPr="005C269B">
              <w:rPr>
                <w:vertAlign w:val="superscript"/>
              </w:rPr>
              <w:t>5</w:t>
            </w:r>
          </w:p>
        </w:tc>
        <w:tc>
          <w:tcPr>
            <w:tcW w:w="586" w:type="pct"/>
          </w:tcPr>
          <w:p w14:paraId="6C37849F" w14:textId="577AE3B1" w:rsidR="007B2E9F" w:rsidRPr="009A482D" w:rsidRDefault="009F6D97" w:rsidP="00B67E00">
            <w:pPr>
              <w:pStyle w:val="TableText0"/>
              <w:rPr>
                <w:highlight w:val="lightGray"/>
              </w:rPr>
            </w:pPr>
            <w:r w:rsidRPr="009F6D97">
              <w:rPr>
                <w:color w:val="000000"/>
                <w:spacing w:val="53"/>
                <w:shd w:val="solid" w:color="000000" w:fill="000000"/>
                <w:fitText w:val="330" w:id="-893210877"/>
                <w14:textFill>
                  <w14:solidFill>
                    <w14:srgbClr w14:val="000000">
                      <w14:alpha w14:val="100000"/>
                    </w14:srgbClr>
                  </w14:solidFill>
                </w14:textFill>
              </w:rPr>
              <w:t>|||</w:t>
            </w:r>
            <w:r w:rsidRPr="009F6D97">
              <w:rPr>
                <w:color w:val="000000"/>
                <w:spacing w:val="1"/>
                <w:shd w:val="solid" w:color="000000" w:fill="000000"/>
                <w:fitText w:val="330" w:id="-893210877"/>
                <w14:textFill>
                  <w14:solidFill>
                    <w14:srgbClr w14:val="000000">
                      <w14:alpha w14:val="100000"/>
                    </w14:srgbClr>
                  </w14:solidFill>
                </w14:textFill>
              </w:rPr>
              <w:t>|</w:t>
            </w:r>
            <w:r w:rsidR="006346E8" w:rsidRPr="005C269B">
              <w:rPr>
                <w:vertAlign w:val="superscript"/>
              </w:rPr>
              <w:t>5</w:t>
            </w:r>
          </w:p>
        </w:tc>
      </w:tr>
      <w:tr w:rsidR="007B2E9F" w:rsidRPr="00731632" w14:paraId="42F9D2C9" w14:textId="77777777" w:rsidTr="00866F91">
        <w:tc>
          <w:tcPr>
            <w:tcW w:w="1491" w:type="pct"/>
          </w:tcPr>
          <w:p w14:paraId="5AECEEB8" w14:textId="77777777" w:rsidR="007B2E9F" w:rsidRPr="00731632" w:rsidRDefault="007B2E9F" w:rsidP="00B67E00">
            <w:pPr>
              <w:pStyle w:val="TableText0"/>
            </w:pPr>
            <w:r w:rsidRPr="00731632">
              <w:t>Eligibility (4.34%)</w:t>
            </w:r>
          </w:p>
        </w:tc>
        <w:tc>
          <w:tcPr>
            <w:tcW w:w="584" w:type="pct"/>
          </w:tcPr>
          <w:p w14:paraId="4E8EFD95" w14:textId="408A61E6" w:rsidR="007B2E9F" w:rsidRPr="009A482D" w:rsidRDefault="009F6D97" w:rsidP="00B67E00">
            <w:pPr>
              <w:pStyle w:val="TableText0"/>
              <w:rPr>
                <w:highlight w:val="lightGray"/>
              </w:rPr>
            </w:pPr>
            <w:r w:rsidRPr="009F6D97">
              <w:rPr>
                <w:color w:val="000000"/>
                <w:spacing w:val="53"/>
                <w:shd w:val="solid" w:color="000000" w:fill="000000"/>
                <w:fitText w:val="330" w:id="-893210876"/>
                <w14:textFill>
                  <w14:solidFill>
                    <w14:srgbClr w14:val="000000">
                      <w14:alpha w14:val="100000"/>
                    </w14:srgbClr>
                  </w14:solidFill>
                </w14:textFill>
              </w:rPr>
              <w:t>|||</w:t>
            </w:r>
            <w:r w:rsidRPr="009F6D97">
              <w:rPr>
                <w:color w:val="000000"/>
                <w:spacing w:val="1"/>
                <w:shd w:val="solid" w:color="000000" w:fill="000000"/>
                <w:fitText w:val="330" w:id="-893210876"/>
                <w14:textFill>
                  <w14:solidFill>
                    <w14:srgbClr w14:val="000000">
                      <w14:alpha w14:val="100000"/>
                    </w14:srgbClr>
                  </w14:solidFill>
                </w14:textFill>
              </w:rPr>
              <w:t>|</w:t>
            </w:r>
            <w:r w:rsidR="006346E8" w:rsidRPr="009A482D">
              <w:rPr>
                <w:vertAlign w:val="superscript"/>
              </w:rPr>
              <w:t>6</w:t>
            </w:r>
          </w:p>
        </w:tc>
        <w:tc>
          <w:tcPr>
            <w:tcW w:w="585" w:type="pct"/>
          </w:tcPr>
          <w:p w14:paraId="5EA316D1" w14:textId="7D07123A" w:rsidR="007B2E9F" w:rsidRPr="009A482D" w:rsidRDefault="009F6D97" w:rsidP="00B67E00">
            <w:pPr>
              <w:pStyle w:val="TableText0"/>
              <w:rPr>
                <w:highlight w:val="lightGray"/>
              </w:rPr>
            </w:pPr>
            <w:r w:rsidRPr="009F6D97">
              <w:rPr>
                <w:color w:val="000000"/>
                <w:spacing w:val="53"/>
                <w:shd w:val="solid" w:color="000000" w:fill="000000"/>
                <w:fitText w:val="330" w:id="-893210875"/>
                <w14:textFill>
                  <w14:solidFill>
                    <w14:srgbClr w14:val="000000">
                      <w14:alpha w14:val="100000"/>
                    </w14:srgbClr>
                  </w14:solidFill>
                </w14:textFill>
              </w:rPr>
              <w:t>|||</w:t>
            </w:r>
            <w:r w:rsidRPr="009F6D97">
              <w:rPr>
                <w:color w:val="000000"/>
                <w:spacing w:val="1"/>
                <w:shd w:val="solid" w:color="000000" w:fill="000000"/>
                <w:fitText w:val="330" w:id="-893210875"/>
                <w14:textFill>
                  <w14:solidFill>
                    <w14:srgbClr w14:val="000000">
                      <w14:alpha w14:val="100000"/>
                    </w14:srgbClr>
                  </w14:solidFill>
                </w14:textFill>
              </w:rPr>
              <w:t>|</w:t>
            </w:r>
            <w:r w:rsidR="006346E8" w:rsidRPr="005C269B">
              <w:rPr>
                <w:vertAlign w:val="superscript"/>
              </w:rPr>
              <w:t>6</w:t>
            </w:r>
          </w:p>
        </w:tc>
        <w:tc>
          <w:tcPr>
            <w:tcW w:w="585" w:type="pct"/>
          </w:tcPr>
          <w:p w14:paraId="31AF3A07" w14:textId="6BD6F641" w:rsidR="007B2E9F" w:rsidRPr="009A482D" w:rsidRDefault="009F6D97" w:rsidP="00B67E00">
            <w:pPr>
              <w:pStyle w:val="TableText0"/>
              <w:rPr>
                <w:highlight w:val="lightGray"/>
              </w:rPr>
            </w:pPr>
            <w:r w:rsidRPr="009F6D97">
              <w:rPr>
                <w:color w:val="000000"/>
                <w:spacing w:val="53"/>
                <w:shd w:val="solid" w:color="000000" w:fill="000000"/>
                <w:fitText w:val="330" w:id="-893210874"/>
                <w14:textFill>
                  <w14:solidFill>
                    <w14:srgbClr w14:val="000000">
                      <w14:alpha w14:val="100000"/>
                    </w14:srgbClr>
                  </w14:solidFill>
                </w14:textFill>
              </w:rPr>
              <w:t>|||</w:t>
            </w:r>
            <w:r w:rsidRPr="009F6D97">
              <w:rPr>
                <w:color w:val="000000"/>
                <w:spacing w:val="1"/>
                <w:shd w:val="solid" w:color="000000" w:fill="000000"/>
                <w:fitText w:val="330" w:id="-893210874"/>
                <w14:textFill>
                  <w14:solidFill>
                    <w14:srgbClr w14:val="000000">
                      <w14:alpha w14:val="100000"/>
                    </w14:srgbClr>
                  </w14:solidFill>
                </w14:textFill>
              </w:rPr>
              <w:t>|</w:t>
            </w:r>
            <w:r w:rsidR="006346E8" w:rsidRPr="005C269B">
              <w:rPr>
                <w:vertAlign w:val="superscript"/>
              </w:rPr>
              <w:t>6</w:t>
            </w:r>
          </w:p>
        </w:tc>
        <w:tc>
          <w:tcPr>
            <w:tcW w:w="584" w:type="pct"/>
          </w:tcPr>
          <w:p w14:paraId="2A51D9D0" w14:textId="0BF6776E" w:rsidR="007B2E9F" w:rsidRPr="009A482D" w:rsidRDefault="009F6D97" w:rsidP="00B67E00">
            <w:pPr>
              <w:pStyle w:val="TableText0"/>
              <w:rPr>
                <w:highlight w:val="lightGray"/>
              </w:rPr>
            </w:pPr>
            <w:r w:rsidRPr="009F6D97">
              <w:rPr>
                <w:color w:val="000000"/>
                <w:spacing w:val="53"/>
                <w:shd w:val="solid" w:color="000000" w:fill="000000"/>
                <w:fitText w:val="330" w:id="-893210873"/>
                <w14:textFill>
                  <w14:solidFill>
                    <w14:srgbClr w14:val="000000">
                      <w14:alpha w14:val="100000"/>
                    </w14:srgbClr>
                  </w14:solidFill>
                </w14:textFill>
              </w:rPr>
              <w:t>|||</w:t>
            </w:r>
            <w:r w:rsidRPr="009F6D97">
              <w:rPr>
                <w:color w:val="000000"/>
                <w:spacing w:val="1"/>
                <w:shd w:val="solid" w:color="000000" w:fill="000000"/>
                <w:fitText w:val="330" w:id="-893210873"/>
                <w14:textFill>
                  <w14:solidFill>
                    <w14:srgbClr w14:val="000000">
                      <w14:alpha w14:val="100000"/>
                    </w14:srgbClr>
                  </w14:solidFill>
                </w14:textFill>
              </w:rPr>
              <w:t>|</w:t>
            </w:r>
            <w:r w:rsidR="006346E8" w:rsidRPr="005C269B">
              <w:rPr>
                <w:vertAlign w:val="superscript"/>
              </w:rPr>
              <w:t>6</w:t>
            </w:r>
          </w:p>
        </w:tc>
        <w:tc>
          <w:tcPr>
            <w:tcW w:w="585" w:type="pct"/>
          </w:tcPr>
          <w:p w14:paraId="211DCE0A" w14:textId="77C8E2D4" w:rsidR="007B2E9F" w:rsidRPr="009A482D" w:rsidRDefault="009F6D97" w:rsidP="00B67E00">
            <w:pPr>
              <w:pStyle w:val="TableText0"/>
              <w:rPr>
                <w:highlight w:val="lightGray"/>
              </w:rPr>
            </w:pPr>
            <w:r w:rsidRPr="009F6D97">
              <w:rPr>
                <w:color w:val="000000"/>
                <w:spacing w:val="53"/>
                <w:shd w:val="solid" w:color="000000" w:fill="000000"/>
                <w:fitText w:val="330" w:id="-893210872"/>
                <w14:textFill>
                  <w14:solidFill>
                    <w14:srgbClr w14:val="000000">
                      <w14:alpha w14:val="100000"/>
                    </w14:srgbClr>
                  </w14:solidFill>
                </w14:textFill>
              </w:rPr>
              <w:t>|||</w:t>
            </w:r>
            <w:r w:rsidRPr="009F6D97">
              <w:rPr>
                <w:color w:val="000000"/>
                <w:spacing w:val="1"/>
                <w:shd w:val="solid" w:color="000000" w:fill="000000"/>
                <w:fitText w:val="330" w:id="-893210872"/>
                <w14:textFill>
                  <w14:solidFill>
                    <w14:srgbClr w14:val="000000">
                      <w14:alpha w14:val="100000"/>
                    </w14:srgbClr>
                  </w14:solidFill>
                </w14:textFill>
              </w:rPr>
              <w:t>|</w:t>
            </w:r>
            <w:r w:rsidR="006346E8" w:rsidRPr="005C269B">
              <w:rPr>
                <w:vertAlign w:val="superscript"/>
              </w:rPr>
              <w:t>6</w:t>
            </w:r>
          </w:p>
        </w:tc>
        <w:tc>
          <w:tcPr>
            <w:tcW w:w="586" w:type="pct"/>
          </w:tcPr>
          <w:p w14:paraId="0F76286F" w14:textId="2B602F92" w:rsidR="007B2E9F" w:rsidRPr="009A482D" w:rsidRDefault="009F6D97" w:rsidP="00B67E00">
            <w:pPr>
              <w:pStyle w:val="TableText0"/>
              <w:rPr>
                <w:highlight w:val="lightGray"/>
              </w:rPr>
            </w:pPr>
            <w:r w:rsidRPr="009F6D97">
              <w:rPr>
                <w:color w:val="000000"/>
                <w:spacing w:val="53"/>
                <w:shd w:val="solid" w:color="000000" w:fill="000000"/>
                <w:fitText w:val="330" w:id="-893210871"/>
                <w14:textFill>
                  <w14:solidFill>
                    <w14:srgbClr w14:val="000000">
                      <w14:alpha w14:val="100000"/>
                    </w14:srgbClr>
                  </w14:solidFill>
                </w14:textFill>
              </w:rPr>
              <w:t>|||</w:t>
            </w:r>
            <w:r w:rsidRPr="009F6D97">
              <w:rPr>
                <w:color w:val="000000"/>
                <w:spacing w:val="1"/>
                <w:shd w:val="solid" w:color="000000" w:fill="000000"/>
                <w:fitText w:val="330" w:id="-893210871"/>
                <w14:textFill>
                  <w14:solidFill>
                    <w14:srgbClr w14:val="000000">
                      <w14:alpha w14:val="100000"/>
                    </w14:srgbClr>
                  </w14:solidFill>
                </w14:textFill>
              </w:rPr>
              <w:t>|</w:t>
            </w:r>
            <w:r w:rsidR="006346E8" w:rsidRPr="005C269B">
              <w:rPr>
                <w:vertAlign w:val="superscript"/>
              </w:rPr>
              <w:t>6</w:t>
            </w:r>
          </w:p>
        </w:tc>
      </w:tr>
      <w:tr w:rsidR="007B2E9F" w:rsidRPr="00731632" w14:paraId="52414612" w14:textId="77777777" w:rsidTr="00866F91">
        <w:tc>
          <w:tcPr>
            <w:tcW w:w="1491" w:type="pct"/>
            <w:tcBorders>
              <w:bottom w:val="single" w:sz="4" w:space="0" w:color="auto"/>
            </w:tcBorders>
          </w:tcPr>
          <w:p w14:paraId="05184629" w14:textId="77777777" w:rsidR="007B2E9F" w:rsidRPr="00731632" w:rsidRDefault="007B2E9F" w:rsidP="00B67E00">
            <w:pPr>
              <w:pStyle w:val="TableText0"/>
            </w:pPr>
            <w:r w:rsidRPr="00731632">
              <w:t xml:space="preserve">Uptake rate  (90%) </w:t>
            </w:r>
          </w:p>
        </w:tc>
        <w:tc>
          <w:tcPr>
            <w:tcW w:w="584" w:type="pct"/>
            <w:tcBorders>
              <w:bottom w:val="single" w:sz="4" w:space="0" w:color="auto"/>
            </w:tcBorders>
          </w:tcPr>
          <w:p w14:paraId="0F483DE8" w14:textId="520F841E" w:rsidR="007B2E9F" w:rsidRPr="009A482D" w:rsidRDefault="009F6D97" w:rsidP="00B67E00">
            <w:pPr>
              <w:pStyle w:val="TableText0"/>
              <w:rPr>
                <w:highlight w:val="lightGray"/>
              </w:rPr>
            </w:pPr>
            <w:r w:rsidRPr="009F6D97">
              <w:rPr>
                <w:color w:val="000000"/>
                <w:spacing w:val="53"/>
                <w:shd w:val="solid" w:color="000000" w:fill="000000"/>
                <w:fitText w:val="330" w:id="-893210870"/>
                <w14:textFill>
                  <w14:solidFill>
                    <w14:srgbClr w14:val="000000">
                      <w14:alpha w14:val="100000"/>
                    </w14:srgbClr>
                  </w14:solidFill>
                </w14:textFill>
              </w:rPr>
              <w:t>|||</w:t>
            </w:r>
            <w:r w:rsidRPr="009F6D97">
              <w:rPr>
                <w:color w:val="000000"/>
                <w:spacing w:val="1"/>
                <w:shd w:val="solid" w:color="000000" w:fill="000000"/>
                <w:fitText w:val="330" w:id="-893210870"/>
                <w14:textFill>
                  <w14:solidFill>
                    <w14:srgbClr w14:val="000000">
                      <w14:alpha w14:val="100000"/>
                    </w14:srgbClr>
                  </w14:solidFill>
                </w14:textFill>
              </w:rPr>
              <w:t>|</w:t>
            </w:r>
            <w:r w:rsidR="006346E8" w:rsidRPr="005C269B">
              <w:rPr>
                <w:vertAlign w:val="superscript"/>
              </w:rPr>
              <w:t>6</w:t>
            </w:r>
          </w:p>
        </w:tc>
        <w:tc>
          <w:tcPr>
            <w:tcW w:w="585" w:type="pct"/>
            <w:tcBorders>
              <w:bottom w:val="single" w:sz="4" w:space="0" w:color="auto"/>
            </w:tcBorders>
          </w:tcPr>
          <w:p w14:paraId="617BAACC" w14:textId="0E9AEEDC" w:rsidR="007B2E9F" w:rsidRPr="009A482D" w:rsidRDefault="009F6D97" w:rsidP="00B67E00">
            <w:pPr>
              <w:pStyle w:val="TableText0"/>
              <w:rPr>
                <w:highlight w:val="lightGray"/>
              </w:rPr>
            </w:pPr>
            <w:r w:rsidRPr="009F6D97">
              <w:rPr>
                <w:color w:val="000000"/>
                <w:spacing w:val="53"/>
                <w:shd w:val="solid" w:color="000000" w:fill="000000"/>
                <w:fitText w:val="330" w:id="-893210869"/>
                <w14:textFill>
                  <w14:solidFill>
                    <w14:srgbClr w14:val="000000">
                      <w14:alpha w14:val="100000"/>
                    </w14:srgbClr>
                  </w14:solidFill>
                </w14:textFill>
              </w:rPr>
              <w:t>|||</w:t>
            </w:r>
            <w:r w:rsidRPr="009F6D97">
              <w:rPr>
                <w:color w:val="000000"/>
                <w:spacing w:val="1"/>
                <w:shd w:val="solid" w:color="000000" w:fill="000000"/>
                <w:fitText w:val="330" w:id="-893210869"/>
                <w14:textFill>
                  <w14:solidFill>
                    <w14:srgbClr w14:val="000000">
                      <w14:alpha w14:val="100000"/>
                    </w14:srgbClr>
                  </w14:solidFill>
                </w14:textFill>
              </w:rPr>
              <w:t>|</w:t>
            </w:r>
            <w:r w:rsidR="006346E8" w:rsidRPr="005C269B">
              <w:rPr>
                <w:vertAlign w:val="superscript"/>
              </w:rPr>
              <w:t>6</w:t>
            </w:r>
          </w:p>
        </w:tc>
        <w:tc>
          <w:tcPr>
            <w:tcW w:w="585" w:type="pct"/>
            <w:tcBorders>
              <w:bottom w:val="single" w:sz="4" w:space="0" w:color="auto"/>
            </w:tcBorders>
          </w:tcPr>
          <w:p w14:paraId="605432D1" w14:textId="0B3AB138" w:rsidR="007B2E9F" w:rsidRPr="009A482D" w:rsidRDefault="009F6D97" w:rsidP="00B67E00">
            <w:pPr>
              <w:pStyle w:val="TableText0"/>
              <w:rPr>
                <w:highlight w:val="lightGray"/>
              </w:rPr>
            </w:pPr>
            <w:r w:rsidRPr="009F6D97">
              <w:rPr>
                <w:color w:val="000000"/>
                <w:spacing w:val="53"/>
                <w:shd w:val="solid" w:color="000000" w:fill="000000"/>
                <w:fitText w:val="330" w:id="-893210868"/>
                <w14:textFill>
                  <w14:solidFill>
                    <w14:srgbClr w14:val="000000">
                      <w14:alpha w14:val="100000"/>
                    </w14:srgbClr>
                  </w14:solidFill>
                </w14:textFill>
              </w:rPr>
              <w:t>|||</w:t>
            </w:r>
            <w:r w:rsidRPr="009F6D97">
              <w:rPr>
                <w:color w:val="000000"/>
                <w:spacing w:val="1"/>
                <w:shd w:val="solid" w:color="000000" w:fill="000000"/>
                <w:fitText w:val="330" w:id="-893210868"/>
                <w14:textFill>
                  <w14:solidFill>
                    <w14:srgbClr w14:val="000000">
                      <w14:alpha w14:val="100000"/>
                    </w14:srgbClr>
                  </w14:solidFill>
                </w14:textFill>
              </w:rPr>
              <w:t>|</w:t>
            </w:r>
            <w:r w:rsidR="006346E8" w:rsidRPr="005C269B">
              <w:rPr>
                <w:vertAlign w:val="superscript"/>
              </w:rPr>
              <w:t>6</w:t>
            </w:r>
          </w:p>
        </w:tc>
        <w:tc>
          <w:tcPr>
            <w:tcW w:w="584" w:type="pct"/>
            <w:tcBorders>
              <w:bottom w:val="single" w:sz="4" w:space="0" w:color="auto"/>
            </w:tcBorders>
          </w:tcPr>
          <w:p w14:paraId="192E6C8C" w14:textId="28003781" w:rsidR="007B2E9F" w:rsidRPr="009A482D" w:rsidRDefault="009F6D97" w:rsidP="00B67E00">
            <w:pPr>
              <w:pStyle w:val="TableText0"/>
              <w:rPr>
                <w:highlight w:val="lightGray"/>
              </w:rPr>
            </w:pPr>
            <w:r w:rsidRPr="009F6D97">
              <w:rPr>
                <w:color w:val="000000"/>
                <w:spacing w:val="53"/>
                <w:shd w:val="solid" w:color="000000" w:fill="000000"/>
                <w:fitText w:val="330" w:id="-893210867"/>
                <w14:textFill>
                  <w14:solidFill>
                    <w14:srgbClr w14:val="000000">
                      <w14:alpha w14:val="100000"/>
                    </w14:srgbClr>
                  </w14:solidFill>
                </w14:textFill>
              </w:rPr>
              <w:t>|||</w:t>
            </w:r>
            <w:r w:rsidRPr="009F6D97">
              <w:rPr>
                <w:color w:val="000000"/>
                <w:spacing w:val="1"/>
                <w:shd w:val="solid" w:color="000000" w:fill="000000"/>
                <w:fitText w:val="330" w:id="-893210867"/>
                <w14:textFill>
                  <w14:solidFill>
                    <w14:srgbClr w14:val="000000">
                      <w14:alpha w14:val="100000"/>
                    </w14:srgbClr>
                  </w14:solidFill>
                </w14:textFill>
              </w:rPr>
              <w:t>|</w:t>
            </w:r>
            <w:r w:rsidR="006346E8" w:rsidRPr="005C269B">
              <w:rPr>
                <w:vertAlign w:val="superscript"/>
              </w:rPr>
              <w:t>6</w:t>
            </w:r>
          </w:p>
        </w:tc>
        <w:tc>
          <w:tcPr>
            <w:tcW w:w="585" w:type="pct"/>
            <w:tcBorders>
              <w:bottom w:val="single" w:sz="4" w:space="0" w:color="auto"/>
            </w:tcBorders>
          </w:tcPr>
          <w:p w14:paraId="2506EA90" w14:textId="737B0754" w:rsidR="007B2E9F" w:rsidRPr="009A482D" w:rsidRDefault="009F6D97" w:rsidP="00B67E00">
            <w:pPr>
              <w:pStyle w:val="TableText0"/>
              <w:rPr>
                <w:highlight w:val="lightGray"/>
              </w:rPr>
            </w:pPr>
            <w:r w:rsidRPr="009F6D97">
              <w:rPr>
                <w:color w:val="000000"/>
                <w:spacing w:val="53"/>
                <w:shd w:val="solid" w:color="000000" w:fill="000000"/>
                <w:fitText w:val="330" w:id="-893210866"/>
                <w14:textFill>
                  <w14:solidFill>
                    <w14:srgbClr w14:val="000000">
                      <w14:alpha w14:val="100000"/>
                    </w14:srgbClr>
                  </w14:solidFill>
                </w14:textFill>
              </w:rPr>
              <w:t>|||</w:t>
            </w:r>
            <w:r w:rsidRPr="009F6D97">
              <w:rPr>
                <w:color w:val="000000"/>
                <w:spacing w:val="1"/>
                <w:shd w:val="solid" w:color="000000" w:fill="000000"/>
                <w:fitText w:val="330" w:id="-893210866"/>
                <w14:textFill>
                  <w14:solidFill>
                    <w14:srgbClr w14:val="000000">
                      <w14:alpha w14:val="100000"/>
                    </w14:srgbClr>
                  </w14:solidFill>
                </w14:textFill>
              </w:rPr>
              <w:t>|</w:t>
            </w:r>
            <w:r w:rsidR="006346E8" w:rsidRPr="005C269B">
              <w:rPr>
                <w:vertAlign w:val="superscript"/>
              </w:rPr>
              <w:t>6</w:t>
            </w:r>
          </w:p>
        </w:tc>
        <w:tc>
          <w:tcPr>
            <w:tcW w:w="586" w:type="pct"/>
            <w:tcBorders>
              <w:bottom w:val="single" w:sz="4" w:space="0" w:color="auto"/>
            </w:tcBorders>
          </w:tcPr>
          <w:p w14:paraId="15615687" w14:textId="207A9DAC" w:rsidR="007B2E9F" w:rsidRPr="009A482D" w:rsidRDefault="009F6D97" w:rsidP="00B67E00">
            <w:pPr>
              <w:pStyle w:val="TableText0"/>
              <w:rPr>
                <w:highlight w:val="lightGray"/>
              </w:rPr>
            </w:pPr>
            <w:r w:rsidRPr="009F6D97">
              <w:rPr>
                <w:color w:val="000000"/>
                <w:spacing w:val="53"/>
                <w:shd w:val="solid" w:color="000000" w:fill="000000"/>
                <w:fitText w:val="330" w:id="-893210865"/>
                <w14:textFill>
                  <w14:solidFill>
                    <w14:srgbClr w14:val="000000">
                      <w14:alpha w14:val="100000"/>
                    </w14:srgbClr>
                  </w14:solidFill>
                </w14:textFill>
              </w:rPr>
              <w:t>|||</w:t>
            </w:r>
            <w:r w:rsidRPr="009F6D97">
              <w:rPr>
                <w:color w:val="000000"/>
                <w:spacing w:val="1"/>
                <w:shd w:val="solid" w:color="000000" w:fill="000000"/>
                <w:fitText w:val="330" w:id="-893210865"/>
                <w14:textFill>
                  <w14:solidFill>
                    <w14:srgbClr w14:val="000000">
                      <w14:alpha w14:val="100000"/>
                    </w14:srgbClr>
                  </w14:solidFill>
                </w14:textFill>
              </w:rPr>
              <w:t>|</w:t>
            </w:r>
            <w:r w:rsidR="006346E8" w:rsidRPr="005C269B">
              <w:rPr>
                <w:vertAlign w:val="superscript"/>
              </w:rPr>
              <w:t>6</w:t>
            </w:r>
          </w:p>
        </w:tc>
      </w:tr>
      <w:tr w:rsidR="007B2E9F" w:rsidRPr="00731632" w14:paraId="2F931521" w14:textId="77777777" w:rsidTr="00866F91">
        <w:tc>
          <w:tcPr>
            <w:tcW w:w="1491" w:type="pct"/>
            <w:tcBorders>
              <w:bottom w:val="single" w:sz="4" w:space="0" w:color="auto"/>
            </w:tcBorders>
          </w:tcPr>
          <w:p w14:paraId="2D29EFE4" w14:textId="00C5F126" w:rsidR="007B2E9F" w:rsidRPr="00731632" w:rsidRDefault="007B2E9F" w:rsidP="00B67E00">
            <w:pPr>
              <w:pStyle w:val="TableText0"/>
            </w:pPr>
            <w:r w:rsidRPr="00731632">
              <w:t xml:space="preserve">Revised </w:t>
            </w:r>
            <w:r w:rsidR="003F2C10" w:rsidRPr="00731632">
              <w:rPr>
                <w:vertAlign w:val="superscript"/>
              </w:rPr>
              <w:t>a</w:t>
            </w:r>
          </w:p>
        </w:tc>
        <w:tc>
          <w:tcPr>
            <w:tcW w:w="584" w:type="pct"/>
            <w:tcBorders>
              <w:bottom w:val="single" w:sz="4" w:space="0" w:color="auto"/>
            </w:tcBorders>
          </w:tcPr>
          <w:p w14:paraId="3CE4BF04" w14:textId="6E40053C" w:rsidR="007B2E9F" w:rsidRPr="009A482D" w:rsidRDefault="009F6D97" w:rsidP="00B67E00">
            <w:pPr>
              <w:pStyle w:val="TableText0"/>
              <w:rPr>
                <w:highlight w:val="lightGray"/>
              </w:rPr>
            </w:pPr>
            <w:r w:rsidRPr="009F6D97">
              <w:rPr>
                <w:color w:val="000000"/>
                <w:spacing w:val="53"/>
                <w:shd w:val="solid" w:color="000000" w:fill="000000"/>
                <w:fitText w:val="330" w:id="-893210864"/>
                <w14:textFill>
                  <w14:solidFill>
                    <w14:srgbClr w14:val="000000">
                      <w14:alpha w14:val="100000"/>
                    </w14:srgbClr>
                  </w14:solidFill>
                </w14:textFill>
              </w:rPr>
              <w:t>|||</w:t>
            </w:r>
            <w:r w:rsidRPr="009F6D97">
              <w:rPr>
                <w:color w:val="000000"/>
                <w:spacing w:val="1"/>
                <w:shd w:val="solid" w:color="000000" w:fill="000000"/>
                <w:fitText w:val="330" w:id="-893210864"/>
                <w14:textFill>
                  <w14:solidFill>
                    <w14:srgbClr w14:val="000000">
                      <w14:alpha w14:val="100000"/>
                    </w14:srgbClr>
                  </w14:solidFill>
                </w14:textFill>
              </w:rPr>
              <w:t>|</w:t>
            </w:r>
            <w:r w:rsidR="006346E8" w:rsidRPr="005C269B">
              <w:rPr>
                <w:vertAlign w:val="superscript"/>
              </w:rPr>
              <w:t>6</w:t>
            </w:r>
          </w:p>
        </w:tc>
        <w:tc>
          <w:tcPr>
            <w:tcW w:w="585" w:type="pct"/>
            <w:tcBorders>
              <w:bottom w:val="single" w:sz="4" w:space="0" w:color="auto"/>
            </w:tcBorders>
          </w:tcPr>
          <w:p w14:paraId="2E80D758" w14:textId="18021C06" w:rsidR="007B2E9F" w:rsidRPr="009A482D" w:rsidRDefault="009F6D97" w:rsidP="00B67E00">
            <w:pPr>
              <w:pStyle w:val="TableText0"/>
              <w:rPr>
                <w:highlight w:val="lightGray"/>
              </w:rPr>
            </w:pPr>
            <w:r w:rsidRPr="009F6D97">
              <w:rPr>
                <w:color w:val="000000"/>
                <w:spacing w:val="53"/>
                <w:shd w:val="solid" w:color="000000" w:fill="000000"/>
                <w:fitText w:val="330" w:id="-893210880"/>
                <w14:textFill>
                  <w14:solidFill>
                    <w14:srgbClr w14:val="000000">
                      <w14:alpha w14:val="100000"/>
                    </w14:srgbClr>
                  </w14:solidFill>
                </w14:textFill>
              </w:rPr>
              <w:t>|||</w:t>
            </w:r>
            <w:r w:rsidRPr="009F6D97">
              <w:rPr>
                <w:color w:val="000000"/>
                <w:spacing w:val="1"/>
                <w:shd w:val="solid" w:color="000000" w:fill="000000"/>
                <w:fitText w:val="330" w:id="-893210880"/>
                <w14:textFill>
                  <w14:solidFill>
                    <w14:srgbClr w14:val="000000">
                      <w14:alpha w14:val="100000"/>
                    </w14:srgbClr>
                  </w14:solidFill>
                </w14:textFill>
              </w:rPr>
              <w:t>|</w:t>
            </w:r>
            <w:r w:rsidR="006346E8" w:rsidRPr="005C269B">
              <w:rPr>
                <w:vertAlign w:val="superscript"/>
              </w:rPr>
              <w:t>6</w:t>
            </w:r>
          </w:p>
        </w:tc>
        <w:tc>
          <w:tcPr>
            <w:tcW w:w="585" w:type="pct"/>
            <w:tcBorders>
              <w:bottom w:val="single" w:sz="4" w:space="0" w:color="auto"/>
            </w:tcBorders>
          </w:tcPr>
          <w:p w14:paraId="1FD20B1C" w14:textId="46DC99E8" w:rsidR="007B2E9F" w:rsidRPr="009A482D" w:rsidRDefault="009F6D97" w:rsidP="00B67E00">
            <w:pPr>
              <w:pStyle w:val="TableText0"/>
              <w:rPr>
                <w:highlight w:val="lightGray"/>
              </w:rPr>
            </w:pPr>
            <w:r w:rsidRPr="009F6D97">
              <w:rPr>
                <w:color w:val="000000"/>
                <w:spacing w:val="53"/>
                <w:shd w:val="solid" w:color="000000" w:fill="000000"/>
                <w:fitText w:val="330" w:id="-893210879"/>
                <w14:textFill>
                  <w14:solidFill>
                    <w14:srgbClr w14:val="000000">
                      <w14:alpha w14:val="100000"/>
                    </w14:srgbClr>
                  </w14:solidFill>
                </w14:textFill>
              </w:rPr>
              <w:t>|||</w:t>
            </w:r>
            <w:r w:rsidRPr="009F6D97">
              <w:rPr>
                <w:color w:val="000000"/>
                <w:spacing w:val="1"/>
                <w:shd w:val="solid" w:color="000000" w:fill="000000"/>
                <w:fitText w:val="330" w:id="-893210879"/>
                <w14:textFill>
                  <w14:solidFill>
                    <w14:srgbClr w14:val="000000">
                      <w14:alpha w14:val="100000"/>
                    </w14:srgbClr>
                  </w14:solidFill>
                </w14:textFill>
              </w:rPr>
              <w:t>|</w:t>
            </w:r>
            <w:r w:rsidR="006346E8" w:rsidRPr="005C269B">
              <w:rPr>
                <w:vertAlign w:val="superscript"/>
              </w:rPr>
              <w:t>6</w:t>
            </w:r>
          </w:p>
        </w:tc>
        <w:tc>
          <w:tcPr>
            <w:tcW w:w="584" w:type="pct"/>
            <w:tcBorders>
              <w:bottom w:val="single" w:sz="4" w:space="0" w:color="auto"/>
            </w:tcBorders>
          </w:tcPr>
          <w:p w14:paraId="5800F73B" w14:textId="778CFE76" w:rsidR="007B2E9F" w:rsidRPr="009A482D" w:rsidRDefault="009F6D97" w:rsidP="00B67E00">
            <w:pPr>
              <w:pStyle w:val="TableText0"/>
              <w:rPr>
                <w:highlight w:val="lightGray"/>
              </w:rPr>
            </w:pPr>
            <w:r w:rsidRPr="009F6D97">
              <w:rPr>
                <w:color w:val="000000"/>
                <w:spacing w:val="53"/>
                <w:shd w:val="solid" w:color="000000" w:fill="000000"/>
                <w:fitText w:val="330" w:id="-893210878"/>
                <w14:textFill>
                  <w14:solidFill>
                    <w14:srgbClr w14:val="000000">
                      <w14:alpha w14:val="100000"/>
                    </w14:srgbClr>
                  </w14:solidFill>
                </w14:textFill>
              </w:rPr>
              <w:t>|||</w:t>
            </w:r>
            <w:r w:rsidRPr="009F6D97">
              <w:rPr>
                <w:color w:val="000000"/>
                <w:spacing w:val="1"/>
                <w:shd w:val="solid" w:color="000000" w:fill="000000"/>
                <w:fitText w:val="330" w:id="-893210878"/>
                <w14:textFill>
                  <w14:solidFill>
                    <w14:srgbClr w14:val="000000">
                      <w14:alpha w14:val="100000"/>
                    </w14:srgbClr>
                  </w14:solidFill>
                </w14:textFill>
              </w:rPr>
              <w:t>|</w:t>
            </w:r>
            <w:r w:rsidR="006346E8" w:rsidRPr="005C269B">
              <w:rPr>
                <w:vertAlign w:val="superscript"/>
              </w:rPr>
              <w:t>6</w:t>
            </w:r>
          </w:p>
        </w:tc>
        <w:tc>
          <w:tcPr>
            <w:tcW w:w="585" w:type="pct"/>
            <w:tcBorders>
              <w:bottom w:val="single" w:sz="4" w:space="0" w:color="auto"/>
            </w:tcBorders>
          </w:tcPr>
          <w:p w14:paraId="381965E8" w14:textId="4142B52D" w:rsidR="007B2E9F" w:rsidRPr="009A482D" w:rsidRDefault="009F6D97" w:rsidP="00B67E00">
            <w:pPr>
              <w:pStyle w:val="TableText0"/>
              <w:rPr>
                <w:highlight w:val="lightGray"/>
              </w:rPr>
            </w:pPr>
            <w:r w:rsidRPr="009F6D97">
              <w:rPr>
                <w:color w:val="000000"/>
                <w:spacing w:val="53"/>
                <w:shd w:val="solid" w:color="000000" w:fill="000000"/>
                <w:fitText w:val="330" w:id="-893210877"/>
                <w14:textFill>
                  <w14:solidFill>
                    <w14:srgbClr w14:val="000000">
                      <w14:alpha w14:val="100000"/>
                    </w14:srgbClr>
                  </w14:solidFill>
                </w14:textFill>
              </w:rPr>
              <w:t>|||</w:t>
            </w:r>
            <w:r w:rsidRPr="009F6D97">
              <w:rPr>
                <w:color w:val="000000"/>
                <w:spacing w:val="1"/>
                <w:shd w:val="solid" w:color="000000" w:fill="000000"/>
                <w:fitText w:val="330" w:id="-893210877"/>
                <w14:textFill>
                  <w14:solidFill>
                    <w14:srgbClr w14:val="000000">
                      <w14:alpha w14:val="100000"/>
                    </w14:srgbClr>
                  </w14:solidFill>
                </w14:textFill>
              </w:rPr>
              <w:t>|</w:t>
            </w:r>
            <w:r w:rsidR="006346E8" w:rsidRPr="005C269B">
              <w:rPr>
                <w:vertAlign w:val="superscript"/>
              </w:rPr>
              <w:t>6</w:t>
            </w:r>
          </w:p>
        </w:tc>
        <w:tc>
          <w:tcPr>
            <w:tcW w:w="586" w:type="pct"/>
            <w:tcBorders>
              <w:bottom w:val="single" w:sz="4" w:space="0" w:color="auto"/>
            </w:tcBorders>
          </w:tcPr>
          <w:p w14:paraId="41673618" w14:textId="46CC661F" w:rsidR="007B2E9F" w:rsidRPr="009A482D" w:rsidRDefault="009F6D97" w:rsidP="00B67E00">
            <w:pPr>
              <w:pStyle w:val="TableText0"/>
              <w:rPr>
                <w:highlight w:val="lightGray"/>
              </w:rPr>
            </w:pPr>
            <w:r w:rsidRPr="009F6D97">
              <w:rPr>
                <w:color w:val="000000"/>
                <w:spacing w:val="53"/>
                <w:shd w:val="solid" w:color="000000" w:fill="000000"/>
                <w:fitText w:val="330" w:id="-893210876"/>
                <w14:textFill>
                  <w14:solidFill>
                    <w14:srgbClr w14:val="000000">
                      <w14:alpha w14:val="100000"/>
                    </w14:srgbClr>
                  </w14:solidFill>
                </w14:textFill>
              </w:rPr>
              <w:t>|||</w:t>
            </w:r>
            <w:r w:rsidRPr="009F6D97">
              <w:rPr>
                <w:color w:val="000000"/>
                <w:spacing w:val="1"/>
                <w:shd w:val="solid" w:color="000000" w:fill="000000"/>
                <w:fitText w:val="330" w:id="-893210876"/>
                <w14:textFill>
                  <w14:solidFill>
                    <w14:srgbClr w14:val="000000">
                      <w14:alpha w14:val="100000"/>
                    </w14:srgbClr>
                  </w14:solidFill>
                </w14:textFill>
              </w:rPr>
              <w:t>|</w:t>
            </w:r>
            <w:r w:rsidR="006346E8" w:rsidRPr="005C269B">
              <w:rPr>
                <w:vertAlign w:val="superscript"/>
              </w:rPr>
              <w:t>6</w:t>
            </w:r>
          </w:p>
        </w:tc>
      </w:tr>
      <w:tr w:rsidR="007B2E9F" w:rsidRPr="00731632" w14:paraId="3EA101EB" w14:textId="77777777" w:rsidTr="00866F91">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E67BC" w14:textId="1A3A2359" w:rsidR="007B2E9F" w:rsidRPr="00731632" w:rsidRDefault="007B2E9F" w:rsidP="00B67E00">
            <w:pPr>
              <w:pStyle w:val="TableText0"/>
              <w:rPr>
                <w:b/>
                <w:bCs w:val="0"/>
              </w:rPr>
            </w:pPr>
            <w:r w:rsidRPr="00731632">
              <w:rPr>
                <w:b/>
                <w:bCs w:val="0"/>
              </w:rPr>
              <w:t xml:space="preserve">Treated </w:t>
            </w:r>
            <w:r w:rsidR="00B63F4A" w:rsidRPr="00731632">
              <w:rPr>
                <w:b/>
                <w:bCs w:val="0"/>
              </w:rPr>
              <w:t>individuals</w:t>
            </w:r>
          </w:p>
        </w:tc>
        <w:tc>
          <w:tcPr>
            <w:tcW w:w="5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E5B7C" w14:textId="092DF6AE"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75"/>
                <w14:textFill>
                  <w14:solidFill>
                    <w14:srgbClr w14:val="000000">
                      <w14:alpha w14:val="100000"/>
                    </w14:srgbClr>
                  </w14:solidFill>
                </w14:textFill>
              </w:rPr>
              <w:t>|||</w:t>
            </w:r>
            <w:r w:rsidRPr="009F6D97">
              <w:rPr>
                <w:b/>
                <w:bCs w:val="0"/>
                <w:color w:val="000000"/>
                <w:spacing w:val="2"/>
                <w:shd w:val="solid" w:color="000000" w:fill="000000"/>
                <w:fitText w:val="350" w:id="-893210875"/>
                <w14:textFill>
                  <w14:solidFill>
                    <w14:srgbClr w14:val="000000">
                      <w14:alpha w14:val="100000"/>
                    </w14:srgbClr>
                  </w14:solidFill>
                </w14:textFill>
              </w:rPr>
              <w:t>|</w:t>
            </w:r>
            <w:r w:rsidR="00BC5303" w:rsidRPr="005C269B">
              <w:rPr>
                <w:vertAlign w:val="superscript"/>
              </w:rPr>
              <w:t>1</w:t>
            </w:r>
          </w:p>
        </w:tc>
        <w:tc>
          <w:tcPr>
            <w:tcW w:w="585" w:type="pct"/>
            <w:tcBorders>
              <w:top w:val="single" w:sz="4" w:space="0" w:color="auto"/>
              <w:left w:val="nil"/>
              <w:bottom w:val="single" w:sz="4" w:space="0" w:color="auto"/>
              <w:right w:val="single" w:sz="4" w:space="0" w:color="auto"/>
            </w:tcBorders>
            <w:shd w:val="clear" w:color="auto" w:fill="FFFFFF" w:themeFill="background1"/>
            <w:vAlign w:val="center"/>
          </w:tcPr>
          <w:p w14:paraId="4C0862C3" w14:textId="0B063406"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74"/>
                <w14:textFill>
                  <w14:solidFill>
                    <w14:srgbClr w14:val="000000">
                      <w14:alpha w14:val="100000"/>
                    </w14:srgbClr>
                  </w14:solidFill>
                </w14:textFill>
              </w:rPr>
              <w:t>|||</w:t>
            </w:r>
            <w:r w:rsidRPr="009F6D97">
              <w:rPr>
                <w:b/>
                <w:bCs w:val="0"/>
                <w:color w:val="000000"/>
                <w:spacing w:val="2"/>
                <w:shd w:val="solid" w:color="000000" w:fill="000000"/>
                <w:fitText w:val="350" w:id="-893210874"/>
                <w14:textFill>
                  <w14:solidFill>
                    <w14:srgbClr w14:val="000000">
                      <w14:alpha w14:val="100000"/>
                    </w14:srgbClr>
                  </w14:solidFill>
                </w14:textFill>
              </w:rPr>
              <w:t>|</w:t>
            </w:r>
            <w:r w:rsidR="00BC5303" w:rsidRPr="005C269B">
              <w:rPr>
                <w:vertAlign w:val="superscript"/>
              </w:rPr>
              <w:t>1</w:t>
            </w:r>
          </w:p>
        </w:tc>
        <w:tc>
          <w:tcPr>
            <w:tcW w:w="585" w:type="pct"/>
            <w:tcBorders>
              <w:top w:val="single" w:sz="4" w:space="0" w:color="auto"/>
              <w:left w:val="nil"/>
              <w:bottom w:val="single" w:sz="4" w:space="0" w:color="auto"/>
              <w:right w:val="single" w:sz="4" w:space="0" w:color="auto"/>
            </w:tcBorders>
            <w:shd w:val="clear" w:color="auto" w:fill="FFFFFF" w:themeFill="background1"/>
            <w:vAlign w:val="center"/>
          </w:tcPr>
          <w:p w14:paraId="78C1ADF3" w14:textId="55CB43AB"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73"/>
                <w14:textFill>
                  <w14:solidFill>
                    <w14:srgbClr w14:val="000000">
                      <w14:alpha w14:val="100000"/>
                    </w14:srgbClr>
                  </w14:solidFill>
                </w14:textFill>
              </w:rPr>
              <w:t>|||</w:t>
            </w:r>
            <w:r w:rsidRPr="009F6D97">
              <w:rPr>
                <w:b/>
                <w:bCs w:val="0"/>
                <w:color w:val="000000"/>
                <w:spacing w:val="2"/>
                <w:shd w:val="solid" w:color="000000" w:fill="000000"/>
                <w:fitText w:val="350" w:id="-893210873"/>
                <w14:textFill>
                  <w14:solidFill>
                    <w14:srgbClr w14:val="000000">
                      <w14:alpha w14:val="100000"/>
                    </w14:srgbClr>
                  </w14:solidFill>
                </w14:textFill>
              </w:rPr>
              <w:t>|</w:t>
            </w:r>
            <w:r w:rsidR="00BC5303" w:rsidRPr="005C269B">
              <w:rPr>
                <w:vertAlign w:val="superscript"/>
              </w:rPr>
              <w:t>1</w:t>
            </w:r>
          </w:p>
        </w:tc>
        <w:tc>
          <w:tcPr>
            <w:tcW w:w="584" w:type="pct"/>
            <w:tcBorders>
              <w:top w:val="single" w:sz="4" w:space="0" w:color="auto"/>
              <w:left w:val="nil"/>
              <w:bottom w:val="single" w:sz="4" w:space="0" w:color="auto"/>
              <w:right w:val="single" w:sz="4" w:space="0" w:color="auto"/>
            </w:tcBorders>
            <w:shd w:val="clear" w:color="auto" w:fill="FFFFFF" w:themeFill="background1"/>
            <w:vAlign w:val="center"/>
          </w:tcPr>
          <w:p w14:paraId="393B3EAF" w14:textId="391357F1"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72"/>
                <w14:textFill>
                  <w14:solidFill>
                    <w14:srgbClr w14:val="000000">
                      <w14:alpha w14:val="100000"/>
                    </w14:srgbClr>
                  </w14:solidFill>
                </w14:textFill>
              </w:rPr>
              <w:t>|||</w:t>
            </w:r>
            <w:r w:rsidRPr="009F6D97">
              <w:rPr>
                <w:b/>
                <w:bCs w:val="0"/>
                <w:color w:val="000000"/>
                <w:spacing w:val="2"/>
                <w:shd w:val="solid" w:color="000000" w:fill="000000"/>
                <w:fitText w:val="350" w:id="-893210872"/>
                <w14:textFill>
                  <w14:solidFill>
                    <w14:srgbClr w14:val="000000">
                      <w14:alpha w14:val="100000"/>
                    </w14:srgbClr>
                  </w14:solidFill>
                </w14:textFill>
              </w:rPr>
              <w:t>|</w:t>
            </w:r>
            <w:r w:rsidR="00BC5303" w:rsidRPr="005C269B">
              <w:rPr>
                <w:vertAlign w:val="superscript"/>
              </w:rPr>
              <w:t>1</w:t>
            </w:r>
          </w:p>
        </w:tc>
        <w:tc>
          <w:tcPr>
            <w:tcW w:w="585" w:type="pct"/>
            <w:tcBorders>
              <w:top w:val="single" w:sz="4" w:space="0" w:color="auto"/>
              <w:left w:val="nil"/>
              <w:bottom w:val="single" w:sz="4" w:space="0" w:color="auto"/>
              <w:right w:val="single" w:sz="4" w:space="0" w:color="auto"/>
            </w:tcBorders>
            <w:shd w:val="clear" w:color="auto" w:fill="FFFFFF" w:themeFill="background1"/>
            <w:vAlign w:val="center"/>
          </w:tcPr>
          <w:p w14:paraId="30E09FB5" w14:textId="1AE6F838"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71"/>
                <w14:textFill>
                  <w14:solidFill>
                    <w14:srgbClr w14:val="000000">
                      <w14:alpha w14:val="100000"/>
                    </w14:srgbClr>
                  </w14:solidFill>
                </w14:textFill>
              </w:rPr>
              <w:t>|||</w:t>
            </w:r>
            <w:r w:rsidRPr="009F6D97">
              <w:rPr>
                <w:b/>
                <w:bCs w:val="0"/>
                <w:color w:val="000000"/>
                <w:spacing w:val="2"/>
                <w:shd w:val="solid" w:color="000000" w:fill="000000"/>
                <w:fitText w:val="350" w:id="-893210871"/>
                <w14:textFill>
                  <w14:solidFill>
                    <w14:srgbClr w14:val="000000">
                      <w14:alpha w14:val="100000"/>
                    </w14:srgbClr>
                  </w14:solidFill>
                </w14:textFill>
              </w:rPr>
              <w:t>|</w:t>
            </w:r>
            <w:r w:rsidR="00BC5303" w:rsidRPr="005C269B">
              <w:rPr>
                <w:vertAlign w:val="superscript"/>
              </w:rPr>
              <w:t>1</w:t>
            </w:r>
          </w:p>
        </w:tc>
        <w:tc>
          <w:tcPr>
            <w:tcW w:w="586" w:type="pct"/>
            <w:tcBorders>
              <w:top w:val="single" w:sz="4" w:space="0" w:color="auto"/>
              <w:left w:val="nil"/>
              <w:bottom w:val="single" w:sz="4" w:space="0" w:color="auto"/>
              <w:right w:val="single" w:sz="4" w:space="0" w:color="auto"/>
            </w:tcBorders>
            <w:shd w:val="clear" w:color="auto" w:fill="FFFFFF" w:themeFill="background1"/>
            <w:vAlign w:val="center"/>
          </w:tcPr>
          <w:p w14:paraId="345BBE51" w14:textId="16775D8D"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70"/>
                <w14:textFill>
                  <w14:solidFill>
                    <w14:srgbClr w14:val="000000">
                      <w14:alpha w14:val="100000"/>
                    </w14:srgbClr>
                  </w14:solidFill>
                </w14:textFill>
              </w:rPr>
              <w:t>|||</w:t>
            </w:r>
            <w:r w:rsidRPr="009F6D97">
              <w:rPr>
                <w:b/>
                <w:bCs w:val="0"/>
                <w:color w:val="000000"/>
                <w:spacing w:val="2"/>
                <w:shd w:val="solid" w:color="000000" w:fill="000000"/>
                <w:fitText w:val="350" w:id="-893210870"/>
                <w14:textFill>
                  <w14:solidFill>
                    <w14:srgbClr w14:val="000000">
                      <w14:alpha w14:val="100000"/>
                    </w14:srgbClr>
                  </w14:solidFill>
                </w14:textFill>
              </w:rPr>
              <w:t>|</w:t>
            </w:r>
            <w:r w:rsidR="00BC5303" w:rsidRPr="005C269B">
              <w:rPr>
                <w:vertAlign w:val="superscript"/>
              </w:rPr>
              <w:t>1</w:t>
            </w:r>
          </w:p>
        </w:tc>
      </w:tr>
      <w:tr w:rsidR="007B2E9F" w:rsidRPr="00731632" w14:paraId="45C0A3CB" w14:textId="77777777" w:rsidTr="00866F91">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35BB4" w14:textId="77777777" w:rsidR="007B2E9F" w:rsidRPr="00731632" w:rsidRDefault="007B2E9F" w:rsidP="00B67E00">
            <w:pPr>
              <w:pStyle w:val="TableText0"/>
              <w:rPr>
                <w:b/>
                <w:bCs w:val="0"/>
                <w:vertAlign w:val="superscript"/>
              </w:rPr>
            </w:pPr>
            <w:r w:rsidRPr="00731632">
              <w:rPr>
                <w:b/>
                <w:bCs w:val="0"/>
              </w:rPr>
              <w:t xml:space="preserve">Revised </w:t>
            </w:r>
            <w:r w:rsidRPr="00731632">
              <w:rPr>
                <w:b/>
                <w:bCs w:val="0"/>
                <w:vertAlign w:val="superscript"/>
              </w:rPr>
              <w:t>a</w:t>
            </w:r>
          </w:p>
        </w:tc>
        <w:tc>
          <w:tcPr>
            <w:tcW w:w="584" w:type="pct"/>
            <w:tcBorders>
              <w:top w:val="single" w:sz="4" w:space="0" w:color="auto"/>
              <w:left w:val="single" w:sz="4" w:space="0" w:color="auto"/>
              <w:bottom w:val="single" w:sz="4" w:space="0" w:color="auto"/>
              <w:right w:val="single" w:sz="4" w:space="0" w:color="auto"/>
            </w:tcBorders>
            <w:shd w:val="clear" w:color="auto" w:fill="FFFFFF" w:themeFill="background1"/>
          </w:tcPr>
          <w:p w14:paraId="6471DF3B" w14:textId="2A51EE81"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69"/>
                <w14:textFill>
                  <w14:solidFill>
                    <w14:srgbClr w14:val="000000">
                      <w14:alpha w14:val="100000"/>
                    </w14:srgbClr>
                  </w14:solidFill>
                </w14:textFill>
              </w:rPr>
              <w:t>|||</w:t>
            </w:r>
            <w:r w:rsidRPr="009F6D97">
              <w:rPr>
                <w:b/>
                <w:bCs w:val="0"/>
                <w:color w:val="000000"/>
                <w:spacing w:val="2"/>
                <w:shd w:val="solid" w:color="000000" w:fill="000000"/>
                <w:fitText w:val="350" w:id="-893210869"/>
                <w14:textFill>
                  <w14:solidFill>
                    <w14:srgbClr w14:val="000000">
                      <w14:alpha w14:val="100000"/>
                    </w14:srgbClr>
                  </w14:solidFill>
                </w14:textFill>
              </w:rPr>
              <w:t>|</w:t>
            </w:r>
            <w:r w:rsidR="00BC5303" w:rsidRPr="005C269B">
              <w:rPr>
                <w:vertAlign w:val="superscript"/>
              </w:rPr>
              <w:t>1</w:t>
            </w:r>
          </w:p>
        </w:tc>
        <w:tc>
          <w:tcPr>
            <w:tcW w:w="585" w:type="pct"/>
            <w:tcBorders>
              <w:top w:val="single" w:sz="4" w:space="0" w:color="auto"/>
              <w:left w:val="nil"/>
              <w:bottom w:val="single" w:sz="4" w:space="0" w:color="auto"/>
              <w:right w:val="single" w:sz="4" w:space="0" w:color="auto"/>
            </w:tcBorders>
            <w:shd w:val="clear" w:color="auto" w:fill="FFFFFF" w:themeFill="background1"/>
          </w:tcPr>
          <w:p w14:paraId="7F8DC846" w14:textId="269DAB82"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68"/>
                <w14:textFill>
                  <w14:solidFill>
                    <w14:srgbClr w14:val="000000">
                      <w14:alpha w14:val="100000"/>
                    </w14:srgbClr>
                  </w14:solidFill>
                </w14:textFill>
              </w:rPr>
              <w:t>|||</w:t>
            </w:r>
            <w:r w:rsidRPr="009F6D97">
              <w:rPr>
                <w:b/>
                <w:bCs w:val="0"/>
                <w:color w:val="000000"/>
                <w:spacing w:val="2"/>
                <w:shd w:val="solid" w:color="000000" w:fill="000000"/>
                <w:fitText w:val="350" w:id="-893210868"/>
                <w14:textFill>
                  <w14:solidFill>
                    <w14:srgbClr w14:val="000000">
                      <w14:alpha w14:val="100000"/>
                    </w14:srgbClr>
                  </w14:solidFill>
                </w14:textFill>
              </w:rPr>
              <w:t>|</w:t>
            </w:r>
            <w:r w:rsidR="00BC5303" w:rsidRPr="005C269B">
              <w:rPr>
                <w:vertAlign w:val="superscript"/>
              </w:rPr>
              <w:t>1</w:t>
            </w:r>
          </w:p>
        </w:tc>
        <w:tc>
          <w:tcPr>
            <w:tcW w:w="585" w:type="pct"/>
            <w:tcBorders>
              <w:top w:val="single" w:sz="4" w:space="0" w:color="auto"/>
              <w:left w:val="nil"/>
              <w:bottom w:val="single" w:sz="4" w:space="0" w:color="auto"/>
              <w:right w:val="single" w:sz="4" w:space="0" w:color="auto"/>
            </w:tcBorders>
            <w:shd w:val="clear" w:color="auto" w:fill="FFFFFF" w:themeFill="background1"/>
          </w:tcPr>
          <w:p w14:paraId="7D493091" w14:textId="26E80EB8"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67"/>
                <w14:textFill>
                  <w14:solidFill>
                    <w14:srgbClr w14:val="000000">
                      <w14:alpha w14:val="100000"/>
                    </w14:srgbClr>
                  </w14:solidFill>
                </w14:textFill>
              </w:rPr>
              <w:t>|||</w:t>
            </w:r>
            <w:r w:rsidRPr="009F6D97">
              <w:rPr>
                <w:b/>
                <w:bCs w:val="0"/>
                <w:color w:val="000000"/>
                <w:spacing w:val="2"/>
                <w:shd w:val="solid" w:color="000000" w:fill="000000"/>
                <w:fitText w:val="350" w:id="-893210867"/>
                <w14:textFill>
                  <w14:solidFill>
                    <w14:srgbClr w14:val="000000">
                      <w14:alpha w14:val="100000"/>
                    </w14:srgbClr>
                  </w14:solidFill>
                </w14:textFill>
              </w:rPr>
              <w:t>|</w:t>
            </w:r>
            <w:r w:rsidR="00BC5303" w:rsidRPr="005C269B">
              <w:rPr>
                <w:vertAlign w:val="superscript"/>
              </w:rPr>
              <w:t>1</w:t>
            </w:r>
          </w:p>
        </w:tc>
        <w:tc>
          <w:tcPr>
            <w:tcW w:w="584" w:type="pct"/>
            <w:tcBorders>
              <w:top w:val="single" w:sz="4" w:space="0" w:color="auto"/>
              <w:left w:val="nil"/>
              <w:bottom w:val="single" w:sz="4" w:space="0" w:color="auto"/>
              <w:right w:val="single" w:sz="4" w:space="0" w:color="auto"/>
            </w:tcBorders>
            <w:shd w:val="clear" w:color="auto" w:fill="FFFFFF" w:themeFill="background1"/>
          </w:tcPr>
          <w:p w14:paraId="7BD936B7" w14:textId="40FE01B1"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66"/>
                <w14:textFill>
                  <w14:solidFill>
                    <w14:srgbClr w14:val="000000">
                      <w14:alpha w14:val="100000"/>
                    </w14:srgbClr>
                  </w14:solidFill>
                </w14:textFill>
              </w:rPr>
              <w:t>|||</w:t>
            </w:r>
            <w:r w:rsidRPr="009F6D97">
              <w:rPr>
                <w:b/>
                <w:bCs w:val="0"/>
                <w:color w:val="000000"/>
                <w:spacing w:val="2"/>
                <w:shd w:val="solid" w:color="000000" w:fill="000000"/>
                <w:fitText w:val="350" w:id="-893210866"/>
                <w14:textFill>
                  <w14:solidFill>
                    <w14:srgbClr w14:val="000000">
                      <w14:alpha w14:val="100000"/>
                    </w14:srgbClr>
                  </w14:solidFill>
                </w14:textFill>
              </w:rPr>
              <w:t>|</w:t>
            </w:r>
            <w:r w:rsidR="00BC5303" w:rsidRPr="005C269B">
              <w:rPr>
                <w:vertAlign w:val="superscript"/>
              </w:rPr>
              <w:t>1</w:t>
            </w:r>
          </w:p>
        </w:tc>
        <w:tc>
          <w:tcPr>
            <w:tcW w:w="585" w:type="pct"/>
            <w:tcBorders>
              <w:top w:val="single" w:sz="4" w:space="0" w:color="auto"/>
              <w:left w:val="nil"/>
              <w:bottom w:val="single" w:sz="4" w:space="0" w:color="auto"/>
              <w:right w:val="single" w:sz="4" w:space="0" w:color="auto"/>
            </w:tcBorders>
            <w:shd w:val="clear" w:color="auto" w:fill="FFFFFF" w:themeFill="background1"/>
          </w:tcPr>
          <w:p w14:paraId="5714F70D" w14:textId="5F4A3F46"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65"/>
                <w14:textFill>
                  <w14:solidFill>
                    <w14:srgbClr w14:val="000000">
                      <w14:alpha w14:val="100000"/>
                    </w14:srgbClr>
                  </w14:solidFill>
                </w14:textFill>
              </w:rPr>
              <w:t>|||</w:t>
            </w:r>
            <w:r w:rsidRPr="009F6D97">
              <w:rPr>
                <w:b/>
                <w:bCs w:val="0"/>
                <w:color w:val="000000"/>
                <w:spacing w:val="2"/>
                <w:shd w:val="solid" w:color="000000" w:fill="000000"/>
                <w:fitText w:val="350" w:id="-893210865"/>
                <w14:textFill>
                  <w14:solidFill>
                    <w14:srgbClr w14:val="000000">
                      <w14:alpha w14:val="100000"/>
                    </w14:srgbClr>
                  </w14:solidFill>
                </w14:textFill>
              </w:rPr>
              <w:t>|</w:t>
            </w:r>
            <w:r w:rsidR="00BC5303" w:rsidRPr="005C269B">
              <w:rPr>
                <w:vertAlign w:val="superscript"/>
              </w:rPr>
              <w:t>1</w:t>
            </w:r>
          </w:p>
        </w:tc>
        <w:tc>
          <w:tcPr>
            <w:tcW w:w="586" w:type="pct"/>
            <w:tcBorders>
              <w:top w:val="single" w:sz="4" w:space="0" w:color="auto"/>
              <w:left w:val="nil"/>
              <w:bottom w:val="single" w:sz="4" w:space="0" w:color="auto"/>
              <w:right w:val="single" w:sz="4" w:space="0" w:color="auto"/>
            </w:tcBorders>
            <w:shd w:val="clear" w:color="auto" w:fill="FFFFFF" w:themeFill="background1"/>
          </w:tcPr>
          <w:p w14:paraId="5A568F34" w14:textId="1D1F128A" w:rsidR="007B2E9F" w:rsidRPr="009A482D" w:rsidRDefault="009F6D97" w:rsidP="00B67E00">
            <w:pPr>
              <w:pStyle w:val="TableText0"/>
              <w:rPr>
                <w:b/>
                <w:bCs w:val="0"/>
                <w:highlight w:val="lightGray"/>
              </w:rPr>
            </w:pPr>
            <w:r w:rsidRPr="009F6D97">
              <w:rPr>
                <w:b/>
                <w:bCs w:val="0"/>
                <w:color w:val="000000"/>
                <w:spacing w:val="55"/>
                <w:shd w:val="solid" w:color="000000" w:fill="000000"/>
                <w:fitText w:val="350" w:id="-893210864"/>
                <w14:textFill>
                  <w14:solidFill>
                    <w14:srgbClr w14:val="000000">
                      <w14:alpha w14:val="100000"/>
                    </w14:srgbClr>
                  </w14:solidFill>
                </w14:textFill>
              </w:rPr>
              <w:t>|||</w:t>
            </w:r>
            <w:r w:rsidRPr="009F6D97">
              <w:rPr>
                <w:b/>
                <w:bCs w:val="0"/>
                <w:color w:val="000000"/>
                <w:spacing w:val="2"/>
                <w:shd w:val="solid" w:color="000000" w:fill="000000"/>
                <w:fitText w:val="350" w:id="-893210864"/>
                <w14:textFill>
                  <w14:solidFill>
                    <w14:srgbClr w14:val="000000">
                      <w14:alpha w14:val="100000"/>
                    </w14:srgbClr>
                  </w14:solidFill>
                </w14:textFill>
              </w:rPr>
              <w:t>|</w:t>
            </w:r>
            <w:r w:rsidR="00BC5303" w:rsidRPr="005C269B">
              <w:rPr>
                <w:vertAlign w:val="superscript"/>
              </w:rPr>
              <w:t>1</w:t>
            </w:r>
          </w:p>
        </w:tc>
      </w:tr>
    </w:tbl>
    <w:p w14:paraId="0A587DCA" w14:textId="217F66A6" w:rsidR="007B2E9F" w:rsidRPr="00731632" w:rsidRDefault="007B2E9F" w:rsidP="00B67E00">
      <w:pPr>
        <w:pStyle w:val="FooterTableFigure"/>
        <w:keepNext/>
      </w:pPr>
      <w:r w:rsidRPr="00731632">
        <w:t xml:space="preserve">Source: Table 4.3.2, o the submission. </w:t>
      </w:r>
    </w:p>
    <w:p w14:paraId="7FDE5617" w14:textId="11C6880F" w:rsidR="007B2E9F" w:rsidRDefault="007B2E9F" w:rsidP="00B67E00">
      <w:pPr>
        <w:pStyle w:val="FooterTableFigure"/>
        <w:keepNext/>
      </w:pPr>
      <w:r w:rsidRPr="00731632">
        <w:rPr>
          <w:vertAlign w:val="superscript"/>
        </w:rPr>
        <w:t xml:space="preserve">a </w:t>
      </w:r>
      <w:r w:rsidRPr="00731632">
        <w:t>Revised</w:t>
      </w:r>
      <w:r w:rsidR="00CD60CA" w:rsidRPr="00731632">
        <w:t xml:space="preserve"> by the evaluation</w:t>
      </w:r>
      <w:r w:rsidRPr="00731632">
        <w:t xml:space="preserve"> using the most updated ABS population projections (base year 2022)</w:t>
      </w:r>
    </w:p>
    <w:p w14:paraId="21CED067" w14:textId="77777777" w:rsidR="00BC5303" w:rsidRDefault="00BC5303" w:rsidP="00B67E00">
      <w:pPr>
        <w:pStyle w:val="FooterTableFigure"/>
        <w:keepNext/>
      </w:pPr>
      <w:bookmarkStart w:id="117" w:name="_Hlk176523166"/>
      <w:r>
        <w:t>The redacted values correspond to the following ranges</w:t>
      </w:r>
    </w:p>
    <w:p w14:paraId="161DCEB2" w14:textId="77777777" w:rsidR="00BC5303" w:rsidRDefault="00BC5303" w:rsidP="00B67E00">
      <w:pPr>
        <w:pStyle w:val="FooterTableFigure"/>
        <w:keepNext/>
      </w:pPr>
      <w:r>
        <w:t>1 200,000 to &lt; 300,000</w:t>
      </w:r>
    </w:p>
    <w:p w14:paraId="108F3CE3" w14:textId="77777777" w:rsidR="00BC5303" w:rsidRDefault="00BC5303" w:rsidP="00B67E00">
      <w:pPr>
        <w:pStyle w:val="FooterTableFigure"/>
        <w:keepNext/>
      </w:pPr>
      <w:r>
        <w:t>2 100,000 to &lt; 200,000</w:t>
      </w:r>
    </w:p>
    <w:p w14:paraId="621F891C" w14:textId="77777777" w:rsidR="00BC5303" w:rsidRDefault="00BC5303" w:rsidP="00B67E00">
      <w:pPr>
        <w:pStyle w:val="FooterTableFigure"/>
        <w:keepNext/>
      </w:pPr>
      <w:r>
        <w:t>3 60,000 to &lt; 70,000</w:t>
      </w:r>
    </w:p>
    <w:p w14:paraId="6EDBDD4C" w14:textId="77777777" w:rsidR="00BC5303" w:rsidRDefault="00BC5303" w:rsidP="00B67E00">
      <w:pPr>
        <w:pStyle w:val="FooterTableFigure"/>
        <w:keepNext/>
      </w:pPr>
      <w:r>
        <w:t>4 40,000 to &lt; 50,000</w:t>
      </w:r>
    </w:p>
    <w:p w14:paraId="03C59C8E" w14:textId="77777777" w:rsidR="00BC5303" w:rsidRDefault="00BC5303" w:rsidP="00B67E00">
      <w:pPr>
        <w:pStyle w:val="FooterTableFigure"/>
        <w:keepNext/>
      </w:pPr>
      <w:r>
        <w:t>5 300,000 to &lt; 400,000</w:t>
      </w:r>
    </w:p>
    <w:p w14:paraId="60E57061" w14:textId="4F13B573" w:rsidR="00BC5303" w:rsidRPr="00731632" w:rsidRDefault="00BC5303" w:rsidP="00BC5303">
      <w:pPr>
        <w:pStyle w:val="FooterTableFigure"/>
      </w:pPr>
      <w:r>
        <w:t>6 10,000 to &lt; 20,000</w:t>
      </w:r>
    </w:p>
    <w:bookmarkEnd w:id="117"/>
    <w:p w14:paraId="0F99BAE7" w14:textId="16FFFD9B" w:rsidR="007B2E9F" w:rsidRPr="00731632" w:rsidRDefault="007B2E9F" w:rsidP="00866F91">
      <w:pPr>
        <w:pStyle w:val="3-BodyText"/>
        <w:rPr>
          <w:i/>
          <w:iCs/>
        </w:rPr>
      </w:pPr>
      <w:r w:rsidRPr="00731632">
        <w:t>The submission applied costs of $</w:t>
      </w:r>
      <w:r w:rsidR="009F6D97" w:rsidRPr="009F6D97">
        <w:rPr>
          <w:color w:val="000000"/>
          <w:w w:val="60"/>
          <w:shd w:val="solid" w:color="000000" w:fill="000000"/>
          <w:fitText w:val="470" w:id="-893210880"/>
          <w14:textFill>
            <w14:solidFill>
              <w14:srgbClr w14:val="000000">
                <w14:alpha w14:val="100000"/>
              </w14:srgbClr>
            </w14:solidFill>
          </w14:textFill>
        </w:rPr>
        <w:t>|||  ||</w:t>
      </w:r>
      <w:r w:rsidR="009F6D97" w:rsidRPr="009F6D97">
        <w:rPr>
          <w:color w:val="000000"/>
          <w:spacing w:val="6"/>
          <w:w w:val="60"/>
          <w:shd w:val="solid" w:color="000000" w:fill="000000"/>
          <w:fitText w:val="470" w:id="-893210880"/>
          <w14:textFill>
            <w14:solidFill>
              <w14:srgbClr w14:val="000000">
                <w14:alpha w14:val="100000"/>
              </w14:srgbClr>
            </w14:solidFill>
          </w14:textFill>
        </w:rPr>
        <w:t>|</w:t>
      </w:r>
      <w:r w:rsidRPr="00731632">
        <w:t xml:space="preserve"> per immunisation for each infant in the temperate and tropical region populations</w:t>
      </w:r>
      <w:r w:rsidR="00D165EE" w:rsidRPr="00731632">
        <w:t xml:space="preserve"> (</w:t>
      </w:r>
      <w:r w:rsidR="001077E2" w:rsidRPr="00731632">
        <w:t>population 1 and 2</w:t>
      </w:r>
      <w:r w:rsidR="00D165EE" w:rsidRPr="00731632">
        <w:t>)</w:t>
      </w:r>
      <w:r w:rsidRPr="00731632">
        <w:t xml:space="preserve"> and a cost of $</w:t>
      </w:r>
      <w:r w:rsidR="009F6D97" w:rsidRPr="00D770BB">
        <w:rPr>
          <w:color w:val="000000"/>
          <w:w w:val="15"/>
          <w:shd w:val="solid" w:color="000000" w:fill="000000"/>
          <w:fitText w:val="-20" w:id="-893210879"/>
          <w14:textFill>
            <w14:solidFill>
              <w14:srgbClr w14:val="000000">
                <w14:alpha w14:val="100000"/>
              </w14:srgbClr>
            </w14:solidFill>
          </w14:textFill>
        </w:rPr>
        <w:t xml:space="preserve">|  </w:t>
      </w:r>
      <w:r w:rsidR="009F6D97" w:rsidRPr="00D770BB">
        <w:rPr>
          <w:color w:val="000000"/>
          <w:spacing w:val="-69"/>
          <w:w w:val="15"/>
          <w:shd w:val="solid" w:color="000000" w:fill="000000"/>
          <w:fitText w:val="-20" w:id="-893210879"/>
          <w14:textFill>
            <w14:solidFill>
              <w14:srgbClr w14:val="000000">
                <w14:alpha w14:val="100000"/>
              </w14:srgbClr>
            </w14:solidFill>
          </w14:textFill>
        </w:rPr>
        <w:t>|</w:t>
      </w:r>
      <w:r w:rsidR="00B67E00">
        <w:rPr>
          <w:color w:val="000000"/>
          <w:shd w:val="solid" w:color="000000" w:fill="000000"/>
          <w14:textFill>
            <w14:solidFill>
              <w14:srgbClr w14:val="000000">
                <w14:alpha w14:val="100000"/>
              </w14:srgbClr>
            </w14:solidFill>
          </w14:textFill>
        </w:rPr>
        <w:t xml:space="preserve">  </w:t>
      </w:r>
      <w:r w:rsidR="00B67E00">
        <w:t xml:space="preserve"> f</w:t>
      </w:r>
      <w:r w:rsidRPr="00731632">
        <w:t>or each infant treated in the high-risk population</w:t>
      </w:r>
      <w:r w:rsidR="00D165EE" w:rsidRPr="00731632">
        <w:t xml:space="preserve"> (</w:t>
      </w:r>
      <w:r w:rsidR="001077E2" w:rsidRPr="00731632">
        <w:t>population 3</w:t>
      </w:r>
      <w:r w:rsidR="00D165EE" w:rsidRPr="00731632">
        <w:t>)</w:t>
      </w:r>
      <w:r w:rsidRPr="00731632">
        <w:t xml:space="preserve">. Weighted co-payments for PBS and RPBS services were calculated from the PBS services utilisation data of all PBS listed items between June 2022 and June 2023. </w:t>
      </w:r>
    </w:p>
    <w:p w14:paraId="2F3A7D88" w14:textId="5E5CE28D" w:rsidR="001077E2" w:rsidRPr="00731632" w:rsidRDefault="007B2E9F" w:rsidP="00866F91">
      <w:pPr>
        <w:pStyle w:val="3-BodyText"/>
        <w:rPr>
          <w:i/>
          <w:iCs/>
        </w:rPr>
      </w:pPr>
      <w:r w:rsidRPr="00731632">
        <w:t>For each nirsevimab administration, the submission applied MBS service costs of $13.80 (MBS item 23, 80% benefits).  The submission assumed that most infants would be immunised along with other immunisation programs or during seasonal catch-ups of immunisation in 8 out of the 12 months in a year. Thus, only the infants who</w:t>
      </w:r>
      <w:r w:rsidR="00F677B5" w:rsidRPr="00731632">
        <w:t xml:space="preserve"> were </w:t>
      </w:r>
      <w:r w:rsidRPr="00731632">
        <w:t xml:space="preserve">not immunised in these 8 months would need to visit the GP for nirsevimab administration in the remaining 4 months. As such, the cost of administration per treated infant ($13.80) was calculated as: $41.40 x (4/12). </w:t>
      </w:r>
      <w:r w:rsidR="001077E2" w:rsidRPr="00731632">
        <w:t xml:space="preserve">The evaluation considered the proportion of GP visits that would occur for the purpose of nirsevimab administration following listing on the PBS is uncertain, noting that </w:t>
      </w:r>
      <w:r w:rsidR="00B63F4A" w:rsidRPr="00731632">
        <w:t>individuals</w:t>
      </w:r>
      <w:r w:rsidR="001077E2" w:rsidRPr="00731632">
        <w:t xml:space="preserve"> will be required to have a prescription dispensed prior to administration. MBS costs are likely to be higher than an average of $13.80 per patient.  Further, the submission erroneously applied the MBS item 23 with 80% benefit (the benefit should be 100%). Revised estimates correcting the benefit applied and applying the full fee to each eligible infant is presented in </w:t>
      </w:r>
      <w:r w:rsidR="001077E2" w:rsidRPr="00731632">
        <w:fldChar w:fldCharType="begin"/>
      </w:r>
      <w:r w:rsidR="001077E2" w:rsidRPr="00731632">
        <w:instrText xml:space="preserve"> REF _Ref165630237 \h  \* MERGEFORMAT </w:instrText>
      </w:r>
      <w:r w:rsidR="001077E2" w:rsidRPr="00731632">
        <w:fldChar w:fldCharType="separate"/>
      </w:r>
      <w:r w:rsidR="00D770BB" w:rsidRPr="00731632">
        <w:t xml:space="preserve">Table </w:t>
      </w:r>
      <w:r w:rsidR="00D770BB">
        <w:t>26</w:t>
      </w:r>
      <w:r w:rsidR="001077E2" w:rsidRPr="00731632">
        <w:fldChar w:fldCharType="end"/>
      </w:r>
      <w:r w:rsidR="001077E2" w:rsidRPr="00731632">
        <w:t>.</w:t>
      </w:r>
      <w:r w:rsidR="001077E2" w:rsidRPr="00731632">
        <w:rPr>
          <w:i/>
          <w:iCs/>
        </w:rPr>
        <w:t xml:space="preserve"> </w:t>
      </w:r>
    </w:p>
    <w:p w14:paraId="0482B4F0" w14:textId="25627DA8" w:rsidR="007B2E9F" w:rsidRPr="00731632" w:rsidRDefault="007B2E9F" w:rsidP="007B2E9F">
      <w:pPr>
        <w:pStyle w:val="3-BodyText"/>
        <w:rPr>
          <w:i/>
          <w:iCs/>
        </w:rPr>
      </w:pPr>
      <w:r w:rsidRPr="00731632">
        <w:t xml:space="preserve">The financial implications associated with the proposed listing of nirsevimab are presented in </w:t>
      </w:r>
      <w:r w:rsidRPr="00731632">
        <w:fldChar w:fldCharType="begin"/>
      </w:r>
      <w:r w:rsidRPr="00731632">
        <w:instrText xml:space="preserve"> REF _Ref165630237 \h </w:instrText>
      </w:r>
      <w:r w:rsidRPr="00731632">
        <w:fldChar w:fldCharType="separate"/>
      </w:r>
      <w:r w:rsidR="00D770BB" w:rsidRPr="00731632">
        <w:t xml:space="preserve">Table </w:t>
      </w:r>
      <w:r w:rsidR="00D770BB">
        <w:rPr>
          <w:noProof/>
        </w:rPr>
        <w:t>26</w:t>
      </w:r>
      <w:r w:rsidRPr="00731632">
        <w:fldChar w:fldCharType="end"/>
      </w:r>
      <w:r w:rsidRPr="00731632">
        <w:t>.</w:t>
      </w:r>
    </w:p>
    <w:p w14:paraId="25640C44" w14:textId="4E0582B4" w:rsidR="007B2E9F" w:rsidRPr="00731632" w:rsidRDefault="007B2E9F" w:rsidP="007B2E9F">
      <w:pPr>
        <w:pStyle w:val="Caption"/>
      </w:pPr>
      <w:bookmarkStart w:id="118" w:name="_Ref165630237"/>
      <w:r w:rsidRPr="00731632">
        <w:t xml:space="preserve">Table </w:t>
      </w:r>
      <w:r w:rsidR="00BD1FC6" w:rsidRPr="00731632">
        <w:fldChar w:fldCharType="begin"/>
      </w:r>
      <w:r w:rsidR="00BD1FC6" w:rsidRPr="00731632">
        <w:instrText xml:space="preserve"> SEQ Table \* ARABIC </w:instrText>
      </w:r>
      <w:r w:rsidR="00BD1FC6" w:rsidRPr="00731632">
        <w:fldChar w:fldCharType="separate"/>
      </w:r>
      <w:r w:rsidR="00D770BB">
        <w:rPr>
          <w:noProof/>
        </w:rPr>
        <w:t>26</w:t>
      </w:r>
      <w:r w:rsidR="00BD1FC6" w:rsidRPr="00731632">
        <w:fldChar w:fldCharType="end"/>
      </w:r>
      <w:bookmarkEnd w:id="118"/>
      <w:r w:rsidRPr="00731632">
        <w:t>: Estimated financial implications associated with the listing of nirsevimab</w:t>
      </w:r>
    </w:p>
    <w:tbl>
      <w:tblPr>
        <w:tblStyle w:val="TableGrid"/>
        <w:tblW w:w="5000" w:type="pct"/>
        <w:tblLook w:val="04A0" w:firstRow="1" w:lastRow="0" w:firstColumn="1" w:lastColumn="0" w:noHBand="0" w:noVBand="1"/>
        <w:tblCaption w:val="Table 26: Estimated financial implications associated with the listing of nirsevimab"/>
      </w:tblPr>
      <w:tblGrid>
        <w:gridCol w:w="2263"/>
        <w:gridCol w:w="1134"/>
        <w:gridCol w:w="1134"/>
        <w:gridCol w:w="1134"/>
        <w:gridCol w:w="1134"/>
        <w:gridCol w:w="1134"/>
        <w:gridCol w:w="1084"/>
      </w:tblGrid>
      <w:tr w:rsidR="007B2E9F" w:rsidRPr="00731632" w14:paraId="01D4B3D0" w14:textId="77777777" w:rsidTr="003E1422">
        <w:tc>
          <w:tcPr>
            <w:tcW w:w="2263" w:type="dxa"/>
          </w:tcPr>
          <w:p w14:paraId="0A376592" w14:textId="77777777" w:rsidR="007B2E9F" w:rsidRPr="00731632" w:rsidRDefault="007B2E9F" w:rsidP="00866F91">
            <w:pPr>
              <w:pStyle w:val="Tabletext"/>
              <w:keepNext/>
            </w:pPr>
          </w:p>
        </w:tc>
        <w:tc>
          <w:tcPr>
            <w:tcW w:w="1134" w:type="dxa"/>
            <w:vAlign w:val="center"/>
          </w:tcPr>
          <w:p w14:paraId="0A4055DA" w14:textId="77777777" w:rsidR="007B2E9F" w:rsidRPr="00731632" w:rsidRDefault="007B2E9F" w:rsidP="003E1422">
            <w:pPr>
              <w:pStyle w:val="Tabletext"/>
              <w:keepNext/>
              <w:jc w:val="center"/>
              <w:rPr>
                <w:b/>
                <w:bCs/>
                <w:szCs w:val="20"/>
              </w:rPr>
            </w:pPr>
            <w:r w:rsidRPr="00731632">
              <w:rPr>
                <w:b/>
                <w:bCs/>
                <w:szCs w:val="20"/>
              </w:rPr>
              <w:t>Year 1</w:t>
            </w:r>
          </w:p>
        </w:tc>
        <w:tc>
          <w:tcPr>
            <w:tcW w:w="1134" w:type="dxa"/>
            <w:vAlign w:val="center"/>
          </w:tcPr>
          <w:p w14:paraId="612A4E6E" w14:textId="77777777" w:rsidR="007B2E9F" w:rsidRPr="00731632" w:rsidRDefault="007B2E9F" w:rsidP="003E1422">
            <w:pPr>
              <w:pStyle w:val="Tabletext"/>
              <w:keepNext/>
              <w:jc w:val="center"/>
              <w:rPr>
                <w:b/>
                <w:bCs/>
                <w:szCs w:val="20"/>
              </w:rPr>
            </w:pPr>
            <w:r w:rsidRPr="00731632">
              <w:rPr>
                <w:b/>
                <w:bCs/>
                <w:szCs w:val="20"/>
              </w:rPr>
              <w:t>Year 2</w:t>
            </w:r>
          </w:p>
        </w:tc>
        <w:tc>
          <w:tcPr>
            <w:tcW w:w="1134" w:type="dxa"/>
            <w:vAlign w:val="center"/>
          </w:tcPr>
          <w:p w14:paraId="2F0FC1AE" w14:textId="77777777" w:rsidR="007B2E9F" w:rsidRPr="00731632" w:rsidRDefault="007B2E9F" w:rsidP="003E1422">
            <w:pPr>
              <w:pStyle w:val="Tabletext"/>
              <w:keepNext/>
              <w:jc w:val="center"/>
              <w:rPr>
                <w:b/>
                <w:bCs/>
                <w:szCs w:val="20"/>
              </w:rPr>
            </w:pPr>
            <w:r w:rsidRPr="00731632">
              <w:rPr>
                <w:b/>
                <w:bCs/>
                <w:szCs w:val="20"/>
              </w:rPr>
              <w:t>Year 3</w:t>
            </w:r>
          </w:p>
        </w:tc>
        <w:tc>
          <w:tcPr>
            <w:tcW w:w="1134" w:type="dxa"/>
            <w:vAlign w:val="center"/>
          </w:tcPr>
          <w:p w14:paraId="0A860363" w14:textId="77777777" w:rsidR="007B2E9F" w:rsidRPr="00731632" w:rsidRDefault="007B2E9F" w:rsidP="003E1422">
            <w:pPr>
              <w:pStyle w:val="Tabletext"/>
              <w:keepNext/>
              <w:jc w:val="center"/>
              <w:rPr>
                <w:b/>
                <w:bCs/>
                <w:szCs w:val="20"/>
              </w:rPr>
            </w:pPr>
            <w:r w:rsidRPr="00731632">
              <w:rPr>
                <w:b/>
                <w:bCs/>
                <w:szCs w:val="20"/>
              </w:rPr>
              <w:t>Year 4</w:t>
            </w:r>
          </w:p>
        </w:tc>
        <w:tc>
          <w:tcPr>
            <w:tcW w:w="1134" w:type="dxa"/>
            <w:vAlign w:val="center"/>
          </w:tcPr>
          <w:p w14:paraId="523C91E7" w14:textId="77777777" w:rsidR="007B2E9F" w:rsidRPr="00731632" w:rsidRDefault="007B2E9F" w:rsidP="003E1422">
            <w:pPr>
              <w:pStyle w:val="Tabletext"/>
              <w:keepNext/>
              <w:jc w:val="center"/>
              <w:rPr>
                <w:b/>
                <w:bCs/>
                <w:szCs w:val="20"/>
              </w:rPr>
            </w:pPr>
            <w:r w:rsidRPr="00731632">
              <w:rPr>
                <w:b/>
                <w:bCs/>
                <w:szCs w:val="20"/>
              </w:rPr>
              <w:t>Year 5</w:t>
            </w:r>
          </w:p>
        </w:tc>
        <w:tc>
          <w:tcPr>
            <w:tcW w:w="1084" w:type="dxa"/>
            <w:vAlign w:val="center"/>
          </w:tcPr>
          <w:p w14:paraId="78B639CF" w14:textId="77777777" w:rsidR="007B2E9F" w:rsidRPr="00731632" w:rsidRDefault="007B2E9F" w:rsidP="003E1422">
            <w:pPr>
              <w:pStyle w:val="Tabletext"/>
              <w:keepNext/>
              <w:jc w:val="center"/>
              <w:rPr>
                <w:b/>
                <w:bCs/>
                <w:szCs w:val="20"/>
              </w:rPr>
            </w:pPr>
            <w:r w:rsidRPr="00731632">
              <w:rPr>
                <w:b/>
                <w:bCs/>
                <w:szCs w:val="20"/>
              </w:rPr>
              <w:t>Year 6</w:t>
            </w:r>
          </w:p>
        </w:tc>
      </w:tr>
      <w:tr w:rsidR="007B2E9F" w:rsidRPr="00731632" w14:paraId="0F48D837" w14:textId="77777777" w:rsidTr="003E1422">
        <w:tc>
          <w:tcPr>
            <w:tcW w:w="2263" w:type="dxa"/>
            <w:vAlign w:val="center"/>
          </w:tcPr>
          <w:p w14:paraId="5802DE8B" w14:textId="75B1C57F" w:rsidR="007B2E9F" w:rsidRPr="00731632" w:rsidRDefault="007B2E9F" w:rsidP="00866F91">
            <w:pPr>
              <w:pStyle w:val="Tabletext"/>
              <w:keepNext/>
              <w:rPr>
                <w:szCs w:val="20"/>
              </w:rPr>
            </w:pPr>
            <w:r w:rsidRPr="00731632">
              <w:rPr>
                <w:szCs w:val="20"/>
              </w:rPr>
              <w:t xml:space="preserve">Treated </w:t>
            </w:r>
            <w:r w:rsidR="00B63F4A" w:rsidRPr="00731632">
              <w:rPr>
                <w:szCs w:val="20"/>
              </w:rPr>
              <w:t>individuals</w:t>
            </w:r>
          </w:p>
        </w:tc>
        <w:tc>
          <w:tcPr>
            <w:tcW w:w="1134" w:type="dxa"/>
            <w:vAlign w:val="center"/>
          </w:tcPr>
          <w:p w14:paraId="01206C3E" w14:textId="64053510"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8"/>
                <w14:textFill>
                  <w14:solidFill>
                    <w14:srgbClr w14:val="000000">
                      <w14:alpha w14:val="100000"/>
                    </w14:srgbClr>
                  </w14:solidFill>
                </w14:textFill>
              </w:rPr>
              <w:t>|||</w:t>
            </w:r>
            <w:r w:rsidRPr="009F6D97">
              <w:rPr>
                <w:color w:val="000000"/>
                <w:spacing w:val="1"/>
                <w:szCs w:val="20"/>
                <w:shd w:val="solid" w:color="000000" w:fill="000000"/>
                <w:fitText w:val="330" w:id="-893210878"/>
                <w14:textFill>
                  <w14:solidFill>
                    <w14:srgbClr w14:val="000000">
                      <w14:alpha w14:val="100000"/>
                    </w14:srgbClr>
                  </w14:solidFill>
                </w14:textFill>
              </w:rPr>
              <w:t>|</w:t>
            </w:r>
            <w:r w:rsidR="009F0FE1" w:rsidRPr="009A482D">
              <w:rPr>
                <w:szCs w:val="20"/>
                <w:vertAlign w:val="superscript"/>
              </w:rPr>
              <w:t>1</w:t>
            </w:r>
          </w:p>
        </w:tc>
        <w:tc>
          <w:tcPr>
            <w:tcW w:w="1134" w:type="dxa"/>
            <w:vAlign w:val="center"/>
          </w:tcPr>
          <w:p w14:paraId="53E546A9" w14:textId="56729F7C"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7"/>
                <w14:textFill>
                  <w14:solidFill>
                    <w14:srgbClr w14:val="000000">
                      <w14:alpha w14:val="100000"/>
                    </w14:srgbClr>
                  </w14:solidFill>
                </w14:textFill>
              </w:rPr>
              <w:t>|||</w:t>
            </w:r>
            <w:r w:rsidRPr="009F6D97">
              <w:rPr>
                <w:color w:val="000000"/>
                <w:spacing w:val="1"/>
                <w:szCs w:val="20"/>
                <w:shd w:val="solid" w:color="000000" w:fill="000000"/>
                <w:fitText w:val="330" w:id="-893210877"/>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1DD4ADD2" w14:textId="1CB0FD04"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5"/>
                <w14:textFill>
                  <w14:solidFill>
                    <w14:srgbClr w14:val="000000">
                      <w14:alpha w14:val="100000"/>
                    </w14:srgbClr>
                  </w14:solidFill>
                </w14:textFill>
              </w:rPr>
              <w:t>|||</w:t>
            </w:r>
            <w:r w:rsidRPr="009F6D97">
              <w:rPr>
                <w:color w:val="000000"/>
                <w:spacing w:val="1"/>
                <w:szCs w:val="20"/>
                <w:shd w:val="solid" w:color="000000" w:fill="000000"/>
                <w:fitText w:val="330" w:id="-893210875"/>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031D09DD" w14:textId="6F23873A"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4"/>
                <w14:textFill>
                  <w14:solidFill>
                    <w14:srgbClr w14:val="000000">
                      <w14:alpha w14:val="100000"/>
                    </w14:srgbClr>
                  </w14:solidFill>
                </w14:textFill>
              </w:rPr>
              <w:t>|||</w:t>
            </w:r>
            <w:r w:rsidRPr="009F6D97">
              <w:rPr>
                <w:color w:val="000000"/>
                <w:spacing w:val="1"/>
                <w:szCs w:val="20"/>
                <w:shd w:val="solid" w:color="000000" w:fill="000000"/>
                <w:fitText w:val="330" w:id="-893210874"/>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0C101C16" w14:textId="4F37EA0B"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3"/>
                <w14:textFill>
                  <w14:solidFill>
                    <w14:srgbClr w14:val="000000">
                      <w14:alpha w14:val="100000"/>
                    </w14:srgbClr>
                  </w14:solidFill>
                </w14:textFill>
              </w:rPr>
              <w:t>|||</w:t>
            </w:r>
            <w:r w:rsidRPr="009F6D97">
              <w:rPr>
                <w:color w:val="000000"/>
                <w:spacing w:val="1"/>
                <w:szCs w:val="20"/>
                <w:shd w:val="solid" w:color="000000" w:fill="000000"/>
                <w:fitText w:val="330" w:id="-893210873"/>
                <w14:textFill>
                  <w14:solidFill>
                    <w14:srgbClr w14:val="000000">
                      <w14:alpha w14:val="100000"/>
                    </w14:srgbClr>
                  </w14:solidFill>
                </w14:textFill>
              </w:rPr>
              <w:t>|</w:t>
            </w:r>
            <w:r w:rsidR="009F0FE1" w:rsidRPr="005C269B">
              <w:rPr>
                <w:szCs w:val="20"/>
                <w:vertAlign w:val="superscript"/>
              </w:rPr>
              <w:t>1</w:t>
            </w:r>
          </w:p>
        </w:tc>
        <w:tc>
          <w:tcPr>
            <w:tcW w:w="1084" w:type="dxa"/>
            <w:vAlign w:val="center"/>
          </w:tcPr>
          <w:p w14:paraId="61121F55" w14:textId="13ABAFFB"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2"/>
                <w14:textFill>
                  <w14:solidFill>
                    <w14:srgbClr w14:val="000000">
                      <w14:alpha w14:val="100000"/>
                    </w14:srgbClr>
                  </w14:solidFill>
                </w14:textFill>
              </w:rPr>
              <w:t>|||</w:t>
            </w:r>
            <w:r w:rsidRPr="009F6D97">
              <w:rPr>
                <w:color w:val="000000"/>
                <w:spacing w:val="1"/>
                <w:szCs w:val="20"/>
                <w:shd w:val="solid" w:color="000000" w:fill="000000"/>
                <w:fitText w:val="330" w:id="-893210872"/>
                <w14:textFill>
                  <w14:solidFill>
                    <w14:srgbClr w14:val="000000">
                      <w14:alpha w14:val="100000"/>
                    </w14:srgbClr>
                  </w14:solidFill>
                </w14:textFill>
              </w:rPr>
              <w:t>|</w:t>
            </w:r>
            <w:r w:rsidR="009F0FE1" w:rsidRPr="005C269B">
              <w:rPr>
                <w:szCs w:val="20"/>
                <w:vertAlign w:val="superscript"/>
              </w:rPr>
              <w:t>1</w:t>
            </w:r>
          </w:p>
        </w:tc>
      </w:tr>
      <w:tr w:rsidR="007B2E9F" w:rsidRPr="00731632" w14:paraId="541A99E4" w14:textId="77777777" w:rsidTr="003E1422">
        <w:tc>
          <w:tcPr>
            <w:tcW w:w="2263" w:type="dxa"/>
            <w:vAlign w:val="center"/>
          </w:tcPr>
          <w:p w14:paraId="789B6016" w14:textId="77777777" w:rsidR="007B2E9F" w:rsidRPr="00731632" w:rsidRDefault="007B2E9F" w:rsidP="00866F91">
            <w:pPr>
              <w:pStyle w:val="Tabletext"/>
              <w:keepNext/>
              <w:rPr>
                <w:szCs w:val="20"/>
              </w:rPr>
            </w:pPr>
            <w:r w:rsidRPr="00731632">
              <w:rPr>
                <w:szCs w:val="20"/>
              </w:rPr>
              <w:t xml:space="preserve">Revised </w:t>
            </w:r>
          </w:p>
        </w:tc>
        <w:tc>
          <w:tcPr>
            <w:tcW w:w="1134" w:type="dxa"/>
            <w:vAlign w:val="center"/>
          </w:tcPr>
          <w:p w14:paraId="7BC22F57" w14:textId="1C3B51BC"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1"/>
                <w14:textFill>
                  <w14:solidFill>
                    <w14:srgbClr w14:val="000000">
                      <w14:alpha w14:val="100000"/>
                    </w14:srgbClr>
                  </w14:solidFill>
                </w14:textFill>
              </w:rPr>
              <w:t>|||</w:t>
            </w:r>
            <w:r w:rsidRPr="009F6D97">
              <w:rPr>
                <w:color w:val="000000"/>
                <w:spacing w:val="1"/>
                <w:szCs w:val="20"/>
                <w:shd w:val="solid" w:color="000000" w:fill="000000"/>
                <w:fitText w:val="330" w:id="-893210871"/>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639F067A" w14:textId="33C08D77"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870"/>
                <w14:textFill>
                  <w14:solidFill>
                    <w14:srgbClr w14:val="000000">
                      <w14:alpha w14:val="100000"/>
                    </w14:srgbClr>
                  </w14:solidFill>
                </w14:textFill>
              </w:rPr>
              <w:t>|||</w:t>
            </w:r>
            <w:r w:rsidRPr="009F6D97">
              <w:rPr>
                <w:color w:val="000000"/>
                <w:spacing w:val="1"/>
                <w:szCs w:val="20"/>
                <w:shd w:val="solid" w:color="000000" w:fill="000000"/>
                <w:fitText w:val="330" w:id="-893210870"/>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66C8697C" w14:textId="1C553C30"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624"/>
                <w14:textFill>
                  <w14:solidFill>
                    <w14:srgbClr w14:val="000000">
                      <w14:alpha w14:val="100000"/>
                    </w14:srgbClr>
                  </w14:solidFill>
                </w14:textFill>
              </w:rPr>
              <w:t>|||</w:t>
            </w:r>
            <w:r w:rsidRPr="009F6D97">
              <w:rPr>
                <w:color w:val="000000"/>
                <w:spacing w:val="1"/>
                <w:szCs w:val="20"/>
                <w:shd w:val="solid" w:color="000000" w:fill="000000"/>
                <w:fitText w:val="330" w:id="-893210624"/>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31839ADB" w14:textId="57C2527F"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623"/>
                <w14:textFill>
                  <w14:solidFill>
                    <w14:srgbClr w14:val="000000">
                      <w14:alpha w14:val="100000"/>
                    </w14:srgbClr>
                  </w14:solidFill>
                </w14:textFill>
              </w:rPr>
              <w:t>|||</w:t>
            </w:r>
            <w:r w:rsidRPr="009F6D97">
              <w:rPr>
                <w:color w:val="000000"/>
                <w:spacing w:val="1"/>
                <w:szCs w:val="20"/>
                <w:shd w:val="solid" w:color="000000" w:fill="000000"/>
                <w:fitText w:val="330" w:id="-893210623"/>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20D8911D" w14:textId="04A465A6"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622"/>
                <w14:textFill>
                  <w14:solidFill>
                    <w14:srgbClr w14:val="000000">
                      <w14:alpha w14:val="100000"/>
                    </w14:srgbClr>
                  </w14:solidFill>
                </w14:textFill>
              </w:rPr>
              <w:t>|||</w:t>
            </w:r>
            <w:r w:rsidRPr="009F6D97">
              <w:rPr>
                <w:color w:val="000000"/>
                <w:spacing w:val="1"/>
                <w:szCs w:val="20"/>
                <w:shd w:val="solid" w:color="000000" w:fill="000000"/>
                <w:fitText w:val="330" w:id="-893210622"/>
                <w14:textFill>
                  <w14:solidFill>
                    <w14:srgbClr w14:val="000000">
                      <w14:alpha w14:val="100000"/>
                    </w14:srgbClr>
                  </w14:solidFill>
                </w14:textFill>
              </w:rPr>
              <w:t>|</w:t>
            </w:r>
            <w:r w:rsidR="009F0FE1" w:rsidRPr="005C269B">
              <w:rPr>
                <w:szCs w:val="20"/>
                <w:vertAlign w:val="superscript"/>
              </w:rPr>
              <w:t>1</w:t>
            </w:r>
          </w:p>
        </w:tc>
        <w:tc>
          <w:tcPr>
            <w:tcW w:w="1084" w:type="dxa"/>
            <w:vAlign w:val="center"/>
          </w:tcPr>
          <w:p w14:paraId="2F43B8F0" w14:textId="1590BC87" w:rsidR="007B2E9F" w:rsidRPr="009A482D" w:rsidRDefault="009F6D97" w:rsidP="003E1422">
            <w:pPr>
              <w:pStyle w:val="Tabletext"/>
              <w:keepNext/>
              <w:jc w:val="center"/>
              <w:rPr>
                <w:szCs w:val="20"/>
                <w:highlight w:val="lightGray"/>
              </w:rPr>
            </w:pPr>
            <w:r w:rsidRPr="009F6D97">
              <w:rPr>
                <w:color w:val="000000"/>
                <w:spacing w:val="53"/>
                <w:szCs w:val="20"/>
                <w:shd w:val="solid" w:color="000000" w:fill="000000"/>
                <w:fitText w:val="330" w:id="-893210621"/>
                <w14:textFill>
                  <w14:solidFill>
                    <w14:srgbClr w14:val="000000">
                      <w14:alpha w14:val="100000"/>
                    </w14:srgbClr>
                  </w14:solidFill>
                </w14:textFill>
              </w:rPr>
              <w:t>|||</w:t>
            </w:r>
            <w:r w:rsidRPr="009F6D97">
              <w:rPr>
                <w:color w:val="000000"/>
                <w:spacing w:val="1"/>
                <w:szCs w:val="20"/>
                <w:shd w:val="solid" w:color="000000" w:fill="000000"/>
                <w:fitText w:val="330" w:id="-893210621"/>
                <w14:textFill>
                  <w14:solidFill>
                    <w14:srgbClr w14:val="000000">
                      <w14:alpha w14:val="100000"/>
                    </w14:srgbClr>
                  </w14:solidFill>
                </w14:textFill>
              </w:rPr>
              <w:t>|</w:t>
            </w:r>
            <w:r w:rsidR="009F0FE1" w:rsidRPr="005C269B">
              <w:rPr>
                <w:szCs w:val="20"/>
                <w:vertAlign w:val="superscript"/>
              </w:rPr>
              <w:t>1</w:t>
            </w:r>
          </w:p>
        </w:tc>
      </w:tr>
      <w:tr w:rsidR="007B2E9F" w:rsidRPr="00731632" w14:paraId="348EA6AB" w14:textId="77777777" w:rsidTr="003E1422">
        <w:tc>
          <w:tcPr>
            <w:tcW w:w="2263" w:type="dxa"/>
            <w:vAlign w:val="center"/>
          </w:tcPr>
          <w:p w14:paraId="1B8E9D57" w14:textId="77777777" w:rsidR="007B2E9F" w:rsidRPr="00731632" w:rsidRDefault="007B2E9F" w:rsidP="00866F91">
            <w:pPr>
              <w:pStyle w:val="Tabletext"/>
              <w:keepNext/>
            </w:pPr>
            <w:r w:rsidRPr="00731632">
              <w:t>Total prescriptions</w:t>
            </w:r>
            <w:r w:rsidRPr="00731632">
              <w:rPr>
                <w:vertAlign w:val="superscript"/>
              </w:rPr>
              <w:t>a</w:t>
            </w:r>
            <w:r w:rsidRPr="00731632">
              <w:t xml:space="preserve"> </w:t>
            </w:r>
          </w:p>
        </w:tc>
        <w:tc>
          <w:tcPr>
            <w:tcW w:w="1134" w:type="dxa"/>
            <w:vAlign w:val="center"/>
          </w:tcPr>
          <w:p w14:paraId="4936E075" w14:textId="38B9A8E7"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20"/>
                <w14:textFill>
                  <w14:solidFill>
                    <w14:srgbClr w14:val="000000">
                      <w14:alpha w14:val="100000"/>
                    </w14:srgbClr>
                  </w14:solidFill>
                </w14:textFill>
              </w:rPr>
              <w:t>|||</w:t>
            </w:r>
            <w:r w:rsidRPr="009F6D97">
              <w:rPr>
                <w:color w:val="000000"/>
                <w:spacing w:val="1"/>
                <w:szCs w:val="20"/>
                <w:shd w:val="solid" w:color="000000" w:fill="000000"/>
                <w:fitText w:val="330" w:id="-893210620"/>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594DB7C7" w14:textId="438140D7"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9"/>
                <w14:textFill>
                  <w14:solidFill>
                    <w14:srgbClr w14:val="000000">
                      <w14:alpha w14:val="100000"/>
                    </w14:srgbClr>
                  </w14:solidFill>
                </w14:textFill>
              </w:rPr>
              <w:t>|||</w:t>
            </w:r>
            <w:r w:rsidRPr="009F6D97">
              <w:rPr>
                <w:color w:val="000000"/>
                <w:spacing w:val="1"/>
                <w:szCs w:val="20"/>
                <w:shd w:val="solid" w:color="000000" w:fill="000000"/>
                <w:fitText w:val="330" w:id="-893210619"/>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15902DE1" w14:textId="7D515E27"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8"/>
                <w14:textFill>
                  <w14:solidFill>
                    <w14:srgbClr w14:val="000000">
                      <w14:alpha w14:val="100000"/>
                    </w14:srgbClr>
                  </w14:solidFill>
                </w14:textFill>
              </w:rPr>
              <w:t>|||</w:t>
            </w:r>
            <w:r w:rsidRPr="009F6D97">
              <w:rPr>
                <w:color w:val="000000"/>
                <w:spacing w:val="1"/>
                <w:szCs w:val="20"/>
                <w:shd w:val="solid" w:color="000000" w:fill="000000"/>
                <w:fitText w:val="330" w:id="-893210618"/>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573CC962" w14:textId="673E6E78"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7"/>
                <w14:textFill>
                  <w14:solidFill>
                    <w14:srgbClr w14:val="000000">
                      <w14:alpha w14:val="100000"/>
                    </w14:srgbClr>
                  </w14:solidFill>
                </w14:textFill>
              </w:rPr>
              <w:t>|||</w:t>
            </w:r>
            <w:r w:rsidRPr="009F6D97">
              <w:rPr>
                <w:color w:val="000000"/>
                <w:spacing w:val="1"/>
                <w:szCs w:val="20"/>
                <w:shd w:val="solid" w:color="000000" w:fill="000000"/>
                <w:fitText w:val="330" w:id="-893210617"/>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52069ABA" w14:textId="7A8D08F8"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6"/>
                <w14:textFill>
                  <w14:solidFill>
                    <w14:srgbClr w14:val="000000">
                      <w14:alpha w14:val="100000"/>
                    </w14:srgbClr>
                  </w14:solidFill>
                </w14:textFill>
              </w:rPr>
              <w:t>|||</w:t>
            </w:r>
            <w:r w:rsidRPr="009F6D97">
              <w:rPr>
                <w:color w:val="000000"/>
                <w:spacing w:val="1"/>
                <w:szCs w:val="20"/>
                <w:shd w:val="solid" w:color="000000" w:fill="000000"/>
                <w:fitText w:val="330" w:id="-893210616"/>
                <w14:textFill>
                  <w14:solidFill>
                    <w14:srgbClr w14:val="000000">
                      <w14:alpha w14:val="100000"/>
                    </w14:srgbClr>
                  </w14:solidFill>
                </w14:textFill>
              </w:rPr>
              <w:t>|</w:t>
            </w:r>
            <w:r w:rsidR="009F0FE1" w:rsidRPr="005C269B">
              <w:rPr>
                <w:szCs w:val="20"/>
                <w:vertAlign w:val="superscript"/>
              </w:rPr>
              <w:t>1</w:t>
            </w:r>
          </w:p>
        </w:tc>
        <w:tc>
          <w:tcPr>
            <w:tcW w:w="1084" w:type="dxa"/>
            <w:vAlign w:val="center"/>
          </w:tcPr>
          <w:p w14:paraId="626AC183" w14:textId="626E50A1"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5"/>
                <w14:textFill>
                  <w14:solidFill>
                    <w14:srgbClr w14:val="000000">
                      <w14:alpha w14:val="100000"/>
                    </w14:srgbClr>
                  </w14:solidFill>
                </w14:textFill>
              </w:rPr>
              <w:t>|||</w:t>
            </w:r>
            <w:r w:rsidRPr="009F6D97">
              <w:rPr>
                <w:color w:val="000000"/>
                <w:spacing w:val="1"/>
                <w:szCs w:val="20"/>
                <w:shd w:val="solid" w:color="000000" w:fill="000000"/>
                <w:fitText w:val="330" w:id="-893210615"/>
                <w14:textFill>
                  <w14:solidFill>
                    <w14:srgbClr w14:val="000000">
                      <w14:alpha w14:val="100000"/>
                    </w14:srgbClr>
                  </w14:solidFill>
                </w14:textFill>
              </w:rPr>
              <w:t>|</w:t>
            </w:r>
            <w:r w:rsidR="009F0FE1" w:rsidRPr="005C269B">
              <w:rPr>
                <w:szCs w:val="20"/>
                <w:vertAlign w:val="superscript"/>
              </w:rPr>
              <w:t>1</w:t>
            </w:r>
          </w:p>
        </w:tc>
      </w:tr>
      <w:tr w:rsidR="007B2E9F" w:rsidRPr="00731632" w14:paraId="199B5F78" w14:textId="77777777" w:rsidTr="003E1422">
        <w:tc>
          <w:tcPr>
            <w:tcW w:w="2263" w:type="dxa"/>
            <w:vAlign w:val="center"/>
          </w:tcPr>
          <w:p w14:paraId="5F9CAD0F" w14:textId="2C265308" w:rsidR="007B2E9F" w:rsidRPr="00731632" w:rsidRDefault="007B2E9F" w:rsidP="00866F91">
            <w:pPr>
              <w:pStyle w:val="Tabletext"/>
              <w:keepNext/>
            </w:pPr>
            <w:r w:rsidRPr="00731632">
              <w:t>Revised</w:t>
            </w:r>
            <w:r w:rsidR="00801077" w:rsidRPr="00731632">
              <w:rPr>
                <w:vertAlign w:val="superscript"/>
              </w:rPr>
              <w:t>b</w:t>
            </w:r>
            <w:r w:rsidRPr="00731632">
              <w:t xml:space="preserve"> </w:t>
            </w:r>
          </w:p>
        </w:tc>
        <w:tc>
          <w:tcPr>
            <w:tcW w:w="1134" w:type="dxa"/>
            <w:vAlign w:val="center"/>
          </w:tcPr>
          <w:p w14:paraId="18A80878" w14:textId="2B1CC26E"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4"/>
                <w14:textFill>
                  <w14:solidFill>
                    <w14:srgbClr w14:val="000000">
                      <w14:alpha w14:val="100000"/>
                    </w14:srgbClr>
                  </w14:solidFill>
                </w14:textFill>
              </w:rPr>
              <w:t>|||</w:t>
            </w:r>
            <w:r w:rsidRPr="009F6D97">
              <w:rPr>
                <w:color w:val="000000"/>
                <w:spacing w:val="1"/>
                <w:szCs w:val="20"/>
                <w:shd w:val="solid" w:color="000000" w:fill="000000"/>
                <w:fitText w:val="330" w:id="-893210614"/>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0159AC47" w14:textId="486C76C7"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3"/>
                <w14:textFill>
                  <w14:solidFill>
                    <w14:srgbClr w14:val="000000">
                      <w14:alpha w14:val="100000"/>
                    </w14:srgbClr>
                  </w14:solidFill>
                </w14:textFill>
              </w:rPr>
              <w:t>|||</w:t>
            </w:r>
            <w:r w:rsidRPr="009F6D97">
              <w:rPr>
                <w:color w:val="000000"/>
                <w:spacing w:val="1"/>
                <w:szCs w:val="20"/>
                <w:shd w:val="solid" w:color="000000" w:fill="000000"/>
                <w:fitText w:val="330" w:id="-893210613"/>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6832DA9C" w14:textId="5857BD4B"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2"/>
                <w14:textFill>
                  <w14:solidFill>
                    <w14:srgbClr w14:val="000000">
                      <w14:alpha w14:val="100000"/>
                    </w14:srgbClr>
                  </w14:solidFill>
                </w14:textFill>
              </w:rPr>
              <w:t>|||</w:t>
            </w:r>
            <w:r w:rsidRPr="009F6D97">
              <w:rPr>
                <w:color w:val="000000"/>
                <w:spacing w:val="1"/>
                <w:szCs w:val="20"/>
                <w:shd w:val="solid" w:color="000000" w:fill="000000"/>
                <w:fitText w:val="330" w:id="-893210612"/>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01F98312" w14:textId="2CF448FE"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1"/>
                <w14:textFill>
                  <w14:solidFill>
                    <w14:srgbClr w14:val="000000">
                      <w14:alpha w14:val="100000"/>
                    </w14:srgbClr>
                  </w14:solidFill>
                </w14:textFill>
              </w:rPr>
              <w:t>|||</w:t>
            </w:r>
            <w:r w:rsidRPr="009F6D97">
              <w:rPr>
                <w:color w:val="000000"/>
                <w:spacing w:val="1"/>
                <w:szCs w:val="20"/>
                <w:shd w:val="solid" w:color="000000" w:fill="000000"/>
                <w:fitText w:val="330" w:id="-893210611"/>
                <w14:textFill>
                  <w14:solidFill>
                    <w14:srgbClr w14:val="000000">
                      <w14:alpha w14:val="100000"/>
                    </w14:srgbClr>
                  </w14:solidFill>
                </w14:textFill>
              </w:rPr>
              <w:t>|</w:t>
            </w:r>
            <w:r w:rsidR="009F0FE1" w:rsidRPr="005C269B">
              <w:rPr>
                <w:szCs w:val="20"/>
                <w:vertAlign w:val="superscript"/>
              </w:rPr>
              <w:t>1</w:t>
            </w:r>
          </w:p>
        </w:tc>
        <w:tc>
          <w:tcPr>
            <w:tcW w:w="1134" w:type="dxa"/>
            <w:vAlign w:val="center"/>
          </w:tcPr>
          <w:p w14:paraId="5C25F3CC" w14:textId="650EF53A"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0"/>
                <w14:textFill>
                  <w14:solidFill>
                    <w14:srgbClr w14:val="000000">
                      <w14:alpha w14:val="100000"/>
                    </w14:srgbClr>
                  </w14:solidFill>
                </w14:textFill>
              </w:rPr>
              <w:t>|||</w:t>
            </w:r>
            <w:r w:rsidRPr="009F6D97">
              <w:rPr>
                <w:color w:val="000000"/>
                <w:spacing w:val="1"/>
                <w:szCs w:val="20"/>
                <w:shd w:val="solid" w:color="000000" w:fill="000000"/>
                <w:fitText w:val="330" w:id="-893210610"/>
                <w14:textFill>
                  <w14:solidFill>
                    <w14:srgbClr w14:val="000000">
                      <w14:alpha w14:val="100000"/>
                    </w14:srgbClr>
                  </w14:solidFill>
                </w14:textFill>
              </w:rPr>
              <w:t>|</w:t>
            </w:r>
            <w:r w:rsidR="009F0FE1" w:rsidRPr="005C269B">
              <w:rPr>
                <w:szCs w:val="20"/>
                <w:vertAlign w:val="superscript"/>
              </w:rPr>
              <w:t>1</w:t>
            </w:r>
          </w:p>
        </w:tc>
        <w:tc>
          <w:tcPr>
            <w:tcW w:w="1084" w:type="dxa"/>
            <w:vAlign w:val="center"/>
          </w:tcPr>
          <w:p w14:paraId="3706C409" w14:textId="725E8AEB"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09"/>
                <w14:textFill>
                  <w14:solidFill>
                    <w14:srgbClr w14:val="000000">
                      <w14:alpha w14:val="100000"/>
                    </w14:srgbClr>
                  </w14:solidFill>
                </w14:textFill>
              </w:rPr>
              <w:t>|||</w:t>
            </w:r>
            <w:r w:rsidRPr="009F6D97">
              <w:rPr>
                <w:color w:val="000000"/>
                <w:spacing w:val="1"/>
                <w:szCs w:val="20"/>
                <w:shd w:val="solid" w:color="000000" w:fill="000000"/>
                <w:fitText w:val="330" w:id="-893210609"/>
                <w14:textFill>
                  <w14:solidFill>
                    <w14:srgbClr w14:val="000000">
                      <w14:alpha w14:val="100000"/>
                    </w14:srgbClr>
                  </w14:solidFill>
                </w14:textFill>
              </w:rPr>
              <w:t>|</w:t>
            </w:r>
            <w:r w:rsidR="009F0FE1" w:rsidRPr="005C269B">
              <w:rPr>
                <w:szCs w:val="20"/>
                <w:vertAlign w:val="superscript"/>
              </w:rPr>
              <w:t>1</w:t>
            </w:r>
          </w:p>
        </w:tc>
      </w:tr>
      <w:tr w:rsidR="007B2E9F" w:rsidRPr="00731632" w14:paraId="35CDFD03" w14:textId="77777777" w:rsidTr="00866F91">
        <w:tc>
          <w:tcPr>
            <w:tcW w:w="9017" w:type="dxa"/>
            <w:gridSpan w:val="7"/>
          </w:tcPr>
          <w:p w14:paraId="78AA3C08" w14:textId="77777777" w:rsidR="007B2E9F" w:rsidRPr="00731632" w:rsidRDefault="007B2E9F" w:rsidP="00866F91">
            <w:pPr>
              <w:pStyle w:val="Tabletext"/>
              <w:keepNext/>
              <w:rPr>
                <w:b/>
                <w:bCs/>
              </w:rPr>
            </w:pPr>
            <w:r w:rsidRPr="00731632">
              <w:rPr>
                <w:b/>
                <w:bCs/>
              </w:rPr>
              <w:t>Estimated financial implications of nirsevimab to the PBS/RPBS</w:t>
            </w:r>
          </w:p>
        </w:tc>
      </w:tr>
      <w:tr w:rsidR="007B2E9F" w:rsidRPr="00731632" w14:paraId="53678730" w14:textId="77777777" w:rsidTr="003E1422">
        <w:tc>
          <w:tcPr>
            <w:tcW w:w="2263" w:type="dxa"/>
          </w:tcPr>
          <w:p w14:paraId="3A702A8A" w14:textId="578662B6" w:rsidR="007B2E9F" w:rsidRPr="00731632" w:rsidRDefault="007B2E9F" w:rsidP="00866F91">
            <w:pPr>
              <w:pStyle w:val="Tabletext"/>
              <w:keepNext/>
            </w:pPr>
            <w:r w:rsidRPr="00731632">
              <w:t>Cost to the PBS</w:t>
            </w:r>
            <w:r w:rsidR="00027CB5" w:rsidRPr="00731632">
              <w:t>/RPBS</w:t>
            </w:r>
            <w:r w:rsidRPr="00731632">
              <w:t xml:space="preserve"> less copayments</w:t>
            </w:r>
          </w:p>
        </w:tc>
        <w:tc>
          <w:tcPr>
            <w:tcW w:w="1134" w:type="dxa"/>
            <w:vAlign w:val="center"/>
          </w:tcPr>
          <w:p w14:paraId="7C1CD0C9" w14:textId="73A7AE00"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08"/>
                <w14:textFill>
                  <w14:solidFill>
                    <w14:srgbClr w14:val="000000">
                      <w14:alpha w14:val="100000"/>
                    </w14:srgbClr>
                  </w14:solidFill>
                </w14:textFill>
              </w:rPr>
              <w:t>|||</w:t>
            </w:r>
            <w:r w:rsidRPr="009F6D97">
              <w:rPr>
                <w:rFonts w:cs="Arial"/>
                <w:color w:val="000000"/>
                <w:spacing w:val="1"/>
                <w:szCs w:val="20"/>
                <w:shd w:val="solid" w:color="000000" w:fill="000000"/>
                <w:fitText w:val="330" w:id="-893210608"/>
                <w14:textFill>
                  <w14:solidFill>
                    <w14:srgbClr w14:val="000000">
                      <w14:alpha w14:val="100000"/>
                    </w14:srgbClr>
                  </w14:solidFill>
                </w14:textFill>
              </w:rPr>
              <w:t>|</w:t>
            </w:r>
            <w:r w:rsidR="0019650A" w:rsidRPr="009A482D">
              <w:rPr>
                <w:rFonts w:cs="Arial"/>
                <w:color w:val="000000"/>
                <w:szCs w:val="20"/>
                <w:vertAlign w:val="superscript"/>
              </w:rPr>
              <w:t>2</w:t>
            </w:r>
          </w:p>
        </w:tc>
        <w:tc>
          <w:tcPr>
            <w:tcW w:w="1134" w:type="dxa"/>
            <w:vAlign w:val="center"/>
          </w:tcPr>
          <w:p w14:paraId="7882BB5B" w14:textId="1B166203"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24"/>
                <w14:textFill>
                  <w14:solidFill>
                    <w14:srgbClr w14:val="000000">
                      <w14:alpha w14:val="100000"/>
                    </w14:srgbClr>
                  </w14:solidFill>
                </w14:textFill>
              </w:rPr>
              <w:t>|||</w:t>
            </w:r>
            <w:r w:rsidRPr="009F6D97">
              <w:rPr>
                <w:rFonts w:cs="Arial"/>
                <w:color w:val="000000"/>
                <w:spacing w:val="1"/>
                <w:szCs w:val="20"/>
                <w:shd w:val="solid" w:color="000000" w:fill="000000"/>
                <w:fitText w:val="330" w:id="-893210624"/>
                <w14:textFill>
                  <w14:solidFill>
                    <w14:srgbClr w14:val="000000">
                      <w14:alpha w14:val="100000"/>
                    </w14:srgbClr>
                  </w14:solidFill>
                </w14:textFill>
              </w:rPr>
              <w:t>|</w:t>
            </w:r>
            <w:r w:rsidR="0019650A" w:rsidRPr="005C269B">
              <w:rPr>
                <w:rFonts w:cs="Arial"/>
                <w:color w:val="000000"/>
                <w:szCs w:val="20"/>
                <w:vertAlign w:val="superscript"/>
              </w:rPr>
              <w:t>2</w:t>
            </w:r>
          </w:p>
        </w:tc>
        <w:tc>
          <w:tcPr>
            <w:tcW w:w="1134" w:type="dxa"/>
            <w:vAlign w:val="center"/>
          </w:tcPr>
          <w:p w14:paraId="4A5A9A81" w14:textId="1FE6BC8D"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23"/>
                <w14:textFill>
                  <w14:solidFill>
                    <w14:srgbClr w14:val="000000">
                      <w14:alpha w14:val="100000"/>
                    </w14:srgbClr>
                  </w14:solidFill>
                </w14:textFill>
              </w:rPr>
              <w:t>|||</w:t>
            </w:r>
            <w:r w:rsidRPr="009F6D97">
              <w:rPr>
                <w:rFonts w:cs="Arial"/>
                <w:color w:val="000000"/>
                <w:spacing w:val="1"/>
                <w:szCs w:val="20"/>
                <w:shd w:val="solid" w:color="000000" w:fill="000000"/>
                <w:fitText w:val="330" w:id="-893210623"/>
                <w14:textFill>
                  <w14:solidFill>
                    <w14:srgbClr w14:val="000000">
                      <w14:alpha w14:val="100000"/>
                    </w14:srgbClr>
                  </w14:solidFill>
                </w14:textFill>
              </w:rPr>
              <w:t>|</w:t>
            </w:r>
            <w:r w:rsidR="0019650A" w:rsidRPr="005C269B">
              <w:rPr>
                <w:rFonts w:cs="Arial"/>
                <w:color w:val="000000"/>
                <w:szCs w:val="20"/>
                <w:vertAlign w:val="superscript"/>
              </w:rPr>
              <w:t>2</w:t>
            </w:r>
          </w:p>
        </w:tc>
        <w:tc>
          <w:tcPr>
            <w:tcW w:w="1134" w:type="dxa"/>
            <w:vAlign w:val="center"/>
          </w:tcPr>
          <w:p w14:paraId="10E617DD" w14:textId="50117019"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22"/>
                <w14:textFill>
                  <w14:solidFill>
                    <w14:srgbClr w14:val="000000">
                      <w14:alpha w14:val="100000"/>
                    </w14:srgbClr>
                  </w14:solidFill>
                </w14:textFill>
              </w:rPr>
              <w:t>|||</w:t>
            </w:r>
            <w:r w:rsidRPr="009F6D97">
              <w:rPr>
                <w:rFonts w:cs="Arial"/>
                <w:color w:val="000000"/>
                <w:spacing w:val="1"/>
                <w:szCs w:val="20"/>
                <w:shd w:val="solid" w:color="000000" w:fill="000000"/>
                <w:fitText w:val="330" w:id="-893210622"/>
                <w14:textFill>
                  <w14:solidFill>
                    <w14:srgbClr w14:val="000000">
                      <w14:alpha w14:val="100000"/>
                    </w14:srgbClr>
                  </w14:solidFill>
                </w14:textFill>
              </w:rPr>
              <w:t>|</w:t>
            </w:r>
            <w:r w:rsidR="0019650A" w:rsidRPr="005C269B">
              <w:rPr>
                <w:rFonts w:cs="Arial"/>
                <w:color w:val="000000"/>
                <w:szCs w:val="20"/>
                <w:vertAlign w:val="superscript"/>
              </w:rPr>
              <w:t>2</w:t>
            </w:r>
          </w:p>
        </w:tc>
        <w:tc>
          <w:tcPr>
            <w:tcW w:w="1134" w:type="dxa"/>
            <w:vAlign w:val="center"/>
          </w:tcPr>
          <w:p w14:paraId="662E3A52" w14:textId="51E00D02"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21"/>
                <w14:textFill>
                  <w14:solidFill>
                    <w14:srgbClr w14:val="000000">
                      <w14:alpha w14:val="100000"/>
                    </w14:srgbClr>
                  </w14:solidFill>
                </w14:textFill>
              </w:rPr>
              <w:t>|||</w:t>
            </w:r>
            <w:r w:rsidRPr="009F6D97">
              <w:rPr>
                <w:rFonts w:cs="Arial"/>
                <w:color w:val="000000"/>
                <w:spacing w:val="1"/>
                <w:szCs w:val="20"/>
                <w:shd w:val="solid" w:color="000000" w:fill="000000"/>
                <w:fitText w:val="330" w:id="-893210621"/>
                <w14:textFill>
                  <w14:solidFill>
                    <w14:srgbClr w14:val="000000">
                      <w14:alpha w14:val="100000"/>
                    </w14:srgbClr>
                  </w14:solidFill>
                </w14:textFill>
              </w:rPr>
              <w:t>|</w:t>
            </w:r>
            <w:r w:rsidR="0019650A" w:rsidRPr="005C269B">
              <w:rPr>
                <w:rFonts w:cs="Arial"/>
                <w:color w:val="000000"/>
                <w:szCs w:val="20"/>
                <w:vertAlign w:val="superscript"/>
              </w:rPr>
              <w:t>2</w:t>
            </w:r>
          </w:p>
        </w:tc>
        <w:tc>
          <w:tcPr>
            <w:tcW w:w="1084" w:type="dxa"/>
            <w:vAlign w:val="center"/>
          </w:tcPr>
          <w:p w14:paraId="16804F1B" w14:textId="5845B4FE"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20"/>
                <w14:textFill>
                  <w14:solidFill>
                    <w14:srgbClr w14:val="000000">
                      <w14:alpha w14:val="100000"/>
                    </w14:srgbClr>
                  </w14:solidFill>
                </w14:textFill>
              </w:rPr>
              <w:t>|||</w:t>
            </w:r>
            <w:r w:rsidRPr="009F6D97">
              <w:rPr>
                <w:rFonts w:cs="Arial"/>
                <w:color w:val="000000"/>
                <w:spacing w:val="1"/>
                <w:szCs w:val="20"/>
                <w:shd w:val="solid" w:color="000000" w:fill="000000"/>
                <w:fitText w:val="330" w:id="-893210620"/>
                <w14:textFill>
                  <w14:solidFill>
                    <w14:srgbClr w14:val="000000">
                      <w14:alpha w14:val="100000"/>
                    </w14:srgbClr>
                  </w14:solidFill>
                </w14:textFill>
              </w:rPr>
              <w:t>|</w:t>
            </w:r>
            <w:r w:rsidR="0019650A" w:rsidRPr="005C269B">
              <w:rPr>
                <w:rFonts w:cs="Arial"/>
                <w:color w:val="000000"/>
                <w:szCs w:val="20"/>
                <w:vertAlign w:val="superscript"/>
              </w:rPr>
              <w:t>2</w:t>
            </w:r>
          </w:p>
        </w:tc>
      </w:tr>
      <w:tr w:rsidR="007B2E9F" w:rsidRPr="00731632" w14:paraId="50BF4E55" w14:textId="77777777" w:rsidTr="003E1422">
        <w:tc>
          <w:tcPr>
            <w:tcW w:w="2263" w:type="dxa"/>
          </w:tcPr>
          <w:p w14:paraId="45BA281C" w14:textId="5F1C153E" w:rsidR="007B2E9F" w:rsidRPr="00731632" w:rsidRDefault="007B2E9F" w:rsidP="00866F91">
            <w:pPr>
              <w:pStyle w:val="Tabletext"/>
              <w:keepNext/>
            </w:pPr>
            <w:r w:rsidRPr="00731632">
              <w:t>Revised</w:t>
            </w:r>
            <w:r w:rsidR="00801077" w:rsidRPr="00731632">
              <w:rPr>
                <w:vertAlign w:val="superscript"/>
              </w:rPr>
              <w:t>b</w:t>
            </w:r>
            <w:r w:rsidRPr="00731632">
              <w:t xml:space="preserve"> </w:t>
            </w:r>
          </w:p>
        </w:tc>
        <w:tc>
          <w:tcPr>
            <w:tcW w:w="1134" w:type="dxa"/>
            <w:vAlign w:val="center"/>
          </w:tcPr>
          <w:p w14:paraId="11A194B0" w14:textId="75DA6E46"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9"/>
                <w14:textFill>
                  <w14:solidFill>
                    <w14:srgbClr w14:val="000000">
                      <w14:alpha w14:val="100000"/>
                    </w14:srgbClr>
                  </w14:solidFill>
                </w14:textFill>
              </w:rPr>
              <w:t>|||</w:t>
            </w:r>
            <w:r w:rsidRPr="009F6D97">
              <w:rPr>
                <w:color w:val="000000"/>
                <w:spacing w:val="1"/>
                <w:szCs w:val="20"/>
                <w:shd w:val="solid" w:color="000000" w:fill="000000"/>
                <w:fitText w:val="330" w:id="-893210619"/>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7ED1E798" w14:textId="482757DD"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8"/>
                <w14:textFill>
                  <w14:solidFill>
                    <w14:srgbClr w14:val="000000">
                      <w14:alpha w14:val="100000"/>
                    </w14:srgbClr>
                  </w14:solidFill>
                </w14:textFill>
              </w:rPr>
              <w:t>|||</w:t>
            </w:r>
            <w:r w:rsidRPr="009F6D97">
              <w:rPr>
                <w:color w:val="000000"/>
                <w:spacing w:val="1"/>
                <w:szCs w:val="20"/>
                <w:shd w:val="solid" w:color="000000" w:fill="000000"/>
                <w:fitText w:val="330" w:id="-893210618"/>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55AEB33F" w14:textId="0E740FA6"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7"/>
                <w14:textFill>
                  <w14:solidFill>
                    <w14:srgbClr w14:val="000000">
                      <w14:alpha w14:val="100000"/>
                    </w14:srgbClr>
                  </w14:solidFill>
                </w14:textFill>
              </w:rPr>
              <w:t>|||</w:t>
            </w:r>
            <w:r w:rsidRPr="009F6D97">
              <w:rPr>
                <w:color w:val="000000"/>
                <w:spacing w:val="1"/>
                <w:szCs w:val="20"/>
                <w:shd w:val="solid" w:color="000000" w:fill="000000"/>
                <w:fitText w:val="330" w:id="-893210617"/>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2A1F49A3" w14:textId="54C9E42E"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6"/>
                <w14:textFill>
                  <w14:solidFill>
                    <w14:srgbClr w14:val="000000">
                      <w14:alpha w14:val="100000"/>
                    </w14:srgbClr>
                  </w14:solidFill>
                </w14:textFill>
              </w:rPr>
              <w:t>|||</w:t>
            </w:r>
            <w:r w:rsidRPr="009F6D97">
              <w:rPr>
                <w:color w:val="000000"/>
                <w:spacing w:val="1"/>
                <w:szCs w:val="20"/>
                <w:shd w:val="solid" w:color="000000" w:fill="000000"/>
                <w:fitText w:val="330" w:id="-893210616"/>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0D58AC36" w14:textId="7983B5F7"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5"/>
                <w14:textFill>
                  <w14:solidFill>
                    <w14:srgbClr w14:val="000000">
                      <w14:alpha w14:val="100000"/>
                    </w14:srgbClr>
                  </w14:solidFill>
                </w14:textFill>
              </w:rPr>
              <w:t>|||</w:t>
            </w:r>
            <w:r w:rsidRPr="009F6D97">
              <w:rPr>
                <w:color w:val="000000"/>
                <w:spacing w:val="1"/>
                <w:szCs w:val="20"/>
                <w:shd w:val="solid" w:color="000000" w:fill="000000"/>
                <w:fitText w:val="330" w:id="-893210615"/>
                <w14:textFill>
                  <w14:solidFill>
                    <w14:srgbClr w14:val="000000">
                      <w14:alpha w14:val="100000"/>
                    </w14:srgbClr>
                  </w14:solidFill>
                </w14:textFill>
              </w:rPr>
              <w:t>|</w:t>
            </w:r>
            <w:r w:rsidR="00D02FB0" w:rsidRPr="005C269B">
              <w:rPr>
                <w:rFonts w:cs="Arial"/>
                <w:color w:val="000000"/>
                <w:szCs w:val="20"/>
                <w:vertAlign w:val="superscript"/>
              </w:rPr>
              <w:t>2</w:t>
            </w:r>
          </w:p>
        </w:tc>
        <w:tc>
          <w:tcPr>
            <w:tcW w:w="1084" w:type="dxa"/>
            <w:vAlign w:val="center"/>
          </w:tcPr>
          <w:p w14:paraId="1DD35DB9" w14:textId="530F7C51"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4"/>
                <w14:textFill>
                  <w14:solidFill>
                    <w14:srgbClr w14:val="000000">
                      <w14:alpha w14:val="100000"/>
                    </w14:srgbClr>
                  </w14:solidFill>
                </w14:textFill>
              </w:rPr>
              <w:t>|||</w:t>
            </w:r>
            <w:r w:rsidRPr="009F6D97">
              <w:rPr>
                <w:color w:val="000000"/>
                <w:spacing w:val="1"/>
                <w:szCs w:val="20"/>
                <w:shd w:val="solid" w:color="000000" w:fill="000000"/>
                <w:fitText w:val="330" w:id="-893210614"/>
                <w14:textFill>
                  <w14:solidFill>
                    <w14:srgbClr w14:val="000000">
                      <w14:alpha w14:val="100000"/>
                    </w14:srgbClr>
                  </w14:solidFill>
                </w14:textFill>
              </w:rPr>
              <w:t>|</w:t>
            </w:r>
            <w:r w:rsidR="00D02FB0" w:rsidRPr="005C269B">
              <w:rPr>
                <w:rFonts w:cs="Arial"/>
                <w:color w:val="000000"/>
                <w:szCs w:val="20"/>
                <w:vertAlign w:val="superscript"/>
              </w:rPr>
              <w:t>2</w:t>
            </w:r>
          </w:p>
        </w:tc>
      </w:tr>
      <w:tr w:rsidR="007B2E9F" w:rsidRPr="00731632" w14:paraId="17A6FC4F" w14:textId="77777777" w:rsidTr="00866F91">
        <w:tc>
          <w:tcPr>
            <w:tcW w:w="9017" w:type="dxa"/>
            <w:gridSpan w:val="7"/>
          </w:tcPr>
          <w:p w14:paraId="562D01B2" w14:textId="77777777" w:rsidR="007B2E9F" w:rsidRPr="00731632" w:rsidRDefault="007B2E9F" w:rsidP="00866F91">
            <w:pPr>
              <w:pStyle w:val="Tabletext"/>
              <w:keepNext/>
              <w:rPr>
                <w:b/>
                <w:bCs/>
                <w:color w:val="000000"/>
                <w:szCs w:val="20"/>
              </w:rPr>
            </w:pPr>
            <w:r w:rsidRPr="00731632">
              <w:rPr>
                <w:b/>
                <w:bCs/>
                <w:color w:val="000000"/>
                <w:szCs w:val="20"/>
              </w:rPr>
              <w:t>Estimated financial implications for other drugs</w:t>
            </w:r>
          </w:p>
        </w:tc>
      </w:tr>
      <w:tr w:rsidR="007B2E9F" w:rsidRPr="00731632" w14:paraId="31E75A2B" w14:textId="77777777" w:rsidTr="003E1422">
        <w:tc>
          <w:tcPr>
            <w:tcW w:w="2263" w:type="dxa"/>
          </w:tcPr>
          <w:p w14:paraId="7C2A12BA" w14:textId="07209FA2" w:rsidR="007B2E9F" w:rsidRPr="00731632" w:rsidRDefault="007B2E9F" w:rsidP="00866F91">
            <w:pPr>
              <w:pStyle w:val="Tabletext"/>
              <w:keepNext/>
            </w:pPr>
            <w:r w:rsidRPr="00731632">
              <w:t>Cost to the PBS</w:t>
            </w:r>
            <w:r w:rsidR="00027CB5" w:rsidRPr="00731632">
              <w:t>/RPBS</w:t>
            </w:r>
            <w:r w:rsidRPr="00731632">
              <w:t xml:space="preserve"> less copayments</w:t>
            </w:r>
          </w:p>
        </w:tc>
        <w:tc>
          <w:tcPr>
            <w:tcW w:w="1134" w:type="dxa"/>
            <w:vAlign w:val="center"/>
          </w:tcPr>
          <w:p w14:paraId="751D53F7" w14:textId="4D96EF5D" w:rsidR="007B2E9F" w:rsidRPr="009A482D" w:rsidRDefault="009F6D97" w:rsidP="003E1422">
            <w:pPr>
              <w:pStyle w:val="Tabletext"/>
              <w:keepNext/>
              <w:jc w:val="center"/>
              <w:rPr>
                <w:color w:val="000000"/>
                <w:szCs w:val="20"/>
                <w:highlight w:val="lightGray"/>
              </w:rPr>
            </w:pPr>
            <w:r w:rsidRPr="009F6D97">
              <w:rPr>
                <w:color w:val="000000"/>
                <w:spacing w:val="53"/>
                <w:szCs w:val="20"/>
                <w:shd w:val="solid" w:color="000000" w:fill="000000"/>
                <w:fitText w:val="330" w:id="-893210613"/>
                <w14:textFill>
                  <w14:solidFill>
                    <w14:srgbClr w14:val="000000">
                      <w14:alpha w14:val="100000"/>
                    </w14:srgbClr>
                  </w14:solidFill>
                </w14:textFill>
              </w:rPr>
              <w:t>|||</w:t>
            </w:r>
            <w:r w:rsidRPr="009F6D97">
              <w:rPr>
                <w:color w:val="000000"/>
                <w:spacing w:val="1"/>
                <w:szCs w:val="20"/>
                <w:shd w:val="solid" w:color="000000" w:fill="000000"/>
                <w:fitText w:val="330" w:id="-893210613"/>
                <w14:textFill>
                  <w14:solidFill>
                    <w14:srgbClr w14:val="000000">
                      <w14:alpha w14:val="100000"/>
                    </w14:srgbClr>
                  </w14:solidFill>
                </w14:textFill>
              </w:rPr>
              <w:t>|</w:t>
            </w:r>
            <w:r w:rsidR="00D02FB0" w:rsidRPr="009A482D">
              <w:rPr>
                <w:color w:val="000000"/>
                <w:szCs w:val="20"/>
                <w:vertAlign w:val="superscript"/>
              </w:rPr>
              <w:t>3</w:t>
            </w:r>
          </w:p>
        </w:tc>
        <w:tc>
          <w:tcPr>
            <w:tcW w:w="1134" w:type="dxa"/>
            <w:vAlign w:val="center"/>
          </w:tcPr>
          <w:p w14:paraId="012B283D" w14:textId="3C1597A6" w:rsidR="007B2E9F" w:rsidRPr="009A482D" w:rsidRDefault="009F6D97" w:rsidP="003E1422">
            <w:pPr>
              <w:pStyle w:val="Tabletext"/>
              <w:keepNext/>
              <w:jc w:val="center"/>
              <w:rPr>
                <w:color w:val="000000"/>
                <w:szCs w:val="20"/>
                <w:highlight w:val="lightGray"/>
              </w:rPr>
            </w:pPr>
            <w:r w:rsidRPr="009F6D97">
              <w:rPr>
                <w:color w:val="000000"/>
                <w:spacing w:val="53"/>
                <w:szCs w:val="20"/>
                <w:shd w:val="solid" w:color="000000" w:fill="000000"/>
                <w:fitText w:val="330" w:id="-893210612"/>
                <w14:textFill>
                  <w14:solidFill>
                    <w14:srgbClr w14:val="000000">
                      <w14:alpha w14:val="100000"/>
                    </w14:srgbClr>
                  </w14:solidFill>
                </w14:textFill>
              </w:rPr>
              <w:t>|||</w:t>
            </w:r>
            <w:r w:rsidRPr="009F6D97">
              <w:rPr>
                <w:color w:val="000000"/>
                <w:spacing w:val="1"/>
                <w:szCs w:val="20"/>
                <w:shd w:val="solid" w:color="000000" w:fill="000000"/>
                <w:fitText w:val="330" w:id="-893210612"/>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6FB36939" w14:textId="098AB73A" w:rsidR="007B2E9F" w:rsidRPr="009A482D" w:rsidRDefault="009F6D97" w:rsidP="003E1422">
            <w:pPr>
              <w:pStyle w:val="Tabletext"/>
              <w:keepNext/>
              <w:jc w:val="center"/>
              <w:rPr>
                <w:color w:val="000000"/>
                <w:szCs w:val="20"/>
                <w:highlight w:val="lightGray"/>
              </w:rPr>
            </w:pPr>
            <w:r w:rsidRPr="009F6D97">
              <w:rPr>
                <w:color w:val="000000"/>
                <w:spacing w:val="53"/>
                <w:szCs w:val="20"/>
                <w:shd w:val="solid" w:color="000000" w:fill="000000"/>
                <w:fitText w:val="330" w:id="-893210611"/>
                <w14:textFill>
                  <w14:solidFill>
                    <w14:srgbClr w14:val="000000">
                      <w14:alpha w14:val="100000"/>
                    </w14:srgbClr>
                  </w14:solidFill>
                </w14:textFill>
              </w:rPr>
              <w:t>|||</w:t>
            </w:r>
            <w:r w:rsidRPr="009F6D97">
              <w:rPr>
                <w:color w:val="000000"/>
                <w:spacing w:val="1"/>
                <w:szCs w:val="20"/>
                <w:shd w:val="solid" w:color="000000" w:fill="000000"/>
                <w:fitText w:val="330" w:id="-893210611"/>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50D8B155" w14:textId="27C2C4E8" w:rsidR="007B2E9F" w:rsidRPr="009A482D" w:rsidRDefault="009F6D97" w:rsidP="003E1422">
            <w:pPr>
              <w:pStyle w:val="Tabletext"/>
              <w:keepNext/>
              <w:jc w:val="center"/>
              <w:rPr>
                <w:color w:val="000000"/>
                <w:szCs w:val="20"/>
                <w:highlight w:val="lightGray"/>
              </w:rPr>
            </w:pPr>
            <w:r w:rsidRPr="009F6D97">
              <w:rPr>
                <w:color w:val="000000"/>
                <w:spacing w:val="53"/>
                <w:szCs w:val="20"/>
                <w:shd w:val="solid" w:color="000000" w:fill="000000"/>
                <w:fitText w:val="330" w:id="-893210610"/>
                <w14:textFill>
                  <w14:solidFill>
                    <w14:srgbClr w14:val="000000">
                      <w14:alpha w14:val="100000"/>
                    </w14:srgbClr>
                  </w14:solidFill>
                </w14:textFill>
              </w:rPr>
              <w:t>|||</w:t>
            </w:r>
            <w:r w:rsidRPr="009F6D97">
              <w:rPr>
                <w:color w:val="000000"/>
                <w:spacing w:val="1"/>
                <w:szCs w:val="20"/>
                <w:shd w:val="solid" w:color="000000" w:fill="000000"/>
                <w:fitText w:val="330" w:id="-893210610"/>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2417F866" w14:textId="5AE40E9C" w:rsidR="007B2E9F" w:rsidRPr="009A482D" w:rsidRDefault="009F6D97" w:rsidP="003E1422">
            <w:pPr>
              <w:pStyle w:val="Tabletext"/>
              <w:keepNext/>
              <w:jc w:val="center"/>
              <w:rPr>
                <w:color w:val="000000"/>
                <w:szCs w:val="20"/>
                <w:highlight w:val="lightGray"/>
              </w:rPr>
            </w:pPr>
            <w:r w:rsidRPr="009F6D97">
              <w:rPr>
                <w:color w:val="000000"/>
                <w:spacing w:val="53"/>
                <w:szCs w:val="20"/>
                <w:shd w:val="solid" w:color="000000" w:fill="000000"/>
                <w:fitText w:val="330" w:id="-893210609"/>
                <w14:textFill>
                  <w14:solidFill>
                    <w14:srgbClr w14:val="000000">
                      <w14:alpha w14:val="100000"/>
                    </w14:srgbClr>
                  </w14:solidFill>
                </w14:textFill>
              </w:rPr>
              <w:t>|||</w:t>
            </w:r>
            <w:r w:rsidRPr="009F6D97">
              <w:rPr>
                <w:color w:val="000000"/>
                <w:spacing w:val="1"/>
                <w:szCs w:val="20"/>
                <w:shd w:val="solid" w:color="000000" w:fill="000000"/>
                <w:fitText w:val="330" w:id="-893210609"/>
                <w14:textFill>
                  <w14:solidFill>
                    <w14:srgbClr w14:val="000000">
                      <w14:alpha w14:val="100000"/>
                    </w14:srgbClr>
                  </w14:solidFill>
                </w14:textFill>
              </w:rPr>
              <w:t>|</w:t>
            </w:r>
            <w:r w:rsidR="00D02FB0" w:rsidRPr="005C269B">
              <w:rPr>
                <w:color w:val="000000"/>
                <w:szCs w:val="20"/>
                <w:vertAlign w:val="superscript"/>
              </w:rPr>
              <w:t>3</w:t>
            </w:r>
          </w:p>
        </w:tc>
        <w:tc>
          <w:tcPr>
            <w:tcW w:w="1084" w:type="dxa"/>
            <w:vAlign w:val="center"/>
          </w:tcPr>
          <w:p w14:paraId="46A137D2" w14:textId="38EEDD44" w:rsidR="007B2E9F" w:rsidRPr="009A482D" w:rsidRDefault="009F6D97" w:rsidP="003E1422">
            <w:pPr>
              <w:pStyle w:val="Tabletext"/>
              <w:keepNext/>
              <w:jc w:val="center"/>
              <w:rPr>
                <w:color w:val="000000"/>
                <w:szCs w:val="20"/>
                <w:highlight w:val="lightGray"/>
              </w:rPr>
            </w:pPr>
            <w:r w:rsidRPr="009F6D97">
              <w:rPr>
                <w:color w:val="000000"/>
                <w:spacing w:val="53"/>
                <w:szCs w:val="20"/>
                <w:shd w:val="solid" w:color="000000" w:fill="000000"/>
                <w:fitText w:val="330" w:id="-893210608"/>
                <w14:textFill>
                  <w14:solidFill>
                    <w14:srgbClr w14:val="000000">
                      <w14:alpha w14:val="100000"/>
                    </w14:srgbClr>
                  </w14:solidFill>
                </w14:textFill>
              </w:rPr>
              <w:t>|||</w:t>
            </w:r>
            <w:r w:rsidRPr="009F6D97">
              <w:rPr>
                <w:color w:val="000000"/>
                <w:spacing w:val="1"/>
                <w:szCs w:val="20"/>
                <w:shd w:val="solid" w:color="000000" w:fill="000000"/>
                <w:fitText w:val="330" w:id="-893210608"/>
                <w14:textFill>
                  <w14:solidFill>
                    <w14:srgbClr w14:val="000000">
                      <w14:alpha w14:val="100000"/>
                    </w14:srgbClr>
                  </w14:solidFill>
                </w14:textFill>
              </w:rPr>
              <w:t>|</w:t>
            </w:r>
            <w:r w:rsidR="00D02FB0" w:rsidRPr="005C269B">
              <w:rPr>
                <w:color w:val="000000"/>
                <w:szCs w:val="20"/>
                <w:vertAlign w:val="superscript"/>
              </w:rPr>
              <w:t>3</w:t>
            </w:r>
          </w:p>
        </w:tc>
      </w:tr>
      <w:tr w:rsidR="007B2E9F" w:rsidRPr="00731632" w14:paraId="6CDC71C2" w14:textId="77777777" w:rsidTr="00866F91">
        <w:tc>
          <w:tcPr>
            <w:tcW w:w="9017" w:type="dxa"/>
            <w:gridSpan w:val="7"/>
          </w:tcPr>
          <w:p w14:paraId="137AE629" w14:textId="77777777" w:rsidR="007B2E9F" w:rsidRPr="00731632" w:rsidRDefault="007B2E9F" w:rsidP="00866F91">
            <w:pPr>
              <w:pStyle w:val="Tabletext"/>
              <w:keepNext/>
              <w:rPr>
                <w:b/>
                <w:bCs/>
              </w:rPr>
            </w:pPr>
            <w:r w:rsidRPr="00731632">
              <w:rPr>
                <w:b/>
                <w:bCs/>
              </w:rPr>
              <w:t>Net financial implications</w:t>
            </w:r>
          </w:p>
        </w:tc>
      </w:tr>
      <w:tr w:rsidR="007B2E9F" w:rsidRPr="00731632" w14:paraId="63AC8FF3" w14:textId="77777777" w:rsidTr="003E1422">
        <w:tc>
          <w:tcPr>
            <w:tcW w:w="2263" w:type="dxa"/>
          </w:tcPr>
          <w:p w14:paraId="60050886" w14:textId="66A21C37" w:rsidR="007B2E9F" w:rsidRPr="00731632" w:rsidRDefault="007B2E9F" w:rsidP="00866F91">
            <w:pPr>
              <w:pStyle w:val="Tabletext"/>
              <w:keepNext/>
            </w:pPr>
            <w:r w:rsidRPr="00731632">
              <w:t>Net cost to PBS</w:t>
            </w:r>
            <w:r w:rsidR="00027CB5" w:rsidRPr="00731632">
              <w:t>/RPBS</w:t>
            </w:r>
          </w:p>
        </w:tc>
        <w:tc>
          <w:tcPr>
            <w:tcW w:w="1134" w:type="dxa"/>
            <w:vAlign w:val="center"/>
          </w:tcPr>
          <w:p w14:paraId="3C24EFFF" w14:textId="66EDA724" w:rsidR="007B2E9F" w:rsidRPr="009A482D" w:rsidRDefault="009F6D97" w:rsidP="003E1422">
            <w:pPr>
              <w:pStyle w:val="Tabletext"/>
              <w:keepNext/>
              <w:jc w:val="center"/>
              <w:rPr>
                <w:highlight w:val="lightGray"/>
              </w:rPr>
            </w:pPr>
            <w:r w:rsidRPr="009F6D97">
              <w:rPr>
                <w:color w:val="000000"/>
                <w:spacing w:val="53"/>
                <w:shd w:val="solid" w:color="000000" w:fill="000000"/>
                <w:fitText w:val="330" w:id="-893210624"/>
                <w14:textFill>
                  <w14:solidFill>
                    <w14:srgbClr w14:val="000000">
                      <w14:alpha w14:val="100000"/>
                    </w14:srgbClr>
                  </w14:solidFill>
                </w14:textFill>
              </w:rPr>
              <w:t>|||</w:t>
            </w:r>
            <w:r w:rsidRPr="009F6D97">
              <w:rPr>
                <w:color w:val="000000"/>
                <w:spacing w:val="1"/>
                <w:shd w:val="solid" w:color="000000" w:fill="000000"/>
                <w:fitText w:val="330" w:id="-893210624"/>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7017D204" w14:textId="792C0B09" w:rsidR="007B2E9F" w:rsidRPr="009A482D" w:rsidRDefault="009F6D97" w:rsidP="003E1422">
            <w:pPr>
              <w:pStyle w:val="Tabletext"/>
              <w:keepNext/>
              <w:jc w:val="center"/>
              <w:rPr>
                <w:highlight w:val="lightGray"/>
              </w:rPr>
            </w:pPr>
            <w:r w:rsidRPr="009F6D97">
              <w:rPr>
                <w:color w:val="000000"/>
                <w:spacing w:val="53"/>
                <w:shd w:val="solid" w:color="000000" w:fill="000000"/>
                <w:fitText w:val="330" w:id="-893210623"/>
                <w14:textFill>
                  <w14:solidFill>
                    <w14:srgbClr w14:val="000000">
                      <w14:alpha w14:val="100000"/>
                    </w14:srgbClr>
                  </w14:solidFill>
                </w14:textFill>
              </w:rPr>
              <w:t>|||</w:t>
            </w:r>
            <w:r w:rsidRPr="009F6D97">
              <w:rPr>
                <w:color w:val="000000"/>
                <w:spacing w:val="1"/>
                <w:shd w:val="solid" w:color="000000" w:fill="000000"/>
                <w:fitText w:val="330" w:id="-893210623"/>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5CE0CF20" w14:textId="7492AE0A" w:rsidR="007B2E9F" w:rsidRPr="009A482D" w:rsidRDefault="009F6D97" w:rsidP="003E1422">
            <w:pPr>
              <w:pStyle w:val="Tabletext"/>
              <w:keepNext/>
              <w:jc w:val="center"/>
              <w:rPr>
                <w:highlight w:val="lightGray"/>
              </w:rPr>
            </w:pPr>
            <w:r w:rsidRPr="009F6D97">
              <w:rPr>
                <w:color w:val="000000"/>
                <w:spacing w:val="53"/>
                <w:shd w:val="solid" w:color="000000" w:fill="000000"/>
                <w:fitText w:val="330" w:id="-893210622"/>
                <w14:textFill>
                  <w14:solidFill>
                    <w14:srgbClr w14:val="000000">
                      <w14:alpha w14:val="100000"/>
                    </w14:srgbClr>
                  </w14:solidFill>
                </w14:textFill>
              </w:rPr>
              <w:t>|||</w:t>
            </w:r>
            <w:r w:rsidRPr="009F6D97">
              <w:rPr>
                <w:color w:val="000000"/>
                <w:spacing w:val="1"/>
                <w:shd w:val="solid" w:color="000000" w:fill="000000"/>
                <w:fitText w:val="330" w:id="-893210622"/>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3776D937" w14:textId="4A952C38" w:rsidR="007B2E9F" w:rsidRPr="009A482D" w:rsidRDefault="009F6D97" w:rsidP="003E1422">
            <w:pPr>
              <w:pStyle w:val="Tabletext"/>
              <w:keepNext/>
              <w:jc w:val="center"/>
              <w:rPr>
                <w:highlight w:val="lightGray"/>
              </w:rPr>
            </w:pPr>
            <w:r w:rsidRPr="009F6D97">
              <w:rPr>
                <w:color w:val="000000"/>
                <w:spacing w:val="53"/>
                <w:shd w:val="solid" w:color="000000" w:fill="000000"/>
                <w:fitText w:val="330" w:id="-893210621"/>
                <w14:textFill>
                  <w14:solidFill>
                    <w14:srgbClr w14:val="000000">
                      <w14:alpha w14:val="100000"/>
                    </w14:srgbClr>
                  </w14:solidFill>
                </w14:textFill>
              </w:rPr>
              <w:t>|||</w:t>
            </w:r>
            <w:r w:rsidRPr="009F6D97">
              <w:rPr>
                <w:color w:val="000000"/>
                <w:spacing w:val="1"/>
                <w:shd w:val="solid" w:color="000000" w:fill="000000"/>
                <w:fitText w:val="330" w:id="-893210621"/>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6577DD9B" w14:textId="4C90F37B" w:rsidR="007B2E9F" w:rsidRPr="009A482D" w:rsidRDefault="009F6D97" w:rsidP="003E1422">
            <w:pPr>
              <w:pStyle w:val="Tabletext"/>
              <w:keepNext/>
              <w:jc w:val="center"/>
              <w:rPr>
                <w:highlight w:val="lightGray"/>
              </w:rPr>
            </w:pPr>
            <w:r w:rsidRPr="009F6D97">
              <w:rPr>
                <w:color w:val="000000"/>
                <w:spacing w:val="53"/>
                <w:shd w:val="solid" w:color="000000" w:fill="000000"/>
                <w:fitText w:val="330" w:id="-893210620"/>
                <w14:textFill>
                  <w14:solidFill>
                    <w14:srgbClr w14:val="000000">
                      <w14:alpha w14:val="100000"/>
                    </w14:srgbClr>
                  </w14:solidFill>
                </w14:textFill>
              </w:rPr>
              <w:t>|||</w:t>
            </w:r>
            <w:r w:rsidRPr="009F6D97">
              <w:rPr>
                <w:color w:val="000000"/>
                <w:spacing w:val="1"/>
                <w:shd w:val="solid" w:color="000000" w:fill="000000"/>
                <w:fitText w:val="330" w:id="-893210620"/>
                <w14:textFill>
                  <w14:solidFill>
                    <w14:srgbClr w14:val="000000">
                      <w14:alpha w14:val="100000"/>
                    </w14:srgbClr>
                  </w14:solidFill>
                </w14:textFill>
              </w:rPr>
              <w:t>|</w:t>
            </w:r>
            <w:r w:rsidR="00D02FB0" w:rsidRPr="005C269B">
              <w:rPr>
                <w:rFonts w:cs="Arial"/>
                <w:color w:val="000000"/>
                <w:szCs w:val="20"/>
                <w:vertAlign w:val="superscript"/>
              </w:rPr>
              <w:t>2</w:t>
            </w:r>
          </w:p>
        </w:tc>
        <w:tc>
          <w:tcPr>
            <w:tcW w:w="1084" w:type="dxa"/>
            <w:vAlign w:val="center"/>
          </w:tcPr>
          <w:p w14:paraId="427D8037" w14:textId="37D7F037" w:rsidR="007B2E9F" w:rsidRPr="009A482D" w:rsidRDefault="009F6D97" w:rsidP="003E1422">
            <w:pPr>
              <w:pStyle w:val="Tabletext"/>
              <w:keepNext/>
              <w:jc w:val="center"/>
              <w:rPr>
                <w:highlight w:val="lightGray"/>
              </w:rPr>
            </w:pPr>
            <w:r w:rsidRPr="009F6D97">
              <w:rPr>
                <w:color w:val="000000"/>
                <w:spacing w:val="53"/>
                <w:shd w:val="solid" w:color="000000" w:fill="000000"/>
                <w:fitText w:val="330" w:id="-893210619"/>
                <w14:textFill>
                  <w14:solidFill>
                    <w14:srgbClr w14:val="000000">
                      <w14:alpha w14:val="100000"/>
                    </w14:srgbClr>
                  </w14:solidFill>
                </w14:textFill>
              </w:rPr>
              <w:t>|||</w:t>
            </w:r>
            <w:r w:rsidRPr="009F6D97">
              <w:rPr>
                <w:color w:val="000000"/>
                <w:spacing w:val="1"/>
                <w:shd w:val="solid" w:color="000000" w:fill="000000"/>
                <w:fitText w:val="330" w:id="-893210619"/>
                <w14:textFill>
                  <w14:solidFill>
                    <w14:srgbClr w14:val="000000">
                      <w14:alpha w14:val="100000"/>
                    </w14:srgbClr>
                  </w14:solidFill>
                </w14:textFill>
              </w:rPr>
              <w:t>|</w:t>
            </w:r>
            <w:r w:rsidR="00D02FB0" w:rsidRPr="005C269B">
              <w:rPr>
                <w:rFonts w:cs="Arial"/>
                <w:color w:val="000000"/>
                <w:szCs w:val="20"/>
                <w:vertAlign w:val="superscript"/>
              </w:rPr>
              <w:t>2</w:t>
            </w:r>
          </w:p>
        </w:tc>
      </w:tr>
      <w:tr w:rsidR="007B2E9F" w:rsidRPr="00731632" w14:paraId="75972EB8" w14:textId="77777777" w:rsidTr="003E1422">
        <w:tc>
          <w:tcPr>
            <w:tcW w:w="2263" w:type="dxa"/>
          </w:tcPr>
          <w:p w14:paraId="6E1B528A" w14:textId="20738BAC" w:rsidR="007B2E9F" w:rsidRPr="00731632" w:rsidRDefault="007B2E9F" w:rsidP="00866F91">
            <w:pPr>
              <w:pStyle w:val="Tabletext"/>
              <w:keepNext/>
            </w:pPr>
            <w:r w:rsidRPr="00731632">
              <w:t>Revised</w:t>
            </w:r>
            <w:r w:rsidR="00801077" w:rsidRPr="00731632">
              <w:rPr>
                <w:vertAlign w:val="superscript"/>
              </w:rPr>
              <w:t>b</w:t>
            </w:r>
          </w:p>
        </w:tc>
        <w:tc>
          <w:tcPr>
            <w:tcW w:w="1134" w:type="dxa"/>
            <w:vAlign w:val="center"/>
          </w:tcPr>
          <w:p w14:paraId="293A5C3D" w14:textId="0C983DFF"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8"/>
                <w14:textFill>
                  <w14:solidFill>
                    <w14:srgbClr w14:val="000000">
                      <w14:alpha w14:val="100000"/>
                    </w14:srgbClr>
                  </w14:solidFill>
                </w14:textFill>
              </w:rPr>
              <w:t>|||</w:t>
            </w:r>
            <w:r w:rsidRPr="009F6D97">
              <w:rPr>
                <w:color w:val="000000"/>
                <w:spacing w:val="1"/>
                <w:szCs w:val="20"/>
                <w:shd w:val="solid" w:color="000000" w:fill="000000"/>
                <w:fitText w:val="330" w:id="-893210618"/>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3EF15D69" w14:textId="396920A8"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7"/>
                <w14:textFill>
                  <w14:solidFill>
                    <w14:srgbClr w14:val="000000">
                      <w14:alpha w14:val="100000"/>
                    </w14:srgbClr>
                  </w14:solidFill>
                </w14:textFill>
              </w:rPr>
              <w:t>|||</w:t>
            </w:r>
            <w:r w:rsidRPr="009F6D97">
              <w:rPr>
                <w:color w:val="000000"/>
                <w:spacing w:val="1"/>
                <w:szCs w:val="20"/>
                <w:shd w:val="solid" w:color="000000" w:fill="000000"/>
                <w:fitText w:val="330" w:id="-893210617"/>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4C996966" w14:textId="6EE89E1E"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6"/>
                <w14:textFill>
                  <w14:solidFill>
                    <w14:srgbClr w14:val="000000">
                      <w14:alpha w14:val="100000"/>
                    </w14:srgbClr>
                  </w14:solidFill>
                </w14:textFill>
              </w:rPr>
              <w:t>|||</w:t>
            </w:r>
            <w:r w:rsidRPr="009F6D97">
              <w:rPr>
                <w:color w:val="000000"/>
                <w:spacing w:val="1"/>
                <w:szCs w:val="20"/>
                <w:shd w:val="solid" w:color="000000" w:fill="000000"/>
                <w:fitText w:val="330" w:id="-893210616"/>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346D493E" w14:textId="75909455"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5"/>
                <w14:textFill>
                  <w14:solidFill>
                    <w14:srgbClr w14:val="000000">
                      <w14:alpha w14:val="100000"/>
                    </w14:srgbClr>
                  </w14:solidFill>
                </w14:textFill>
              </w:rPr>
              <w:t>|||</w:t>
            </w:r>
            <w:r w:rsidRPr="009F6D97">
              <w:rPr>
                <w:color w:val="000000"/>
                <w:spacing w:val="1"/>
                <w:szCs w:val="20"/>
                <w:shd w:val="solid" w:color="000000" w:fill="000000"/>
                <w:fitText w:val="330" w:id="-893210615"/>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5F9FAB89" w14:textId="540B0AE5"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4"/>
                <w14:textFill>
                  <w14:solidFill>
                    <w14:srgbClr w14:val="000000">
                      <w14:alpha w14:val="100000"/>
                    </w14:srgbClr>
                  </w14:solidFill>
                </w14:textFill>
              </w:rPr>
              <w:t>|||</w:t>
            </w:r>
            <w:r w:rsidRPr="009F6D97">
              <w:rPr>
                <w:color w:val="000000"/>
                <w:spacing w:val="1"/>
                <w:szCs w:val="20"/>
                <w:shd w:val="solid" w:color="000000" w:fill="000000"/>
                <w:fitText w:val="330" w:id="-893210614"/>
                <w14:textFill>
                  <w14:solidFill>
                    <w14:srgbClr w14:val="000000">
                      <w14:alpha w14:val="100000"/>
                    </w14:srgbClr>
                  </w14:solidFill>
                </w14:textFill>
              </w:rPr>
              <w:t>|</w:t>
            </w:r>
            <w:r w:rsidR="00D02FB0" w:rsidRPr="005C269B">
              <w:rPr>
                <w:rFonts w:cs="Arial"/>
                <w:color w:val="000000"/>
                <w:szCs w:val="20"/>
                <w:vertAlign w:val="superscript"/>
              </w:rPr>
              <w:t>2</w:t>
            </w:r>
          </w:p>
        </w:tc>
        <w:tc>
          <w:tcPr>
            <w:tcW w:w="1084" w:type="dxa"/>
            <w:vAlign w:val="center"/>
          </w:tcPr>
          <w:p w14:paraId="0B8482B6" w14:textId="236F1C85"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3"/>
                <w14:textFill>
                  <w14:solidFill>
                    <w14:srgbClr w14:val="000000">
                      <w14:alpha w14:val="100000"/>
                    </w14:srgbClr>
                  </w14:solidFill>
                </w14:textFill>
              </w:rPr>
              <w:t>|||</w:t>
            </w:r>
            <w:r w:rsidRPr="009F6D97">
              <w:rPr>
                <w:color w:val="000000"/>
                <w:spacing w:val="1"/>
                <w:szCs w:val="20"/>
                <w:shd w:val="solid" w:color="000000" w:fill="000000"/>
                <w:fitText w:val="330" w:id="-893210613"/>
                <w14:textFill>
                  <w14:solidFill>
                    <w14:srgbClr w14:val="000000">
                      <w14:alpha w14:val="100000"/>
                    </w14:srgbClr>
                  </w14:solidFill>
                </w14:textFill>
              </w:rPr>
              <w:t>|</w:t>
            </w:r>
            <w:r w:rsidR="00D02FB0" w:rsidRPr="005C269B">
              <w:rPr>
                <w:rFonts w:cs="Arial"/>
                <w:color w:val="000000"/>
                <w:szCs w:val="20"/>
                <w:vertAlign w:val="superscript"/>
              </w:rPr>
              <w:t>2</w:t>
            </w:r>
          </w:p>
        </w:tc>
      </w:tr>
      <w:tr w:rsidR="007B2E9F" w:rsidRPr="00731632" w14:paraId="1900DE51" w14:textId="77777777" w:rsidTr="003E1422">
        <w:tc>
          <w:tcPr>
            <w:tcW w:w="2263" w:type="dxa"/>
          </w:tcPr>
          <w:p w14:paraId="43E8484C" w14:textId="77777777" w:rsidR="007B2E9F" w:rsidRPr="00731632" w:rsidRDefault="007B2E9F" w:rsidP="00866F91">
            <w:pPr>
              <w:pStyle w:val="Tabletext"/>
              <w:keepNext/>
            </w:pPr>
            <w:r w:rsidRPr="00731632">
              <w:t>Net cost to MBS</w:t>
            </w:r>
          </w:p>
        </w:tc>
        <w:tc>
          <w:tcPr>
            <w:tcW w:w="1134" w:type="dxa"/>
            <w:vAlign w:val="center"/>
          </w:tcPr>
          <w:p w14:paraId="412A6466" w14:textId="5D63A0B2"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12"/>
                <w14:textFill>
                  <w14:solidFill>
                    <w14:srgbClr w14:val="000000">
                      <w14:alpha w14:val="100000"/>
                    </w14:srgbClr>
                  </w14:solidFill>
                </w14:textFill>
              </w:rPr>
              <w:t>|||</w:t>
            </w:r>
            <w:r w:rsidRPr="009F6D97">
              <w:rPr>
                <w:rFonts w:cs="Arial"/>
                <w:color w:val="000000"/>
                <w:spacing w:val="1"/>
                <w:szCs w:val="20"/>
                <w:shd w:val="solid" w:color="000000" w:fill="000000"/>
                <w:fitText w:val="330" w:id="-893210612"/>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125A8043" w14:textId="3CF93E5D"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11"/>
                <w14:textFill>
                  <w14:solidFill>
                    <w14:srgbClr w14:val="000000">
                      <w14:alpha w14:val="100000"/>
                    </w14:srgbClr>
                  </w14:solidFill>
                </w14:textFill>
              </w:rPr>
              <w:t>|||</w:t>
            </w:r>
            <w:r w:rsidRPr="009F6D97">
              <w:rPr>
                <w:rFonts w:cs="Arial"/>
                <w:color w:val="000000"/>
                <w:spacing w:val="1"/>
                <w:szCs w:val="20"/>
                <w:shd w:val="solid" w:color="000000" w:fill="000000"/>
                <w:fitText w:val="330" w:id="-893210611"/>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34F750B3" w14:textId="372337FD"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10"/>
                <w14:textFill>
                  <w14:solidFill>
                    <w14:srgbClr w14:val="000000">
                      <w14:alpha w14:val="100000"/>
                    </w14:srgbClr>
                  </w14:solidFill>
                </w14:textFill>
              </w:rPr>
              <w:t>|||</w:t>
            </w:r>
            <w:r w:rsidRPr="009F6D97">
              <w:rPr>
                <w:rFonts w:cs="Arial"/>
                <w:color w:val="000000"/>
                <w:spacing w:val="1"/>
                <w:szCs w:val="20"/>
                <w:shd w:val="solid" w:color="000000" w:fill="000000"/>
                <w:fitText w:val="330" w:id="-893210610"/>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0EDFAC03" w14:textId="23500CB7"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09"/>
                <w14:textFill>
                  <w14:solidFill>
                    <w14:srgbClr w14:val="000000">
                      <w14:alpha w14:val="100000"/>
                    </w14:srgbClr>
                  </w14:solidFill>
                </w14:textFill>
              </w:rPr>
              <w:t>|||</w:t>
            </w:r>
            <w:r w:rsidRPr="009F6D97">
              <w:rPr>
                <w:rFonts w:cs="Arial"/>
                <w:color w:val="000000"/>
                <w:spacing w:val="1"/>
                <w:szCs w:val="20"/>
                <w:shd w:val="solid" w:color="000000" w:fill="000000"/>
                <w:fitText w:val="330" w:id="-893210609"/>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35D69F6B" w14:textId="001F5F5E"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08"/>
                <w14:textFill>
                  <w14:solidFill>
                    <w14:srgbClr w14:val="000000">
                      <w14:alpha w14:val="100000"/>
                    </w14:srgbClr>
                  </w14:solidFill>
                </w14:textFill>
              </w:rPr>
              <w:t>|||</w:t>
            </w:r>
            <w:r w:rsidRPr="009F6D97">
              <w:rPr>
                <w:rFonts w:cs="Arial"/>
                <w:color w:val="000000"/>
                <w:spacing w:val="1"/>
                <w:szCs w:val="20"/>
                <w:shd w:val="solid" w:color="000000" w:fill="000000"/>
                <w:fitText w:val="330" w:id="-893210608"/>
                <w14:textFill>
                  <w14:solidFill>
                    <w14:srgbClr w14:val="000000">
                      <w14:alpha w14:val="100000"/>
                    </w14:srgbClr>
                  </w14:solidFill>
                </w14:textFill>
              </w:rPr>
              <w:t>|</w:t>
            </w:r>
            <w:r w:rsidR="00D02FB0" w:rsidRPr="005C269B">
              <w:rPr>
                <w:color w:val="000000"/>
                <w:szCs w:val="20"/>
                <w:vertAlign w:val="superscript"/>
              </w:rPr>
              <w:t>3</w:t>
            </w:r>
          </w:p>
        </w:tc>
        <w:tc>
          <w:tcPr>
            <w:tcW w:w="1084" w:type="dxa"/>
            <w:vAlign w:val="center"/>
          </w:tcPr>
          <w:p w14:paraId="05AEABC8" w14:textId="67F76E50" w:rsidR="007B2E9F" w:rsidRPr="009A482D" w:rsidRDefault="009F6D97" w:rsidP="003E1422">
            <w:pPr>
              <w:pStyle w:val="Tabletext"/>
              <w:keepNext/>
              <w:jc w:val="center"/>
              <w:rPr>
                <w:highlight w:val="lightGray"/>
              </w:rPr>
            </w:pPr>
            <w:r w:rsidRPr="009F6D97">
              <w:rPr>
                <w:rFonts w:cs="Arial"/>
                <w:color w:val="000000"/>
                <w:spacing w:val="53"/>
                <w:szCs w:val="20"/>
                <w:shd w:val="solid" w:color="000000" w:fill="000000"/>
                <w:fitText w:val="330" w:id="-893210624"/>
                <w14:textFill>
                  <w14:solidFill>
                    <w14:srgbClr w14:val="000000">
                      <w14:alpha w14:val="100000"/>
                    </w14:srgbClr>
                  </w14:solidFill>
                </w14:textFill>
              </w:rPr>
              <w:t>|||</w:t>
            </w:r>
            <w:r w:rsidRPr="009F6D97">
              <w:rPr>
                <w:rFonts w:cs="Arial"/>
                <w:color w:val="000000"/>
                <w:spacing w:val="1"/>
                <w:szCs w:val="20"/>
                <w:shd w:val="solid" w:color="000000" w:fill="000000"/>
                <w:fitText w:val="330" w:id="-893210624"/>
                <w14:textFill>
                  <w14:solidFill>
                    <w14:srgbClr w14:val="000000">
                      <w14:alpha w14:val="100000"/>
                    </w14:srgbClr>
                  </w14:solidFill>
                </w14:textFill>
              </w:rPr>
              <w:t>|</w:t>
            </w:r>
            <w:r w:rsidR="00D02FB0" w:rsidRPr="005C269B">
              <w:rPr>
                <w:color w:val="000000"/>
                <w:szCs w:val="20"/>
                <w:vertAlign w:val="superscript"/>
              </w:rPr>
              <w:t>3</w:t>
            </w:r>
          </w:p>
        </w:tc>
      </w:tr>
      <w:tr w:rsidR="007B2E9F" w:rsidRPr="00731632" w14:paraId="6CA7010D" w14:textId="77777777" w:rsidTr="003E1422">
        <w:tc>
          <w:tcPr>
            <w:tcW w:w="2263" w:type="dxa"/>
          </w:tcPr>
          <w:p w14:paraId="515D87EA" w14:textId="49E5CE23" w:rsidR="007B2E9F" w:rsidRPr="00731632" w:rsidRDefault="007B2E9F" w:rsidP="00866F91">
            <w:pPr>
              <w:pStyle w:val="Tabletext"/>
              <w:keepNext/>
            </w:pPr>
            <w:r w:rsidRPr="00731632">
              <w:t>Revised</w:t>
            </w:r>
            <w:r w:rsidR="00801077" w:rsidRPr="00731632">
              <w:rPr>
                <w:vertAlign w:val="superscript"/>
              </w:rPr>
              <w:t>b,c</w:t>
            </w:r>
          </w:p>
        </w:tc>
        <w:tc>
          <w:tcPr>
            <w:tcW w:w="1134" w:type="dxa"/>
            <w:vAlign w:val="center"/>
          </w:tcPr>
          <w:p w14:paraId="0C340895" w14:textId="1212C4D1"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23"/>
                <w14:textFill>
                  <w14:solidFill>
                    <w14:srgbClr w14:val="000000">
                      <w14:alpha w14:val="100000"/>
                    </w14:srgbClr>
                  </w14:solidFill>
                </w14:textFill>
              </w:rPr>
              <w:t>|||</w:t>
            </w:r>
            <w:r w:rsidRPr="009F6D97">
              <w:rPr>
                <w:color w:val="000000"/>
                <w:spacing w:val="1"/>
                <w:szCs w:val="20"/>
                <w:shd w:val="solid" w:color="000000" w:fill="000000"/>
                <w:fitText w:val="330" w:id="-893210623"/>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4339F72C" w14:textId="780F976D"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22"/>
                <w14:textFill>
                  <w14:solidFill>
                    <w14:srgbClr w14:val="000000">
                      <w14:alpha w14:val="100000"/>
                    </w14:srgbClr>
                  </w14:solidFill>
                </w14:textFill>
              </w:rPr>
              <w:t>|||</w:t>
            </w:r>
            <w:r w:rsidRPr="009F6D97">
              <w:rPr>
                <w:color w:val="000000"/>
                <w:spacing w:val="1"/>
                <w:szCs w:val="20"/>
                <w:shd w:val="solid" w:color="000000" w:fill="000000"/>
                <w:fitText w:val="330" w:id="-893210622"/>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21CC31EC" w14:textId="06D206BF"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21"/>
                <w14:textFill>
                  <w14:solidFill>
                    <w14:srgbClr w14:val="000000">
                      <w14:alpha w14:val="100000"/>
                    </w14:srgbClr>
                  </w14:solidFill>
                </w14:textFill>
              </w:rPr>
              <w:t>|||</w:t>
            </w:r>
            <w:r w:rsidRPr="009F6D97">
              <w:rPr>
                <w:color w:val="000000"/>
                <w:spacing w:val="1"/>
                <w:szCs w:val="20"/>
                <w:shd w:val="solid" w:color="000000" w:fill="000000"/>
                <w:fitText w:val="330" w:id="-893210621"/>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31A3E388" w14:textId="132A6BFD"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20"/>
                <w14:textFill>
                  <w14:solidFill>
                    <w14:srgbClr w14:val="000000">
                      <w14:alpha w14:val="100000"/>
                    </w14:srgbClr>
                  </w14:solidFill>
                </w14:textFill>
              </w:rPr>
              <w:t>|||</w:t>
            </w:r>
            <w:r w:rsidRPr="009F6D97">
              <w:rPr>
                <w:color w:val="000000"/>
                <w:spacing w:val="1"/>
                <w:szCs w:val="20"/>
                <w:shd w:val="solid" w:color="000000" w:fill="000000"/>
                <w:fitText w:val="330" w:id="-893210620"/>
                <w14:textFill>
                  <w14:solidFill>
                    <w14:srgbClr w14:val="000000">
                      <w14:alpha w14:val="100000"/>
                    </w14:srgbClr>
                  </w14:solidFill>
                </w14:textFill>
              </w:rPr>
              <w:t>|</w:t>
            </w:r>
            <w:r w:rsidR="00D02FB0" w:rsidRPr="005C269B">
              <w:rPr>
                <w:color w:val="000000"/>
                <w:szCs w:val="20"/>
                <w:vertAlign w:val="superscript"/>
              </w:rPr>
              <w:t>3</w:t>
            </w:r>
          </w:p>
        </w:tc>
        <w:tc>
          <w:tcPr>
            <w:tcW w:w="1134" w:type="dxa"/>
            <w:vAlign w:val="center"/>
          </w:tcPr>
          <w:p w14:paraId="775CA61B" w14:textId="4C0AED23"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9"/>
                <w14:textFill>
                  <w14:solidFill>
                    <w14:srgbClr w14:val="000000">
                      <w14:alpha w14:val="100000"/>
                    </w14:srgbClr>
                  </w14:solidFill>
                </w14:textFill>
              </w:rPr>
              <w:t>|||</w:t>
            </w:r>
            <w:r w:rsidRPr="009F6D97">
              <w:rPr>
                <w:color w:val="000000"/>
                <w:spacing w:val="1"/>
                <w:szCs w:val="20"/>
                <w:shd w:val="solid" w:color="000000" w:fill="000000"/>
                <w:fitText w:val="330" w:id="-893210619"/>
                <w14:textFill>
                  <w14:solidFill>
                    <w14:srgbClr w14:val="000000">
                      <w14:alpha w14:val="100000"/>
                    </w14:srgbClr>
                  </w14:solidFill>
                </w14:textFill>
              </w:rPr>
              <w:t>|</w:t>
            </w:r>
            <w:r w:rsidR="00D02FB0" w:rsidRPr="005C269B">
              <w:rPr>
                <w:color w:val="000000"/>
                <w:szCs w:val="20"/>
                <w:vertAlign w:val="superscript"/>
              </w:rPr>
              <w:t>3</w:t>
            </w:r>
          </w:p>
        </w:tc>
        <w:tc>
          <w:tcPr>
            <w:tcW w:w="1084" w:type="dxa"/>
            <w:vAlign w:val="center"/>
          </w:tcPr>
          <w:p w14:paraId="385D4183" w14:textId="58F985A1" w:rsidR="007B2E9F" w:rsidRPr="009A482D" w:rsidRDefault="009F6D97" w:rsidP="003E1422">
            <w:pPr>
              <w:pStyle w:val="Tabletext"/>
              <w:keepNext/>
              <w:jc w:val="center"/>
              <w:rPr>
                <w:highlight w:val="lightGray"/>
              </w:rPr>
            </w:pPr>
            <w:r w:rsidRPr="009F6D97">
              <w:rPr>
                <w:color w:val="000000"/>
                <w:spacing w:val="53"/>
                <w:szCs w:val="20"/>
                <w:shd w:val="solid" w:color="000000" w:fill="000000"/>
                <w:fitText w:val="330" w:id="-893210618"/>
                <w14:textFill>
                  <w14:solidFill>
                    <w14:srgbClr w14:val="000000">
                      <w14:alpha w14:val="100000"/>
                    </w14:srgbClr>
                  </w14:solidFill>
                </w14:textFill>
              </w:rPr>
              <w:t>|||</w:t>
            </w:r>
            <w:r w:rsidRPr="009F6D97">
              <w:rPr>
                <w:color w:val="000000"/>
                <w:spacing w:val="1"/>
                <w:szCs w:val="20"/>
                <w:shd w:val="solid" w:color="000000" w:fill="000000"/>
                <w:fitText w:val="330" w:id="-893210618"/>
                <w14:textFill>
                  <w14:solidFill>
                    <w14:srgbClr w14:val="000000">
                      <w14:alpha w14:val="100000"/>
                    </w14:srgbClr>
                  </w14:solidFill>
                </w14:textFill>
              </w:rPr>
              <w:t>|</w:t>
            </w:r>
            <w:r w:rsidR="00D02FB0" w:rsidRPr="005C269B">
              <w:rPr>
                <w:color w:val="000000"/>
                <w:szCs w:val="20"/>
                <w:vertAlign w:val="superscript"/>
              </w:rPr>
              <w:t>3</w:t>
            </w:r>
          </w:p>
        </w:tc>
      </w:tr>
      <w:tr w:rsidR="007B2E9F" w:rsidRPr="00731632" w14:paraId="3EBEC361" w14:textId="77777777" w:rsidTr="003E1422">
        <w:tc>
          <w:tcPr>
            <w:tcW w:w="2263" w:type="dxa"/>
          </w:tcPr>
          <w:p w14:paraId="5DE02DFB" w14:textId="12726E1C" w:rsidR="007B2E9F" w:rsidRPr="00731632" w:rsidRDefault="007B2E9F" w:rsidP="00866F91">
            <w:pPr>
              <w:pStyle w:val="Tabletext"/>
              <w:keepNext/>
              <w:rPr>
                <w:b/>
                <w:bCs/>
              </w:rPr>
            </w:pPr>
            <w:r w:rsidRPr="00731632">
              <w:rPr>
                <w:b/>
                <w:bCs/>
              </w:rPr>
              <w:t>Net cost to PBS</w:t>
            </w:r>
            <w:r w:rsidR="00027CB5" w:rsidRPr="00731632">
              <w:rPr>
                <w:b/>
                <w:bCs/>
              </w:rPr>
              <w:t xml:space="preserve">/RPBS and </w:t>
            </w:r>
            <w:r w:rsidRPr="00731632">
              <w:rPr>
                <w:b/>
                <w:bCs/>
              </w:rPr>
              <w:t>MBS</w:t>
            </w:r>
          </w:p>
        </w:tc>
        <w:tc>
          <w:tcPr>
            <w:tcW w:w="1134" w:type="dxa"/>
            <w:vAlign w:val="center"/>
          </w:tcPr>
          <w:p w14:paraId="7C50E380" w14:textId="2266FE23" w:rsidR="007B2E9F" w:rsidRPr="009A482D" w:rsidRDefault="009F6D97" w:rsidP="003E1422">
            <w:pPr>
              <w:pStyle w:val="Tabletext"/>
              <w:keepNext/>
              <w:jc w:val="center"/>
              <w:rPr>
                <w:highlight w:val="lightGray"/>
              </w:rPr>
            </w:pPr>
            <w:r w:rsidRPr="009F6D97">
              <w:rPr>
                <w:b/>
                <w:bCs/>
                <w:color w:val="000000"/>
                <w:spacing w:val="55"/>
                <w:szCs w:val="20"/>
                <w:shd w:val="solid" w:color="000000" w:fill="000000"/>
                <w:fitText w:val="350" w:id="-893210617"/>
                <w14:textFill>
                  <w14:solidFill>
                    <w14:srgbClr w14:val="000000">
                      <w14:alpha w14:val="100000"/>
                    </w14:srgbClr>
                  </w14:solidFill>
                </w14:textFill>
              </w:rPr>
              <w:t>|||</w:t>
            </w:r>
            <w:r w:rsidRPr="009F6D97">
              <w:rPr>
                <w:b/>
                <w:bCs/>
                <w:color w:val="000000"/>
                <w:spacing w:val="2"/>
                <w:szCs w:val="20"/>
                <w:shd w:val="solid" w:color="000000" w:fill="000000"/>
                <w:fitText w:val="350" w:id="-893210617"/>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4634A63A" w14:textId="1C9D3B6D" w:rsidR="007B2E9F" w:rsidRPr="009A482D" w:rsidRDefault="009F6D97" w:rsidP="003E1422">
            <w:pPr>
              <w:pStyle w:val="Tabletext"/>
              <w:keepNext/>
              <w:jc w:val="center"/>
              <w:rPr>
                <w:highlight w:val="lightGray"/>
              </w:rPr>
            </w:pPr>
            <w:r w:rsidRPr="009F6D97">
              <w:rPr>
                <w:b/>
                <w:bCs/>
                <w:color w:val="000000"/>
                <w:spacing w:val="55"/>
                <w:szCs w:val="20"/>
                <w:shd w:val="solid" w:color="000000" w:fill="000000"/>
                <w:fitText w:val="350" w:id="-893210616"/>
                <w14:textFill>
                  <w14:solidFill>
                    <w14:srgbClr w14:val="000000">
                      <w14:alpha w14:val="100000"/>
                    </w14:srgbClr>
                  </w14:solidFill>
                </w14:textFill>
              </w:rPr>
              <w:t>|||</w:t>
            </w:r>
            <w:r w:rsidRPr="009F6D97">
              <w:rPr>
                <w:b/>
                <w:bCs/>
                <w:color w:val="000000"/>
                <w:spacing w:val="2"/>
                <w:szCs w:val="20"/>
                <w:shd w:val="solid" w:color="000000" w:fill="000000"/>
                <w:fitText w:val="350" w:id="-893210616"/>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6CD9DB4E" w14:textId="2D3D869F" w:rsidR="007B2E9F" w:rsidRPr="009A482D" w:rsidRDefault="009F6D97" w:rsidP="003E1422">
            <w:pPr>
              <w:pStyle w:val="Tabletext"/>
              <w:keepNext/>
              <w:jc w:val="center"/>
              <w:rPr>
                <w:highlight w:val="lightGray"/>
              </w:rPr>
            </w:pPr>
            <w:r w:rsidRPr="009F6D97">
              <w:rPr>
                <w:b/>
                <w:bCs/>
                <w:color w:val="000000"/>
                <w:spacing w:val="55"/>
                <w:szCs w:val="20"/>
                <w:shd w:val="solid" w:color="000000" w:fill="000000"/>
                <w:fitText w:val="350" w:id="-893210615"/>
                <w14:textFill>
                  <w14:solidFill>
                    <w14:srgbClr w14:val="000000">
                      <w14:alpha w14:val="100000"/>
                    </w14:srgbClr>
                  </w14:solidFill>
                </w14:textFill>
              </w:rPr>
              <w:t>|||</w:t>
            </w:r>
            <w:r w:rsidRPr="009F6D97">
              <w:rPr>
                <w:b/>
                <w:bCs/>
                <w:color w:val="000000"/>
                <w:spacing w:val="2"/>
                <w:szCs w:val="20"/>
                <w:shd w:val="solid" w:color="000000" w:fill="000000"/>
                <w:fitText w:val="350" w:id="-893210615"/>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7CBF302D" w14:textId="08840FB6" w:rsidR="007B2E9F" w:rsidRPr="009A482D" w:rsidRDefault="009F6D97" w:rsidP="003E1422">
            <w:pPr>
              <w:pStyle w:val="Tabletext"/>
              <w:keepNext/>
              <w:jc w:val="center"/>
              <w:rPr>
                <w:highlight w:val="lightGray"/>
              </w:rPr>
            </w:pPr>
            <w:r w:rsidRPr="009F6D97">
              <w:rPr>
                <w:b/>
                <w:bCs/>
                <w:color w:val="000000"/>
                <w:spacing w:val="55"/>
                <w:szCs w:val="20"/>
                <w:shd w:val="solid" w:color="000000" w:fill="000000"/>
                <w:fitText w:val="350" w:id="-893210614"/>
                <w14:textFill>
                  <w14:solidFill>
                    <w14:srgbClr w14:val="000000">
                      <w14:alpha w14:val="100000"/>
                    </w14:srgbClr>
                  </w14:solidFill>
                </w14:textFill>
              </w:rPr>
              <w:t>|||</w:t>
            </w:r>
            <w:r w:rsidRPr="009F6D97">
              <w:rPr>
                <w:b/>
                <w:bCs/>
                <w:color w:val="000000"/>
                <w:spacing w:val="2"/>
                <w:szCs w:val="20"/>
                <w:shd w:val="solid" w:color="000000" w:fill="000000"/>
                <w:fitText w:val="350" w:id="-893210614"/>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4DA81D77" w14:textId="6ADA4099" w:rsidR="007B2E9F" w:rsidRPr="009A482D" w:rsidRDefault="009F6D97" w:rsidP="003E1422">
            <w:pPr>
              <w:pStyle w:val="Tabletext"/>
              <w:keepNext/>
              <w:jc w:val="center"/>
              <w:rPr>
                <w:highlight w:val="lightGray"/>
              </w:rPr>
            </w:pPr>
            <w:r w:rsidRPr="009F6D97">
              <w:rPr>
                <w:b/>
                <w:bCs/>
                <w:color w:val="000000"/>
                <w:spacing w:val="55"/>
                <w:szCs w:val="20"/>
                <w:shd w:val="solid" w:color="000000" w:fill="000000"/>
                <w:fitText w:val="350" w:id="-893210613"/>
                <w14:textFill>
                  <w14:solidFill>
                    <w14:srgbClr w14:val="000000">
                      <w14:alpha w14:val="100000"/>
                    </w14:srgbClr>
                  </w14:solidFill>
                </w14:textFill>
              </w:rPr>
              <w:t>|||</w:t>
            </w:r>
            <w:r w:rsidRPr="009F6D97">
              <w:rPr>
                <w:b/>
                <w:bCs/>
                <w:color w:val="000000"/>
                <w:spacing w:val="2"/>
                <w:szCs w:val="20"/>
                <w:shd w:val="solid" w:color="000000" w:fill="000000"/>
                <w:fitText w:val="350" w:id="-893210613"/>
                <w14:textFill>
                  <w14:solidFill>
                    <w14:srgbClr w14:val="000000">
                      <w14:alpha w14:val="100000"/>
                    </w14:srgbClr>
                  </w14:solidFill>
                </w14:textFill>
              </w:rPr>
              <w:t>|</w:t>
            </w:r>
            <w:r w:rsidR="00D02FB0" w:rsidRPr="005C269B">
              <w:rPr>
                <w:rFonts w:cs="Arial"/>
                <w:color w:val="000000"/>
                <w:szCs w:val="20"/>
                <w:vertAlign w:val="superscript"/>
              </w:rPr>
              <w:t>2</w:t>
            </w:r>
          </w:p>
        </w:tc>
        <w:tc>
          <w:tcPr>
            <w:tcW w:w="1084" w:type="dxa"/>
            <w:vAlign w:val="center"/>
          </w:tcPr>
          <w:p w14:paraId="457F4675" w14:textId="43777A4F" w:rsidR="007B2E9F" w:rsidRPr="009A482D" w:rsidRDefault="009F6D97" w:rsidP="003E1422">
            <w:pPr>
              <w:pStyle w:val="Tabletext"/>
              <w:keepNext/>
              <w:jc w:val="center"/>
              <w:rPr>
                <w:highlight w:val="lightGray"/>
              </w:rPr>
            </w:pPr>
            <w:r w:rsidRPr="009F6D97">
              <w:rPr>
                <w:b/>
                <w:bCs/>
                <w:color w:val="000000"/>
                <w:spacing w:val="55"/>
                <w:szCs w:val="20"/>
                <w:shd w:val="solid" w:color="000000" w:fill="000000"/>
                <w:fitText w:val="350" w:id="-893210612"/>
                <w14:textFill>
                  <w14:solidFill>
                    <w14:srgbClr w14:val="000000">
                      <w14:alpha w14:val="100000"/>
                    </w14:srgbClr>
                  </w14:solidFill>
                </w14:textFill>
              </w:rPr>
              <w:t>|||</w:t>
            </w:r>
            <w:r w:rsidRPr="009F6D97">
              <w:rPr>
                <w:b/>
                <w:bCs/>
                <w:color w:val="000000"/>
                <w:spacing w:val="2"/>
                <w:szCs w:val="20"/>
                <w:shd w:val="solid" w:color="000000" w:fill="000000"/>
                <w:fitText w:val="350" w:id="-893210612"/>
                <w14:textFill>
                  <w14:solidFill>
                    <w14:srgbClr w14:val="000000">
                      <w14:alpha w14:val="100000"/>
                    </w14:srgbClr>
                  </w14:solidFill>
                </w14:textFill>
              </w:rPr>
              <w:t>|</w:t>
            </w:r>
            <w:r w:rsidR="00D02FB0" w:rsidRPr="005C269B">
              <w:rPr>
                <w:rFonts w:cs="Arial"/>
                <w:color w:val="000000"/>
                <w:szCs w:val="20"/>
                <w:vertAlign w:val="superscript"/>
              </w:rPr>
              <w:t>2</w:t>
            </w:r>
          </w:p>
        </w:tc>
      </w:tr>
      <w:tr w:rsidR="007B2E9F" w:rsidRPr="00731632" w14:paraId="03A6C0BF" w14:textId="77777777" w:rsidTr="003E1422">
        <w:trPr>
          <w:trHeight w:val="70"/>
        </w:trPr>
        <w:tc>
          <w:tcPr>
            <w:tcW w:w="2263" w:type="dxa"/>
          </w:tcPr>
          <w:p w14:paraId="375A4804" w14:textId="77777777" w:rsidR="007B2E9F" w:rsidRPr="00731632" w:rsidRDefault="007B2E9F" w:rsidP="00866F91">
            <w:pPr>
              <w:pStyle w:val="Tabletext"/>
              <w:keepNext/>
              <w:rPr>
                <w:b/>
                <w:bCs/>
              </w:rPr>
            </w:pPr>
            <w:r w:rsidRPr="00731632">
              <w:rPr>
                <w:b/>
                <w:bCs/>
              </w:rPr>
              <w:t xml:space="preserve">Revised </w:t>
            </w:r>
          </w:p>
        </w:tc>
        <w:tc>
          <w:tcPr>
            <w:tcW w:w="1134" w:type="dxa"/>
            <w:vAlign w:val="center"/>
          </w:tcPr>
          <w:p w14:paraId="1D898AE3" w14:textId="1CDB4C9B" w:rsidR="007B2E9F" w:rsidRPr="009A482D" w:rsidRDefault="009F6D97" w:rsidP="003E1422">
            <w:pPr>
              <w:pStyle w:val="Tabletext"/>
              <w:keepNext/>
              <w:jc w:val="center"/>
              <w:rPr>
                <w:highlight w:val="lightGray"/>
              </w:rPr>
            </w:pPr>
            <w:r w:rsidRPr="009F6D97">
              <w:rPr>
                <w:rFonts w:cs="Arial"/>
                <w:b/>
                <w:bCs/>
                <w:color w:val="000000"/>
                <w:spacing w:val="55"/>
                <w:szCs w:val="20"/>
                <w:shd w:val="solid" w:color="000000" w:fill="000000"/>
                <w:fitText w:val="350" w:id="-893210611"/>
                <w14:textFill>
                  <w14:solidFill>
                    <w14:srgbClr w14:val="000000">
                      <w14:alpha w14:val="100000"/>
                    </w14:srgbClr>
                  </w14:solidFill>
                </w14:textFill>
              </w:rPr>
              <w:t>|||</w:t>
            </w:r>
            <w:r w:rsidRPr="009F6D97">
              <w:rPr>
                <w:rFonts w:cs="Arial"/>
                <w:b/>
                <w:bCs/>
                <w:color w:val="000000"/>
                <w:spacing w:val="2"/>
                <w:szCs w:val="20"/>
                <w:shd w:val="solid" w:color="000000" w:fill="000000"/>
                <w:fitText w:val="350" w:id="-893210611"/>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40A1DA3E" w14:textId="4338B371" w:rsidR="007B2E9F" w:rsidRPr="009A482D" w:rsidRDefault="009F6D97" w:rsidP="003E1422">
            <w:pPr>
              <w:pStyle w:val="Tabletext"/>
              <w:keepNext/>
              <w:jc w:val="center"/>
              <w:rPr>
                <w:highlight w:val="lightGray"/>
              </w:rPr>
            </w:pPr>
            <w:r w:rsidRPr="009F6D97">
              <w:rPr>
                <w:rFonts w:cs="Arial"/>
                <w:b/>
                <w:bCs/>
                <w:color w:val="000000"/>
                <w:spacing w:val="55"/>
                <w:szCs w:val="20"/>
                <w:shd w:val="solid" w:color="000000" w:fill="000000"/>
                <w:fitText w:val="350" w:id="-893210610"/>
                <w14:textFill>
                  <w14:solidFill>
                    <w14:srgbClr w14:val="000000">
                      <w14:alpha w14:val="100000"/>
                    </w14:srgbClr>
                  </w14:solidFill>
                </w14:textFill>
              </w:rPr>
              <w:t>|||</w:t>
            </w:r>
            <w:r w:rsidRPr="009F6D97">
              <w:rPr>
                <w:rFonts w:cs="Arial"/>
                <w:b/>
                <w:bCs/>
                <w:color w:val="000000"/>
                <w:spacing w:val="2"/>
                <w:szCs w:val="20"/>
                <w:shd w:val="solid" w:color="000000" w:fill="000000"/>
                <w:fitText w:val="350" w:id="-893210610"/>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1C3E43B5" w14:textId="62DC4197" w:rsidR="007B2E9F" w:rsidRPr="009A482D" w:rsidRDefault="009F6D97" w:rsidP="003E1422">
            <w:pPr>
              <w:pStyle w:val="Tabletext"/>
              <w:keepNext/>
              <w:jc w:val="center"/>
              <w:rPr>
                <w:highlight w:val="lightGray"/>
              </w:rPr>
            </w:pPr>
            <w:r w:rsidRPr="009F6D97">
              <w:rPr>
                <w:rFonts w:cs="Arial"/>
                <w:b/>
                <w:bCs/>
                <w:color w:val="000000"/>
                <w:spacing w:val="55"/>
                <w:szCs w:val="20"/>
                <w:shd w:val="solid" w:color="000000" w:fill="000000"/>
                <w:fitText w:val="350" w:id="-893210609"/>
                <w14:textFill>
                  <w14:solidFill>
                    <w14:srgbClr w14:val="000000">
                      <w14:alpha w14:val="100000"/>
                    </w14:srgbClr>
                  </w14:solidFill>
                </w14:textFill>
              </w:rPr>
              <w:t>|||</w:t>
            </w:r>
            <w:r w:rsidRPr="009F6D97">
              <w:rPr>
                <w:rFonts w:cs="Arial"/>
                <w:b/>
                <w:bCs/>
                <w:color w:val="000000"/>
                <w:spacing w:val="2"/>
                <w:szCs w:val="20"/>
                <w:shd w:val="solid" w:color="000000" w:fill="000000"/>
                <w:fitText w:val="350" w:id="-893210609"/>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1BB83FA9" w14:textId="267D3FE2" w:rsidR="007B2E9F" w:rsidRPr="009A482D" w:rsidRDefault="009F6D97" w:rsidP="003E1422">
            <w:pPr>
              <w:pStyle w:val="Tabletext"/>
              <w:keepNext/>
              <w:jc w:val="center"/>
              <w:rPr>
                <w:highlight w:val="lightGray"/>
              </w:rPr>
            </w:pPr>
            <w:r w:rsidRPr="009F6D97">
              <w:rPr>
                <w:rFonts w:cs="Arial"/>
                <w:b/>
                <w:bCs/>
                <w:color w:val="000000"/>
                <w:spacing w:val="55"/>
                <w:szCs w:val="20"/>
                <w:shd w:val="solid" w:color="000000" w:fill="000000"/>
                <w:fitText w:val="350" w:id="-893210608"/>
                <w14:textFill>
                  <w14:solidFill>
                    <w14:srgbClr w14:val="000000">
                      <w14:alpha w14:val="100000"/>
                    </w14:srgbClr>
                  </w14:solidFill>
                </w14:textFill>
              </w:rPr>
              <w:t>|||</w:t>
            </w:r>
            <w:r w:rsidRPr="009F6D97">
              <w:rPr>
                <w:rFonts w:cs="Arial"/>
                <w:b/>
                <w:bCs/>
                <w:color w:val="000000"/>
                <w:spacing w:val="2"/>
                <w:szCs w:val="20"/>
                <w:shd w:val="solid" w:color="000000" w:fill="000000"/>
                <w:fitText w:val="350" w:id="-893210608"/>
                <w14:textFill>
                  <w14:solidFill>
                    <w14:srgbClr w14:val="000000">
                      <w14:alpha w14:val="100000"/>
                    </w14:srgbClr>
                  </w14:solidFill>
                </w14:textFill>
              </w:rPr>
              <w:t>|</w:t>
            </w:r>
            <w:r w:rsidR="00D02FB0" w:rsidRPr="005C269B">
              <w:rPr>
                <w:rFonts w:cs="Arial"/>
                <w:color w:val="000000"/>
                <w:szCs w:val="20"/>
                <w:vertAlign w:val="superscript"/>
              </w:rPr>
              <w:t>2</w:t>
            </w:r>
          </w:p>
        </w:tc>
        <w:tc>
          <w:tcPr>
            <w:tcW w:w="1134" w:type="dxa"/>
            <w:vAlign w:val="center"/>
          </w:tcPr>
          <w:p w14:paraId="066F061F" w14:textId="35666BFF" w:rsidR="007B2E9F" w:rsidRPr="009A482D" w:rsidRDefault="009F6D97" w:rsidP="003E1422">
            <w:pPr>
              <w:pStyle w:val="Tabletext"/>
              <w:keepNext/>
              <w:jc w:val="center"/>
              <w:rPr>
                <w:highlight w:val="lightGray"/>
              </w:rPr>
            </w:pPr>
            <w:r w:rsidRPr="009F6D97">
              <w:rPr>
                <w:rFonts w:cs="Arial"/>
                <w:b/>
                <w:bCs/>
                <w:color w:val="000000"/>
                <w:spacing w:val="55"/>
                <w:szCs w:val="20"/>
                <w:shd w:val="solid" w:color="000000" w:fill="000000"/>
                <w:fitText w:val="350" w:id="-893210624"/>
                <w14:textFill>
                  <w14:solidFill>
                    <w14:srgbClr w14:val="000000">
                      <w14:alpha w14:val="100000"/>
                    </w14:srgbClr>
                  </w14:solidFill>
                </w14:textFill>
              </w:rPr>
              <w:t>|||</w:t>
            </w:r>
            <w:r w:rsidRPr="009F6D97">
              <w:rPr>
                <w:rFonts w:cs="Arial"/>
                <w:b/>
                <w:bCs/>
                <w:color w:val="000000"/>
                <w:spacing w:val="2"/>
                <w:szCs w:val="20"/>
                <w:shd w:val="solid" w:color="000000" w:fill="000000"/>
                <w:fitText w:val="350" w:id="-893210624"/>
                <w14:textFill>
                  <w14:solidFill>
                    <w14:srgbClr w14:val="000000">
                      <w14:alpha w14:val="100000"/>
                    </w14:srgbClr>
                  </w14:solidFill>
                </w14:textFill>
              </w:rPr>
              <w:t>|</w:t>
            </w:r>
            <w:r w:rsidR="00D02FB0" w:rsidRPr="005C269B">
              <w:rPr>
                <w:rFonts w:cs="Arial"/>
                <w:color w:val="000000"/>
                <w:szCs w:val="20"/>
                <w:vertAlign w:val="superscript"/>
              </w:rPr>
              <w:t>2</w:t>
            </w:r>
          </w:p>
        </w:tc>
        <w:tc>
          <w:tcPr>
            <w:tcW w:w="1084" w:type="dxa"/>
            <w:vAlign w:val="center"/>
          </w:tcPr>
          <w:p w14:paraId="6C4A90ED" w14:textId="3D27008F" w:rsidR="007B2E9F" w:rsidRPr="009A482D" w:rsidRDefault="009F6D97" w:rsidP="003E1422">
            <w:pPr>
              <w:pStyle w:val="Tabletext"/>
              <w:keepNext/>
              <w:jc w:val="center"/>
              <w:rPr>
                <w:highlight w:val="lightGray"/>
              </w:rPr>
            </w:pPr>
            <w:r w:rsidRPr="00ED38E1">
              <w:rPr>
                <w:rFonts w:cs="Arial"/>
                <w:b/>
                <w:bCs/>
                <w:color w:val="000000"/>
                <w:spacing w:val="55"/>
                <w:szCs w:val="20"/>
                <w:shd w:val="solid" w:color="000000" w:fill="000000"/>
                <w:fitText w:val="350" w:id="-893210623"/>
                <w14:textFill>
                  <w14:solidFill>
                    <w14:srgbClr w14:val="000000">
                      <w14:alpha w14:val="100000"/>
                    </w14:srgbClr>
                  </w14:solidFill>
                </w14:textFill>
              </w:rPr>
              <w:t>|||</w:t>
            </w:r>
            <w:r w:rsidRPr="00ED38E1">
              <w:rPr>
                <w:rFonts w:cs="Arial"/>
                <w:b/>
                <w:bCs/>
                <w:color w:val="000000"/>
                <w:spacing w:val="2"/>
                <w:szCs w:val="20"/>
                <w:shd w:val="solid" w:color="000000" w:fill="000000"/>
                <w:fitText w:val="350" w:id="-893210623"/>
                <w14:textFill>
                  <w14:solidFill>
                    <w14:srgbClr w14:val="000000">
                      <w14:alpha w14:val="100000"/>
                    </w14:srgbClr>
                  </w14:solidFill>
                </w14:textFill>
              </w:rPr>
              <w:t>|</w:t>
            </w:r>
            <w:r w:rsidR="00D02FB0" w:rsidRPr="005C269B">
              <w:rPr>
                <w:rFonts w:cs="Arial"/>
                <w:color w:val="000000"/>
                <w:szCs w:val="20"/>
                <w:vertAlign w:val="superscript"/>
              </w:rPr>
              <w:t>2</w:t>
            </w:r>
          </w:p>
        </w:tc>
      </w:tr>
    </w:tbl>
    <w:p w14:paraId="2F3D218D" w14:textId="77777777" w:rsidR="007B2E9F" w:rsidRPr="00731632" w:rsidRDefault="007B2E9F" w:rsidP="007B2E9F">
      <w:pPr>
        <w:pStyle w:val="TableFigureFooter"/>
      </w:pPr>
      <w:r w:rsidRPr="00731632">
        <w:t>Source: tabulated during evaluation from the “Appendix 6. Nirsevimab Utilisation and Cost Model’ Workbook provided in the submission</w:t>
      </w:r>
    </w:p>
    <w:p w14:paraId="573CE09C" w14:textId="77777777" w:rsidR="007B2E9F" w:rsidRPr="00731632" w:rsidRDefault="007B2E9F" w:rsidP="007B2E9F">
      <w:pPr>
        <w:pStyle w:val="TableFigureFooter"/>
      </w:pPr>
      <w:r w:rsidRPr="00731632">
        <w:t>Note: revised estimates use the most updated ABS population projections (base year 2022), assume all services will be PBS services and apply the full cost of MBS item 23 ($41.40) to each treated infant.</w:t>
      </w:r>
    </w:p>
    <w:p w14:paraId="558197F6" w14:textId="77777777" w:rsidR="007B2E9F" w:rsidRPr="00731632" w:rsidRDefault="007B2E9F" w:rsidP="007B2E9F">
      <w:pPr>
        <w:pStyle w:val="TableFigureFooter"/>
      </w:pPr>
      <w:r w:rsidRPr="00731632">
        <w:rPr>
          <w:vertAlign w:val="superscript"/>
        </w:rPr>
        <w:t xml:space="preserve">a </w:t>
      </w:r>
      <w:r w:rsidRPr="00731632">
        <w:t>1 script per infant in populations 1 and 2; 2 scripts per infant in population 3</w:t>
      </w:r>
    </w:p>
    <w:p w14:paraId="00D0EA91" w14:textId="24624A6F" w:rsidR="00801077" w:rsidRPr="00731632" w:rsidRDefault="00801077" w:rsidP="007B2E9F">
      <w:pPr>
        <w:pStyle w:val="TableFigureFooter"/>
      </w:pPr>
      <w:r w:rsidRPr="00731632">
        <w:rPr>
          <w:vertAlign w:val="superscript"/>
        </w:rPr>
        <w:t>b</w:t>
      </w:r>
      <w:r w:rsidRPr="00731632">
        <w:t xml:space="preserve"> Revised by the evaluation using the most updated ABS population projections (base year 2022)</w:t>
      </w:r>
      <w:r w:rsidR="00863E7A" w:rsidRPr="00731632">
        <w:t>.</w:t>
      </w:r>
    </w:p>
    <w:p w14:paraId="04067D68" w14:textId="5364197F" w:rsidR="00801077" w:rsidRDefault="00801077" w:rsidP="007B2E9F">
      <w:pPr>
        <w:pStyle w:val="TableFigureFooter"/>
      </w:pPr>
      <w:r w:rsidRPr="00731632">
        <w:rPr>
          <w:vertAlign w:val="superscript"/>
        </w:rPr>
        <w:t>c</w:t>
      </w:r>
      <w:r w:rsidRPr="00731632">
        <w:t xml:space="preserve"> MBS fees for item 23 is adjusted and applied to each infant treated with nirsevimab</w:t>
      </w:r>
    </w:p>
    <w:p w14:paraId="5E7AD5DA" w14:textId="77777777" w:rsidR="00480FA0" w:rsidRPr="003E1422" w:rsidRDefault="00480FA0" w:rsidP="00480FA0">
      <w:pPr>
        <w:pStyle w:val="TableFigureFooter"/>
        <w:rPr>
          <w:i/>
          <w:iCs/>
        </w:rPr>
      </w:pPr>
      <w:r w:rsidRPr="003E1422">
        <w:rPr>
          <w:i/>
          <w:iCs/>
        </w:rPr>
        <w:t>The redacted values correspond to the following ranges</w:t>
      </w:r>
    </w:p>
    <w:p w14:paraId="296AF386" w14:textId="77777777" w:rsidR="00480FA0" w:rsidRPr="003E1422" w:rsidRDefault="00480FA0" w:rsidP="00480FA0">
      <w:pPr>
        <w:pStyle w:val="TableFigureFooter"/>
        <w:rPr>
          <w:i/>
          <w:iCs/>
        </w:rPr>
      </w:pPr>
      <w:r w:rsidRPr="003E1422">
        <w:rPr>
          <w:i/>
          <w:iCs/>
        </w:rPr>
        <w:t>1 200,000 to &lt; 300,000</w:t>
      </w:r>
    </w:p>
    <w:p w14:paraId="6D1B75ED" w14:textId="358370FE" w:rsidR="008D60B6" w:rsidRPr="003E1422" w:rsidRDefault="008D60B6" w:rsidP="008D60B6">
      <w:pPr>
        <w:pStyle w:val="TableFigureFooter"/>
        <w:rPr>
          <w:i/>
          <w:iCs/>
        </w:rPr>
      </w:pPr>
      <w:r w:rsidRPr="003E1422">
        <w:rPr>
          <w:i/>
          <w:iCs/>
        </w:rPr>
        <w:t>2 $100 million to &lt; $200 million</w:t>
      </w:r>
    </w:p>
    <w:p w14:paraId="371ADBB4" w14:textId="2A7672C9" w:rsidR="00480FA0" w:rsidRPr="003E1422" w:rsidRDefault="00E04EFE" w:rsidP="00480FA0">
      <w:pPr>
        <w:pStyle w:val="TableFigureFooter"/>
        <w:rPr>
          <w:i/>
          <w:iCs/>
        </w:rPr>
      </w:pPr>
      <w:r w:rsidRPr="003E1422">
        <w:rPr>
          <w:i/>
          <w:iCs/>
        </w:rPr>
        <w:t xml:space="preserve">3 </w:t>
      </w:r>
      <w:r w:rsidR="00DC31A9" w:rsidRPr="003E1422">
        <w:rPr>
          <w:i/>
          <w:iCs/>
        </w:rPr>
        <w:t>$0 to &lt; $10 million</w:t>
      </w:r>
    </w:p>
    <w:p w14:paraId="67AFA9A8" w14:textId="638B20F4" w:rsidR="007B2E9F" w:rsidRPr="00731632" w:rsidRDefault="007B2E9F" w:rsidP="007B2E9F">
      <w:pPr>
        <w:pStyle w:val="3-BodyText"/>
      </w:pPr>
      <w:r w:rsidRPr="00731632">
        <w:t>The total cost to the PBS of listing nirsevimab was estimated</w:t>
      </w:r>
      <w:r w:rsidR="00B84E3B" w:rsidRPr="00731632">
        <w:t xml:space="preserve"> by the submission</w:t>
      </w:r>
      <w:r w:rsidRPr="00731632">
        <w:t xml:space="preserve"> to be $</w:t>
      </w:r>
      <w:r w:rsidR="00D048FE" w:rsidRPr="00D048FE">
        <w:t>100 million to &lt; $200 million</w:t>
      </w:r>
      <w:r w:rsidR="00B67E00">
        <w:t xml:space="preserve"> </w:t>
      </w:r>
      <w:r w:rsidRPr="00731632">
        <w:t>in Year 6 and a total of $</w:t>
      </w:r>
      <w:r w:rsidR="001837B5" w:rsidRPr="001837B5">
        <w:t>600 million to &lt; $700 million</w:t>
      </w:r>
      <w:r w:rsidR="001837B5" w:rsidRPr="001837B5" w:rsidDel="001837B5">
        <w:t xml:space="preserve"> </w:t>
      </w:r>
      <w:r w:rsidRPr="00731632">
        <w:t>across the first 6 years of listing. The total cost to the MBS was $</w:t>
      </w:r>
      <w:r w:rsidR="00AF08C9" w:rsidRPr="00AF08C9">
        <w:t>10 million to &lt;</w:t>
      </w:r>
      <w:r w:rsidR="00B67E00">
        <w:t> </w:t>
      </w:r>
      <w:r w:rsidR="00AF08C9" w:rsidRPr="00AF08C9">
        <w:t>$20</w:t>
      </w:r>
      <w:r w:rsidR="00B67E00">
        <w:t> </w:t>
      </w:r>
      <w:r w:rsidR="00AF08C9" w:rsidRPr="00AF08C9">
        <w:t>million</w:t>
      </w:r>
      <w:r w:rsidR="00B67E00">
        <w:t xml:space="preserve"> </w:t>
      </w:r>
      <w:r w:rsidRPr="00731632">
        <w:t>in the first 6 years of listing.</w:t>
      </w:r>
      <w:r w:rsidRPr="00731632">
        <w:rPr>
          <w:color w:val="3366FF"/>
        </w:rPr>
        <w:t xml:space="preserve"> </w:t>
      </w:r>
      <w:r w:rsidRPr="00731632">
        <w:t xml:space="preserve">The cost to the PBS </w:t>
      </w:r>
      <w:r w:rsidR="00027CB5" w:rsidRPr="00731632">
        <w:t xml:space="preserve">decreased </w:t>
      </w:r>
      <w:r w:rsidRPr="00731632">
        <w:t>to $</w:t>
      </w:r>
      <w:r w:rsidR="008F6BF5" w:rsidRPr="008F6BF5">
        <w:t>600</w:t>
      </w:r>
      <w:r w:rsidR="00B67E00">
        <w:t> </w:t>
      </w:r>
      <w:r w:rsidR="008F6BF5" w:rsidRPr="008F6BF5">
        <w:t>million to &lt; $700 million</w:t>
      </w:r>
      <w:r w:rsidR="008F6BF5" w:rsidRPr="008F6BF5" w:rsidDel="008F6BF5">
        <w:t xml:space="preserve"> </w:t>
      </w:r>
      <w:r w:rsidRPr="00731632">
        <w:t xml:space="preserve">across the first 6 years of listing when the most </w:t>
      </w:r>
      <w:r w:rsidR="00176564" w:rsidRPr="00731632">
        <w:t xml:space="preserve">recent </w:t>
      </w:r>
      <w:r w:rsidRPr="00731632">
        <w:t xml:space="preserve">ABS population projections </w:t>
      </w:r>
      <w:r w:rsidR="00027CB5" w:rsidRPr="00731632">
        <w:t xml:space="preserve">were </w:t>
      </w:r>
      <w:r w:rsidRPr="00731632">
        <w:t xml:space="preserve">utilised to estimate the number of infants treated in population 3, i.e., the infants aged 1-2 who remain vulnerable to RSV infections. Further, when the MBS fees for item 23 </w:t>
      </w:r>
      <w:r w:rsidR="00027CB5" w:rsidRPr="00731632">
        <w:t xml:space="preserve">were </w:t>
      </w:r>
      <w:r w:rsidRPr="00731632">
        <w:t xml:space="preserve">adjusted and applied to each infant treated with nirsevimab, the total cost to the MBS </w:t>
      </w:r>
      <w:r w:rsidR="00027CB5" w:rsidRPr="00731632">
        <w:t xml:space="preserve">increased </w:t>
      </w:r>
      <w:r w:rsidRPr="00731632">
        <w:t>to $</w:t>
      </w:r>
      <w:r w:rsidR="00137883" w:rsidRPr="00137883">
        <w:t>50 million to &lt;</w:t>
      </w:r>
      <w:r w:rsidR="00B67E00">
        <w:t> </w:t>
      </w:r>
      <w:r w:rsidR="00137883" w:rsidRPr="00137883">
        <w:t>$60</w:t>
      </w:r>
      <w:r w:rsidR="00B67E00">
        <w:t> </w:t>
      </w:r>
      <w:r w:rsidR="00137883" w:rsidRPr="00137883">
        <w:t>million</w:t>
      </w:r>
      <w:r w:rsidR="00B67E00">
        <w:t xml:space="preserve"> </w:t>
      </w:r>
      <w:r w:rsidRPr="00731632">
        <w:t xml:space="preserve">across the first 6 years of listing. </w:t>
      </w:r>
    </w:p>
    <w:p w14:paraId="2058CE28" w14:textId="6BCE05BD" w:rsidR="00863E7A" w:rsidRPr="00731632" w:rsidRDefault="00863E7A" w:rsidP="00866F91">
      <w:pPr>
        <w:pStyle w:val="3-BodyText"/>
      </w:pPr>
      <w:r w:rsidRPr="00731632">
        <w:rPr>
          <w:bCs/>
        </w:rPr>
        <w:t>Overall, t</w:t>
      </w:r>
      <w:r w:rsidR="00DB57CD" w:rsidRPr="00731632">
        <w:rPr>
          <w:bCs/>
        </w:rPr>
        <w:t xml:space="preserve">he </w:t>
      </w:r>
      <w:r w:rsidR="00A839AD" w:rsidRPr="00731632">
        <w:rPr>
          <w:bCs/>
        </w:rPr>
        <w:t xml:space="preserve">DUSC considered the estimates presented in the submission </w:t>
      </w:r>
      <w:r w:rsidR="00DB57CD" w:rsidRPr="00731632">
        <w:rPr>
          <w:bCs/>
        </w:rPr>
        <w:t>for populations 1 and 2</w:t>
      </w:r>
      <w:r w:rsidR="00CD7AC3" w:rsidRPr="00731632">
        <w:rPr>
          <w:bCs/>
        </w:rPr>
        <w:t xml:space="preserve"> were reasonable noting that a 70% uptake rate was assumed</w:t>
      </w:r>
      <w:r w:rsidRPr="00731632">
        <w:rPr>
          <w:bCs/>
        </w:rPr>
        <w:t xml:space="preserve"> (see paragraph </w:t>
      </w:r>
      <w:r w:rsidRPr="00731632">
        <w:rPr>
          <w:bCs/>
        </w:rPr>
        <w:fldChar w:fldCharType="begin"/>
      </w:r>
      <w:r w:rsidRPr="00731632">
        <w:rPr>
          <w:bCs/>
        </w:rPr>
        <w:instrText xml:space="preserve"> REF _Ref173484225 \r \h </w:instrText>
      </w:r>
      <w:r w:rsidRPr="00731632">
        <w:rPr>
          <w:bCs/>
        </w:rPr>
      </w:r>
      <w:r w:rsidRPr="00731632">
        <w:rPr>
          <w:bCs/>
        </w:rPr>
        <w:fldChar w:fldCharType="separate"/>
      </w:r>
      <w:r w:rsidR="00D770BB">
        <w:rPr>
          <w:bCs/>
        </w:rPr>
        <w:t>6.96</w:t>
      </w:r>
      <w:r w:rsidRPr="00731632">
        <w:rPr>
          <w:bCs/>
        </w:rPr>
        <w:fldChar w:fldCharType="end"/>
      </w:r>
      <w:r w:rsidRPr="00731632">
        <w:rPr>
          <w:bCs/>
        </w:rPr>
        <w:t>)</w:t>
      </w:r>
      <w:r w:rsidR="00CD7AC3" w:rsidRPr="00731632">
        <w:rPr>
          <w:bCs/>
        </w:rPr>
        <w:t xml:space="preserve">. The DUSC considered this was appropriate </w:t>
      </w:r>
      <w:r w:rsidR="00A839AD" w:rsidRPr="00731632">
        <w:t>given increas</w:t>
      </w:r>
      <w:r w:rsidR="00CD7AC3" w:rsidRPr="00731632">
        <w:t>ing</w:t>
      </w:r>
      <w:r w:rsidR="00A839AD" w:rsidRPr="00731632">
        <w:t xml:space="preserve"> awareness of RSV</w:t>
      </w:r>
      <w:r w:rsidR="00CD7AC3" w:rsidRPr="00731632">
        <w:t xml:space="preserve"> in the community and prescriber familiarity associated with </w:t>
      </w:r>
      <w:r w:rsidR="00A839AD" w:rsidRPr="00731632">
        <w:t>state</w:t>
      </w:r>
      <w:r w:rsidR="00CD7AC3" w:rsidRPr="00731632">
        <w:t>-</w:t>
      </w:r>
      <w:r w:rsidR="00A839AD" w:rsidRPr="00731632">
        <w:t>based programs</w:t>
      </w:r>
      <w:r w:rsidR="00CD7AC3" w:rsidRPr="00731632">
        <w:t xml:space="preserve">. The DUSC also noted </w:t>
      </w:r>
      <w:r w:rsidR="00A839AD" w:rsidRPr="00731632">
        <w:t>high uptake rates of nirsevimab internationally.</w:t>
      </w:r>
      <w:r w:rsidR="00131FBC" w:rsidRPr="00731632">
        <w:t xml:space="preserve"> </w:t>
      </w:r>
    </w:p>
    <w:p w14:paraId="76A5ECC7" w14:textId="07D6DAAA" w:rsidR="00E3430C" w:rsidRPr="00731632" w:rsidRDefault="00CD7AC3" w:rsidP="00866F91">
      <w:pPr>
        <w:pStyle w:val="3-BodyText"/>
        <w:rPr>
          <w:b/>
        </w:rPr>
      </w:pPr>
      <w:r w:rsidRPr="00731632">
        <w:t xml:space="preserve">In regard to population 3 (infants aged 1-2 who remain vulnerable to RSV infections after their first RSV season), the </w:t>
      </w:r>
      <w:r w:rsidR="00131FBC" w:rsidRPr="00731632">
        <w:t>DUSC considered that t</w:t>
      </w:r>
      <w:r w:rsidR="00A839AD" w:rsidRPr="00731632">
        <w:t xml:space="preserve">he submission underestimated the number of eligible </w:t>
      </w:r>
      <w:r w:rsidR="00B63F4A" w:rsidRPr="00731632">
        <w:t>individuals</w:t>
      </w:r>
      <w:r w:rsidR="00A839AD" w:rsidRPr="00731632">
        <w:t xml:space="preserve">. </w:t>
      </w:r>
      <w:r w:rsidR="00131FBC" w:rsidRPr="00731632">
        <w:t xml:space="preserve">Specifically, </w:t>
      </w:r>
      <w:r w:rsidR="00A839AD" w:rsidRPr="00731632">
        <w:t xml:space="preserve">DUSC considered children with </w:t>
      </w:r>
      <w:r w:rsidR="00A839AD" w:rsidRPr="00731632">
        <w:rPr>
          <w:rFonts w:cstheme="minorHAnsi"/>
          <w:bCs/>
        </w:rPr>
        <w:t xml:space="preserve">haemodynamically significant congenital heart disease and </w:t>
      </w:r>
      <w:r w:rsidR="00A839AD" w:rsidRPr="00731632">
        <w:rPr>
          <w:rFonts w:cstheme="minorHAnsi"/>
        </w:rPr>
        <w:t xml:space="preserve">Aboriginal and Torres Strait Islander population </w:t>
      </w:r>
      <w:r w:rsidR="00A839AD" w:rsidRPr="00731632">
        <w:rPr>
          <w:rFonts w:cstheme="minorHAnsi"/>
          <w:bCs/>
        </w:rPr>
        <w:t xml:space="preserve">children should be explicitly included in the financial estimates. </w:t>
      </w:r>
      <w:r w:rsidR="00E3430C" w:rsidRPr="00731632">
        <w:t xml:space="preserve"> DUSC considered children with BPD ha</w:t>
      </w:r>
      <w:r w:rsidR="00011DC7" w:rsidRPr="00731632">
        <w:t>d</w:t>
      </w:r>
      <w:r w:rsidR="00E3430C" w:rsidRPr="00731632">
        <w:t xml:space="preserve"> been accounted for as part of the eligible population.</w:t>
      </w:r>
    </w:p>
    <w:p w14:paraId="384043F9" w14:textId="2C0EC2E5" w:rsidR="00DB57CD" w:rsidRPr="00731632" w:rsidRDefault="00CD7AC3" w:rsidP="00866F91">
      <w:pPr>
        <w:pStyle w:val="3-BodyText"/>
        <w:rPr>
          <w:b/>
        </w:rPr>
      </w:pPr>
      <w:r w:rsidRPr="00731632">
        <w:t>The pre-PBAC response stated that b</w:t>
      </w:r>
      <w:r w:rsidR="00DB57CD" w:rsidRPr="00731632">
        <w:t xml:space="preserve">ronchopulmonary </w:t>
      </w:r>
      <w:r w:rsidRPr="00731632">
        <w:t>d</w:t>
      </w:r>
      <w:r w:rsidR="00DB57CD" w:rsidRPr="00731632">
        <w:t xml:space="preserve">ysplasia (BPD) is linked to preterm births and decreased gestational age, with prevalence rates of over 35% for infants with a gestational age &lt;28 weeks. According to the National Perinatal Data Collection, 0.41% of all live births had a gestational age &lt;28 weeks. Using these values, this equates to approximately </w:t>
      </w:r>
      <w:bookmarkStart w:id="119" w:name="_Hlk179473682"/>
      <w:r w:rsidR="00F61B62" w:rsidRPr="00F61B62">
        <w:t>&lt; 500</w:t>
      </w:r>
      <w:bookmarkEnd w:id="119"/>
      <w:r w:rsidR="00DB57CD" w:rsidRPr="00731632">
        <w:t xml:space="preserve"> births with BPD. Congenital heart disease affects an estimated </w:t>
      </w:r>
      <w:r w:rsidR="003061B4" w:rsidRPr="003061B4">
        <w:t>500 to &lt; 5,000</w:t>
      </w:r>
      <w:r w:rsidR="003E1422">
        <w:t xml:space="preserve"> </w:t>
      </w:r>
      <w:r w:rsidR="00DB57CD" w:rsidRPr="00731632">
        <w:t>infants affected in Australia each year</w:t>
      </w:r>
      <w:r w:rsidR="00F57C39" w:rsidRPr="00731632">
        <w:rPr>
          <w:rStyle w:val="FootnoteReference"/>
        </w:rPr>
        <w:footnoteReference w:id="33"/>
      </w:r>
      <w:r w:rsidR="00DB57CD" w:rsidRPr="00731632">
        <w:t xml:space="preserve">. The latest update from the National Perinatal Data Collection reported </w:t>
      </w:r>
      <w:r w:rsidR="00D17373" w:rsidRPr="00D17373">
        <w:t>10,000 to &lt; 20,000</w:t>
      </w:r>
      <w:r w:rsidR="00D05A0E">
        <w:t xml:space="preserve"> </w:t>
      </w:r>
      <w:r w:rsidR="00DB57CD" w:rsidRPr="00731632">
        <w:t xml:space="preserve">First Nations live births. The </w:t>
      </w:r>
      <w:r w:rsidR="00BC7034" w:rsidRPr="00731632">
        <w:t xml:space="preserve">pre-PBAC response estimated the </w:t>
      </w:r>
      <w:r w:rsidR="00DB57CD" w:rsidRPr="00731632">
        <w:t xml:space="preserve">total number </w:t>
      </w:r>
      <w:r w:rsidR="00BC7034" w:rsidRPr="00731632">
        <w:t xml:space="preserve">of </w:t>
      </w:r>
      <w:r w:rsidR="00DB57CD" w:rsidRPr="00731632">
        <w:t>high</w:t>
      </w:r>
      <w:r w:rsidR="00AD7828" w:rsidRPr="00731632">
        <w:noBreakHyphen/>
      </w:r>
      <w:r w:rsidR="00DB57CD" w:rsidRPr="00731632">
        <w:t xml:space="preserve">risk </w:t>
      </w:r>
      <w:r w:rsidR="00BC7034" w:rsidRPr="00731632">
        <w:t xml:space="preserve">children </w:t>
      </w:r>
      <w:r w:rsidR="00DB57CD" w:rsidRPr="00731632">
        <w:t xml:space="preserve">during their second RSV season </w:t>
      </w:r>
      <w:r w:rsidR="00BC7034" w:rsidRPr="00731632">
        <w:t>to be</w:t>
      </w:r>
      <w:r w:rsidR="00DB57CD" w:rsidRPr="00731632">
        <w:t xml:space="preserve"> </w:t>
      </w:r>
      <w:r w:rsidR="00D17373" w:rsidRPr="00D17373">
        <w:t>10,000 to &lt; 20,000</w:t>
      </w:r>
      <w:r w:rsidR="00D17373" w:rsidRPr="009A482D" w:rsidDel="00D17373">
        <w:t xml:space="preserve"> </w:t>
      </w:r>
      <w:r w:rsidR="00DB57CD" w:rsidRPr="00D17373">
        <w:t xml:space="preserve">(i.e., </w:t>
      </w:r>
      <w:r w:rsidR="00D17373" w:rsidRPr="00D17373">
        <w:t>&lt; 500</w:t>
      </w:r>
      <w:r w:rsidR="00DB57CD" w:rsidRPr="00D17373">
        <w:t xml:space="preserve"> + </w:t>
      </w:r>
      <w:r w:rsidR="00D17373" w:rsidRPr="00D17373">
        <w:t>500 to &lt; 5,000</w:t>
      </w:r>
      <w:r w:rsidR="003E1422">
        <w:t xml:space="preserve"> </w:t>
      </w:r>
      <w:r w:rsidR="00DB57CD" w:rsidRPr="00D17373">
        <w:t xml:space="preserve">+ </w:t>
      </w:r>
      <w:r w:rsidR="00D17373" w:rsidRPr="00D17373">
        <w:t>10,000 to &lt; 20,000</w:t>
      </w:r>
      <w:r w:rsidR="00DB57CD" w:rsidRPr="00731632">
        <w:t>).</w:t>
      </w:r>
    </w:p>
    <w:p w14:paraId="4DB0BB30" w14:textId="77777777" w:rsidR="00FF6272" w:rsidRPr="00731632" w:rsidRDefault="00FF6272" w:rsidP="00FF6272">
      <w:pPr>
        <w:pStyle w:val="4-SubsectionHeading"/>
      </w:pPr>
      <w:r w:rsidRPr="00731632">
        <w:t>Quality Use of Medicines</w:t>
      </w:r>
      <w:bookmarkEnd w:id="107"/>
      <w:bookmarkEnd w:id="108"/>
      <w:bookmarkEnd w:id="109"/>
    </w:p>
    <w:bookmarkEnd w:id="110"/>
    <w:p w14:paraId="299D6149" w14:textId="49B80AFC" w:rsidR="00C525D3" w:rsidRPr="00731632" w:rsidRDefault="00C525D3" w:rsidP="00C525D3">
      <w:pPr>
        <w:pStyle w:val="3-BodyText"/>
      </w:pPr>
      <w:r w:rsidRPr="00731632">
        <w:t xml:space="preserve">The submission stated that the sponsor will work collaboratively with health care providers to ensure that nirsevimab is used appropriately and in line with the available clinical evidence and TGA restrictions. The submission outlined a strategy that aimed to address any potential issues that may arise with the implementation of the nirsevimab program on the PBS; proposed patients access pathways and the processes necessary for monitoring of patient outcomes and adverse events following treatment with nirsevimab. The strategy consisted of 9 stages: decision, order, review, issue, supply, distribution, administration, monitoring and data collection. This would ensure that all eligible </w:t>
      </w:r>
      <w:r w:rsidR="00011DC7" w:rsidRPr="00731632">
        <w:t xml:space="preserve">infants </w:t>
      </w:r>
      <w:r w:rsidRPr="00731632">
        <w:t xml:space="preserve">were correctly identified and that nirsevimab administration would consider gestational and chronological age of the infants and the time of the year relative to the RSV season. </w:t>
      </w:r>
    </w:p>
    <w:p w14:paraId="31917FBA" w14:textId="5C6C8645" w:rsidR="00A839AD" w:rsidRPr="00731632" w:rsidRDefault="00C525D3" w:rsidP="00866F91">
      <w:pPr>
        <w:pStyle w:val="3-BodyText"/>
      </w:pPr>
      <w:r w:rsidRPr="00731632">
        <w:t>The submission identified the following QUM issues: maternal vaccination status prior to treatment with palivizumab and nirsevimab; impact of weight on dosing; seasonality of RSV on timing of immunisation; uptake of nirsevimab given that it will not be listed on the NIP; coordination of issue of prescription with supply and administration</w:t>
      </w:r>
      <w:r w:rsidR="00650C90" w:rsidRPr="00731632">
        <w:t xml:space="preserve">. </w:t>
      </w:r>
      <w:r w:rsidRPr="00731632">
        <w:rPr>
          <w:iCs/>
        </w:rPr>
        <w:t xml:space="preserve">The submission did not consider that it may be difficult for clinicians to accurately monitor and predict the start of the RSV season. </w:t>
      </w:r>
      <w:r w:rsidR="00650C90" w:rsidRPr="00731632">
        <w:rPr>
          <w:iCs/>
        </w:rPr>
        <w:t>The evaluation noted</w:t>
      </w:r>
      <w:r w:rsidRPr="00731632">
        <w:rPr>
          <w:iCs/>
        </w:rPr>
        <w:t xml:space="preserve"> </w:t>
      </w:r>
      <w:r w:rsidR="00650C90" w:rsidRPr="00731632">
        <w:rPr>
          <w:iCs/>
        </w:rPr>
        <w:t xml:space="preserve">an additional risk, </w:t>
      </w:r>
      <w:r w:rsidRPr="00731632">
        <w:rPr>
          <w:iCs/>
        </w:rPr>
        <w:t xml:space="preserve">that infants may be given </w:t>
      </w:r>
      <w:r w:rsidR="00650C90" w:rsidRPr="00731632">
        <w:rPr>
          <w:iCs/>
        </w:rPr>
        <w:t xml:space="preserve">the </w:t>
      </w:r>
      <w:r w:rsidRPr="00731632">
        <w:rPr>
          <w:iCs/>
        </w:rPr>
        <w:t xml:space="preserve">lower dose </w:t>
      </w:r>
      <w:r w:rsidR="00650C90" w:rsidRPr="00731632">
        <w:rPr>
          <w:iCs/>
        </w:rPr>
        <w:t xml:space="preserve">of nirsevimab </w:t>
      </w:r>
      <w:r w:rsidRPr="00731632">
        <w:rPr>
          <w:iCs/>
        </w:rPr>
        <w:t xml:space="preserve">in </w:t>
      </w:r>
      <w:r w:rsidR="00650C90" w:rsidRPr="00731632">
        <w:rPr>
          <w:iCs/>
        </w:rPr>
        <w:t>error, if there was a</w:t>
      </w:r>
      <w:r w:rsidRPr="00731632">
        <w:rPr>
          <w:iCs/>
        </w:rPr>
        <w:t xml:space="preserve"> delay in administration following a prescription for nirsevimab</w:t>
      </w:r>
      <w:r w:rsidR="00650C90" w:rsidRPr="00731632">
        <w:rPr>
          <w:iCs/>
        </w:rPr>
        <w:t xml:space="preserve"> and the infant’s weight exceeded 5 kg in that time</w:t>
      </w:r>
      <w:r w:rsidRPr="00731632">
        <w:rPr>
          <w:iCs/>
        </w:rPr>
        <w:t>. No further QUM issues were identified during the evaluation.</w:t>
      </w:r>
    </w:p>
    <w:p w14:paraId="7158C3A9" w14:textId="730AC476" w:rsidR="00A839AD" w:rsidRPr="00731632" w:rsidRDefault="00283C96" w:rsidP="00A869A0">
      <w:pPr>
        <w:pStyle w:val="3-BodyText"/>
        <w:rPr>
          <w:color w:val="000000" w:themeColor="text1"/>
        </w:rPr>
      </w:pPr>
      <w:r w:rsidRPr="00731632">
        <w:rPr>
          <w:bCs/>
        </w:rPr>
        <w:t>The</w:t>
      </w:r>
      <w:r w:rsidR="00A869A0" w:rsidRPr="00731632">
        <w:rPr>
          <w:color w:val="000000" w:themeColor="text1"/>
        </w:rPr>
        <w:t xml:space="preserve"> </w:t>
      </w:r>
      <w:r w:rsidR="00A839AD" w:rsidRPr="00731632">
        <w:t xml:space="preserve">DUSC considered that as nirsevimab is a new health technology (prophylactic antibody treatment against RSV), there is opportunity to educate and improve the health literacy of consumers. </w:t>
      </w:r>
      <w:r w:rsidRPr="00731632">
        <w:t xml:space="preserve">The </w:t>
      </w:r>
      <w:r w:rsidR="00A839AD" w:rsidRPr="00731632">
        <w:t>DUSC considered the importance of informing families of high</w:t>
      </w:r>
      <w:r w:rsidR="00BC7034" w:rsidRPr="00731632">
        <w:noBreakHyphen/>
      </w:r>
      <w:r w:rsidR="00A839AD" w:rsidRPr="00731632">
        <w:t>risk infants to receive the second dose of nirsevimab</w:t>
      </w:r>
      <w:r w:rsidR="00C61063" w:rsidRPr="00731632">
        <w:t xml:space="preserve"> (population 3)</w:t>
      </w:r>
      <w:r w:rsidR="00A839AD" w:rsidRPr="00731632">
        <w:t xml:space="preserve">. </w:t>
      </w:r>
      <w:r w:rsidRPr="00731632">
        <w:t xml:space="preserve">The </w:t>
      </w:r>
      <w:r w:rsidR="00A839AD" w:rsidRPr="00731632">
        <w:t xml:space="preserve">DUSC </w:t>
      </w:r>
      <w:r w:rsidRPr="00731632">
        <w:t xml:space="preserve">also </w:t>
      </w:r>
      <w:r w:rsidR="00A839AD" w:rsidRPr="00731632">
        <w:t>noted the complexities of optimising the timing of doses given variation in the onset of the RSV season.</w:t>
      </w:r>
    </w:p>
    <w:p w14:paraId="06AEBE81" w14:textId="3DDE839C" w:rsidR="00FF6272" w:rsidRPr="00731632" w:rsidRDefault="00FF6272" w:rsidP="00FF6272">
      <w:pPr>
        <w:pStyle w:val="4-SubsectionHeading"/>
      </w:pPr>
      <w:bookmarkStart w:id="120" w:name="_Toc167276243"/>
      <w:r w:rsidRPr="00731632">
        <w:t>Financial Management – Risk Sharing Arrangements</w:t>
      </w:r>
      <w:bookmarkEnd w:id="120"/>
    </w:p>
    <w:p w14:paraId="3C09E198" w14:textId="77777777" w:rsidR="00A10DE9" w:rsidRPr="00731632" w:rsidRDefault="00A10DE9" w:rsidP="00A10DE9">
      <w:pPr>
        <w:pStyle w:val="3-BodyText"/>
      </w:pPr>
      <w:r w:rsidRPr="00731632">
        <w:t>The submission did not propose a risk-sharing arrangement.</w:t>
      </w:r>
    </w:p>
    <w:p w14:paraId="4AB2F501" w14:textId="0E535383" w:rsidR="006D3C4C" w:rsidRPr="00731632" w:rsidRDefault="006D3C4C" w:rsidP="006D3C4C">
      <w:pPr>
        <w:pStyle w:val="3-BodyText"/>
        <w:numPr>
          <w:ilvl w:val="0"/>
          <w:numId w:val="0"/>
        </w:numPr>
        <w:ind w:left="720"/>
        <w:rPr>
          <w:iCs/>
        </w:rPr>
      </w:pPr>
      <w:r w:rsidRPr="00731632">
        <w:rPr>
          <w:i/>
        </w:rPr>
        <w:t>For more detail on PBAC’s view, see section 7 PBAC outcome.</w:t>
      </w:r>
    </w:p>
    <w:p w14:paraId="366D612F" w14:textId="77777777" w:rsidR="006B6D42" w:rsidRPr="003E1422" w:rsidRDefault="006B6D42" w:rsidP="003E1422">
      <w:pPr>
        <w:keepNext/>
        <w:numPr>
          <w:ilvl w:val="0"/>
          <w:numId w:val="1"/>
        </w:numPr>
        <w:spacing w:before="240" w:after="120"/>
        <w:jc w:val="left"/>
        <w:outlineLvl w:val="0"/>
        <w:rPr>
          <w:rFonts w:asciiTheme="minorHAnsi" w:hAnsiTheme="minorHAnsi"/>
          <w:b/>
          <w:snapToGrid w:val="0"/>
          <w:sz w:val="32"/>
          <w:szCs w:val="32"/>
        </w:rPr>
      </w:pPr>
      <w:bookmarkStart w:id="121" w:name="_Hlk76381249"/>
      <w:bookmarkStart w:id="122" w:name="_Hlk76377955"/>
      <w:r w:rsidRPr="003E1422">
        <w:rPr>
          <w:rFonts w:asciiTheme="minorHAnsi" w:hAnsiTheme="minorHAnsi"/>
          <w:b/>
          <w:snapToGrid w:val="0"/>
          <w:sz w:val="32"/>
          <w:szCs w:val="32"/>
        </w:rPr>
        <w:t>PBAC Outcome</w:t>
      </w:r>
    </w:p>
    <w:p w14:paraId="3CECC311" w14:textId="4DDEFF86" w:rsidR="006F6F52" w:rsidRPr="00731632" w:rsidRDefault="002C425E" w:rsidP="00636811">
      <w:pPr>
        <w:widowControl w:val="0"/>
        <w:numPr>
          <w:ilvl w:val="1"/>
          <w:numId w:val="1"/>
        </w:numPr>
        <w:spacing w:after="120"/>
        <w:rPr>
          <w:rFonts w:asciiTheme="minorHAnsi" w:hAnsiTheme="minorHAnsi"/>
          <w:snapToGrid w:val="0"/>
        </w:rPr>
      </w:pPr>
      <w:bookmarkStart w:id="123" w:name="_Hlk173773352"/>
      <w:r w:rsidRPr="00731632">
        <w:rPr>
          <w:rFonts w:asciiTheme="minorHAnsi" w:hAnsiTheme="minorHAnsi"/>
          <w:snapToGrid w:val="0"/>
        </w:rPr>
        <w:t xml:space="preserve">The PBAC did not recommend the General Schedule Restricted Benefit </w:t>
      </w:r>
      <w:r w:rsidR="00BC0518" w:rsidRPr="00731632">
        <w:rPr>
          <w:rFonts w:asciiTheme="minorHAnsi" w:hAnsiTheme="minorHAnsi"/>
          <w:snapToGrid w:val="0"/>
        </w:rPr>
        <w:t xml:space="preserve">PBS </w:t>
      </w:r>
      <w:r w:rsidRPr="00731632">
        <w:rPr>
          <w:rFonts w:asciiTheme="minorHAnsi" w:hAnsiTheme="minorHAnsi"/>
          <w:snapToGrid w:val="0"/>
        </w:rPr>
        <w:t xml:space="preserve">listing of nirsevimab for </w:t>
      </w:r>
      <w:r w:rsidRPr="00731632">
        <w:t>the prevention of respiratory syncytial virus (RSV) lower respiratory tract disease (LRTD) in neonates and infants born during or entering their first RSV season; and children up to 24 months of age who remain vulnerable to severe RSV disease through their second RSV season.</w:t>
      </w:r>
      <w:r w:rsidR="003E1422">
        <w:t xml:space="preserve"> </w:t>
      </w:r>
      <w:r w:rsidR="006F6F52" w:rsidRPr="00731632">
        <w:rPr>
          <w:rFonts w:asciiTheme="minorHAnsi" w:hAnsiTheme="minorHAnsi"/>
          <w:snapToGrid w:val="0"/>
        </w:rPr>
        <w:t>The PBAC considered that nirsevimab was superior in terms of effectiveness compared to no immunisation, with an acceptable safety profile</w:t>
      </w:r>
      <w:r w:rsidR="005C71B2" w:rsidRPr="00731632">
        <w:rPr>
          <w:rFonts w:asciiTheme="minorHAnsi" w:hAnsiTheme="minorHAnsi"/>
          <w:snapToGrid w:val="0"/>
        </w:rPr>
        <w:t xml:space="preserve"> in the first RSV season</w:t>
      </w:r>
      <w:r w:rsidR="006F6F52" w:rsidRPr="00731632">
        <w:rPr>
          <w:rFonts w:asciiTheme="minorHAnsi" w:hAnsiTheme="minorHAnsi"/>
          <w:snapToGrid w:val="0"/>
        </w:rPr>
        <w:t xml:space="preserve">. However, the PBAC considered the </w:t>
      </w:r>
      <w:r w:rsidR="00E55A6D" w:rsidRPr="00731632">
        <w:rPr>
          <w:rFonts w:asciiTheme="minorHAnsi" w:hAnsiTheme="minorHAnsi"/>
          <w:snapToGrid w:val="0"/>
        </w:rPr>
        <w:t xml:space="preserve">incremental cost-effectiveness ratio </w:t>
      </w:r>
      <w:r w:rsidR="009E23AC" w:rsidRPr="00731632">
        <w:rPr>
          <w:rFonts w:asciiTheme="minorHAnsi" w:hAnsiTheme="minorHAnsi"/>
          <w:snapToGrid w:val="0"/>
        </w:rPr>
        <w:t xml:space="preserve">for </w:t>
      </w:r>
      <w:r w:rsidR="005C71B2" w:rsidRPr="00731632">
        <w:rPr>
          <w:rFonts w:asciiTheme="minorHAnsi" w:hAnsiTheme="minorHAnsi"/>
          <w:snapToGrid w:val="0"/>
        </w:rPr>
        <w:t xml:space="preserve">nirsevimab for the first RSV season </w:t>
      </w:r>
      <w:r w:rsidR="009E23AC" w:rsidRPr="00731632">
        <w:rPr>
          <w:rFonts w:asciiTheme="minorHAnsi" w:hAnsiTheme="minorHAnsi"/>
          <w:snapToGrid w:val="0"/>
        </w:rPr>
        <w:t>to be substantially underestimated and highly uncertain</w:t>
      </w:r>
      <w:r w:rsidR="005C71B2" w:rsidRPr="00731632">
        <w:rPr>
          <w:rFonts w:asciiTheme="minorHAnsi" w:hAnsiTheme="minorHAnsi"/>
          <w:snapToGrid w:val="0"/>
        </w:rPr>
        <w:t xml:space="preserve">. </w:t>
      </w:r>
      <w:r w:rsidR="009E23AC" w:rsidRPr="00731632">
        <w:t>The PBAC did not accept palivizumab as the main comparator for the second season, and</w:t>
      </w:r>
      <w:r w:rsidR="005C71B2" w:rsidRPr="00731632">
        <w:rPr>
          <w:rFonts w:asciiTheme="minorHAnsi" w:hAnsiTheme="minorHAnsi"/>
          <w:snapToGrid w:val="0"/>
        </w:rPr>
        <w:t xml:space="preserve"> </w:t>
      </w:r>
      <w:r w:rsidR="009E23AC" w:rsidRPr="00731632">
        <w:rPr>
          <w:iCs/>
        </w:rPr>
        <w:t>noted</w:t>
      </w:r>
      <w:r w:rsidR="005C71B2" w:rsidRPr="00731632">
        <w:rPr>
          <w:iCs/>
        </w:rPr>
        <w:t xml:space="preserve"> there was limited </w:t>
      </w:r>
      <w:r w:rsidR="009E23AC" w:rsidRPr="00731632">
        <w:rPr>
          <w:iCs/>
        </w:rPr>
        <w:t xml:space="preserve">clinical </w:t>
      </w:r>
      <w:r w:rsidR="005C71B2" w:rsidRPr="00731632">
        <w:rPr>
          <w:iCs/>
        </w:rPr>
        <w:t>evidence to support the proposed listing of nirsevimab in the second season</w:t>
      </w:r>
      <w:r w:rsidR="009E23AC" w:rsidRPr="00731632">
        <w:rPr>
          <w:iCs/>
        </w:rPr>
        <w:t xml:space="preserve">. </w:t>
      </w:r>
    </w:p>
    <w:bookmarkEnd w:id="123"/>
    <w:p w14:paraId="08917CE0" w14:textId="77777777" w:rsidR="00636811" w:rsidRPr="00731632" w:rsidRDefault="00636811" w:rsidP="00AD7828">
      <w:pPr>
        <w:widowControl w:val="0"/>
        <w:numPr>
          <w:ilvl w:val="1"/>
          <w:numId w:val="1"/>
        </w:numPr>
        <w:spacing w:after="120"/>
        <w:rPr>
          <w:rFonts w:asciiTheme="minorHAnsi" w:hAnsiTheme="minorHAnsi"/>
          <w:snapToGrid w:val="0"/>
        </w:rPr>
      </w:pPr>
      <w:r w:rsidRPr="00731632">
        <w:t>The primary reason for this outcome was due to the economic evaluation presented.</w:t>
      </w:r>
    </w:p>
    <w:p w14:paraId="1E1D5F4C" w14:textId="6270B9B8" w:rsidR="00D96E77" w:rsidRPr="00731632" w:rsidRDefault="00D96E77" w:rsidP="00D96E77">
      <w:pPr>
        <w:widowControl w:val="0"/>
        <w:numPr>
          <w:ilvl w:val="1"/>
          <w:numId w:val="1"/>
        </w:numPr>
        <w:spacing w:after="120"/>
        <w:rPr>
          <w:i/>
          <w:iCs/>
        </w:rPr>
      </w:pPr>
      <w:r w:rsidRPr="00731632">
        <w:rPr>
          <w:rFonts w:asciiTheme="minorHAnsi" w:hAnsiTheme="minorHAnsi"/>
          <w:snapToGrid w:val="0"/>
        </w:rPr>
        <w:t>The PBAC noted that a number of RSV vaccines and monoclonal antibodies are in development globally for prevention of RSV disease, and the clinical algorithm is changing following TGA registration and market launch of the first wave of these products in Australia, including nirsevimab.</w:t>
      </w:r>
      <w:r w:rsidR="003E1422">
        <w:rPr>
          <w:rFonts w:asciiTheme="minorHAnsi" w:hAnsiTheme="minorHAnsi"/>
          <w:snapToGrid w:val="0"/>
        </w:rPr>
        <w:t xml:space="preserve"> </w:t>
      </w:r>
    </w:p>
    <w:p w14:paraId="77164CEF" w14:textId="3509BFED" w:rsidR="000F61D7" w:rsidRPr="00731632" w:rsidRDefault="00E01729" w:rsidP="00866F91">
      <w:pPr>
        <w:pStyle w:val="3-BodyText"/>
        <w:rPr>
          <w:iCs/>
        </w:rPr>
      </w:pPr>
      <w:r w:rsidRPr="00731632">
        <w:t xml:space="preserve">The PBAC noted that nirsevimab is a </w:t>
      </w:r>
      <w:r w:rsidR="00B10C26" w:rsidRPr="00731632">
        <w:rPr>
          <w:iCs/>
        </w:rPr>
        <w:t xml:space="preserve">recombinant human IgG1 kappa monoclonal antibody </w:t>
      </w:r>
      <w:r w:rsidR="00C53729" w:rsidRPr="00731632">
        <w:t>that binds to</w:t>
      </w:r>
      <w:r w:rsidRPr="00731632">
        <w:t xml:space="preserve"> the prefusion conformation of the RSV F protein</w:t>
      </w:r>
      <w:r w:rsidR="00C53729" w:rsidRPr="00731632">
        <w:t xml:space="preserve"> to block viral entry into the host cell</w:t>
      </w:r>
      <w:r w:rsidR="00BC173C" w:rsidRPr="00731632">
        <w:rPr>
          <w:iCs/>
        </w:rPr>
        <w:t>.</w:t>
      </w:r>
      <w:r w:rsidR="00C53729" w:rsidRPr="00731632">
        <w:t xml:space="preserve"> </w:t>
      </w:r>
      <w:r w:rsidR="000F61D7" w:rsidRPr="00731632">
        <w:t xml:space="preserve">Nirsevimab provides protection for at least 5 months via </w:t>
      </w:r>
      <w:r w:rsidR="00E03E41" w:rsidRPr="00731632">
        <w:t xml:space="preserve">passive </w:t>
      </w:r>
      <w:r w:rsidR="000F61D7" w:rsidRPr="00731632">
        <w:t>immunisation of the infant or</w:t>
      </w:r>
      <w:r w:rsidR="00E03E41" w:rsidRPr="00731632">
        <w:t xml:space="preserve"> young </w:t>
      </w:r>
      <w:r w:rsidR="000F61D7" w:rsidRPr="00731632">
        <w:t>child and works immediately after injection.</w:t>
      </w:r>
    </w:p>
    <w:p w14:paraId="2792BAF4" w14:textId="77777777" w:rsidR="00B37667" w:rsidRPr="00731632" w:rsidRDefault="00B37667" w:rsidP="00B37667">
      <w:pPr>
        <w:widowControl w:val="0"/>
        <w:numPr>
          <w:ilvl w:val="1"/>
          <w:numId w:val="1"/>
        </w:numPr>
        <w:spacing w:after="120"/>
        <w:rPr>
          <w:rFonts w:asciiTheme="minorHAnsi" w:hAnsiTheme="minorHAnsi"/>
          <w:bCs/>
        </w:rPr>
      </w:pPr>
      <w:r w:rsidRPr="00731632">
        <w:t>The PBAC considered there is a high clinical need for vaccines, or other interventions such as nirsevimab, to reduce the risk of RSV, noting that RSV is a common respiratory infection and although symptoms are usually mild, some children develop severe disease which poses a significant risk, especially in infants aged up to six months. The PBAC noted the proposed listing for nirsevimab was supported by the consumer comments received for this submission.</w:t>
      </w:r>
    </w:p>
    <w:p w14:paraId="4D7F30BE" w14:textId="77777777" w:rsidR="00B37667" w:rsidRPr="00731632" w:rsidRDefault="00B37667" w:rsidP="00B37667">
      <w:pPr>
        <w:widowControl w:val="0"/>
        <w:numPr>
          <w:ilvl w:val="1"/>
          <w:numId w:val="1"/>
        </w:numPr>
        <w:spacing w:after="120"/>
      </w:pPr>
      <w:r w:rsidRPr="00731632">
        <w:rPr>
          <w:bCs/>
        </w:rPr>
        <w:t>The PBAC noted that some infants are at an increased risk of severe RSV complications, including First Nations infants, infants with weakened immune systems, premature babies, and those with chronic lung or heart conditions. In addition, the outcomes for infants with RSV infections could be worse for those living in remote or regional areas, especially those requiring extended travel times to access medical care.</w:t>
      </w:r>
      <w:r w:rsidRPr="00731632">
        <w:t xml:space="preserve"> While some high-risk pregnancies and high-risk infants can be identified before birth, the majority of risk factors for RSV-related disease cannot be identified until after birth.</w:t>
      </w:r>
    </w:p>
    <w:p w14:paraId="0EEA1797" w14:textId="02DD8949" w:rsidR="00361AEB" w:rsidRPr="00731632" w:rsidRDefault="00361AEB" w:rsidP="00361AEB">
      <w:pPr>
        <w:widowControl w:val="0"/>
        <w:numPr>
          <w:ilvl w:val="1"/>
          <w:numId w:val="1"/>
        </w:numPr>
        <w:spacing w:after="120"/>
        <w:rPr>
          <w:iCs/>
        </w:rPr>
      </w:pPr>
      <w:r w:rsidRPr="00731632">
        <w:t>The PBAC noted and welcomed the advice from the ATAGI that was provided to the PBAC to assist with consideration of this submission.</w:t>
      </w:r>
      <w:r w:rsidR="003E1422">
        <w:t xml:space="preserve"> </w:t>
      </w:r>
      <w:r w:rsidRPr="00731632">
        <w:t>The PBAC noted that the ATAGI may update its advice in the future, as further evidence emerges.</w:t>
      </w:r>
    </w:p>
    <w:p w14:paraId="2A45B8A5" w14:textId="79309A65" w:rsidR="00561CAE" w:rsidRPr="00731632" w:rsidRDefault="00FF4483" w:rsidP="00197E9D">
      <w:pPr>
        <w:widowControl w:val="0"/>
        <w:numPr>
          <w:ilvl w:val="1"/>
          <w:numId w:val="1"/>
        </w:numPr>
        <w:spacing w:after="120"/>
      </w:pPr>
      <w:r w:rsidRPr="00731632">
        <w:rPr>
          <w:snapToGrid w:val="0"/>
        </w:rPr>
        <w:t xml:space="preserve">In the absence of any immunisation for RSV (vaccine or monoclonal antibody) being currently available on the PBS or NIP in Australia, the PBAC accepted the </w:t>
      </w:r>
      <w:r w:rsidR="00FE0080" w:rsidRPr="00731632">
        <w:rPr>
          <w:snapToGrid w:val="0"/>
        </w:rPr>
        <w:t xml:space="preserve">proposed </w:t>
      </w:r>
      <w:r w:rsidRPr="00731632">
        <w:rPr>
          <w:snapToGrid w:val="0"/>
        </w:rPr>
        <w:t>clinical place for nirsevimab</w:t>
      </w:r>
      <w:r w:rsidR="00A105E7" w:rsidRPr="00731632">
        <w:rPr>
          <w:snapToGrid w:val="0"/>
        </w:rPr>
        <w:t xml:space="preserve"> for </w:t>
      </w:r>
      <w:r w:rsidR="00A105E7" w:rsidRPr="00731632">
        <w:t>neonates and infants born during or entering their first RSV season; and children up to 24 months of age who remain vulnerable to severe RSV disease through their second RSV season</w:t>
      </w:r>
      <w:r w:rsidRPr="00731632">
        <w:rPr>
          <w:snapToGrid w:val="0"/>
        </w:rPr>
        <w:t>.</w:t>
      </w:r>
      <w:r w:rsidR="003E1422">
        <w:rPr>
          <w:snapToGrid w:val="0"/>
        </w:rPr>
        <w:t xml:space="preserve"> </w:t>
      </w:r>
      <w:r w:rsidR="00FE0080" w:rsidRPr="00731632">
        <w:rPr>
          <w:snapToGrid w:val="0"/>
        </w:rPr>
        <w:t xml:space="preserve"> </w:t>
      </w:r>
    </w:p>
    <w:p w14:paraId="249C8BE6" w14:textId="142EAE47" w:rsidR="00B37667" w:rsidRPr="00731632" w:rsidRDefault="00FE0080" w:rsidP="00B37667">
      <w:pPr>
        <w:widowControl w:val="0"/>
        <w:numPr>
          <w:ilvl w:val="1"/>
          <w:numId w:val="1"/>
        </w:numPr>
        <w:spacing w:after="120"/>
      </w:pPr>
      <w:bookmarkStart w:id="124" w:name="_Ref173761287"/>
      <w:r w:rsidRPr="00731632">
        <w:rPr>
          <w:snapToGrid w:val="0"/>
        </w:rPr>
        <w:t xml:space="preserve">The PBAC noted that the </w:t>
      </w:r>
      <w:r w:rsidRPr="00731632">
        <w:t>Australian Immunisation Handbook</w:t>
      </w:r>
      <w:r w:rsidR="001A18C8" w:rsidRPr="00731632">
        <w:t xml:space="preserve"> (AIH)</w:t>
      </w:r>
      <w:r w:rsidRPr="00731632">
        <w:t xml:space="preserve"> includes recommendations for use of vaccines and monoclonal antibodies for prophylaxis of RSV disease (paragraph </w:t>
      </w:r>
      <w:r w:rsidRPr="00731632">
        <w:fldChar w:fldCharType="begin"/>
      </w:r>
      <w:r w:rsidRPr="00731632">
        <w:instrText xml:space="preserve"> REF _Ref172751041 \r \h </w:instrText>
      </w:r>
      <w:r w:rsidRPr="00731632">
        <w:fldChar w:fldCharType="separate"/>
      </w:r>
      <w:r w:rsidR="00D770BB">
        <w:t>3.9</w:t>
      </w:r>
      <w:r w:rsidRPr="00731632">
        <w:fldChar w:fldCharType="end"/>
      </w:r>
      <w:r w:rsidRPr="00731632">
        <w:t xml:space="preserve">), and that a resubmission should consider these recommendations when specifying proposed PBS restrictions, especially in relation to instances where it may be appropriate to administer nirsevimab to an infant after maternal vaccination has </w:t>
      </w:r>
      <w:r w:rsidR="00CA462A" w:rsidRPr="00731632">
        <w:t>occurred</w:t>
      </w:r>
      <w:r w:rsidR="00B057FA" w:rsidRPr="00731632">
        <w:t xml:space="preserve">, and additional considerations in regard to </w:t>
      </w:r>
      <w:r w:rsidR="004E02ED" w:rsidRPr="00731632">
        <w:t xml:space="preserve">eligibility for nirsevimab in </w:t>
      </w:r>
      <w:r w:rsidR="00B057FA" w:rsidRPr="00731632">
        <w:t>high-risk infants</w:t>
      </w:r>
      <w:r w:rsidRPr="00731632">
        <w:t>.</w:t>
      </w:r>
      <w:bookmarkEnd w:id="124"/>
      <w:r w:rsidR="003E1422">
        <w:t xml:space="preserve"> </w:t>
      </w:r>
      <w:bookmarkStart w:id="125" w:name="_Ref173505748"/>
    </w:p>
    <w:p w14:paraId="1328355D" w14:textId="042ACAA4" w:rsidR="009E6D0B" w:rsidRPr="00731632" w:rsidRDefault="00DE5081" w:rsidP="0090308F">
      <w:pPr>
        <w:pStyle w:val="3-BodyText"/>
        <w:widowControl w:val="0"/>
        <w:rPr>
          <w:snapToGrid/>
        </w:rPr>
      </w:pPr>
      <w:bookmarkStart w:id="126" w:name="_Ref174016979"/>
      <w:r w:rsidRPr="00731632">
        <w:t xml:space="preserve">The proposed restriction stated that </w:t>
      </w:r>
      <w:r w:rsidRPr="00731632">
        <w:rPr>
          <w:bCs/>
          <w:szCs w:val="20"/>
        </w:rPr>
        <w:t>for neonates and infants born during or entering their first RSV season,</w:t>
      </w:r>
      <w:r w:rsidRPr="00731632">
        <w:t xml:space="preserve"> a patient’s mother must not have received immunisation against RSV while pregnant, and the patient must not have received a prophylactic antibody treatment against RSV. The PBAC considered that additional benefit</w:t>
      </w:r>
      <w:r w:rsidR="00561CAE" w:rsidRPr="00731632">
        <w:t>s</w:t>
      </w:r>
      <w:r w:rsidRPr="00731632">
        <w:t xml:space="preserve"> of maternal vaccination plus nirsevimab would</w:t>
      </w:r>
      <w:r w:rsidR="00B37667" w:rsidRPr="00731632">
        <w:t xml:space="preserve"> be </w:t>
      </w:r>
      <w:r w:rsidR="00561CAE" w:rsidRPr="00731632">
        <w:t>difficult to assess</w:t>
      </w:r>
      <w:r w:rsidRPr="00731632">
        <w:t xml:space="preserve"> due to limited data; however, it considered that there may be a small number of instances where </w:t>
      </w:r>
      <w:r w:rsidR="001A18C8" w:rsidRPr="00731632">
        <w:t xml:space="preserve">it may be clinically appropriate for </w:t>
      </w:r>
      <w:r w:rsidRPr="00731632">
        <w:t xml:space="preserve">an infant </w:t>
      </w:r>
      <w:r w:rsidR="001A18C8" w:rsidRPr="00731632">
        <w:t xml:space="preserve">to </w:t>
      </w:r>
      <w:r w:rsidRPr="00731632">
        <w:t xml:space="preserve">receive nirsevimab </w:t>
      </w:r>
      <w:r w:rsidR="001A18C8" w:rsidRPr="00731632">
        <w:t xml:space="preserve">after </w:t>
      </w:r>
      <w:r w:rsidRPr="00731632">
        <w:t>the mother had been vaccinated</w:t>
      </w:r>
      <w:r w:rsidR="0090308F" w:rsidRPr="00731632">
        <w:t>. Examples of these instances as stated in the Australian Immunisation Handbook are:</w:t>
      </w:r>
      <w:r w:rsidR="0090308F" w:rsidRPr="00731632">
        <w:rPr>
          <w:snapToGrid/>
        </w:rPr>
        <w:t xml:space="preserve"> </w:t>
      </w:r>
      <w:r w:rsidR="0090308F" w:rsidRPr="00731632">
        <w:t>(i) Infants born within 2 weeks of the mother receiving RSV vaccine during pregnancy ii) Infants with risk conditions for severe RSV disease regardless of maternal vaccination iii) Infants born to mothers with severe immunosuppression and iv) Infants whose mothers have received RSV vaccine in pregnancy but have subsequently undergone a treatment that has led to loss of maternal antibodies).</w:t>
      </w:r>
      <w:r w:rsidRPr="00731632">
        <w:t xml:space="preserve"> </w:t>
      </w:r>
      <w:r w:rsidR="001A18C8" w:rsidRPr="00731632">
        <w:t>The P</w:t>
      </w:r>
      <w:r w:rsidR="00E50C76" w:rsidRPr="00731632">
        <w:t>B</w:t>
      </w:r>
      <w:r w:rsidR="001A18C8" w:rsidRPr="00731632">
        <w:t>AC considered</w:t>
      </w:r>
      <w:r w:rsidRPr="00731632">
        <w:t xml:space="preserve">, </w:t>
      </w:r>
      <w:r w:rsidR="001A18C8" w:rsidRPr="00731632">
        <w:t>that</w:t>
      </w:r>
      <w:r w:rsidRPr="00731632">
        <w:t xml:space="preserve"> if clinically justified, these infants should not be precluded from accessing nirsevimab by the restriction</w:t>
      </w:r>
      <w:r w:rsidR="0085322B" w:rsidRPr="00731632">
        <w:t>, as outlined in the ATAGI’s advice to the PBAC</w:t>
      </w:r>
      <w:r w:rsidRPr="00731632">
        <w:t xml:space="preserve">. </w:t>
      </w:r>
      <w:r w:rsidR="001A18C8" w:rsidRPr="00731632">
        <w:t xml:space="preserve">In regard to the </w:t>
      </w:r>
      <w:bookmarkStart w:id="127" w:name="_Ref173761292"/>
      <w:r w:rsidRPr="00731632">
        <w:t xml:space="preserve">restriction </w:t>
      </w:r>
      <w:r w:rsidR="001A18C8" w:rsidRPr="00731632">
        <w:t xml:space="preserve">that </w:t>
      </w:r>
      <w:r w:rsidRPr="00731632">
        <w:t xml:space="preserve">proposed access </w:t>
      </w:r>
      <w:r w:rsidR="001A18C8" w:rsidRPr="00731632">
        <w:t>for</w:t>
      </w:r>
      <w:r w:rsidRPr="00731632">
        <w:t xml:space="preserve"> children up to 24 months of age who remain vulnerable to severe RSV disease through their second RSV season</w:t>
      </w:r>
      <w:r w:rsidR="001A18C8" w:rsidRPr="00731632">
        <w:t>, th</w:t>
      </w:r>
      <w:r w:rsidRPr="00731632">
        <w:t xml:space="preserve">e PBAC considered that the definition of the high-risk group </w:t>
      </w:r>
      <w:r w:rsidR="009C0547" w:rsidRPr="00731632">
        <w:t>needed refinement to</w:t>
      </w:r>
      <w:r w:rsidRPr="00731632">
        <w:t xml:space="preserve"> ensure </w:t>
      </w:r>
      <w:r w:rsidR="001A18C8" w:rsidRPr="00731632">
        <w:t>that</w:t>
      </w:r>
      <w:r w:rsidRPr="00731632">
        <w:t xml:space="preserve"> current ATAGI advice</w:t>
      </w:r>
      <w:r w:rsidR="001A18C8" w:rsidRPr="00731632">
        <w:t xml:space="preserve"> is incorporated</w:t>
      </w:r>
      <w:r w:rsidRPr="00731632">
        <w:t>.</w:t>
      </w:r>
      <w:bookmarkStart w:id="128" w:name="_Ref173772928"/>
      <w:bookmarkEnd w:id="126"/>
      <w:bookmarkEnd w:id="127"/>
    </w:p>
    <w:p w14:paraId="2FE9C851" w14:textId="0BA97575" w:rsidR="009C0547" w:rsidRPr="00731632" w:rsidRDefault="009C0547" w:rsidP="009C0547">
      <w:pPr>
        <w:pStyle w:val="3-BodyText"/>
        <w:widowControl w:val="0"/>
        <w:rPr>
          <w:snapToGrid/>
        </w:rPr>
      </w:pPr>
      <w:r w:rsidRPr="00731632">
        <w:t>The PBAC considered the submission’s nomination of no immunisation as the main comparator, and RSVpreF maternal vaccine as the near market comparator in Season 1 was appropriate.</w:t>
      </w:r>
      <w:r w:rsidR="003E1422">
        <w:t xml:space="preserve"> </w:t>
      </w:r>
      <w:r w:rsidRPr="00731632">
        <w:t>However the PBAC considered that no immunisation should be considered as the main comparator for Season 2, rather than palivizumab as proposed by the submission, on the basis that palivizumab is not widely used.</w:t>
      </w:r>
      <w:r w:rsidR="003E1422">
        <w:t xml:space="preserve"> </w:t>
      </w:r>
      <w:r w:rsidRPr="00731632">
        <w:t xml:space="preserve">The PBAC considered that the cost-effective price of palivizumab was unknown, noting that palivizumab was not recommended for PBS listing when it was considered in 2005 (paragraph </w:t>
      </w:r>
      <w:r w:rsidRPr="00731632">
        <w:fldChar w:fldCharType="begin"/>
      </w:r>
      <w:r w:rsidRPr="00731632">
        <w:instrText xml:space="preserve"> REF _Ref173488205 \r \h </w:instrText>
      </w:r>
      <w:r w:rsidRPr="00731632">
        <w:fldChar w:fldCharType="separate"/>
      </w:r>
      <w:r w:rsidR="00D770BB">
        <w:t>5.2</w:t>
      </w:r>
      <w:r w:rsidRPr="00731632">
        <w:fldChar w:fldCharType="end"/>
      </w:r>
      <w:r w:rsidRPr="00731632">
        <w:t>).</w:t>
      </w:r>
    </w:p>
    <w:p w14:paraId="3BCEAFCD" w14:textId="0D779F88" w:rsidR="00CD2D39" w:rsidRPr="00731632" w:rsidRDefault="00CD2D39" w:rsidP="00866F91">
      <w:pPr>
        <w:widowControl w:val="0"/>
        <w:numPr>
          <w:ilvl w:val="1"/>
          <w:numId w:val="1"/>
        </w:numPr>
        <w:spacing w:after="120"/>
      </w:pPr>
      <w:r w:rsidRPr="00731632">
        <w:rPr>
          <w:rFonts w:cstheme="minorHAnsi"/>
          <w:bCs/>
        </w:rPr>
        <w:t>The PBAC considered that the uptake rates remained uncertain but that high uptake in the first year of life should be the goal for the proposed listing, in order to maximise clinical benefits for infants.</w:t>
      </w:r>
      <w:r w:rsidR="003E1422">
        <w:rPr>
          <w:rFonts w:cstheme="minorHAnsi"/>
          <w:bCs/>
        </w:rPr>
        <w:t xml:space="preserve"> </w:t>
      </w:r>
      <w:r w:rsidR="008E7E65" w:rsidRPr="00731632">
        <w:rPr>
          <w:rFonts w:cstheme="minorHAnsi"/>
          <w:bCs/>
        </w:rPr>
        <w:t>In regard to the utilisation estimates, t</w:t>
      </w:r>
      <w:r w:rsidRPr="00731632">
        <w:rPr>
          <w:rFonts w:cstheme="minorHAnsi"/>
          <w:bCs/>
        </w:rPr>
        <w:t xml:space="preserve">he PBAC also considered that </w:t>
      </w:r>
      <w:r w:rsidRPr="00731632">
        <w:t xml:space="preserve">uptake </w:t>
      </w:r>
      <w:r w:rsidRPr="00731632">
        <w:rPr>
          <w:rFonts w:cstheme="minorHAnsi"/>
          <w:bCs/>
        </w:rPr>
        <w:t>may be reduced due to the need for prescriptions and co-payments in comparison with a listing on the NIP, and that a resubmission would need to provide further justification for the assumed uptake rate in each population which considered the setting of administration and prescription requirements.</w:t>
      </w:r>
      <w:r w:rsidR="003E1422">
        <w:rPr>
          <w:rFonts w:cstheme="minorHAnsi"/>
          <w:bCs/>
        </w:rPr>
        <w:t xml:space="preserve"> </w:t>
      </w:r>
      <w:bookmarkStart w:id="129" w:name="_Ref173506062"/>
      <w:r w:rsidRPr="00731632">
        <w:t>The PBAC noted that the submission’s estimates of population 3 were based solely on estimation of the number of births with a gestational age of less than 36 weeks, and considered that the estimate should individually quantify infants with BPD or CHD, and indigenous children, and take into account the corrections made during the evaluation, and the advice from the DUSC.</w:t>
      </w:r>
      <w:bookmarkEnd w:id="129"/>
      <w:r w:rsidR="003E1422">
        <w:t xml:space="preserve"> </w:t>
      </w:r>
    </w:p>
    <w:bookmarkEnd w:id="125"/>
    <w:bookmarkEnd w:id="128"/>
    <w:p w14:paraId="2F9E81AF" w14:textId="7F1EA935" w:rsidR="0022095E" w:rsidRPr="00731632" w:rsidRDefault="0022095E" w:rsidP="00866F91">
      <w:pPr>
        <w:pStyle w:val="3-BodyText"/>
        <w:rPr>
          <w:iCs/>
        </w:rPr>
      </w:pPr>
      <w:r w:rsidRPr="00731632">
        <w:t xml:space="preserve">The PBAC noted that </w:t>
      </w:r>
      <w:r w:rsidRPr="00731632">
        <w:rPr>
          <w:iCs/>
        </w:rPr>
        <w:t>the timing of RSV outbreaks varies with the climate across different regions of Australia and that</w:t>
      </w:r>
      <w:r w:rsidRPr="00731632">
        <w:t xml:space="preserve"> </w:t>
      </w:r>
      <w:r w:rsidR="00EF505D" w:rsidRPr="00731632">
        <w:t>the timing of administration of nirsevimab in relation to the RSV season, was a</w:t>
      </w:r>
      <w:r w:rsidRPr="00731632">
        <w:t xml:space="preserve"> key driver of the economic model</w:t>
      </w:r>
      <w:r w:rsidR="00EF505D" w:rsidRPr="00731632">
        <w:t>.</w:t>
      </w:r>
      <w:r w:rsidR="003E1422">
        <w:t xml:space="preserve"> </w:t>
      </w:r>
      <w:r w:rsidR="00EF505D" w:rsidRPr="00731632">
        <w:rPr>
          <w:color w:val="000000" w:themeColor="text1"/>
        </w:rPr>
        <w:t xml:space="preserve">The nirsevimab model contained two populations based on their climate, either tropical or temperate, to permit the simulation of different timing and duration of the RSV season. </w:t>
      </w:r>
      <w:r w:rsidR="00EF505D" w:rsidRPr="00731632">
        <w:t>The submission assumed that the use of nirsevimab at the beginning of the season in temperate climates would protect against almost 90% of the yearly cases of RSV. In tropical climates, where the RSV season is more dispersed, it was assumed that nirsevimab administered at the beginning of the season provided protection against almost 80% of all yearly cases of RSV.</w:t>
      </w:r>
      <w:r w:rsidR="003E1422">
        <w:t xml:space="preserve"> </w:t>
      </w:r>
      <w:r w:rsidR="00C56710" w:rsidRPr="00731632">
        <w:t>However, this would require the provision of</w:t>
      </w:r>
      <w:r w:rsidRPr="00731632">
        <w:t xml:space="preserve"> </w:t>
      </w:r>
      <w:r w:rsidR="00152AF6" w:rsidRPr="00731632">
        <w:t xml:space="preserve">accurate </w:t>
      </w:r>
      <w:r w:rsidRPr="00731632">
        <w:t xml:space="preserve">advice about the optimal timing of nirsevimab administration </w:t>
      </w:r>
      <w:r w:rsidR="00EF505D" w:rsidRPr="00731632">
        <w:t xml:space="preserve">for different jurisdictions, </w:t>
      </w:r>
      <w:r w:rsidRPr="00731632">
        <w:t xml:space="preserve">and for this advice to be </w:t>
      </w:r>
      <w:r w:rsidR="00152AF6" w:rsidRPr="00731632">
        <w:t>precisely</w:t>
      </w:r>
      <w:r w:rsidRPr="00731632">
        <w:t xml:space="preserve"> followed.</w:t>
      </w:r>
      <w:r w:rsidR="003E1422">
        <w:t xml:space="preserve"> </w:t>
      </w:r>
      <w:r w:rsidRPr="00731632">
        <w:rPr>
          <w:iCs/>
        </w:rPr>
        <w:t xml:space="preserve">The PBAC noted that the duration of protection of nirsevimab </w:t>
      </w:r>
      <w:r w:rsidR="009C0547" w:rsidRPr="00731632">
        <w:rPr>
          <w:iCs/>
        </w:rPr>
        <w:t>is</w:t>
      </w:r>
      <w:r w:rsidRPr="00731632">
        <w:rPr>
          <w:iCs/>
        </w:rPr>
        <w:t xml:space="preserve"> five months, however the proposed use of nirsevimab, </w:t>
      </w:r>
      <w:r w:rsidR="00152AF6" w:rsidRPr="00731632">
        <w:rPr>
          <w:iCs/>
        </w:rPr>
        <w:t xml:space="preserve">aimed to </w:t>
      </w:r>
      <w:r w:rsidRPr="00731632">
        <w:rPr>
          <w:iCs/>
        </w:rPr>
        <w:t xml:space="preserve">allow the timing </w:t>
      </w:r>
      <w:r w:rsidRPr="00731632">
        <w:t xml:space="preserve">of administration to infants to be targeted to </w:t>
      </w:r>
      <w:r w:rsidR="00C56710" w:rsidRPr="00731632">
        <w:t>maximise</w:t>
      </w:r>
      <w:r w:rsidRPr="00731632">
        <w:t xml:space="preserve"> protection over the duration of RSV season.</w:t>
      </w:r>
      <w:r w:rsidR="003E1422">
        <w:t xml:space="preserve"> </w:t>
      </w:r>
      <w:r w:rsidRPr="00731632">
        <w:t xml:space="preserve">This differed from the RSVpreF maternal vaccine considered by the PBAC in March and May 2024 (paragraph </w:t>
      </w:r>
      <w:r w:rsidRPr="00731632">
        <w:fldChar w:fldCharType="begin"/>
      </w:r>
      <w:r w:rsidRPr="00731632">
        <w:instrText xml:space="preserve"> REF _Ref173405390 \r \h </w:instrText>
      </w:r>
      <w:r w:rsidR="00561CAE" w:rsidRPr="00731632">
        <w:instrText xml:space="preserve"> \* MERGEFORMAT </w:instrText>
      </w:r>
      <w:r w:rsidRPr="00731632">
        <w:fldChar w:fldCharType="separate"/>
      </w:r>
      <w:r w:rsidR="00D770BB">
        <w:t>5.3</w:t>
      </w:r>
      <w:r w:rsidRPr="00731632">
        <w:fldChar w:fldCharType="end"/>
      </w:r>
      <w:r w:rsidRPr="00731632">
        <w:t>).</w:t>
      </w:r>
      <w:r w:rsidR="003E1422">
        <w:t xml:space="preserve"> </w:t>
      </w:r>
      <w:r w:rsidRPr="00731632">
        <w:rPr>
          <w:iCs/>
        </w:rPr>
        <w:t xml:space="preserve">The PBAC noted </w:t>
      </w:r>
      <w:r w:rsidR="00C56710" w:rsidRPr="00731632">
        <w:rPr>
          <w:iCs/>
        </w:rPr>
        <w:t xml:space="preserve">the </w:t>
      </w:r>
      <w:r w:rsidRPr="00731632">
        <w:rPr>
          <w:iCs/>
        </w:rPr>
        <w:t>ATAGI’s advice for RSVpreF supported a year-round program, given the uncertain RSV seasonality post-COVID-19, varying seasonality in different parts of Australia, and challenges of delivering a seasonal vaccination program to pregnant women. The PBAC noted that a year-round program for RSVpreF would allow access to the vaccine through routine antenatal care (Paragraph 4.6, RSVPreF Public Summary Document, March 2024 PBAC Meeting).</w:t>
      </w:r>
    </w:p>
    <w:p w14:paraId="00ED90A4" w14:textId="42900193" w:rsidR="00DC3251" w:rsidRPr="00731632" w:rsidRDefault="00DC3251" w:rsidP="00DC3251">
      <w:pPr>
        <w:widowControl w:val="0"/>
        <w:numPr>
          <w:ilvl w:val="1"/>
          <w:numId w:val="1"/>
        </w:numPr>
        <w:spacing w:after="120"/>
        <w:rPr>
          <w:rFonts w:asciiTheme="minorHAnsi" w:hAnsiTheme="minorHAnsi"/>
          <w:snapToGrid w:val="0"/>
          <w:szCs w:val="20"/>
        </w:rPr>
      </w:pPr>
      <w:r w:rsidRPr="00731632">
        <w:rPr>
          <w:rFonts w:asciiTheme="minorHAnsi" w:hAnsiTheme="minorHAnsi"/>
          <w:iCs/>
          <w:snapToGrid w:val="0"/>
        </w:rPr>
        <w:t>The</w:t>
      </w:r>
      <w:r w:rsidRPr="00731632">
        <w:rPr>
          <w:rFonts w:asciiTheme="minorHAnsi" w:hAnsiTheme="minorHAnsi"/>
          <w:snapToGrid w:val="0"/>
          <w:szCs w:val="20"/>
        </w:rPr>
        <w:t xml:space="preserve"> PBAC considered that </w:t>
      </w:r>
      <w:r w:rsidR="00BE0759" w:rsidRPr="00731632">
        <w:rPr>
          <w:rFonts w:asciiTheme="minorHAnsi" w:hAnsiTheme="minorHAnsi"/>
          <w:snapToGrid w:val="0"/>
          <w:szCs w:val="20"/>
        </w:rPr>
        <w:t>a</w:t>
      </w:r>
      <w:r w:rsidRPr="00731632">
        <w:rPr>
          <w:rFonts w:asciiTheme="minorHAnsi" w:hAnsiTheme="minorHAnsi"/>
          <w:snapToGrid w:val="0"/>
          <w:szCs w:val="20"/>
        </w:rPr>
        <w:t xml:space="preserve"> claim of superior comparative effectiveness was reasonable for the main comparison between nirsevimab </w:t>
      </w:r>
      <w:r w:rsidR="00152AF6" w:rsidRPr="00731632">
        <w:rPr>
          <w:rFonts w:asciiTheme="minorHAnsi" w:hAnsiTheme="minorHAnsi"/>
          <w:snapToGrid w:val="0"/>
          <w:szCs w:val="20"/>
        </w:rPr>
        <w:t>and</w:t>
      </w:r>
      <w:r w:rsidRPr="00731632">
        <w:rPr>
          <w:rFonts w:asciiTheme="minorHAnsi" w:hAnsiTheme="minorHAnsi"/>
          <w:snapToGrid w:val="0"/>
          <w:szCs w:val="20"/>
        </w:rPr>
        <w:t xml:space="preserve"> </w:t>
      </w:r>
      <w:r w:rsidR="00BE0759" w:rsidRPr="00731632">
        <w:rPr>
          <w:rFonts w:asciiTheme="minorHAnsi" w:hAnsiTheme="minorHAnsi"/>
          <w:snapToGrid w:val="0"/>
          <w:szCs w:val="20"/>
        </w:rPr>
        <w:t>no immunisation</w:t>
      </w:r>
      <w:r w:rsidRPr="00731632">
        <w:rPr>
          <w:rFonts w:asciiTheme="minorHAnsi" w:hAnsiTheme="minorHAnsi"/>
          <w:snapToGrid w:val="0"/>
          <w:szCs w:val="20"/>
        </w:rPr>
        <w:t xml:space="preserve"> in Season 1, as </w:t>
      </w:r>
      <w:r w:rsidRPr="00731632">
        <w:rPr>
          <w:rFonts w:cstheme="minorHAnsi"/>
        </w:rPr>
        <w:t>supported by the</w:t>
      </w:r>
      <w:r w:rsidR="00F16C4A" w:rsidRPr="00731632">
        <w:rPr>
          <w:rFonts w:cstheme="minorHAnsi"/>
        </w:rPr>
        <w:t xml:space="preserve"> relative risk</w:t>
      </w:r>
      <w:r w:rsidRPr="00731632">
        <w:rPr>
          <w:rFonts w:cstheme="minorHAnsi"/>
        </w:rPr>
        <w:t xml:space="preserve"> </w:t>
      </w:r>
      <w:r w:rsidRPr="00731632">
        <w:t xml:space="preserve">reduction in MA RSV LRTI for nirsevimab patients compared with placebo in the MELODY and Phase IIb studies. The PBAC was also satisfied that the claim of non-inferior safety was reasonable based on the similar rates of AEs observed in the nirsevimab and placebo arms of both studies. </w:t>
      </w:r>
    </w:p>
    <w:p w14:paraId="249F1D1A" w14:textId="58E53499" w:rsidR="008E7E65" w:rsidRPr="00731632" w:rsidRDefault="00BE0759" w:rsidP="008E7E65">
      <w:pPr>
        <w:widowControl w:val="0"/>
        <w:numPr>
          <w:ilvl w:val="1"/>
          <w:numId w:val="1"/>
        </w:numPr>
        <w:spacing w:after="120"/>
      </w:pPr>
      <w:bookmarkStart w:id="130" w:name="_Ref172542984"/>
      <w:r w:rsidRPr="00731632">
        <w:t>T</w:t>
      </w:r>
      <w:r w:rsidR="00DC3251" w:rsidRPr="00731632">
        <w:t>he PBAC did not support a conclusion of non-inferiority between nirsevimab and the supplementary comparator palivizumab for high-risk infants in both Seasons 1 and 2</w:t>
      </w:r>
      <w:r w:rsidR="00EE3978" w:rsidRPr="00731632">
        <w:t>.</w:t>
      </w:r>
      <w:r w:rsidR="00E91D6E" w:rsidRPr="00731632">
        <w:t xml:space="preserve"> </w:t>
      </w:r>
      <w:r w:rsidR="00EE3978" w:rsidRPr="00731632">
        <w:t xml:space="preserve">While the MEDLEY trial did not show any material difference between the treatment arms with respect to efficacy or safety, </w:t>
      </w:r>
      <w:r w:rsidR="00EE3978" w:rsidRPr="00731632">
        <w:rPr>
          <w:iCs/>
        </w:rPr>
        <w:t>the trial was not sufficiently powered to detect a difference, making any clinical conclusions uncertain.</w:t>
      </w:r>
      <w:r w:rsidR="003E1422">
        <w:rPr>
          <w:iCs/>
        </w:rPr>
        <w:t xml:space="preserve"> </w:t>
      </w:r>
      <w:r w:rsidR="008E7E65" w:rsidRPr="00731632">
        <w:rPr>
          <w:iCs/>
        </w:rPr>
        <w:t xml:space="preserve">The PBAC considered that this clinical comparison was of limited relevance and that </w:t>
      </w:r>
      <w:r w:rsidR="008E7E65" w:rsidRPr="00731632">
        <w:t>no immunisation should be considered the main comparator for Seasons 1 and 2.</w:t>
      </w:r>
      <w:r w:rsidR="008E7E65" w:rsidRPr="00731632">
        <w:rPr>
          <w:iCs/>
        </w:rPr>
        <w:t xml:space="preserve"> </w:t>
      </w:r>
    </w:p>
    <w:p w14:paraId="3DFA4825" w14:textId="15482830" w:rsidR="00914525" w:rsidRPr="00731632" w:rsidRDefault="006A0CF4" w:rsidP="00866F91">
      <w:pPr>
        <w:widowControl w:val="0"/>
        <w:numPr>
          <w:ilvl w:val="1"/>
          <w:numId w:val="1"/>
        </w:numPr>
        <w:spacing w:after="120"/>
      </w:pPr>
      <w:r w:rsidRPr="00731632">
        <w:t xml:space="preserve"> The PBAC considered that RSVpreF maternal vaccine was a relevant comparator for nirsevimab in Season 1. However, </w:t>
      </w:r>
      <w:r w:rsidRPr="00731632">
        <w:rPr>
          <w:iCs/>
        </w:rPr>
        <w:t>t</w:t>
      </w:r>
      <w:r w:rsidR="00DC3251" w:rsidRPr="00731632">
        <w:rPr>
          <w:iCs/>
        </w:rPr>
        <w:t xml:space="preserve">he PBAC </w:t>
      </w:r>
      <w:r w:rsidRPr="00731632">
        <w:rPr>
          <w:iCs/>
        </w:rPr>
        <w:t xml:space="preserve">considered the clinical evidence </w:t>
      </w:r>
      <w:r w:rsidR="00DC3251" w:rsidRPr="00731632">
        <w:rPr>
          <w:iCs/>
        </w:rPr>
        <w:t xml:space="preserve">did not support a conclusion of </w:t>
      </w:r>
      <w:r w:rsidR="00FB6D9C" w:rsidRPr="00731632">
        <w:rPr>
          <w:iCs/>
        </w:rPr>
        <w:t>superiority</w:t>
      </w:r>
      <w:r w:rsidR="00DC3251" w:rsidRPr="00731632">
        <w:rPr>
          <w:iCs/>
        </w:rPr>
        <w:t xml:space="preserve"> between nirsevimab and the near-market comparator </w:t>
      </w:r>
      <w:r w:rsidR="00DC3251" w:rsidRPr="00731632">
        <w:t>RSVpreF</w:t>
      </w:r>
      <w:r w:rsidR="00F94D50" w:rsidRPr="00731632">
        <w:t xml:space="preserve"> maternal vaccine</w:t>
      </w:r>
      <w:r w:rsidR="00DC3251" w:rsidRPr="00731632">
        <w:t xml:space="preserve"> in Season 1, due to </w:t>
      </w:r>
      <w:r w:rsidR="00FB6D9C" w:rsidRPr="00731632">
        <w:t>substantial</w:t>
      </w:r>
      <w:r w:rsidR="00DC3251" w:rsidRPr="00731632">
        <w:t xml:space="preserve"> transitivity issues between the nirsevimab trials and the RSVpreF MATISSE trial.</w:t>
      </w:r>
      <w:r w:rsidR="003E1422">
        <w:t xml:space="preserve"> </w:t>
      </w:r>
      <w:r w:rsidR="004D2D44" w:rsidRPr="00731632">
        <w:t xml:space="preserve"> </w:t>
      </w:r>
    </w:p>
    <w:bookmarkEnd w:id="130"/>
    <w:p w14:paraId="709D34CE" w14:textId="18AF5337" w:rsidR="004A5010" w:rsidRPr="00731632" w:rsidRDefault="008C752D" w:rsidP="00342F57">
      <w:pPr>
        <w:widowControl w:val="0"/>
        <w:numPr>
          <w:ilvl w:val="1"/>
          <w:numId w:val="1"/>
        </w:numPr>
        <w:spacing w:after="120"/>
      </w:pPr>
      <w:r w:rsidRPr="00731632">
        <w:t xml:space="preserve">The submission presented a cost-utility analysis based on </w:t>
      </w:r>
      <w:r w:rsidRPr="00731632">
        <w:rPr>
          <w:iCs/>
        </w:rPr>
        <w:t xml:space="preserve">a meta-analysis of </w:t>
      </w:r>
      <w:r w:rsidRPr="00731632">
        <w:rPr>
          <w:rFonts w:cs="Calibri"/>
          <w:color w:val="000000"/>
          <w:szCs w:val="20"/>
        </w:rPr>
        <w:t>the MELODY trial and a subgroup of the Phase IIb study</w:t>
      </w:r>
      <w:r w:rsidR="00F110C5" w:rsidRPr="00731632">
        <w:rPr>
          <w:rFonts w:cs="Calibri"/>
          <w:color w:val="000000"/>
          <w:szCs w:val="20"/>
        </w:rPr>
        <w:t xml:space="preserve"> (</w:t>
      </w:r>
      <w:r w:rsidR="00F110C5" w:rsidRPr="00731632">
        <w:t>Simões et al (2023))</w:t>
      </w:r>
      <w:r w:rsidRPr="00731632">
        <w:rPr>
          <w:iCs/>
        </w:rPr>
        <w:t>.</w:t>
      </w:r>
      <w:r w:rsidR="003E1422">
        <w:rPr>
          <w:iCs/>
        </w:rPr>
        <w:t xml:space="preserve"> </w:t>
      </w:r>
      <w:r w:rsidRPr="00731632">
        <w:t>The PBAC noted that the base case ICER in the submission was $</w:t>
      </w:r>
      <w:r w:rsidR="001543E3" w:rsidRPr="001543E3">
        <w:t xml:space="preserve">5,000 to &lt; $15,000 </w:t>
      </w:r>
      <w:r w:rsidRPr="00731632">
        <w:t>/QALY</w:t>
      </w:r>
      <w:r w:rsidR="00075924" w:rsidRPr="00731632">
        <w:t xml:space="preserve"> (after correction during evaluation)</w:t>
      </w:r>
      <w:r w:rsidRPr="00731632">
        <w:t>; however, considered the results of the economic evaluation uncertain because the model was highly sensitive to small variations in several inputs</w:t>
      </w:r>
      <w:r w:rsidR="003E1422">
        <w:t xml:space="preserve"> </w:t>
      </w:r>
      <w:bookmarkStart w:id="131" w:name="_Ref173486739"/>
      <w:r w:rsidR="00F110C5" w:rsidRPr="00731632">
        <w:t>(</w:t>
      </w:r>
      <w:r w:rsidR="00F110C5" w:rsidRPr="00731632">
        <w:fldChar w:fldCharType="begin"/>
      </w:r>
      <w:r w:rsidR="00F110C5" w:rsidRPr="00731632">
        <w:instrText xml:space="preserve"> REF _Ref166275546 \h </w:instrText>
      </w:r>
      <w:r w:rsidR="00F110C5" w:rsidRPr="00731632">
        <w:fldChar w:fldCharType="separate"/>
      </w:r>
      <w:r w:rsidR="00D770BB" w:rsidRPr="00731632">
        <w:t xml:space="preserve">Table </w:t>
      </w:r>
      <w:r w:rsidR="00D770BB">
        <w:rPr>
          <w:noProof/>
        </w:rPr>
        <w:t>22</w:t>
      </w:r>
      <w:r w:rsidR="00F110C5" w:rsidRPr="00731632">
        <w:fldChar w:fldCharType="end"/>
      </w:r>
      <w:r w:rsidR="00F110C5" w:rsidRPr="00731632">
        <w:t>)</w:t>
      </w:r>
      <w:r w:rsidR="0096743D" w:rsidRPr="00731632">
        <w:t>.</w:t>
      </w:r>
      <w:r w:rsidR="003E1422">
        <w:t xml:space="preserve"> </w:t>
      </w:r>
      <w:bookmarkEnd w:id="131"/>
      <w:r w:rsidR="00831DA4" w:rsidRPr="00731632">
        <w:t>The PBAC noted that the ICERs for the tropical population and the temperate population differed considerably ($</w:t>
      </w:r>
      <w:r w:rsidR="004A4528" w:rsidRPr="004A4528">
        <w:t>35,000 to &lt; $45,000</w:t>
      </w:r>
      <w:r w:rsidR="00831DA4" w:rsidRPr="00731632">
        <w:t>/QALY and $</w:t>
      </w:r>
      <w:r w:rsidR="001543E3" w:rsidRPr="001543E3">
        <w:t xml:space="preserve">5,000 to &lt; $15,000 </w:t>
      </w:r>
      <w:r w:rsidR="00831DA4" w:rsidRPr="00731632">
        <w:t xml:space="preserve">/QALY, respectively in the submission base case; </w:t>
      </w:r>
      <w:r w:rsidR="00831DA4" w:rsidRPr="00731632">
        <w:fldChar w:fldCharType="begin"/>
      </w:r>
      <w:r w:rsidR="00831DA4" w:rsidRPr="00731632">
        <w:instrText xml:space="preserve"> REF _Ref169813601 \h </w:instrText>
      </w:r>
      <w:r w:rsidR="00831DA4" w:rsidRPr="00731632">
        <w:fldChar w:fldCharType="separate"/>
      </w:r>
      <w:r w:rsidR="00D770BB" w:rsidRPr="00731632">
        <w:t xml:space="preserve">Table </w:t>
      </w:r>
      <w:r w:rsidR="00D770BB">
        <w:rPr>
          <w:noProof/>
        </w:rPr>
        <w:t>21</w:t>
      </w:r>
      <w:r w:rsidR="00831DA4" w:rsidRPr="00731632">
        <w:fldChar w:fldCharType="end"/>
      </w:r>
      <w:r w:rsidR="00831DA4" w:rsidRPr="00731632">
        <w:t>).</w:t>
      </w:r>
      <w:r w:rsidR="003E1422">
        <w:t xml:space="preserve"> </w:t>
      </w:r>
    </w:p>
    <w:p w14:paraId="4D243D56" w14:textId="1AF5FE94" w:rsidR="00A1468D" w:rsidRPr="00731632" w:rsidRDefault="004A5010" w:rsidP="00866F91">
      <w:pPr>
        <w:pStyle w:val="3-BodyText"/>
      </w:pPr>
      <w:r w:rsidRPr="00731632">
        <w:t>The PBAC agreed with the amendments to the economic model proposed by the ESC as a minimum set of changes to be considered, which resulted in an ICER of $</w:t>
      </w:r>
      <w:r w:rsidR="00E91385" w:rsidRPr="00E91385">
        <w:t>35,000 to &lt; $45,000</w:t>
      </w:r>
      <w:r w:rsidRPr="00731632">
        <w:t>/QALY.</w:t>
      </w:r>
      <w:r w:rsidR="003E1422">
        <w:t xml:space="preserve"> </w:t>
      </w:r>
      <w:r w:rsidRPr="00731632">
        <w:t xml:space="preserve">Further, the PBAC agreed with the ESC’s advice that additional amendments should be considered to address the issues outlined in paragraph </w:t>
      </w:r>
      <w:r w:rsidRPr="00731632">
        <w:fldChar w:fldCharType="begin"/>
      </w:r>
      <w:r w:rsidRPr="00731632">
        <w:instrText xml:space="preserve"> REF _Ref169872819 \r \h  \* MERGEFORMAT </w:instrText>
      </w:r>
      <w:r w:rsidRPr="00731632">
        <w:fldChar w:fldCharType="separate"/>
      </w:r>
      <w:r w:rsidR="00D770BB">
        <w:t>6.87</w:t>
      </w:r>
      <w:r w:rsidRPr="00731632">
        <w:fldChar w:fldCharType="end"/>
      </w:r>
      <w:r w:rsidRPr="00731632">
        <w:t>.</w:t>
      </w:r>
      <w:r w:rsidR="003E1422">
        <w:t xml:space="preserve"> </w:t>
      </w:r>
      <w:r w:rsidRPr="00731632">
        <w:t>The PBAC noted that these issues were considered in a MSA prepared during the evaluation which resulted in an ICER of $</w:t>
      </w:r>
      <w:r w:rsidR="001117C7" w:rsidRPr="001117C7">
        <w:t>75,000 to &lt; $95,000</w:t>
      </w:r>
      <w:r w:rsidRPr="00731632">
        <w:t>/QALY (MA3, which attempted to address as many of the identified concerns as possible within the framework of the model provided).</w:t>
      </w:r>
      <w:r w:rsidR="003E1422">
        <w:t xml:space="preserve"> </w:t>
      </w:r>
      <w:bookmarkStart w:id="132" w:name="_Ref173487050"/>
      <w:r w:rsidR="00A1468D" w:rsidRPr="00731632">
        <w:t xml:space="preserve">The PBAC noted advice from the ATAGI in relation to hospitalisation rate (paragraph </w:t>
      </w:r>
      <w:r w:rsidR="00A1468D" w:rsidRPr="00731632">
        <w:fldChar w:fldCharType="begin"/>
      </w:r>
      <w:r w:rsidR="00A1468D" w:rsidRPr="00731632">
        <w:instrText xml:space="preserve"> REF _Ref172735429 \r \h </w:instrText>
      </w:r>
      <w:r w:rsidR="00A1468D" w:rsidRPr="00731632">
        <w:fldChar w:fldCharType="separate"/>
      </w:r>
      <w:r w:rsidR="00D770BB">
        <w:t>6.55</w:t>
      </w:r>
      <w:r w:rsidR="00A1468D" w:rsidRPr="00731632">
        <w:fldChar w:fldCharType="end"/>
      </w:r>
      <w:r w:rsidR="00A1468D" w:rsidRPr="00731632">
        <w:t xml:space="preserve">) and removal of asthma and recurrent wheezing (paragraph </w:t>
      </w:r>
      <w:r w:rsidR="00A1468D" w:rsidRPr="00731632">
        <w:fldChar w:fldCharType="begin"/>
      </w:r>
      <w:r w:rsidR="00A1468D" w:rsidRPr="00731632">
        <w:instrText xml:space="preserve"> REF _Ref172736635 \r \h </w:instrText>
      </w:r>
      <w:r w:rsidR="00A1468D" w:rsidRPr="00731632">
        <w:fldChar w:fldCharType="separate"/>
      </w:r>
      <w:r w:rsidR="00D770BB">
        <w:t>6.61</w:t>
      </w:r>
      <w:r w:rsidR="00A1468D" w:rsidRPr="00731632">
        <w:fldChar w:fldCharType="end"/>
      </w:r>
      <w:r w:rsidR="00A1468D" w:rsidRPr="00731632">
        <w:t>).</w:t>
      </w:r>
    </w:p>
    <w:bookmarkEnd w:id="132"/>
    <w:p w14:paraId="6C6A898B" w14:textId="6F64B516" w:rsidR="00E41E54" w:rsidRPr="00731632" w:rsidRDefault="00EE3978" w:rsidP="00EE3978">
      <w:pPr>
        <w:widowControl w:val="0"/>
        <w:numPr>
          <w:ilvl w:val="1"/>
          <w:numId w:val="1"/>
        </w:numPr>
        <w:spacing w:after="120"/>
      </w:pPr>
      <w:r w:rsidRPr="00731632">
        <w:t xml:space="preserve">The PBAC noted that </w:t>
      </w:r>
      <w:r w:rsidR="00E41E54" w:rsidRPr="00731632">
        <w:t>an ICER between $</w:t>
      </w:r>
      <w:r w:rsidR="000D2C42" w:rsidRPr="000D2C42">
        <w:t>35,000 to &lt; $45,000</w:t>
      </w:r>
      <w:r w:rsidR="00E41E54" w:rsidRPr="00731632">
        <w:t>/QALY and $</w:t>
      </w:r>
      <w:r w:rsidR="001117C7" w:rsidRPr="001117C7">
        <w:t>75,000 to &lt; $95,000</w:t>
      </w:r>
      <w:r w:rsidR="00E41E54" w:rsidRPr="00731632">
        <w:t xml:space="preserve">/QALY </w:t>
      </w:r>
      <w:r w:rsidRPr="00731632">
        <w:t xml:space="preserve">was estimated </w:t>
      </w:r>
      <w:r w:rsidR="00E41E54" w:rsidRPr="00731632">
        <w:t>for the proposed listing in season 1</w:t>
      </w:r>
      <w:r w:rsidR="0022095E" w:rsidRPr="00731632">
        <w:t>, based on multivariate sensitivity analyses</w:t>
      </w:r>
      <w:r w:rsidR="00E41E54" w:rsidRPr="00731632">
        <w:t>.</w:t>
      </w:r>
      <w:r w:rsidR="003E1422">
        <w:t xml:space="preserve"> </w:t>
      </w:r>
      <w:r w:rsidR="00E41E54" w:rsidRPr="00731632">
        <w:t>However, the PBAC noted that limitations of the model structure</w:t>
      </w:r>
      <w:r w:rsidR="00342F57" w:rsidRPr="00731632">
        <w:t>,</w:t>
      </w:r>
      <w:r w:rsidR="00E41E54" w:rsidRPr="00731632">
        <w:t xml:space="preserve"> </w:t>
      </w:r>
      <w:r w:rsidR="00342F57" w:rsidRPr="00731632">
        <w:t xml:space="preserve">such as the use of a single measure of treatment effect to drive the model rather than a range of endpoints collected in the trial (see paragraph </w:t>
      </w:r>
      <w:r w:rsidR="00E41E54" w:rsidRPr="00731632">
        <w:fldChar w:fldCharType="begin"/>
      </w:r>
      <w:r w:rsidR="00E41E54" w:rsidRPr="00731632">
        <w:instrText xml:space="preserve"> REF _Ref173486723 \r \h </w:instrText>
      </w:r>
      <w:r w:rsidR="00E41E54" w:rsidRPr="00731632">
        <w:fldChar w:fldCharType="separate"/>
      </w:r>
      <w:r w:rsidR="00D770BB">
        <w:t>6.86</w:t>
      </w:r>
      <w:r w:rsidR="00E41E54" w:rsidRPr="00731632">
        <w:fldChar w:fldCharType="end"/>
      </w:r>
      <w:r w:rsidR="00E41E54" w:rsidRPr="00731632">
        <w:t>) and other issues related to the estimation of cost-effectiveness in the proposed circumstances of use remained</w:t>
      </w:r>
      <w:r w:rsidR="00241C7C" w:rsidRPr="00731632">
        <w:t xml:space="preserve"> </w:t>
      </w:r>
      <w:r w:rsidR="00E41E54" w:rsidRPr="00731632">
        <w:t>and would require further consideration in a resubmission</w:t>
      </w:r>
      <w:r w:rsidR="00241C7C" w:rsidRPr="00731632">
        <w:t xml:space="preserve"> (see below)</w:t>
      </w:r>
      <w:r w:rsidR="00E41E54" w:rsidRPr="00731632">
        <w:t>.</w:t>
      </w:r>
      <w:r w:rsidR="003E1422">
        <w:t xml:space="preserve"> </w:t>
      </w:r>
    </w:p>
    <w:p w14:paraId="4DDBEEA4" w14:textId="6CCCD231" w:rsidR="00831DA4" w:rsidRPr="00731632" w:rsidRDefault="0022095E" w:rsidP="003E174B">
      <w:pPr>
        <w:widowControl w:val="0"/>
        <w:numPr>
          <w:ilvl w:val="1"/>
          <w:numId w:val="1"/>
        </w:numPr>
        <w:spacing w:after="120"/>
      </w:pPr>
      <w:bookmarkStart w:id="133" w:name="_Ref173764479"/>
      <w:r w:rsidRPr="00731632">
        <w:t xml:space="preserve">The PBAC noted that the cost-effectiveness of nirsevimab in clinical practice will depend on many factors, such as annual variations in RSV incidence and severity, and the potential impact of seasonal changes from year to year which may impact the optimal timing of administration of nirsevimab and reduce cost-effectiveness (paragraph </w:t>
      </w:r>
      <w:r w:rsidRPr="00731632">
        <w:fldChar w:fldCharType="begin"/>
      </w:r>
      <w:r w:rsidRPr="00731632">
        <w:instrText xml:space="preserve"> REF _Ref172735872 \r \h </w:instrText>
      </w:r>
      <w:r w:rsidRPr="00731632">
        <w:fldChar w:fldCharType="separate"/>
      </w:r>
      <w:r w:rsidR="00D770BB">
        <w:t>6.81</w:t>
      </w:r>
      <w:r w:rsidRPr="00731632">
        <w:fldChar w:fldCharType="end"/>
      </w:r>
      <w:r w:rsidRPr="00731632">
        <w:t xml:space="preserve">). </w:t>
      </w:r>
      <w:r w:rsidR="00EE3978" w:rsidRPr="00731632">
        <w:t xml:space="preserve">Some of these concerns were partially explored in sensitivity analyses, however the model design made it difficult to assess them </w:t>
      </w:r>
      <w:r w:rsidR="00BC4C3B" w:rsidRPr="00731632">
        <w:t>fully</w:t>
      </w:r>
      <w:r w:rsidR="00EE3978" w:rsidRPr="00731632">
        <w:t>.</w:t>
      </w:r>
      <w:r w:rsidR="003E1422">
        <w:t xml:space="preserve"> </w:t>
      </w:r>
      <w:r w:rsidR="00BC4C3B" w:rsidRPr="00731632">
        <w:t>In addition, t</w:t>
      </w:r>
      <w:r w:rsidR="00EE3978" w:rsidRPr="00731632">
        <w:t xml:space="preserve">he PBAC </w:t>
      </w:r>
      <w:r w:rsidR="003E174B" w:rsidRPr="00731632">
        <w:t xml:space="preserve">considered that </w:t>
      </w:r>
      <w:r w:rsidR="008E7E65" w:rsidRPr="00731632">
        <w:rPr>
          <w:iCs/>
        </w:rPr>
        <w:t xml:space="preserve">administration of nirsevimab to infants of mothers that received the maternal vaccination </w:t>
      </w:r>
      <w:r w:rsidR="003E174B" w:rsidRPr="00731632">
        <w:rPr>
          <w:iCs/>
        </w:rPr>
        <w:t xml:space="preserve">may occur in practice, in clinically relevant situations, guided by the </w:t>
      </w:r>
      <w:r w:rsidR="008E7E65" w:rsidRPr="00731632">
        <w:rPr>
          <w:iCs/>
        </w:rPr>
        <w:t xml:space="preserve">advice set out in the AIH as described in paragraph </w:t>
      </w:r>
      <w:r w:rsidR="008E7E65" w:rsidRPr="00731632">
        <w:rPr>
          <w:iCs/>
        </w:rPr>
        <w:fldChar w:fldCharType="begin"/>
      </w:r>
      <w:r w:rsidR="008E7E65" w:rsidRPr="00731632">
        <w:rPr>
          <w:iCs/>
        </w:rPr>
        <w:instrText xml:space="preserve"> REF _Ref173761287 \r \h </w:instrText>
      </w:r>
      <w:r w:rsidR="008E7E65" w:rsidRPr="00731632">
        <w:rPr>
          <w:iCs/>
        </w:rPr>
      </w:r>
      <w:r w:rsidR="008E7E65" w:rsidRPr="00731632">
        <w:rPr>
          <w:iCs/>
        </w:rPr>
        <w:fldChar w:fldCharType="separate"/>
      </w:r>
      <w:r w:rsidR="00D770BB">
        <w:rPr>
          <w:iCs/>
        </w:rPr>
        <w:t>7.9</w:t>
      </w:r>
      <w:r w:rsidR="008E7E65" w:rsidRPr="00731632">
        <w:rPr>
          <w:iCs/>
        </w:rPr>
        <w:fldChar w:fldCharType="end"/>
      </w:r>
      <w:r w:rsidR="003E174B" w:rsidRPr="00731632">
        <w:rPr>
          <w:iCs/>
        </w:rPr>
        <w:t>.</w:t>
      </w:r>
      <w:r w:rsidR="003E1422">
        <w:rPr>
          <w:iCs/>
        </w:rPr>
        <w:t xml:space="preserve"> </w:t>
      </w:r>
      <w:r w:rsidR="003E174B" w:rsidRPr="00731632">
        <w:rPr>
          <w:iCs/>
        </w:rPr>
        <w:t xml:space="preserve">A scenario analysis could be informative to examine </w:t>
      </w:r>
      <w:r w:rsidR="00BC4C3B" w:rsidRPr="00731632">
        <w:rPr>
          <w:iCs/>
        </w:rPr>
        <w:t>this usage</w:t>
      </w:r>
      <w:r w:rsidR="008E7E65" w:rsidRPr="00731632">
        <w:rPr>
          <w:iCs/>
        </w:rPr>
        <w:t>.</w:t>
      </w:r>
    </w:p>
    <w:p w14:paraId="4D149A20" w14:textId="4886F03F" w:rsidR="0022095E" w:rsidRPr="00731632" w:rsidRDefault="0022095E" w:rsidP="0022095E">
      <w:pPr>
        <w:widowControl w:val="0"/>
        <w:numPr>
          <w:ilvl w:val="1"/>
          <w:numId w:val="1"/>
        </w:numPr>
        <w:spacing w:after="120"/>
      </w:pPr>
      <w:r w:rsidRPr="00731632">
        <w:t xml:space="preserve">The PBAC further considered that the cost-effectiveness of nirsevimab would be reduced in the event of a prolonged RSV season, noting that the key driver of the difference in ICERs between the two modelled regions was the monthly distribution of cases assumed throughout the season (paragraph </w:t>
      </w:r>
      <w:r w:rsidRPr="00731632">
        <w:fldChar w:fldCharType="begin"/>
      </w:r>
      <w:r w:rsidRPr="00731632">
        <w:instrText xml:space="preserve"> REF _Ref167196900 \r \h </w:instrText>
      </w:r>
      <w:r w:rsidRPr="00731632">
        <w:fldChar w:fldCharType="separate"/>
      </w:r>
      <w:r w:rsidR="00D770BB">
        <w:t>6.79</w:t>
      </w:r>
      <w:r w:rsidRPr="00731632">
        <w:fldChar w:fldCharType="end"/>
      </w:r>
      <w:r w:rsidRPr="00731632">
        <w:t>).</w:t>
      </w:r>
      <w:r w:rsidR="003E1422">
        <w:t xml:space="preserve"> </w:t>
      </w:r>
      <w:r w:rsidRPr="00731632">
        <w:t>The PBAC also considered that nirsevimab may provide higher clinical value for high</w:t>
      </w:r>
      <w:r w:rsidRPr="00731632">
        <w:noBreakHyphen/>
        <w:t xml:space="preserve">risk infants in the first RSV season, </w:t>
      </w:r>
      <w:r w:rsidR="006A0CF4" w:rsidRPr="00731632">
        <w:t>however this</w:t>
      </w:r>
      <w:r w:rsidRPr="00731632">
        <w:t xml:space="preserve"> had not been assessed in the submission.</w:t>
      </w:r>
      <w:bookmarkEnd w:id="133"/>
      <w:r w:rsidR="003E1422">
        <w:t xml:space="preserve"> </w:t>
      </w:r>
      <w:r w:rsidR="0085322B" w:rsidRPr="00731632">
        <w:t xml:space="preserve">The PBAC considered that an economic model (or </w:t>
      </w:r>
      <w:r w:rsidR="008E7E65" w:rsidRPr="00731632">
        <w:t>subgroup</w:t>
      </w:r>
      <w:r w:rsidR="0085322B" w:rsidRPr="00731632">
        <w:t xml:space="preserve"> analysis) to assess the cost-effectiveness of nirsevimab in a high-risk population would be informative in a resubmission, noting this was consistent with advice received from the ATAGI.</w:t>
      </w:r>
      <w:r w:rsidR="003E1422">
        <w:t xml:space="preserve"> </w:t>
      </w:r>
      <w:r w:rsidR="0059282F" w:rsidRPr="00731632">
        <w:rPr>
          <w:iCs/>
        </w:rPr>
        <w:t>The PBAC also considered that an economic evaluation comparing a second dose of nirsevimab with no immunisation was necessary to assess the cost-effectiveness of the proposed listing in the second RSV season for high</w:t>
      </w:r>
      <w:r w:rsidR="0059282F" w:rsidRPr="00731632">
        <w:rPr>
          <w:iCs/>
        </w:rPr>
        <w:noBreakHyphen/>
        <w:t>risk infants.</w:t>
      </w:r>
      <w:r w:rsidR="003E1422">
        <w:rPr>
          <w:iCs/>
        </w:rPr>
        <w:t xml:space="preserve"> </w:t>
      </w:r>
      <w:r w:rsidR="0059282F" w:rsidRPr="00731632">
        <w:rPr>
          <w:iCs/>
        </w:rPr>
        <w:t>The PBAC suggested this could be combined with the subgroup analysis for high-risk infants in the first season.</w:t>
      </w:r>
    </w:p>
    <w:p w14:paraId="235EE48A" w14:textId="4B7210CC" w:rsidR="009F4B1B" w:rsidRPr="00731632" w:rsidRDefault="009F4B1B" w:rsidP="00630A5A">
      <w:pPr>
        <w:pStyle w:val="3-BodyText"/>
      </w:pPr>
      <w:bookmarkStart w:id="134" w:name="_Ref173773252"/>
      <w:r w:rsidRPr="00731632">
        <w:t>The PBAC considered that a number of updates should be considered in a resubmission in relation to the financial estimates, including updates to t</w:t>
      </w:r>
      <w:r w:rsidR="009E6D0B" w:rsidRPr="00731632">
        <w:t>h</w:t>
      </w:r>
      <w:r w:rsidRPr="00731632">
        <w:t xml:space="preserve">e proposed eligible population </w:t>
      </w:r>
      <w:r w:rsidR="009E6D0B" w:rsidRPr="00731632">
        <w:t>(</w:t>
      </w:r>
      <w:r w:rsidRPr="00731632">
        <w:t xml:space="preserve">paragraphs </w:t>
      </w:r>
      <w:r w:rsidR="009E6D0B" w:rsidRPr="00731632">
        <w:fldChar w:fldCharType="begin"/>
      </w:r>
      <w:r w:rsidR="009E6D0B" w:rsidRPr="00731632">
        <w:instrText xml:space="preserve"> REF _Ref173761287 \r \h </w:instrText>
      </w:r>
      <w:r w:rsidR="009E6D0B" w:rsidRPr="00731632">
        <w:fldChar w:fldCharType="separate"/>
      </w:r>
      <w:r w:rsidR="00D770BB">
        <w:t>7.9</w:t>
      </w:r>
      <w:r w:rsidR="009E6D0B" w:rsidRPr="00731632">
        <w:fldChar w:fldCharType="end"/>
      </w:r>
      <w:r w:rsidR="009E6D0B" w:rsidRPr="00731632">
        <w:t xml:space="preserve"> and </w:t>
      </w:r>
      <w:r w:rsidR="009E6D0B" w:rsidRPr="00731632">
        <w:fldChar w:fldCharType="begin"/>
      </w:r>
      <w:r w:rsidR="009E6D0B" w:rsidRPr="00731632">
        <w:instrText xml:space="preserve"> REF _Ref174016979 \r \h </w:instrText>
      </w:r>
      <w:r w:rsidR="009E6D0B" w:rsidRPr="00731632">
        <w:fldChar w:fldCharType="separate"/>
      </w:r>
      <w:r w:rsidR="00D770BB">
        <w:t>7.10</w:t>
      </w:r>
      <w:r w:rsidR="009E6D0B" w:rsidRPr="00731632">
        <w:fldChar w:fldCharType="end"/>
      </w:r>
      <w:r w:rsidR="009E6D0B" w:rsidRPr="00731632">
        <w:t>).</w:t>
      </w:r>
      <w:r w:rsidR="003E1422">
        <w:t xml:space="preserve"> </w:t>
      </w:r>
      <w:r w:rsidR="009E6D0B" w:rsidRPr="00731632">
        <w:t xml:space="preserve">The PBAC considered that the assumed uptake rates in season 1 required further consideration and justification (paragraph </w:t>
      </w:r>
      <w:r w:rsidR="009E6D0B" w:rsidRPr="00731632">
        <w:rPr>
          <w:rFonts w:cstheme="minorHAnsi"/>
          <w:bCs/>
        </w:rPr>
        <w:fldChar w:fldCharType="begin"/>
      </w:r>
      <w:r w:rsidR="009E6D0B" w:rsidRPr="00731632">
        <w:rPr>
          <w:rFonts w:cstheme="minorHAnsi"/>
          <w:bCs/>
        </w:rPr>
        <w:instrText xml:space="preserve"> REF _Ref173484225 \r \h </w:instrText>
      </w:r>
      <w:r w:rsidR="009E6D0B" w:rsidRPr="00731632">
        <w:rPr>
          <w:rFonts w:cstheme="minorHAnsi"/>
          <w:bCs/>
        </w:rPr>
      </w:r>
      <w:r w:rsidR="009E6D0B" w:rsidRPr="00731632">
        <w:rPr>
          <w:rFonts w:cstheme="minorHAnsi"/>
          <w:bCs/>
        </w:rPr>
        <w:fldChar w:fldCharType="separate"/>
      </w:r>
      <w:r w:rsidR="00D770BB">
        <w:rPr>
          <w:rFonts w:cstheme="minorHAnsi"/>
          <w:bCs/>
        </w:rPr>
        <w:t>6.96</w:t>
      </w:r>
      <w:r w:rsidR="009E6D0B" w:rsidRPr="00731632">
        <w:rPr>
          <w:rFonts w:cstheme="minorHAnsi"/>
          <w:bCs/>
        </w:rPr>
        <w:fldChar w:fldCharType="end"/>
      </w:r>
      <w:r w:rsidR="00256426" w:rsidRPr="00731632">
        <w:rPr>
          <w:rFonts w:cstheme="minorHAnsi"/>
          <w:bCs/>
        </w:rPr>
        <w:t xml:space="preserve">, and further clarification of the estimated population of high-risk </w:t>
      </w:r>
      <w:r w:rsidR="00944128" w:rsidRPr="00731632">
        <w:rPr>
          <w:rFonts w:cstheme="minorHAnsi"/>
          <w:bCs/>
        </w:rPr>
        <w:t xml:space="preserve">children </w:t>
      </w:r>
      <w:r w:rsidR="00256426" w:rsidRPr="00731632">
        <w:rPr>
          <w:rFonts w:cstheme="minorHAnsi"/>
          <w:bCs/>
        </w:rPr>
        <w:t xml:space="preserve">in season 2 was required (paragraph </w:t>
      </w:r>
      <w:r w:rsidR="00256426" w:rsidRPr="00731632">
        <w:rPr>
          <w:iCs/>
        </w:rPr>
        <w:fldChar w:fldCharType="begin"/>
      </w:r>
      <w:r w:rsidR="00256426" w:rsidRPr="00731632">
        <w:rPr>
          <w:iCs/>
        </w:rPr>
        <w:instrText xml:space="preserve"> REF _Ref173506062 \r \h </w:instrText>
      </w:r>
      <w:r w:rsidR="00256426" w:rsidRPr="00731632">
        <w:rPr>
          <w:iCs/>
        </w:rPr>
      </w:r>
      <w:r w:rsidR="00256426" w:rsidRPr="00731632">
        <w:rPr>
          <w:iCs/>
        </w:rPr>
        <w:fldChar w:fldCharType="separate"/>
      </w:r>
      <w:r w:rsidR="00D770BB">
        <w:rPr>
          <w:iCs/>
        </w:rPr>
        <w:t>7.12</w:t>
      </w:r>
      <w:r w:rsidR="00256426" w:rsidRPr="00731632">
        <w:rPr>
          <w:iCs/>
        </w:rPr>
        <w:fldChar w:fldCharType="end"/>
      </w:r>
      <w:r w:rsidR="00256426" w:rsidRPr="00731632">
        <w:rPr>
          <w:iCs/>
        </w:rPr>
        <w:t>).</w:t>
      </w:r>
    </w:p>
    <w:bookmarkEnd w:id="134"/>
    <w:p w14:paraId="20D201ED" w14:textId="31609D73" w:rsidR="00F57FB1" w:rsidRPr="00731632" w:rsidRDefault="00B677B7" w:rsidP="00866F91">
      <w:pPr>
        <w:pStyle w:val="3-BodyText"/>
      </w:pPr>
      <w:r w:rsidRPr="00731632">
        <w:rPr>
          <w:bCs/>
        </w:rPr>
        <w:t xml:space="preserve">The PBAC considered </w:t>
      </w:r>
      <w:r w:rsidR="00411406" w:rsidRPr="00731632">
        <w:rPr>
          <w:bCs/>
        </w:rPr>
        <w:t xml:space="preserve">that </w:t>
      </w:r>
      <w:r w:rsidRPr="00731632">
        <w:rPr>
          <w:bCs/>
        </w:rPr>
        <w:t xml:space="preserve">a resubmission for nirsevimab should </w:t>
      </w:r>
      <w:r w:rsidR="00F57FB1" w:rsidRPr="00731632">
        <w:t>address the issues raised in these minutes</w:t>
      </w:r>
      <w:r w:rsidR="00411406" w:rsidRPr="00731632">
        <w:t>.</w:t>
      </w:r>
      <w:r w:rsidR="003E1422">
        <w:t xml:space="preserve"> </w:t>
      </w:r>
      <w:r w:rsidR="003848D1" w:rsidRPr="00731632">
        <w:t xml:space="preserve">The </w:t>
      </w:r>
      <w:r w:rsidR="00F57FB1" w:rsidRPr="00731632">
        <w:t xml:space="preserve">PBAC considered that </w:t>
      </w:r>
      <w:r w:rsidR="00623260" w:rsidRPr="00731632">
        <w:t>clarification of the eligible population was</w:t>
      </w:r>
      <w:r w:rsidR="00F57FB1" w:rsidRPr="00731632">
        <w:t xml:space="preserve"> required</w:t>
      </w:r>
      <w:r w:rsidR="000A1C88" w:rsidRPr="00731632">
        <w:t xml:space="preserve">, and that </w:t>
      </w:r>
      <w:r w:rsidR="00950297" w:rsidRPr="00731632">
        <w:t>data for the overall infant population and for the high</w:t>
      </w:r>
      <w:r w:rsidR="00950297" w:rsidRPr="00731632">
        <w:noBreakHyphen/>
        <w:t>risk subgroup should be presented</w:t>
      </w:r>
      <w:r w:rsidR="003848D1" w:rsidRPr="00731632">
        <w:t xml:space="preserve"> </w:t>
      </w:r>
      <w:r w:rsidR="00623260" w:rsidRPr="00731632">
        <w:t xml:space="preserve">separately </w:t>
      </w:r>
      <w:r w:rsidR="003848D1" w:rsidRPr="00731632">
        <w:t>throughout the resubmission</w:t>
      </w:r>
      <w:r w:rsidR="00950297" w:rsidRPr="00731632">
        <w:t>, consistent with the ATAGI advice.</w:t>
      </w:r>
      <w:r w:rsidR="003E1422">
        <w:t xml:space="preserve"> </w:t>
      </w:r>
      <w:r w:rsidR="000A1C88" w:rsidRPr="00731632">
        <w:t>The PBAC advised that the economic evaluation and financial estimates should be provided separately for the overall infant population and for the high</w:t>
      </w:r>
      <w:r w:rsidR="000A1C88" w:rsidRPr="00731632">
        <w:noBreakHyphen/>
        <w:t>risk subgroup</w:t>
      </w:r>
      <w:r w:rsidR="005040EE" w:rsidRPr="00731632">
        <w:rPr>
          <w:iCs/>
        </w:rPr>
        <w:t xml:space="preserve"> and that revisions to the economic model and financial estimates for season 1 would be required</w:t>
      </w:r>
      <w:r w:rsidR="00605B76" w:rsidRPr="00731632">
        <w:rPr>
          <w:iCs/>
        </w:rPr>
        <w:t xml:space="preserve"> as described in these minutes</w:t>
      </w:r>
      <w:r w:rsidR="005040EE" w:rsidRPr="00731632">
        <w:rPr>
          <w:iCs/>
        </w:rPr>
        <w:t>.</w:t>
      </w:r>
      <w:r w:rsidR="003E1422">
        <w:t xml:space="preserve"> </w:t>
      </w:r>
      <w:r w:rsidR="00F57FB1" w:rsidRPr="00731632">
        <w:rPr>
          <w:iCs/>
        </w:rPr>
        <w:t>The PBAC considered that the clinical comparison of nirsevimab versus RSVpreF maternal vaccination would remain relevant in a resubmission as a near market comparator in the first RSV season, noting that the claim of superior effectiveness was not accepted.</w:t>
      </w:r>
      <w:r w:rsidR="003E1422">
        <w:rPr>
          <w:iCs/>
        </w:rPr>
        <w:t xml:space="preserve">  </w:t>
      </w:r>
      <w:r w:rsidR="00F57FB1" w:rsidRPr="00731632">
        <w:rPr>
          <w:iCs/>
        </w:rPr>
        <w:t xml:space="preserve">In relation to season 2, </w:t>
      </w:r>
      <w:r w:rsidR="00F57FB1" w:rsidRPr="00731632">
        <w:t>the PBAC considered that no immunisation should be the main comparator, and that the submission would need to present corresponding clinical and economic evidence to support this proposed listing, and corresponding financial estimates.</w:t>
      </w:r>
    </w:p>
    <w:p w14:paraId="4F388EE8" w14:textId="4545C637" w:rsidR="00080244" w:rsidRPr="00731632" w:rsidRDefault="00624295" w:rsidP="00866F91">
      <w:pPr>
        <w:pStyle w:val="3-BodyText"/>
      </w:pPr>
      <w:r w:rsidRPr="00731632">
        <w:rPr>
          <w:rStyle w:val="ui-provider"/>
        </w:rPr>
        <w:t>The resubmission may be lodged at any future standard due date for PBAC submissions using the standard re-entry pathway.</w:t>
      </w:r>
    </w:p>
    <w:bookmarkEnd w:id="121"/>
    <w:bookmarkEnd w:id="122"/>
    <w:p w14:paraId="0106AC09" w14:textId="77777777" w:rsidR="00070E03" w:rsidRPr="00731632" w:rsidRDefault="00070E03" w:rsidP="00070E03">
      <w:pPr>
        <w:widowControl w:val="0"/>
        <w:numPr>
          <w:ilvl w:val="1"/>
          <w:numId w:val="1"/>
        </w:numPr>
        <w:spacing w:after="120"/>
        <w:rPr>
          <w:rFonts w:asciiTheme="minorHAnsi" w:hAnsiTheme="minorHAnsi"/>
          <w:bCs/>
          <w:snapToGrid w:val="0"/>
        </w:rPr>
      </w:pPr>
      <w:r w:rsidRPr="00731632">
        <w:rPr>
          <w:rFonts w:asciiTheme="minorHAnsi" w:hAnsiTheme="minorHAnsi"/>
          <w:bCs/>
          <w:snapToGrid w:val="0"/>
        </w:rPr>
        <w:t xml:space="preserve">The PBAC noted that this submission is eligible for an Independent Review. </w:t>
      </w:r>
    </w:p>
    <w:p w14:paraId="7802873E" w14:textId="77777777" w:rsidR="00070E03" w:rsidRPr="00731632" w:rsidRDefault="00070E03" w:rsidP="00070E03">
      <w:pPr>
        <w:spacing w:before="240"/>
        <w:rPr>
          <w:rFonts w:asciiTheme="minorHAnsi" w:hAnsiTheme="minorHAnsi"/>
          <w:b/>
          <w:bCs/>
          <w:snapToGrid w:val="0"/>
        </w:rPr>
      </w:pPr>
      <w:r w:rsidRPr="00731632">
        <w:rPr>
          <w:rFonts w:asciiTheme="minorHAnsi" w:hAnsiTheme="minorHAnsi"/>
          <w:b/>
          <w:bCs/>
          <w:snapToGrid w:val="0"/>
        </w:rPr>
        <w:t>Outcome:</w:t>
      </w:r>
    </w:p>
    <w:p w14:paraId="140B5BA6" w14:textId="77777777" w:rsidR="00070E03" w:rsidRPr="00731632" w:rsidRDefault="00070E03" w:rsidP="00070E03">
      <w:pPr>
        <w:rPr>
          <w:rFonts w:asciiTheme="minorHAnsi" w:hAnsiTheme="minorHAnsi"/>
          <w:bCs/>
          <w:snapToGrid w:val="0"/>
        </w:rPr>
      </w:pPr>
      <w:r w:rsidRPr="00731632">
        <w:rPr>
          <w:rFonts w:asciiTheme="minorHAnsi" w:hAnsiTheme="minorHAnsi"/>
          <w:bCs/>
          <w:snapToGrid w:val="0"/>
        </w:rPr>
        <w:t>Not recommended</w:t>
      </w:r>
    </w:p>
    <w:p w14:paraId="408865E5" w14:textId="77777777" w:rsidR="00561683" w:rsidRPr="003E1422" w:rsidRDefault="00561683" w:rsidP="003E1422">
      <w:pPr>
        <w:keepNext/>
        <w:numPr>
          <w:ilvl w:val="0"/>
          <w:numId w:val="1"/>
        </w:numPr>
        <w:spacing w:before="240" w:after="120"/>
        <w:jc w:val="left"/>
        <w:outlineLvl w:val="0"/>
        <w:rPr>
          <w:rFonts w:asciiTheme="minorHAnsi" w:hAnsiTheme="minorHAnsi"/>
          <w:b/>
          <w:snapToGrid w:val="0"/>
          <w:sz w:val="32"/>
          <w:szCs w:val="32"/>
        </w:rPr>
      </w:pPr>
      <w:r w:rsidRPr="003E1422">
        <w:rPr>
          <w:rFonts w:asciiTheme="minorHAnsi" w:hAnsiTheme="minorHAnsi"/>
          <w:b/>
          <w:snapToGrid w:val="0"/>
          <w:sz w:val="32"/>
          <w:szCs w:val="32"/>
        </w:rPr>
        <w:t>Context for Decision</w:t>
      </w:r>
    </w:p>
    <w:p w14:paraId="4BB9DDAE" w14:textId="77777777" w:rsidR="00561683" w:rsidRPr="006E2A88" w:rsidRDefault="00561683" w:rsidP="00561683">
      <w:pPr>
        <w:spacing w:after="120"/>
        <w:ind w:left="720"/>
        <w:rPr>
          <w:rFonts w:asciiTheme="minorHAnsi" w:hAnsiTheme="minorHAnsi"/>
          <w:bCs/>
          <w:lang w:val="en-GB"/>
        </w:rPr>
      </w:pPr>
      <w:r w:rsidRPr="006E2A88">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7A2DBC" w14:textId="77777777" w:rsidR="00561683" w:rsidRPr="006E2A88" w:rsidRDefault="00561683" w:rsidP="00561683">
      <w:pPr>
        <w:keepNext/>
        <w:numPr>
          <w:ilvl w:val="0"/>
          <w:numId w:val="1"/>
        </w:numPr>
        <w:spacing w:before="240" w:after="120"/>
        <w:jc w:val="left"/>
        <w:outlineLvl w:val="0"/>
        <w:rPr>
          <w:rFonts w:asciiTheme="minorHAnsi" w:hAnsiTheme="minorHAnsi"/>
          <w:b/>
          <w:snapToGrid w:val="0"/>
          <w:sz w:val="32"/>
          <w:szCs w:val="32"/>
        </w:rPr>
      </w:pPr>
      <w:r w:rsidRPr="006E2A88">
        <w:rPr>
          <w:rFonts w:asciiTheme="minorHAnsi" w:hAnsiTheme="minorHAnsi"/>
          <w:b/>
          <w:snapToGrid w:val="0"/>
          <w:sz w:val="32"/>
          <w:szCs w:val="32"/>
        </w:rPr>
        <w:t>Sponsor’s Comment</w:t>
      </w:r>
    </w:p>
    <w:p w14:paraId="1240875D" w14:textId="7A7E9060" w:rsidR="00070E03" w:rsidRPr="003E1422" w:rsidRDefault="005C098E" w:rsidP="003E1422">
      <w:pPr>
        <w:spacing w:after="120"/>
        <w:ind w:left="720"/>
        <w:rPr>
          <w:rFonts w:asciiTheme="minorHAnsi" w:hAnsiTheme="minorHAnsi"/>
          <w:bCs/>
          <w:lang w:val="en-GB"/>
        </w:rPr>
      </w:pPr>
      <w:r w:rsidRPr="003E1422">
        <w:rPr>
          <w:rFonts w:asciiTheme="minorHAnsi" w:hAnsiTheme="minorHAnsi"/>
          <w:bCs/>
          <w:lang w:val="en-GB"/>
        </w:rPr>
        <w:t>While Sanofi is disappointed with this outcome, we welcome the Committee’s recognition of the effectiveness and safety of nirsevimab for RSV prevention and remain committed to working with the PBAC to enable timely and equitable access of nirsevimab to protect all Australian infants from RSV.</w:t>
      </w:r>
      <w:bookmarkEnd w:id="111"/>
    </w:p>
    <w:sectPr w:rsidR="00070E03" w:rsidRPr="003E1422" w:rsidSect="00251006">
      <w:headerReference w:type="even" r:id="rId11"/>
      <w:headerReference w:type="default" r:id="rId12"/>
      <w:footerReference w:type="default" r:id="rId13"/>
      <w:head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6205" w14:textId="77777777" w:rsidR="00B2660B" w:rsidRDefault="00B2660B" w:rsidP="00124A51">
      <w:r>
        <w:separator/>
      </w:r>
    </w:p>
    <w:p w14:paraId="271E2785" w14:textId="77777777" w:rsidR="00B2660B" w:rsidRDefault="00B2660B"/>
  </w:endnote>
  <w:endnote w:type="continuationSeparator" w:id="0">
    <w:p w14:paraId="6277217E" w14:textId="77777777" w:rsidR="00B2660B" w:rsidRDefault="00B2660B" w:rsidP="00124A51">
      <w:r>
        <w:continuationSeparator/>
      </w:r>
    </w:p>
    <w:p w14:paraId="0F4CBD09" w14:textId="77777777" w:rsidR="00B2660B" w:rsidRDefault="00B2660B"/>
  </w:endnote>
  <w:endnote w:type="continuationNotice" w:id="1">
    <w:p w14:paraId="35BAD0B2" w14:textId="77777777" w:rsidR="00B2660B" w:rsidRDefault="00B2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688" w14:textId="77777777" w:rsidR="00575AA1" w:rsidRDefault="00575AA1" w:rsidP="00753B29">
    <w:pPr>
      <w:pStyle w:val="Footer"/>
      <w:jc w:val="center"/>
    </w:pPr>
  </w:p>
  <w:p w14:paraId="4128D726" w14:textId="258C3290" w:rsidR="00575AA1" w:rsidRPr="007C1CD9" w:rsidRDefault="00D770BB" w:rsidP="00753B29">
    <w:pPr>
      <w:pStyle w:val="Footer"/>
      <w:jc w:val="center"/>
    </w:pPr>
    <w:sdt>
      <w:sdtPr>
        <w:id w:val="1036156457"/>
        <w:docPartObj>
          <w:docPartGallery w:val="Page Numbers (Bottom of Page)"/>
          <w:docPartUnique/>
        </w:docPartObj>
      </w:sdtPr>
      <w:sdtEndPr>
        <w:rPr>
          <w:noProof/>
        </w:rPr>
      </w:sdtEndPr>
      <w:sdtContent>
        <w:r w:rsidR="00575AA1" w:rsidRPr="00EE56EA">
          <w:rPr>
            <w:b/>
            <w:bCs/>
          </w:rPr>
          <w:fldChar w:fldCharType="begin"/>
        </w:r>
        <w:r w:rsidR="00575AA1" w:rsidRPr="00EE56EA">
          <w:rPr>
            <w:b/>
            <w:bCs/>
          </w:rPr>
          <w:instrText xml:space="preserve"> PAGE   \* MERGEFORMAT </w:instrText>
        </w:r>
        <w:r w:rsidR="00575AA1" w:rsidRPr="00EE56EA">
          <w:rPr>
            <w:b/>
            <w:bCs/>
          </w:rPr>
          <w:fldChar w:fldCharType="separate"/>
        </w:r>
        <w:r w:rsidR="00684A5C" w:rsidRPr="00EE56EA">
          <w:rPr>
            <w:b/>
            <w:bCs/>
            <w:noProof/>
          </w:rPr>
          <w:t>i</w:t>
        </w:r>
        <w:r w:rsidR="00575AA1" w:rsidRPr="00EE56EA">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9F8B" w14:textId="77777777" w:rsidR="00B2660B" w:rsidRDefault="00B2660B">
      <w:r>
        <w:separator/>
      </w:r>
    </w:p>
  </w:footnote>
  <w:footnote w:type="continuationSeparator" w:id="0">
    <w:p w14:paraId="15C80422" w14:textId="77777777" w:rsidR="00B2660B" w:rsidRDefault="00B2660B" w:rsidP="00124A51">
      <w:r>
        <w:continuationSeparator/>
      </w:r>
    </w:p>
    <w:p w14:paraId="35534AD8" w14:textId="77777777" w:rsidR="00B2660B" w:rsidRDefault="00B2660B"/>
  </w:footnote>
  <w:footnote w:type="continuationNotice" w:id="1">
    <w:p w14:paraId="3FEBFC41" w14:textId="77777777" w:rsidR="00B2660B" w:rsidRDefault="00B2660B"/>
  </w:footnote>
  <w:footnote w:id="2">
    <w:p w14:paraId="6ED3B7DE" w14:textId="39541901" w:rsidR="00165AF8" w:rsidRDefault="00165AF8">
      <w:pPr>
        <w:pStyle w:val="FootnoteText"/>
      </w:pPr>
      <w:r>
        <w:rPr>
          <w:rStyle w:val="FootnoteReference"/>
        </w:rPr>
        <w:footnoteRef/>
      </w:r>
      <w:r>
        <w:t xml:space="preserve"> WHO growth charts indicate that </w:t>
      </w:r>
      <w:r w:rsidR="00376C70">
        <w:t>50% of infants should reach 5</w:t>
      </w:r>
      <w:r w:rsidR="008E3D74">
        <w:t> </w:t>
      </w:r>
      <w:r w:rsidR="00376C70">
        <w:t xml:space="preserve">kg by 2 months of age. </w:t>
      </w:r>
      <w:hyperlink r:id="rId1" w:history="1">
        <w:r w:rsidR="008E3D74" w:rsidRPr="006B3DC9">
          <w:rPr>
            <w:rStyle w:val="Hyperlink"/>
          </w:rPr>
          <w:t>https://www.who.int/tools/child-growth-standards/standards/weight-for-age</w:t>
        </w:r>
      </w:hyperlink>
      <w:r w:rsidR="008E3D74">
        <w:t>. Accessed 15 May 2024.</w:t>
      </w:r>
    </w:p>
  </w:footnote>
  <w:footnote w:id="3">
    <w:p w14:paraId="744BB546" w14:textId="78CFA13E" w:rsidR="000E3A63" w:rsidRDefault="000E3A63" w:rsidP="000E3A63">
      <w:pPr>
        <w:pStyle w:val="FootnoteText"/>
      </w:pPr>
      <w:r w:rsidRPr="00B75544">
        <w:rPr>
          <w:rStyle w:val="FootnoteReference"/>
          <w:rFonts w:ascii="Arial Narrow" w:hAnsi="Arial Narrow"/>
          <w:sz w:val="18"/>
          <w:szCs w:val="18"/>
        </w:rPr>
        <w:footnoteRef/>
      </w:r>
      <w:r w:rsidRPr="00B75544">
        <w:rPr>
          <w:rFonts w:ascii="Arial Narrow" w:hAnsi="Arial Narrow"/>
          <w:sz w:val="18"/>
          <w:szCs w:val="18"/>
        </w:rPr>
        <w:t xml:space="preserve"> </w:t>
      </w:r>
      <w:r w:rsidR="006A0D22" w:rsidRPr="00B75544">
        <w:rPr>
          <w:rFonts w:ascii="Arial Narrow" w:hAnsi="Arial Narrow"/>
          <w:sz w:val="18"/>
          <w:szCs w:val="18"/>
        </w:rPr>
        <w:t>ATAGI statement on nirsevimab for the prevention of severe disease due to respiratory syncytial virus (RSV) in infants. Publication date 26 March 2024.</w:t>
      </w:r>
    </w:p>
  </w:footnote>
  <w:footnote w:id="4">
    <w:p w14:paraId="559749D4" w14:textId="77777777" w:rsidR="00E905EF" w:rsidRPr="00B75544" w:rsidRDefault="00E905EF" w:rsidP="00E905EF">
      <w:pPr>
        <w:pStyle w:val="FootnoteText"/>
        <w:rPr>
          <w:rFonts w:ascii="Arial Narrow" w:hAnsi="Arial Narrow"/>
          <w:sz w:val="18"/>
          <w:szCs w:val="18"/>
        </w:rPr>
      </w:pPr>
      <w:r>
        <w:rPr>
          <w:rStyle w:val="FootnoteReference"/>
        </w:rPr>
        <w:footnoteRef/>
      </w:r>
      <w:r>
        <w:t xml:space="preserve"> </w:t>
      </w:r>
      <w:r w:rsidRPr="00E62A84">
        <w:rPr>
          <w:rFonts w:ascii="Arial Narrow" w:hAnsi="Arial Narrow"/>
          <w:sz w:val="18"/>
          <w:szCs w:val="18"/>
        </w:rPr>
        <w:t xml:space="preserve">Farquharson KA, Anthony D, Menzies R, Homaira N. </w:t>
      </w:r>
      <w:r>
        <w:rPr>
          <w:rFonts w:ascii="Arial Narrow" w:hAnsi="Arial Narrow"/>
          <w:sz w:val="18"/>
          <w:szCs w:val="18"/>
        </w:rPr>
        <w:t xml:space="preserve">(2024), </w:t>
      </w:r>
      <w:r w:rsidRPr="00E62A84">
        <w:rPr>
          <w:rFonts w:ascii="Arial Narrow" w:hAnsi="Arial Narrow"/>
          <w:sz w:val="18"/>
          <w:szCs w:val="18"/>
        </w:rPr>
        <w:t>Burden of respiratory syncytial virus disease across the lifespan in Australia and New Zealand: a scoping review</w:t>
      </w:r>
      <w:r w:rsidRPr="006A0D22">
        <w:rPr>
          <w:rFonts w:ascii="Arial Narrow" w:hAnsi="Arial Narrow"/>
          <w:sz w:val="18"/>
          <w:szCs w:val="18"/>
        </w:rPr>
        <w:t xml:space="preserve">. </w:t>
      </w:r>
      <w:r w:rsidRPr="006A0D22">
        <w:rPr>
          <w:rFonts w:ascii="Arial Narrow" w:hAnsi="Arial Narrow"/>
          <w:i/>
          <w:iCs/>
          <w:sz w:val="18"/>
          <w:szCs w:val="18"/>
        </w:rPr>
        <w:t>Public Health</w:t>
      </w:r>
      <w:r w:rsidRPr="006A0D22">
        <w:rPr>
          <w:rFonts w:ascii="Arial Narrow" w:hAnsi="Arial Narrow"/>
          <w:sz w:val="18"/>
          <w:szCs w:val="18"/>
        </w:rPr>
        <w:t>. 226:8-16.</w:t>
      </w:r>
    </w:p>
  </w:footnote>
  <w:footnote w:id="5">
    <w:p w14:paraId="2C3D6C2C" w14:textId="77777777" w:rsidR="00057B85" w:rsidRDefault="00057B85" w:rsidP="00057B85">
      <w:pPr>
        <w:pStyle w:val="FootnoteText"/>
        <w:jc w:val="left"/>
      </w:pPr>
      <w:r>
        <w:rPr>
          <w:rStyle w:val="FootnoteReference"/>
        </w:rPr>
        <w:footnoteRef/>
      </w:r>
      <w:r>
        <w:t xml:space="preserve"> </w:t>
      </w:r>
      <w:r w:rsidRPr="00FF7174">
        <w:rPr>
          <w:rFonts w:ascii="Arial Narrow" w:hAnsi="Arial Narrow"/>
          <w:sz w:val="18"/>
          <w:szCs w:val="18"/>
        </w:rPr>
        <w:t xml:space="preserve">Australian Government Department of Health and Aged Care.  Australian Immunisation Handbook, Respiratory syncytial virus (RSV) chapter, </w:t>
      </w:r>
      <w:r>
        <w:rPr>
          <w:rFonts w:ascii="Arial Narrow" w:hAnsi="Arial Narrow"/>
          <w:sz w:val="18"/>
          <w:szCs w:val="18"/>
        </w:rPr>
        <w:t xml:space="preserve">updated 27 June 2024, </w:t>
      </w:r>
      <w:r w:rsidRPr="00FF7174">
        <w:rPr>
          <w:rFonts w:ascii="Arial Narrow" w:hAnsi="Arial Narrow"/>
          <w:sz w:val="18"/>
          <w:szCs w:val="18"/>
        </w:rPr>
        <w:t>available at https://immunisationhandbook.health.gov.au/contents/vaccine-preventable-diseases/respiratory-syncytial-virus-rsv.</w:t>
      </w:r>
    </w:p>
  </w:footnote>
  <w:footnote w:id="6">
    <w:p w14:paraId="3F3B6742" w14:textId="77777777" w:rsidR="004A67F4" w:rsidRPr="00023554" w:rsidRDefault="004A67F4" w:rsidP="004A67F4">
      <w:pPr>
        <w:pStyle w:val="FootnoteText"/>
        <w:rPr>
          <w:rFonts w:ascii="Arial Narrow" w:hAnsi="Arial Narrow"/>
          <w:sz w:val="18"/>
          <w:szCs w:val="18"/>
        </w:rPr>
      </w:pPr>
      <w:r w:rsidRPr="00023554">
        <w:rPr>
          <w:rStyle w:val="FootnoteReference"/>
          <w:rFonts w:ascii="Arial Narrow" w:hAnsi="Arial Narrow"/>
          <w:sz w:val="18"/>
          <w:szCs w:val="18"/>
        </w:rPr>
        <w:footnoteRef/>
      </w:r>
      <w:r w:rsidRPr="00023554">
        <w:rPr>
          <w:rFonts w:ascii="Arial Narrow" w:hAnsi="Arial Narrow"/>
          <w:sz w:val="18"/>
          <w:szCs w:val="18"/>
        </w:rPr>
        <w:t xml:space="preserve"> </w:t>
      </w:r>
      <w:r w:rsidRPr="00023554">
        <w:rPr>
          <w:rFonts w:ascii="Arial Narrow" w:hAnsi="Arial Narrow"/>
          <w:noProof/>
          <w:sz w:val="18"/>
          <w:szCs w:val="18"/>
        </w:rPr>
        <w:t>Ranmuthugala</w:t>
      </w:r>
      <w:r>
        <w:rPr>
          <w:rFonts w:ascii="Arial Narrow" w:hAnsi="Arial Narrow"/>
          <w:noProof/>
          <w:sz w:val="18"/>
          <w:szCs w:val="18"/>
        </w:rPr>
        <w:t xml:space="preserve"> G,</w:t>
      </w:r>
      <w:r w:rsidRPr="00023554">
        <w:rPr>
          <w:rFonts w:ascii="Arial Narrow" w:hAnsi="Arial Narrow"/>
          <w:noProof/>
          <w:sz w:val="18"/>
          <w:szCs w:val="18"/>
        </w:rPr>
        <w:t xml:space="preserve"> </w:t>
      </w:r>
      <w:r>
        <w:rPr>
          <w:rFonts w:ascii="Arial Narrow" w:hAnsi="Arial Narrow"/>
          <w:noProof/>
          <w:sz w:val="18"/>
          <w:szCs w:val="18"/>
        </w:rPr>
        <w:t xml:space="preserve">Brown </w:t>
      </w:r>
      <w:r w:rsidRPr="00023554">
        <w:rPr>
          <w:rFonts w:ascii="Arial Narrow" w:hAnsi="Arial Narrow"/>
          <w:noProof/>
          <w:sz w:val="18"/>
          <w:szCs w:val="18"/>
        </w:rPr>
        <w:t>L, Lidbury</w:t>
      </w:r>
      <w:r>
        <w:rPr>
          <w:rFonts w:ascii="Arial Narrow" w:hAnsi="Arial Narrow"/>
          <w:noProof/>
          <w:sz w:val="18"/>
          <w:szCs w:val="18"/>
        </w:rPr>
        <w:t xml:space="preserve"> BA,</w:t>
      </w:r>
      <w:r w:rsidRPr="00023554">
        <w:rPr>
          <w:rFonts w:ascii="Arial Narrow" w:hAnsi="Arial Narrow"/>
          <w:noProof/>
          <w:sz w:val="18"/>
          <w:szCs w:val="18"/>
        </w:rPr>
        <w:t xml:space="preserve"> </w:t>
      </w:r>
      <w:r>
        <w:rPr>
          <w:rFonts w:ascii="Arial Narrow" w:hAnsi="Arial Narrow"/>
          <w:noProof/>
          <w:sz w:val="18"/>
          <w:szCs w:val="18"/>
        </w:rPr>
        <w:t>(2011),</w:t>
      </w:r>
      <w:r w:rsidRPr="00023554">
        <w:rPr>
          <w:rFonts w:ascii="Arial Narrow" w:hAnsi="Arial Narrow"/>
          <w:noProof/>
          <w:sz w:val="18"/>
          <w:szCs w:val="18"/>
        </w:rPr>
        <w:t xml:space="preserve">Respiratory syncytial virus – the unrecognised cause of health and economic burden among young children in Australia. </w:t>
      </w:r>
      <w:r w:rsidRPr="00023554">
        <w:rPr>
          <w:rFonts w:ascii="Arial Narrow" w:hAnsi="Arial Narrow"/>
          <w:i/>
          <w:noProof/>
          <w:sz w:val="18"/>
          <w:szCs w:val="18"/>
        </w:rPr>
        <w:t>Communicable Diseases Intelligence</w:t>
      </w:r>
      <w:r w:rsidRPr="00023554">
        <w:rPr>
          <w:rFonts w:ascii="Arial Narrow" w:hAnsi="Arial Narrow"/>
          <w:noProof/>
          <w:sz w:val="18"/>
          <w:szCs w:val="18"/>
        </w:rPr>
        <w:t>;35(2)</w:t>
      </w:r>
    </w:p>
  </w:footnote>
  <w:footnote w:id="7">
    <w:p w14:paraId="64F533E7" w14:textId="77777777" w:rsidR="004A67F4" w:rsidRDefault="004A67F4" w:rsidP="004A67F4">
      <w:pPr>
        <w:pStyle w:val="FootnoteText"/>
      </w:pPr>
      <w:r>
        <w:rPr>
          <w:rStyle w:val="FootnoteReference"/>
        </w:rPr>
        <w:footnoteRef/>
      </w:r>
      <w:r>
        <w:t xml:space="preserve"> </w:t>
      </w:r>
      <w:r w:rsidRPr="00887899">
        <w:rPr>
          <w:rFonts w:ascii="Arial Narrow" w:hAnsi="Arial Narrow"/>
          <w:sz w:val="18"/>
          <w:szCs w:val="18"/>
        </w:rPr>
        <w:t xml:space="preserve">Homaira N, Oei JL, Mallitt KA, Abdel-Latif ME, Hilder L, Bajuk B, et al. </w:t>
      </w:r>
      <w:r>
        <w:rPr>
          <w:rFonts w:ascii="Arial Narrow" w:hAnsi="Arial Narrow"/>
          <w:sz w:val="18"/>
          <w:szCs w:val="18"/>
        </w:rPr>
        <w:t xml:space="preserve">(2016) </w:t>
      </w:r>
      <w:r w:rsidRPr="00887899">
        <w:rPr>
          <w:rFonts w:ascii="Arial Narrow" w:hAnsi="Arial Narrow"/>
          <w:sz w:val="18"/>
          <w:szCs w:val="18"/>
        </w:rPr>
        <w:t xml:space="preserve">High burden of RSV hospitalization in very young children: a data linkage study. </w:t>
      </w:r>
      <w:r w:rsidRPr="00887899">
        <w:rPr>
          <w:rFonts w:ascii="Arial Narrow" w:hAnsi="Arial Narrow"/>
          <w:i/>
          <w:iCs/>
          <w:sz w:val="18"/>
          <w:szCs w:val="18"/>
        </w:rPr>
        <w:t>Epidemiol Infect</w:t>
      </w:r>
      <w:r w:rsidRPr="00887899">
        <w:rPr>
          <w:rFonts w:ascii="Arial Narrow" w:hAnsi="Arial Narrow"/>
          <w:sz w:val="18"/>
          <w:szCs w:val="18"/>
        </w:rPr>
        <w:t>. 2016 Jun;144(8):1612-21.</w:t>
      </w:r>
    </w:p>
  </w:footnote>
  <w:footnote w:id="8">
    <w:p w14:paraId="2DD51875" w14:textId="77777777" w:rsidR="004A67F4" w:rsidRPr="00023554" w:rsidRDefault="004A67F4" w:rsidP="004A67F4">
      <w:pPr>
        <w:pStyle w:val="FootnoteText"/>
        <w:rPr>
          <w:rFonts w:ascii="Arial Narrow" w:hAnsi="Arial Narrow"/>
          <w:sz w:val="18"/>
          <w:szCs w:val="18"/>
        </w:rPr>
      </w:pPr>
      <w:r w:rsidRPr="00023554">
        <w:rPr>
          <w:rStyle w:val="FootnoteReference"/>
          <w:rFonts w:ascii="Arial Narrow" w:hAnsi="Arial Narrow"/>
          <w:sz w:val="18"/>
          <w:szCs w:val="18"/>
        </w:rPr>
        <w:footnoteRef/>
      </w:r>
      <w:r w:rsidRPr="00023554">
        <w:rPr>
          <w:rFonts w:ascii="Arial Narrow" w:hAnsi="Arial Narrow"/>
          <w:sz w:val="18"/>
          <w:szCs w:val="18"/>
        </w:rPr>
        <w:t xml:space="preserve"> </w:t>
      </w:r>
      <w:r w:rsidRPr="00023554">
        <w:rPr>
          <w:rFonts w:ascii="Arial Narrow" w:hAnsi="Arial Narrow"/>
          <w:noProof/>
          <w:sz w:val="18"/>
          <w:szCs w:val="18"/>
        </w:rPr>
        <w:t xml:space="preserve">Smith DK, Seales S, Budzik C. </w:t>
      </w:r>
      <w:r>
        <w:rPr>
          <w:rFonts w:ascii="Arial Narrow" w:hAnsi="Arial Narrow"/>
          <w:noProof/>
          <w:sz w:val="18"/>
          <w:szCs w:val="18"/>
        </w:rPr>
        <w:t xml:space="preserve">(2017), </w:t>
      </w:r>
      <w:r w:rsidRPr="00023554">
        <w:rPr>
          <w:rFonts w:ascii="Arial Narrow" w:hAnsi="Arial Narrow"/>
          <w:noProof/>
          <w:sz w:val="18"/>
          <w:szCs w:val="18"/>
        </w:rPr>
        <w:t xml:space="preserve">Respiratory Syncytial Virus Bronchiolitis in Children. </w:t>
      </w:r>
      <w:r w:rsidRPr="00023554">
        <w:rPr>
          <w:rFonts w:ascii="Arial Narrow" w:hAnsi="Arial Narrow"/>
          <w:i/>
          <w:noProof/>
          <w:sz w:val="18"/>
          <w:szCs w:val="18"/>
        </w:rPr>
        <w:t>Am Fam Physician</w:t>
      </w:r>
      <w:r w:rsidRPr="00023554">
        <w:rPr>
          <w:rFonts w:ascii="Arial Narrow" w:hAnsi="Arial Narrow"/>
          <w:noProof/>
          <w:sz w:val="18"/>
          <w:szCs w:val="18"/>
        </w:rPr>
        <w:t>.95(2):</w:t>
      </w:r>
      <w:r>
        <w:rPr>
          <w:rFonts w:ascii="Arial Narrow" w:hAnsi="Arial Narrow"/>
          <w:noProof/>
          <w:sz w:val="18"/>
          <w:szCs w:val="18"/>
        </w:rPr>
        <w:t>pp</w:t>
      </w:r>
      <w:r w:rsidRPr="00023554">
        <w:rPr>
          <w:rFonts w:ascii="Arial Narrow" w:hAnsi="Arial Narrow"/>
          <w:noProof/>
          <w:sz w:val="18"/>
          <w:szCs w:val="18"/>
        </w:rPr>
        <w:t>94-9</w:t>
      </w:r>
    </w:p>
  </w:footnote>
  <w:footnote w:id="9">
    <w:p w14:paraId="63181DCA" w14:textId="77777777" w:rsidR="004A67F4" w:rsidRPr="00023554" w:rsidRDefault="004A67F4" w:rsidP="004A67F4">
      <w:pPr>
        <w:pStyle w:val="FootnoteText"/>
        <w:rPr>
          <w:rFonts w:ascii="Arial Narrow" w:hAnsi="Arial Narrow"/>
          <w:sz w:val="18"/>
          <w:szCs w:val="18"/>
        </w:rPr>
      </w:pPr>
      <w:r w:rsidRPr="00023554">
        <w:rPr>
          <w:rStyle w:val="FootnoteReference"/>
          <w:rFonts w:ascii="Arial Narrow" w:hAnsi="Arial Narrow"/>
          <w:sz w:val="18"/>
          <w:szCs w:val="18"/>
        </w:rPr>
        <w:footnoteRef/>
      </w:r>
      <w:r w:rsidRPr="00023554">
        <w:rPr>
          <w:rFonts w:ascii="Arial Narrow" w:hAnsi="Arial Narrow"/>
          <w:sz w:val="18"/>
          <w:szCs w:val="18"/>
        </w:rPr>
        <w:t xml:space="preserve"> </w:t>
      </w:r>
      <w:r w:rsidRPr="00023554">
        <w:rPr>
          <w:rFonts w:ascii="Arial Narrow" w:hAnsi="Arial Narrow"/>
          <w:noProof/>
          <w:sz w:val="18"/>
          <w:szCs w:val="18"/>
        </w:rPr>
        <w:t>Havdal LB, Bøås H, Bekkevold T, Bakken Kran A-M, Rojahn AE, Størdal K, et al.</w:t>
      </w:r>
      <w:r>
        <w:rPr>
          <w:rFonts w:ascii="Arial Narrow" w:hAnsi="Arial Narrow"/>
          <w:noProof/>
          <w:sz w:val="18"/>
          <w:szCs w:val="18"/>
        </w:rPr>
        <w:t xml:space="preserve"> (2022),</w:t>
      </w:r>
      <w:r w:rsidRPr="00023554">
        <w:rPr>
          <w:rFonts w:ascii="Arial Narrow" w:hAnsi="Arial Narrow"/>
          <w:noProof/>
          <w:sz w:val="18"/>
          <w:szCs w:val="18"/>
        </w:rPr>
        <w:t xml:space="preserve"> Risk factors associated with severe disease in respiratory syncytial virus infected children under 5 years of age. </w:t>
      </w:r>
      <w:r w:rsidRPr="00023554">
        <w:rPr>
          <w:rFonts w:ascii="Arial Narrow" w:hAnsi="Arial Narrow"/>
          <w:i/>
          <w:noProof/>
          <w:sz w:val="18"/>
          <w:szCs w:val="18"/>
        </w:rPr>
        <w:t>Frontiers in Pediatrics</w:t>
      </w:r>
      <w:r w:rsidRPr="00023554">
        <w:rPr>
          <w:rFonts w:ascii="Arial Narrow" w:hAnsi="Arial Narrow"/>
          <w:noProof/>
          <w:sz w:val="18"/>
          <w:szCs w:val="18"/>
        </w:rPr>
        <w:t>.</w:t>
      </w:r>
      <w:r>
        <w:rPr>
          <w:rFonts w:ascii="Arial Narrow" w:hAnsi="Arial Narrow"/>
          <w:noProof/>
          <w:sz w:val="18"/>
          <w:szCs w:val="18"/>
        </w:rPr>
        <w:t xml:space="preserve"> </w:t>
      </w:r>
      <w:r w:rsidRPr="00023554">
        <w:rPr>
          <w:rFonts w:ascii="Arial Narrow" w:hAnsi="Arial Narrow"/>
          <w:noProof/>
          <w:sz w:val="18"/>
          <w:szCs w:val="18"/>
        </w:rPr>
        <w:t>30;</w:t>
      </w:r>
      <w:r>
        <w:rPr>
          <w:rFonts w:ascii="Arial Narrow" w:hAnsi="Arial Narrow"/>
          <w:noProof/>
          <w:sz w:val="18"/>
          <w:szCs w:val="18"/>
        </w:rPr>
        <w:t>p</w:t>
      </w:r>
      <w:r w:rsidRPr="00023554">
        <w:rPr>
          <w:rFonts w:ascii="Arial Narrow" w:hAnsi="Arial Narrow"/>
          <w:noProof/>
          <w:sz w:val="18"/>
          <w:szCs w:val="18"/>
        </w:rPr>
        <w:t>10</w:t>
      </w:r>
    </w:p>
  </w:footnote>
  <w:footnote w:id="10">
    <w:p w14:paraId="2F3BADB1" w14:textId="77777777" w:rsidR="004A67F4" w:rsidRDefault="004A67F4" w:rsidP="004A67F4">
      <w:pPr>
        <w:pStyle w:val="FootnoteText"/>
      </w:pPr>
      <w:r w:rsidRPr="00023554">
        <w:rPr>
          <w:rStyle w:val="FootnoteReference"/>
          <w:rFonts w:ascii="Arial Narrow" w:hAnsi="Arial Narrow"/>
          <w:sz w:val="18"/>
          <w:szCs w:val="18"/>
        </w:rPr>
        <w:footnoteRef/>
      </w:r>
      <w:r w:rsidRPr="00023554">
        <w:rPr>
          <w:rFonts w:ascii="Arial Narrow" w:hAnsi="Arial Narrow"/>
          <w:sz w:val="18"/>
          <w:szCs w:val="18"/>
        </w:rPr>
        <w:t xml:space="preserve"> </w:t>
      </w:r>
      <w:r w:rsidRPr="00023554">
        <w:rPr>
          <w:rFonts w:ascii="Arial Narrow" w:hAnsi="Arial Narrow"/>
          <w:noProof/>
          <w:sz w:val="18"/>
          <w:szCs w:val="18"/>
        </w:rPr>
        <w:t>Jain H SJ, Justice NA.</w:t>
      </w:r>
      <w:r>
        <w:rPr>
          <w:rFonts w:ascii="Arial Narrow" w:hAnsi="Arial Narrow"/>
          <w:noProof/>
          <w:sz w:val="18"/>
          <w:szCs w:val="18"/>
        </w:rPr>
        <w:t xml:space="preserve"> (2023),</w:t>
      </w:r>
      <w:r w:rsidRPr="00023554">
        <w:rPr>
          <w:rFonts w:ascii="Arial Narrow" w:hAnsi="Arial Narrow"/>
          <w:noProof/>
          <w:sz w:val="18"/>
          <w:szCs w:val="18"/>
        </w:rPr>
        <w:t xml:space="preserve"> Respiratory Syncytial Virus Infection in Children. </w:t>
      </w:r>
      <w:r w:rsidRPr="00023554">
        <w:rPr>
          <w:rFonts w:ascii="Arial Narrow" w:hAnsi="Arial Narrow"/>
          <w:i/>
          <w:noProof/>
          <w:sz w:val="18"/>
          <w:szCs w:val="18"/>
        </w:rPr>
        <w:t xml:space="preserve">In: StatPearls [Internet] Treasure Island (FL): </w:t>
      </w:r>
      <w:r w:rsidRPr="00CF4825">
        <w:rPr>
          <w:rFonts w:ascii="Arial Narrow" w:hAnsi="Arial Narrow"/>
          <w:iCs/>
          <w:noProof/>
          <w:sz w:val="18"/>
          <w:szCs w:val="18"/>
        </w:rPr>
        <w:t>StatPearls Publishing; Available from: https://wwwncbinlmnihgov/books/NBK459215/</w:t>
      </w:r>
      <w:r w:rsidRPr="008E2D01">
        <w:rPr>
          <w:rFonts w:ascii="Arial Narrow" w:hAnsi="Arial Narrow"/>
          <w:iCs/>
          <w:noProof/>
          <w:sz w:val="18"/>
          <w:szCs w:val="18"/>
        </w:rPr>
        <w:t>. 2023</w:t>
      </w:r>
    </w:p>
  </w:footnote>
  <w:footnote w:id="11">
    <w:p w14:paraId="1F833AF1" w14:textId="77777777" w:rsidR="004A67F4" w:rsidRPr="00023554" w:rsidRDefault="004A67F4" w:rsidP="004A67F4">
      <w:pPr>
        <w:pStyle w:val="FootnoteText"/>
        <w:rPr>
          <w:rFonts w:ascii="Arial Narrow" w:hAnsi="Arial Narrow"/>
          <w:sz w:val="18"/>
          <w:szCs w:val="18"/>
        </w:rPr>
      </w:pPr>
      <w:r w:rsidRPr="00023554">
        <w:rPr>
          <w:rStyle w:val="FootnoteReference"/>
          <w:rFonts w:ascii="Arial Narrow" w:hAnsi="Arial Narrow"/>
          <w:sz w:val="18"/>
          <w:szCs w:val="18"/>
        </w:rPr>
        <w:footnoteRef/>
      </w:r>
      <w:r w:rsidRPr="00023554">
        <w:rPr>
          <w:rFonts w:ascii="Arial Narrow" w:hAnsi="Arial Narrow"/>
          <w:sz w:val="18"/>
          <w:szCs w:val="18"/>
        </w:rPr>
        <w:t xml:space="preserve"> </w:t>
      </w:r>
      <w:r w:rsidRPr="00023554">
        <w:rPr>
          <w:rFonts w:ascii="Arial Narrow" w:hAnsi="Arial Narrow"/>
          <w:noProof/>
          <w:sz w:val="18"/>
          <w:szCs w:val="18"/>
        </w:rPr>
        <w:t>Jacoby P, Glass K, Moore HC.</w:t>
      </w:r>
      <w:r>
        <w:rPr>
          <w:rFonts w:ascii="Arial Narrow" w:hAnsi="Arial Narrow"/>
          <w:noProof/>
          <w:sz w:val="18"/>
          <w:szCs w:val="18"/>
        </w:rPr>
        <w:t xml:space="preserve"> (2017),</w:t>
      </w:r>
      <w:r w:rsidRPr="00023554">
        <w:rPr>
          <w:rFonts w:ascii="Arial Narrow" w:hAnsi="Arial Narrow"/>
          <w:noProof/>
          <w:sz w:val="18"/>
          <w:szCs w:val="18"/>
        </w:rPr>
        <w:t xml:space="preserve"> Characterizing the risk of respiratory syncytial virus in infants with older siblings: a population-based birth cohort study. </w:t>
      </w:r>
      <w:r w:rsidRPr="00023554">
        <w:rPr>
          <w:rFonts w:ascii="Arial Narrow" w:hAnsi="Arial Narrow"/>
          <w:i/>
          <w:noProof/>
          <w:sz w:val="18"/>
          <w:szCs w:val="18"/>
        </w:rPr>
        <w:t>Epidemiol Infect</w:t>
      </w:r>
      <w:r w:rsidRPr="00023554">
        <w:rPr>
          <w:rFonts w:ascii="Arial Narrow" w:hAnsi="Arial Narrow"/>
          <w:noProof/>
          <w:sz w:val="18"/>
          <w:szCs w:val="18"/>
        </w:rPr>
        <w:t>.</w:t>
      </w:r>
      <w:r>
        <w:rPr>
          <w:rFonts w:ascii="Arial Narrow" w:hAnsi="Arial Narrow"/>
          <w:noProof/>
          <w:sz w:val="18"/>
          <w:szCs w:val="18"/>
        </w:rPr>
        <w:t xml:space="preserve"> </w:t>
      </w:r>
      <w:r w:rsidRPr="00023554">
        <w:rPr>
          <w:rFonts w:ascii="Arial Narrow" w:hAnsi="Arial Narrow"/>
          <w:noProof/>
          <w:sz w:val="18"/>
          <w:szCs w:val="18"/>
        </w:rPr>
        <w:t>145(2):</w:t>
      </w:r>
      <w:r>
        <w:rPr>
          <w:rFonts w:ascii="Arial Narrow" w:hAnsi="Arial Narrow"/>
          <w:noProof/>
          <w:sz w:val="18"/>
          <w:szCs w:val="18"/>
        </w:rPr>
        <w:t>pp</w:t>
      </w:r>
      <w:r w:rsidRPr="00023554">
        <w:rPr>
          <w:rFonts w:ascii="Arial Narrow" w:hAnsi="Arial Narrow"/>
          <w:noProof/>
          <w:sz w:val="18"/>
          <w:szCs w:val="18"/>
        </w:rPr>
        <w:t>266-71</w:t>
      </w:r>
    </w:p>
  </w:footnote>
  <w:footnote w:id="12">
    <w:p w14:paraId="2BDC9117" w14:textId="77777777" w:rsidR="004A67F4" w:rsidRPr="003F68A8" w:rsidRDefault="004A67F4" w:rsidP="004A67F4">
      <w:pPr>
        <w:pStyle w:val="FootnoteText"/>
        <w:rPr>
          <w:rFonts w:ascii="Arial Narrow" w:hAnsi="Arial Narrow"/>
          <w:sz w:val="18"/>
          <w:szCs w:val="18"/>
        </w:rPr>
      </w:pPr>
      <w:r w:rsidRPr="003F68A8">
        <w:rPr>
          <w:rStyle w:val="FootnoteReference"/>
          <w:rFonts w:ascii="Arial Narrow" w:hAnsi="Arial Narrow"/>
          <w:sz w:val="18"/>
          <w:szCs w:val="18"/>
        </w:rPr>
        <w:footnoteRef/>
      </w:r>
      <w:r w:rsidRPr="003F68A8">
        <w:rPr>
          <w:rFonts w:ascii="Arial Narrow" w:hAnsi="Arial Narrow"/>
          <w:sz w:val="18"/>
          <w:szCs w:val="18"/>
        </w:rPr>
        <w:t xml:space="preserve"> </w:t>
      </w:r>
      <w:r w:rsidRPr="003F68A8">
        <w:rPr>
          <w:rFonts w:ascii="Arial Narrow" w:hAnsi="Arial Narrow"/>
          <w:noProof/>
          <w:sz w:val="18"/>
          <w:szCs w:val="18"/>
        </w:rPr>
        <w:t xml:space="preserve">Chuang YC, Lin KP, Wang LA, Yeh TK, Liu PY. </w:t>
      </w:r>
      <w:r>
        <w:rPr>
          <w:rFonts w:ascii="Arial Narrow" w:hAnsi="Arial Narrow"/>
          <w:noProof/>
          <w:sz w:val="18"/>
          <w:szCs w:val="18"/>
        </w:rPr>
        <w:t xml:space="preserve">(2023), </w:t>
      </w:r>
      <w:r w:rsidRPr="003F68A8">
        <w:rPr>
          <w:rFonts w:ascii="Arial Narrow" w:hAnsi="Arial Narrow"/>
          <w:noProof/>
          <w:sz w:val="18"/>
          <w:szCs w:val="18"/>
        </w:rPr>
        <w:t xml:space="preserve">The Impact of the COVID-19 Pandemic on Respiratory Syncytial Virus Infection: A Narrative Review. </w:t>
      </w:r>
      <w:r w:rsidRPr="003F68A8">
        <w:rPr>
          <w:rFonts w:ascii="Arial Narrow" w:hAnsi="Arial Narrow"/>
          <w:i/>
          <w:noProof/>
          <w:sz w:val="18"/>
          <w:szCs w:val="18"/>
        </w:rPr>
        <w:t>Infect Drug Resist</w:t>
      </w:r>
      <w:r w:rsidRPr="003F68A8">
        <w:rPr>
          <w:rFonts w:ascii="Arial Narrow" w:hAnsi="Arial Narrow"/>
          <w:noProof/>
          <w:sz w:val="18"/>
          <w:szCs w:val="18"/>
        </w:rPr>
        <w:t>.</w:t>
      </w:r>
      <w:r>
        <w:rPr>
          <w:rFonts w:ascii="Arial Narrow" w:hAnsi="Arial Narrow"/>
          <w:noProof/>
          <w:sz w:val="18"/>
          <w:szCs w:val="18"/>
        </w:rPr>
        <w:t xml:space="preserve"> </w:t>
      </w:r>
      <w:r w:rsidRPr="003F68A8">
        <w:rPr>
          <w:rFonts w:ascii="Arial Narrow" w:hAnsi="Arial Narrow"/>
          <w:noProof/>
          <w:sz w:val="18"/>
          <w:szCs w:val="18"/>
        </w:rPr>
        <w:t>16:</w:t>
      </w:r>
      <w:r>
        <w:rPr>
          <w:rFonts w:ascii="Arial Narrow" w:hAnsi="Arial Narrow"/>
          <w:noProof/>
          <w:sz w:val="18"/>
          <w:szCs w:val="18"/>
        </w:rPr>
        <w:t>pp</w:t>
      </w:r>
      <w:r w:rsidRPr="003F68A8">
        <w:rPr>
          <w:rFonts w:ascii="Arial Narrow" w:hAnsi="Arial Narrow"/>
          <w:noProof/>
          <w:sz w:val="18"/>
          <w:szCs w:val="18"/>
        </w:rPr>
        <w:t>661-75</w:t>
      </w:r>
    </w:p>
  </w:footnote>
  <w:footnote w:id="13">
    <w:p w14:paraId="0903E6A9" w14:textId="0A65E5AD" w:rsidR="004F13ED" w:rsidRDefault="004F13ED">
      <w:pPr>
        <w:pStyle w:val="FootnoteText"/>
      </w:pPr>
      <w:r>
        <w:rPr>
          <w:rStyle w:val="FootnoteReference"/>
        </w:rPr>
        <w:footnoteRef/>
      </w:r>
      <w:r>
        <w:t xml:space="preserve"> </w:t>
      </w:r>
      <w:r w:rsidRPr="004F13ED">
        <w:rPr>
          <w:rFonts w:ascii="Arial Narrow" w:hAnsi="Arial Narrow"/>
          <w:sz w:val="18"/>
          <w:szCs w:val="18"/>
        </w:rPr>
        <w:t>https://www.pbs.gov.au/industry/listing/elements/pbac-meetings/pbac-outcomes/2024-03/pbac-web-outcomes-03-2024.pdf</w:t>
      </w:r>
    </w:p>
  </w:footnote>
  <w:footnote w:id="14">
    <w:p w14:paraId="2A6E6008" w14:textId="77777777" w:rsidR="00106E6E" w:rsidRDefault="00106E6E" w:rsidP="00106E6E">
      <w:pPr>
        <w:pStyle w:val="FootnoteText"/>
      </w:pPr>
      <w:r>
        <w:rPr>
          <w:rStyle w:val="FootnoteReference"/>
        </w:rPr>
        <w:footnoteRef/>
      </w:r>
      <w:r>
        <w:t xml:space="preserve"> </w:t>
      </w:r>
      <w:r w:rsidRPr="00FF7174">
        <w:rPr>
          <w:rFonts w:ascii="Arial Narrow" w:hAnsi="Arial Narrow"/>
          <w:sz w:val="18"/>
          <w:szCs w:val="18"/>
        </w:rPr>
        <w:t>https://www.pbs.gov.au/industry/listing/elements/pbac-meetings/pbac-outcomes/2024-05/pbac-web-outcomes-05-2024.pdf</w:t>
      </w:r>
    </w:p>
  </w:footnote>
  <w:footnote w:id="15">
    <w:p w14:paraId="7D594C0A" w14:textId="37C39E93" w:rsidR="00325B41" w:rsidRDefault="00325B41">
      <w:pPr>
        <w:pStyle w:val="FootnoteText"/>
      </w:pPr>
      <w:r>
        <w:rPr>
          <w:rStyle w:val="FootnoteReference"/>
        </w:rPr>
        <w:footnoteRef/>
      </w:r>
      <w:r>
        <w:t xml:space="preserve"> </w:t>
      </w:r>
      <w:r w:rsidRPr="00325B41">
        <w:t>Sun, M., et al., Monoclonal Antibody for the Prevention of Respiratory Syncytial Virus in Infants and Children: A systematic review and network meta-analysis. JAMA Network Open, 2023. 6(2): p. e230023-e230023.</w:t>
      </w:r>
    </w:p>
  </w:footnote>
  <w:footnote w:id="16">
    <w:p w14:paraId="58B8434A" w14:textId="41C9779E" w:rsidR="00A22EE7" w:rsidRDefault="00A22EE7">
      <w:pPr>
        <w:pStyle w:val="FootnoteText"/>
      </w:pPr>
      <w:r>
        <w:rPr>
          <w:rStyle w:val="FootnoteReference"/>
        </w:rPr>
        <w:footnoteRef/>
      </w:r>
      <w:r>
        <w:t xml:space="preserve"> Kampmann B, Madhi SA, Munjal I, Simões EA, Pahud BA, Llapur C, et al. Bivalent prefusion F vaccine in pregnancy to prevent RSV illness in infants. New England Journal of Medicine. 2023;388(16):1451-64. Figure 2.</w:t>
      </w:r>
    </w:p>
  </w:footnote>
  <w:footnote w:id="17">
    <w:p w14:paraId="7FF6DFF9" w14:textId="77777777" w:rsidR="00EE2FBE" w:rsidRPr="00FF2105" w:rsidRDefault="00EE2FBE" w:rsidP="00EE2FBE">
      <w:pPr>
        <w:pStyle w:val="FootnoteText"/>
      </w:pPr>
      <w:r w:rsidRPr="00FF2105">
        <w:rPr>
          <w:rStyle w:val="FootnoteReference"/>
          <w:rFonts w:ascii="Arial Narrow" w:hAnsi="Arial Narrow"/>
        </w:rPr>
        <w:footnoteRef/>
      </w:r>
      <w:r w:rsidRPr="00FF2105">
        <w:t xml:space="preserve"> Butler J, Gunnarsson R, Traves A, Marshall H. Severe respiratory syncytial virus infection in hospitalized children less than 3 years of age in a temperate and tropical climate. The Pediatric infectious disease journal. 2019;38(1):6-11.</w:t>
      </w:r>
    </w:p>
  </w:footnote>
  <w:footnote w:id="18">
    <w:p w14:paraId="40EEF33D" w14:textId="48E8353B" w:rsidR="0026796F" w:rsidRDefault="0026796F">
      <w:pPr>
        <w:pStyle w:val="FootnoteText"/>
      </w:pPr>
      <w:r>
        <w:rPr>
          <w:rStyle w:val="FootnoteReference"/>
        </w:rPr>
        <w:footnoteRef/>
      </w:r>
      <w:r>
        <w:t xml:space="preserve"> </w:t>
      </w:r>
      <w:r w:rsidRPr="0026796F">
        <w:t>The three unpublished studies were in NSW (Sydney Children’s Hospital Network [SCHN], Attachment A</w:t>
      </w:r>
      <w:r>
        <w:t xml:space="preserve"> to the submission</w:t>
      </w:r>
      <w:r w:rsidRPr="0026796F">
        <w:t>), Queensland (Central Queensland Hospital and Health Service [CQHHS], Attachment B</w:t>
      </w:r>
      <w:r>
        <w:t xml:space="preserve"> to the submission</w:t>
      </w:r>
      <w:r w:rsidRPr="0026796F">
        <w:t>), and WA (WA Health registry data, Attachment C</w:t>
      </w:r>
      <w:r>
        <w:t xml:space="preserve"> to the submission</w:t>
      </w:r>
      <w:r w:rsidRPr="0026796F">
        <w:t>).</w:t>
      </w:r>
    </w:p>
  </w:footnote>
  <w:footnote w:id="19">
    <w:p w14:paraId="3CFB4486" w14:textId="77777777" w:rsidR="00EE2FBE" w:rsidRPr="00154BA7" w:rsidRDefault="00EE2FBE" w:rsidP="00EE2FBE">
      <w:pPr>
        <w:pStyle w:val="FootnoteText"/>
      </w:pPr>
      <w:r w:rsidRPr="00154BA7">
        <w:rPr>
          <w:rStyle w:val="FootnoteReference"/>
          <w:rFonts w:asciiTheme="minorHAnsi" w:hAnsiTheme="minorHAnsi" w:cstheme="minorHAnsi"/>
        </w:rPr>
        <w:footnoteRef/>
      </w:r>
      <w:r w:rsidRPr="00154BA7">
        <w:t xml:space="preserve"> Butler J, Gunnarsson R, Traves A, Marshall H. Severe respiratory syncytial virus infection in hospitalized children less than 3 years of age in a temperate and tropical climate. The Pediatric infectious disease journal. 2019;38(1):6-11.</w:t>
      </w:r>
    </w:p>
  </w:footnote>
  <w:footnote w:id="20">
    <w:p w14:paraId="0E80A645" w14:textId="77777777" w:rsidR="00EE2FBE" w:rsidRPr="00154BA7" w:rsidRDefault="00EE2FBE" w:rsidP="00EE2FBE">
      <w:pPr>
        <w:pStyle w:val="FootnoteText"/>
      </w:pPr>
      <w:r w:rsidRPr="00154BA7">
        <w:rPr>
          <w:rStyle w:val="FootnoteReference"/>
          <w:rFonts w:asciiTheme="minorHAnsi" w:hAnsiTheme="minorHAnsi" w:cstheme="minorHAnsi"/>
        </w:rPr>
        <w:footnoteRef/>
      </w:r>
      <w:r w:rsidRPr="00154BA7">
        <w:t xml:space="preserve"> Gebremedhin AT, Hogan AB, Blyth CC, Glass K, Moore HC. Developing a prediction model to estimate the true burden of respiratory syncytial virus (RSV) in hospitalised children in Western Australia. Scientific reports. 2022;12(1):332.</w:t>
      </w:r>
    </w:p>
  </w:footnote>
  <w:footnote w:id="21">
    <w:p w14:paraId="78775385" w14:textId="77777777" w:rsidR="00EE2FBE" w:rsidRDefault="00EE2FBE" w:rsidP="00EE2FBE">
      <w:pPr>
        <w:pStyle w:val="FootnoteText"/>
      </w:pPr>
      <w:r w:rsidRPr="00154BA7">
        <w:rPr>
          <w:rStyle w:val="FootnoteReference"/>
          <w:rFonts w:asciiTheme="minorHAnsi" w:hAnsiTheme="minorHAnsi" w:cstheme="minorHAnsi"/>
        </w:rPr>
        <w:footnoteRef/>
      </w:r>
      <w:r w:rsidRPr="00154BA7">
        <w:t xml:space="preserve"> Li X, Bilcke J, Vázquez Fernández L, Bont L, Willem L, Wisløff T, et al. Cost-effectiveness of respiratory syncytial virus disease prevention strategies: </w:t>
      </w:r>
      <w:r w:rsidRPr="00E41581">
        <w:t>maternal</w:t>
      </w:r>
      <w:r w:rsidRPr="00154BA7">
        <w:t xml:space="preserve"> vaccine versus seasonal or year-round monoclonal antibody program in Norwegian children. The Journal of infectious diseases. 2022;226(Supplement_1):S95-S101.</w:t>
      </w:r>
    </w:p>
  </w:footnote>
  <w:footnote w:id="22">
    <w:p w14:paraId="14CC06D6" w14:textId="77777777" w:rsidR="00EE2FBE" w:rsidRDefault="00EE2FBE" w:rsidP="00EE2FBE">
      <w:pPr>
        <w:pStyle w:val="FootnoteText"/>
      </w:pPr>
      <w:r>
        <w:rPr>
          <w:rStyle w:val="FootnoteReference"/>
        </w:rPr>
        <w:footnoteRef/>
      </w:r>
      <w:r>
        <w:t xml:space="preserve"> Scheltema NM, Nibbelke EE, Pouw J, Blanken MO, Rovers MM, Naaktgeboren CA, et al. Respiratory syncytial virus prevention and asthma in healthy preterm infants: a randomised controlled trial. The Lancet Respiratory Medicine. 2018;6(4):257-64.</w:t>
      </w:r>
    </w:p>
  </w:footnote>
  <w:footnote w:id="23">
    <w:p w14:paraId="538FC765" w14:textId="27986445" w:rsidR="002F6E2F" w:rsidRDefault="002F6E2F">
      <w:pPr>
        <w:pStyle w:val="FootnoteText"/>
      </w:pPr>
      <w:r>
        <w:rPr>
          <w:rStyle w:val="FootnoteReference"/>
        </w:rPr>
        <w:footnoteRef/>
      </w:r>
      <w:r>
        <w:t xml:space="preserve"> </w:t>
      </w:r>
      <w:r w:rsidRPr="002F6E2F">
        <w:t>Bont L, Steijn M, Van Aalderen W, Brus F, Draaisma JT, Van Diemen-Steenvoorde R, et al. Seasonality of long term wheezing following respiratory syncytial virus lower respiratory tract infection. Thorax. 2004;59(6):512-6.</w:t>
      </w:r>
    </w:p>
  </w:footnote>
  <w:footnote w:id="24">
    <w:p w14:paraId="0462100C" w14:textId="3A2D4A44" w:rsidR="002F6E2F" w:rsidRDefault="002F6E2F">
      <w:pPr>
        <w:pStyle w:val="FootnoteText"/>
      </w:pPr>
      <w:r>
        <w:rPr>
          <w:rStyle w:val="FootnoteReference"/>
        </w:rPr>
        <w:footnoteRef/>
      </w:r>
      <w:r>
        <w:t xml:space="preserve"> </w:t>
      </w:r>
      <w:r w:rsidRPr="004B7EFA">
        <w:t xml:space="preserve">Schauer U, Hoffjan S, Bittscheidt J, Köchling A, Hemmis S, Bongartz S, Stephan V. RSV bronchiolitis and risk of wheeze and allergic sensitisation in the first year of life. </w:t>
      </w:r>
      <w:r w:rsidRPr="004B7EFA">
        <w:rPr>
          <w:i/>
        </w:rPr>
        <w:t>European respiratory journal</w:t>
      </w:r>
      <w:r w:rsidRPr="004B7EFA">
        <w:t>. 2002;20(5):1277-83.</w:t>
      </w:r>
    </w:p>
  </w:footnote>
  <w:footnote w:id="25">
    <w:p w14:paraId="79428F55" w14:textId="257C19D7" w:rsidR="002F6E2F" w:rsidRDefault="002F6E2F">
      <w:pPr>
        <w:pStyle w:val="FootnoteText"/>
      </w:pPr>
      <w:r>
        <w:rPr>
          <w:rStyle w:val="FootnoteReference"/>
        </w:rPr>
        <w:footnoteRef/>
      </w:r>
      <w:r>
        <w:t xml:space="preserve"> </w:t>
      </w:r>
      <w:r w:rsidRPr="004B7EFA">
        <w:t xml:space="preserve">Zomer-Kooijker K, van der Ent CK, Ermers MJ, Uiterwaal CS, Rovers MM, Bont LJ, Group RCS. Increased risk of wheeze and decreased lung function after respiratory syncytial virus infection. </w:t>
      </w:r>
      <w:r w:rsidRPr="004B7EFA">
        <w:rPr>
          <w:i/>
        </w:rPr>
        <w:t>PloS one</w:t>
      </w:r>
      <w:r w:rsidRPr="004B7EFA">
        <w:t>. 2014;9(1):e87162.</w:t>
      </w:r>
    </w:p>
  </w:footnote>
  <w:footnote w:id="26">
    <w:p w14:paraId="722EFA69" w14:textId="77777777" w:rsidR="00EE2FBE" w:rsidRDefault="00EE2FBE" w:rsidP="00EE2FBE">
      <w:pPr>
        <w:pStyle w:val="FootnoteText"/>
      </w:pPr>
      <w:r>
        <w:rPr>
          <w:rStyle w:val="FootnoteReference"/>
        </w:rPr>
        <w:footnoteRef/>
      </w:r>
      <w:r>
        <w:t xml:space="preserve"> Saravanos GL, Hsu P, Isaacs D, Macartney K, Wood NJ, Britton PN. Respiratory Syncytial Virus-attributable deaths in a Major Pediatric Hospital in New South Wales, Australia, 1998–2018. The Pediatric infectious disease journal. 2022;41(3):186-91.</w:t>
      </w:r>
    </w:p>
  </w:footnote>
  <w:footnote w:id="27">
    <w:p w14:paraId="0F49709B" w14:textId="77777777" w:rsidR="00EE2FBE" w:rsidRDefault="00EE2FBE" w:rsidP="00EE2FBE">
      <w:pPr>
        <w:pStyle w:val="FootnoteText"/>
      </w:pPr>
      <w:r>
        <w:rPr>
          <w:rStyle w:val="FootnoteReference"/>
        </w:rPr>
        <w:footnoteRef/>
      </w:r>
      <w:r>
        <w:t xml:space="preserve"> Nourbakhsh S, Shoukat A, Zhang K, Poliquin G, Halperin D, Sheffield H, et al. Effectiveness and cost-effectiveness of RSV infant and maternal immunization programs: A case study of Nunavik, Canada. EClinicalMedicine. 2021;41.</w:t>
      </w:r>
    </w:p>
  </w:footnote>
  <w:footnote w:id="28">
    <w:p w14:paraId="0F719180" w14:textId="77777777" w:rsidR="00EE2FBE" w:rsidRDefault="00EE2FBE" w:rsidP="00EE2FBE">
      <w:pPr>
        <w:pStyle w:val="FootnoteText"/>
      </w:pPr>
      <w:r>
        <w:rPr>
          <w:rStyle w:val="FootnoteReference"/>
        </w:rPr>
        <w:footnoteRef/>
      </w:r>
      <w:r>
        <w:t xml:space="preserve"> Brusco NK, Alafaci A, Tuckerman J, Frawley H, Pratt J, Daley AJ, et al. The 2018 annual cost burden for children under five years of age hospitalised with respiratory syncytial virus in Australia. 2022.</w:t>
      </w:r>
    </w:p>
  </w:footnote>
  <w:footnote w:id="29">
    <w:p w14:paraId="4AA3552C" w14:textId="77777777" w:rsidR="00170EA1" w:rsidRDefault="00170EA1" w:rsidP="00170EA1">
      <w:pPr>
        <w:pStyle w:val="FootnoteText"/>
      </w:pPr>
      <w:r>
        <w:rPr>
          <w:rStyle w:val="FootnoteReference"/>
        </w:rPr>
        <w:footnoteRef/>
      </w:r>
      <w:r>
        <w:t xml:space="preserve"> </w:t>
      </w:r>
      <w:r w:rsidRPr="00925385">
        <w:t>Choi Y, Heller EG, Gesteland PH, Amoafo L, Zhang Y, Finelli L, et al. 2021. 1346. The Risk of Readmission after RSV Hospitalization Among Children Younger than 5 Years. Open Forum Infectious Diseases. 2021;8(Supplement_1):S760-S.</w:t>
      </w:r>
    </w:p>
  </w:footnote>
  <w:footnote w:id="30">
    <w:p w14:paraId="12E78EE7" w14:textId="77777777" w:rsidR="00EE2FBE" w:rsidRDefault="00EE2FBE" w:rsidP="00EE2FBE">
      <w:pPr>
        <w:pStyle w:val="FootnoteText"/>
      </w:pPr>
      <w:r>
        <w:rPr>
          <w:rStyle w:val="FootnoteReference"/>
        </w:rPr>
        <w:footnoteRef/>
      </w:r>
      <w:r>
        <w:t xml:space="preserve"> Li X, Bilcke J, Vázquez Fernández L, Bont L, Willem L, Wisløff T, et al. Cost-effectiveness of respiratory syncytial virus disease prevention strategies: maternal vaccine versus seasonal or year-round monoclonal antibody program in Norwegian children. The Journal of infectious diseases. 2022;226(Supplement_1):S95-S101.</w:t>
      </w:r>
    </w:p>
  </w:footnote>
  <w:footnote w:id="31">
    <w:p w14:paraId="388351FA" w14:textId="78A6F70E" w:rsidR="00925385" w:rsidRDefault="00925385">
      <w:pPr>
        <w:pStyle w:val="FootnoteText"/>
      </w:pPr>
      <w:r>
        <w:rPr>
          <w:rStyle w:val="FootnoteReference"/>
        </w:rPr>
        <w:footnoteRef/>
      </w:r>
      <w:r>
        <w:t xml:space="preserve"> </w:t>
      </w:r>
      <w:r w:rsidRPr="00925385">
        <w:t>Choi Y, Heller EG, Gesteland PH, Amoafo L, Zhang Y, Finelli L, et al. 2021. 1346. The Risk of Readmission after RSV Hospitalization Among Children Younger than 5 Years. Open Forum Infectious Diseases. 2021;8(Supplement_1):S760-S.</w:t>
      </w:r>
    </w:p>
  </w:footnote>
  <w:footnote w:id="32">
    <w:p w14:paraId="5861FE9F" w14:textId="77777777" w:rsidR="00EE2FBE" w:rsidRDefault="00EE2FBE" w:rsidP="00EE2FBE">
      <w:pPr>
        <w:pStyle w:val="FootnoteText"/>
      </w:pPr>
      <w:r>
        <w:rPr>
          <w:rStyle w:val="FootnoteReference"/>
        </w:rPr>
        <w:footnoteRef/>
      </w:r>
      <w:r>
        <w:t xml:space="preserve"> Kampmann B, Madhi SA, Munjal I, Simões EA, Pahud BA, Llapur C, et al. Bivalent prefusion F vaccine in pregnancy to prevent RSV illness in infants. New England Journal of Medicine. 2023;388(16):1451-64.</w:t>
      </w:r>
    </w:p>
  </w:footnote>
  <w:footnote w:id="33">
    <w:p w14:paraId="46C34DF5" w14:textId="394CDCB5" w:rsidR="00F57C39" w:rsidRDefault="00F57C39">
      <w:pPr>
        <w:pStyle w:val="FootnoteText"/>
      </w:pPr>
      <w:r>
        <w:rPr>
          <w:rStyle w:val="FootnoteReference"/>
        </w:rPr>
        <w:footnoteRef/>
      </w:r>
      <w:r>
        <w:t xml:space="preserve"> </w:t>
      </w:r>
      <w:r w:rsidRPr="00F57C39">
        <w:t>AIHW, Congenital heart disease in Australia.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8AEE" w14:textId="4DC893AE" w:rsidR="009A77F1" w:rsidRDefault="00AC45C5">
    <w:pPr>
      <w:pStyle w:val="Header"/>
    </w:pPr>
    <w:r>
      <w:rPr>
        <w:noProof/>
      </w:rPr>
      <mc:AlternateContent>
        <mc:Choice Requires="wps">
          <w:drawing>
            <wp:anchor distT="0" distB="0" distL="0" distR="0" simplePos="0" relativeHeight="251658241" behindDoc="0" locked="0" layoutInCell="1" allowOverlap="1" wp14:anchorId="22D65028" wp14:editId="549E06D9">
              <wp:simplePos x="635" y="635"/>
              <wp:positionH relativeFrom="page">
                <wp:align>center</wp:align>
              </wp:positionH>
              <wp:positionV relativeFrom="page">
                <wp:align>top</wp:align>
              </wp:positionV>
              <wp:extent cx="443865" cy="443865"/>
              <wp:effectExtent l="0" t="0" r="13335" b="16510"/>
              <wp:wrapNone/>
              <wp:docPr id="182650974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DBD50" w14:textId="34946920" w:rsidR="00AC45C5" w:rsidRPr="00AC45C5" w:rsidRDefault="00AC45C5" w:rsidP="00AC45C5">
                          <w:pPr>
                            <w:rPr>
                              <w:rFonts w:eastAsia="Calibri" w:cs="Calibri"/>
                              <w:noProof/>
                              <w:color w:val="4A569E"/>
                              <w:sz w:val="20"/>
                              <w:szCs w:val="20"/>
                            </w:rPr>
                          </w:pPr>
                          <w:r w:rsidRPr="00AC45C5">
                            <w:rPr>
                              <w:rFonts w:eastAsia="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65028"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3DBD50" w14:textId="34946920" w:rsidR="00AC45C5" w:rsidRPr="00AC45C5" w:rsidRDefault="00AC45C5" w:rsidP="00AC45C5">
                    <w:pPr>
                      <w:rPr>
                        <w:rFonts w:eastAsia="Calibri" w:cs="Calibri"/>
                        <w:noProof/>
                        <w:color w:val="4A569E"/>
                        <w:sz w:val="20"/>
                        <w:szCs w:val="20"/>
                      </w:rPr>
                    </w:pPr>
                    <w:r w:rsidRPr="00AC45C5">
                      <w:rPr>
                        <w:rFonts w:eastAsia="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488" w14:textId="02DCC40B" w:rsidR="00575AA1" w:rsidRPr="00195452" w:rsidRDefault="003E5FE9" w:rsidP="00D822E2">
    <w:pPr>
      <w:pStyle w:val="Header"/>
      <w:rPr>
        <w:rFonts w:asciiTheme="minorHAnsi" w:hAnsiTheme="minorHAnsi"/>
        <w:i/>
        <w:color w:val="808080"/>
      </w:rPr>
    </w:pPr>
    <w:bookmarkStart w:id="135" w:name="_Hlk175754326"/>
    <w:r w:rsidRPr="000E5A9E">
      <w:rPr>
        <w:rFonts w:asciiTheme="minorHAnsi" w:hAnsiTheme="minorHAnsi"/>
        <w:i/>
      </w:rPr>
      <w:t xml:space="preserve">Public Summary Document </w:t>
    </w:r>
    <w:bookmarkEnd w:id="135"/>
    <w:r w:rsidR="00EE56EA" w:rsidRPr="000E5A9E">
      <w:rPr>
        <w:rFonts w:asciiTheme="minorHAnsi" w:hAnsiTheme="minorHAnsi"/>
        <w:i/>
      </w:rPr>
      <w:t xml:space="preserve">– </w:t>
    </w:r>
    <w:r w:rsidR="00D97B55" w:rsidRPr="000E5A9E">
      <w:rPr>
        <w:rFonts w:asciiTheme="minorHAnsi" w:hAnsiTheme="minorHAnsi"/>
        <w:i/>
      </w:rPr>
      <w:t>July</w:t>
    </w:r>
    <w:r w:rsidR="00575AA1" w:rsidRPr="000E5A9E">
      <w:rPr>
        <w:rFonts w:asciiTheme="minorHAnsi" w:hAnsiTheme="minorHAnsi"/>
        <w:i/>
      </w:rPr>
      <w:t xml:space="preserve"> 202</w:t>
    </w:r>
    <w:r w:rsidR="00D97B55" w:rsidRPr="000E5A9E">
      <w:rPr>
        <w:rFonts w:asciiTheme="minorHAnsi" w:hAnsiTheme="minorHAnsi"/>
        <w:i/>
      </w:rPr>
      <w:t>4</w:t>
    </w:r>
    <w:r w:rsidR="00575AA1">
      <w:rPr>
        <w:rFonts w:asciiTheme="minorHAnsi" w:hAnsiTheme="minorHAnsi"/>
        <w:i/>
        <w:color w:val="808080"/>
      </w:rPr>
      <w:t xml:space="preserve"> </w:t>
    </w:r>
    <w:r w:rsidR="00575AA1" w:rsidRPr="000E5A9E">
      <w:rPr>
        <w:rFonts w:asciiTheme="minorHAnsi" w:hAnsiTheme="minorHAnsi"/>
        <w:i/>
      </w:rPr>
      <w:t>PBAC Meeting</w:t>
    </w:r>
  </w:p>
  <w:p w14:paraId="167D2ECD" w14:textId="77777777" w:rsidR="00575AA1" w:rsidRPr="008C7ECB" w:rsidRDefault="00575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DA54" w14:textId="63F51CD9" w:rsidR="009A77F1" w:rsidRDefault="00AC45C5">
    <w:pPr>
      <w:pStyle w:val="Header"/>
    </w:pPr>
    <w:r>
      <w:rPr>
        <w:noProof/>
      </w:rPr>
      <mc:AlternateContent>
        <mc:Choice Requires="wps">
          <w:drawing>
            <wp:anchor distT="0" distB="0" distL="0" distR="0" simplePos="0" relativeHeight="251658240" behindDoc="0" locked="0" layoutInCell="1" allowOverlap="1" wp14:anchorId="4D60A44C" wp14:editId="4B9709F0">
              <wp:simplePos x="635" y="635"/>
              <wp:positionH relativeFrom="page">
                <wp:align>center</wp:align>
              </wp:positionH>
              <wp:positionV relativeFrom="page">
                <wp:align>top</wp:align>
              </wp:positionV>
              <wp:extent cx="443865" cy="443865"/>
              <wp:effectExtent l="0" t="0" r="13335" b="16510"/>
              <wp:wrapNone/>
              <wp:docPr id="185449021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D764F" w14:textId="4A507151" w:rsidR="00AC45C5" w:rsidRPr="00AC45C5" w:rsidRDefault="00AC45C5" w:rsidP="00AC45C5">
                          <w:pPr>
                            <w:rPr>
                              <w:rFonts w:eastAsia="Calibri" w:cs="Calibri"/>
                              <w:noProof/>
                              <w:color w:val="4A569E"/>
                              <w:sz w:val="20"/>
                              <w:szCs w:val="20"/>
                            </w:rPr>
                          </w:pPr>
                          <w:r w:rsidRPr="00AC45C5">
                            <w:rPr>
                              <w:rFonts w:eastAsia="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0A44C" id="_x0000_t202" coordsize="21600,21600" o:spt="202" path="m,l,21600r21600,l21600,xe">
              <v:stroke joinstyle="miter"/>
              <v:path gradientshapeok="t" o:connecttype="rect"/>
            </v:shapetype>
            <v:shape id="Text Box 1" o:spid="_x0000_s1027"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91D764F" w14:textId="4A507151" w:rsidR="00AC45C5" w:rsidRPr="00AC45C5" w:rsidRDefault="00AC45C5" w:rsidP="00AC45C5">
                    <w:pPr>
                      <w:rPr>
                        <w:rFonts w:eastAsia="Calibri" w:cs="Calibri"/>
                        <w:noProof/>
                        <w:color w:val="4A569E"/>
                        <w:sz w:val="20"/>
                        <w:szCs w:val="20"/>
                      </w:rPr>
                    </w:pPr>
                    <w:r w:rsidRPr="00AC45C5">
                      <w:rPr>
                        <w:rFonts w:eastAsia="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187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D1159"/>
    <w:multiLevelType w:val="hybridMultilevel"/>
    <w:tmpl w:val="58985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160C0"/>
    <w:multiLevelType w:val="hybridMultilevel"/>
    <w:tmpl w:val="3A7ACBB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33D7F"/>
    <w:multiLevelType w:val="hybridMultilevel"/>
    <w:tmpl w:val="F50C84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B24B8F"/>
    <w:multiLevelType w:val="hybridMultilevel"/>
    <w:tmpl w:val="F4E6B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D4E1E"/>
    <w:multiLevelType w:val="hybridMultilevel"/>
    <w:tmpl w:val="633EDC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B791E0A"/>
    <w:multiLevelType w:val="hybridMultilevel"/>
    <w:tmpl w:val="255459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B725B1"/>
    <w:multiLevelType w:val="hybridMultilevel"/>
    <w:tmpl w:val="F508E99A"/>
    <w:lvl w:ilvl="0" w:tplc="0C09000F">
      <w:start w:val="1"/>
      <w:numFmt w:val="decimal"/>
      <w:lvlText w:val="%1."/>
      <w:lvlJc w:val="left"/>
      <w:pPr>
        <w:ind w:left="1778"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CD2D53"/>
    <w:multiLevelType w:val="hybridMultilevel"/>
    <w:tmpl w:val="070485AC"/>
    <w:lvl w:ilvl="0" w:tplc="B852C6A2">
      <w:start w:val="1"/>
      <w:numFmt w:val="bullet"/>
      <w:lvlText w:val=""/>
      <w:lvlJc w:val="left"/>
      <w:pPr>
        <w:ind w:left="720" w:hanging="360"/>
      </w:pPr>
      <w:rPr>
        <w:rFonts w:ascii="Symbol" w:hAnsi="Symbol"/>
      </w:rPr>
    </w:lvl>
    <w:lvl w:ilvl="1" w:tplc="C6E60038">
      <w:start w:val="1"/>
      <w:numFmt w:val="bullet"/>
      <w:lvlText w:val=""/>
      <w:lvlJc w:val="left"/>
      <w:pPr>
        <w:ind w:left="720" w:hanging="360"/>
      </w:pPr>
      <w:rPr>
        <w:rFonts w:ascii="Symbol" w:hAnsi="Symbol"/>
      </w:rPr>
    </w:lvl>
    <w:lvl w:ilvl="2" w:tplc="BFC8F282">
      <w:start w:val="1"/>
      <w:numFmt w:val="bullet"/>
      <w:lvlText w:val=""/>
      <w:lvlJc w:val="left"/>
      <w:pPr>
        <w:ind w:left="720" w:hanging="360"/>
      </w:pPr>
      <w:rPr>
        <w:rFonts w:ascii="Symbol" w:hAnsi="Symbol"/>
      </w:rPr>
    </w:lvl>
    <w:lvl w:ilvl="3" w:tplc="EA52EE84">
      <w:start w:val="1"/>
      <w:numFmt w:val="bullet"/>
      <w:lvlText w:val=""/>
      <w:lvlJc w:val="left"/>
      <w:pPr>
        <w:ind w:left="720" w:hanging="360"/>
      </w:pPr>
      <w:rPr>
        <w:rFonts w:ascii="Symbol" w:hAnsi="Symbol"/>
      </w:rPr>
    </w:lvl>
    <w:lvl w:ilvl="4" w:tplc="E78CA438">
      <w:start w:val="1"/>
      <w:numFmt w:val="bullet"/>
      <w:lvlText w:val=""/>
      <w:lvlJc w:val="left"/>
      <w:pPr>
        <w:ind w:left="720" w:hanging="360"/>
      </w:pPr>
      <w:rPr>
        <w:rFonts w:ascii="Symbol" w:hAnsi="Symbol"/>
      </w:rPr>
    </w:lvl>
    <w:lvl w:ilvl="5" w:tplc="61042A90">
      <w:start w:val="1"/>
      <w:numFmt w:val="bullet"/>
      <w:lvlText w:val=""/>
      <w:lvlJc w:val="left"/>
      <w:pPr>
        <w:ind w:left="720" w:hanging="360"/>
      </w:pPr>
      <w:rPr>
        <w:rFonts w:ascii="Symbol" w:hAnsi="Symbol"/>
      </w:rPr>
    </w:lvl>
    <w:lvl w:ilvl="6" w:tplc="5E80F1A4">
      <w:start w:val="1"/>
      <w:numFmt w:val="bullet"/>
      <w:lvlText w:val=""/>
      <w:lvlJc w:val="left"/>
      <w:pPr>
        <w:ind w:left="720" w:hanging="360"/>
      </w:pPr>
      <w:rPr>
        <w:rFonts w:ascii="Symbol" w:hAnsi="Symbol"/>
      </w:rPr>
    </w:lvl>
    <w:lvl w:ilvl="7" w:tplc="CAACE302">
      <w:start w:val="1"/>
      <w:numFmt w:val="bullet"/>
      <w:lvlText w:val=""/>
      <w:lvlJc w:val="left"/>
      <w:pPr>
        <w:ind w:left="720" w:hanging="360"/>
      </w:pPr>
      <w:rPr>
        <w:rFonts w:ascii="Symbol" w:hAnsi="Symbol"/>
      </w:rPr>
    </w:lvl>
    <w:lvl w:ilvl="8" w:tplc="82825812">
      <w:start w:val="1"/>
      <w:numFmt w:val="bullet"/>
      <w:lvlText w:val=""/>
      <w:lvlJc w:val="left"/>
      <w:pPr>
        <w:ind w:left="720" w:hanging="360"/>
      </w:pPr>
      <w:rPr>
        <w:rFonts w:ascii="Symbol" w:hAnsi="Symbol"/>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3E310D"/>
    <w:multiLevelType w:val="hybridMultilevel"/>
    <w:tmpl w:val="E3F60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5F1975"/>
    <w:multiLevelType w:val="hybridMultilevel"/>
    <w:tmpl w:val="E68E8016"/>
    <w:lvl w:ilvl="0" w:tplc="04090001">
      <w:start w:val="1"/>
      <w:numFmt w:val="bullet"/>
      <w:lvlText w:val=""/>
      <w:lvlJc w:val="left"/>
      <w:pPr>
        <w:ind w:left="360" w:hanging="360"/>
      </w:pPr>
      <w:rPr>
        <w:rFonts w:ascii="Symbol" w:hAnsi="Symbol" w:hint="default"/>
      </w:rPr>
    </w:lvl>
    <w:lvl w:ilvl="1" w:tplc="7082B992">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793323"/>
    <w:multiLevelType w:val="hybridMultilevel"/>
    <w:tmpl w:val="C1C8CA50"/>
    <w:lvl w:ilvl="0" w:tplc="5880C2B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271FE8"/>
    <w:multiLevelType w:val="hybridMultilevel"/>
    <w:tmpl w:val="BF361172"/>
    <w:lvl w:ilvl="0" w:tplc="0C090019">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E0ADC"/>
    <w:multiLevelType w:val="hybridMultilevel"/>
    <w:tmpl w:val="B57A89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BBC35DB"/>
    <w:multiLevelType w:val="hybridMultilevel"/>
    <w:tmpl w:val="439643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227D5"/>
    <w:multiLevelType w:val="hybridMultilevel"/>
    <w:tmpl w:val="FA646F9C"/>
    <w:lvl w:ilvl="0" w:tplc="0C090001">
      <w:start w:val="1"/>
      <w:numFmt w:val="bullet"/>
      <w:lvlText w:val=""/>
      <w:lvlJc w:val="left"/>
      <w:pPr>
        <w:ind w:left="1778" w:hanging="360"/>
      </w:pPr>
      <w:rPr>
        <w:rFonts w:ascii="Symbol" w:hAnsi="Symbol"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9F5B83"/>
    <w:multiLevelType w:val="hybridMultilevel"/>
    <w:tmpl w:val="17FA59FE"/>
    <w:lvl w:ilvl="0" w:tplc="0D1C46D8">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6F26E9"/>
    <w:multiLevelType w:val="hybridMultilevel"/>
    <w:tmpl w:val="06B0FD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BF33C7F"/>
    <w:multiLevelType w:val="multilevel"/>
    <w:tmpl w:val="B6B84FD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72F7D"/>
    <w:multiLevelType w:val="hybridMultilevel"/>
    <w:tmpl w:val="F8C421AA"/>
    <w:lvl w:ilvl="0" w:tplc="CB760010">
      <w:start w:val="1"/>
      <w:numFmt w:val="bullet"/>
      <w:lvlText w:val=""/>
      <w:lvlJc w:val="left"/>
      <w:pPr>
        <w:ind w:left="1080" w:hanging="360"/>
      </w:pPr>
      <w:rPr>
        <w:rFonts w:ascii="Symbol" w:hAnsi="Symbol"/>
      </w:rPr>
    </w:lvl>
    <w:lvl w:ilvl="1" w:tplc="C772E15E">
      <w:start w:val="1"/>
      <w:numFmt w:val="bullet"/>
      <w:lvlText w:val=""/>
      <w:lvlJc w:val="left"/>
      <w:pPr>
        <w:ind w:left="1080" w:hanging="360"/>
      </w:pPr>
      <w:rPr>
        <w:rFonts w:ascii="Symbol" w:hAnsi="Symbol"/>
      </w:rPr>
    </w:lvl>
    <w:lvl w:ilvl="2" w:tplc="640222A6">
      <w:start w:val="1"/>
      <w:numFmt w:val="bullet"/>
      <w:lvlText w:val=""/>
      <w:lvlJc w:val="left"/>
      <w:pPr>
        <w:ind w:left="1080" w:hanging="360"/>
      </w:pPr>
      <w:rPr>
        <w:rFonts w:ascii="Symbol" w:hAnsi="Symbol"/>
      </w:rPr>
    </w:lvl>
    <w:lvl w:ilvl="3" w:tplc="984ACC68">
      <w:start w:val="1"/>
      <w:numFmt w:val="bullet"/>
      <w:lvlText w:val=""/>
      <w:lvlJc w:val="left"/>
      <w:pPr>
        <w:ind w:left="1080" w:hanging="360"/>
      </w:pPr>
      <w:rPr>
        <w:rFonts w:ascii="Symbol" w:hAnsi="Symbol"/>
      </w:rPr>
    </w:lvl>
    <w:lvl w:ilvl="4" w:tplc="5534238A">
      <w:start w:val="1"/>
      <w:numFmt w:val="bullet"/>
      <w:lvlText w:val=""/>
      <w:lvlJc w:val="left"/>
      <w:pPr>
        <w:ind w:left="1080" w:hanging="360"/>
      </w:pPr>
      <w:rPr>
        <w:rFonts w:ascii="Symbol" w:hAnsi="Symbol"/>
      </w:rPr>
    </w:lvl>
    <w:lvl w:ilvl="5" w:tplc="CDEE9C6E">
      <w:start w:val="1"/>
      <w:numFmt w:val="bullet"/>
      <w:lvlText w:val=""/>
      <w:lvlJc w:val="left"/>
      <w:pPr>
        <w:ind w:left="1080" w:hanging="360"/>
      </w:pPr>
      <w:rPr>
        <w:rFonts w:ascii="Symbol" w:hAnsi="Symbol"/>
      </w:rPr>
    </w:lvl>
    <w:lvl w:ilvl="6" w:tplc="BDF4B5B0">
      <w:start w:val="1"/>
      <w:numFmt w:val="bullet"/>
      <w:lvlText w:val=""/>
      <w:lvlJc w:val="left"/>
      <w:pPr>
        <w:ind w:left="1080" w:hanging="360"/>
      </w:pPr>
      <w:rPr>
        <w:rFonts w:ascii="Symbol" w:hAnsi="Symbol"/>
      </w:rPr>
    </w:lvl>
    <w:lvl w:ilvl="7" w:tplc="A76C5AA2">
      <w:start w:val="1"/>
      <w:numFmt w:val="bullet"/>
      <w:lvlText w:val=""/>
      <w:lvlJc w:val="left"/>
      <w:pPr>
        <w:ind w:left="1080" w:hanging="360"/>
      </w:pPr>
      <w:rPr>
        <w:rFonts w:ascii="Symbol" w:hAnsi="Symbol"/>
      </w:rPr>
    </w:lvl>
    <w:lvl w:ilvl="8" w:tplc="6C600FB6">
      <w:start w:val="1"/>
      <w:numFmt w:val="bullet"/>
      <w:lvlText w:val=""/>
      <w:lvlJc w:val="left"/>
      <w:pPr>
        <w:ind w:left="1080" w:hanging="360"/>
      </w:pPr>
      <w:rPr>
        <w:rFonts w:ascii="Symbol" w:hAnsi="Symbol"/>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85141EB"/>
    <w:multiLevelType w:val="hybridMultilevel"/>
    <w:tmpl w:val="3D24EC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AFA3C06"/>
    <w:multiLevelType w:val="hybridMultilevel"/>
    <w:tmpl w:val="CB423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697D58"/>
    <w:multiLevelType w:val="hybridMultilevel"/>
    <w:tmpl w:val="028AA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9C092B"/>
    <w:multiLevelType w:val="hybridMultilevel"/>
    <w:tmpl w:val="B0E6FA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4C19FF"/>
    <w:multiLevelType w:val="hybridMultilevel"/>
    <w:tmpl w:val="6CC2B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128359">
    <w:abstractNumId w:val="38"/>
  </w:num>
  <w:num w:numId="2" w16cid:durableId="1094084599">
    <w:abstractNumId w:val="22"/>
  </w:num>
  <w:num w:numId="3" w16cid:durableId="1593319458">
    <w:abstractNumId w:val="0"/>
  </w:num>
  <w:num w:numId="4" w16cid:durableId="1051152179">
    <w:abstractNumId w:val="38"/>
  </w:num>
  <w:num w:numId="5" w16cid:durableId="312489319">
    <w:abstractNumId w:val="32"/>
  </w:num>
  <w:num w:numId="6" w16cid:durableId="1795824912">
    <w:abstractNumId w:val="11"/>
  </w:num>
  <w:num w:numId="7" w16cid:durableId="1600679545">
    <w:abstractNumId w:val="18"/>
  </w:num>
  <w:num w:numId="8" w16cid:durableId="1276673777">
    <w:abstractNumId w:val="8"/>
  </w:num>
  <w:num w:numId="9" w16cid:durableId="1709404580">
    <w:abstractNumId w:val="23"/>
  </w:num>
  <w:num w:numId="10" w16cid:durableId="388504819">
    <w:abstractNumId w:val="7"/>
  </w:num>
  <w:num w:numId="11" w16cid:durableId="1603536449">
    <w:abstractNumId w:val="10"/>
  </w:num>
  <w:num w:numId="12" w16cid:durableId="1756123581">
    <w:abstractNumId w:val="17"/>
  </w:num>
  <w:num w:numId="13" w16cid:durableId="799685878">
    <w:abstractNumId w:val="14"/>
  </w:num>
  <w:num w:numId="14" w16cid:durableId="1588415557">
    <w:abstractNumId w:val="1"/>
  </w:num>
  <w:num w:numId="15" w16cid:durableId="787625825">
    <w:abstractNumId w:val="12"/>
  </w:num>
  <w:num w:numId="16" w16cid:durableId="1361398811">
    <w:abstractNumId w:val="25"/>
  </w:num>
  <w:num w:numId="17" w16cid:durableId="1944026362">
    <w:abstractNumId w:val="28"/>
  </w:num>
  <w:num w:numId="18" w16cid:durableId="1454210843">
    <w:abstractNumId w:val="4"/>
  </w:num>
  <w:num w:numId="19" w16cid:durableId="874199112">
    <w:abstractNumId w:val="33"/>
  </w:num>
  <w:num w:numId="20" w16cid:durableId="1370837416">
    <w:abstractNumId w:val="21"/>
  </w:num>
  <w:num w:numId="21" w16cid:durableId="570164119">
    <w:abstractNumId w:val="29"/>
  </w:num>
  <w:num w:numId="22" w16cid:durableId="965425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8425868">
    <w:abstractNumId w:val="38"/>
  </w:num>
  <w:num w:numId="24" w16cid:durableId="1119450852">
    <w:abstractNumId w:val="3"/>
  </w:num>
  <w:num w:numId="25" w16cid:durableId="361446256">
    <w:abstractNumId w:val="6"/>
  </w:num>
  <w:num w:numId="26" w16cid:durableId="1773820445">
    <w:abstractNumId w:val="39"/>
  </w:num>
  <w:num w:numId="27" w16cid:durableId="56906478">
    <w:abstractNumId w:val="34"/>
  </w:num>
  <w:num w:numId="28" w16cid:durableId="2027752699">
    <w:abstractNumId w:val="27"/>
  </w:num>
  <w:num w:numId="29" w16cid:durableId="942997997">
    <w:abstractNumId w:val="5"/>
  </w:num>
  <w:num w:numId="30" w16cid:durableId="2140296014">
    <w:abstractNumId w:val="2"/>
  </w:num>
  <w:num w:numId="31" w16cid:durableId="763764062">
    <w:abstractNumId w:val="16"/>
  </w:num>
  <w:num w:numId="32" w16cid:durableId="1196038242">
    <w:abstractNumId w:val="19"/>
  </w:num>
  <w:num w:numId="33" w16cid:durableId="570653598">
    <w:abstractNumId w:val="13"/>
  </w:num>
  <w:num w:numId="34" w16cid:durableId="129744317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6872920">
    <w:abstractNumId w:val="35"/>
  </w:num>
  <w:num w:numId="36" w16cid:durableId="779952716">
    <w:abstractNumId w:val="37"/>
  </w:num>
  <w:num w:numId="37" w16cid:durableId="1599362479">
    <w:abstractNumId w:val="20"/>
  </w:num>
  <w:num w:numId="38" w16cid:durableId="1668365583">
    <w:abstractNumId w:val="24"/>
  </w:num>
  <w:num w:numId="39" w16cid:durableId="1795370650">
    <w:abstractNumId w:val="36"/>
  </w:num>
  <w:num w:numId="40" w16cid:durableId="928738681">
    <w:abstractNumId w:val="38"/>
  </w:num>
  <w:num w:numId="41" w16cid:durableId="432897357">
    <w:abstractNumId w:val="30"/>
  </w:num>
  <w:num w:numId="42" w16cid:durableId="383141787">
    <w:abstractNumId w:val="15"/>
  </w:num>
  <w:num w:numId="43" w16cid:durableId="826703166">
    <w:abstractNumId w:val="26"/>
  </w:num>
  <w:num w:numId="44" w16cid:durableId="2045054098">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exxtzzwearetet0a8vtzxufrez0vrseps2&quot;&gt;Nirsevimab_APR2024&lt;record-ids&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record-ids&gt;&lt;/item&gt;&lt;item db-id=&quot;srfedz2apaf05ee552ixvwdktdperaxwvw5x&quot;&gt;RSV clinical endnote library&lt;record-ids&gt;&lt;item&gt;1&lt;/item&gt;&lt;item&gt;3&lt;/item&gt;&lt;item&gt;4&lt;/item&gt;&lt;item&gt;5&lt;/item&gt;&lt;item&gt;6&lt;/item&gt;&lt;item&gt;7&lt;/item&gt;&lt;item&gt;12&lt;/item&gt;&lt;/record-ids&gt;&lt;/item&gt;&lt;/Libraries&gt;"/>
  </w:docVars>
  <w:rsids>
    <w:rsidRoot w:val="00E65E79"/>
    <w:rsid w:val="00000790"/>
    <w:rsid w:val="0000110B"/>
    <w:rsid w:val="00003499"/>
    <w:rsid w:val="000039B7"/>
    <w:rsid w:val="00003D73"/>
    <w:rsid w:val="0000466E"/>
    <w:rsid w:val="000056B9"/>
    <w:rsid w:val="00005920"/>
    <w:rsid w:val="00005F39"/>
    <w:rsid w:val="0000639A"/>
    <w:rsid w:val="00006500"/>
    <w:rsid w:val="000065F7"/>
    <w:rsid w:val="00010607"/>
    <w:rsid w:val="00010DF7"/>
    <w:rsid w:val="00010EC2"/>
    <w:rsid w:val="00010FA7"/>
    <w:rsid w:val="00011365"/>
    <w:rsid w:val="00011885"/>
    <w:rsid w:val="00011DC7"/>
    <w:rsid w:val="0001248C"/>
    <w:rsid w:val="00013247"/>
    <w:rsid w:val="000135E6"/>
    <w:rsid w:val="000137B2"/>
    <w:rsid w:val="00013DF7"/>
    <w:rsid w:val="00014F6C"/>
    <w:rsid w:val="00015616"/>
    <w:rsid w:val="00015810"/>
    <w:rsid w:val="00015886"/>
    <w:rsid w:val="00015F08"/>
    <w:rsid w:val="0001608D"/>
    <w:rsid w:val="000162EF"/>
    <w:rsid w:val="000165FA"/>
    <w:rsid w:val="00016D91"/>
    <w:rsid w:val="000174AC"/>
    <w:rsid w:val="000179D0"/>
    <w:rsid w:val="000207C9"/>
    <w:rsid w:val="00022066"/>
    <w:rsid w:val="0002225F"/>
    <w:rsid w:val="00022CEE"/>
    <w:rsid w:val="00023763"/>
    <w:rsid w:val="00024EB5"/>
    <w:rsid w:val="000254C9"/>
    <w:rsid w:val="000274B8"/>
    <w:rsid w:val="000277B9"/>
    <w:rsid w:val="0002783B"/>
    <w:rsid w:val="000278B4"/>
    <w:rsid w:val="00027CB5"/>
    <w:rsid w:val="00030308"/>
    <w:rsid w:val="00030592"/>
    <w:rsid w:val="00030CD1"/>
    <w:rsid w:val="00030F3E"/>
    <w:rsid w:val="00031112"/>
    <w:rsid w:val="00032A4A"/>
    <w:rsid w:val="00033863"/>
    <w:rsid w:val="00033A3E"/>
    <w:rsid w:val="00034821"/>
    <w:rsid w:val="00034D7E"/>
    <w:rsid w:val="00035DC0"/>
    <w:rsid w:val="000365D6"/>
    <w:rsid w:val="00036829"/>
    <w:rsid w:val="00036E82"/>
    <w:rsid w:val="00036F46"/>
    <w:rsid w:val="00037750"/>
    <w:rsid w:val="00037E02"/>
    <w:rsid w:val="000401FD"/>
    <w:rsid w:val="00040895"/>
    <w:rsid w:val="000410A0"/>
    <w:rsid w:val="000413A3"/>
    <w:rsid w:val="000435EE"/>
    <w:rsid w:val="000438F9"/>
    <w:rsid w:val="00043A41"/>
    <w:rsid w:val="00043C37"/>
    <w:rsid w:val="00045017"/>
    <w:rsid w:val="00045A2B"/>
    <w:rsid w:val="0004698F"/>
    <w:rsid w:val="00046A90"/>
    <w:rsid w:val="00046CEE"/>
    <w:rsid w:val="00046D64"/>
    <w:rsid w:val="00050119"/>
    <w:rsid w:val="000508C2"/>
    <w:rsid w:val="00051299"/>
    <w:rsid w:val="00051E94"/>
    <w:rsid w:val="0005317B"/>
    <w:rsid w:val="000539D0"/>
    <w:rsid w:val="00054621"/>
    <w:rsid w:val="000546D7"/>
    <w:rsid w:val="000548B9"/>
    <w:rsid w:val="00054A8D"/>
    <w:rsid w:val="00056ECF"/>
    <w:rsid w:val="000574BD"/>
    <w:rsid w:val="00057B85"/>
    <w:rsid w:val="000604DF"/>
    <w:rsid w:val="00060662"/>
    <w:rsid w:val="0006134D"/>
    <w:rsid w:val="00062324"/>
    <w:rsid w:val="00064DDA"/>
    <w:rsid w:val="000653B5"/>
    <w:rsid w:val="00066360"/>
    <w:rsid w:val="000666C7"/>
    <w:rsid w:val="00066AF3"/>
    <w:rsid w:val="00066AF8"/>
    <w:rsid w:val="0006763C"/>
    <w:rsid w:val="00070E03"/>
    <w:rsid w:val="00071248"/>
    <w:rsid w:val="000715F5"/>
    <w:rsid w:val="000720B9"/>
    <w:rsid w:val="00072D63"/>
    <w:rsid w:val="000737F7"/>
    <w:rsid w:val="00073DBC"/>
    <w:rsid w:val="00074F77"/>
    <w:rsid w:val="00075924"/>
    <w:rsid w:val="0007672F"/>
    <w:rsid w:val="00076B54"/>
    <w:rsid w:val="00076C81"/>
    <w:rsid w:val="000774F0"/>
    <w:rsid w:val="00080244"/>
    <w:rsid w:val="00080909"/>
    <w:rsid w:val="00080D6F"/>
    <w:rsid w:val="000812CA"/>
    <w:rsid w:val="00081E63"/>
    <w:rsid w:val="000821A2"/>
    <w:rsid w:val="00082498"/>
    <w:rsid w:val="0008258D"/>
    <w:rsid w:val="000838BC"/>
    <w:rsid w:val="00083E99"/>
    <w:rsid w:val="00084D80"/>
    <w:rsid w:val="00084FA8"/>
    <w:rsid w:val="000856C5"/>
    <w:rsid w:val="00085C31"/>
    <w:rsid w:val="000902D9"/>
    <w:rsid w:val="000908C3"/>
    <w:rsid w:val="000909DD"/>
    <w:rsid w:val="00090C7E"/>
    <w:rsid w:val="00090F88"/>
    <w:rsid w:val="000911AC"/>
    <w:rsid w:val="0009130C"/>
    <w:rsid w:val="00091F5B"/>
    <w:rsid w:val="00092199"/>
    <w:rsid w:val="000921D6"/>
    <w:rsid w:val="00092600"/>
    <w:rsid w:val="0009262B"/>
    <w:rsid w:val="00093310"/>
    <w:rsid w:val="00093908"/>
    <w:rsid w:val="0009445C"/>
    <w:rsid w:val="00095200"/>
    <w:rsid w:val="00095FE5"/>
    <w:rsid w:val="00096284"/>
    <w:rsid w:val="00096CF1"/>
    <w:rsid w:val="000A0269"/>
    <w:rsid w:val="000A060A"/>
    <w:rsid w:val="000A1BC0"/>
    <w:rsid w:val="000A1C88"/>
    <w:rsid w:val="000A208B"/>
    <w:rsid w:val="000A26C9"/>
    <w:rsid w:val="000A2F9E"/>
    <w:rsid w:val="000A30E1"/>
    <w:rsid w:val="000A3E47"/>
    <w:rsid w:val="000A49A0"/>
    <w:rsid w:val="000A4A56"/>
    <w:rsid w:val="000A4D2B"/>
    <w:rsid w:val="000A51F8"/>
    <w:rsid w:val="000A522B"/>
    <w:rsid w:val="000A6039"/>
    <w:rsid w:val="000A6974"/>
    <w:rsid w:val="000A72AC"/>
    <w:rsid w:val="000A7453"/>
    <w:rsid w:val="000A7D08"/>
    <w:rsid w:val="000B0121"/>
    <w:rsid w:val="000B0670"/>
    <w:rsid w:val="000B068D"/>
    <w:rsid w:val="000B07B9"/>
    <w:rsid w:val="000B0E75"/>
    <w:rsid w:val="000B21A8"/>
    <w:rsid w:val="000B2DCB"/>
    <w:rsid w:val="000B306A"/>
    <w:rsid w:val="000B36E5"/>
    <w:rsid w:val="000B397E"/>
    <w:rsid w:val="000B5CE0"/>
    <w:rsid w:val="000B63B2"/>
    <w:rsid w:val="000B6BFA"/>
    <w:rsid w:val="000B6CAC"/>
    <w:rsid w:val="000B7612"/>
    <w:rsid w:val="000B78AE"/>
    <w:rsid w:val="000C05E5"/>
    <w:rsid w:val="000C0657"/>
    <w:rsid w:val="000C2A87"/>
    <w:rsid w:val="000C320B"/>
    <w:rsid w:val="000C3DF9"/>
    <w:rsid w:val="000C3E0C"/>
    <w:rsid w:val="000C4CF2"/>
    <w:rsid w:val="000C4EB1"/>
    <w:rsid w:val="000C556D"/>
    <w:rsid w:val="000C57B9"/>
    <w:rsid w:val="000C6713"/>
    <w:rsid w:val="000D1BCF"/>
    <w:rsid w:val="000D1BFC"/>
    <w:rsid w:val="000D1D5D"/>
    <w:rsid w:val="000D281A"/>
    <w:rsid w:val="000D2848"/>
    <w:rsid w:val="000D2C42"/>
    <w:rsid w:val="000D326A"/>
    <w:rsid w:val="000D3CF8"/>
    <w:rsid w:val="000D44AC"/>
    <w:rsid w:val="000D4BE1"/>
    <w:rsid w:val="000D51FB"/>
    <w:rsid w:val="000D53CF"/>
    <w:rsid w:val="000E0293"/>
    <w:rsid w:val="000E0640"/>
    <w:rsid w:val="000E0CC5"/>
    <w:rsid w:val="000E135D"/>
    <w:rsid w:val="000E19F1"/>
    <w:rsid w:val="000E1FBF"/>
    <w:rsid w:val="000E20C5"/>
    <w:rsid w:val="000E228B"/>
    <w:rsid w:val="000E27BA"/>
    <w:rsid w:val="000E302B"/>
    <w:rsid w:val="000E3314"/>
    <w:rsid w:val="000E3A63"/>
    <w:rsid w:val="000E3E8E"/>
    <w:rsid w:val="000E4738"/>
    <w:rsid w:val="000E5546"/>
    <w:rsid w:val="000E5A9E"/>
    <w:rsid w:val="000E5BDB"/>
    <w:rsid w:val="000E6B2C"/>
    <w:rsid w:val="000F00BA"/>
    <w:rsid w:val="000F316A"/>
    <w:rsid w:val="000F3C74"/>
    <w:rsid w:val="000F4BB8"/>
    <w:rsid w:val="000F4FA9"/>
    <w:rsid w:val="000F53FB"/>
    <w:rsid w:val="000F61D7"/>
    <w:rsid w:val="000F7127"/>
    <w:rsid w:val="000F7464"/>
    <w:rsid w:val="000F7B54"/>
    <w:rsid w:val="001000B3"/>
    <w:rsid w:val="00100F8A"/>
    <w:rsid w:val="0010452E"/>
    <w:rsid w:val="0010487E"/>
    <w:rsid w:val="00104BD2"/>
    <w:rsid w:val="00105768"/>
    <w:rsid w:val="00105A96"/>
    <w:rsid w:val="00105AE2"/>
    <w:rsid w:val="0010601C"/>
    <w:rsid w:val="001060C6"/>
    <w:rsid w:val="00106B80"/>
    <w:rsid w:val="00106E6E"/>
    <w:rsid w:val="001077E2"/>
    <w:rsid w:val="00107FF9"/>
    <w:rsid w:val="0011032E"/>
    <w:rsid w:val="001117C7"/>
    <w:rsid w:val="001120DB"/>
    <w:rsid w:val="00112511"/>
    <w:rsid w:val="001131C1"/>
    <w:rsid w:val="0011348B"/>
    <w:rsid w:val="0011369F"/>
    <w:rsid w:val="00114295"/>
    <w:rsid w:val="00115982"/>
    <w:rsid w:val="00116C53"/>
    <w:rsid w:val="00121799"/>
    <w:rsid w:val="001222FC"/>
    <w:rsid w:val="00122D87"/>
    <w:rsid w:val="00123902"/>
    <w:rsid w:val="00124703"/>
    <w:rsid w:val="00124A51"/>
    <w:rsid w:val="00126621"/>
    <w:rsid w:val="00126B1D"/>
    <w:rsid w:val="001301E9"/>
    <w:rsid w:val="0013023E"/>
    <w:rsid w:val="00131D82"/>
    <w:rsid w:val="00131FBC"/>
    <w:rsid w:val="001322F9"/>
    <w:rsid w:val="00132B22"/>
    <w:rsid w:val="00133163"/>
    <w:rsid w:val="0013337A"/>
    <w:rsid w:val="00133D36"/>
    <w:rsid w:val="001346EE"/>
    <w:rsid w:val="00134A02"/>
    <w:rsid w:val="00135184"/>
    <w:rsid w:val="0013546D"/>
    <w:rsid w:val="00135E3B"/>
    <w:rsid w:val="00136501"/>
    <w:rsid w:val="001369F1"/>
    <w:rsid w:val="00137065"/>
    <w:rsid w:val="00137645"/>
    <w:rsid w:val="00137883"/>
    <w:rsid w:val="0014015A"/>
    <w:rsid w:val="00140D6B"/>
    <w:rsid w:val="00140E99"/>
    <w:rsid w:val="00141EFD"/>
    <w:rsid w:val="00142F91"/>
    <w:rsid w:val="00143F67"/>
    <w:rsid w:val="00144958"/>
    <w:rsid w:val="00145234"/>
    <w:rsid w:val="00145540"/>
    <w:rsid w:val="001456B0"/>
    <w:rsid w:val="0014599F"/>
    <w:rsid w:val="00146DFB"/>
    <w:rsid w:val="001475E2"/>
    <w:rsid w:val="00150040"/>
    <w:rsid w:val="00151627"/>
    <w:rsid w:val="00152AF6"/>
    <w:rsid w:val="00153A9C"/>
    <w:rsid w:val="0015403A"/>
    <w:rsid w:val="001542E6"/>
    <w:rsid w:val="001543E3"/>
    <w:rsid w:val="001544C0"/>
    <w:rsid w:val="001547AB"/>
    <w:rsid w:val="00155398"/>
    <w:rsid w:val="00155FA2"/>
    <w:rsid w:val="00156AAA"/>
    <w:rsid w:val="00156F8F"/>
    <w:rsid w:val="00157130"/>
    <w:rsid w:val="001576B1"/>
    <w:rsid w:val="0016047B"/>
    <w:rsid w:val="00160A4C"/>
    <w:rsid w:val="0016101E"/>
    <w:rsid w:val="001618B0"/>
    <w:rsid w:val="00161B5D"/>
    <w:rsid w:val="00162913"/>
    <w:rsid w:val="00163BBE"/>
    <w:rsid w:val="00163EFF"/>
    <w:rsid w:val="00163F66"/>
    <w:rsid w:val="0016478E"/>
    <w:rsid w:val="00164865"/>
    <w:rsid w:val="00165539"/>
    <w:rsid w:val="001657E8"/>
    <w:rsid w:val="00165AF8"/>
    <w:rsid w:val="00165B36"/>
    <w:rsid w:val="00165EC4"/>
    <w:rsid w:val="001661FB"/>
    <w:rsid w:val="00166628"/>
    <w:rsid w:val="001671A0"/>
    <w:rsid w:val="0016767F"/>
    <w:rsid w:val="00167CD0"/>
    <w:rsid w:val="00167DA6"/>
    <w:rsid w:val="00170EA1"/>
    <w:rsid w:val="00171821"/>
    <w:rsid w:val="00173565"/>
    <w:rsid w:val="00173B07"/>
    <w:rsid w:val="001751FA"/>
    <w:rsid w:val="00175690"/>
    <w:rsid w:val="001758EB"/>
    <w:rsid w:val="00175AA7"/>
    <w:rsid w:val="00175E52"/>
    <w:rsid w:val="00176135"/>
    <w:rsid w:val="00176564"/>
    <w:rsid w:val="00176679"/>
    <w:rsid w:val="00177CD7"/>
    <w:rsid w:val="00180A4A"/>
    <w:rsid w:val="00181C10"/>
    <w:rsid w:val="00181D9C"/>
    <w:rsid w:val="00182566"/>
    <w:rsid w:val="001834FA"/>
    <w:rsid w:val="001837B5"/>
    <w:rsid w:val="001837FF"/>
    <w:rsid w:val="001844B6"/>
    <w:rsid w:val="00184B0E"/>
    <w:rsid w:val="0018752F"/>
    <w:rsid w:val="001877E5"/>
    <w:rsid w:val="00187E8F"/>
    <w:rsid w:val="00191E0D"/>
    <w:rsid w:val="00193838"/>
    <w:rsid w:val="001939B0"/>
    <w:rsid w:val="00194AD8"/>
    <w:rsid w:val="00195222"/>
    <w:rsid w:val="00195452"/>
    <w:rsid w:val="00196368"/>
    <w:rsid w:val="0019650A"/>
    <w:rsid w:val="001970C7"/>
    <w:rsid w:val="0019728E"/>
    <w:rsid w:val="001975D8"/>
    <w:rsid w:val="00197E9D"/>
    <w:rsid w:val="001A00DE"/>
    <w:rsid w:val="001A178E"/>
    <w:rsid w:val="001A1803"/>
    <w:rsid w:val="001A18C8"/>
    <w:rsid w:val="001A2AC8"/>
    <w:rsid w:val="001A36AA"/>
    <w:rsid w:val="001A3A0C"/>
    <w:rsid w:val="001A3D9A"/>
    <w:rsid w:val="001A43FA"/>
    <w:rsid w:val="001A47C5"/>
    <w:rsid w:val="001A51D1"/>
    <w:rsid w:val="001A5550"/>
    <w:rsid w:val="001A59FB"/>
    <w:rsid w:val="001A5E9E"/>
    <w:rsid w:val="001A6125"/>
    <w:rsid w:val="001A6354"/>
    <w:rsid w:val="001A6366"/>
    <w:rsid w:val="001A7AE8"/>
    <w:rsid w:val="001B204E"/>
    <w:rsid w:val="001B2372"/>
    <w:rsid w:val="001B266C"/>
    <w:rsid w:val="001B304B"/>
    <w:rsid w:val="001B3443"/>
    <w:rsid w:val="001B344C"/>
    <w:rsid w:val="001B4D20"/>
    <w:rsid w:val="001B61FD"/>
    <w:rsid w:val="001B7C8A"/>
    <w:rsid w:val="001B7F84"/>
    <w:rsid w:val="001C047C"/>
    <w:rsid w:val="001C1A6D"/>
    <w:rsid w:val="001C2A9B"/>
    <w:rsid w:val="001C346D"/>
    <w:rsid w:val="001C370E"/>
    <w:rsid w:val="001C3DD6"/>
    <w:rsid w:val="001C4299"/>
    <w:rsid w:val="001C4874"/>
    <w:rsid w:val="001C4981"/>
    <w:rsid w:val="001C5269"/>
    <w:rsid w:val="001C5F94"/>
    <w:rsid w:val="001C66A5"/>
    <w:rsid w:val="001C6E66"/>
    <w:rsid w:val="001C743F"/>
    <w:rsid w:val="001C7E3B"/>
    <w:rsid w:val="001D07DF"/>
    <w:rsid w:val="001D09D0"/>
    <w:rsid w:val="001D0EB6"/>
    <w:rsid w:val="001D1100"/>
    <w:rsid w:val="001D1391"/>
    <w:rsid w:val="001D1861"/>
    <w:rsid w:val="001D2581"/>
    <w:rsid w:val="001D25D7"/>
    <w:rsid w:val="001D2932"/>
    <w:rsid w:val="001D46CB"/>
    <w:rsid w:val="001D50B2"/>
    <w:rsid w:val="001D700B"/>
    <w:rsid w:val="001D71F4"/>
    <w:rsid w:val="001D7645"/>
    <w:rsid w:val="001D7F86"/>
    <w:rsid w:val="001E0847"/>
    <w:rsid w:val="001E1E86"/>
    <w:rsid w:val="001E238E"/>
    <w:rsid w:val="001E2483"/>
    <w:rsid w:val="001E2B1E"/>
    <w:rsid w:val="001E2CBF"/>
    <w:rsid w:val="001E2CFF"/>
    <w:rsid w:val="001E2F24"/>
    <w:rsid w:val="001E30D4"/>
    <w:rsid w:val="001E34DF"/>
    <w:rsid w:val="001E46D2"/>
    <w:rsid w:val="001E4A25"/>
    <w:rsid w:val="001E4BD5"/>
    <w:rsid w:val="001E4EBE"/>
    <w:rsid w:val="001E52EB"/>
    <w:rsid w:val="001E551C"/>
    <w:rsid w:val="001E56CB"/>
    <w:rsid w:val="001E56E8"/>
    <w:rsid w:val="001E5EC9"/>
    <w:rsid w:val="001E61D2"/>
    <w:rsid w:val="001E7125"/>
    <w:rsid w:val="001E740C"/>
    <w:rsid w:val="001E7A9A"/>
    <w:rsid w:val="001E7F9B"/>
    <w:rsid w:val="001F0883"/>
    <w:rsid w:val="001F08C9"/>
    <w:rsid w:val="001F0C8A"/>
    <w:rsid w:val="001F0DB6"/>
    <w:rsid w:val="001F1235"/>
    <w:rsid w:val="001F13EF"/>
    <w:rsid w:val="001F1CB3"/>
    <w:rsid w:val="001F35B2"/>
    <w:rsid w:val="001F38B5"/>
    <w:rsid w:val="001F4081"/>
    <w:rsid w:val="001F5B5D"/>
    <w:rsid w:val="001F69CF"/>
    <w:rsid w:val="001F7361"/>
    <w:rsid w:val="00200D5B"/>
    <w:rsid w:val="002011B0"/>
    <w:rsid w:val="0020186F"/>
    <w:rsid w:val="00202978"/>
    <w:rsid w:val="00202B50"/>
    <w:rsid w:val="00203181"/>
    <w:rsid w:val="002032C0"/>
    <w:rsid w:val="0020340E"/>
    <w:rsid w:val="00203783"/>
    <w:rsid w:val="0020385F"/>
    <w:rsid w:val="00204B76"/>
    <w:rsid w:val="00206894"/>
    <w:rsid w:val="002068A0"/>
    <w:rsid w:val="00207021"/>
    <w:rsid w:val="0020732F"/>
    <w:rsid w:val="0020793B"/>
    <w:rsid w:val="00207D00"/>
    <w:rsid w:val="00207D3A"/>
    <w:rsid w:val="002105C1"/>
    <w:rsid w:val="002116FD"/>
    <w:rsid w:val="00211FE2"/>
    <w:rsid w:val="00213EF5"/>
    <w:rsid w:val="0021604F"/>
    <w:rsid w:val="00216BF5"/>
    <w:rsid w:val="002202CE"/>
    <w:rsid w:val="0022095E"/>
    <w:rsid w:val="00222A97"/>
    <w:rsid w:val="00223B49"/>
    <w:rsid w:val="00223D5A"/>
    <w:rsid w:val="002249B5"/>
    <w:rsid w:val="00224DD4"/>
    <w:rsid w:val="00224E4C"/>
    <w:rsid w:val="00226EAE"/>
    <w:rsid w:val="002273B4"/>
    <w:rsid w:val="002278A0"/>
    <w:rsid w:val="0023008B"/>
    <w:rsid w:val="002309CC"/>
    <w:rsid w:val="00231394"/>
    <w:rsid w:val="00231BA9"/>
    <w:rsid w:val="0023209F"/>
    <w:rsid w:val="002330F2"/>
    <w:rsid w:val="00233260"/>
    <w:rsid w:val="00233A82"/>
    <w:rsid w:val="00233C01"/>
    <w:rsid w:val="0023413C"/>
    <w:rsid w:val="002346F0"/>
    <w:rsid w:val="00235270"/>
    <w:rsid w:val="002356EB"/>
    <w:rsid w:val="0023629D"/>
    <w:rsid w:val="002369BC"/>
    <w:rsid w:val="00237255"/>
    <w:rsid w:val="0023762A"/>
    <w:rsid w:val="00237DD3"/>
    <w:rsid w:val="00240463"/>
    <w:rsid w:val="00240D49"/>
    <w:rsid w:val="00240E22"/>
    <w:rsid w:val="00241C7C"/>
    <w:rsid w:val="0024200E"/>
    <w:rsid w:val="002424AF"/>
    <w:rsid w:val="00242B33"/>
    <w:rsid w:val="002439DC"/>
    <w:rsid w:val="002441D2"/>
    <w:rsid w:val="00244DC8"/>
    <w:rsid w:val="002458BA"/>
    <w:rsid w:val="00245A7C"/>
    <w:rsid w:val="00245CE9"/>
    <w:rsid w:val="0024636C"/>
    <w:rsid w:val="00246E12"/>
    <w:rsid w:val="00247925"/>
    <w:rsid w:val="00250E36"/>
    <w:rsid w:val="00250F2F"/>
    <w:rsid w:val="00251006"/>
    <w:rsid w:val="002524D5"/>
    <w:rsid w:val="0025253F"/>
    <w:rsid w:val="00252FC8"/>
    <w:rsid w:val="00253B1D"/>
    <w:rsid w:val="0025455F"/>
    <w:rsid w:val="00254DCF"/>
    <w:rsid w:val="0025534B"/>
    <w:rsid w:val="00255BB7"/>
    <w:rsid w:val="00255D72"/>
    <w:rsid w:val="00256426"/>
    <w:rsid w:val="00257541"/>
    <w:rsid w:val="0025775C"/>
    <w:rsid w:val="00257A39"/>
    <w:rsid w:val="00257AC4"/>
    <w:rsid w:val="00257BBE"/>
    <w:rsid w:val="00261EEF"/>
    <w:rsid w:val="00262A1A"/>
    <w:rsid w:val="00262A87"/>
    <w:rsid w:val="00262DA1"/>
    <w:rsid w:val="0026319A"/>
    <w:rsid w:val="002646CB"/>
    <w:rsid w:val="00264D26"/>
    <w:rsid w:val="002661FC"/>
    <w:rsid w:val="002663AA"/>
    <w:rsid w:val="00266A98"/>
    <w:rsid w:val="002672C3"/>
    <w:rsid w:val="00267642"/>
    <w:rsid w:val="0026796F"/>
    <w:rsid w:val="00267AEA"/>
    <w:rsid w:val="00267D85"/>
    <w:rsid w:val="002700E6"/>
    <w:rsid w:val="0027036D"/>
    <w:rsid w:val="002709B9"/>
    <w:rsid w:val="002712F1"/>
    <w:rsid w:val="002728F9"/>
    <w:rsid w:val="0027294B"/>
    <w:rsid w:val="00273EB4"/>
    <w:rsid w:val="00274682"/>
    <w:rsid w:val="00275158"/>
    <w:rsid w:val="002752F9"/>
    <w:rsid w:val="00275C5A"/>
    <w:rsid w:val="00275FF3"/>
    <w:rsid w:val="00276D48"/>
    <w:rsid w:val="00276F78"/>
    <w:rsid w:val="00281014"/>
    <w:rsid w:val="00282919"/>
    <w:rsid w:val="002829C5"/>
    <w:rsid w:val="00282C1E"/>
    <w:rsid w:val="00283C96"/>
    <w:rsid w:val="00285BCE"/>
    <w:rsid w:val="0028626D"/>
    <w:rsid w:val="002862D4"/>
    <w:rsid w:val="0028665D"/>
    <w:rsid w:val="00287291"/>
    <w:rsid w:val="00290986"/>
    <w:rsid w:val="0029179B"/>
    <w:rsid w:val="0029308E"/>
    <w:rsid w:val="0029597C"/>
    <w:rsid w:val="002962E3"/>
    <w:rsid w:val="00297555"/>
    <w:rsid w:val="00297977"/>
    <w:rsid w:val="002A0B19"/>
    <w:rsid w:val="002A14AB"/>
    <w:rsid w:val="002A1A60"/>
    <w:rsid w:val="002A2ADE"/>
    <w:rsid w:val="002A2F50"/>
    <w:rsid w:val="002A356A"/>
    <w:rsid w:val="002A3C67"/>
    <w:rsid w:val="002A411C"/>
    <w:rsid w:val="002A455E"/>
    <w:rsid w:val="002A5A8B"/>
    <w:rsid w:val="002A6203"/>
    <w:rsid w:val="002A7943"/>
    <w:rsid w:val="002B04CF"/>
    <w:rsid w:val="002B05A1"/>
    <w:rsid w:val="002B0769"/>
    <w:rsid w:val="002B09A4"/>
    <w:rsid w:val="002B1C1F"/>
    <w:rsid w:val="002B1FEC"/>
    <w:rsid w:val="002B2210"/>
    <w:rsid w:val="002B2B40"/>
    <w:rsid w:val="002B3AB7"/>
    <w:rsid w:val="002B432F"/>
    <w:rsid w:val="002B49D0"/>
    <w:rsid w:val="002B4A07"/>
    <w:rsid w:val="002B5150"/>
    <w:rsid w:val="002B62B3"/>
    <w:rsid w:val="002B632F"/>
    <w:rsid w:val="002B6754"/>
    <w:rsid w:val="002B6CCE"/>
    <w:rsid w:val="002C05FE"/>
    <w:rsid w:val="002C0A97"/>
    <w:rsid w:val="002C2006"/>
    <w:rsid w:val="002C2510"/>
    <w:rsid w:val="002C2775"/>
    <w:rsid w:val="002C27C1"/>
    <w:rsid w:val="002C2902"/>
    <w:rsid w:val="002C36E3"/>
    <w:rsid w:val="002C425E"/>
    <w:rsid w:val="002C4CB1"/>
    <w:rsid w:val="002C5099"/>
    <w:rsid w:val="002C5889"/>
    <w:rsid w:val="002C6C21"/>
    <w:rsid w:val="002C6FFE"/>
    <w:rsid w:val="002C71CE"/>
    <w:rsid w:val="002C7A0C"/>
    <w:rsid w:val="002D01DA"/>
    <w:rsid w:val="002D08F8"/>
    <w:rsid w:val="002D1497"/>
    <w:rsid w:val="002D153E"/>
    <w:rsid w:val="002D215B"/>
    <w:rsid w:val="002D40E8"/>
    <w:rsid w:val="002D48F2"/>
    <w:rsid w:val="002D577C"/>
    <w:rsid w:val="002D61FE"/>
    <w:rsid w:val="002D723E"/>
    <w:rsid w:val="002D74CB"/>
    <w:rsid w:val="002D7832"/>
    <w:rsid w:val="002E1071"/>
    <w:rsid w:val="002E15B9"/>
    <w:rsid w:val="002E2158"/>
    <w:rsid w:val="002E229A"/>
    <w:rsid w:val="002E39C7"/>
    <w:rsid w:val="002E48A7"/>
    <w:rsid w:val="002E4DA9"/>
    <w:rsid w:val="002E4F02"/>
    <w:rsid w:val="002E5835"/>
    <w:rsid w:val="002E69BE"/>
    <w:rsid w:val="002E726C"/>
    <w:rsid w:val="002E7722"/>
    <w:rsid w:val="002E7FCF"/>
    <w:rsid w:val="002F01CD"/>
    <w:rsid w:val="002F07BA"/>
    <w:rsid w:val="002F0DA9"/>
    <w:rsid w:val="002F1014"/>
    <w:rsid w:val="002F1E3B"/>
    <w:rsid w:val="002F3382"/>
    <w:rsid w:val="002F371A"/>
    <w:rsid w:val="002F3EB6"/>
    <w:rsid w:val="002F40C7"/>
    <w:rsid w:val="002F42B0"/>
    <w:rsid w:val="002F4821"/>
    <w:rsid w:val="002F4F7A"/>
    <w:rsid w:val="002F643C"/>
    <w:rsid w:val="002F6E2F"/>
    <w:rsid w:val="002F71C0"/>
    <w:rsid w:val="002F74F1"/>
    <w:rsid w:val="00301017"/>
    <w:rsid w:val="00301316"/>
    <w:rsid w:val="0030155F"/>
    <w:rsid w:val="00301F3B"/>
    <w:rsid w:val="00302CC5"/>
    <w:rsid w:val="00303E34"/>
    <w:rsid w:val="00304A67"/>
    <w:rsid w:val="00304D5E"/>
    <w:rsid w:val="0030587B"/>
    <w:rsid w:val="003061B4"/>
    <w:rsid w:val="00306580"/>
    <w:rsid w:val="00306D98"/>
    <w:rsid w:val="00307320"/>
    <w:rsid w:val="0030786C"/>
    <w:rsid w:val="0031031A"/>
    <w:rsid w:val="00310981"/>
    <w:rsid w:val="00311D9B"/>
    <w:rsid w:val="00311F9C"/>
    <w:rsid w:val="0031223D"/>
    <w:rsid w:val="003124D9"/>
    <w:rsid w:val="00312594"/>
    <w:rsid w:val="00312A3A"/>
    <w:rsid w:val="00313190"/>
    <w:rsid w:val="00313735"/>
    <w:rsid w:val="00315498"/>
    <w:rsid w:val="00316474"/>
    <w:rsid w:val="00316A3E"/>
    <w:rsid w:val="003218C9"/>
    <w:rsid w:val="00322107"/>
    <w:rsid w:val="00322355"/>
    <w:rsid w:val="00322846"/>
    <w:rsid w:val="00324DD6"/>
    <w:rsid w:val="00325B41"/>
    <w:rsid w:val="003263D4"/>
    <w:rsid w:val="00326716"/>
    <w:rsid w:val="0032680E"/>
    <w:rsid w:val="00326BB7"/>
    <w:rsid w:val="00326DA7"/>
    <w:rsid w:val="003270E4"/>
    <w:rsid w:val="00327A20"/>
    <w:rsid w:val="00330DAA"/>
    <w:rsid w:val="00330F5C"/>
    <w:rsid w:val="00331B9A"/>
    <w:rsid w:val="0033336F"/>
    <w:rsid w:val="00333503"/>
    <w:rsid w:val="00334732"/>
    <w:rsid w:val="00334F2D"/>
    <w:rsid w:val="00335302"/>
    <w:rsid w:val="00335ACC"/>
    <w:rsid w:val="003366C9"/>
    <w:rsid w:val="003371B0"/>
    <w:rsid w:val="00340DF1"/>
    <w:rsid w:val="00342ECD"/>
    <w:rsid w:val="00342F57"/>
    <w:rsid w:val="003452A5"/>
    <w:rsid w:val="0035112F"/>
    <w:rsid w:val="003517F9"/>
    <w:rsid w:val="00351BA9"/>
    <w:rsid w:val="00353ECA"/>
    <w:rsid w:val="003542C4"/>
    <w:rsid w:val="00354F64"/>
    <w:rsid w:val="00354F8C"/>
    <w:rsid w:val="0035620E"/>
    <w:rsid w:val="003565AD"/>
    <w:rsid w:val="003575BE"/>
    <w:rsid w:val="00357FFA"/>
    <w:rsid w:val="00360141"/>
    <w:rsid w:val="00360345"/>
    <w:rsid w:val="00360D3D"/>
    <w:rsid w:val="00361371"/>
    <w:rsid w:val="00361A05"/>
    <w:rsid w:val="00361AEB"/>
    <w:rsid w:val="003624C4"/>
    <w:rsid w:val="003627B6"/>
    <w:rsid w:val="0036310C"/>
    <w:rsid w:val="00363B00"/>
    <w:rsid w:val="003654AC"/>
    <w:rsid w:val="00366464"/>
    <w:rsid w:val="00366518"/>
    <w:rsid w:val="00367F22"/>
    <w:rsid w:val="00371048"/>
    <w:rsid w:val="003710CF"/>
    <w:rsid w:val="00372A6D"/>
    <w:rsid w:val="0037358A"/>
    <w:rsid w:val="00373AA3"/>
    <w:rsid w:val="003750F6"/>
    <w:rsid w:val="003760FC"/>
    <w:rsid w:val="00376507"/>
    <w:rsid w:val="003769FB"/>
    <w:rsid w:val="00376C70"/>
    <w:rsid w:val="00381C00"/>
    <w:rsid w:val="00381D4F"/>
    <w:rsid w:val="0038240B"/>
    <w:rsid w:val="00382748"/>
    <w:rsid w:val="00383378"/>
    <w:rsid w:val="0038365C"/>
    <w:rsid w:val="0038369B"/>
    <w:rsid w:val="00383B78"/>
    <w:rsid w:val="003848D1"/>
    <w:rsid w:val="003850CF"/>
    <w:rsid w:val="00385A9D"/>
    <w:rsid w:val="00386602"/>
    <w:rsid w:val="00387121"/>
    <w:rsid w:val="00387F1C"/>
    <w:rsid w:val="003902B1"/>
    <w:rsid w:val="0039179C"/>
    <w:rsid w:val="00396896"/>
    <w:rsid w:val="00396B7E"/>
    <w:rsid w:val="00396F97"/>
    <w:rsid w:val="00396FD0"/>
    <w:rsid w:val="00397DB3"/>
    <w:rsid w:val="003A01DB"/>
    <w:rsid w:val="003A0598"/>
    <w:rsid w:val="003A1A7A"/>
    <w:rsid w:val="003A2392"/>
    <w:rsid w:val="003A2831"/>
    <w:rsid w:val="003A3CB6"/>
    <w:rsid w:val="003A3ED1"/>
    <w:rsid w:val="003A44DB"/>
    <w:rsid w:val="003A4C14"/>
    <w:rsid w:val="003A4C8B"/>
    <w:rsid w:val="003B0AA1"/>
    <w:rsid w:val="003B11CB"/>
    <w:rsid w:val="003B2AC1"/>
    <w:rsid w:val="003B36B0"/>
    <w:rsid w:val="003B3971"/>
    <w:rsid w:val="003B3A92"/>
    <w:rsid w:val="003B4AD9"/>
    <w:rsid w:val="003B55D1"/>
    <w:rsid w:val="003B59BB"/>
    <w:rsid w:val="003B5B61"/>
    <w:rsid w:val="003B61C6"/>
    <w:rsid w:val="003B6B50"/>
    <w:rsid w:val="003C05AE"/>
    <w:rsid w:val="003C1654"/>
    <w:rsid w:val="003C4D97"/>
    <w:rsid w:val="003C5231"/>
    <w:rsid w:val="003C5542"/>
    <w:rsid w:val="003C5FE6"/>
    <w:rsid w:val="003C6379"/>
    <w:rsid w:val="003C705D"/>
    <w:rsid w:val="003C73AD"/>
    <w:rsid w:val="003C74FC"/>
    <w:rsid w:val="003C7573"/>
    <w:rsid w:val="003C7B16"/>
    <w:rsid w:val="003C7C15"/>
    <w:rsid w:val="003C7D19"/>
    <w:rsid w:val="003C7D2F"/>
    <w:rsid w:val="003D01A7"/>
    <w:rsid w:val="003D0B82"/>
    <w:rsid w:val="003D0C5A"/>
    <w:rsid w:val="003D1828"/>
    <w:rsid w:val="003D1DE4"/>
    <w:rsid w:val="003D1E9A"/>
    <w:rsid w:val="003D2422"/>
    <w:rsid w:val="003D2AE4"/>
    <w:rsid w:val="003D39A1"/>
    <w:rsid w:val="003D3FBF"/>
    <w:rsid w:val="003D417B"/>
    <w:rsid w:val="003D4A30"/>
    <w:rsid w:val="003D56C4"/>
    <w:rsid w:val="003D6D5B"/>
    <w:rsid w:val="003D7452"/>
    <w:rsid w:val="003D7778"/>
    <w:rsid w:val="003D79BB"/>
    <w:rsid w:val="003D7C98"/>
    <w:rsid w:val="003D7D9D"/>
    <w:rsid w:val="003E0543"/>
    <w:rsid w:val="003E0794"/>
    <w:rsid w:val="003E0927"/>
    <w:rsid w:val="003E11D9"/>
    <w:rsid w:val="003E1422"/>
    <w:rsid w:val="003E174B"/>
    <w:rsid w:val="003E19BC"/>
    <w:rsid w:val="003E1CBA"/>
    <w:rsid w:val="003E2155"/>
    <w:rsid w:val="003E3C03"/>
    <w:rsid w:val="003E5406"/>
    <w:rsid w:val="003E5603"/>
    <w:rsid w:val="003E5B27"/>
    <w:rsid w:val="003E5F07"/>
    <w:rsid w:val="003E5FE9"/>
    <w:rsid w:val="003E6BAB"/>
    <w:rsid w:val="003E749E"/>
    <w:rsid w:val="003F0007"/>
    <w:rsid w:val="003F0858"/>
    <w:rsid w:val="003F2C10"/>
    <w:rsid w:val="003F2D46"/>
    <w:rsid w:val="003F4156"/>
    <w:rsid w:val="003F4F49"/>
    <w:rsid w:val="003F4F4D"/>
    <w:rsid w:val="003F56A6"/>
    <w:rsid w:val="003F5ADF"/>
    <w:rsid w:val="003F633E"/>
    <w:rsid w:val="003F6B68"/>
    <w:rsid w:val="003F79F7"/>
    <w:rsid w:val="00400A48"/>
    <w:rsid w:val="00400B29"/>
    <w:rsid w:val="00402812"/>
    <w:rsid w:val="004046C8"/>
    <w:rsid w:val="0040504B"/>
    <w:rsid w:val="004059F4"/>
    <w:rsid w:val="00406D14"/>
    <w:rsid w:val="00407DE2"/>
    <w:rsid w:val="00407FE5"/>
    <w:rsid w:val="004101B0"/>
    <w:rsid w:val="00410326"/>
    <w:rsid w:val="00410708"/>
    <w:rsid w:val="00410D20"/>
    <w:rsid w:val="00410EC7"/>
    <w:rsid w:val="00411049"/>
    <w:rsid w:val="00411264"/>
    <w:rsid w:val="00411406"/>
    <w:rsid w:val="00411B39"/>
    <w:rsid w:val="00411C19"/>
    <w:rsid w:val="0041200A"/>
    <w:rsid w:val="00412723"/>
    <w:rsid w:val="004127A7"/>
    <w:rsid w:val="004129B5"/>
    <w:rsid w:val="00412F4E"/>
    <w:rsid w:val="00413A1E"/>
    <w:rsid w:val="00414476"/>
    <w:rsid w:val="00414607"/>
    <w:rsid w:val="004146A5"/>
    <w:rsid w:val="00414C2E"/>
    <w:rsid w:val="004151CF"/>
    <w:rsid w:val="00415396"/>
    <w:rsid w:val="00416364"/>
    <w:rsid w:val="0041696A"/>
    <w:rsid w:val="00416AB8"/>
    <w:rsid w:val="0042047F"/>
    <w:rsid w:val="00420AA6"/>
    <w:rsid w:val="00420B9F"/>
    <w:rsid w:val="0042192C"/>
    <w:rsid w:val="00422260"/>
    <w:rsid w:val="00422AE4"/>
    <w:rsid w:val="0042413F"/>
    <w:rsid w:val="00424BDE"/>
    <w:rsid w:val="004250AB"/>
    <w:rsid w:val="00427002"/>
    <w:rsid w:val="0042772C"/>
    <w:rsid w:val="00430A21"/>
    <w:rsid w:val="004319F8"/>
    <w:rsid w:val="00431B1D"/>
    <w:rsid w:val="00431E55"/>
    <w:rsid w:val="00431EAE"/>
    <w:rsid w:val="004321F6"/>
    <w:rsid w:val="004323CE"/>
    <w:rsid w:val="00433044"/>
    <w:rsid w:val="00433ACE"/>
    <w:rsid w:val="00434088"/>
    <w:rsid w:val="0043434F"/>
    <w:rsid w:val="00435CE0"/>
    <w:rsid w:val="004375B9"/>
    <w:rsid w:val="00437714"/>
    <w:rsid w:val="004377F2"/>
    <w:rsid w:val="00440A89"/>
    <w:rsid w:val="00440D8E"/>
    <w:rsid w:val="004428D0"/>
    <w:rsid w:val="00442C59"/>
    <w:rsid w:val="00442D6D"/>
    <w:rsid w:val="00444185"/>
    <w:rsid w:val="004443A7"/>
    <w:rsid w:val="0044442C"/>
    <w:rsid w:val="00444AA0"/>
    <w:rsid w:val="0044566E"/>
    <w:rsid w:val="00445941"/>
    <w:rsid w:val="004464EB"/>
    <w:rsid w:val="004477A9"/>
    <w:rsid w:val="00447D26"/>
    <w:rsid w:val="00447DFC"/>
    <w:rsid w:val="0045212B"/>
    <w:rsid w:val="00452BA4"/>
    <w:rsid w:val="004537B1"/>
    <w:rsid w:val="0045385A"/>
    <w:rsid w:val="004557DC"/>
    <w:rsid w:val="00455D45"/>
    <w:rsid w:val="00460942"/>
    <w:rsid w:val="00460C1F"/>
    <w:rsid w:val="00464595"/>
    <w:rsid w:val="0046512F"/>
    <w:rsid w:val="004658B5"/>
    <w:rsid w:val="00465F75"/>
    <w:rsid w:val="00467D98"/>
    <w:rsid w:val="00467DFC"/>
    <w:rsid w:val="004712CA"/>
    <w:rsid w:val="0047150A"/>
    <w:rsid w:val="00471EA5"/>
    <w:rsid w:val="004729C6"/>
    <w:rsid w:val="00472A79"/>
    <w:rsid w:val="0047314E"/>
    <w:rsid w:val="00473F19"/>
    <w:rsid w:val="00475C51"/>
    <w:rsid w:val="00475C92"/>
    <w:rsid w:val="00475E22"/>
    <w:rsid w:val="00476AFB"/>
    <w:rsid w:val="004800AD"/>
    <w:rsid w:val="0048088E"/>
    <w:rsid w:val="00480C6D"/>
    <w:rsid w:val="00480F2B"/>
    <w:rsid w:val="00480FA0"/>
    <w:rsid w:val="0048135D"/>
    <w:rsid w:val="00482720"/>
    <w:rsid w:val="00482AA9"/>
    <w:rsid w:val="004835E7"/>
    <w:rsid w:val="00484513"/>
    <w:rsid w:val="00484E11"/>
    <w:rsid w:val="004859E1"/>
    <w:rsid w:val="0048652F"/>
    <w:rsid w:val="004867E2"/>
    <w:rsid w:val="00490844"/>
    <w:rsid w:val="00490B17"/>
    <w:rsid w:val="00491B3A"/>
    <w:rsid w:val="00491E08"/>
    <w:rsid w:val="00492CFD"/>
    <w:rsid w:val="004938F8"/>
    <w:rsid w:val="00493D50"/>
    <w:rsid w:val="00494207"/>
    <w:rsid w:val="00494258"/>
    <w:rsid w:val="00494DD5"/>
    <w:rsid w:val="004962D2"/>
    <w:rsid w:val="00496E6F"/>
    <w:rsid w:val="004972C9"/>
    <w:rsid w:val="004A0DA1"/>
    <w:rsid w:val="004A13D6"/>
    <w:rsid w:val="004A4528"/>
    <w:rsid w:val="004A5010"/>
    <w:rsid w:val="004A52E9"/>
    <w:rsid w:val="004A6040"/>
    <w:rsid w:val="004A6597"/>
    <w:rsid w:val="004A67F4"/>
    <w:rsid w:val="004A7848"/>
    <w:rsid w:val="004A793B"/>
    <w:rsid w:val="004A7FCA"/>
    <w:rsid w:val="004B0994"/>
    <w:rsid w:val="004B18F0"/>
    <w:rsid w:val="004B1CB4"/>
    <w:rsid w:val="004B2438"/>
    <w:rsid w:val="004B2F18"/>
    <w:rsid w:val="004B3DDB"/>
    <w:rsid w:val="004B44FD"/>
    <w:rsid w:val="004B48A6"/>
    <w:rsid w:val="004B5CFC"/>
    <w:rsid w:val="004B6DC6"/>
    <w:rsid w:val="004B6F79"/>
    <w:rsid w:val="004B774D"/>
    <w:rsid w:val="004B7EFA"/>
    <w:rsid w:val="004C170D"/>
    <w:rsid w:val="004C2286"/>
    <w:rsid w:val="004C29E0"/>
    <w:rsid w:val="004C2AC2"/>
    <w:rsid w:val="004C46A0"/>
    <w:rsid w:val="004C4AED"/>
    <w:rsid w:val="004C4DA5"/>
    <w:rsid w:val="004C4EAC"/>
    <w:rsid w:val="004D1657"/>
    <w:rsid w:val="004D2C2D"/>
    <w:rsid w:val="004D2C63"/>
    <w:rsid w:val="004D2D44"/>
    <w:rsid w:val="004D2F2A"/>
    <w:rsid w:val="004D34FD"/>
    <w:rsid w:val="004D49D2"/>
    <w:rsid w:val="004D4E5C"/>
    <w:rsid w:val="004D5EFC"/>
    <w:rsid w:val="004D5FF7"/>
    <w:rsid w:val="004D69B5"/>
    <w:rsid w:val="004D7227"/>
    <w:rsid w:val="004D7B5E"/>
    <w:rsid w:val="004E02ED"/>
    <w:rsid w:val="004E0E7F"/>
    <w:rsid w:val="004E0EB8"/>
    <w:rsid w:val="004E16D7"/>
    <w:rsid w:val="004E18E9"/>
    <w:rsid w:val="004E1F38"/>
    <w:rsid w:val="004E21DF"/>
    <w:rsid w:val="004E2ADC"/>
    <w:rsid w:val="004E43B2"/>
    <w:rsid w:val="004E4E37"/>
    <w:rsid w:val="004E6AB9"/>
    <w:rsid w:val="004E6E74"/>
    <w:rsid w:val="004F13ED"/>
    <w:rsid w:val="004F1D02"/>
    <w:rsid w:val="004F22FB"/>
    <w:rsid w:val="004F2679"/>
    <w:rsid w:val="004F2F21"/>
    <w:rsid w:val="004F329B"/>
    <w:rsid w:val="004F3445"/>
    <w:rsid w:val="004F3DE5"/>
    <w:rsid w:val="004F3FE6"/>
    <w:rsid w:val="004F6913"/>
    <w:rsid w:val="004F749C"/>
    <w:rsid w:val="004F773E"/>
    <w:rsid w:val="004F7865"/>
    <w:rsid w:val="004F79FC"/>
    <w:rsid w:val="005011E6"/>
    <w:rsid w:val="0050174E"/>
    <w:rsid w:val="00501854"/>
    <w:rsid w:val="0050214C"/>
    <w:rsid w:val="0050219B"/>
    <w:rsid w:val="00502F24"/>
    <w:rsid w:val="0050391A"/>
    <w:rsid w:val="00503F17"/>
    <w:rsid w:val="00503F3A"/>
    <w:rsid w:val="00504005"/>
    <w:rsid w:val="005040EE"/>
    <w:rsid w:val="00504D00"/>
    <w:rsid w:val="00504DDE"/>
    <w:rsid w:val="00505896"/>
    <w:rsid w:val="00506928"/>
    <w:rsid w:val="00506932"/>
    <w:rsid w:val="005077EF"/>
    <w:rsid w:val="00511076"/>
    <w:rsid w:val="0051144F"/>
    <w:rsid w:val="00511AD5"/>
    <w:rsid w:val="00511DC7"/>
    <w:rsid w:val="005122BE"/>
    <w:rsid w:val="00513EA4"/>
    <w:rsid w:val="00513EF0"/>
    <w:rsid w:val="005142C5"/>
    <w:rsid w:val="0051500A"/>
    <w:rsid w:val="0051501B"/>
    <w:rsid w:val="005152B5"/>
    <w:rsid w:val="00515886"/>
    <w:rsid w:val="00515CA0"/>
    <w:rsid w:val="005200FC"/>
    <w:rsid w:val="005203C1"/>
    <w:rsid w:val="00520E4B"/>
    <w:rsid w:val="0052123C"/>
    <w:rsid w:val="00521319"/>
    <w:rsid w:val="005226D5"/>
    <w:rsid w:val="00522BC8"/>
    <w:rsid w:val="00523C28"/>
    <w:rsid w:val="00524A29"/>
    <w:rsid w:val="0052781F"/>
    <w:rsid w:val="00527C8F"/>
    <w:rsid w:val="00527ED0"/>
    <w:rsid w:val="00530E69"/>
    <w:rsid w:val="0053121F"/>
    <w:rsid w:val="0053176B"/>
    <w:rsid w:val="005325C8"/>
    <w:rsid w:val="00532766"/>
    <w:rsid w:val="005341B3"/>
    <w:rsid w:val="00536F42"/>
    <w:rsid w:val="00537182"/>
    <w:rsid w:val="0054065D"/>
    <w:rsid w:val="00541EDD"/>
    <w:rsid w:val="00541EDF"/>
    <w:rsid w:val="00542142"/>
    <w:rsid w:val="00542400"/>
    <w:rsid w:val="00542743"/>
    <w:rsid w:val="00542C2D"/>
    <w:rsid w:val="00542D69"/>
    <w:rsid w:val="005430C7"/>
    <w:rsid w:val="00543368"/>
    <w:rsid w:val="00543513"/>
    <w:rsid w:val="0054352B"/>
    <w:rsid w:val="005448DF"/>
    <w:rsid w:val="005478BD"/>
    <w:rsid w:val="005479E3"/>
    <w:rsid w:val="00547E33"/>
    <w:rsid w:val="005500D4"/>
    <w:rsid w:val="00551194"/>
    <w:rsid w:val="00551985"/>
    <w:rsid w:val="0055266B"/>
    <w:rsid w:val="005527FA"/>
    <w:rsid w:val="00552B8A"/>
    <w:rsid w:val="00552BD3"/>
    <w:rsid w:val="00552E77"/>
    <w:rsid w:val="005532A0"/>
    <w:rsid w:val="00554293"/>
    <w:rsid w:val="00554413"/>
    <w:rsid w:val="00554D29"/>
    <w:rsid w:val="00554F12"/>
    <w:rsid w:val="00555109"/>
    <w:rsid w:val="00556444"/>
    <w:rsid w:val="00556B35"/>
    <w:rsid w:val="0055741A"/>
    <w:rsid w:val="00557B2B"/>
    <w:rsid w:val="005604E5"/>
    <w:rsid w:val="005611B7"/>
    <w:rsid w:val="00561683"/>
    <w:rsid w:val="005618D4"/>
    <w:rsid w:val="00561CAE"/>
    <w:rsid w:val="0056213B"/>
    <w:rsid w:val="005624C9"/>
    <w:rsid w:val="00564669"/>
    <w:rsid w:val="00564867"/>
    <w:rsid w:val="00565338"/>
    <w:rsid w:val="005653D3"/>
    <w:rsid w:val="00565C79"/>
    <w:rsid w:val="00565DF0"/>
    <w:rsid w:val="0056696F"/>
    <w:rsid w:val="0057128C"/>
    <w:rsid w:val="00571CB6"/>
    <w:rsid w:val="00572269"/>
    <w:rsid w:val="0057244A"/>
    <w:rsid w:val="00572F26"/>
    <w:rsid w:val="005750C5"/>
    <w:rsid w:val="005752DE"/>
    <w:rsid w:val="00575AA1"/>
    <w:rsid w:val="00575D60"/>
    <w:rsid w:val="00575D8D"/>
    <w:rsid w:val="00576972"/>
    <w:rsid w:val="00577248"/>
    <w:rsid w:val="005775AC"/>
    <w:rsid w:val="00577D17"/>
    <w:rsid w:val="00580D8A"/>
    <w:rsid w:val="00583699"/>
    <w:rsid w:val="005850E4"/>
    <w:rsid w:val="00585CDD"/>
    <w:rsid w:val="00586534"/>
    <w:rsid w:val="00587058"/>
    <w:rsid w:val="00587CA9"/>
    <w:rsid w:val="00590B40"/>
    <w:rsid w:val="00591957"/>
    <w:rsid w:val="00591C41"/>
    <w:rsid w:val="00592188"/>
    <w:rsid w:val="0059282F"/>
    <w:rsid w:val="00592D9F"/>
    <w:rsid w:val="005936E3"/>
    <w:rsid w:val="00593ACB"/>
    <w:rsid w:val="00596F2D"/>
    <w:rsid w:val="00597BF9"/>
    <w:rsid w:val="005A0429"/>
    <w:rsid w:val="005A0C11"/>
    <w:rsid w:val="005A0EA7"/>
    <w:rsid w:val="005A12FC"/>
    <w:rsid w:val="005A1CBA"/>
    <w:rsid w:val="005A23C1"/>
    <w:rsid w:val="005A309A"/>
    <w:rsid w:val="005A373D"/>
    <w:rsid w:val="005A5235"/>
    <w:rsid w:val="005A6FF1"/>
    <w:rsid w:val="005B0B58"/>
    <w:rsid w:val="005B1163"/>
    <w:rsid w:val="005B4E53"/>
    <w:rsid w:val="005B5857"/>
    <w:rsid w:val="005B6766"/>
    <w:rsid w:val="005B6CA7"/>
    <w:rsid w:val="005C098E"/>
    <w:rsid w:val="005C0ED9"/>
    <w:rsid w:val="005C19C4"/>
    <w:rsid w:val="005C1B83"/>
    <w:rsid w:val="005C22D1"/>
    <w:rsid w:val="005C25FF"/>
    <w:rsid w:val="005C2D55"/>
    <w:rsid w:val="005C346B"/>
    <w:rsid w:val="005C4021"/>
    <w:rsid w:val="005C5ABC"/>
    <w:rsid w:val="005C71B2"/>
    <w:rsid w:val="005C7239"/>
    <w:rsid w:val="005D033C"/>
    <w:rsid w:val="005D044D"/>
    <w:rsid w:val="005D0858"/>
    <w:rsid w:val="005D0ABD"/>
    <w:rsid w:val="005D18AD"/>
    <w:rsid w:val="005D24ED"/>
    <w:rsid w:val="005D26B4"/>
    <w:rsid w:val="005D31CE"/>
    <w:rsid w:val="005D3D98"/>
    <w:rsid w:val="005D4D83"/>
    <w:rsid w:val="005D62AF"/>
    <w:rsid w:val="005D78C7"/>
    <w:rsid w:val="005E18C0"/>
    <w:rsid w:val="005E1995"/>
    <w:rsid w:val="005E1A25"/>
    <w:rsid w:val="005E2174"/>
    <w:rsid w:val="005E23B9"/>
    <w:rsid w:val="005E4454"/>
    <w:rsid w:val="005E6CBC"/>
    <w:rsid w:val="005E70B4"/>
    <w:rsid w:val="005E72FF"/>
    <w:rsid w:val="005E73C0"/>
    <w:rsid w:val="005E761B"/>
    <w:rsid w:val="005F065D"/>
    <w:rsid w:val="005F07ED"/>
    <w:rsid w:val="005F2706"/>
    <w:rsid w:val="005F4C09"/>
    <w:rsid w:val="005F5745"/>
    <w:rsid w:val="005F6A45"/>
    <w:rsid w:val="005F6A8F"/>
    <w:rsid w:val="005F6BB7"/>
    <w:rsid w:val="005F7588"/>
    <w:rsid w:val="00601247"/>
    <w:rsid w:val="006021BD"/>
    <w:rsid w:val="00602E83"/>
    <w:rsid w:val="00603C4D"/>
    <w:rsid w:val="00603DB9"/>
    <w:rsid w:val="006046A9"/>
    <w:rsid w:val="00604794"/>
    <w:rsid w:val="006055BF"/>
    <w:rsid w:val="00605B76"/>
    <w:rsid w:val="00606CB4"/>
    <w:rsid w:val="00606FBA"/>
    <w:rsid w:val="0060703F"/>
    <w:rsid w:val="00607669"/>
    <w:rsid w:val="006076F4"/>
    <w:rsid w:val="00607AFD"/>
    <w:rsid w:val="00610ED6"/>
    <w:rsid w:val="00611B12"/>
    <w:rsid w:val="00612A7A"/>
    <w:rsid w:val="00612F97"/>
    <w:rsid w:val="0061302A"/>
    <w:rsid w:val="0061345D"/>
    <w:rsid w:val="00614D11"/>
    <w:rsid w:val="0061549B"/>
    <w:rsid w:val="00616802"/>
    <w:rsid w:val="0061730F"/>
    <w:rsid w:val="00617E12"/>
    <w:rsid w:val="00620218"/>
    <w:rsid w:val="0062054C"/>
    <w:rsid w:val="006205EF"/>
    <w:rsid w:val="00620C25"/>
    <w:rsid w:val="00620DC2"/>
    <w:rsid w:val="00621477"/>
    <w:rsid w:val="00621ADA"/>
    <w:rsid w:val="00622E97"/>
    <w:rsid w:val="00623260"/>
    <w:rsid w:val="00623F7B"/>
    <w:rsid w:val="0062424A"/>
    <w:rsid w:val="00624295"/>
    <w:rsid w:val="006245ED"/>
    <w:rsid w:val="00624BD4"/>
    <w:rsid w:val="00626049"/>
    <w:rsid w:val="0062645C"/>
    <w:rsid w:val="00626791"/>
    <w:rsid w:val="00627338"/>
    <w:rsid w:val="00630A5A"/>
    <w:rsid w:val="0063158F"/>
    <w:rsid w:val="00631D6B"/>
    <w:rsid w:val="00632183"/>
    <w:rsid w:val="00632A5B"/>
    <w:rsid w:val="006330A1"/>
    <w:rsid w:val="006346E8"/>
    <w:rsid w:val="0063479F"/>
    <w:rsid w:val="006353F0"/>
    <w:rsid w:val="006357B5"/>
    <w:rsid w:val="006364A1"/>
    <w:rsid w:val="0063678E"/>
    <w:rsid w:val="00636811"/>
    <w:rsid w:val="00637BFD"/>
    <w:rsid w:val="00637C5C"/>
    <w:rsid w:val="006410B3"/>
    <w:rsid w:val="00641C4E"/>
    <w:rsid w:val="00641FB3"/>
    <w:rsid w:val="0064228E"/>
    <w:rsid w:val="0064434C"/>
    <w:rsid w:val="00646745"/>
    <w:rsid w:val="006471CC"/>
    <w:rsid w:val="006472FE"/>
    <w:rsid w:val="00647A29"/>
    <w:rsid w:val="00647CB6"/>
    <w:rsid w:val="00647D9B"/>
    <w:rsid w:val="0065079F"/>
    <w:rsid w:val="00650C90"/>
    <w:rsid w:val="00652A28"/>
    <w:rsid w:val="00652DF3"/>
    <w:rsid w:val="0065379F"/>
    <w:rsid w:val="00653A6B"/>
    <w:rsid w:val="0065415E"/>
    <w:rsid w:val="00654C68"/>
    <w:rsid w:val="00656188"/>
    <w:rsid w:val="0065715A"/>
    <w:rsid w:val="00657340"/>
    <w:rsid w:val="00657A8B"/>
    <w:rsid w:val="00660037"/>
    <w:rsid w:val="00660133"/>
    <w:rsid w:val="006610F1"/>
    <w:rsid w:val="00661C6B"/>
    <w:rsid w:val="006623AF"/>
    <w:rsid w:val="00662D3E"/>
    <w:rsid w:val="006632D8"/>
    <w:rsid w:val="0066357F"/>
    <w:rsid w:val="006655B4"/>
    <w:rsid w:val="00665934"/>
    <w:rsid w:val="00665A31"/>
    <w:rsid w:val="00666291"/>
    <w:rsid w:val="006669AD"/>
    <w:rsid w:val="00666D38"/>
    <w:rsid w:val="00667BE3"/>
    <w:rsid w:val="00667D20"/>
    <w:rsid w:val="0067020B"/>
    <w:rsid w:val="00671004"/>
    <w:rsid w:val="00671064"/>
    <w:rsid w:val="00672646"/>
    <w:rsid w:val="00674322"/>
    <w:rsid w:val="00674E42"/>
    <w:rsid w:val="006753B3"/>
    <w:rsid w:val="006753C1"/>
    <w:rsid w:val="0067645F"/>
    <w:rsid w:val="00676563"/>
    <w:rsid w:val="00676949"/>
    <w:rsid w:val="00676FCB"/>
    <w:rsid w:val="006777EA"/>
    <w:rsid w:val="00680148"/>
    <w:rsid w:val="006805C5"/>
    <w:rsid w:val="00680C00"/>
    <w:rsid w:val="006813F8"/>
    <w:rsid w:val="006817EB"/>
    <w:rsid w:val="00682112"/>
    <w:rsid w:val="006822BD"/>
    <w:rsid w:val="00682BA6"/>
    <w:rsid w:val="006832F5"/>
    <w:rsid w:val="0068351B"/>
    <w:rsid w:val="006835DD"/>
    <w:rsid w:val="00684A5C"/>
    <w:rsid w:val="0068562F"/>
    <w:rsid w:val="0068594D"/>
    <w:rsid w:val="00686957"/>
    <w:rsid w:val="006872BA"/>
    <w:rsid w:val="00690795"/>
    <w:rsid w:val="00691648"/>
    <w:rsid w:val="006917D7"/>
    <w:rsid w:val="00692E64"/>
    <w:rsid w:val="0069434C"/>
    <w:rsid w:val="00694F44"/>
    <w:rsid w:val="00695407"/>
    <w:rsid w:val="00696E5C"/>
    <w:rsid w:val="00696EF9"/>
    <w:rsid w:val="00696F51"/>
    <w:rsid w:val="00697272"/>
    <w:rsid w:val="006979A5"/>
    <w:rsid w:val="006A016F"/>
    <w:rsid w:val="006A0CF4"/>
    <w:rsid w:val="006A0D22"/>
    <w:rsid w:val="006A0DF7"/>
    <w:rsid w:val="006A3BF2"/>
    <w:rsid w:val="006A3CC5"/>
    <w:rsid w:val="006A3D88"/>
    <w:rsid w:val="006A4321"/>
    <w:rsid w:val="006A43D9"/>
    <w:rsid w:val="006A4652"/>
    <w:rsid w:val="006A49DA"/>
    <w:rsid w:val="006A6B99"/>
    <w:rsid w:val="006A71DA"/>
    <w:rsid w:val="006A74CA"/>
    <w:rsid w:val="006A7E5F"/>
    <w:rsid w:val="006B03CD"/>
    <w:rsid w:val="006B2269"/>
    <w:rsid w:val="006B261B"/>
    <w:rsid w:val="006B262D"/>
    <w:rsid w:val="006B26BF"/>
    <w:rsid w:val="006B27C8"/>
    <w:rsid w:val="006B2C90"/>
    <w:rsid w:val="006B35E6"/>
    <w:rsid w:val="006B465A"/>
    <w:rsid w:val="006B478F"/>
    <w:rsid w:val="006B5699"/>
    <w:rsid w:val="006B64FB"/>
    <w:rsid w:val="006B6D42"/>
    <w:rsid w:val="006B6DD0"/>
    <w:rsid w:val="006C0399"/>
    <w:rsid w:val="006C0C87"/>
    <w:rsid w:val="006C2A8E"/>
    <w:rsid w:val="006C3255"/>
    <w:rsid w:val="006C32D3"/>
    <w:rsid w:val="006C3F26"/>
    <w:rsid w:val="006C6BDF"/>
    <w:rsid w:val="006C7C1F"/>
    <w:rsid w:val="006D0150"/>
    <w:rsid w:val="006D0520"/>
    <w:rsid w:val="006D0BCD"/>
    <w:rsid w:val="006D0D17"/>
    <w:rsid w:val="006D0EBE"/>
    <w:rsid w:val="006D3C4C"/>
    <w:rsid w:val="006D3C7D"/>
    <w:rsid w:val="006D4659"/>
    <w:rsid w:val="006D466A"/>
    <w:rsid w:val="006D5C52"/>
    <w:rsid w:val="006D5CC4"/>
    <w:rsid w:val="006D5D5F"/>
    <w:rsid w:val="006D5DD3"/>
    <w:rsid w:val="006D68FB"/>
    <w:rsid w:val="006E2868"/>
    <w:rsid w:val="006E5EFD"/>
    <w:rsid w:val="006E686F"/>
    <w:rsid w:val="006E6D12"/>
    <w:rsid w:val="006F001B"/>
    <w:rsid w:val="006F306C"/>
    <w:rsid w:val="006F3955"/>
    <w:rsid w:val="006F4FA3"/>
    <w:rsid w:val="006F50AB"/>
    <w:rsid w:val="006F5BB1"/>
    <w:rsid w:val="006F63A5"/>
    <w:rsid w:val="006F68C1"/>
    <w:rsid w:val="006F6F52"/>
    <w:rsid w:val="006F773B"/>
    <w:rsid w:val="006F7C59"/>
    <w:rsid w:val="0070142B"/>
    <w:rsid w:val="00702423"/>
    <w:rsid w:val="0070276E"/>
    <w:rsid w:val="00702F8F"/>
    <w:rsid w:val="007037B1"/>
    <w:rsid w:val="00704B74"/>
    <w:rsid w:val="00705871"/>
    <w:rsid w:val="007079FC"/>
    <w:rsid w:val="00710380"/>
    <w:rsid w:val="00710AA0"/>
    <w:rsid w:val="0071177E"/>
    <w:rsid w:val="00711A36"/>
    <w:rsid w:val="007122BA"/>
    <w:rsid w:val="007125D3"/>
    <w:rsid w:val="00713F8E"/>
    <w:rsid w:val="00714C26"/>
    <w:rsid w:val="00714E29"/>
    <w:rsid w:val="0071529C"/>
    <w:rsid w:val="007153DC"/>
    <w:rsid w:val="00715400"/>
    <w:rsid w:val="00715965"/>
    <w:rsid w:val="007161F1"/>
    <w:rsid w:val="00716F61"/>
    <w:rsid w:val="007170DA"/>
    <w:rsid w:val="00717109"/>
    <w:rsid w:val="007172AD"/>
    <w:rsid w:val="00717546"/>
    <w:rsid w:val="00717F72"/>
    <w:rsid w:val="007206DF"/>
    <w:rsid w:val="00720801"/>
    <w:rsid w:val="007209EF"/>
    <w:rsid w:val="00722B1B"/>
    <w:rsid w:val="0072416F"/>
    <w:rsid w:val="0072493A"/>
    <w:rsid w:val="00724CC1"/>
    <w:rsid w:val="00725270"/>
    <w:rsid w:val="007259EA"/>
    <w:rsid w:val="00725DEF"/>
    <w:rsid w:val="00725F11"/>
    <w:rsid w:val="0072626F"/>
    <w:rsid w:val="00726BC0"/>
    <w:rsid w:val="00727C94"/>
    <w:rsid w:val="00731632"/>
    <w:rsid w:val="00731B0A"/>
    <w:rsid w:val="00731C2C"/>
    <w:rsid w:val="00731EAE"/>
    <w:rsid w:val="00733073"/>
    <w:rsid w:val="007331B6"/>
    <w:rsid w:val="007347DB"/>
    <w:rsid w:val="00735033"/>
    <w:rsid w:val="00735328"/>
    <w:rsid w:val="00736431"/>
    <w:rsid w:val="0073685B"/>
    <w:rsid w:val="007378A2"/>
    <w:rsid w:val="007408E2"/>
    <w:rsid w:val="00743403"/>
    <w:rsid w:val="007438EC"/>
    <w:rsid w:val="00743DDF"/>
    <w:rsid w:val="0074434D"/>
    <w:rsid w:val="007449BF"/>
    <w:rsid w:val="00744E80"/>
    <w:rsid w:val="00745FCC"/>
    <w:rsid w:val="007463FE"/>
    <w:rsid w:val="00746A52"/>
    <w:rsid w:val="00746BC0"/>
    <w:rsid w:val="00750621"/>
    <w:rsid w:val="00750CF1"/>
    <w:rsid w:val="007510B4"/>
    <w:rsid w:val="0075173F"/>
    <w:rsid w:val="00752142"/>
    <w:rsid w:val="007523F9"/>
    <w:rsid w:val="00752948"/>
    <w:rsid w:val="0075357E"/>
    <w:rsid w:val="00753B29"/>
    <w:rsid w:val="00755245"/>
    <w:rsid w:val="00756B72"/>
    <w:rsid w:val="007573E8"/>
    <w:rsid w:val="007575F2"/>
    <w:rsid w:val="00757B37"/>
    <w:rsid w:val="007607BE"/>
    <w:rsid w:val="00760C4E"/>
    <w:rsid w:val="00760F9E"/>
    <w:rsid w:val="007616E6"/>
    <w:rsid w:val="007618BE"/>
    <w:rsid w:val="007627BE"/>
    <w:rsid w:val="00764179"/>
    <w:rsid w:val="007649CB"/>
    <w:rsid w:val="00764F03"/>
    <w:rsid w:val="00765B1A"/>
    <w:rsid w:val="00765DC1"/>
    <w:rsid w:val="007661CD"/>
    <w:rsid w:val="00766E9F"/>
    <w:rsid w:val="007722A7"/>
    <w:rsid w:val="00773CCD"/>
    <w:rsid w:val="00774C6A"/>
    <w:rsid w:val="00776FCA"/>
    <w:rsid w:val="0077704A"/>
    <w:rsid w:val="00777335"/>
    <w:rsid w:val="0078022B"/>
    <w:rsid w:val="00780DDC"/>
    <w:rsid w:val="007843F2"/>
    <w:rsid w:val="007846FA"/>
    <w:rsid w:val="007857DE"/>
    <w:rsid w:val="00785A9F"/>
    <w:rsid w:val="00786866"/>
    <w:rsid w:val="00791095"/>
    <w:rsid w:val="007925DF"/>
    <w:rsid w:val="00795F88"/>
    <w:rsid w:val="00796934"/>
    <w:rsid w:val="00797CF8"/>
    <w:rsid w:val="007A08AA"/>
    <w:rsid w:val="007A0A12"/>
    <w:rsid w:val="007A132D"/>
    <w:rsid w:val="007A1345"/>
    <w:rsid w:val="007A13F3"/>
    <w:rsid w:val="007A1EE7"/>
    <w:rsid w:val="007A278F"/>
    <w:rsid w:val="007A2DDB"/>
    <w:rsid w:val="007A33F9"/>
    <w:rsid w:val="007A68CE"/>
    <w:rsid w:val="007A70BA"/>
    <w:rsid w:val="007B05C3"/>
    <w:rsid w:val="007B0B85"/>
    <w:rsid w:val="007B0D68"/>
    <w:rsid w:val="007B1FF1"/>
    <w:rsid w:val="007B251D"/>
    <w:rsid w:val="007B2E9F"/>
    <w:rsid w:val="007B3533"/>
    <w:rsid w:val="007B4F58"/>
    <w:rsid w:val="007B5148"/>
    <w:rsid w:val="007B5237"/>
    <w:rsid w:val="007B528D"/>
    <w:rsid w:val="007B63CA"/>
    <w:rsid w:val="007B67C1"/>
    <w:rsid w:val="007B77D1"/>
    <w:rsid w:val="007C0553"/>
    <w:rsid w:val="007C07C7"/>
    <w:rsid w:val="007C0F3D"/>
    <w:rsid w:val="007C1CD9"/>
    <w:rsid w:val="007C28D9"/>
    <w:rsid w:val="007C2CDD"/>
    <w:rsid w:val="007C32EF"/>
    <w:rsid w:val="007C361D"/>
    <w:rsid w:val="007C4478"/>
    <w:rsid w:val="007C4B84"/>
    <w:rsid w:val="007C4F4D"/>
    <w:rsid w:val="007C5B40"/>
    <w:rsid w:val="007C70FF"/>
    <w:rsid w:val="007C7576"/>
    <w:rsid w:val="007C79ED"/>
    <w:rsid w:val="007C7C25"/>
    <w:rsid w:val="007D004F"/>
    <w:rsid w:val="007D035F"/>
    <w:rsid w:val="007D06B2"/>
    <w:rsid w:val="007D0B38"/>
    <w:rsid w:val="007D2B99"/>
    <w:rsid w:val="007D3CD1"/>
    <w:rsid w:val="007D5440"/>
    <w:rsid w:val="007D69EB"/>
    <w:rsid w:val="007D6E38"/>
    <w:rsid w:val="007E0B9C"/>
    <w:rsid w:val="007E128F"/>
    <w:rsid w:val="007E2EC5"/>
    <w:rsid w:val="007E5D28"/>
    <w:rsid w:val="007E6181"/>
    <w:rsid w:val="007E74FF"/>
    <w:rsid w:val="007E7524"/>
    <w:rsid w:val="007E7EEF"/>
    <w:rsid w:val="007F1017"/>
    <w:rsid w:val="007F2F78"/>
    <w:rsid w:val="007F3D3B"/>
    <w:rsid w:val="007F4A3F"/>
    <w:rsid w:val="007F4A61"/>
    <w:rsid w:val="007F5255"/>
    <w:rsid w:val="007F56CC"/>
    <w:rsid w:val="007F572E"/>
    <w:rsid w:val="007F61C2"/>
    <w:rsid w:val="007F74FB"/>
    <w:rsid w:val="00801077"/>
    <w:rsid w:val="008012A3"/>
    <w:rsid w:val="008018F1"/>
    <w:rsid w:val="00802F7B"/>
    <w:rsid w:val="008041C2"/>
    <w:rsid w:val="008044C9"/>
    <w:rsid w:val="00804BB9"/>
    <w:rsid w:val="00805142"/>
    <w:rsid w:val="00805AE4"/>
    <w:rsid w:val="00805FCE"/>
    <w:rsid w:val="00806827"/>
    <w:rsid w:val="00807A8B"/>
    <w:rsid w:val="00811383"/>
    <w:rsid w:val="00811F8E"/>
    <w:rsid w:val="00812149"/>
    <w:rsid w:val="00812CAC"/>
    <w:rsid w:val="008134F5"/>
    <w:rsid w:val="00813CAC"/>
    <w:rsid w:val="00815886"/>
    <w:rsid w:val="00816361"/>
    <w:rsid w:val="008166EF"/>
    <w:rsid w:val="008169C5"/>
    <w:rsid w:val="008169E3"/>
    <w:rsid w:val="00816FEF"/>
    <w:rsid w:val="008174D6"/>
    <w:rsid w:val="00820A8C"/>
    <w:rsid w:val="008215FB"/>
    <w:rsid w:val="00821C1E"/>
    <w:rsid w:val="008220CC"/>
    <w:rsid w:val="00823174"/>
    <w:rsid w:val="00823444"/>
    <w:rsid w:val="00824743"/>
    <w:rsid w:val="0082538B"/>
    <w:rsid w:val="00825751"/>
    <w:rsid w:val="00825989"/>
    <w:rsid w:val="00825CF8"/>
    <w:rsid w:val="008264EB"/>
    <w:rsid w:val="008268A5"/>
    <w:rsid w:val="008268CE"/>
    <w:rsid w:val="0082799E"/>
    <w:rsid w:val="00827C23"/>
    <w:rsid w:val="008302FD"/>
    <w:rsid w:val="00830CA5"/>
    <w:rsid w:val="00830E7E"/>
    <w:rsid w:val="00831DA4"/>
    <w:rsid w:val="00833B05"/>
    <w:rsid w:val="00833C75"/>
    <w:rsid w:val="0083466B"/>
    <w:rsid w:val="00834F54"/>
    <w:rsid w:val="008362B4"/>
    <w:rsid w:val="00836C24"/>
    <w:rsid w:val="00837B1A"/>
    <w:rsid w:val="00840CA2"/>
    <w:rsid w:val="00840F19"/>
    <w:rsid w:val="00842EA9"/>
    <w:rsid w:val="008435E5"/>
    <w:rsid w:val="0084374F"/>
    <w:rsid w:val="00844100"/>
    <w:rsid w:val="008442A9"/>
    <w:rsid w:val="00844A22"/>
    <w:rsid w:val="00844C79"/>
    <w:rsid w:val="00845245"/>
    <w:rsid w:val="00845C9C"/>
    <w:rsid w:val="0084611B"/>
    <w:rsid w:val="008466C4"/>
    <w:rsid w:val="00846D5B"/>
    <w:rsid w:val="00847703"/>
    <w:rsid w:val="00847DF5"/>
    <w:rsid w:val="00851004"/>
    <w:rsid w:val="00851507"/>
    <w:rsid w:val="0085309D"/>
    <w:rsid w:val="0085322B"/>
    <w:rsid w:val="00854E9F"/>
    <w:rsid w:val="00856897"/>
    <w:rsid w:val="00856BF8"/>
    <w:rsid w:val="00856E9A"/>
    <w:rsid w:val="00857550"/>
    <w:rsid w:val="0086006E"/>
    <w:rsid w:val="0086075D"/>
    <w:rsid w:val="00862502"/>
    <w:rsid w:val="00862CC1"/>
    <w:rsid w:val="00863E7A"/>
    <w:rsid w:val="008642A7"/>
    <w:rsid w:val="008660D4"/>
    <w:rsid w:val="00866F91"/>
    <w:rsid w:val="008716AE"/>
    <w:rsid w:val="00871D89"/>
    <w:rsid w:val="00871FA9"/>
    <w:rsid w:val="008728E9"/>
    <w:rsid w:val="00874ADF"/>
    <w:rsid w:val="00876266"/>
    <w:rsid w:val="008767AB"/>
    <w:rsid w:val="008771F8"/>
    <w:rsid w:val="0087786D"/>
    <w:rsid w:val="008810CB"/>
    <w:rsid w:val="00882874"/>
    <w:rsid w:val="00882E3C"/>
    <w:rsid w:val="0088308A"/>
    <w:rsid w:val="00883787"/>
    <w:rsid w:val="00883B90"/>
    <w:rsid w:val="00883CBB"/>
    <w:rsid w:val="00883F9A"/>
    <w:rsid w:val="00884FEB"/>
    <w:rsid w:val="008855E4"/>
    <w:rsid w:val="00886CD2"/>
    <w:rsid w:val="00891E6F"/>
    <w:rsid w:val="008926D2"/>
    <w:rsid w:val="0089275D"/>
    <w:rsid w:val="00892A2F"/>
    <w:rsid w:val="00892A36"/>
    <w:rsid w:val="00893239"/>
    <w:rsid w:val="00894196"/>
    <w:rsid w:val="00894489"/>
    <w:rsid w:val="00894CD6"/>
    <w:rsid w:val="008951A4"/>
    <w:rsid w:val="008963A5"/>
    <w:rsid w:val="008967CA"/>
    <w:rsid w:val="00896D5D"/>
    <w:rsid w:val="008978C8"/>
    <w:rsid w:val="00897BA6"/>
    <w:rsid w:val="008A15CD"/>
    <w:rsid w:val="008A175D"/>
    <w:rsid w:val="008A284B"/>
    <w:rsid w:val="008A3158"/>
    <w:rsid w:val="008A3363"/>
    <w:rsid w:val="008A3371"/>
    <w:rsid w:val="008A3C3E"/>
    <w:rsid w:val="008A74F5"/>
    <w:rsid w:val="008A789F"/>
    <w:rsid w:val="008A79DE"/>
    <w:rsid w:val="008A7DD9"/>
    <w:rsid w:val="008B1757"/>
    <w:rsid w:val="008B1C33"/>
    <w:rsid w:val="008B3DC8"/>
    <w:rsid w:val="008B4B6F"/>
    <w:rsid w:val="008B688C"/>
    <w:rsid w:val="008B74D6"/>
    <w:rsid w:val="008B7992"/>
    <w:rsid w:val="008B7D7E"/>
    <w:rsid w:val="008C0ACB"/>
    <w:rsid w:val="008C1F58"/>
    <w:rsid w:val="008C22C9"/>
    <w:rsid w:val="008C352D"/>
    <w:rsid w:val="008C418E"/>
    <w:rsid w:val="008C511B"/>
    <w:rsid w:val="008C5610"/>
    <w:rsid w:val="008C5739"/>
    <w:rsid w:val="008C5B3F"/>
    <w:rsid w:val="008C7282"/>
    <w:rsid w:val="008C752D"/>
    <w:rsid w:val="008C7C53"/>
    <w:rsid w:val="008C7ECB"/>
    <w:rsid w:val="008D3B86"/>
    <w:rsid w:val="008D43FD"/>
    <w:rsid w:val="008D4755"/>
    <w:rsid w:val="008D4BB5"/>
    <w:rsid w:val="008D4C3D"/>
    <w:rsid w:val="008D60B6"/>
    <w:rsid w:val="008D743C"/>
    <w:rsid w:val="008E058D"/>
    <w:rsid w:val="008E0D3C"/>
    <w:rsid w:val="008E1B9E"/>
    <w:rsid w:val="008E1F6A"/>
    <w:rsid w:val="008E22CF"/>
    <w:rsid w:val="008E291D"/>
    <w:rsid w:val="008E2D01"/>
    <w:rsid w:val="008E3D74"/>
    <w:rsid w:val="008E55AB"/>
    <w:rsid w:val="008E601B"/>
    <w:rsid w:val="008E6811"/>
    <w:rsid w:val="008E6FF1"/>
    <w:rsid w:val="008E721B"/>
    <w:rsid w:val="008E7E65"/>
    <w:rsid w:val="008F0BFE"/>
    <w:rsid w:val="008F0F5B"/>
    <w:rsid w:val="008F120A"/>
    <w:rsid w:val="008F27E0"/>
    <w:rsid w:val="008F3421"/>
    <w:rsid w:val="008F48EB"/>
    <w:rsid w:val="008F4A15"/>
    <w:rsid w:val="008F4F0B"/>
    <w:rsid w:val="008F63CF"/>
    <w:rsid w:val="008F6BF5"/>
    <w:rsid w:val="00901EB7"/>
    <w:rsid w:val="00902F00"/>
    <w:rsid w:val="0090308F"/>
    <w:rsid w:val="009046C4"/>
    <w:rsid w:val="0090486E"/>
    <w:rsid w:val="00904B33"/>
    <w:rsid w:val="00904CC1"/>
    <w:rsid w:val="009062A5"/>
    <w:rsid w:val="00906FD6"/>
    <w:rsid w:val="00907138"/>
    <w:rsid w:val="00907699"/>
    <w:rsid w:val="00907747"/>
    <w:rsid w:val="00910FA7"/>
    <w:rsid w:val="00911272"/>
    <w:rsid w:val="00911339"/>
    <w:rsid w:val="00912BAA"/>
    <w:rsid w:val="009135D6"/>
    <w:rsid w:val="00914193"/>
    <w:rsid w:val="00914525"/>
    <w:rsid w:val="009145B3"/>
    <w:rsid w:val="00914C77"/>
    <w:rsid w:val="00914DD3"/>
    <w:rsid w:val="00916118"/>
    <w:rsid w:val="00921047"/>
    <w:rsid w:val="009216EA"/>
    <w:rsid w:val="00921ACB"/>
    <w:rsid w:val="0092369B"/>
    <w:rsid w:val="00923B96"/>
    <w:rsid w:val="0092455E"/>
    <w:rsid w:val="0092519F"/>
    <w:rsid w:val="00925385"/>
    <w:rsid w:val="00925B66"/>
    <w:rsid w:val="0092705C"/>
    <w:rsid w:val="00927E9F"/>
    <w:rsid w:val="009303E1"/>
    <w:rsid w:val="00931DC5"/>
    <w:rsid w:val="009340D5"/>
    <w:rsid w:val="00934988"/>
    <w:rsid w:val="00934E09"/>
    <w:rsid w:val="00935AB8"/>
    <w:rsid w:val="00937089"/>
    <w:rsid w:val="00940523"/>
    <w:rsid w:val="009409EF"/>
    <w:rsid w:val="00944128"/>
    <w:rsid w:val="00944F8A"/>
    <w:rsid w:val="009460C6"/>
    <w:rsid w:val="0094633C"/>
    <w:rsid w:val="00946D74"/>
    <w:rsid w:val="009475AE"/>
    <w:rsid w:val="00947763"/>
    <w:rsid w:val="00947B77"/>
    <w:rsid w:val="009501EC"/>
    <w:rsid w:val="00950263"/>
    <w:rsid w:val="00950297"/>
    <w:rsid w:val="009510A2"/>
    <w:rsid w:val="00951A36"/>
    <w:rsid w:val="00951D08"/>
    <w:rsid w:val="0095237A"/>
    <w:rsid w:val="00952638"/>
    <w:rsid w:val="00953257"/>
    <w:rsid w:val="0095474C"/>
    <w:rsid w:val="00956638"/>
    <w:rsid w:val="0095678F"/>
    <w:rsid w:val="009575D6"/>
    <w:rsid w:val="00957D92"/>
    <w:rsid w:val="0096017A"/>
    <w:rsid w:val="00960316"/>
    <w:rsid w:val="00960D84"/>
    <w:rsid w:val="00961BED"/>
    <w:rsid w:val="0096203C"/>
    <w:rsid w:val="00962304"/>
    <w:rsid w:val="00962CB9"/>
    <w:rsid w:val="00963F56"/>
    <w:rsid w:val="0096419B"/>
    <w:rsid w:val="00964312"/>
    <w:rsid w:val="00964CAE"/>
    <w:rsid w:val="009655FF"/>
    <w:rsid w:val="00965B8A"/>
    <w:rsid w:val="00966931"/>
    <w:rsid w:val="0096743D"/>
    <w:rsid w:val="0097071F"/>
    <w:rsid w:val="009710DA"/>
    <w:rsid w:val="009717AC"/>
    <w:rsid w:val="00972756"/>
    <w:rsid w:val="00974150"/>
    <w:rsid w:val="00974E1C"/>
    <w:rsid w:val="009751C1"/>
    <w:rsid w:val="00975CF8"/>
    <w:rsid w:val="0097650B"/>
    <w:rsid w:val="00976ADA"/>
    <w:rsid w:val="00976E65"/>
    <w:rsid w:val="009779B7"/>
    <w:rsid w:val="00981043"/>
    <w:rsid w:val="009811F1"/>
    <w:rsid w:val="00982FE1"/>
    <w:rsid w:val="0098331D"/>
    <w:rsid w:val="00983E57"/>
    <w:rsid w:val="009854E7"/>
    <w:rsid w:val="00985A6C"/>
    <w:rsid w:val="00985C8D"/>
    <w:rsid w:val="00985DE2"/>
    <w:rsid w:val="0098675D"/>
    <w:rsid w:val="00987142"/>
    <w:rsid w:val="00987BA4"/>
    <w:rsid w:val="009920CA"/>
    <w:rsid w:val="009926E0"/>
    <w:rsid w:val="00992786"/>
    <w:rsid w:val="00992B47"/>
    <w:rsid w:val="00994355"/>
    <w:rsid w:val="0099451E"/>
    <w:rsid w:val="00995B0F"/>
    <w:rsid w:val="00996B1A"/>
    <w:rsid w:val="009974B8"/>
    <w:rsid w:val="009975EF"/>
    <w:rsid w:val="00997EC6"/>
    <w:rsid w:val="009A16ED"/>
    <w:rsid w:val="009A18F6"/>
    <w:rsid w:val="009A195E"/>
    <w:rsid w:val="009A22DD"/>
    <w:rsid w:val="009A2DCC"/>
    <w:rsid w:val="009A482D"/>
    <w:rsid w:val="009A5ABC"/>
    <w:rsid w:val="009A675F"/>
    <w:rsid w:val="009A702F"/>
    <w:rsid w:val="009A77F1"/>
    <w:rsid w:val="009A7F10"/>
    <w:rsid w:val="009B105F"/>
    <w:rsid w:val="009B1C42"/>
    <w:rsid w:val="009B1C55"/>
    <w:rsid w:val="009B2FBA"/>
    <w:rsid w:val="009B3771"/>
    <w:rsid w:val="009B3898"/>
    <w:rsid w:val="009B3E26"/>
    <w:rsid w:val="009B5E70"/>
    <w:rsid w:val="009B6016"/>
    <w:rsid w:val="009B6637"/>
    <w:rsid w:val="009B709B"/>
    <w:rsid w:val="009B77F6"/>
    <w:rsid w:val="009C0547"/>
    <w:rsid w:val="009C1271"/>
    <w:rsid w:val="009C12A3"/>
    <w:rsid w:val="009C17BF"/>
    <w:rsid w:val="009C281D"/>
    <w:rsid w:val="009C3706"/>
    <w:rsid w:val="009C3A3A"/>
    <w:rsid w:val="009C4490"/>
    <w:rsid w:val="009C463A"/>
    <w:rsid w:val="009C499D"/>
    <w:rsid w:val="009C519B"/>
    <w:rsid w:val="009C5DC2"/>
    <w:rsid w:val="009C610B"/>
    <w:rsid w:val="009C6853"/>
    <w:rsid w:val="009C6CEA"/>
    <w:rsid w:val="009C72F0"/>
    <w:rsid w:val="009C7B85"/>
    <w:rsid w:val="009D0254"/>
    <w:rsid w:val="009D06A5"/>
    <w:rsid w:val="009D073A"/>
    <w:rsid w:val="009D09B5"/>
    <w:rsid w:val="009D191A"/>
    <w:rsid w:val="009D1A64"/>
    <w:rsid w:val="009D31C2"/>
    <w:rsid w:val="009D32AD"/>
    <w:rsid w:val="009D46B0"/>
    <w:rsid w:val="009D4992"/>
    <w:rsid w:val="009D4B2F"/>
    <w:rsid w:val="009D4CAC"/>
    <w:rsid w:val="009D4ED5"/>
    <w:rsid w:val="009D5B91"/>
    <w:rsid w:val="009D6934"/>
    <w:rsid w:val="009D792E"/>
    <w:rsid w:val="009E0DFE"/>
    <w:rsid w:val="009E1707"/>
    <w:rsid w:val="009E232B"/>
    <w:rsid w:val="009E23AC"/>
    <w:rsid w:val="009E31F6"/>
    <w:rsid w:val="009E3D99"/>
    <w:rsid w:val="009E4B86"/>
    <w:rsid w:val="009E4C07"/>
    <w:rsid w:val="009E5A58"/>
    <w:rsid w:val="009E6D0B"/>
    <w:rsid w:val="009E6E67"/>
    <w:rsid w:val="009E777F"/>
    <w:rsid w:val="009F0FE1"/>
    <w:rsid w:val="009F1BEE"/>
    <w:rsid w:val="009F3626"/>
    <w:rsid w:val="009F42A0"/>
    <w:rsid w:val="009F48A6"/>
    <w:rsid w:val="009F4B1B"/>
    <w:rsid w:val="009F6120"/>
    <w:rsid w:val="009F6D97"/>
    <w:rsid w:val="00A007E4"/>
    <w:rsid w:val="00A00D76"/>
    <w:rsid w:val="00A01184"/>
    <w:rsid w:val="00A01449"/>
    <w:rsid w:val="00A01E54"/>
    <w:rsid w:val="00A02DDD"/>
    <w:rsid w:val="00A02DF2"/>
    <w:rsid w:val="00A02F84"/>
    <w:rsid w:val="00A03373"/>
    <w:rsid w:val="00A037C2"/>
    <w:rsid w:val="00A03D43"/>
    <w:rsid w:val="00A03E36"/>
    <w:rsid w:val="00A04380"/>
    <w:rsid w:val="00A04786"/>
    <w:rsid w:val="00A05472"/>
    <w:rsid w:val="00A058CE"/>
    <w:rsid w:val="00A05C32"/>
    <w:rsid w:val="00A0653F"/>
    <w:rsid w:val="00A0771D"/>
    <w:rsid w:val="00A105E7"/>
    <w:rsid w:val="00A10DE9"/>
    <w:rsid w:val="00A11CD0"/>
    <w:rsid w:val="00A1212D"/>
    <w:rsid w:val="00A12A96"/>
    <w:rsid w:val="00A130A8"/>
    <w:rsid w:val="00A13392"/>
    <w:rsid w:val="00A13948"/>
    <w:rsid w:val="00A142E0"/>
    <w:rsid w:val="00A1468D"/>
    <w:rsid w:val="00A1555B"/>
    <w:rsid w:val="00A155C5"/>
    <w:rsid w:val="00A16AD8"/>
    <w:rsid w:val="00A16C33"/>
    <w:rsid w:val="00A16FBC"/>
    <w:rsid w:val="00A17459"/>
    <w:rsid w:val="00A176C6"/>
    <w:rsid w:val="00A2021E"/>
    <w:rsid w:val="00A20412"/>
    <w:rsid w:val="00A20945"/>
    <w:rsid w:val="00A20A1D"/>
    <w:rsid w:val="00A2129F"/>
    <w:rsid w:val="00A21C71"/>
    <w:rsid w:val="00A21C95"/>
    <w:rsid w:val="00A21CF3"/>
    <w:rsid w:val="00A222C1"/>
    <w:rsid w:val="00A224A1"/>
    <w:rsid w:val="00A22EE7"/>
    <w:rsid w:val="00A232A3"/>
    <w:rsid w:val="00A232EB"/>
    <w:rsid w:val="00A2367E"/>
    <w:rsid w:val="00A23EBB"/>
    <w:rsid w:val="00A24813"/>
    <w:rsid w:val="00A26D2D"/>
    <w:rsid w:val="00A27AEC"/>
    <w:rsid w:val="00A317B5"/>
    <w:rsid w:val="00A31C9B"/>
    <w:rsid w:val="00A320DB"/>
    <w:rsid w:val="00A33A1C"/>
    <w:rsid w:val="00A34934"/>
    <w:rsid w:val="00A356D1"/>
    <w:rsid w:val="00A35D16"/>
    <w:rsid w:val="00A36C67"/>
    <w:rsid w:val="00A37BCD"/>
    <w:rsid w:val="00A37C1A"/>
    <w:rsid w:val="00A400F3"/>
    <w:rsid w:val="00A40320"/>
    <w:rsid w:val="00A40773"/>
    <w:rsid w:val="00A41689"/>
    <w:rsid w:val="00A42592"/>
    <w:rsid w:val="00A4305F"/>
    <w:rsid w:val="00A43C59"/>
    <w:rsid w:val="00A44C6A"/>
    <w:rsid w:val="00A45254"/>
    <w:rsid w:val="00A45CB1"/>
    <w:rsid w:val="00A461FB"/>
    <w:rsid w:val="00A4640B"/>
    <w:rsid w:val="00A471E3"/>
    <w:rsid w:val="00A476DF"/>
    <w:rsid w:val="00A50ECD"/>
    <w:rsid w:val="00A51120"/>
    <w:rsid w:val="00A51822"/>
    <w:rsid w:val="00A518F3"/>
    <w:rsid w:val="00A52729"/>
    <w:rsid w:val="00A53513"/>
    <w:rsid w:val="00A53675"/>
    <w:rsid w:val="00A54007"/>
    <w:rsid w:val="00A54FD2"/>
    <w:rsid w:val="00A564D7"/>
    <w:rsid w:val="00A56B6A"/>
    <w:rsid w:val="00A56D58"/>
    <w:rsid w:val="00A578DC"/>
    <w:rsid w:val="00A62A31"/>
    <w:rsid w:val="00A62D43"/>
    <w:rsid w:val="00A636F1"/>
    <w:rsid w:val="00A63D66"/>
    <w:rsid w:val="00A640E2"/>
    <w:rsid w:val="00A64D65"/>
    <w:rsid w:val="00A64DA1"/>
    <w:rsid w:val="00A64FCC"/>
    <w:rsid w:val="00A64FDA"/>
    <w:rsid w:val="00A6725B"/>
    <w:rsid w:val="00A70427"/>
    <w:rsid w:val="00A70605"/>
    <w:rsid w:val="00A72598"/>
    <w:rsid w:val="00A73134"/>
    <w:rsid w:val="00A7365A"/>
    <w:rsid w:val="00A746D6"/>
    <w:rsid w:val="00A7599C"/>
    <w:rsid w:val="00A76001"/>
    <w:rsid w:val="00A7670F"/>
    <w:rsid w:val="00A76BD0"/>
    <w:rsid w:val="00A777B2"/>
    <w:rsid w:val="00A81F17"/>
    <w:rsid w:val="00A825D4"/>
    <w:rsid w:val="00A828F6"/>
    <w:rsid w:val="00A82B73"/>
    <w:rsid w:val="00A839AD"/>
    <w:rsid w:val="00A84D17"/>
    <w:rsid w:val="00A84DFA"/>
    <w:rsid w:val="00A868F6"/>
    <w:rsid w:val="00A869A0"/>
    <w:rsid w:val="00A86E8B"/>
    <w:rsid w:val="00A87164"/>
    <w:rsid w:val="00A871A9"/>
    <w:rsid w:val="00A87548"/>
    <w:rsid w:val="00A87E40"/>
    <w:rsid w:val="00A90069"/>
    <w:rsid w:val="00A92E0B"/>
    <w:rsid w:val="00A93072"/>
    <w:rsid w:val="00A938BD"/>
    <w:rsid w:val="00A93953"/>
    <w:rsid w:val="00A93A85"/>
    <w:rsid w:val="00A959D8"/>
    <w:rsid w:val="00AA113D"/>
    <w:rsid w:val="00AA1BAF"/>
    <w:rsid w:val="00AA39F9"/>
    <w:rsid w:val="00AA5690"/>
    <w:rsid w:val="00AA6BD5"/>
    <w:rsid w:val="00AA6BD8"/>
    <w:rsid w:val="00AA6C7D"/>
    <w:rsid w:val="00AA7FD6"/>
    <w:rsid w:val="00AB042A"/>
    <w:rsid w:val="00AB11AD"/>
    <w:rsid w:val="00AB124F"/>
    <w:rsid w:val="00AB19EF"/>
    <w:rsid w:val="00AB2495"/>
    <w:rsid w:val="00AB2552"/>
    <w:rsid w:val="00AB2D34"/>
    <w:rsid w:val="00AB32C5"/>
    <w:rsid w:val="00AB3430"/>
    <w:rsid w:val="00AB37B9"/>
    <w:rsid w:val="00AB42F5"/>
    <w:rsid w:val="00AB4AD1"/>
    <w:rsid w:val="00AB5A8E"/>
    <w:rsid w:val="00AB5CF0"/>
    <w:rsid w:val="00AB5E07"/>
    <w:rsid w:val="00AB600E"/>
    <w:rsid w:val="00AB7CFA"/>
    <w:rsid w:val="00AC00FB"/>
    <w:rsid w:val="00AC0A55"/>
    <w:rsid w:val="00AC220B"/>
    <w:rsid w:val="00AC3846"/>
    <w:rsid w:val="00AC45C5"/>
    <w:rsid w:val="00AC4959"/>
    <w:rsid w:val="00AC5187"/>
    <w:rsid w:val="00AC5632"/>
    <w:rsid w:val="00AC5B42"/>
    <w:rsid w:val="00AC5B48"/>
    <w:rsid w:val="00AC6C83"/>
    <w:rsid w:val="00AC7313"/>
    <w:rsid w:val="00AD1450"/>
    <w:rsid w:val="00AD15E8"/>
    <w:rsid w:val="00AD17AF"/>
    <w:rsid w:val="00AD2CA3"/>
    <w:rsid w:val="00AD356D"/>
    <w:rsid w:val="00AD3E4D"/>
    <w:rsid w:val="00AD4B48"/>
    <w:rsid w:val="00AD624D"/>
    <w:rsid w:val="00AD6502"/>
    <w:rsid w:val="00AD7828"/>
    <w:rsid w:val="00AE0695"/>
    <w:rsid w:val="00AE3E7E"/>
    <w:rsid w:val="00AE419B"/>
    <w:rsid w:val="00AE45E5"/>
    <w:rsid w:val="00AE4D07"/>
    <w:rsid w:val="00AE7E53"/>
    <w:rsid w:val="00AF0730"/>
    <w:rsid w:val="00AF08C9"/>
    <w:rsid w:val="00AF1315"/>
    <w:rsid w:val="00AF19BF"/>
    <w:rsid w:val="00AF2969"/>
    <w:rsid w:val="00AF2A3B"/>
    <w:rsid w:val="00AF2DC3"/>
    <w:rsid w:val="00AF4155"/>
    <w:rsid w:val="00AF497E"/>
    <w:rsid w:val="00AF5E30"/>
    <w:rsid w:val="00AF6F28"/>
    <w:rsid w:val="00B011FB"/>
    <w:rsid w:val="00B01A23"/>
    <w:rsid w:val="00B01C48"/>
    <w:rsid w:val="00B01C86"/>
    <w:rsid w:val="00B03080"/>
    <w:rsid w:val="00B032B7"/>
    <w:rsid w:val="00B033E5"/>
    <w:rsid w:val="00B03A63"/>
    <w:rsid w:val="00B03CC8"/>
    <w:rsid w:val="00B057FA"/>
    <w:rsid w:val="00B059D8"/>
    <w:rsid w:val="00B06C6E"/>
    <w:rsid w:val="00B1019C"/>
    <w:rsid w:val="00B10500"/>
    <w:rsid w:val="00B10618"/>
    <w:rsid w:val="00B10C26"/>
    <w:rsid w:val="00B110EC"/>
    <w:rsid w:val="00B114FC"/>
    <w:rsid w:val="00B129A4"/>
    <w:rsid w:val="00B13403"/>
    <w:rsid w:val="00B13BEF"/>
    <w:rsid w:val="00B16AA2"/>
    <w:rsid w:val="00B201A4"/>
    <w:rsid w:val="00B201D1"/>
    <w:rsid w:val="00B20770"/>
    <w:rsid w:val="00B210ED"/>
    <w:rsid w:val="00B213A6"/>
    <w:rsid w:val="00B215A1"/>
    <w:rsid w:val="00B22489"/>
    <w:rsid w:val="00B235B0"/>
    <w:rsid w:val="00B2473E"/>
    <w:rsid w:val="00B24A3D"/>
    <w:rsid w:val="00B24DF6"/>
    <w:rsid w:val="00B2660B"/>
    <w:rsid w:val="00B27A61"/>
    <w:rsid w:val="00B30200"/>
    <w:rsid w:val="00B311D2"/>
    <w:rsid w:val="00B320C6"/>
    <w:rsid w:val="00B3266F"/>
    <w:rsid w:val="00B32B48"/>
    <w:rsid w:val="00B34079"/>
    <w:rsid w:val="00B34FE2"/>
    <w:rsid w:val="00B35166"/>
    <w:rsid w:val="00B356A6"/>
    <w:rsid w:val="00B357D8"/>
    <w:rsid w:val="00B35CCC"/>
    <w:rsid w:val="00B360F4"/>
    <w:rsid w:val="00B36268"/>
    <w:rsid w:val="00B366A6"/>
    <w:rsid w:val="00B36A00"/>
    <w:rsid w:val="00B37667"/>
    <w:rsid w:val="00B3792B"/>
    <w:rsid w:val="00B37BFC"/>
    <w:rsid w:val="00B37D11"/>
    <w:rsid w:val="00B40358"/>
    <w:rsid w:val="00B40D6D"/>
    <w:rsid w:val="00B41614"/>
    <w:rsid w:val="00B42149"/>
    <w:rsid w:val="00B42836"/>
    <w:rsid w:val="00B42851"/>
    <w:rsid w:val="00B42F80"/>
    <w:rsid w:val="00B435CB"/>
    <w:rsid w:val="00B43CD6"/>
    <w:rsid w:val="00B44BFC"/>
    <w:rsid w:val="00B465EC"/>
    <w:rsid w:val="00B50376"/>
    <w:rsid w:val="00B505C8"/>
    <w:rsid w:val="00B50DB8"/>
    <w:rsid w:val="00B514E8"/>
    <w:rsid w:val="00B52168"/>
    <w:rsid w:val="00B53255"/>
    <w:rsid w:val="00B53654"/>
    <w:rsid w:val="00B53666"/>
    <w:rsid w:val="00B53905"/>
    <w:rsid w:val="00B543D6"/>
    <w:rsid w:val="00B54435"/>
    <w:rsid w:val="00B546DB"/>
    <w:rsid w:val="00B54B5B"/>
    <w:rsid w:val="00B54C51"/>
    <w:rsid w:val="00B5562E"/>
    <w:rsid w:val="00B55701"/>
    <w:rsid w:val="00B55862"/>
    <w:rsid w:val="00B55D65"/>
    <w:rsid w:val="00B56305"/>
    <w:rsid w:val="00B5687D"/>
    <w:rsid w:val="00B56CBB"/>
    <w:rsid w:val="00B57000"/>
    <w:rsid w:val="00B57839"/>
    <w:rsid w:val="00B60939"/>
    <w:rsid w:val="00B60949"/>
    <w:rsid w:val="00B60AFD"/>
    <w:rsid w:val="00B60F45"/>
    <w:rsid w:val="00B61852"/>
    <w:rsid w:val="00B62715"/>
    <w:rsid w:val="00B6390B"/>
    <w:rsid w:val="00B63F4A"/>
    <w:rsid w:val="00B652A8"/>
    <w:rsid w:val="00B65611"/>
    <w:rsid w:val="00B65E27"/>
    <w:rsid w:val="00B677B7"/>
    <w:rsid w:val="00B67874"/>
    <w:rsid w:val="00B67E00"/>
    <w:rsid w:val="00B70E8E"/>
    <w:rsid w:val="00B7386E"/>
    <w:rsid w:val="00B75544"/>
    <w:rsid w:val="00B7576E"/>
    <w:rsid w:val="00B76C92"/>
    <w:rsid w:val="00B800CC"/>
    <w:rsid w:val="00B80346"/>
    <w:rsid w:val="00B80EFD"/>
    <w:rsid w:val="00B818A4"/>
    <w:rsid w:val="00B825AB"/>
    <w:rsid w:val="00B83739"/>
    <w:rsid w:val="00B83F27"/>
    <w:rsid w:val="00B84117"/>
    <w:rsid w:val="00B84183"/>
    <w:rsid w:val="00B84E3B"/>
    <w:rsid w:val="00B858F0"/>
    <w:rsid w:val="00B85AA2"/>
    <w:rsid w:val="00B8649C"/>
    <w:rsid w:val="00B8695D"/>
    <w:rsid w:val="00B87F0A"/>
    <w:rsid w:val="00B9014E"/>
    <w:rsid w:val="00B92D0B"/>
    <w:rsid w:val="00B94441"/>
    <w:rsid w:val="00B94945"/>
    <w:rsid w:val="00B94DD6"/>
    <w:rsid w:val="00B963FA"/>
    <w:rsid w:val="00B96530"/>
    <w:rsid w:val="00BA20B0"/>
    <w:rsid w:val="00BA2D98"/>
    <w:rsid w:val="00BA322D"/>
    <w:rsid w:val="00BA352F"/>
    <w:rsid w:val="00BA38A0"/>
    <w:rsid w:val="00BA5395"/>
    <w:rsid w:val="00BA5C78"/>
    <w:rsid w:val="00BA63FA"/>
    <w:rsid w:val="00BB00B3"/>
    <w:rsid w:val="00BB0253"/>
    <w:rsid w:val="00BB033F"/>
    <w:rsid w:val="00BB0BDD"/>
    <w:rsid w:val="00BB0F18"/>
    <w:rsid w:val="00BB176C"/>
    <w:rsid w:val="00BB19BB"/>
    <w:rsid w:val="00BB2576"/>
    <w:rsid w:val="00BB2941"/>
    <w:rsid w:val="00BB2A73"/>
    <w:rsid w:val="00BB3A45"/>
    <w:rsid w:val="00BB4ACC"/>
    <w:rsid w:val="00BB56EE"/>
    <w:rsid w:val="00BB6317"/>
    <w:rsid w:val="00BB64A9"/>
    <w:rsid w:val="00BB6E86"/>
    <w:rsid w:val="00BB6F16"/>
    <w:rsid w:val="00BB703E"/>
    <w:rsid w:val="00BB732D"/>
    <w:rsid w:val="00BB7405"/>
    <w:rsid w:val="00BB7CEE"/>
    <w:rsid w:val="00BB7FEB"/>
    <w:rsid w:val="00BC0518"/>
    <w:rsid w:val="00BC173C"/>
    <w:rsid w:val="00BC17CC"/>
    <w:rsid w:val="00BC3631"/>
    <w:rsid w:val="00BC391D"/>
    <w:rsid w:val="00BC4C3B"/>
    <w:rsid w:val="00BC5303"/>
    <w:rsid w:val="00BC53FC"/>
    <w:rsid w:val="00BC591F"/>
    <w:rsid w:val="00BC6A1B"/>
    <w:rsid w:val="00BC7034"/>
    <w:rsid w:val="00BC7D6D"/>
    <w:rsid w:val="00BD1FC6"/>
    <w:rsid w:val="00BD2108"/>
    <w:rsid w:val="00BD2419"/>
    <w:rsid w:val="00BD253F"/>
    <w:rsid w:val="00BD2CD6"/>
    <w:rsid w:val="00BD3852"/>
    <w:rsid w:val="00BD4CC1"/>
    <w:rsid w:val="00BD68A3"/>
    <w:rsid w:val="00BD6938"/>
    <w:rsid w:val="00BD6CF3"/>
    <w:rsid w:val="00BD728B"/>
    <w:rsid w:val="00BD7F72"/>
    <w:rsid w:val="00BE0759"/>
    <w:rsid w:val="00BE0ECA"/>
    <w:rsid w:val="00BE106B"/>
    <w:rsid w:val="00BE2180"/>
    <w:rsid w:val="00BE21F2"/>
    <w:rsid w:val="00BE2A76"/>
    <w:rsid w:val="00BE2DAD"/>
    <w:rsid w:val="00BE30C8"/>
    <w:rsid w:val="00BE3C91"/>
    <w:rsid w:val="00BE4275"/>
    <w:rsid w:val="00BE50E4"/>
    <w:rsid w:val="00BE524C"/>
    <w:rsid w:val="00BE6744"/>
    <w:rsid w:val="00BE7041"/>
    <w:rsid w:val="00BE7C6A"/>
    <w:rsid w:val="00BE7CA9"/>
    <w:rsid w:val="00BE7D86"/>
    <w:rsid w:val="00BF06AE"/>
    <w:rsid w:val="00BF08B4"/>
    <w:rsid w:val="00BF0F95"/>
    <w:rsid w:val="00BF2433"/>
    <w:rsid w:val="00BF2687"/>
    <w:rsid w:val="00BF26F8"/>
    <w:rsid w:val="00BF294E"/>
    <w:rsid w:val="00BF2E6E"/>
    <w:rsid w:val="00BF49F5"/>
    <w:rsid w:val="00BF50BD"/>
    <w:rsid w:val="00BF5405"/>
    <w:rsid w:val="00BF5966"/>
    <w:rsid w:val="00BF5E29"/>
    <w:rsid w:val="00BF61C9"/>
    <w:rsid w:val="00BF6C94"/>
    <w:rsid w:val="00C00424"/>
    <w:rsid w:val="00C00BB0"/>
    <w:rsid w:val="00C00E0B"/>
    <w:rsid w:val="00C00E7E"/>
    <w:rsid w:val="00C01F4E"/>
    <w:rsid w:val="00C02297"/>
    <w:rsid w:val="00C024E5"/>
    <w:rsid w:val="00C02FF6"/>
    <w:rsid w:val="00C0311D"/>
    <w:rsid w:val="00C03769"/>
    <w:rsid w:val="00C04B7D"/>
    <w:rsid w:val="00C0735D"/>
    <w:rsid w:val="00C1048D"/>
    <w:rsid w:val="00C10600"/>
    <w:rsid w:val="00C1179F"/>
    <w:rsid w:val="00C127B9"/>
    <w:rsid w:val="00C128FA"/>
    <w:rsid w:val="00C12C14"/>
    <w:rsid w:val="00C1340B"/>
    <w:rsid w:val="00C14563"/>
    <w:rsid w:val="00C15F04"/>
    <w:rsid w:val="00C1605C"/>
    <w:rsid w:val="00C160DB"/>
    <w:rsid w:val="00C16F22"/>
    <w:rsid w:val="00C17315"/>
    <w:rsid w:val="00C179B3"/>
    <w:rsid w:val="00C17E3F"/>
    <w:rsid w:val="00C200AA"/>
    <w:rsid w:val="00C21E3E"/>
    <w:rsid w:val="00C23735"/>
    <w:rsid w:val="00C237ED"/>
    <w:rsid w:val="00C24632"/>
    <w:rsid w:val="00C25418"/>
    <w:rsid w:val="00C2562B"/>
    <w:rsid w:val="00C25D9C"/>
    <w:rsid w:val="00C26129"/>
    <w:rsid w:val="00C265A7"/>
    <w:rsid w:val="00C2778B"/>
    <w:rsid w:val="00C30598"/>
    <w:rsid w:val="00C31649"/>
    <w:rsid w:val="00C31D72"/>
    <w:rsid w:val="00C31F2C"/>
    <w:rsid w:val="00C3223C"/>
    <w:rsid w:val="00C32B47"/>
    <w:rsid w:val="00C3434C"/>
    <w:rsid w:val="00C34B36"/>
    <w:rsid w:val="00C40385"/>
    <w:rsid w:val="00C41768"/>
    <w:rsid w:val="00C42A29"/>
    <w:rsid w:val="00C43507"/>
    <w:rsid w:val="00C436E8"/>
    <w:rsid w:val="00C43C53"/>
    <w:rsid w:val="00C44450"/>
    <w:rsid w:val="00C44EBF"/>
    <w:rsid w:val="00C454A4"/>
    <w:rsid w:val="00C46591"/>
    <w:rsid w:val="00C475AA"/>
    <w:rsid w:val="00C525D3"/>
    <w:rsid w:val="00C527C7"/>
    <w:rsid w:val="00C52E43"/>
    <w:rsid w:val="00C53729"/>
    <w:rsid w:val="00C53C98"/>
    <w:rsid w:val="00C5498D"/>
    <w:rsid w:val="00C55A88"/>
    <w:rsid w:val="00C56710"/>
    <w:rsid w:val="00C56FCF"/>
    <w:rsid w:val="00C57528"/>
    <w:rsid w:val="00C577A6"/>
    <w:rsid w:val="00C57B6C"/>
    <w:rsid w:val="00C60915"/>
    <w:rsid w:val="00C61063"/>
    <w:rsid w:val="00C6132C"/>
    <w:rsid w:val="00C61A59"/>
    <w:rsid w:val="00C628A6"/>
    <w:rsid w:val="00C63060"/>
    <w:rsid w:val="00C63AEF"/>
    <w:rsid w:val="00C6416C"/>
    <w:rsid w:val="00C64344"/>
    <w:rsid w:val="00C64F28"/>
    <w:rsid w:val="00C65108"/>
    <w:rsid w:val="00C65576"/>
    <w:rsid w:val="00C66165"/>
    <w:rsid w:val="00C67460"/>
    <w:rsid w:val="00C7060A"/>
    <w:rsid w:val="00C7151A"/>
    <w:rsid w:val="00C717E3"/>
    <w:rsid w:val="00C71F60"/>
    <w:rsid w:val="00C71F9F"/>
    <w:rsid w:val="00C72241"/>
    <w:rsid w:val="00C737CD"/>
    <w:rsid w:val="00C750C8"/>
    <w:rsid w:val="00C7560F"/>
    <w:rsid w:val="00C7570F"/>
    <w:rsid w:val="00C77F91"/>
    <w:rsid w:val="00C8067E"/>
    <w:rsid w:val="00C80A0E"/>
    <w:rsid w:val="00C80A77"/>
    <w:rsid w:val="00C81A8E"/>
    <w:rsid w:val="00C81BC3"/>
    <w:rsid w:val="00C8213F"/>
    <w:rsid w:val="00C8216C"/>
    <w:rsid w:val="00C8303F"/>
    <w:rsid w:val="00C83C30"/>
    <w:rsid w:val="00C83F01"/>
    <w:rsid w:val="00C84BEE"/>
    <w:rsid w:val="00C85154"/>
    <w:rsid w:val="00C85A70"/>
    <w:rsid w:val="00C85C3C"/>
    <w:rsid w:val="00C8797A"/>
    <w:rsid w:val="00C900B8"/>
    <w:rsid w:val="00C90197"/>
    <w:rsid w:val="00C90C71"/>
    <w:rsid w:val="00C90D24"/>
    <w:rsid w:val="00C911BB"/>
    <w:rsid w:val="00C91FD1"/>
    <w:rsid w:val="00C928F7"/>
    <w:rsid w:val="00C92A4B"/>
    <w:rsid w:val="00C931CA"/>
    <w:rsid w:val="00C931CF"/>
    <w:rsid w:val="00C938CF"/>
    <w:rsid w:val="00C93BFB"/>
    <w:rsid w:val="00C94053"/>
    <w:rsid w:val="00C9445B"/>
    <w:rsid w:val="00C9548C"/>
    <w:rsid w:val="00C9624D"/>
    <w:rsid w:val="00C96616"/>
    <w:rsid w:val="00C969DA"/>
    <w:rsid w:val="00C97654"/>
    <w:rsid w:val="00CA01CE"/>
    <w:rsid w:val="00CA06D3"/>
    <w:rsid w:val="00CA13AB"/>
    <w:rsid w:val="00CA20CE"/>
    <w:rsid w:val="00CA2C77"/>
    <w:rsid w:val="00CA3861"/>
    <w:rsid w:val="00CA3E9F"/>
    <w:rsid w:val="00CA444F"/>
    <w:rsid w:val="00CA462A"/>
    <w:rsid w:val="00CA5245"/>
    <w:rsid w:val="00CA5360"/>
    <w:rsid w:val="00CA567D"/>
    <w:rsid w:val="00CA591F"/>
    <w:rsid w:val="00CA71F4"/>
    <w:rsid w:val="00CA72D2"/>
    <w:rsid w:val="00CA7A52"/>
    <w:rsid w:val="00CA7B09"/>
    <w:rsid w:val="00CA7DBC"/>
    <w:rsid w:val="00CB019C"/>
    <w:rsid w:val="00CB12A5"/>
    <w:rsid w:val="00CB1CAC"/>
    <w:rsid w:val="00CB20A7"/>
    <w:rsid w:val="00CB2341"/>
    <w:rsid w:val="00CB2F2A"/>
    <w:rsid w:val="00CB3851"/>
    <w:rsid w:val="00CB4968"/>
    <w:rsid w:val="00CB5B1A"/>
    <w:rsid w:val="00CB6608"/>
    <w:rsid w:val="00CB6B22"/>
    <w:rsid w:val="00CB7019"/>
    <w:rsid w:val="00CB7F5F"/>
    <w:rsid w:val="00CC0E4C"/>
    <w:rsid w:val="00CC1674"/>
    <w:rsid w:val="00CC1B39"/>
    <w:rsid w:val="00CC1BFA"/>
    <w:rsid w:val="00CC2BEB"/>
    <w:rsid w:val="00CC2E9F"/>
    <w:rsid w:val="00CC30E8"/>
    <w:rsid w:val="00CC3398"/>
    <w:rsid w:val="00CC35EA"/>
    <w:rsid w:val="00CC3848"/>
    <w:rsid w:val="00CC6D5E"/>
    <w:rsid w:val="00CC76EF"/>
    <w:rsid w:val="00CC7E5B"/>
    <w:rsid w:val="00CD0200"/>
    <w:rsid w:val="00CD0DEA"/>
    <w:rsid w:val="00CD2D39"/>
    <w:rsid w:val="00CD3849"/>
    <w:rsid w:val="00CD39AD"/>
    <w:rsid w:val="00CD3F77"/>
    <w:rsid w:val="00CD4E68"/>
    <w:rsid w:val="00CD504D"/>
    <w:rsid w:val="00CD60CA"/>
    <w:rsid w:val="00CD63BC"/>
    <w:rsid w:val="00CD6ADC"/>
    <w:rsid w:val="00CD7162"/>
    <w:rsid w:val="00CD7193"/>
    <w:rsid w:val="00CD79C5"/>
    <w:rsid w:val="00CD7AC3"/>
    <w:rsid w:val="00CE38C8"/>
    <w:rsid w:val="00CE524F"/>
    <w:rsid w:val="00CE56F9"/>
    <w:rsid w:val="00CE58CC"/>
    <w:rsid w:val="00CE5DB8"/>
    <w:rsid w:val="00CE6274"/>
    <w:rsid w:val="00CE6573"/>
    <w:rsid w:val="00CE77B6"/>
    <w:rsid w:val="00CF0060"/>
    <w:rsid w:val="00CF0D97"/>
    <w:rsid w:val="00CF102C"/>
    <w:rsid w:val="00CF1B7B"/>
    <w:rsid w:val="00CF2B8D"/>
    <w:rsid w:val="00CF3110"/>
    <w:rsid w:val="00CF3540"/>
    <w:rsid w:val="00CF364F"/>
    <w:rsid w:val="00CF379A"/>
    <w:rsid w:val="00CF3A1B"/>
    <w:rsid w:val="00CF3AED"/>
    <w:rsid w:val="00CF456B"/>
    <w:rsid w:val="00CF4825"/>
    <w:rsid w:val="00CF5A22"/>
    <w:rsid w:val="00D00533"/>
    <w:rsid w:val="00D00725"/>
    <w:rsid w:val="00D0262E"/>
    <w:rsid w:val="00D02A94"/>
    <w:rsid w:val="00D02FB0"/>
    <w:rsid w:val="00D03679"/>
    <w:rsid w:val="00D048FE"/>
    <w:rsid w:val="00D04E2D"/>
    <w:rsid w:val="00D05A0E"/>
    <w:rsid w:val="00D05E3D"/>
    <w:rsid w:val="00D06139"/>
    <w:rsid w:val="00D064E9"/>
    <w:rsid w:val="00D06792"/>
    <w:rsid w:val="00D06FCC"/>
    <w:rsid w:val="00D0750D"/>
    <w:rsid w:val="00D10457"/>
    <w:rsid w:val="00D104AA"/>
    <w:rsid w:val="00D109B3"/>
    <w:rsid w:val="00D10E36"/>
    <w:rsid w:val="00D110BD"/>
    <w:rsid w:val="00D126E9"/>
    <w:rsid w:val="00D134F5"/>
    <w:rsid w:val="00D13675"/>
    <w:rsid w:val="00D136B5"/>
    <w:rsid w:val="00D13AC9"/>
    <w:rsid w:val="00D14105"/>
    <w:rsid w:val="00D141E1"/>
    <w:rsid w:val="00D14280"/>
    <w:rsid w:val="00D1489E"/>
    <w:rsid w:val="00D15314"/>
    <w:rsid w:val="00D15B48"/>
    <w:rsid w:val="00D165EE"/>
    <w:rsid w:val="00D16AF2"/>
    <w:rsid w:val="00D16E8E"/>
    <w:rsid w:val="00D17373"/>
    <w:rsid w:val="00D17662"/>
    <w:rsid w:val="00D17D6C"/>
    <w:rsid w:val="00D20BF4"/>
    <w:rsid w:val="00D2155B"/>
    <w:rsid w:val="00D23D11"/>
    <w:rsid w:val="00D244B6"/>
    <w:rsid w:val="00D252F6"/>
    <w:rsid w:val="00D25D92"/>
    <w:rsid w:val="00D25E1B"/>
    <w:rsid w:val="00D2662A"/>
    <w:rsid w:val="00D2741D"/>
    <w:rsid w:val="00D2754D"/>
    <w:rsid w:val="00D27B27"/>
    <w:rsid w:val="00D305A2"/>
    <w:rsid w:val="00D30D5B"/>
    <w:rsid w:val="00D30D70"/>
    <w:rsid w:val="00D31758"/>
    <w:rsid w:val="00D32CC5"/>
    <w:rsid w:val="00D33426"/>
    <w:rsid w:val="00D338B4"/>
    <w:rsid w:val="00D33BE9"/>
    <w:rsid w:val="00D33F93"/>
    <w:rsid w:val="00D34E33"/>
    <w:rsid w:val="00D357FF"/>
    <w:rsid w:val="00D35945"/>
    <w:rsid w:val="00D35CE2"/>
    <w:rsid w:val="00D371A9"/>
    <w:rsid w:val="00D3723B"/>
    <w:rsid w:val="00D378CA"/>
    <w:rsid w:val="00D4117E"/>
    <w:rsid w:val="00D417B1"/>
    <w:rsid w:val="00D41D50"/>
    <w:rsid w:val="00D424C7"/>
    <w:rsid w:val="00D42CE6"/>
    <w:rsid w:val="00D43B2A"/>
    <w:rsid w:val="00D43CF1"/>
    <w:rsid w:val="00D43D83"/>
    <w:rsid w:val="00D441D3"/>
    <w:rsid w:val="00D44C18"/>
    <w:rsid w:val="00D46D43"/>
    <w:rsid w:val="00D47575"/>
    <w:rsid w:val="00D47F76"/>
    <w:rsid w:val="00D50953"/>
    <w:rsid w:val="00D51627"/>
    <w:rsid w:val="00D51851"/>
    <w:rsid w:val="00D5243B"/>
    <w:rsid w:val="00D533EC"/>
    <w:rsid w:val="00D56A95"/>
    <w:rsid w:val="00D57628"/>
    <w:rsid w:val="00D60573"/>
    <w:rsid w:val="00D6076E"/>
    <w:rsid w:val="00D6239A"/>
    <w:rsid w:val="00D67409"/>
    <w:rsid w:val="00D674A5"/>
    <w:rsid w:val="00D70A2B"/>
    <w:rsid w:val="00D70E2F"/>
    <w:rsid w:val="00D70F16"/>
    <w:rsid w:val="00D72617"/>
    <w:rsid w:val="00D72F57"/>
    <w:rsid w:val="00D73405"/>
    <w:rsid w:val="00D737AB"/>
    <w:rsid w:val="00D74FF3"/>
    <w:rsid w:val="00D76A44"/>
    <w:rsid w:val="00D770BB"/>
    <w:rsid w:val="00D815EF"/>
    <w:rsid w:val="00D81949"/>
    <w:rsid w:val="00D81F26"/>
    <w:rsid w:val="00D822E2"/>
    <w:rsid w:val="00D83ED1"/>
    <w:rsid w:val="00D84155"/>
    <w:rsid w:val="00D843F2"/>
    <w:rsid w:val="00D857EC"/>
    <w:rsid w:val="00D86231"/>
    <w:rsid w:val="00D90471"/>
    <w:rsid w:val="00D912AB"/>
    <w:rsid w:val="00D91923"/>
    <w:rsid w:val="00D92E0F"/>
    <w:rsid w:val="00D93753"/>
    <w:rsid w:val="00D93B8C"/>
    <w:rsid w:val="00D94738"/>
    <w:rsid w:val="00D954FA"/>
    <w:rsid w:val="00D957C9"/>
    <w:rsid w:val="00D965E7"/>
    <w:rsid w:val="00D96E77"/>
    <w:rsid w:val="00D975F6"/>
    <w:rsid w:val="00D97B55"/>
    <w:rsid w:val="00D97BBB"/>
    <w:rsid w:val="00DA010D"/>
    <w:rsid w:val="00DA05A1"/>
    <w:rsid w:val="00DA16B6"/>
    <w:rsid w:val="00DA1CD3"/>
    <w:rsid w:val="00DA2164"/>
    <w:rsid w:val="00DA3167"/>
    <w:rsid w:val="00DA4497"/>
    <w:rsid w:val="00DA4673"/>
    <w:rsid w:val="00DA48FD"/>
    <w:rsid w:val="00DA4A15"/>
    <w:rsid w:val="00DA4DC3"/>
    <w:rsid w:val="00DA58A6"/>
    <w:rsid w:val="00DA6CC8"/>
    <w:rsid w:val="00DA77A5"/>
    <w:rsid w:val="00DB0E36"/>
    <w:rsid w:val="00DB110A"/>
    <w:rsid w:val="00DB2D37"/>
    <w:rsid w:val="00DB3DBF"/>
    <w:rsid w:val="00DB4358"/>
    <w:rsid w:val="00DB484F"/>
    <w:rsid w:val="00DB5122"/>
    <w:rsid w:val="00DB56BA"/>
    <w:rsid w:val="00DB57CD"/>
    <w:rsid w:val="00DB696C"/>
    <w:rsid w:val="00DC0028"/>
    <w:rsid w:val="00DC04F6"/>
    <w:rsid w:val="00DC0690"/>
    <w:rsid w:val="00DC1D65"/>
    <w:rsid w:val="00DC2311"/>
    <w:rsid w:val="00DC24E0"/>
    <w:rsid w:val="00DC2527"/>
    <w:rsid w:val="00DC29D7"/>
    <w:rsid w:val="00DC31A9"/>
    <w:rsid w:val="00DC3251"/>
    <w:rsid w:val="00DC3C57"/>
    <w:rsid w:val="00DC4A03"/>
    <w:rsid w:val="00DC50F0"/>
    <w:rsid w:val="00DC5501"/>
    <w:rsid w:val="00DC5DE4"/>
    <w:rsid w:val="00DC7154"/>
    <w:rsid w:val="00DC7E8A"/>
    <w:rsid w:val="00DD0F78"/>
    <w:rsid w:val="00DD273C"/>
    <w:rsid w:val="00DD3F28"/>
    <w:rsid w:val="00DD4446"/>
    <w:rsid w:val="00DD4537"/>
    <w:rsid w:val="00DD4E15"/>
    <w:rsid w:val="00DD52A1"/>
    <w:rsid w:val="00DD7F64"/>
    <w:rsid w:val="00DD7FB3"/>
    <w:rsid w:val="00DE06E3"/>
    <w:rsid w:val="00DE1973"/>
    <w:rsid w:val="00DE2304"/>
    <w:rsid w:val="00DE2D63"/>
    <w:rsid w:val="00DE3138"/>
    <w:rsid w:val="00DE37F8"/>
    <w:rsid w:val="00DE3E63"/>
    <w:rsid w:val="00DE4273"/>
    <w:rsid w:val="00DE4492"/>
    <w:rsid w:val="00DE4E33"/>
    <w:rsid w:val="00DE4FCB"/>
    <w:rsid w:val="00DE5081"/>
    <w:rsid w:val="00DE5D07"/>
    <w:rsid w:val="00DE5E57"/>
    <w:rsid w:val="00DE72A7"/>
    <w:rsid w:val="00DE7832"/>
    <w:rsid w:val="00DF18FC"/>
    <w:rsid w:val="00DF205D"/>
    <w:rsid w:val="00DF2291"/>
    <w:rsid w:val="00DF2579"/>
    <w:rsid w:val="00DF2E4F"/>
    <w:rsid w:val="00DF3971"/>
    <w:rsid w:val="00DF3A12"/>
    <w:rsid w:val="00DF46B8"/>
    <w:rsid w:val="00DF5151"/>
    <w:rsid w:val="00DF53E4"/>
    <w:rsid w:val="00DF5C33"/>
    <w:rsid w:val="00DF5D2B"/>
    <w:rsid w:val="00DF6341"/>
    <w:rsid w:val="00DF6739"/>
    <w:rsid w:val="00DF724D"/>
    <w:rsid w:val="00DF79CF"/>
    <w:rsid w:val="00E00E8E"/>
    <w:rsid w:val="00E01729"/>
    <w:rsid w:val="00E01757"/>
    <w:rsid w:val="00E0286A"/>
    <w:rsid w:val="00E032DA"/>
    <w:rsid w:val="00E03A5D"/>
    <w:rsid w:val="00E03E41"/>
    <w:rsid w:val="00E03EDE"/>
    <w:rsid w:val="00E04EFE"/>
    <w:rsid w:val="00E05630"/>
    <w:rsid w:val="00E06692"/>
    <w:rsid w:val="00E06B81"/>
    <w:rsid w:val="00E06DBB"/>
    <w:rsid w:val="00E0722E"/>
    <w:rsid w:val="00E10149"/>
    <w:rsid w:val="00E108FA"/>
    <w:rsid w:val="00E10A66"/>
    <w:rsid w:val="00E10E6C"/>
    <w:rsid w:val="00E11340"/>
    <w:rsid w:val="00E122A1"/>
    <w:rsid w:val="00E1273A"/>
    <w:rsid w:val="00E13547"/>
    <w:rsid w:val="00E13DBC"/>
    <w:rsid w:val="00E14E6E"/>
    <w:rsid w:val="00E14F47"/>
    <w:rsid w:val="00E16372"/>
    <w:rsid w:val="00E167FD"/>
    <w:rsid w:val="00E16AD8"/>
    <w:rsid w:val="00E16BD9"/>
    <w:rsid w:val="00E17441"/>
    <w:rsid w:val="00E17FFA"/>
    <w:rsid w:val="00E206BA"/>
    <w:rsid w:val="00E20E4D"/>
    <w:rsid w:val="00E20ED6"/>
    <w:rsid w:val="00E21358"/>
    <w:rsid w:val="00E2249B"/>
    <w:rsid w:val="00E22A0D"/>
    <w:rsid w:val="00E22B4B"/>
    <w:rsid w:val="00E23C3D"/>
    <w:rsid w:val="00E244F6"/>
    <w:rsid w:val="00E24E80"/>
    <w:rsid w:val="00E256C7"/>
    <w:rsid w:val="00E258DB"/>
    <w:rsid w:val="00E2771E"/>
    <w:rsid w:val="00E27CBB"/>
    <w:rsid w:val="00E311EF"/>
    <w:rsid w:val="00E31E89"/>
    <w:rsid w:val="00E32180"/>
    <w:rsid w:val="00E32F17"/>
    <w:rsid w:val="00E3430C"/>
    <w:rsid w:val="00E3487A"/>
    <w:rsid w:val="00E34948"/>
    <w:rsid w:val="00E37569"/>
    <w:rsid w:val="00E401B2"/>
    <w:rsid w:val="00E409B3"/>
    <w:rsid w:val="00E41E30"/>
    <w:rsid w:val="00E41E54"/>
    <w:rsid w:val="00E42F73"/>
    <w:rsid w:val="00E43A08"/>
    <w:rsid w:val="00E43D70"/>
    <w:rsid w:val="00E4475B"/>
    <w:rsid w:val="00E45595"/>
    <w:rsid w:val="00E466F3"/>
    <w:rsid w:val="00E46BC1"/>
    <w:rsid w:val="00E47B2C"/>
    <w:rsid w:val="00E500F5"/>
    <w:rsid w:val="00E50C76"/>
    <w:rsid w:val="00E51560"/>
    <w:rsid w:val="00E51821"/>
    <w:rsid w:val="00E527B8"/>
    <w:rsid w:val="00E531CB"/>
    <w:rsid w:val="00E53FC8"/>
    <w:rsid w:val="00E54347"/>
    <w:rsid w:val="00E5483F"/>
    <w:rsid w:val="00E55033"/>
    <w:rsid w:val="00E55424"/>
    <w:rsid w:val="00E55804"/>
    <w:rsid w:val="00E55915"/>
    <w:rsid w:val="00E55A6D"/>
    <w:rsid w:val="00E55BB5"/>
    <w:rsid w:val="00E60996"/>
    <w:rsid w:val="00E60F83"/>
    <w:rsid w:val="00E611DF"/>
    <w:rsid w:val="00E62A84"/>
    <w:rsid w:val="00E62BB5"/>
    <w:rsid w:val="00E65A3F"/>
    <w:rsid w:val="00E65D5D"/>
    <w:rsid w:val="00E65E79"/>
    <w:rsid w:val="00E66494"/>
    <w:rsid w:val="00E66BA2"/>
    <w:rsid w:val="00E66C59"/>
    <w:rsid w:val="00E66E17"/>
    <w:rsid w:val="00E67416"/>
    <w:rsid w:val="00E718B6"/>
    <w:rsid w:val="00E7191C"/>
    <w:rsid w:val="00E723BA"/>
    <w:rsid w:val="00E73581"/>
    <w:rsid w:val="00E73B98"/>
    <w:rsid w:val="00E749BF"/>
    <w:rsid w:val="00E75850"/>
    <w:rsid w:val="00E75876"/>
    <w:rsid w:val="00E76389"/>
    <w:rsid w:val="00E8103F"/>
    <w:rsid w:val="00E833F7"/>
    <w:rsid w:val="00E83BDF"/>
    <w:rsid w:val="00E84461"/>
    <w:rsid w:val="00E86712"/>
    <w:rsid w:val="00E86F9D"/>
    <w:rsid w:val="00E86FCC"/>
    <w:rsid w:val="00E872C7"/>
    <w:rsid w:val="00E87A1D"/>
    <w:rsid w:val="00E903ED"/>
    <w:rsid w:val="00E905EF"/>
    <w:rsid w:val="00E9094A"/>
    <w:rsid w:val="00E91385"/>
    <w:rsid w:val="00E91D35"/>
    <w:rsid w:val="00E91D6E"/>
    <w:rsid w:val="00E9269E"/>
    <w:rsid w:val="00E926A5"/>
    <w:rsid w:val="00E92990"/>
    <w:rsid w:val="00E92ACA"/>
    <w:rsid w:val="00E93D1C"/>
    <w:rsid w:val="00E94072"/>
    <w:rsid w:val="00E94838"/>
    <w:rsid w:val="00E9539E"/>
    <w:rsid w:val="00E960CB"/>
    <w:rsid w:val="00E962CC"/>
    <w:rsid w:val="00E97A98"/>
    <w:rsid w:val="00E97F84"/>
    <w:rsid w:val="00EA03DE"/>
    <w:rsid w:val="00EA17C3"/>
    <w:rsid w:val="00EA2CAA"/>
    <w:rsid w:val="00EA333C"/>
    <w:rsid w:val="00EA36A0"/>
    <w:rsid w:val="00EA3864"/>
    <w:rsid w:val="00EA3E20"/>
    <w:rsid w:val="00EA4DD7"/>
    <w:rsid w:val="00EA6242"/>
    <w:rsid w:val="00EA6A17"/>
    <w:rsid w:val="00EA7F1C"/>
    <w:rsid w:val="00EB14E0"/>
    <w:rsid w:val="00EB15B6"/>
    <w:rsid w:val="00EB20B0"/>
    <w:rsid w:val="00EB2816"/>
    <w:rsid w:val="00EB33B7"/>
    <w:rsid w:val="00EB3602"/>
    <w:rsid w:val="00EB3781"/>
    <w:rsid w:val="00EB3BE6"/>
    <w:rsid w:val="00EB3D06"/>
    <w:rsid w:val="00EB4916"/>
    <w:rsid w:val="00EB4A7C"/>
    <w:rsid w:val="00EB4F06"/>
    <w:rsid w:val="00EB53FC"/>
    <w:rsid w:val="00EB5454"/>
    <w:rsid w:val="00EB6320"/>
    <w:rsid w:val="00EB6785"/>
    <w:rsid w:val="00EC00C9"/>
    <w:rsid w:val="00EC0DD9"/>
    <w:rsid w:val="00EC114A"/>
    <w:rsid w:val="00EC16B6"/>
    <w:rsid w:val="00EC1949"/>
    <w:rsid w:val="00EC2649"/>
    <w:rsid w:val="00EC31ED"/>
    <w:rsid w:val="00EC35B4"/>
    <w:rsid w:val="00EC3790"/>
    <w:rsid w:val="00EC4E9B"/>
    <w:rsid w:val="00EC55C5"/>
    <w:rsid w:val="00EC5836"/>
    <w:rsid w:val="00EC688C"/>
    <w:rsid w:val="00EC7B0C"/>
    <w:rsid w:val="00ED0A7C"/>
    <w:rsid w:val="00ED0DC9"/>
    <w:rsid w:val="00ED12E3"/>
    <w:rsid w:val="00ED1497"/>
    <w:rsid w:val="00ED1FB0"/>
    <w:rsid w:val="00ED38E1"/>
    <w:rsid w:val="00ED4B04"/>
    <w:rsid w:val="00ED55E8"/>
    <w:rsid w:val="00ED55F3"/>
    <w:rsid w:val="00ED57EA"/>
    <w:rsid w:val="00ED5964"/>
    <w:rsid w:val="00ED5BD4"/>
    <w:rsid w:val="00ED6AD5"/>
    <w:rsid w:val="00ED7BEE"/>
    <w:rsid w:val="00EE0686"/>
    <w:rsid w:val="00EE07D3"/>
    <w:rsid w:val="00EE0954"/>
    <w:rsid w:val="00EE1915"/>
    <w:rsid w:val="00EE1996"/>
    <w:rsid w:val="00EE1C01"/>
    <w:rsid w:val="00EE22AF"/>
    <w:rsid w:val="00EE2C93"/>
    <w:rsid w:val="00EE2FBE"/>
    <w:rsid w:val="00EE325A"/>
    <w:rsid w:val="00EE3978"/>
    <w:rsid w:val="00EE53CF"/>
    <w:rsid w:val="00EE56EA"/>
    <w:rsid w:val="00EE7F66"/>
    <w:rsid w:val="00EF0171"/>
    <w:rsid w:val="00EF1B25"/>
    <w:rsid w:val="00EF1DA0"/>
    <w:rsid w:val="00EF33DE"/>
    <w:rsid w:val="00EF45AE"/>
    <w:rsid w:val="00EF4747"/>
    <w:rsid w:val="00EF4BF8"/>
    <w:rsid w:val="00EF505D"/>
    <w:rsid w:val="00EF66EA"/>
    <w:rsid w:val="00EF79A1"/>
    <w:rsid w:val="00F02163"/>
    <w:rsid w:val="00F02253"/>
    <w:rsid w:val="00F02FD7"/>
    <w:rsid w:val="00F03996"/>
    <w:rsid w:val="00F03C2E"/>
    <w:rsid w:val="00F04A66"/>
    <w:rsid w:val="00F04B4B"/>
    <w:rsid w:val="00F0516C"/>
    <w:rsid w:val="00F05BCF"/>
    <w:rsid w:val="00F067A2"/>
    <w:rsid w:val="00F07B63"/>
    <w:rsid w:val="00F07B9E"/>
    <w:rsid w:val="00F1035F"/>
    <w:rsid w:val="00F10DAB"/>
    <w:rsid w:val="00F110C5"/>
    <w:rsid w:val="00F1116F"/>
    <w:rsid w:val="00F11C8D"/>
    <w:rsid w:val="00F11E85"/>
    <w:rsid w:val="00F1263A"/>
    <w:rsid w:val="00F12AC1"/>
    <w:rsid w:val="00F13772"/>
    <w:rsid w:val="00F139C5"/>
    <w:rsid w:val="00F14994"/>
    <w:rsid w:val="00F15B77"/>
    <w:rsid w:val="00F167D7"/>
    <w:rsid w:val="00F16C4A"/>
    <w:rsid w:val="00F17FED"/>
    <w:rsid w:val="00F20469"/>
    <w:rsid w:val="00F21236"/>
    <w:rsid w:val="00F21940"/>
    <w:rsid w:val="00F2290B"/>
    <w:rsid w:val="00F239DF"/>
    <w:rsid w:val="00F24837"/>
    <w:rsid w:val="00F24F39"/>
    <w:rsid w:val="00F2575F"/>
    <w:rsid w:val="00F26489"/>
    <w:rsid w:val="00F27565"/>
    <w:rsid w:val="00F30ADC"/>
    <w:rsid w:val="00F310D4"/>
    <w:rsid w:val="00F31D5A"/>
    <w:rsid w:val="00F32FD7"/>
    <w:rsid w:val="00F33975"/>
    <w:rsid w:val="00F33DE9"/>
    <w:rsid w:val="00F34B0F"/>
    <w:rsid w:val="00F34F1C"/>
    <w:rsid w:val="00F3523F"/>
    <w:rsid w:val="00F35E6D"/>
    <w:rsid w:val="00F360BD"/>
    <w:rsid w:val="00F36193"/>
    <w:rsid w:val="00F3619A"/>
    <w:rsid w:val="00F37D32"/>
    <w:rsid w:val="00F37F56"/>
    <w:rsid w:val="00F40AAA"/>
    <w:rsid w:val="00F40BA7"/>
    <w:rsid w:val="00F40F9D"/>
    <w:rsid w:val="00F41328"/>
    <w:rsid w:val="00F41ACD"/>
    <w:rsid w:val="00F43C79"/>
    <w:rsid w:val="00F459BF"/>
    <w:rsid w:val="00F46CB6"/>
    <w:rsid w:val="00F4756D"/>
    <w:rsid w:val="00F47DE8"/>
    <w:rsid w:val="00F51E67"/>
    <w:rsid w:val="00F52638"/>
    <w:rsid w:val="00F53225"/>
    <w:rsid w:val="00F53B72"/>
    <w:rsid w:val="00F542C1"/>
    <w:rsid w:val="00F550E3"/>
    <w:rsid w:val="00F55885"/>
    <w:rsid w:val="00F55E73"/>
    <w:rsid w:val="00F55EDA"/>
    <w:rsid w:val="00F56C80"/>
    <w:rsid w:val="00F5760D"/>
    <w:rsid w:val="00F57C39"/>
    <w:rsid w:val="00F57FB1"/>
    <w:rsid w:val="00F60092"/>
    <w:rsid w:val="00F60CAA"/>
    <w:rsid w:val="00F61139"/>
    <w:rsid w:val="00F61B62"/>
    <w:rsid w:val="00F61C18"/>
    <w:rsid w:val="00F637B0"/>
    <w:rsid w:val="00F65BA7"/>
    <w:rsid w:val="00F65F4B"/>
    <w:rsid w:val="00F66715"/>
    <w:rsid w:val="00F677B5"/>
    <w:rsid w:val="00F67A69"/>
    <w:rsid w:val="00F70192"/>
    <w:rsid w:val="00F70BFF"/>
    <w:rsid w:val="00F70C9D"/>
    <w:rsid w:val="00F7326C"/>
    <w:rsid w:val="00F73E08"/>
    <w:rsid w:val="00F74CD9"/>
    <w:rsid w:val="00F74E24"/>
    <w:rsid w:val="00F7555D"/>
    <w:rsid w:val="00F7748C"/>
    <w:rsid w:val="00F80A7B"/>
    <w:rsid w:val="00F80E5D"/>
    <w:rsid w:val="00F81E78"/>
    <w:rsid w:val="00F82BC6"/>
    <w:rsid w:val="00F83916"/>
    <w:rsid w:val="00F839E7"/>
    <w:rsid w:val="00F851CE"/>
    <w:rsid w:val="00F85D93"/>
    <w:rsid w:val="00F85E32"/>
    <w:rsid w:val="00F86B3C"/>
    <w:rsid w:val="00F91219"/>
    <w:rsid w:val="00F91652"/>
    <w:rsid w:val="00F91AE5"/>
    <w:rsid w:val="00F92444"/>
    <w:rsid w:val="00F92515"/>
    <w:rsid w:val="00F933D4"/>
    <w:rsid w:val="00F9393E"/>
    <w:rsid w:val="00F94D50"/>
    <w:rsid w:val="00F9503B"/>
    <w:rsid w:val="00F957D3"/>
    <w:rsid w:val="00F96FD0"/>
    <w:rsid w:val="00F97A78"/>
    <w:rsid w:val="00F97BDE"/>
    <w:rsid w:val="00FA0668"/>
    <w:rsid w:val="00FA0AF0"/>
    <w:rsid w:val="00FA0B20"/>
    <w:rsid w:val="00FA24E7"/>
    <w:rsid w:val="00FA37B4"/>
    <w:rsid w:val="00FA38C7"/>
    <w:rsid w:val="00FA5EE6"/>
    <w:rsid w:val="00FA6B4A"/>
    <w:rsid w:val="00FA6F7B"/>
    <w:rsid w:val="00FA7956"/>
    <w:rsid w:val="00FB0824"/>
    <w:rsid w:val="00FB0890"/>
    <w:rsid w:val="00FB0B18"/>
    <w:rsid w:val="00FB28E0"/>
    <w:rsid w:val="00FB2FCB"/>
    <w:rsid w:val="00FB318F"/>
    <w:rsid w:val="00FB4C9C"/>
    <w:rsid w:val="00FB5F05"/>
    <w:rsid w:val="00FB6395"/>
    <w:rsid w:val="00FB6D9C"/>
    <w:rsid w:val="00FB769B"/>
    <w:rsid w:val="00FB7C55"/>
    <w:rsid w:val="00FC0367"/>
    <w:rsid w:val="00FC087E"/>
    <w:rsid w:val="00FC1074"/>
    <w:rsid w:val="00FC1884"/>
    <w:rsid w:val="00FC371D"/>
    <w:rsid w:val="00FC5F0B"/>
    <w:rsid w:val="00FC628C"/>
    <w:rsid w:val="00FC6C75"/>
    <w:rsid w:val="00FD17B7"/>
    <w:rsid w:val="00FD2100"/>
    <w:rsid w:val="00FD36E4"/>
    <w:rsid w:val="00FD436C"/>
    <w:rsid w:val="00FD446D"/>
    <w:rsid w:val="00FD4F2C"/>
    <w:rsid w:val="00FD5E76"/>
    <w:rsid w:val="00FD6038"/>
    <w:rsid w:val="00FD6394"/>
    <w:rsid w:val="00FE0080"/>
    <w:rsid w:val="00FE0E6C"/>
    <w:rsid w:val="00FE16DF"/>
    <w:rsid w:val="00FE1792"/>
    <w:rsid w:val="00FE1CDC"/>
    <w:rsid w:val="00FE2102"/>
    <w:rsid w:val="00FE281B"/>
    <w:rsid w:val="00FE3DE3"/>
    <w:rsid w:val="00FE4464"/>
    <w:rsid w:val="00FE5CC0"/>
    <w:rsid w:val="00FE70C3"/>
    <w:rsid w:val="00FE7296"/>
    <w:rsid w:val="00FE77D6"/>
    <w:rsid w:val="00FE7DB3"/>
    <w:rsid w:val="00FF0609"/>
    <w:rsid w:val="00FF09C3"/>
    <w:rsid w:val="00FF1A8B"/>
    <w:rsid w:val="00FF2AD9"/>
    <w:rsid w:val="00FF31B9"/>
    <w:rsid w:val="00FF359F"/>
    <w:rsid w:val="00FF3DCF"/>
    <w:rsid w:val="00FF4483"/>
    <w:rsid w:val="00FF492C"/>
    <w:rsid w:val="00FF4A21"/>
    <w:rsid w:val="00FF4DBA"/>
    <w:rsid w:val="00FF4F34"/>
    <w:rsid w:val="00FF5AA3"/>
    <w:rsid w:val="00FF5AD8"/>
    <w:rsid w:val="00FF62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8A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Heading 1,Bayer Caption,IB Caption,Medical Caption,Bayer Caption1,IB Caption1,Medical Caption1,Bayer Caption2,IB Caption2,Medical Caption2,Bayer Caption3,IB Caption3,Medical Caption3,Bayer Caption4,IB Caption4,Medical Caption4,Figure capti"/>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Heading 1 Char,Bayer Caption Char,IB Caption Char,Medical Caption Char,Bayer Caption1 Char,IB Caption1 Char,Medical Caption1 Char,Bayer Caption2 Char,IB Caption2 Char,Medical Caption2 Char,Bayer Caption3 Char,IB Caption3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Figure_name,Numbered Indented Text,Bullet- First level,lp1"/>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Figure_nam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HealthConsult,MSD Table Grid,PBAC table,HTAtableplain,Lash Style Table,Tabellengitternetz 9pt,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B10500"/>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tabs>
        <w:tab w:val="clear" w:pos="360"/>
        <w:tab w:val="num" w:pos="567"/>
      </w:tabs>
      <w:ind w:left="567"/>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customStyle="1" w:styleId="TableBullet">
    <w:name w:val="Table Bullet"/>
    <w:basedOn w:val="TableText0"/>
    <w:rsid w:val="00155398"/>
    <w:pPr>
      <w:keepNext w:val="0"/>
      <w:numPr>
        <w:numId w:val="6"/>
      </w:numPr>
      <w:spacing w:before="40" w:after="40"/>
      <w:ind w:left="357" w:hanging="357"/>
    </w:pPr>
    <w:rPr>
      <w:rFonts w:asciiTheme="minorHAnsi" w:eastAsiaTheme="minorHAnsi" w:hAnsiTheme="minorHAnsi" w:cstheme="minorHAnsi"/>
      <w:bCs w:val="0"/>
      <w:sz w:val="18"/>
      <w:szCs w:val="18"/>
      <w:lang w:eastAsia="en-US"/>
    </w:rPr>
  </w:style>
  <w:style w:type="paragraph" w:customStyle="1" w:styleId="TableFigNote">
    <w:name w:val="TableFigNote"/>
    <w:basedOn w:val="Normal"/>
    <w:qFormat/>
    <w:rsid w:val="00155398"/>
    <w:pPr>
      <w:jc w:val="left"/>
    </w:pPr>
    <w:rPr>
      <w:rFonts w:asciiTheme="minorHAnsi" w:eastAsiaTheme="minorHAnsi" w:hAnsiTheme="minorHAnsi" w:cstheme="minorBidi"/>
      <w:sz w:val="16"/>
      <w:szCs w:val="22"/>
      <w:lang w:eastAsia="en-US"/>
    </w:rPr>
  </w:style>
  <w:style w:type="character" w:customStyle="1" w:styleId="TableHeadingChar">
    <w:name w:val="TableHeading Char"/>
    <w:link w:val="TableHeading"/>
    <w:rsid w:val="003F4F4D"/>
    <w:rPr>
      <w:rFonts w:ascii="Arial Narrow" w:hAnsi="Arial Narrow" w:cs="Arial Narrow"/>
      <w:b/>
      <w:bCs/>
      <w:snapToGrid w:val="0"/>
      <w:szCs w:val="24"/>
    </w:rPr>
  </w:style>
  <w:style w:type="paragraph" w:styleId="FootnoteText">
    <w:name w:val="footnote text"/>
    <w:basedOn w:val="Normal"/>
    <w:link w:val="FootnoteTextChar"/>
    <w:unhideWhenUsed/>
    <w:qFormat/>
    <w:rsid w:val="004A67F4"/>
    <w:rPr>
      <w:sz w:val="20"/>
      <w:szCs w:val="20"/>
    </w:rPr>
  </w:style>
  <w:style w:type="character" w:customStyle="1" w:styleId="FootnoteTextChar">
    <w:name w:val="Footnote Text Char"/>
    <w:basedOn w:val="DefaultParagraphFont"/>
    <w:link w:val="FootnoteText"/>
    <w:rsid w:val="004A67F4"/>
    <w:rPr>
      <w:rFonts w:ascii="Calibri" w:hAnsi="Calibri" w:cs="Arial"/>
    </w:rPr>
  </w:style>
  <w:style w:type="character" w:styleId="FootnoteReference">
    <w:name w:val="footnote reference"/>
    <w:basedOn w:val="DefaultParagraphFont"/>
    <w:unhideWhenUsed/>
    <w:rsid w:val="004A67F4"/>
    <w:rPr>
      <w:vertAlign w:val="superscript"/>
    </w:rPr>
  </w:style>
  <w:style w:type="table" w:customStyle="1" w:styleId="LightList-Accent31">
    <w:name w:val="Light List - Accent 31"/>
    <w:basedOn w:val="TableNormal"/>
    <w:next w:val="LightList-Accent3"/>
    <w:uiPriority w:val="61"/>
    <w:rsid w:val="00437714"/>
    <w:rPr>
      <w:rFonts w:ascii="Tahoma" w:eastAsia="Tahoma" w:hAnsi="Tahoma"/>
      <w:szCs w:val="22"/>
      <w:lang w:val="en-GB" w:eastAsia="en-GB"/>
    </w:rPr>
    <w:tblPr>
      <w:tblStyleRowBandSize w:val="1"/>
      <w:tblStyleColBandSize w:val="1"/>
      <w:tblBorders>
        <w:top w:val="single" w:sz="8" w:space="0" w:color="91AFD3"/>
        <w:left w:val="single" w:sz="8" w:space="0" w:color="91AFD3"/>
        <w:bottom w:val="single" w:sz="8" w:space="0" w:color="91AFD3"/>
        <w:right w:val="single" w:sz="8" w:space="0" w:color="91AFD3"/>
      </w:tblBorders>
    </w:tblPr>
    <w:tblStylePr w:type="firstRow">
      <w:pPr>
        <w:spacing w:before="0" w:after="0" w:line="240" w:lineRule="auto"/>
      </w:pPr>
      <w:rPr>
        <w:b/>
        <w:bCs/>
        <w:color w:val="EAEAEA"/>
      </w:rPr>
      <w:tblPr/>
      <w:tcPr>
        <w:shd w:val="clear" w:color="auto" w:fill="91AFD3"/>
      </w:tcPr>
    </w:tblStylePr>
    <w:tblStylePr w:type="lastRow">
      <w:pPr>
        <w:spacing w:before="0" w:after="0" w:line="240" w:lineRule="auto"/>
      </w:pPr>
      <w:rPr>
        <w:b/>
        <w:bCs/>
      </w:rPr>
      <w:tblPr/>
      <w:tcPr>
        <w:tcBorders>
          <w:top w:val="double" w:sz="6" w:space="0" w:color="91AFD3"/>
          <w:left w:val="single" w:sz="8" w:space="0" w:color="91AFD3"/>
          <w:bottom w:val="single" w:sz="8" w:space="0" w:color="91AFD3"/>
          <w:right w:val="single" w:sz="8" w:space="0" w:color="91AFD3"/>
        </w:tcBorders>
      </w:tcPr>
    </w:tblStylePr>
    <w:tblStylePr w:type="firstCol">
      <w:rPr>
        <w:b/>
        <w:bCs/>
      </w:rPr>
    </w:tblStylePr>
    <w:tblStylePr w:type="lastCol">
      <w:rPr>
        <w:b/>
        <w:bCs/>
      </w:rPr>
    </w:tblStylePr>
    <w:tblStylePr w:type="band1Vert">
      <w:tblPr/>
      <w:tcPr>
        <w:tcBorders>
          <w:top w:val="single" w:sz="8" w:space="0" w:color="91AFD3"/>
          <w:left w:val="single" w:sz="8" w:space="0" w:color="91AFD3"/>
          <w:bottom w:val="single" w:sz="8" w:space="0" w:color="91AFD3"/>
          <w:right w:val="single" w:sz="8" w:space="0" w:color="91AFD3"/>
        </w:tcBorders>
      </w:tcPr>
    </w:tblStylePr>
    <w:tblStylePr w:type="band1Horz">
      <w:tblPr/>
      <w:tcPr>
        <w:tcBorders>
          <w:top w:val="single" w:sz="8" w:space="0" w:color="91AFD3"/>
          <w:left w:val="single" w:sz="8" w:space="0" w:color="91AFD3"/>
          <w:bottom w:val="single" w:sz="8" w:space="0" w:color="91AFD3"/>
          <w:right w:val="single" w:sz="8" w:space="0" w:color="91AFD3"/>
        </w:tcBorders>
      </w:tcPr>
    </w:tblStylePr>
  </w:style>
  <w:style w:type="table" w:styleId="LightList-Accent3">
    <w:name w:val="Light List Accent 3"/>
    <w:basedOn w:val="TableNormal"/>
    <w:uiPriority w:val="61"/>
    <w:semiHidden/>
    <w:unhideWhenUsed/>
    <w:rsid w:val="0043771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heading0">
    <w:name w:val="Table heading"/>
    <w:basedOn w:val="Normal"/>
    <w:link w:val="TableheadingChar0"/>
    <w:qFormat/>
    <w:rsid w:val="00F11E85"/>
    <w:pPr>
      <w:keepNext/>
      <w:keepLines/>
      <w:spacing w:before="60" w:after="60"/>
      <w:jc w:val="left"/>
    </w:pPr>
    <w:rPr>
      <w:rFonts w:ascii="Arial" w:eastAsiaTheme="minorHAnsi" w:hAnsi="Arial" w:cs="Times New Roman"/>
      <w:b/>
      <w:bCs/>
      <w:sz w:val="20"/>
      <w:szCs w:val="20"/>
      <w:lang w:eastAsia="en-US"/>
    </w:rPr>
  </w:style>
  <w:style w:type="character" w:customStyle="1" w:styleId="TableheadingChar0">
    <w:name w:val="Table heading Char"/>
    <w:link w:val="Tableheading0"/>
    <w:rsid w:val="00F11E85"/>
    <w:rPr>
      <w:rFonts w:ascii="Arial" w:eastAsiaTheme="minorHAnsi" w:hAnsi="Arial"/>
      <w:b/>
      <w:bCs/>
      <w:lang w:eastAsia="en-US"/>
    </w:rPr>
  </w:style>
  <w:style w:type="paragraph" w:customStyle="1" w:styleId="TableNumbered">
    <w:name w:val="Table Numbered"/>
    <w:basedOn w:val="TableBullet"/>
    <w:rsid w:val="00795F88"/>
    <w:pPr>
      <w:numPr>
        <w:numId w:val="10"/>
      </w:numPr>
      <w:ind w:left="357" w:hanging="357"/>
    </w:pPr>
  </w:style>
  <w:style w:type="paragraph" w:customStyle="1" w:styleId="TableFigureFooter">
    <w:name w:val="Table/Figure Footer"/>
    <w:basedOn w:val="Normal"/>
    <w:link w:val="TableFigureFooterChar"/>
    <w:qFormat/>
    <w:rsid w:val="00A10DE9"/>
    <w:pPr>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A10DE9"/>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A10DE9"/>
    <w:rPr>
      <w:color w:val="605E5C"/>
      <w:shd w:val="clear" w:color="auto" w:fill="E1DFDD"/>
    </w:rPr>
  </w:style>
  <w:style w:type="character" w:customStyle="1" w:styleId="PBACTableTextChar">
    <w:name w:val="PBAC Table Text Char"/>
    <w:basedOn w:val="DefaultParagraphFont"/>
    <w:link w:val="PBACTableText"/>
    <w:locked/>
    <w:rsid w:val="00A10DE9"/>
    <w:rPr>
      <w:rFonts w:ascii="Arial Narrow" w:hAnsi="Arial Narrow"/>
    </w:rPr>
  </w:style>
  <w:style w:type="paragraph" w:customStyle="1" w:styleId="PBACTableText">
    <w:name w:val="PBAC Table Text"/>
    <w:basedOn w:val="Normal"/>
    <w:link w:val="PBACTableTextChar"/>
    <w:qFormat/>
    <w:rsid w:val="00A10DE9"/>
    <w:pPr>
      <w:spacing w:before="40" w:after="40"/>
      <w:jc w:val="left"/>
    </w:pPr>
    <w:rPr>
      <w:rFonts w:ascii="Arial Narrow" w:hAnsi="Arial Narrow" w:cs="Times New Roman"/>
      <w:sz w:val="20"/>
      <w:szCs w:val="20"/>
    </w:rPr>
  </w:style>
  <w:style w:type="paragraph" w:customStyle="1" w:styleId="BodyText1">
    <w:name w:val="Body Text1"/>
    <w:basedOn w:val="Normal"/>
    <w:link w:val="BodytextChar0"/>
    <w:qFormat/>
    <w:rsid w:val="00A10DE9"/>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A10DE9"/>
    <w:rPr>
      <w:rFonts w:asciiTheme="minorHAnsi" w:eastAsiaTheme="minorHAnsi" w:hAnsiTheme="minorHAnsi" w:cstheme="minorBidi"/>
      <w:sz w:val="22"/>
      <w:szCs w:val="22"/>
      <w:lang w:eastAsia="en-US"/>
    </w:rPr>
  </w:style>
  <w:style w:type="table" w:styleId="TableGridLight">
    <w:name w:val="Grid Table Light"/>
    <w:basedOn w:val="TableNormal"/>
    <w:uiPriority w:val="40"/>
    <w:rsid w:val="00A10D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0D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10D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D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0D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10DE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10D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D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0DE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0DE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0DE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PBACESHeading1">
    <w:name w:val="PBAC ES Heading 1"/>
    <w:basedOn w:val="Heading1"/>
    <w:next w:val="ListParagraph"/>
    <w:uiPriority w:val="1"/>
    <w:qFormat/>
    <w:rsid w:val="00A10DE9"/>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A10DE9"/>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A10DE9"/>
    <w:rPr>
      <w:i w:val="0"/>
      <w:smallCaps/>
      <w:sz w:val="32"/>
    </w:rPr>
  </w:style>
  <w:style w:type="paragraph" w:customStyle="1" w:styleId="PBACESHeading3">
    <w:name w:val="PBAC ES Heading 3"/>
    <w:basedOn w:val="PBACESHeading2"/>
    <w:uiPriority w:val="1"/>
    <w:qFormat/>
    <w:rsid w:val="00A10DE9"/>
    <w:pPr>
      <w:ind w:left="1080" w:hanging="1080"/>
    </w:pPr>
    <w:rPr>
      <w:i w:val="0"/>
      <w:sz w:val="24"/>
    </w:rPr>
  </w:style>
  <w:style w:type="paragraph" w:customStyle="1" w:styleId="MSACHeading1">
    <w:name w:val="MSAC Heading 1"/>
    <w:basedOn w:val="Heading1"/>
    <w:next w:val="Normal"/>
    <w:uiPriority w:val="1"/>
    <w:rsid w:val="00A10DE9"/>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rsid w:val="00A10DE9"/>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customStyle="1" w:styleId="TableTextcentred">
    <w:name w:val="Table Text centred"/>
    <w:basedOn w:val="Normal"/>
    <w:link w:val="TableTextcentredChar"/>
    <w:qFormat/>
    <w:rsid w:val="001E56E8"/>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1E56E8"/>
    <w:rPr>
      <w:rFonts w:ascii="Calibri" w:hAnsi="Calibri"/>
      <w:sz w:val="18"/>
      <w:szCs w:val="18"/>
      <w:lang w:eastAsia="en-US"/>
    </w:rPr>
  </w:style>
  <w:style w:type="paragraph" w:customStyle="1" w:styleId="TableTitlecentred">
    <w:name w:val="Table Title centred"/>
    <w:basedOn w:val="Normal"/>
    <w:rsid w:val="001E56E8"/>
    <w:pPr>
      <w:jc w:val="center"/>
    </w:pPr>
    <w:rPr>
      <w:rFonts w:cs="Times New Roman"/>
      <w:b/>
      <w:sz w:val="18"/>
      <w:szCs w:val="20"/>
      <w:lang w:eastAsia="en-US"/>
    </w:rPr>
  </w:style>
  <w:style w:type="character" w:styleId="Emphasis">
    <w:name w:val="Emphasis"/>
    <w:basedOn w:val="DefaultParagraphFont"/>
    <w:uiPriority w:val="20"/>
    <w:rsid w:val="00175E52"/>
    <w:rPr>
      <w:b w:val="0"/>
      <w:i/>
      <w:iCs/>
    </w:rPr>
  </w:style>
  <w:style w:type="paragraph" w:customStyle="1" w:styleId="EndNoteBibliographyTitle">
    <w:name w:val="EndNote Bibliography Title"/>
    <w:basedOn w:val="Normal"/>
    <w:link w:val="EndNoteBibliographyTitleChar"/>
    <w:rsid w:val="00692E64"/>
    <w:pPr>
      <w:jc w:val="center"/>
    </w:pPr>
    <w:rPr>
      <w:rFonts w:cs="Calibri"/>
      <w:noProof/>
    </w:rPr>
  </w:style>
  <w:style w:type="character" w:customStyle="1" w:styleId="EndNoteBibliographyTitleChar">
    <w:name w:val="EndNote Bibliography Title Char"/>
    <w:basedOn w:val="FooterTableFigureChar"/>
    <w:link w:val="EndNoteBibliographyTitle"/>
    <w:rsid w:val="00692E64"/>
    <w:rPr>
      <w:rFonts w:ascii="Calibri" w:hAnsi="Calibri" w:cs="Calibri"/>
      <w:noProof/>
      <w:snapToGrid/>
      <w:sz w:val="24"/>
      <w:szCs w:val="24"/>
    </w:rPr>
  </w:style>
  <w:style w:type="paragraph" w:customStyle="1" w:styleId="EndNoteBibliography">
    <w:name w:val="EndNote Bibliography"/>
    <w:basedOn w:val="Normal"/>
    <w:link w:val="EndNoteBibliographyChar"/>
    <w:rsid w:val="00692E64"/>
    <w:rPr>
      <w:rFonts w:cs="Calibri"/>
      <w:noProof/>
    </w:rPr>
  </w:style>
  <w:style w:type="character" w:customStyle="1" w:styleId="EndNoteBibliographyChar">
    <w:name w:val="EndNote Bibliography Char"/>
    <w:basedOn w:val="FooterTableFigureChar"/>
    <w:link w:val="EndNoteBibliography"/>
    <w:rsid w:val="00692E64"/>
    <w:rPr>
      <w:rFonts w:ascii="Calibri" w:hAnsi="Calibri" w:cs="Calibri"/>
      <w:noProof/>
      <w:snapToGrid/>
      <w:sz w:val="24"/>
      <w:szCs w:val="24"/>
    </w:rPr>
  </w:style>
  <w:style w:type="character" w:customStyle="1" w:styleId="cf01">
    <w:name w:val="cf01"/>
    <w:basedOn w:val="DefaultParagraphFont"/>
    <w:rsid w:val="00B60F45"/>
    <w:rPr>
      <w:rFonts w:ascii="Segoe UI" w:hAnsi="Segoe UI" w:cs="Segoe UI" w:hint="default"/>
      <w:sz w:val="18"/>
      <w:szCs w:val="18"/>
    </w:rPr>
  </w:style>
  <w:style w:type="character" w:styleId="PlaceholderText">
    <w:name w:val="Placeholder Text"/>
    <w:basedOn w:val="DefaultParagraphFont"/>
    <w:uiPriority w:val="99"/>
    <w:semiHidden/>
    <w:rsid w:val="0028626D"/>
    <w:rPr>
      <w:color w:val="808080"/>
    </w:rPr>
  </w:style>
  <w:style w:type="paragraph" w:styleId="PlainText">
    <w:name w:val="Plain Text"/>
    <w:basedOn w:val="Normal"/>
    <w:link w:val="PlainTextChar"/>
    <w:uiPriority w:val="99"/>
    <w:unhideWhenUsed/>
    <w:rsid w:val="00F34B0F"/>
    <w:pPr>
      <w:jc w:val="left"/>
    </w:pPr>
    <w:rPr>
      <w:rFonts w:eastAsiaTheme="minorHAnsi" w:cs="Calibri"/>
      <w:sz w:val="22"/>
      <w:szCs w:val="22"/>
      <w:lang w:eastAsia="en-US"/>
    </w:rPr>
  </w:style>
  <w:style w:type="character" w:customStyle="1" w:styleId="PlainTextChar">
    <w:name w:val="Plain Text Char"/>
    <w:basedOn w:val="DefaultParagraphFont"/>
    <w:link w:val="PlainText"/>
    <w:uiPriority w:val="99"/>
    <w:rsid w:val="00F34B0F"/>
    <w:rPr>
      <w:rFonts w:ascii="Calibri" w:eastAsiaTheme="minorHAnsi" w:hAnsi="Calibri" w:cs="Calibri"/>
      <w:sz w:val="22"/>
      <w:szCs w:val="22"/>
      <w:lang w:eastAsia="en-US"/>
    </w:rPr>
  </w:style>
  <w:style w:type="paragraph" w:customStyle="1" w:styleId="3-SubsectionHeading">
    <w:name w:val="3-Subsection Heading"/>
    <w:basedOn w:val="Heading2"/>
    <w:next w:val="Normal"/>
    <w:link w:val="3-SubsectionHeadingChar"/>
    <w:qFormat/>
    <w:rsid w:val="006D3C4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D3C4C"/>
    <w:rPr>
      <w:rFonts w:asciiTheme="minorHAnsi" w:eastAsiaTheme="majorEastAsia" w:hAnsiTheme="minorHAnsi" w:cstheme="majorBidi"/>
      <w:b/>
      <w:i/>
      <w:snapToGrid/>
      <w:spacing w:val="5"/>
      <w:kern w:val="28"/>
      <w:sz w:val="28"/>
      <w:szCs w:val="36"/>
      <w:lang w:eastAsia="en-US"/>
    </w:rPr>
  </w:style>
  <w:style w:type="character" w:customStyle="1" w:styleId="ui-provider">
    <w:name w:val="ui-provider"/>
    <w:basedOn w:val="DefaultParagraphFont"/>
    <w:rsid w:val="0062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10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27237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8216248">
      <w:bodyDiv w:val="1"/>
      <w:marLeft w:val="0"/>
      <w:marRight w:val="0"/>
      <w:marTop w:val="0"/>
      <w:marBottom w:val="0"/>
      <w:divBdr>
        <w:top w:val="none" w:sz="0" w:space="0" w:color="auto"/>
        <w:left w:val="none" w:sz="0" w:space="0" w:color="auto"/>
        <w:bottom w:val="none" w:sz="0" w:space="0" w:color="auto"/>
        <w:right w:val="none" w:sz="0" w:space="0" w:color="auto"/>
      </w:divBdr>
      <w:divsChild>
        <w:div w:id="2119904777">
          <w:marLeft w:val="547"/>
          <w:marRight w:val="0"/>
          <w:marTop w:val="200"/>
          <w:marBottom w:val="0"/>
          <w:divBdr>
            <w:top w:val="none" w:sz="0" w:space="0" w:color="auto"/>
            <w:left w:val="none" w:sz="0" w:space="0" w:color="auto"/>
            <w:bottom w:val="none" w:sz="0" w:space="0" w:color="auto"/>
            <w:right w:val="none" w:sz="0" w:space="0" w:color="auto"/>
          </w:divBdr>
        </w:div>
      </w:divsChild>
    </w:div>
    <w:div w:id="492720923">
      <w:bodyDiv w:val="1"/>
      <w:marLeft w:val="0"/>
      <w:marRight w:val="0"/>
      <w:marTop w:val="0"/>
      <w:marBottom w:val="0"/>
      <w:divBdr>
        <w:top w:val="none" w:sz="0" w:space="0" w:color="auto"/>
        <w:left w:val="none" w:sz="0" w:space="0" w:color="auto"/>
        <w:bottom w:val="none" w:sz="0" w:space="0" w:color="auto"/>
        <w:right w:val="none" w:sz="0" w:space="0" w:color="auto"/>
      </w:divBdr>
    </w:div>
    <w:div w:id="522479802">
      <w:bodyDiv w:val="1"/>
      <w:marLeft w:val="0"/>
      <w:marRight w:val="0"/>
      <w:marTop w:val="0"/>
      <w:marBottom w:val="0"/>
      <w:divBdr>
        <w:top w:val="none" w:sz="0" w:space="0" w:color="auto"/>
        <w:left w:val="none" w:sz="0" w:space="0" w:color="auto"/>
        <w:bottom w:val="none" w:sz="0" w:space="0" w:color="auto"/>
        <w:right w:val="none" w:sz="0" w:space="0" w:color="auto"/>
      </w:divBdr>
    </w:div>
    <w:div w:id="57575237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62784026">
      <w:bodyDiv w:val="1"/>
      <w:marLeft w:val="0"/>
      <w:marRight w:val="0"/>
      <w:marTop w:val="0"/>
      <w:marBottom w:val="0"/>
      <w:divBdr>
        <w:top w:val="none" w:sz="0" w:space="0" w:color="auto"/>
        <w:left w:val="none" w:sz="0" w:space="0" w:color="auto"/>
        <w:bottom w:val="none" w:sz="0" w:space="0" w:color="auto"/>
        <w:right w:val="none" w:sz="0" w:space="0" w:color="auto"/>
      </w:divBdr>
    </w:div>
    <w:div w:id="903219102">
      <w:bodyDiv w:val="1"/>
      <w:marLeft w:val="0"/>
      <w:marRight w:val="0"/>
      <w:marTop w:val="0"/>
      <w:marBottom w:val="0"/>
      <w:divBdr>
        <w:top w:val="none" w:sz="0" w:space="0" w:color="auto"/>
        <w:left w:val="none" w:sz="0" w:space="0" w:color="auto"/>
        <w:bottom w:val="none" w:sz="0" w:space="0" w:color="auto"/>
        <w:right w:val="none" w:sz="0" w:space="0" w:color="auto"/>
      </w:divBdr>
    </w:div>
    <w:div w:id="1085952638">
      <w:bodyDiv w:val="1"/>
      <w:marLeft w:val="0"/>
      <w:marRight w:val="0"/>
      <w:marTop w:val="0"/>
      <w:marBottom w:val="0"/>
      <w:divBdr>
        <w:top w:val="none" w:sz="0" w:space="0" w:color="auto"/>
        <w:left w:val="none" w:sz="0" w:space="0" w:color="auto"/>
        <w:bottom w:val="none" w:sz="0" w:space="0" w:color="auto"/>
        <w:right w:val="none" w:sz="0" w:space="0" w:color="auto"/>
      </w:divBdr>
    </w:div>
    <w:div w:id="113583006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99589644">
      <w:bodyDiv w:val="1"/>
      <w:marLeft w:val="0"/>
      <w:marRight w:val="0"/>
      <w:marTop w:val="0"/>
      <w:marBottom w:val="0"/>
      <w:divBdr>
        <w:top w:val="none" w:sz="0" w:space="0" w:color="auto"/>
        <w:left w:val="none" w:sz="0" w:space="0" w:color="auto"/>
        <w:bottom w:val="none" w:sz="0" w:space="0" w:color="auto"/>
        <w:right w:val="none" w:sz="0" w:space="0" w:color="auto"/>
      </w:divBdr>
    </w:div>
    <w:div w:id="1421753502">
      <w:bodyDiv w:val="1"/>
      <w:marLeft w:val="0"/>
      <w:marRight w:val="0"/>
      <w:marTop w:val="0"/>
      <w:marBottom w:val="0"/>
      <w:divBdr>
        <w:top w:val="none" w:sz="0" w:space="0" w:color="auto"/>
        <w:left w:val="none" w:sz="0" w:space="0" w:color="auto"/>
        <w:bottom w:val="none" w:sz="0" w:space="0" w:color="auto"/>
        <w:right w:val="none" w:sz="0" w:space="0" w:color="auto"/>
      </w:divBdr>
    </w:div>
    <w:div w:id="1437868188">
      <w:bodyDiv w:val="1"/>
      <w:marLeft w:val="0"/>
      <w:marRight w:val="0"/>
      <w:marTop w:val="0"/>
      <w:marBottom w:val="0"/>
      <w:divBdr>
        <w:top w:val="none" w:sz="0" w:space="0" w:color="auto"/>
        <w:left w:val="none" w:sz="0" w:space="0" w:color="auto"/>
        <w:bottom w:val="none" w:sz="0" w:space="0" w:color="auto"/>
        <w:right w:val="none" w:sz="0" w:space="0" w:color="auto"/>
      </w:divBdr>
    </w:div>
    <w:div w:id="1460802728">
      <w:bodyDiv w:val="1"/>
      <w:marLeft w:val="0"/>
      <w:marRight w:val="0"/>
      <w:marTop w:val="0"/>
      <w:marBottom w:val="0"/>
      <w:divBdr>
        <w:top w:val="none" w:sz="0" w:space="0" w:color="auto"/>
        <w:left w:val="none" w:sz="0" w:space="0" w:color="auto"/>
        <w:bottom w:val="none" w:sz="0" w:space="0" w:color="auto"/>
        <w:right w:val="none" w:sz="0" w:space="0" w:color="auto"/>
      </w:divBdr>
    </w:div>
    <w:div w:id="1494688542">
      <w:bodyDiv w:val="1"/>
      <w:marLeft w:val="0"/>
      <w:marRight w:val="0"/>
      <w:marTop w:val="0"/>
      <w:marBottom w:val="0"/>
      <w:divBdr>
        <w:top w:val="none" w:sz="0" w:space="0" w:color="auto"/>
        <w:left w:val="none" w:sz="0" w:space="0" w:color="auto"/>
        <w:bottom w:val="none" w:sz="0" w:space="0" w:color="auto"/>
        <w:right w:val="none" w:sz="0" w:space="0" w:color="auto"/>
      </w:divBdr>
    </w:div>
    <w:div w:id="1502815181">
      <w:bodyDiv w:val="1"/>
      <w:marLeft w:val="0"/>
      <w:marRight w:val="0"/>
      <w:marTop w:val="0"/>
      <w:marBottom w:val="0"/>
      <w:divBdr>
        <w:top w:val="none" w:sz="0" w:space="0" w:color="auto"/>
        <w:left w:val="none" w:sz="0" w:space="0" w:color="auto"/>
        <w:bottom w:val="none" w:sz="0" w:space="0" w:color="auto"/>
        <w:right w:val="none" w:sz="0" w:space="0" w:color="auto"/>
      </w:divBdr>
    </w:div>
    <w:div w:id="1590767911">
      <w:bodyDiv w:val="1"/>
      <w:marLeft w:val="0"/>
      <w:marRight w:val="0"/>
      <w:marTop w:val="0"/>
      <w:marBottom w:val="0"/>
      <w:divBdr>
        <w:top w:val="none" w:sz="0" w:space="0" w:color="auto"/>
        <w:left w:val="none" w:sz="0" w:space="0" w:color="auto"/>
        <w:bottom w:val="none" w:sz="0" w:space="0" w:color="auto"/>
        <w:right w:val="none" w:sz="0" w:space="0" w:color="auto"/>
      </w:divBdr>
    </w:div>
    <w:div w:id="1606574610">
      <w:bodyDiv w:val="1"/>
      <w:marLeft w:val="0"/>
      <w:marRight w:val="0"/>
      <w:marTop w:val="0"/>
      <w:marBottom w:val="0"/>
      <w:divBdr>
        <w:top w:val="none" w:sz="0" w:space="0" w:color="auto"/>
        <w:left w:val="none" w:sz="0" w:space="0" w:color="auto"/>
        <w:bottom w:val="none" w:sz="0" w:space="0" w:color="auto"/>
        <w:right w:val="none" w:sz="0" w:space="0" w:color="auto"/>
      </w:divBdr>
    </w:div>
    <w:div w:id="1626538816">
      <w:bodyDiv w:val="1"/>
      <w:marLeft w:val="0"/>
      <w:marRight w:val="0"/>
      <w:marTop w:val="0"/>
      <w:marBottom w:val="0"/>
      <w:divBdr>
        <w:top w:val="none" w:sz="0" w:space="0" w:color="auto"/>
        <w:left w:val="none" w:sz="0" w:space="0" w:color="auto"/>
        <w:bottom w:val="none" w:sz="0" w:space="0" w:color="auto"/>
        <w:right w:val="none" w:sz="0" w:space="0" w:color="auto"/>
      </w:divBdr>
    </w:div>
    <w:div w:id="1638366567">
      <w:bodyDiv w:val="1"/>
      <w:marLeft w:val="0"/>
      <w:marRight w:val="0"/>
      <w:marTop w:val="0"/>
      <w:marBottom w:val="0"/>
      <w:divBdr>
        <w:top w:val="none" w:sz="0" w:space="0" w:color="auto"/>
        <w:left w:val="none" w:sz="0" w:space="0" w:color="auto"/>
        <w:bottom w:val="none" w:sz="0" w:space="0" w:color="auto"/>
        <w:right w:val="none" w:sz="0" w:space="0" w:color="auto"/>
      </w:divBdr>
    </w:div>
    <w:div w:id="1668946139">
      <w:bodyDiv w:val="1"/>
      <w:marLeft w:val="0"/>
      <w:marRight w:val="0"/>
      <w:marTop w:val="0"/>
      <w:marBottom w:val="0"/>
      <w:divBdr>
        <w:top w:val="none" w:sz="0" w:space="0" w:color="auto"/>
        <w:left w:val="none" w:sz="0" w:space="0" w:color="auto"/>
        <w:bottom w:val="none" w:sz="0" w:space="0" w:color="auto"/>
        <w:right w:val="none" w:sz="0" w:space="0" w:color="auto"/>
      </w:divBdr>
    </w:div>
    <w:div w:id="1783572714">
      <w:bodyDiv w:val="1"/>
      <w:marLeft w:val="0"/>
      <w:marRight w:val="0"/>
      <w:marTop w:val="0"/>
      <w:marBottom w:val="0"/>
      <w:divBdr>
        <w:top w:val="none" w:sz="0" w:space="0" w:color="auto"/>
        <w:left w:val="none" w:sz="0" w:space="0" w:color="auto"/>
        <w:bottom w:val="none" w:sz="0" w:space="0" w:color="auto"/>
        <w:right w:val="none" w:sz="0" w:space="0" w:color="auto"/>
      </w:divBdr>
    </w:div>
    <w:div w:id="1802841201">
      <w:bodyDiv w:val="1"/>
      <w:marLeft w:val="0"/>
      <w:marRight w:val="0"/>
      <w:marTop w:val="0"/>
      <w:marBottom w:val="0"/>
      <w:divBdr>
        <w:top w:val="none" w:sz="0" w:space="0" w:color="auto"/>
        <w:left w:val="none" w:sz="0" w:space="0" w:color="auto"/>
        <w:bottom w:val="none" w:sz="0" w:space="0" w:color="auto"/>
        <w:right w:val="none" w:sz="0" w:space="0" w:color="auto"/>
      </w:divBdr>
    </w:div>
    <w:div w:id="1846552242">
      <w:bodyDiv w:val="1"/>
      <w:marLeft w:val="0"/>
      <w:marRight w:val="0"/>
      <w:marTop w:val="0"/>
      <w:marBottom w:val="0"/>
      <w:divBdr>
        <w:top w:val="none" w:sz="0" w:space="0" w:color="auto"/>
        <w:left w:val="none" w:sz="0" w:space="0" w:color="auto"/>
        <w:bottom w:val="none" w:sz="0" w:space="0" w:color="auto"/>
        <w:right w:val="none" w:sz="0" w:space="0" w:color="auto"/>
      </w:divBdr>
    </w:div>
    <w:div w:id="1861892078">
      <w:bodyDiv w:val="1"/>
      <w:marLeft w:val="0"/>
      <w:marRight w:val="0"/>
      <w:marTop w:val="0"/>
      <w:marBottom w:val="0"/>
      <w:divBdr>
        <w:top w:val="none" w:sz="0" w:space="0" w:color="auto"/>
        <w:left w:val="none" w:sz="0" w:space="0" w:color="auto"/>
        <w:bottom w:val="none" w:sz="0" w:space="0" w:color="auto"/>
        <w:right w:val="none" w:sz="0" w:space="0" w:color="auto"/>
      </w:divBdr>
    </w:div>
    <w:div w:id="193635820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3022911">
      <w:bodyDiv w:val="1"/>
      <w:marLeft w:val="0"/>
      <w:marRight w:val="0"/>
      <w:marTop w:val="0"/>
      <w:marBottom w:val="0"/>
      <w:divBdr>
        <w:top w:val="none" w:sz="0" w:space="0" w:color="auto"/>
        <w:left w:val="none" w:sz="0" w:space="0" w:color="auto"/>
        <w:bottom w:val="none" w:sz="0" w:space="0" w:color="auto"/>
        <w:right w:val="none" w:sz="0" w:space="0" w:color="auto"/>
      </w:divBdr>
      <w:divsChild>
        <w:div w:id="1315718132">
          <w:marLeft w:val="0"/>
          <w:marRight w:val="0"/>
          <w:marTop w:val="0"/>
          <w:marBottom w:val="0"/>
          <w:divBdr>
            <w:top w:val="none" w:sz="0" w:space="0" w:color="auto"/>
            <w:left w:val="none" w:sz="0" w:space="0" w:color="auto"/>
            <w:bottom w:val="none" w:sz="0" w:space="0" w:color="auto"/>
            <w:right w:val="none" w:sz="0" w:space="0" w:color="auto"/>
          </w:divBdr>
        </w:div>
        <w:div w:id="186531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tools/child-growth-standards/standards/weight-fo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D1BD-E4CA-4419-9D93-A939D72F4581}">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25241</Words>
  <Characters>138761</Characters>
  <Application>Microsoft Office Word</Application>
  <DocSecurity>0</DocSecurity>
  <Lines>1156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163675</CharactersWithSpaces>
  <SharedDoc>false</SharedDoc>
  <HLinks>
    <vt:vector size="6" baseType="variant">
      <vt:variant>
        <vt:i4>5832721</vt:i4>
      </vt:variant>
      <vt:variant>
        <vt:i4>0</vt:i4>
      </vt:variant>
      <vt:variant>
        <vt:i4>0</vt:i4>
      </vt:variant>
      <vt:variant>
        <vt:i4>5</vt:i4>
      </vt:variant>
      <vt:variant>
        <vt:lpwstr>https://www.who.int/tools/child-growth-standards/standards/weight-for-age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2024-10-25T02:11:00Z</dcterms:created>
  <dcterms:modified xsi:type="dcterms:W3CDTF">2024-10-25T02:13:00Z</dcterms:modified>
</cp:coreProperties>
</file>